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1FD" w:rsidRDefault="00F16446" w:rsidP="00950DD9">
      <w:pPr>
        <w:pStyle w:val="Heading1"/>
        <w:widowControl/>
        <w:rPr>
          <w:sz w:val="28"/>
        </w:rPr>
      </w:pPr>
      <w:bookmarkStart w:id="0" w:name="_Toc419206522"/>
      <w:r>
        <w:rPr>
          <w:sz w:val="28"/>
        </w:rPr>
        <w:t>6.06</w:t>
      </w:r>
      <w:r w:rsidR="0068107F">
        <w:rPr>
          <w:sz w:val="28"/>
        </w:rPr>
        <w:tab/>
        <w:t>STRONTIUM RANELATE</w:t>
      </w:r>
    </w:p>
    <w:p w:rsidR="003F41FD" w:rsidRDefault="00313D0D" w:rsidP="00950DD9">
      <w:pPr>
        <w:pStyle w:val="Heading1"/>
        <w:widowControl/>
        <w:ind w:firstLine="0"/>
        <w:rPr>
          <w:sz w:val="28"/>
        </w:rPr>
      </w:pPr>
      <w:r w:rsidRPr="00313D0D">
        <w:rPr>
          <w:caps w:val="0"/>
          <w:sz w:val="28"/>
        </w:rPr>
        <w:t>2g g</w:t>
      </w:r>
      <w:r>
        <w:rPr>
          <w:caps w:val="0"/>
          <w:sz w:val="28"/>
        </w:rPr>
        <w:t>ranules for oral suspension, 28 </w:t>
      </w:r>
      <w:r w:rsidRPr="00313D0D">
        <w:rPr>
          <w:caps w:val="0"/>
          <w:sz w:val="28"/>
        </w:rPr>
        <w:t>x 2g sachets</w:t>
      </w:r>
    </w:p>
    <w:p w:rsidR="003F41FD" w:rsidRDefault="0068107F" w:rsidP="00950DD9">
      <w:pPr>
        <w:pStyle w:val="Heading1"/>
        <w:widowControl/>
        <w:ind w:firstLine="0"/>
        <w:rPr>
          <w:sz w:val="28"/>
        </w:rPr>
      </w:pPr>
      <w:r>
        <w:rPr>
          <w:caps w:val="0"/>
          <w:sz w:val="28"/>
        </w:rPr>
        <w:t>PROTOS</w:t>
      </w:r>
      <w:r w:rsidR="00B60939" w:rsidRPr="00207D00">
        <w:rPr>
          <w:sz w:val="28"/>
          <w:vertAlign w:val="superscript"/>
        </w:rPr>
        <w:t>®</w:t>
      </w:r>
    </w:p>
    <w:p w:rsidR="00B60939" w:rsidRPr="00207D00" w:rsidRDefault="0068107F" w:rsidP="00950DD9">
      <w:pPr>
        <w:pStyle w:val="Heading1"/>
        <w:widowControl/>
        <w:ind w:firstLine="0"/>
        <w:rPr>
          <w:sz w:val="28"/>
        </w:rPr>
      </w:pPr>
      <w:r>
        <w:rPr>
          <w:caps w:val="0"/>
          <w:sz w:val="28"/>
        </w:rPr>
        <w:t>SERVIER LABORATORIES</w:t>
      </w:r>
      <w:bookmarkEnd w:id="0"/>
    </w:p>
    <w:p w:rsidR="00B60939" w:rsidRDefault="00B60939" w:rsidP="00C84650">
      <w:pPr>
        <w:pStyle w:val="BodyText"/>
      </w:pPr>
    </w:p>
    <w:p w:rsidR="00B60939" w:rsidRDefault="00B60939" w:rsidP="00950DD9">
      <w:pPr>
        <w:widowControl/>
      </w:pPr>
    </w:p>
    <w:p w:rsidR="00B50DB8" w:rsidRPr="00407F2D" w:rsidRDefault="00B50DB8" w:rsidP="00950DD9">
      <w:pPr>
        <w:pStyle w:val="PBACHeading1"/>
        <w:keepNext/>
      </w:pPr>
      <w:bookmarkStart w:id="1" w:name="_Toc419206524"/>
      <w:r w:rsidRPr="00407F2D">
        <w:t>Purpose of Application</w:t>
      </w:r>
      <w:bookmarkEnd w:id="1"/>
    </w:p>
    <w:p w:rsidR="00B60939" w:rsidRPr="00882085" w:rsidRDefault="00B60939" w:rsidP="00950DD9">
      <w:pPr>
        <w:keepNext/>
        <w:widowControl/>
        <w:rPr>
          <w:szCs w:val="22"/>
        </w:rPr>
      </w:pPr>
      <w:bookmarkStart w:id="2" w:name="_GoBack"/>
      <w:bookmarkEnd w:id="2"/>
    </w:p>
    <w:p w:rsidR="002C2775" w:rsidRPr="00C42C05" w:rsidRDefault="00C42C05" w:rsidP="00950DD9">
      <w:pPr>
        <w:pStyle w:val="ListParagraph"/>
        <w:widowControl/>
        <w:numPr>
          <w:ilvl w:val="1"/>
          <w:numId w:val="5"/>
        </w:numPr>
        <w:rPr>
          <w:szCs w:val="22"/>
        </w:rPr>
      </w:pPr>
      <w:r w:rsidRPr="00C42C05">
        <w:rPr>
          <w:szCs w:val="22"/>
        </w:rPr>
        <w:t>To support the continued listing</w:t>
      </w:r>
      <w:r>
        <w:rPr>
          <w:szCs w:val="22"/>
        </w:rPr>
        <w:t xml:space="preserve"> of strontium ranelate for the treatment of severe established osteoporosis</w:t>
      </w:r>
      <w:r w:rsidR="009F1BB5">
        <w:rPr>
          <w:szCs w:val="22"/>
        </w:rPr>
        <w:t xml:space="preserve"> in patient</w:t>
      </w:r>
      <w:r w:rsidR="004A0942">
        <w:rPr>
          <w:szCs w:val="22"/>
        </w:rPr>
        <w:t>s</w:t>
      </w:r>
      <w:r w:rsidR="009F1BB5">
        <w:rPr>
          <w:szCs w:val="22"/>
        </w:rPr>
        <w:t xml:space="preserve"> unable to use other osteoporosis medications.</w:t>
      </w:r>
    </w:p>
    <w:p w:rsidR="004E43B2" w:rsidRDefault="004E43B2" w:rsidP="00950DD9">
      <w:pPr>
        <w:widowControl/>
      </w:pPr>
    </w:p>
    <w:p w:rsidR="00335096" w:rsidRPr="00882085" w:rsidRDefault="00335096" w:rsidP="00950DD9">
      <w:pPr>
        <w:widowControl/>
      </w:pPr>
    </w:p>
    <w:p w:rsidR="00B50DB8" w:rsidRPr="00407F2D" w:rsidRDefault="00920254" w:rsidP="00950DD9">
      <w:pPr>
        <w:pStyle w:val="PBACHeading1"/>
        <w:keepNext/>
      </w:pPr>
      <w:bookmarkStart w:id="3" w:name="_Toc419206525"/>
      <w:r>
        <w:t>Current</w:t>
      </w:r>
      <w:r w:rsidR="00B50DB8" w:rsidRPr="00407F2D">
        <w:t xml:space="preserve"> listing</w:t>
      </w:r>
      <w:bookmarkEnd w:id="3"/>
    </w:p>
    <w:p w:rsidR="00617E12" w:rsidRPr="007A5915" w:rsidRDefault="00617E12" w:rsidP="00950DD9">
      <w:pPr>
        <w:keepNext/>
        <w:widowControl/>
        <w:rPr>
          <w:szCs w:val="22"/>
        </w:rPr>
      </w:pPr>
    </w:p>
    <w:tbl>
      <w:tblPr>
        <w:tblW w:w="4604" w:type="pct"/>
        <w:tblInd w:w="737" w:type="dxa"/>
        <w:tblCellMar>
          <w:left w:w="28" w:type="dxa"/>
          <w:right w:w="28" w:type="dxa"/>
        </w:tblCellMar>
        <w:tblLook w:val="0000" w:firstRow="0" w:lastRow="0" w:firstColumn="0" w:lastColumn="0" w:noHBand="0" w:noVBand="0"/>
      </w:tblPr>
      <w:tblGrid>
        <w:gridCol w:w="1277"/>
        <w:gridCol w:w="1642"/>
        <w:gridCol w:w="567"/>
        <w:gridCol w:w="868"/>
        <w:gridCol w:w="1778"/>
        <w:gridCol w:w="890"/>
        <w:gridCol w:w="1341"/>
      </w:tblGrid>
      <w:tr w:rsidR="007A5915" w:rsidRPr="00A939CD" w:rsidTr="001B3E77">
        <w:trPr>
          <w:cantSplit/>
          <w:trHeight w:val="471"/>
        </w:trPr>
        <w:tc>
          <w:tcPr>
            <w:tcW w:w="1745" w:type="pct"/>
            <w:gridSpan w:val="2"/>
            <w:tcBorders>
              <w:bottom w:val="single" w:sz="4" w:space="0" w:color="auto"/>
            </w:tcBorders>
          </w:tcPr>
          <w:p w:rsidR="007A5915" w:rsidRPr="00AE28FE" w:rsidRDefault="007A5915" w:rsidP="001A42B2">
            <w:pPr>
              <w:widowControl/>
              <w:rPr>
                <w:rFonts w:ascii="Arial Narrow" w:hAnsi="Arial Narrow"/>
                <w:sz w:val="20"/>
              </w:rPr>
            </w:pPr>
            <w:r w:rsidRPr="00AE28FE">
              <w:rPr>
                <w:rFonts w:ascii="Arial Narrow" w:hAnsi="Arial Narrow"/>
                <w:sz w:val="20"/>
              </w:rPr>
              <w:t>Name, Restriction,</w:t>
            </w:r>
          </w:p>
          <w:p w:rsidR="007A5915" w:rsidRPr="00AE28FE" w:rsidRDefault="007A5915" w:rsidP="001A42B2">
            <w:pPr>
              <w:widowControl/>
              <w:rPr>
                <w:rFonts w:ascii="Arial Narrow" w:hAnsi="Arial Narrow"/>
                <w:sz w:val="20"/>
              </w:rPr>
            </w:pPr>
            <w:r w:rsidRPr="00AE28FE">
              <w:rPr>
                <w:rFonts w:ascii="Arial Narrow" w:hAnsi="Arial Narrow"/>
                <w:sz w:val="20"/>
              </w:rPr>
              <w:t>Manner of administration and form</w:t>
            </w:r>
          </w:p>
        </w:tc>
        <w:tc>
          <w:tcPr>
            <w:tcW w:w="339" w:type="pct"/>
            <w:tcBorders>
              <w:bottom w:val="single" w:sz="4" w:space="0" w:color="auto"/>
            </w:tcBorders>
          </w:tcPr>
          <w:p w:rsidR="007A5915" w:rsidRPr="00AE28FE" w:rsidRDefault="007A5915" w:rsidP="001A42B2">
            <w:pPr>
              <w:widowControl/>
              <w:jc w:val="center"/>
              <w:rPr>
                <w:rFonts w:ascii="Arial Narrow" w:hAnsi="Arial Narrow"/>
                <w:sz w:val="20"/>
              </w:rPr>
            </w:pPr>
            <w:r w:rsidRPr="00AE28FE">
              <w:rPr>
                <w:rFonts w:ascii="Arial Narrow" w:hAnsi="Arial Narrow"/>
                <w:sz w:val="20"/>
              </w:rPr>
              <w:t>Max.</w:t>
            </w:r>
          </w:p>
          <w:p w:rsidR="007A5915" w:rsidRPr="00AE28FE" w:rsidRDefault="007A5915" w:rsidP="001A42B2">
            <w:pPr>
              <w:widowControl/>
              <w:jc w:val="center"/>
              <w:rPr>
                <w:rFonts w:ascii="Arial Narrow" w:hAnsi="Arial Narrow"/>
                <w:sz w:val="20"/>
              </w:rPr>
            </w:pPr>
            <w:r w:rsidRPr="00AE28FE">
              <w:rPr>
                <w:rFonts w:ascii="Arial Narrow" w:hAnsi="Arial Narrow"/>
                <w:sz w:val="20"/>
              </w:rPr>
              <w:t>Qty</w:t>
            </w:r>
          </w:p>
        </w:tc>
        <w:tc>
          <w:tcPr>
            <w:tcW w:w="519" w:type="pct"/>
            <w:tcBorders>
              <w:bottom w:val="single" w:sz="4" w:space="0" w:color="auto"/>
            </w:tcBorders>
          </w:tcPr>
          <w:p w:rsidR="007A5915" w:rsidRPr="00AE28FE" w:rsidRDefault="007A5915" w:rsidP="001A42B2">
            <w:pPr>
              <w:widowControl/>
              <w:jc w:val="center"/>
              <w:rPr>
                <w:rFonts w:ascii="Arial Narrow" w:hAnsi="Arial Narrow"/>
                <w:sz w:val="20"/>
              </w:rPr>
            </w:pPr>
            <w:r w:rsidRPr="00AE28FE">
              <w:rPr>
                <w:rFonts w:ascii="Arial Narrow" w:hAnsi="Arial Narrow"/>
                <w:sz w:val="20"/>
              </w:rPr>
              <w:t>№.of</w:t>
            </w:r>
          </w:p>
          <w:p w:rsidR="007A5915" w:rsidRPr="00AE28FE" w:rsidRDefault="007A5915" w:rsidP="001A42B2">
            <w:pPr>
              <w:widowControl/>
              <w:jc w:val="center"/>
              <w:rPr>
                <w:rFonts w:ascii="Arial Narrow" w:hAnsi="Arial Narrow"/>
                <w:sz w:val="20"/>
              </w:rPr>
            </w:pPr>
            <w:r w:rsidRPr="00AE28FE">
              <w:rPr>
                <w:rFonts w:ascii="Arial Narrow" w:hAnsi="Arial Narrow"/>
                <w:sz w:val="20"/>
              </w:rPr>
              <w:t>Rpts</w:t>
            </w:r>
          </w:p>
        </w:tc>
        <w:tc>
          <w:tcPr>
            <w:tcW w:w="1063" w:type="pct"/>
            <w:tcBorders>
              <w:bottom w:val="single" w:sz="4" w:space="0" w:color="auto"/>
            </w:tcBorders>
          </w:tcPr>
          <w:p w:rsidR="007A5915" w:rsidRPr="00AE28FE" w:rsidRDefault="007A5915" w:rsidP="001A42B2">
            <w:pPr>
              <w:widowControl/>
              <w:jc w:val="center"/>
              <w:rPr>
                <w:rFonts w:ascii="Arial Narrow" w:hAnsi="Arial Narrow"/>
                <w:sz w:val="20"/>
              </w:rPr>
            </w:pPr>
            <w:r w:rsidRPr="00AE28FE">
              <w:rPr>
                <w:rFonts w:ascii="Arial Narrow" w:hAnsi="Arial Narrow"/>
                <w:sz w:val="20"/>
              </w:rPr>
              <w:t>Dispensed Price for Max. Qty</w:t>
            </w:r>
          </w:p>
        </w:tc>
        <w:tc>
          <w:tcPr>
            <w:tcW w:w="1334" w:type="pct"/>
            <w:gridSpan w:val="2"/>
            <w:tcBorders>
              <w:bottom w:val="single" w:sz="4" w:space="0" w:color="auto"/>
            </w:tcBorders>
          </w:tcPr>
          <w:p w:rsidR="007A5915" w:rsidRPr="00AE28FE" w:rsidRDefault="007A5915" w:rsidP="001A42B2">
            <w:pPr>
              <w:widowControl/>
              <w:jc w:val="center"/>
              <w:rPr>
                <w:rFonts w:ascii="Arial Narrow" w:hAnsi="Arial Narrow"/>
                <w:sz w:val="20"/>
                <w:lang w:val="fr-FR"/>
              </w:rPr>
            </w:pPr>
            <w:r w:rsidRPr="00AE28FE">
              <w:rPr>
                <w:rFonts w:ascii="Arial Narrow" w:hAnsi="Arial Narrow"/>
                <w:sz w:val="20"/>
              </w:rPr>
              <w:t>Proprietary Name and Manufacturer</w:t>
            </w:r>
          </w:p>
        </w:tc>
      </w:tr>
      <w:tr w:rsidR="007A5915" w:rsidRPr="00A939CD" w:rsidTr="001B3E77">
        <w:trPr>
          <w:cantSplit/>
          <w:trHeight w:val="577"/>
        </w:trPr>
        <w:tc>
          <w:tcPr>
            <w:tcW w:w="1745" w:type="pct"/>
            <w:gridSpan w:val="2"/>
            <w:tcBorders>
              <w:bottom w:val="single" w:sz="4" w:space="0" w:color="auto"/>
            </w:tcBorders>
            <w:vAlign w:val="center"/>
          </w:tcPr>
          <w:p w:rsidR="007A5915" w:rsidRPr="00AE28FE" w:rsidRDefault="007A5915" w:rsidP="001A42B2">
            <w:pPr>
              <w:widowControl/>
              <w:jc w:val="left"/>
              <w:rPr>
                <w:rFonts w:ascii="Arial Narrow" w:hAnsi="Arial Narrow"/>
                <w:sz w:val="20"/>
              </w:rPr>
            </w:pPr>
            <w:r w:rsidRPr="00AE28FE">
              <w:rPr>
                <w:rFonts w:ascii="Arial Narrow" w:hAnsi="Arial Narrow"/>
                <w:smallCaps/>
                <w:sz w:val="20"/>
              </w:rPr>
              <w:t>strontium ranelate</w:t>
            </w:r>
          </w:p>
          <w:p w:rsidR="007A5915" w:rsidRPr="00AE28FE" w:rsidRDefault="007A5915" w:rsidP="001A42B2">
            <w:pPr>
              <w:widowControl/>
              <w:jc w:val="left"/>
              <w:rPr>
                <w:rFonts w:ascii="Arial Narrow" w:hAnsi="Arial Narrow"/>
                <w:sz w:val="20"/>
              </w:rPr>
            </w:pPr>
            <w:r w:rsidRPr="00AE28FE">
              <w:rPr>
                <w:rFonts w:ascii="Arial Narrow" w:hAnsi="Arial Narrow"/>
                <w:sz w:val="20"/>
              </w:rPr>
              <w:t>2g granules</w:t>
            </w:r>
          </w:p>
        </w:tc>
        <w:tc>
          <w:tcPr>
            <w:tcW w:w="339" w:type="pct"/>
            <w:tcBorders>
              <w:bottom w:val="single" w:sz="4" w:space="0" w:color="auto"/>
            </w:tcBorders>
            <w:vAlign w:val="center"/>
          </w:tcPr>
          <w:p w:rsidR="007A5915" w:rsidRPr="00AE28FE" w:rsidRDefault="007A5915" w:rsidP="001A42B2">
            <w:pPr>
              <w:widowControl/>
              <w:jc w:val="center"/>
              <w:rPr>
                <w:rFonts w:ascii="Arial Narrow" w:hAnsi="Arial Narrow"/>
                <w:sz w:val="20"/>
              </w:rPr>
            </w:pPr>
            <w:r w:rsidRPr="00AE28FE">
              <w:rPr>
                <w:rFonts w:ascii="Arial Narrow" w:hAnsi="Arial Narrow"/>
                <w:sz w:val="20"/>
              </w:rPr>
              <w:t>28</w:t>
            </w:r>
          </w:p>
        </w:tc>
        <w:tc>
          <w:tcPr>
            <w:tcW w:w="519" w:type="pct"/>
            <w:tcBorders>
              <w:bottom w:val="single" w:sz="4" w:space="0" w:color="auto"/>
            </w:tcBorders>
            <w:vAlign w:val="center"/>
          </w:tcPr>
          <w:p w:rsidR="007A5915" w:rsidRPr="00AE28FE" w:rsidRDefault="007A5915" w:rsidP="001A42B2">
            <w:pPr>
              <w:widowControl/>
              <w:jc w:val="center"/>
              <w:rPr>
                <w:rFonts w:ascii="Arial Narrow" w:hAnsi="Arial Narrow"/>
                <w:sz w:val="20"/>
              </w:rPr>
            </w:pPr>
            <w:r w:rsidRPr="00AE28FE">
              <w:rPr>
                <w:rFonts w:ascii="Arial Narrow" w:hAnsi="Arial Narrow"/>
                <w:sz w:val="20"/>
              </w:rPr>
              <w:t>5</w:t>
            </w:r>
          </w:p>
        </w:tc>
        <w:tc>
          <w:tcPr>
            <w:tcW w:w="1063" w:type="pct"/>
            <w:tcBorders>
              <w:bottom w:val="single" w:sz="4" w:space="0" w:color="auto"/>
            </w:tcBorders>
            <w:vAlign w:val="center"/>
          </w:tcPr>
          <w:p w:rsidR="007A5915" w:rsidRPr="00AE28FE" w:rsidRDefault="007A5915" w:rsidP="001A42B2">
            <w:pPr>
              <w:widowControl/>
              <w:jc w:val="center"/>
              <w:rPr>
                <w:rFonts w:ascii="Arial Narrow" w:hAnsi="Arial Narrow"/>
                <w:sz w:val="20"/>
              </w:rPr>
            </w:pPr>
            <w:r w:rsidRPr="00AE28FE">
              <w:rPr>
                <w:rFonts w:ascii="Arial Narrow" w:hAnsi="Arial Narrow"/>
                <w:sz w:val="20"/>
              </w:rPr>
              <w:t>$52.00</w:t>
            </w:r>
          </w:p>
        </w:tc>
        <w:tc>
          <w:tcPr>
            <w:tcW w:w="532" w:type="pct"/>
            <w:tcBorders>
              <w:bottom w:val="single" w:sz="4" w:space="0" w:color="auto"/>
            </w:tcBorders>
            <w:vAlign w:val="center"/>
          </w:tcPr>
          <w:p w:rsidR="007A5915" w:rsidRPr="00AE28FE" w:rsidRDefault="007A5915" w:rsidP="001A42B2">
            <w:pPr>
              <w:widowControl/>
              <w:jc w:val="center"/>
              <w:rPr>
                <w:rFonts w:ascii="Arial Narrow" w:hAnsi="Arial Narrow"/>
                <w:sz w:val="20"/>
              </w:rPr>
            </w:pPr>
            <w:r w:rsidRPr="00AE28FE">
              <w:rPr>
                <w:rFonts w:ascii="Arial Narrow" w:hAnsi="Arial Narrow"/>
                <w:sz w:val="20"/>
              </w:rPr>
              <w:t>Protos</w:t>
            </w:r>
            <w:r w:rsidRPr="00AE28FE">
              <w:rPr>
                <w:rFonts w:ascii="Arial Narrow" w:hAnsi="Arial Narrow"/>
                <w:sz w:val="20"/>
                <w:vertAlign w:val="superscript"/>
              </w:rPr>
              <w:t>®</w:t>
            </w:r>
          </w:p>
        </w:tc>
        <w:tc>
          <w:tcPr>
            <w:tcW w:w="802" w:type="pct"/>
            <w:tcBorders>
              <w:bottom w:val="single" w:sz="4" w:space="0" w:color="auto"/>
            </w:tcBorders>
            <w:vAlign w:val="center"/>
          </w:tcPr>
          <w:p w:rsidR="007A5915" w:rsidRPr="00AE28FE" w:rsidRDefault="007A5915" w:rsidP="001A42B2">
            <w:pPr>
              <w:widowControl/>
              <w:jc w:val="center"/>
              <w:rPr>
                <w:rFonts w:ascii="Arial Narrow" w:hAnsi="Arial Narrow"/>
                <w:sz w:val="20"/>
              </w:rPr>
            </w:pPr>
            <w:r w:rsidRPr="00AE28FE">
              <w:rPr>
                <w:rFonts w:ascii="Arial Narrow" w:hAnsi="Arial Narrow"/>
                <w:sz w:val="20"/>
              </w:rPr>
              <w:t>Servier Laboratories</w:t>
            </w:r>
          </w:p>
        </w:tc>
      </w:tr>
      <w:tr w:rsidR="007A5915" w:rsidRPr="00A939CD" w:rsidTr="001B3E77">
        <w:trPr>
          <w:cantSplit/>
          <w:trHeight w:val="50"/>
        </w:trPr>
        <w:tc>
          <w:tcPr>
            <w:tcW w:w="763" w:type="pct"/>
            <w:tcBorders>
              <w:top w:val="single" w:sz="4" w:space="0" w:color="auto"/>
              <w:left w:val="single" w:sz="4" w:space="0" w:color="auto"/>
              <w:bottom w:val="single" w:sz="4" w:space="0" w:color="auto"/>
              <w:right w:val="single" w:sz="4" w:space="0" w:color="auto"/>
            </w:tcBorders>
            <w:vAlign w:val="center"/>
          </w:tcPr>
          <w:p w:rsidR="007A5915" w:rsidRPr="00AE28FE" w:rsidRDefault="007A5915" w:rsidP="001A42B2">
            <w:pPr>
              <w:widowControl/>
              <w:jc w:val="left"/>
              <w:rPr>
                <w:rFonts w:ascii="Arial Narrow" w:hAnsi="Arial Narrow"/>
                <w:sz w:val="20"/>
              </w:rPr>
            </w:pPr>
            <w:r w:rsidRPr="00AE28FE">
              <w:rPr>
                <w:rFonts w:ascii="Arial Narrow" w:hAnsi="Arial Narrow"/>
                <w:sz w:val="20"/>
              </w:rPr>
              <w:t>Restriction</w:t>
            </w:r>
          </w:p>
        </w:tc>
        <w:tc>
          <w:tcPr>
            <w:tcW w:w="4237" w:type="pct"/>
            <w:gridSpan w:val="6"/>
            <w:tcBorders>
              <w:top w:val="single" w:sz="4" w:space="0" w:color="auto"/>
              <w:left w:val="single" w:sz="4" w:space="0" w:color="auto"/>
              <w:bottom w:val="single" w:sz="4" w:space="0" w:color="auto"/>
              <w:right w:val="single" w:sz="4" w:space="0" w:color="auto"/>
            </w:tcBorders>
          </w:tcPr>
          <w:p w:rsidR="007A5915" w:rsidRPr="00AE28FE" w:rsidRDefault="007A5915" w:rsidP="001A42B2">
            <w:pPr>
              <w:widowControl/>
              <w:rPr>
                <w:rFonts w:ascii="Arial Narrow" w:hAnsi="Arial Narrow"/>
                <w:sz w:val="20"/>
              </w:rPr>
            </w:pPr>
            <w:r w:rsidRPr="00AE28FE">
              <w:rPr>
                <w:rFonts w:ascii="Arial Narrow" w:hAnsi="Arial Narrow"/>
                <w:sz w:val="20"/>
              </w:rPr>
              <w:t>Section 85 (General Schedule)</w:t>
            </w:r>
          </w:p>
          <w:p w:rsidR="007A5915" w:rsidRPr="00AE28FE" w:rsidRDefault="007A5915" w:rsidP="001A42B2">
            <w:pPr>
              <w:widowControl/>
              <w:rPr>
                <w:rFonts w:ascii="Arial Narrow" w:hAnsi="Arial Narrow"/>
                <w:sz w:val="20"/>
              </w:rPr>
            </w:pPr>
            <w:r w:rsidRPr="00AE28FE">
              <w:rPr>
                <w:rFonts w:ascii="Arial Narrow" w:hAnsi="Arial Narrow"/>
                <w:sz w:val="20"/>
              </w:rPr>
              <w:t>Authority Required</w:t>
            </w:r>
          </w:p>
        </w:tc>
      </w:tr>
      <w:tr w:rsidR="007A5915" w:rsidRPr="00A939CD" w:rsidTr="001B3E77">
        <w:trPr>
          <w:cantSplit/>
          <w:trHeight w:val="50"/>
        </w:trPr>
        <w:tc>
          <w:tcPr>
            <w:tcW w:w="763" w:type="pct"/>
            <w:tcBorders>
              <w:top w:val="single" w:sz="4" w:space="0" w:color="auto"/>
              <w:left w:val="single" w:sz="4" w:space="0" w:color="auto"/>
              <w:bottom w:val="single" w:sz="4" w:space="0" w:color="auto"/>
              <w:right w:val="single" w:sz="4" w:space="0" w:color="auto"/>
            </w:tcBorders>
            <w:vAlign w:val="center"/>
          </w:tcPr>
          <w:p w:rsidR="007A5915" w:rsidRDefault="007A5915" w:rsidP="001A42B2">
            <w:pPr>
              <w:widowControl/>
              <w:jc w:val="left"/>
              <w:rPr>
                <w:rFonts w:ascii="Arial Narrow" w:hAnsi="Arial Narrow"/>
                <w:sz w:val="20"/>
              </w:rPr>
            </w:pPr>
            <w:r w:rsidRPr="00AE28FE">
              <w:rPr>
                <w:rFonts w:ascii="Arial Narrow" w:hAnsi="Arial Narrow"/>
                <w:sz w:val="20"/>
              </w:rPr>
              <w:t>Condition</w:t>
            </w:r>
          </w:p>
        </w:tc>
        <w:tc>
          <w:tcPr>
            <w:tcW w:w="4237" w:type="pct"/>
            <w:gridSpan w:val="6"/>
            <w:tcBorders>
              <w:top w:val="single" w:sz="4" w:space="0" w:color="auto"/>
              <w:left w:val="single" w:sz="4" w:space="0" w:color="auto"/>
              <w:bottom w:val="single" w:sz="4" w:space="0" w:color="auto"/>
              <w:right w:val="single" w:sz="4" w:space="0" w:color="auto"/>
            </w:tcBorders>
          </w:tcPr>
          <w:p w:rsidR="007A5915" w:rsidRDefault="007A5915" w:rsidP="001A42B2">
            <w:pPr>
              <w:widowControl/>
              <w:tabs>
                <w:tab w:val="center" w:pos="3515"/>
              </w:tabs>
              <w:rPr>
                <w:rFonts w:ascii="Arial Narrow" w:hAnsi="Arial Narrow"/>
                <w:sz w:val="20"/>
              </w:rPr>
            </w:pPr>
            <w:r w:rsidRPr="00AE28FE">
              <w:rPr>
                <w:rFonts w:ascii="Arial Narrow" w:hAnsi="Arial Narrow"/>
                <w:sz w:val="20"/>
              </w:rPr>
              <w:t>Severe established osteoporosis</w:t>
            </w:r>
            <w:r w:rsidR="00C71A98">
              <w:rPr>
                <w:rFonts w:ascii="Arial Narrow" w:hAnsi="Arial Narrow"/>
                <w:sz w:val="20"/>
              </w:rPr>
              <w:tab/>
            </w:r>
          </w:p>
        </w:tc>
      </w:tr>
      <w:tr w:rsidR="007A5915" w:rsidRPr="00A939CD" w:rsidTr="001B3E77">
        <w:trPr>
          <w:cantSplit/>
          <w:trHeight w:val="50"/>
        </w:trPr>
        <w:tc>
          <w:tcPr>
            <w:tcW w:w="763" w:type="pct"/>
            <w:tcBorders>
              <w:top w:val="single" w:sz="4" w:space="0" w:color="auto"/>
              <w:left w:val="single" w:sz="4" w:space="0" w:color="auto"/>
              <w:bottom w:val="single" w:sz="4" w:space="0" w:color="auto"/>
              <w:right w:val="single" w:sz="4" w:space="0" w:color="auto"/>
            </w:tcBorders>
            <w:vAlign w:val="center"/>
          </w:tcPr>
          <w:p w:rsidR="007A5915" w:rsidRPr="00AE28FE" w:rsidRDefault="007A5915" w:rsidP="001A42B2">
            <w:pPr>
              <w:widowControl/>
              <w:jc w:val="left"/>
              <w:rPr>
                <w:rFonts w:ascii="Arial Narrow" w:hAnsi="Arial Narrow"/>
                <w:sz w:val="20"/>
              </w:rPr>
            </w:pPr>
            <w:r w:rsidRPr="00AE28FE">
              <w:rPr>
                <w:rFonts w:ascii="Arial Narrow" w:hAnsi="Arial Narrow"/>
                <w:sz w:val="20"/>
              </w:rPr>
              <w:t>Clinical criteria</w:t>
            </w:r>
          </w:p>
        </w:tc>
        <w:tc>
          <w:tcPr>
            <w:tcW w:w="4237" w:type="pct"/>
            <w:gridSpan w:val="6"/>
            <w:tcBorders>
              <w:top w:val="single" w:sz="4" w:space="0" w:color="auto"/>
              <w:left w:val="single" w:sz="4" w:space="0" w:color="auto"/>
              <w:bottom w:val="single" w:sz="4" w:space="0" w:color="auto"/>
              <w:right w:val="single" w:sz="4" w:space="0" w:color="auto"/>
            </w:tcBorders>
          </w:tcPr>
          <w:p w:rsidR="007A5915" w:rsidRPr="00AE28FE" w:rsidRDefault="007A5915" w:rsidP="001A42B2">
            <w:pPr>
              <w:widowControl/>
              <w:rPr>
                <w:rFonts w:ascii="Arial Narrow" w:hAnsi="Arial Narrow"/>
                <w:sz w:val="20"/>
              </w:rPr>
            </w:pPr>
            <w:r w:rsidRPr="00AE28FE">
              <w:rPr>
                <w:rFonts w:ascii="Arial Narrow" w:hAnsi="Arial Narrow"/>
                <w:sz w:val="20"/>
              </w:rPr>
              <w:t>Patient must have fracture due to minimal trauma,</w:t>
            </w:r>
          </w:p>
          <w:p w:rsidR="007A5915" w:rsidRPr="00AE28FE" w:rsidRDefault="007A5915" w:rsidP="001A42B2">
            <w:pPr>
              <w:widowControl/>
              <w:rPr>
                <w:rFonts w:ascii="Arial Narrow" w:hAnsi="Arial Narrow"/>
                <w:sz w:val="20"/>
              </w:rPr>
            </w:pPr>
            <w:r w:rsidRPr="00AE28FE">
              <w:rPr>
                <w:rFonts w:ascii="Arial Narrow" w:hAnsi="Arial Narrow"/>
                <w:sz w:val="20"/>
              </w:rPr>
              <w:t>AND</w:t>
            </w:r>
          </w:p>
          <w:p w:rsidR="007A5915" w:rsidRPr="00AE28FE" w:rsidRDefault="007A5915" w:rsidP="001A42B2">
            <w:pPr>
              <w:widowControl/>
              <w:rPr>
                <w:rFonts w:ascii="Arial Narrow" w:hAnsi="Arial Narrow"/>
                <w:sz w:val="20"/>
              </w:rPr>
            </w:pPr>
            <w:r w:rsidRPr="00AE28FE">
              <w:rPr>
                <w:rFonts w:ascii="Arial Narrow" w:hAnsi="Arial Narrow"/>
                <w:sz w:val="20"/>
              </w:rPr>
              <w:t>Patient must not receive concomitant treatment with any other PBS-subsidised anti-resorptive agent for this condition,</w:t>
            </w:r>
          </w:p>
          <w:p w:rsidR="007A5915" w:rsidRPr="00AE28FE" w:rsidRDefault="007A5915" w:rsidP="001A42B2">
            <w:pPr>
              <w:widowControl/>
              <w:rPr>
                <w:rFonts w:ascii="Arial Narrow" w:hAnsi="Arial Narrow"/>
                <w:sz w:val="20"/>
              </w:rPr>
            </w:pPr>
            <w:r w:rsidRPr="00AE28FE">
              <w:rPr>
                <w:rFonts w:ascii="Arial Narrow" w:hAnsi="Arial Narrow"/>
                <w:sz w:val="20"/>
              </w:rPr>
              <w:t>AND</w:t>
            </w:r>
          </w:p>
          <w:p w:rsidR="007A5915" w:rsidRPr="00AE28FE" w:rsidRDefault="007A5915" w:rsidP="001A42B2">
            <w:pPr>
              <w:widowControl/>
              <w:rPr>
                <w:rFonts w:ascii="Arial Narrow" w:hAnsi="Arial Narrow"/>
                <w:sz w:val="20"/>
              </w:rPr>
            </w:pPr>
            <w:r w:rsidRPr="00AE28FE">
              <w:rPr>
                <w:rFonts w:ascii="Arial Narrow" w:hAnsi="Arial Narrow"/>
                <w:sz w:val="20"/>
              </w:rPr>
              <w:t>Patient must be at high risk of fracture,</w:t>
            </w:r>
          </w:p>
          <w:p w:rsidR="007A5915" w:rsidRPr="00AE28FE" w:rsidRDefault="007A5915" w:rsidP="001A42B2">
            <w:pPr>
              <w:widowControl/>
              <w:rPr>
                <w:rFonts w:ascii="Arial Narrow" w:hAnsi="Arial Narrow"/>
                <w:sz w:val="20"/>
              </w:rPr>
            </w:pPr>
            <w:r w:rsidRPr="00AE28FE">
              <w:rPr>
                <w:rFonts w:ascii="Arial Narrow" w:hAnsi="Arial Narrow"/>
                <w:sz w:val="20"/>
              </w:rPr>
              <w:t>AND</w:t>
            </w:r>
          </w:p>
          <w:p w:rsidR="007A5915" w:rsidRPr="00AE28FE" w:rsidRDefault="007A5915" w:rsidP="001A42B2">
            <w:pPr>
              <w:widowControl/>
              <w:rPr>
                <w:rFonts w:ascii="Arial Narrow" w:hAnsi="Arial Narrow"/>
                <w:sz w:val="20"/>
              </w:rPr>
            </w:pPr>
            <w:r w:rsidRPr="00AE28FE">
              <w:rPr>
                <w:rFonts w:ascii="Arial Narrow" w:hAnsi="Arial Narrow"/>
                <w:sz w:val="20"/>
              </w:rPr>
              <w:t>Patient must be unable to use other medications for the treatment of osteoporosis due to contraindications or intolerance.</w:t>
            </w:r>
          </w:p>
        </w:tc>
      </w:tr>
      <w:tr w:rsidR="007A5915" w:rsidRPr="00A939CD" w:rsidTr="001B3E77">
        <w:trPr>
          <w:cantSplit/>
          <w:trHeight w:val="50"/>
        </w:trPr>
        <w:tc>
          <w:tcPr>
            <w:tcW w:w="763" w:type="pct"/>
            <w:vMerge w:val="restart"/>
            <w:tcBorders>
              <w:top w:val="single" w:sz="4" w:space="0" w:color="auto"/>
              <w:left w:val="single" w:sz="4" w:space="0" w:color="auto"/>
              <w:right w:val="single" w:sz="4" w:space="0" w:color="auto"/>
            </w:tcBorders>
            <w:vAlign w:val="center"/>
          </w:tcPr>
          <w:p w:rsidR="007A5915" w:rsidRPr="00AE28FE" w:rsidRDefault="007A5915" w:rsidP="001A42B2">
            <w:pPr>
              <w:widowControl/>
              <w:jc w:val="left"/>
              <w:rPr>
                <w:rFonts w:ascii="Arial Narrow" w:hAnsi="Arial Narrow"/>
                <w:sz w:val="20"/>
              </w:rPr>
            </w:pPr>
            <w:r w:rsidRPr="00AE28FE">
              <w:rPr>
                <w:rFonts w:ascii="Arial Narrow" w:hAnsi="Arial Narrow"/>
                <w:sz w:val="20"/>
              </w:rPr>
              <w:t>Prescriber instructions</w:t>
            </w:r>
          </w:p>
        </w:tc>
        <w:tc>
          <w:tcPr>
            <w:tcW w:w="4237" w:type="pct"/>
            <w:gridSpan w:val="6"/>
            <w:tcBorders>
              <w:top w:val="single" w:sz="4" w:space="0" w:color="auto"/>
              <w:left w:val="single" w:sz="4" w:space="0" w:color="auto"/>
              <w:bottom w:val="single" w:sz="4" w:space="0" w:color="auto"/>
              <w:right w:val="single" w:sz="4" w:space="0" w:color="auto"/>
            </w:tcBorders>
          </w:tcPr>
          <w:p w:rsidR="007A5915" w:rsidRPr="00AE28FE" w:rsidRDefault="007A5915" w:rsidP="001A42B2">
            <w:pPr>
              <w:widowControl/>
              <w:rPr>
                <w:rFonts w:ascii="Arial Narrow" w:hAnsi="Arial Narrow"/>
                <w:sz w:val="20"/>
              </w:rPr>
            </w:pPr>
            <w:r w:rsidRPr="00AE28FE">
              <w:rPr>
                <w:rFonts w:ascii="Arial Narrow" w:hAnsi="Arial Narrow"/>
                <w:sz w:val="20"/>
              </w:rPr>
              <w:t>The fracture must have been demonstrated radiologically and the year of plain x-ray or computed tomography (CT) scan or magnetic resonance imaging (MRI) scan must be documented in the patient's medical records when treatment is initiated.</w:t>
            </w:r>
          </w:p>
        </w:tc>
      </w:tr>
      <w:tr w:rsidR="007A5915" w:rsidRPr="00A939CD" w:rsidTr="001B3E77">
        <w:trPr>
          <w:cantSplit/>
          <w:trHeight w:val="50"/>
        </w:trPr>
        <w:tc>
          <w:tcPr>
            <w:tcW w:w="763" w:type="pct"/>
            <w:vMerge/>
            <w:tcBorders>
              <w:left w:val="single" w:sz="4" w:space="0" w:color="auto"/>
              <w:bottom w:val="single" w:sz="4" w:space="0" w:color="auto"/>
              <w:right w:val="single" w:sz="4" w:space="0" w:color="auto"/>
            </w:tcBorders>
            <w:vAlign w:val="center"/>
          </w:tcPr>
          <w:p w:rsidR="007A5915" w:rsidRPr="00AE28FE" w:rsidRDefault="007A5915" w:rsidP="001A42B2">
            <w:pPr>
              <w:widowControl/>
              <w:jc w:val="left"/>
              <w:rPr>
                <w:rFonts w:ascii="Arial Narrow" w:hAnsi="Arial Narrow"/>
                <w:sz w:val="20"/>
              </w:rPr>
            </w:pPr>
          </w:p>
        </w:tc>
        <w:tc>
          <w:tcPr>
            <w:tcW w:w="4237" w:type="pct"/>
            <w:gridSpan w:val="6"/>
            <w:tcBorders>
              <w:top w:val="single" w:sz="4" w:space="0" w:color="auto"/>
              <w:left w:val="single" w:sz="4" w:space="0" w:color="auto"/>
              <w:bottom w:val="single" w:sz="4" w:space="0" w:color="auto"/>
              <w:right w:val="single" w:sz="4" w:space="0" w:color="auto"/>
            </w:tcBorders>
          </w:tcPr>
          <w:p w:rsidR="007A5915" w:rsidRPr="00AE28FE" w:rsidRDefault="007A5915" w:rsidP="001A42B2">
            <w:pPr>
              <w:widowControl/>
              <w:rPr>
                <w:rFonts w:ascii="Arial Narrow" w:hAnsi="Arial Narrow"/>
                <w:sz w:val="20"/>
              </w:rPr>
            </w:pPr>
            <w:r w:rsidRPr="00AE28FE">
              <w:rPr>
                <w:rFonts w:ascii="Arial Narrow" w:hAnsi="Arial Narrow"/>
                <w:sz w:val="20"/>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r>
      <w:tr w:rsidR="007A5915" w:rsidRPr="00A939CD" w:rsidTr="001B3E77">
        <w:trPr>
          <w:cantSplit/>
          <w:trHeight w:val="50"/>
        </w:trPr>
        <w:tc>
          <w:tcPr>
            <w:tcW w:w="763" w:type="pct"/>
            <w:tcBorders>
              <w:top w:val="single" w:sz="4" w:space="0" w:color="auto"/>
              <w:left w:val="single" w:sz="4" w:space="0" w:color="auto"/>
              <w:bottom w:val="single" w:sz="4" w:space="0" w:color="auto"/>
              <w:right w:val="single" w:sz="4" w:space="0" w:color="auto"/>
            </w:tcBorders>
            <w:vAlign w:val="center"/>
          </w:tcPr>
          <w:p w:rsidR="007A5915" w:rsidRPr="00AE28FE" w:rsidRDefault="007A5915" w:rsidP="001A42B2">
            <w:pPr>
              <w:widowControl/>
              <w:jc w:val="left"/>
              <w:rPr>
                <w:rFonts w:ascii="Arial Narrow" w:hAnsi="Arial Narrow"/>
                <w:sz w:val="20"/>
              </w:rPr>
            </w:pPr>
            <w:r w:rsidRPr="00AE28FE">
              <w:rPr>
                <w:rFonts w:ascii="Arial Narrow" w:hAnsi="Arial Narrow"/>
                <w:sz w:val="20"/>
              </w:rPr>
              <w:t>Administrative advice</w:t>
            </w:r>
          </w:p>
        </w:tc>
        <w:tc>
          <w:tcPr>
            <w:tcW w:w="4237" w:type="pct"/>
            <w:gridSpan w:val="6"/>
            <w:tcBorders>
              <w:top w:val="single" w:sz="4" w:space="0" w:color="auto"/>
              <w:left w:val="single" w:sz="4" w:space="0" w:color="auto"/>
              <w:bottom w:val="single" w:sz="4" w:space="0" w:color="auto"/>
              <w:right w:val="single" w:sz="4" w:space="0" w:color="auto"/>
            </w:tcBorders>
          </w:tcPr>
          <w:p w:rsidR="007A5915" w:rsidRPr="00AE28FE" w:rsidRDefault="007A5915" w:rsidP="001A42B2">
            <w:pPr>
              <w:widowControl/>
              <w:rPr>
                <w:rFonts w:ascii="Arial Narrow" w:hAnsi="Arial Narrow"/>
                <w:sz w:val="20"/>
                <w:u w:val="single"/>
              </w:rPr>
            </w:pPr>
            <w:r w:rsidRPr="00AE28FE">
              <w:rPr>
                <w:rFonts w:ascii="Arial Narrow" w:hAnsi="Arial Narrow"/>
                <w:sz w:val="20"/>
                <w:u w:val="single"/>
              </w:rPr>
              <w:t>Note</w:t>
            </w:r>
          </w:p>
          <w:p w:rsidR="007A5915" w:rsidRPr="00AE28FE" w:rsidRDefault="007A5915" w:rsidP="001A42B2">
            <w:pPr>
              <w:widowControl/>
              <w:rPr>
                <w:rFonts w:ascii="Arial Narrow" w:hAnsi="Arial Narrow"/>
                <w:sz w:val="20"/>
              </w:rPr>
            </w:pPr>
            <w:r w:rsidRPr="00AE28FE">
              <w:rPr>
                <w:rFonts w:ascii="Arial Narrow" w:hAnsi="Arial Narrow"/>
                <w:sz w:val="20"/>
              </w:rPr>
              <w:t>Anti-resorptive agents in established osteoporosis include alendronate sodium, risedronate sodium, denosumab, raloxifene hydrochloride, strontium ranelate and zoledronic acid.</w:t>
            </w:r>
          </w:p>
        </w:tc>
      </w:tr>
    </w:tbl>
    <w:p w:rsidR="00B60939" w:rsidRPr="00882085" w:rsidRDefault="00B60939" w:rsidP="00950DD9">
      <w:pPr>
        <w:widowControl/>
      </w:pPr>
    </w:p>
    <w:p w:rsidR="00F97A78" w:rsidRPr="00764176" w:rsidRDefault="002E04E6" w:rsidP="00950DD9">
      <w:pPr>
        <w:pStyle w:val="ListParagraph"/>
        <w:widowControl/>
        <w:numPr>
          <w:ilvl w:val="1"/>
          <w:numId w:val="5"/>
        </w:numPr>
        <w:rPr>
          <w:szCs w:val="22"/>
        </w:rPr>
      </w:pPr>
      <w:r w:rsidRPr="00764176">
        <w:rPr>
          <w:szCs w:val="22"/>
        </w:rPr>
        <w:t>The submission requested</w:t>
      </w:r>
      <w:r w:rsidR="000D089A" w:rsidRPr="00764176">
        <w:rPr>
          <w:szCs w:val="22"/>
        </w:rPr>
        <w:t xml:space="preserve"> the continued listing </w:t>
      </w:r>
      <w:r w:rsidR="00F16446" w:rsidRPr="00764176">
        <w:rPr>
          <w:szCs w:val="22"/>
        </w:rPr>
        <w:t>of strontium ranelate on a cost</w:t>
      </w:r>
      <w:r w:rsidR="00F16446" w:rsidRPr="00764176">
        <w:rPr>
          <w:szCs w:val="22"/>
        </w:rPr>
        <w:noBreakHyphen/>
        <w:t>effectiveness basis compared with</w:t>
      </w:r>
      <w:r w:rsidR="000D089A" w:rsidRPr="00764176">
        <w:rPr>
          <w:szCs w:val="22"/>
        </w:rPr>
        <w:t xml:space="preserve"> best supportive care</w:t>
      </w:r>
      <w:r w:rsidR="00B546D1" w:rsidRPr="00764176">
        <w:rPr>
          <w:szCs w:val="22"/>
        </w:rPr>
        <w:t>.</w:t>
      </w:r>
      <w:r w:rsidR="000D089A" w:rsidRPr="00764176">
        <w:rPr>
          <w:szCs w:val="22"/>
        </w:rPr>
        <w:t xml:space="preserve"> </w:t>
      </w:r>
    </w:p>
    <w:p w:rsidR="00103FEB" w:rsidRPr="00764176" w:rsidRDefault="00103FEB" w:rsidP="00950DD9">
      <w:pPr>
        <w:pStyle w:val="ListParagraph"/>
        <w:widowControl/>
        <w:rPr>
          <w:szCs w:val="22"/>
        </w:rPr>
      </w:pPr>
    </w:p>
    <w:p w:rsidR="00103FEB" w:rsidRPr="00764176" w:rsidRDefault="00103FEB" w:rsidP="00950DD9">
      <w:pPr>
        <w:pStyle w:val="ListParagraph"/>
        <w:widowControl/>
        <w:numPr>
          <w:ilvl w:val="1"/>
          <w:numId w:val="5"/>
        </w:numPr>
        <w:rPr>
          <w:szCs w:val="22"/>
        </w:rPr>
      </w:pPr>
      <w:r w:rsidRPr="00764176">
        <w:rPr>
          <w:szCs w:val="22"/>
        </w:rPr>
        <w:t>The evaluation suggested that it may be appropriate to consider adopting a specific definition of severe established osteoporosis into the restriction criteria</w:t>
      </w:r>
      <w:r w:rsidR="00FA6EE9" w:rsidRPr="00764176">
        <w:rPr>
          <w:szCs w:val="22"/>
        </w:rPr>
        <w:t>. For example</w:t>
      </w:r>
      <w:r w:rsidRPr="00764176">
        <w:rPr>
          <w:szCs w:val="22"/>
        </w:rPr>
        <w:t>:</w:t>
      </w:r>
    </w:p>
    <w:p w:rsidR="00103FEB" w:rsidRPr="00764176" w:rsidRDefault="00103FEB" w:rsidP="00950DD9">
      <w:pPr>
        <w:pStyle w:val="ListParagraph"/>
        <w:widowControl/>
        <w:numPr>
          <w:ilvl w:val="1"/>
          <w:numId w:val="20"/>
        </w:numPr>
        <w:ind w:left="993" w:hanging="284"/>
        <w:rPr>
          <w:szCs w:val="22"/>
        </w:rPr>
      </w:pPr>
      <w:r w:rsidRPr="00764176">
        <w:rPr>
          <w:szCs w:val="22"/>
        </w:rPr>
        <w:t>World Health Organisation (WHO) definition: patients with a prior fragility fract</w:t>
      </w:r>
      <w:r w:rsidR="00FA6EE9" w:rsidRPr="00764176">
        <w:rPr>
          <w:szCs w:val="22"/>
        </w:rPr>
        <w:t>ure AND a</w:t>
      </w:r>
      <w:r w:rsidR="00446616" w:rsidRPr="00764176">
        <w:rPr>
          <w:szCs w:val="22"/>
        </w:rPr>
        <w:t xml:space="preserve"> bone mineral density</w:t>
      </w:r>
      <w:r w:rsidR="00FA6EE9" w:rsidRPr="00764176">
        <w:rPr>
          <w:szCs w:val="22"/>
        </w:rPr>
        <w:t xml:space="preserve"> </w:t>
      </w:r>
      <w:r w:rsidR="00446616" w:rsidRPr="00764176">
        <w:rPr>
          <w:szCs w:val="22"/>
        </w:rPr>
        <w:t>(</w:t>
      </w:r>
      <w:r w:rsidR="00FA6EE9" w:rsidRPr="00764176">
        <w:rPr>
          <w:szCs w:val="22"/>
        </w:rPr>
        <w:t>BMD</w:t>
      </w:r>
      <w:r w:rsidR="00446616" w:rsidRPr="00764176">
        <w:rPr>
          <w:szCs w:val="22"/>
        </w:rPr>
        <w:t>)</w:t>
      </w:r>
      <w:r w:rsidR="00FA6EE9" w:rsidRPr="00764176">
        <w:rPr>
          <w:szCs w:val="22"/>
        </w:rPr>
        <w:t xml:space="preserve"> T-score of &lt; -2.5; or</w:t>
      </w:r>
    </w:p>
    <w:p w:rsidR="00103FEB" w:rsidRPr="00764176" w:rsidRDefault="00103FEB" w:rsidP="00950DD9">
      <w:pPr>
        <w:pStyle w:val="ListParagraph"/>
        <w:widowControl/>
        <w:numPr>
          <w:ilvl w:val="1"/>
          <w:numId w:val="20"/>
        </w:numPr>
        <w:ind w:left="993" w:hanging="284"/>
        <w:rPr>
          <w:szCs w:val="22"/>
        </w:rPr>
      </w:pPr>
      <w:r w:rsidRPr="00764176">
        <w:rPr>
          <w:szCs w:val="22"/>
        </w:rPr>
        <w:t>Fracture Risk Assessment Tool (FRAX) definition: patients with a 10-year absolute fracture risk equivalent or greater than a patient with a prior fragility fracture and a BMD T-score of &lt; -2.5.</w:t>
      </w:r>
    </w:p>
    <w:p w:rsidR="00103FEB" w:rsidRPr="00764176" w:rsidRDefault="00103FEB" w:rsidP="00950DD9">
      <w:pPr>
        <w:widowControl/>
        <w:ind w:left="709"/>
        <w:rPr>
          <w:szCs w:val="22"/>
        </w:rPr>
      </w:pPr>
      <w:r w:rsidRPr="00764176">
        <w:rPr>
          <w:szCs w:val="22"/>
        </w:rPr>
        <w:lastRenderedPageBreak/>
        <w:t>The</w:t>
      </w:r>
      <w:r w:rsidR="003D6117" w:rsidRPr="00764176">
        <w:rPr>
          <w:szCs w:val="22"/>
        </w:rPr>
        <w:t xml:space="preserve"> Pre-Sub-Committee Response</w:t>
      </w:r>
      <w:r w:rsidRPr="00764176">
        <w:rPr>
          <w:szCs w:val="22"/>
        </w:rPr>
        <w:t xml:space="preserve"> </w:t>
      </w:r>
      <w:r w:rsidR="003D6117" w:rsidRPr="00764176">
        <w:rPr>
          <w:szCs w:val="22"/>
        </w:rPr>
        <w:t>(</w:t>
      </w:r>
      <w:r w:rsidRPr="00764176">
        <w:rPr>
          <w:szCs w:val="22"/>
        </w:rPr>
        <w:t>PSCR</w:t>
      </w:r>
      <w:r w:rsidR="003D6117" w:rsidRPr="00764176">
        <w:rPr>
          <w:szCs w:val="22"/>
        </w:rPr>
        <w:t>)</w:t>
      </w:r>
      <w:r w:rsidRPr="00764176">
        <w:rPr>
          <w:szCs w:val="22"/>
        </w:rPr>
        <w:t xml:space="preserve"> proposed that the following additional clinical criterion could be included: </w:t>
      </w:r>
      <w:r w:rsidRPr="000075BA">
        <w:rPr>
          <w:i/>
          <w:szCs w:val="22"/>
        </w:rPr>
        <w:t>Patient must have BMD T-score ≤ -2.5</w:t>
      </w:r>
      <w:r w:rsidRPr="00764176">
        <w:rPr>
          <w:szCs w:val="22"/>
        </w:rPr>
        <w:t>.</w:t>
      </w:r>
    </w:p>
    <w:p w:rsidR="00FA6EE9" w:rsidRPr="00764176" w:rsidRDefault="00FA6EE9" w:rsidP="00950DD9">
      <w:pPr>
        <w:pStyle w:val="ListParagraph"/>
        <w:widowControl/>
        <w:rPr>
          <w:szCs w:val="22"/>
        </w:rPr>
      </w:pPr>
    </w:p>
    <w:p w:rsidR="00103FEB" w:rsidRPr="00764176" w:rsidRDefault="00103FEB" w:rsidP="00950DD9">
      <w:pPr>
        <w:pStyle w:val="ListParagraph"/>
        <w:widowControl/>
        <w:numPr>
          <w:ilvl w:val="1"/>
          <w:numId w:val="5"/>
        </w:numPr>
        <w:rPr>
          <w:szCs w:val="22"/>
        </w:rPr>
      </w:pPr>
      <w:r w:rsidRPr="00764176">
        <w:rPr>
          <w:szCs w:val="22"/>
        </w:rPr>
        <w:t xml:space="preserve">The evaluation noted that the current PBS listing </w:t>
      </w:r>
      <w:r w:rsidR="00FA6EE9" w:rsidRPr="00764176">
        <w:rPr>
          <w:szCs w:val="22"/>
        </w:rPr>
        <w:t>for strontium ranelate specified</w:t>
      </w:r>
      <w:r w:rsidRPr="00764176">
        <w:rPr>
          <w:szCs w:val="22"/>
        </w:rPr>
        <w:t xml:space="preserve"> that patients must be unable to use other osteoporosis medications. This requirement could be interpreted as patients who are intolerant/contraindicated to any individual osteoporosis medication (i.e. may have other treatment options) or patients who are unable to use all osteoporosis medications (i.e. have no other treatment options). The submission assumed that most patients currently using strontium ranelate under the PBS will be intolerant/contraindicated to at least one first-line osteoporosis medication and therefore qualify under a less stringent interpretation of this requirement.</w:t>
      </w:r>
    </w:p>
    <w:p w:rsidR="00103FEB" w:rsidRPr="00764176" w:rsidRDefault="00103FEB" w:rsidP="00950DD9">
      <w:pPr>
        <w:pStyle w:val="ListParagraph"/>
        <w:widowControl/>
        <w:numPr>
          <w:ilvl w:val="1"/>
          <w:numId w:val="20"/>
        </w:numPr>
        <w:ind w:left="993" w:hanging="284"/>
        <w:rPr>
          <w:szCs w:val="22"/>
        </w:rPr>
      </w:pPr>
      <w:r w:rsidRPr="00764176">
        <w:rPr>
          <w:szCs w:val="22"/>
        </w:rPr>
        <w:t>T</w:t>
      </w:r>
      <w:r w:rsidR="0052056D" w:rsidRPr="00764176">
        <w:rPr>
          <w:szCs w:val="22"/>
        </w:rPr>
        <w:t xml:space="preserve">he PSCR </w:t>
      </w:r>
      <w:r w:rsidRPr="00764176">
        <w:rPr>
          <w:szCs w:val="22"/>
        </w:rPr>
        <w:t xml:space="preserve">proposed </w:t>
      </w:r>
      <w:r w:rsidR="0052056D" w:rsidRPr="00764176">
        <w:rPr>
          <w:szCs w:val="22"/>
        </w:rPr>
        <w:t>specifying the medications that a patient must be unable to use for the treatment of osteoporosis due to contraindications or intolerance (the last clinical criterion in the restriction above); specifically; denosumab, a bisphosphonate, and raloxifene.</w:t>
      </w:r>
      <w:r w:rsidR="00AF0EBA" w:rsidRPr="00764176">
        <w:rPr>
          <w:szCs w:val="22"/>
        </w:rPr>
        <w:t xml:space="preserve"> The ESC noted the Administrative Advice in the strontium listing already included a list of other medications used in established osteoporosis.</w:t>
      </w:r>
    </w:p>
    <w:p w:rsidR="00AF0EBA" w:rsidRDefault="00D866D1" w:rsidP="00950DD9">
      <w:pPr>
        <w:pStyle w:val="ListParagraph"/>
        <w:widowControl/>
        <w:numPr>
          <w:ilvl w:val="1"/>
          <w:numId w:val="20"/>
        </w:numPr>
        <w:ind w:left="993" w:hanging="284"/>
        <w:rPr>
          <w:szCs w:val="22"/>
        </w:rPr>
      </w:pPr>
      <w:r w:rsidRPr="00764176">
        <w:rPr>
          <w:szCs w:val="22"/>
        </w:rPr>
        <w:t>The ESC</w:t>
      </w:r>
      <w:r w:rsidR="00103FEB" w:rsidRPr="00764176">
        <w:rPr>
          <w:szCs w:val="22"/>
        </w:rPr>
        <w:t xml:space="preserve"> </w:t>
      </w:r>
      <w:r w:rsidR="0036281D" w:rsidRPr="00764176">
        <w:rPr>
          <w:szCs w:val="22"/>
        </w:rPr>
        <w:t>noted</w:t>
      </w:r>
      <w:r w:rsidR="00103FEB" w:rsidRPr="00764176">
        <w:rPr>
          <w:szCs w:val="22"/>
        </w:rPr>
        <w:t xml:space="preserve"> </w:t>
      </w:r>
      <w:r w:rsidR="002F3E96" w:rsidRPr="00764176">
        <w:rPr>
          <w:szCs w:val="22"/>
        </w:rPr>
        <w:t xml:space="preserve">that </w:t>
      </w:r>
      <w:r w:rsidR="00AF0EBA" w:rsidRPr="00764176">
        <w:rPr>
          <w:szCs w:val="22"/>
        </w:rPr>
        <w:t xml:space="preserve">the </w:t>
      </w:r>
      <w:r w:rsidR="00A33D75" w:rsidRPr="00764176">
        <w:rPr>
          <w:szCs w:val="22"/>
        </w:rPr>
        <w:t xml:space="preserve">current </w:t>
      </w:r>
      <w:r w:rsidR="00AF0EBA" w:rsidRPr="00764176">
        <w:rPr>
          <w:szCs w:val="22"/>
        </w:rPr>
        <w:t xml:space="preserve">restriction </w:t>
      </w:r>
      <w:r w:rsidR="0054429A" w:rsidRPr="00764176">
        <w:rPr>
          <w:szCs w:val="22"/>
        </w:rPr>
        <w:t>did</w:t>
      </w:r>
      <w:r w:rsidR="00AF0EBA" w:rsidRPr="00764176">
        <w:rPr>
          <w:szCs w:val="22"/>
        </w:rPr>
        <w:t xml:space="preserve"> not define </w:t>
      </w:r>
      <w:r w:rsidR="0054429A" w:rsidRPr="00764176">
        <w:rPr>
          <w:szCs w:val="22"/>
        </w:rPr>
        <w:t>‘</w:t>
      </w:r>
      <w:r w:rsidR="00AF0EBA" w:rsidRPr="00764176">
        <w:rPr>
          <w:szCs w:val="22"/>
        </w:rPr>
        <w:t>intolerant</w:t>
      </w:r>
      <w:r w:rsidR="0054429A" w:rsidRPr="00764176">
        <w:rPr>
          <w:szCs w:val="22"/>
        </w:rPr>
        <w:t>’</w:t>
      </w:r>
      <w:r w:rsidR="00AF0EBA" w:rsidRPr="00764176">
        <w:rPr>
          <w:szCs w:val="22"/>
        </w:rPr>
        <w:t xml:space="preserve"> or </w:t>
      </w:r>
      <w:r w:rsidR="0054429A" w:rsidRPr="00764176">
        <w:rPr>
          <w:szCs w:val="22"/>
        </w:rPr>
        <w:t>‘</w:t>
      </w:r>
      <w:r w:rsidR="00AF0EBA" w:rsidRPr="00764176">
        <w:rPr>
          <w:szCs w:val="22"/>
        </w:rPr>
        <w:t>contraindicated</w:t>
      </w:r>
      <w:r w:rsidR="0054429A" w:rsidRPr="00764176">
        <w:rPr>
          <w:szCs w:val="22"/>
        </w:rPr>
        <w:t>’</w:t>
      </w:r>
      <w:r w:rsidR="00AF0EBA" w:rsidRPr="00764176">
        <w:rPr>
          <w:szCs w:val="22"/>
        </w:rPr>
        <w:t xml:space="preserve">. </w:t>
      </w:r>
    </w:p>
    <w:p w:rsidR="00E15B38" w:rsidRPr="00764176" w:rsidRDefault="00E15B38" w:rsidP="00950DD9">
      <w:pPr>
        <w:pStyle w:val="ListParagraph"/>
        <w:widowControl/>
        <w:ind w:left="993"/>
        <w:rPr>
          <w:szCs w:val="22"/>
        </w:rPr>
      </w:pPr>
    </w:p>
    <w:p w:rsidR="00E15B38" w:rsidRPr="005C2E20" w:rsidRDefault="00E15B38" w:rsidP="000075BA">
      <w:pPr>
        <w:pStyle w:val="ListParagraph"/>
        <w:widowControl/>
        <w:numPr>
          <w:ilvl w:val="1"/>
          <w:numId w:val="5"/>
        </w:numPr>
        <w:rPr>
          <w:szCs w:val="22"/>
        </w:rPr>
      </w:pPr>
      <w:r w:rsidRPr="005C2E20">
        <w:rPr>
          <w:szCs w:val="22"/>
        </w:rPr>
        <w:t xml:space="preserve">In addition to the proposed change presented in the PSCR, the </w:t>
      </w:r>
      <w:r w:rsidR="00E842BC" w:rsidRPr="005C2E20">
        <w:rPr>
          <w:szCs w:val="22"/>
        </w:rPr>
        <w:t>p</w:t>
      </w:r>
      <w:r w:rsidRPr="005C2E20">
        <w:rPr>
          <w:szCs w:val="22"/>
        </w:rPr>
        <w:t xml:space="preserve">re-PBAC </w:t>
      </w:r>
      <w:r w:rsidR="00E842BC" w:rsidRPr="005C2E20">
        <w:rPr>
          <w:szCs w:val="22"/>
        </w:rPr>
        <w:t>r</w:t>
      </w:r>
      <w:r w:rsidR="00E22864">
        <w:rPr>
          <w:szCs w:val="22"/>
        </w:rPr>
        <w:t xml:space="preserve">esponse </w:t>
      </w:r>
      <w:r w:rsidRPr="005C2E20">
        <w:rPr>
          <w:szCs w:val="22"/>
        </w:rPr>
        <w:t>suggest</w:t>
      </w:r>
      <w:r w:rsidR="005C5555" w:rsidRPr="005C2E20">
        <w:rPr>
          <w:szCs w:val="22"/>
        </w:rPr>
        <w:t xml:space="preserve">ed that the following note </w:t>
      </w:r>
      <w:r w:rsidRPr="005C2E20">
        <w:rPr>
          <w:szCs w:val="22"/>
        </w:rPr>
        <w:t xml:space="preserve">could be included in the restriction: </w:t>
      </w:r>
      <w:r w:rsidRPr="005C2E20">
        <w:rPr>
          <w:i/>
        </w:rPr>
        <w:t>Patients should be evaluated for cardiovascular risk prior to commencement of strontium ranelate and during ongoing treatment on a regular basis generally every 6 months. See Product Information for further details.</w:t>
      </w:r>
    </w:p>
    <w:p w:rsidR="008B2A7F" w:rsidRDefault="008B2A7F" w:rsidP="00950DD9">
      <w:pPr>
        <w:pStyle w:val="ListParagraph"/>
        <w:widowControl/>
        <w:ind w:left="709"/>
        <w:rPr>
          <w:i/>
          <w:szCs w:val="22"/>
          <w:highlight w:val="yellow"/>
        </w:rPr>
      </w:pPr>
    </w:p>
    <w:p w:rsidR="00764176" w:rsidRDefault="00764176" w:rsidP="00950DD9">
      <w:pPr>
        <w:pStyle w:val="ListParagraph"/>
        <w:widowControl/>
        <w:ind w:left="709"/>
        <w:rPr>
          <w:i/>
          <w:szCs w:val="22"/>
        </w:rPr>
      </w:pPr>
      <w:r w:rsidRPr="000075BA">
        <w:rPr>
          <w:i/>
          <w:szCs w:val="22"/>
        </w:rPr>
        <w:t>For more detail on PBAC’s view, see section 7 “PBAC outcome”</w:t>
      </w:r>
    </w:p>
    <w:p w:rsidR="00335096" w:rsidRDefault="00335096" w:rsidP="00950DD9">
      <w:pPr>
        <w:widowControl/>
      </w:pPr>
    </w:p>
    <w:p w:rsidR="0045449F" w:rsidRPr="00882085" w:rsidRDefault="0045449F" w:rsidP="00950DD9">
      <w:pPr>
        <w:widowControl/>
      </w:pPr>
    </w:p>
    <w:p w:rsidR="00B50DB8" w:rsidRPr="00407F2D" w:rsidRDefault="00B50DB8" w:rsidP="00950DD9">
      <w:pPr>
        <w:pStyle w:val="PBACHeading1"/>
      </w:pPr>
      <w:bookmarkStart w:id="4" w:name="_Toc419206526"/>
      <w:r w:rsidRPr="00407F2D">
        <w:t>Background</w:t>
      </w:r>
      <w:bookmarkEnd w:id="4"/>
    </w:p>
    <w:p w:rsidR="00B60939" w:rsidRPr="00882085" w:rsidRDefault="00B60939" w:rsidP="00950DD9">
      <w:pPr>
        <w:widowControl/>
        <w:rPr>
          <w:szCs w:val="22"/>
        </w:rPr>
      </w:pPr>
    </w:p>
    <w:p w:rsidR="00B943D3" w:rsidRPr="00B943D3" w:rsidRDefault="00B60939" w:rsidP="00950DD9">
      <w:pPr>
        <w:pStyle w:val="ListParagraph"/>
        <w:widowControl/>
        <w:numPr>
          <w:ilvl w:val="1"/>
          <w:numId w:val="5"/>
        </w:numPr>
        <w:rPr>
          <w:szCs w:val="22"/>
        </w:rPr>
      </w:pPr>
      <w:r w:rsidRPr="0045449F">
        <w:rPr>
          <w:b/>
          <w:szCs w:val="22"/>
        </w:rPr>
        <w:t>TGA status</w:t>
      </w:r>
      <w:r w:rsidR="002A2880" w:rsidRPr="0045449F">
        <w:rPr>
          <w:b/>
          <w:szCs w:val="22"/>
        </w:rPr>
        <w:t xml:space="preserve"> at time of </w:t>
      </w:r>
      <w:r w:rsidR="00E15B38" w:rsidRPr="0045449F">
        <w:rPr>
          <w:b/>
          <w:szCs w:val="22"/>
        </w:rPr>
        <w:t>PBAC consideration</w:t>
      </w:r>
      <w:r w:rsidRPr="0045449F">
        <w:rPr>
          <w:szCs w:val="22"/>
        </w:rPr>
        <w:t xml:space="preserve">: </w:t>
      </w:r>
      <w:r w:rsidR="00B943D3" w:rsidRPr="0045449F">
        <w:rPr>
          <w:szCs w:val="22"/>
        </w:rPr>
        <w:t>Strontium ranelate was registered</w:t>
      </w:r>
      <w:r w:rsidR="00140ED0" w:rsidRPr="0045449F">
        <w:rPr>
          <w:szCs w:val="22"/>
        </w:rPr>
        <w:t xml:space="preserve"> in</w:t>
      </w:r>
      <w:r w:rsidR="00140ED0">
        <w:rPr>
          <w:szCs w:val="22"/>
        </w:rPr>
        <w:t xml:space="preserve"> June 2005</w:t>
      </w:r>
      <w:r w:rsidR="00B943D3">
        <w:rPr>
          <w:szCs w:val="22"/>
        </w:rPr>
        <w:t xml:space="preserve"> for the ‘treatment of postmenopausal osteoporosis’. </w:t>
      </w:r>
      <w:r w:rsidR="00391EA9">
        <w:rPr>
          <w:szCs w:val="22"/>
        </w:rPr>
        <w:t>The indication</w:t>
      </w:r>
      <w:r w:rsidR="00B943D3" w:rsidRPr="00B943D3">
        <w:rPr>
          <w:szCs w:val="22"/>
        </w:rPr>
        <w:t xml:space="preserve"> was</w:t>
      </w:r>
      <w:r w:rsidR="00B943D3">
        <w:rPr>
          <w:szCs w:val="22"/>
        </w:rPr>
        <w:t xml:space="preserve"> extended</w:t>
      </w:r>
      <w:r w:rsidR="00140ED0">
        <w:rPr>
          <w:szCs w:val="22"/>
        </w:rPr>
        <w:t xml:space="preserve"> in May 2012</w:t>
      </w:r>
      <w:r w:rsidR="00B943D3">
        <w:rPr>
          <w:szCs w:val="22"/>
        </w:rPr>
        <w:t xml:space="preserve"> to include the </w:t>
      </w:r>
      <w:r w:rsidR="00391EA9">
        <w:rPr>
          <w:szCs w:val="22"/>
        </w:rPr>
        <w:t>‘</w:t>
      </w:r>
      <w:r w:rsidR="00B943D3">
        <w:rPr>
          <w:szCs w:val="22"/>
        </w:rPr>
        <w:t>treatment of male osteoporosis’</w:t>
      </w:r>
      <w:r w:rsidR="00580315">
        <w:rPr>
          <w:szCs w:val="22"/>
        </w:rPr>
        <w:t>. D</w:t>
      </w:r>
      <w:r w:rsidR="00B943D3">
        <w:rPr>
          <w:szCs w:val="22"/>
        </w:rPr>
        <w:t>ue to safety concerns the indication was</w:t>
      </w:r>
      <w:r w:rsidR="00B943D3" w:rsidRPr="00B943D3">
        <w:rPr>
          <w:szCs w:val="22"/>
        </w:rPr>
        <w:t xml:space="preserve"> restricted to </w:t>
      </w:r>
      <w:r w:rsidR="00B943D3">
        <w:rPr>
          <w:szCs w:val="22"/>
        </w:rPr>
        <w:t>‘</w:t>
      </w:r>
      <w:r w:rsidR="00B943D3" w:rsidRPr="00B943D3">
        <w:rPr>
          <w:szCs w:val="22"/>
        </w:rPr>
        <w:t>severe (established) osteoporosis</w:t>
      </w:r>
      <w:r w:rsidR="00B943D3">
        <w:rPr>
          <w:szCs w:val="22"/>
        </w:rPr>
        <w:t>’ in May 2013;</w:t>
      </w:r>
      <w:r w:rsidR="00B943D3" w:rsidRPr="00B943D3">
        <w:rPr>
          <w:szCs w:val="22"/>
        </w:rPr>
        <w:t xml:space="preserve"> and furt</w:t>
      </w:r>
      <w:r w:rsidR="00B943D3">
        <w:rPr>
          <w:szCs w:val="22"/>
        </w:rPr>
        <w:t>her restricted to ‘patients unable to take other osteoporosis medications’</w:t>
      </w:r>
      <w:r w:rsidR="00B943D3" w:rsidRPr="00B943D3">
        <w:rPr>
          <w:szCs w:val="22"/>
        </w:rPr>
        <w:t xml:space="preserve"> in March</w:t>
      </w:r>
      <w:r w:rsidR="00BE4667">
        <w:rPr>
          <w:szCs w:val="22"/>
        </w:rPr>
        <w:t> </w:t>
      </w:r>
      <w:r w:rsidR="00B943D3" w:rsidRPr="00B943D3">
        <w:rPr>
          <w:szCs w:val="22"/>
        </w:rPr>
        <w:t>2014.</w:t>
      </w:r>
    </w:p>
    <w:p w:rsidR="00B60939" w:rsidRPr="00882085" w:rsidRDefault="00B60939" w:rsidP="00950DD9">
      <w:pPr>
        <w:pStyle w:val="ListParagraph"/>
        <w:widowControl/>
        <w:rPr>
          <w:szCs w:val="22"/>
        </w:rPr>
      </w:pPr>
    </w:p>
    <w:p w:rsidR="00A1629C" w:rsidRPr="00764176" w:rsidRDefault="00A1629C" w:rsidP="00950DD9">
      <w:pPr>
        <w:pStyle w:val="ListParagraph"/>
        <w:widowControl/>
        <w:numPr>
          <w:ilvl w:val="1"/>
          <w:numId w:val="5"/>
        </w:numPr>
        <w:rPr>
          <w:szCs w:val="22"/>
        </w:rPr>
      </w:pPr>
      <w:r w:rsidRPr="00764176">
        <w:rPr>
          <w:szCs w:val="22"/>
        </w:rPr>
        <w:t>There have been 12 previous PBAC considerations of strontium ranelate. At its most recent consideration in July 2014, the PBAC indicated that it was inclined to recommend the delisting of strontium ranelate from the PBS. However, the PBAC considered that it would be appropriate for the sponsor to have the opportunity to establish the cost-effectiveness of strontium ranelate in a restricted PBS population (patients with severe established osteoporosis unable to use other treatments</w:t>
      </w:r>
      <w:r w:rsidR="00D866D1" w:rsidRPr="00764176">
        <w:rPr>
          <w:szCs w:val="22"/>
        </w:rPr>
        <w:t xml:space="preserve"> due to contraindication or intolerance</w:t>
      </w:r>
      <w:r w:rsidRPr="00764176">
        <w:rPr>
          <w:szCs w:val="22"/>
        </w:rPr>
        <w:t>).</w:t>
      </w:r>
    </w:p>
    <w:p w:rsidR="00E55BB5" w:rsidRDefault="00E55BB5" w:rsidP="00950DD9">
      <w:pPr>
        <w:widowControl/>
      </w:pPr>
    </w:p>
    <w:p w:rsidR="00764176" w:rsidRDefault="00764176" w:rsidP="00950DD9">
      <w:pPr>
        <w:pStyle w:val="ListParagraph"/>
        <w:widowControl/>
        <w:ind w:left="709"/>
        <w:rPr>
          <w:i/>
          <w:szCs w:val="22"/>
        </w:rPr>
      </w:pPr>
      <w:r w:rsidRPr="000075BA">
        <w:rPr>
          <w:i/>
          <w:szCs w:val="22"/>
        </w:rPr>
        <w:t>For more detail on PBAC’s view, see section 7 “PBAC outcome”</w:t>
      </w:r>
    </w:p>
    <w:p w:rsidR="00335096" w:rsidRDefault="00335096" w:rsidP="00950DD9">
      <w:pPr>
        <w:widowControl/>
      </w:pPr>
    </w:p>
    <w:p w:rsidR="0045449F" w:rsidRPr="00882085" w:rsidRDefault="0045449F" w:rsidP="00950DD9">
      <w:pPr>
        <w:widowControl/>
      </w:pPr>
    </w:p>
    <w:p w:rsidR="00B50DB8" w:rsidRPr="00407F2D" w:rsidRDefault="00B50DB8" w:rsidP="00E22864">
      <w:pPr>
        <w:pStyle w:val="PBACHeading1"/>
        <w:keepNext/>
      </w:pPr>
      <w:bookmarkStart w:id="5" w:name="_Toc419206527"/>
      <w:r w:rsidRPr="00407F2D">
        <w:t>Clinical place for the proposed therapy</w:t>
      </w:r>
      <w:bookmarkEnd w:id="5"/>
    </w:p>
    <w:p w:rsidR="00C22D12" w:rsidRPr="00882085" w:rsidRDefault="00C22D12" w:rsidP="00E22864">
      <w:pPr>
        <w:keepNext/>
        <w:widowControl/>
        <w:rPr>
          <w:szCs w:val="22"/>
        </w:rPr>
      </w:pPr>
    </w:p>
    <w:p w:rsidR="00C22D12" w:rsidRDefault="00C22D12" w:rsidP="00950DD9">
      <w:pPr>
        <w:pStyle w:val="ListParagraph"/>
        <w:widowControl/>
        <w:numPr>
          <w:ilvl w:val="1"/>
          <w:numId w:val="5"/>
        </w:numPr>
        <w:rPr>
          <w:szCs w:val="22"/>
        </w:rPr>
      </w:pPr>
      <w:r w:rsidRPr="00C22D12">
        <w:rPr>
          <w:szCs w:val="22"/>
        </w:rPr>
        <w:t>Osteoporosis is a condition which occurs when the bones lose minerals more quickly than the body can replace them leading to enhanced bone fragility (due to reduced bone mass and micro-architectural deterioration of bone tissue) and a consequent increase in fracture risk. Loss of bone strength occurs gradually over many years and usually shows no symptoms. The most common fractures occur at the hip, spine and wrist and can lead to increased mortality, long-lasting pain, reduced mobility and disability.</w:t>
      </w:r>
    </w:p>
    <w:p w:rsidR="00C22D12" w:rsidRDefault="00C22D12" w:rsidP="00950DD9">
      <w:pPr>
        <w:pStyle w:val="ListParagraph"/>
        <w:widowControl/>
        <w:rPr>
          <w:szCs w:val="22"/>
        </w:rPr>
      </w:pPr>
    </w:p>
    <w:p w:rsidR="0074551D" w:rsidRDefault="008555E3" w:rsidP="00950DD9">
      <w:pPr>
        <w:pStyle w:val="ListParagraph"/>
        <w:widowControl/>
        <w:numPr>
          <w:ilvl w:val="1"/>
          <w:numId w:val="5"/>
        </w:numPr>
        <w:rPr>
          <w:szCs w:val="22"/>
        </w:rPr>
      </w:pPr>
      <w:r>
        <w:rPr>
          <w:szCs w:val="22"/>
        </w:rPr>
        <w:t>The submission did not clearly describe</w:t>
      </w:r>
      <w:r w:rsidR="0074551D">
        <w:rPr>
          <w:szCs w:val="22"/>
        </w:rPr>
        <w:t xml:space="preserve"> the proposed place in therapy fo</w:t>
      </w:r>
      <w:r w:rsidR="00B546D1">
        <w:rPr>
          <w:szCs w:val="22"/>
        </w:rPr>
        <w:t>r strontium ranelate but appeared</w:t>
      </w:r>
      <w:r w:rsidR="0074551D">
        <w:rPr>
          <w:szCs w:val="22"/>
        </w:rPr>
        <w:t xml:space="preserve"> to suggest that it may be used as a second-line treatment (in patients with other treatment options) or as a last-line treatment (in patients with no other treatment options)</w:t>
      </w:r>
      <w:r w:rsidR="00C22D12">
        <w:rPr>
          <w:szCs w:val="22"/>
        </w:rPr>
        <w:t>.</w:t>
      </w:r>
      <w:r w:rsidR="007A5915">
        <w:rPr>
          <w:szCs w:val="22"/>
        </w:rPr>
        <w:t xml:space="preserve"> </w:t>
      </w:r>
      <w:r w:rsidR="0052056D" w:rsidRPr="00764176">
        <w:t>The PSCR argued that ‘it is not helpful to conceptualise the appropriate place in therapy with reference to “lines” of treatment; as strontium is appropriate only for patients who are contraindicated or intolerant to other therapies and not those who have f</w:t>
      </w:r>
      <w:r w:rsidR="0045449F">
        <w:t>a</w:t>
      </w:r>
      <w:r w:rsidR="0052056D" w:rsidRPr="00764176">
        <w:t>iled to respond to these therapies.’</w:t>
      </w:r>
      <w:r w:rsidR="00D866D1">
        <w:rPr>
          <w:i/>
        </w:rPr>
        <w:t xml:space="preserve"> </w:t>
      </w:r>
    </w:p>
    <w:p w:rsidR="00C22D12" w:rsidRPr="00C22D12" w:rsidRDefault="00C22D12" w:rsidP="00950DD9">
      <w:pPr>
        <w:pStyle w:val="ListParagraph"/>
        <w:widowControl/>
        <w:rPr>
          <w:szCs w:val="22"/>
        </w:rPr>
      </w:pPr>
    </w:p>
    <w:p w:rsidR="00C22D12" w:rsidRDefault="00C22D12" w:rsidP="00950DD9">
      <w:pPr>
        <w:pStyle w:val="ListParagraph"/>
        <w:widowControl/>
        <w:numPr>
          <w:ilvl w:val="1"/>
          <w:numId w:val="5"/>
        </w:numPr>
        <w:rPr>
          <w:szCs w:val="22"/>
        </w:rPr>
      </w:pPr>
      <w:r>
        <w:rPr>
          <w:szCs w:val="22"/>
        </w:rPr>
        <w:t>E</w:t>
      </w:r>
      <w:r w:rsidRPr="00C22D12">
        <w:rPr>
          <w:szCs w:val="22"/>
        </w:rPr>
        <w:t>xpert advice</w:t>
      </w:r>
      <w:r>
        <w:rPr>
          <w:szCs w:val="22"/>
        </w:rPr>
        <w:t xml:space="preserve"> prese</w:t>
      </w:r>
      <w:r w:rsidR="00B546D1">
        <w:rPr>
          <w:szCs w:val="22"/>
        </w:rPr>
        <w:t>nted in the submission</w:t>
      </w:r>
      <w:r w:rsidR="00B21195">
        <w:rPr>
          <w:szCs w:val="22"/>
        </w:rPr>
        <w:t xml:space="preserve"> (from the Institute of Bone and Joint Research and Menzies Research Institute)</w:t>
      </w:r>
      <w:r w:rsidR="00B546D1">
        <w:rPr>
          <w:szCs w:val="22"/>
        </w:rPr>
        <w:t xml:space="preserve"> indicated</w:t>
      </w:r>
      <w:r w:rsidRPr="00C22D12">
        <w:rPr>
          <w:szCs w:val="22"/>
        </w:rPr>
        <w:t xml:space="preserve"> that strontium ranelate has a role in the treatment of osteoporosis in patients experiencing adverse events characteristic of anti-resorptive therapy (e.g. bone pain, atypical fractures, osteonecrosis of the jaw) due to its different mode of action (promotes bone formation in addition to reducing bone resorption). All current first-line treatment options are anti-resorptives only.</w:t>
      </w:r>
    </w:p>
    <w:p w:rsidR="007A5915" w:rsidRPr="007A5915" w:rsidRDefault="007A5915" w:rsidP="00950DD9">
      <w:pPr>
        <w:pStyle w:val="ListParagraph"/>
        <w:widowControl/>
        <w:rPr>
          <w:szCs w:val="22"/>
        </w:rPr>
      </w:pPr>
    </w:p>
    <w:p w:rsidR="0052056D" w:rsidRPr="00764176" w:rsidRDefault="0052056D" w:rsidP="00950DD9">
      <w:pPr>
        <w:pStyle w:val="ListParagraph"/>
        <w:keepNext/>
        <w:widowControl/>
        <w:numPr>
          <w:ilvl w:val="1"/>
          <w:numId w:val="5"/>
        </w:numPr>
        <w:rPr>
          <w:szCs w:val="22"/>
        </w:rPr>
      </w:pPr>
      <w:r w:rsidRPr="00764176">
        <w:rPr>
          <w:szCs w:val="22"/>
        </w:rPr>
        <w:t>The PSCR</w:t>
      </w:r>
      <w:r w:rsidR="00D4307B" w:rsidRPr="00764176">
        <w:rPr>
          <w:szCs w:val="22"/>
        </w:rPr>
        <w:t xml:space="preserve"> described</w:t>
      </w:r>
      <w:r w:rsidRPr="00764176">
        <w:rPr>
          <w:szCs w:val="22"/>
        </w:rPr>
        <w:t xml:space="preserve"> the patients likely to use strontium</w:t>
      </w:r>
      <w:r w:rsidR="0036281D" w:rsidRPr="00764176">
        <w:rPr>
          <w:szCs w:val="22"/>
        </w:rPr>
        <w:t>:</w:t>
      </w:r>
      <w:r w:rsidRPr="00764176">
        <w:rPr>
          <w:szCs w:val="22"/>
        </w:rPr>
        <w:t xml:space="preserve"> </w:t>
      </w:r>
    </w:p>
    <w:p w:rsidR="0036281D" w:rsidRPr="00764176" w:rsidRDefault="0052056D" w:rsidP="00950DD9">
      <w:pPr>
        <w:pStyle w:val="ListParagraph"/>
        <w:widowControl/>
        <w:numPr>
          <w:ilvl w:val="2"/>
          <w:numId w:val="19"/>
        </w:numPr>
        <w:ind w:left="993" w:hanging="284"/>
        <w:rPr>
          <w:szCs w:val="22"/>
        </w:rPr>
      </w:pPr>
      <w:r w:rsidRPr="00764176">
        <w:rPr>
          <w:szCs w:val="22"/>
        </w:rPr>
        <w:t xml:space="preserve">New patients </w:t>
      </w:r>
      <w:r w:rsidR="0036281D" w:rsidRPr="00764176">
        <w:rPr>
          <w:szCs w:val="22"/>
        </w:rPr>
        <w:t>who are contraindicated, intolerant to all available alternatives, including denosumab, oral and/or intravenous bisphosphonates, and raloxifene.</w:t>
      </w:r>
      <w:r w:rsidRPr="00764176">
        <w:rPr>
          <w:szCs w:val="22"/>
        </w:rPr>
        <w:t xml:space="preserve"> </w:t>
      </w:r>
      <w:r w:rsidR="0036281D" w:rsidRPr="00764176">
        <w:rPr>
          <w:szCs w:val="22"/>
        </w:rPr>
        <w:t xml:space="preserve">‘Based on recent dispensing data, this is a small but important population of </w:t>
      </w:r>
      <w:r w:rsidRPr="00764176">
        <w:rPr>
          <w:szCs w:val="22"/>
        </w:rPr>
        <w:t>approximately 300 patients per month, including around 100 who had received a prev</w:t>
      </w:r>
      <w:r w:rsidR="0036281D" w:rsidRPr="00764176">
        <w:rPr>
          <w:szCs w:val="22"/>
        </w:rPr>
        <w:t>ious treatment for osteoporosis</w:t>
      </w:r>
      <w:r w:rsidRPr="00764176">
        <w:rPr>
          <w:szCs w:val="22"/>
        </w:rPr>
        <w:t>.</w:t>
      </w:r>
      <w:r w:rsidR="0036281D" w:rsidRPr="00764176">
        <w:rPr>
          <w:szCs w:val="22"/>
        </w:rPr>
        <w:t xml:space="preserve"> For these patients, s</w:t>
      </w:r>
      <w:r w:rsidRPr="00764176">
        <w:rPr>
          <w:szCs w:val="22"/>
        </w:rPr>
        <w:t>trontium addresses an otherwise unmet clinical need</w:t>
      </w:r>
      <w:r w:rsidR="0036281D" w:rsidRPr="00764176">
        <w:rPr>
          <w:szCs w:val="22"/>
        </w:rPr>
        <w:t>’</w:t>
      </w:r>
      <w:r w:rsidRPr="00764176">
        <w:rPr>
          <w:szCs w:val="22"/>
        </w:rPr>
        <w:t>.</w:t>
      </w:r>
    </w:p>
    <w:p w:rsidR="00D866D1" w:rsidRPr="00764176" w:rsidRDefault="0036281D" w:rsidP="00950DD9">
      <w:pPr>
        <w:pStyle w:val="ListParagraph"/>
        <w:widowControl/>
        <w:numPr>
          <w:ilvl w:val="2"/>
          <w:numId w:val="19"/>
        </w:numPr>
        <w:ind w:left="993" w:hanging="284"/>
        <w:rPr>
          <w:szCs w:val="22"/>
        </w:rPr>
      </w:pPr>
      <w:r w:rsidRPr="00764176">
        <w:t>‘In the case of the larger population of approximately 10,000 existing patients who are currently receiving and tolerating treatment with strontium the clinical place is more complex. Given the existing PBS restriction, these patients are assumed to be contraindicated or intolerant to at least one but not necessarily all of the available alternative therapies. Although such patients may have other options, it would be clinically inappropriate to force them to switch therapy based on population level data. For these patients, therefore, the clinical need for strontium arises from a continuity of care, within the criteria of the Phone Authority Restricted PBS listing implemented in October 1 2014.’</w:t>
      </w:r>
    </w:p>
    <w:p w:rsidR="005C5555" w:rsidRPr="005C5555" w:rsidRDefault="005C5555" w:rsidP="00950DD9">
      <w:pPr>
        <w:pStyle w:val="ListParagraph"/>
        <w:widowControl/>
        <w:rPr>
          <w:szCs w:val="22"/>
        </w:rPr>
      </w:pPr>
    </w:p>
    <w:p w:rsidR="00D866D1" w:rsidRDefault="00D866D1" w:rsidP="00950DD9">
      <w:pPr>
        <w:pStyle w:val="ListParagraph"/>
        <w:widowControl/>
        <w:numPr>
          <w:ilvl w:val="1"/>
          <w:numId w:val="5"/>
        </w:numPr>
        <w:rPr>
          <w:szCs w:val="22"/>
        </w:rPr>
      </w:pPr>
      <w:r w:rsidRPr="00764176">
        <w:rPr>
          <w:szCs w:val="22"/>
        </w:rPr>
        <w:t>The ESC considered that the indication was unclear</w:t>
      </w:r>
      <w:r w:rsidR="007067D7" w:rsidRPr="00764176">
        <w:rPr>
          <w:szCs w:val="22"/>
        </w:rPr>
        <w:t xml:space="preserve"> and that the submission did not provide sufficient justification of the clinical place and need for this drug</w:t>
      </w:r>
      <w:r w:rsidR="0036281D" w:rsidRPr="00764176">
        <w:rPr>
          <w:szCs w:val="22"/>
        </w:rPr>
        <w:t xml:space="preserve"> for the majority of existing patients</w:t>
      </w:r>
      <w:r w:rsidR="007067D7" w:rsidRPr="00764176">
        <w:rPr>
          <w:szCs w:val="22"/>
        </w:rPr>
        <w:t xml:space="preserve">. </w:t>
      </w:r>
    </w:p>
    <w:p w:rsidR="00C81DFB" w:rsidRDefault="00C81DFB" w:rsidP="00C81DFB">
      <w:pPr>
        <w:widowControl/>
        <w:ind w:left="709"/>
        <w:rPr>
          <w:i/>
          <w:szCs w:val="22"/>
        </w:rPr>
      </w:pPr>
    </w:p>
    <w:p w:rsidR="00C81DFB" w:rsidRPr="005C2E20" w:rsidRDefault="00C81DFB" w:rsidP="00C81DFB">
      <w:pPr>
        <w:pStyle w:val="ListParagraph"/>
        <w:widowControl/>
        <w:numPr>
          <w:ilvl w:val="1"/>
          <w:numId w:val="5"/>
        </w:numPr>
        <w:rPr>
          <w:szCs w:val="22"/>
        </w:rPr>
      </w:pPr>
      <w:r w:rsidRPr="005C2E20">
        <w:rPr>
          <w:szCs w:val="22"/>
        </w:rPr>
        <w:t xml:space="preserve">The pre-PBAC response reiterated the sponsor’s concerns that it would </w:t>
      </w:r>
      <w:r w:rsidRPr="005C2E20">
        <w:t xml:space="preserve">be clinically inappropriate to force existing, stabilised strontium patients to discontinue treatment based on population level data. The </w:t>
      </w:r>
      <w:r w:rsidRPr="005C2E20">
        <w:rPr>
          <w:szCs w:val="22"/>
        </w:rPr>
        <w:t>pre-PBAC response noted the extensive work undertaken in 2013 and 2014 to inform clinicians, through multiple channels, of changes to the strontium TGA product information. The sponsor argued that these initiatives and the resulting impact on strontium utilisation over the past two years indicate that patients who are continuing on treatment are doing so based on an informed benefit-risk assessment on the part of their treating physician.</w:t>
      </w:r>
    </w:p>
    <w:p w:rsidR="00E55BB5" w:rsidRDefault="00E55BB5" w:rsidP="00950DD9">
      <w:pPr>
        <w:pStyle w:val="Header"/>
        <w:widowControl/>
        <w:rPr>
          <w:szCs w:val="22"/>
        </w:rPr>
      </w:pPr>
    </w:p>
    <w:p w:rsidR="00764176" w:rsidRDefault="00764176" w:rsidP="00950DD9">
      <w:pPr>
        <w:pStyle w:val="ListParagraph"/>
        <w:widowControl/>
        <w:ind w:left="709"/>
        <w:rPr>
          <w:i/>
          <w:szCs w:val="22"/>
        </w:rPr>
      </w:pPr>
      <w:r w:rsidRPr="00E05E7A">
        <w:rPr>
          <w:i/>
          <w:szCs w:val="22"/>
        </w:rPr>
        <w:t>For more detail on PBAC’s view, see section 7 “PBAC outcome”</w:t>
      </w:r>
    </w:p>
    <w:p w:rsidR="00335096" w:rsidRDefault="00335096" w:rsidP="00950DD9">
      <w:pPr>
        <w:pStyle w:val="Header"/>
        <w:widowControl/>
        <w:rPr>
          <w:szCs w:val="22"/>
        </w:rPr>
      </w:pPr>
    </w:p>
    <w:p w:rsidR="00B03168" w:rsidRPr="00882085" w:rsidRDefault="00B03168" w:rsidP="00950DD9">
      <w:pPr>
        <w:pStyle w:val="Header"/>
        <w:widowControl/>
        <w:rPr>
          <w:szCs w:val="22"/>
        </w:rPr>
      </w:pPr>
    </w:p>
    <w:p w:rsidR="00B50DB8" w:rsidRPr="008F0E26" w:rsidRDefault="00B50DB8" w:rsidP="00950DD9">
      <w:pPr>
        <w:pStyle w:val="PBACHeading1"/>
        <w:keepNext/>
      </w:pPr>
      <w:bookmarkStart w:id="6" w:name="_Toc419206528"/>
      <w:r w:rsidRPr="00407F2D">
        <w:t>Comparator</w:t>
      </w:r>
      <w:bookmarkEnd w:id="6"/>
    </w:p>
    <w:p w:rsidR="00B60939" w:rsidRPr="00882085" w:rsidRDefault="00B60939" w:rsidP="00950DD9">
      <w:pPr>
        <w:keepNext/>
        <w:widowControl/>
      </w:pPr>
    </w:p>
    <w:p w:rsidR="008555E3" w:rsidRPr="002B33AE" w:rsidRDefault="003D6117" w:rsidP="00950DD9">
      <w:pPr>
        <w:pStyle w:val="ListParagraph"/>
        <w:widowControl/>
        <w:numPr>
          <w:ilvl w:val="1"/>
          <w:numId w:val="5"/>
        </w:numPr>
        <w:rPr>
          <w:szCs w:val="22"/>
        </w:rPr>
      </w:pPr>
      <w:r>
        <w:rPr>
          <w:szCs w:val="22"/>
        </w:rPr>
        <w:t>The submission nominated b</w:t>
      </w:r>
      <w:r w:rsidR="008555E3">
        <w:rPr>
          <w:szCs w:val="22"/>
        </w:rPr>
        <w:t>est supportive care as the primary comparator.</w:t>
      </w:r>
      <w:r w:rsidR="008555E3" w:rsidRPr="002B33AE">
        <w:rPr>
          <w:szCs w:val="22"/>
        </w:rPr>
        <w:t xml:space="preserve"> </w:t>
      </w:r>
      <w:r w:rsidR="005F30D7" w:rsidRPr="002B33AE">
        <w:rPr>
          <w:szCs w:val="22"/>
        </w:rPr>
        <w:t>This was considered</w:t>
      </w:r>
      <w:r w:rsidR="008555E3" w:rsidRPr="002B33AE">
        <w:rPr>
          <w:szCs w:val="22"/>
        </w:rPr>
        <w:t xml:space="preserve"> the appropriate comparator for patients with no other treatment options.</w:t>
      </w:r>
    </w:p>
    <w:p w:rsidR="008555E3" w:rsidRPr="002B33AE" w:rsidRDefault="008555E3" w:rsidP="00950DD9">
      <w:pPr>
        <w:pStyle w:val="ListParagraph"/>
        <w:widowControl/>
        <w:rPr>
          <w:szCs w:val="22"/>
        </w:rPr>
      </w:pPr>
    </w:p>
    <w:p w:rsidR="008555E3" w:rsidRDefault="003D6117" w:rsidP="00950DD9">
      <w:pPr>
        <w:pStyle w:val="ListParagraph"/>
        <w:widowControl/>
        <w:numPr>
          <w:ilvl w:val="1"/>
          <w:numId w:val="5"/>
        </w:numPr>
        <w:rPr>
          <w:szCs w:val="22"/>
        </w:rPr>
      </w:pPr>
      <w:r>
        <w:rPr>
          <w:szCs w:val="22"/>
        </w:rPr>
        <w:t>The submission nominated d</w:t>
      </w:r>
      <w:r w:rsidR="008555E3" w:rsidRPr="002B33AE">
        <w:rPr>
          <w:szCs w:val="22"/>
        </w:rPr>
        <w:t xml:space="preserve">enosumab as a secondary comparator. </w:t>
      </w:r>
      <w:r w:rsidR="005F30D7" w:rsidRPr="002B33AE">
        <w:rPr>
          <w:szCs w:val="22"/>
        </w:rPr>
        <w:t>This was considered</w:t>
      </w:r>
      <w:r w:rsidR="008555E3" w:rsidRPr="002B33AE">
        <w:rPr>
          <w:szCs w:val="22"/>
        </w:rPr>
        <w:t xml:space="preserve"> an appropriate comparator for patients who still have other treatment options. </w:t>
      </w:r>
      <w:r>
        <w:rPr>
          <w:szCs w:val="22"/>
        </w:rPr>
        <w:t>The evaluation considered that o</w:t>
      </w:r>
      <w:r w:rsidR="008555E3" w:rsidRPr="002B33AE">
        <w:rPr>
          <w:szCs w:val="22"/>
        </w:rPr>
        <w:t>ther potential comparators include</w:t>
      </w:r>
      <w:r>
        <w:rPr>
          <w:szCs w:val="22"/>
        </w:rPr>
        <w:t>d</w:t>
      </w:r>
      <w:r w:rsidR="008555E3" w:rsidRPr="002B33AE">
        <w:rPr>
          <w:szCs w:val="22"/>
        </w:rPr>
        <w:t xml:space="preserve"> the oral bisphosphonates (alendronate, risedronate).</w:t>
      </w:r>
    </w:p>
    <w:p w:rsidR="009B04DC" w:rsidRPr="009B04DC" w:rsidRDefault="009B04DC" w:rsidP="00950DD9">
      <w:pPr>
        <w:pStyle w:val="ListParagraph"/>
        <w:widowControl/>
        <w:rPr>
          <w:i/>
          <w:szCs w:val="22"/>
        </w:rPr>
      </w:pPr>
    </w:p>
    <w:p w:rsidR="009B04DC" w:rsidRPr="00764176" w:rsidRDefault="009B04DC" w:rsidP="00950DD9">
      <w:pPr>
        <w:pStyle w:val="ListParagraph"/>
        <w:widowControl/>
        <w:numPr>
          <w:ilvl w:val="1"/>
          <w:numId w:val="5"/>
        </w:numPr>
        <w:rPr>
          <w:szCs w:val="22"/>
        </w:rPr>
      </w:pPr>
      <w:r w:rsidRPr="00764176">
        <w:rPr>
          <w:szCs w:val="22"/>
        </w:rPr>
        <w:t xml:space="preserve">The ESC considered that best supportive care was the appropriate comparator in patients contraindicated or intolerant to </w:t>
      </w:r>
      <w:r w:rsidR="003D6117" w:rsidRPr="00764176">
        <w:rPr>
          <w:szCs w:val="22"/>
        </w:rPr>
        <w:t xml:space="preserve">all </w:t>
      </w:r>
      <w:r w:rsidRPr="00764176">
        <w:rPr>
          <w:szCs w:val="22"/>
        </w:rPr>
        <w:t>other osteoporosis treatments. However, the ESC noted that these patients are</w:t>
      </w:r>
      <w:r w:rsidR="00DC14BE" w:rsidRPr="00764176">
        <w:rPr>
          <w:szCs w:val="22"/>
        </w:rPr>
        <w:t xml:space="preserve"> probably</w:t>
      </w:r>
      <w:r w:rsidRPr="00764176">
        <w:rPr>
          <w:szCs w:val="22"/>
        </w:rPr>
        <w:t xml:space="preserve"> a small proportion of the population currently using strontium ranelate on the PBS.</w:t>
      </w:r>
    </w:p>
    <w:p w:rsidR="00B60939" w:rsidRDefault="00B60939" w:rsidP="00950DD9">
      <w:pPr>
        <w:widowControl/>
        <w:rPr>
          <w:szCs w:val="22"/>
        </w:rPr>
      </w:pPr>
    </w:p>
    <w:p w:rsidR="00764176" w:rsidRDefault="00764176" w:rsidP="00950DD9">
      <w:pPr>
        <w:pStyle w:val="ListParagraph"/>
        <w:widowControl/>
        <w:ind w:left="709"/>
        <w:rPr>
          <w:i/>
          <w:szCs w:val="22"/>
        </w:rPr>
      </w:pPr>
      <w:r w:rsidRPr="00E05E7A">
        <w:rPr>
          <w:i/>
          <w:szCs w:val="22"/>
        </w:rPr>
        <w:t>For more detail on PBAC’s view, see section 7 “PBAC outcome”</w:t>
      </w:r>
    </w:p>
    <w:p w:rsidR="00335096" w:rsidRDefault="00335096" w:rsidP="00950DD9">
      <w:pPr>
        <w:widowControl/>
        <w:rPr>
          <w:szCs w:val="22"/>
        </w:rPr>
      </w:pPr>
    </w:p>
    <w:p w:rsidR="00757049" w:rsidRPr="00DF5D2B" w:rsidRDefault="00757049" w:rsidP="00950DD9">
      <w:pPr>
        <w:widowControl/>
        <w:rPr>
          <w:szCs w:val="22"/>
        </w:rPr>
      </w:pPr>
    </w:p>
    <w:p w:rsidR="00B50DB8" w:rsidRPr="00407F2D" w:rsidRDefault="00BD6CF3" w:rsidP="00950DD9">
      <w:pPr>
        <w:pStyle w:val="PBACHeading1"/>
        <w:keepNext/>
      </w:pPr>
      <w:bookmarkStart w:id="7" w:name="_Toc419206529"/>
      <w:r>
        <w:t>C</w:t>
      </w:r>
      <w:r w:rsidR="00B50DB8" w:rsidRPr="00407F2D">
        <w:t>onsideration of the evidence</w:t>
      </w:r>
      <w:bookmarkEnd w:id="7"/>
    </w:p>
    <w:p w:rsidR="00B60939" w:rsidRDefault="00B60939" w:rsidP="00950DD9">
      <w:pPr>
        <w:keepNext/>
        <w:widowControl/>
      </w:pPr>
    </w:p>
    <w:p w:rsidR="006361B0" w:rsidRPr="005C2E20" w:rsidRDefault="006361B0" w:rsidP="00950DD9">
      <w:pPr>
        <w:widowControl/>
        <w:spacing w:after="200" w:line="276" w:lineRule="auto"/>
        <w:rPr>
          <w:b/>
          <w:bCs/>
          <w:i/>
          <w:szCs w:val="22"/>
        </w:rPr>
      </w:pPr>
      <w:r w:rsidRPr="005C2E20">
        <w:rPr>
          <w:b/>
          <w:bCs/>
          <w:i/>
          <w:szCs w:val="22"/>
        </w:rPr>
        <w:t>Sponsor hearing</w:t>
      </w:r>
    </w:p>
    <w:p w:rsidR="002D7B0A" w:rsidRPr="005C2E20" w:rsidRDefault="006361B0" w:rsidP="00950DD9">
      <w:pPr>
        <w:widowControl/>
        <w:numPr>
          <w:ilvl w:val="1"/>
          <w:numId w:val="5"/>
        </w:numPr>
        <w:contextualSpacing/>
        <w:rPr>
          <w:bCs/>
          <w:szCs w:val="22"/>
        </w:rPr>
      </w:pPr>
      <w:r w:rsidRPr="005C2E20">
        <w:rPr>
          <w:bCs/>
          <w:szCs w:val="22"/>
        </w:rPr>
        <w:t xml:space="preserve">The sponsor requested a hearing for this item.  The clinician presented clinical case studies and discussed how </w:t>
      </w:r>
      <w:r w:rsidR="00C54790" w:rsidRPr="005C2E20">
        <w:rPr>
          <w:bCs/>
          <w:szCs w:val="22"/>
        </w:rPr>
        <w:t>strontium ranelate</w:t>
      </w:r>
      <w:r w:rsidR="002D7B0A" w:rsidRPr="005C2E20">
        <w:rPr>
          <w:bCs/>
          <w:szCs w:val="22"/>
        </w:rPr>
        <w:t xml:space="preserve"> is</w:t>
      </w:r>
      <w:r w:rsidRPr="005C2E20">
        <w:rPr>
          <w:bCs/>
          <w:szCs w:val="22"/>
        </w:rPr>
        <w:t xml:space="preserve"> </w:t>
      </w:r>
      <w:r w:rsidR="007C27A9" w:rsidRPr="005C2E20">
        <w:rPr>
          <w:bCs/>
          <w:szCs w:val="22"/>
        </w:rPr>
        <w:t xml:space="preserve">currently </w:t>
      </w:r>
      <w:r w:rsidRPr="005C2E20">
        <w:rPr>
          <w:bCs/>
          <w:szCs w:val="22"/>
        </w:rPr>
        <w:t>used in practice</w:t>
      </w:r>
      <w:r w:rsidR="002D7B0A" w:rsidRPr="005C2E20">
        <w:rPr>
          <w:bCs/>
          <w:szCs w:val="22"/>
        </w:rPr>
        <w:t xml:space="preserve">. The clinician stated that </w:t>
      </w:r>
      <w:r w:rsidR="00C54790" w:rsidRPr="005C2E20">
        <w:rPr>
          <w:bCs/>
          <w:szCs w:val="22"/>
        </w:rPr>
        <w:t>strontium ranelate</w:t>
      </w:r>
      <w:r w:rsidR="002D7B0A" w:rsidRPr="005C2E20">
        <w:rPr>
          <w:bCs/>
          <w:szCs w:val="22"/>
        </w:rPr>
        <w:t xml:space="preserve"> has a unique mode of action and maintains an important place in clinical therapy for those patients who </w:t>
      </w:r>
      <w:r w:rsidR="00E31E45" w:rsidRPr="005C2E20">
        <w:rPr>
          <w:bCs/>
          <w:szCs w:val="22"/>
        </w:rPr>
        <w:t>are intolerant</w:t>
      </w:r>
      <w:r w:rsidR="002D7B0A" w:rsidRPr="005C2E20">
        <w:rPr>
          <w:bCs/>
          <w:szCs w:val="22"/>
        </w:rPr>
        <w:t xml:space="preserve"> to other available drugs. It was further noted that if </w:t>
      </w:r>
      <w:r w:rsidR="00C54790" w:rsidRPr="005C2E20">
        <w:rPr>
          <w:bCs/>
          <w:szCs w:val="22"/>
        </w:rPr>
        <w:t>strontium ranelate</w:t>
      </w:r>
      <w:r w:rsidR="002D7B0A" w:rsidRPr="005C2E20">
        <w:rPr>
          <w:bCs/>
          <w:szCs w:val="22"/>
        </w:rPr>
        <w:t xml:space="preserve"> was removed from the PBS, there would be some patients for whom no alternative treatment options would exist. The clinician also </w:t>
      </w:r>
      <w:r w:rsidRPr="005C2E20">
        <w:rPr>
          <w:bCs/>
          <w:szCs w:val="22"/>
        </w:rPr>
        <w:t>addressed other matters in response to the Committee’s questions. The PBAC considered that the hearing did not add substantively to the evidence presented in the submission</w:t>
      </w:r>
      <w:r w:rsidR="002D7B0A" w:rsidRPr="005C2E20">
        <w:rPr>
          <w:bCs/>
          <w:szCs w:val="22"/>
        </w:rPr>
        <w:t>.</w:t>
      </w:r>
    </w:p>
    <w:p w:rsidR="006361B0" w:rsidRPr="005C2E20" w:rsidRDefault="006361B0" w:rsidP="00950DD9">
      <w:pPr>
        <w:widowControl/>
        <w:ind w:left="720"/>
        <w:contextualSpacing/>
        <w:rPr>
          <w:bCs/>
          <w:szCs w:val="22"/>
        </w:rPr>
      </w:pPr>
      <w:r w:rsidRPr="005C2E20">
        <w:rPr>
          <w:bCs/>
          <w:szCs w:val="22"/>
        </w:rPr>
        <w:t xml:space="preserve"> </w:t>
      </w:r>
    </w:p>
    <w:p w:rsidR="006361B0" w:rsidRPr="005C2E20" w:rsidRDefault="006361B0" w:rsidP="00950DD9">
      <w:pPr>
        <w:widowControl/>
        <w:spacing w:after="200" w:line="276" w:lineRule="auto"/>
        <w:rPr>
          <w:b/>
          <w:bCs/>
          <w:i/>
          <w:szCs w:val="22"/>
        </w:rPr>
      </w:pPr>
      <w:r w:rsidRPr="005C2E20">
        <w:rPr>
          <w:b/>
          <w:bCs/>
          <w:i/>
          <w:szCs w:val="22"/>
        </w:rPr>
        <w:t>Consumer comments</w:t>
      </w:r>
    </w:p>
    <w:p w:rsidR="006361B0" w:rsidRPr="005C2E20" w:rsidRDefault="006361B0" w:rsidP="00950DD9">
      <w:pPr>
        <w:widowControl/>
        <w:numPr>
          <w:ilvl w:val="1"/>
          <w:numId w:val="5"/>
        </w:numPr>
        <w:contextualSpacing/>
        <w:rPr>
          <w:bCs/>
          <w:szCs w:val="22"/>
        </w:rPr>
      </w:pPr>
      <w:r w:rsidRPr="005C2E20">
        <w:rPr>
          <w:bCs/>
          <w:szCs w:val="22"/>
        </w:rPr>
        <w:t xml:space="preserve">The PBAC noted and welcomed </w:t>
      </w:r>
      <w:r w:rsidR="00362A53" w:rsidRPr="005C2E20">
        <w:rPr>
          <w:bCs/>
          <w:szCs w:val="22"/>
        </w:rPr>
        <w:t>the input from health care professionals (6</w:t>
      </w:r>
      <w:r w:rsidRPr="005C2E20">
        <w:rPr>
          <w:bCs/>
          <w:szCs w:val="22"/>
        </w:rPr>
        <w:t xml:space="preserve">) and </w:t>
      </w:r>
      <w:r w:rsidR="007C27A9" w:rsidRPr="005C2E20">
        <w:rPr>
          <w:bCs/>
          <w:szCs w:val="22"/>
        </w:rPr>
        <w:t xml:space="preserve">an </w:t>
      </w:r>
      <w:r w:rsidRPr="005C2E20">
        <w:rPr>
          <w:bCs/>
          <w:szCs w:val="22"/>
        </w:rPr>
        <w:t>organisation (1) via the Consumer Commen</w:t>
      </w:r>
      <w:r w:rsidR="00E954D4" w:rsidRPr="005C2E20">
        <w:rPr>
          <w:bCs/>
          <w:szCs w:val="22"/>
        </w:rPr>
        <w:t>ts facility on the PBS website.</w:t>
      </w:r>
      <w:r w:rsidRPr="005C2E20">
        <w:rPr>
          <w:bCs/>
          <w:szCs w:val="22"/>
        </w:rPr>
        <w:t xml:space="preserve"> The comments </w:t>
      </w:r>
      <w:r w:rsidR="00CB05E9" w:rsidRPr="005C2E20">
        <w:rPr>
          <w:bCs/>
          <w:szCs w:val="22"/>
        </w:rPr>
        <w:t>supported the retention of strontium ranelate on the PBS for patients with osteoporosis</w:t>
      </w:r>
      <w:r w:rsidR="00997977" w:rsidRPr="005C2E20">
        <w:rPr>
          <w:bCs/>
          <w:szCs w:val="22"/>
        </w:rPr>
        <w:t xml:space="preserve">, without cardiovascular </w:t>
      </w:r>
      <w:r w:rsidR="00997977" w:rsidRPr="005C2E20">
        <w:t>contraindications</w:t>
      </w:r>
      <w:r w:rsidR="00997977" w:rsidRPr="005C2E20">
        <w:rPr>
          <w:bCs/>
          <w:szCs w:val="22"/>
        </w:rPr>
        <w:t>,</w:t>
      </w:r>
      <w:r w:rsidR="00CB05E9" w:rsidRPr="005C2E20">
        <w:rPr>
          <w:bCs/>
          <w:szCs w:val="22"/>
        </w:rPr>
        <w:t xml:space="preserve"> who are unable to use other available treatments</w:t>
      </w:r>
      <w:r w:rsidR="00997977" w:rsidRPr="005C2E20">
        <w:rPr>
          <w:bCs/>
          <w:szCs w:val="22"/>
        </w:rPr>
        <w:t xml:space="preserve"> due to intolerance or concern about adverse events</w:t>
      </w:r>
      <w:r w:rsidR="00CB05E9" w:rsidRPr="005C2E20">
        <w:rPr>
          <w:bCs/>
          <w:szCs w:val="22"/>
        </w:rPr>
        <w:t>.</w:t>
      </w:r>
      <w:r w:rsidR="00997977" w:rsidRPr="005C2E20">
        <w:rPr>
          <w:bCs/>
          <w:szCs w:val="22"/>
        </w:rPr>
        <w:t xml:space="preserve"> </w:t>
      </w:r>
      <w:r w:rsidR="000C7F67" w:rsidRPr="005C2E20">
        <w:rPr>
          <w:bCs/>
          <w:szCs w:val="22"/>
        </w:rPr>
        <w:t xml:space="preserve">The comments noted that there is a continuing role for strontium ranelate and that some patients could be disadvantaged if it </w:t>
      </w:r>
      <w:r w:rsidR="00E954D4" w:rsidRPr="005C2E20">
        <w:rPr>
          <w:bCs/>
          <w:szCs w:val="22"/>
        </w:rPr>
        <w:t>was</w:t>
      </w:r>
      <w:r w:rsidR="000C7F67" w:rsidRPr="005C2E20">
        <w:rPr>
          <w:bCs/>
          <w:szCs w:val="22"/>
        </w:rPr>
        <w:t xml:space="preserve"> removed from the PBS. </w:t>
      </w:r>
    </w:p>
    <w:p w:rsidR="00757049" w:rsidRPr="005C2E20" w:rsidRDefault="00757049" w:rsidP="00950DD9">
      <w:pPr>
        <w:widowControl/>
        <w:ind w:left="720"/>
        <w:contextualSpacing/>
        <w:rPr>
          <w:bCs/>
          <w:szCs w:val="22"/>
        </w:rPr>
      </w:pPr>
    </w:p>
    <w:p w:rsidR="00757049" w:rsidRPr="005C2E20" w:rsidRDefault="00757049" w:rsidP="00950DD9">
      <w:pPr>
        <w:widowControl/>
        <w:numPr>
          <w:ilvl w:val="1"/>
          <w:numId w:val="5"/>
        </w:numPr>
        <w:contextualSpacing/>
        <w:rPr>
          <w:bCs/>
          <w:szCs w:val="22"/>
        </w:rPr>
      </w:pPr>
      <w:r w:rsidRPr="005C2E20">
        <w:rPr>
          <w:bCs/>
          <w:szCs w:val="22"/>
        </w:rPr>
        <w:t xml:space="preserve">The PBAC </w:t>
      </w:r>
      <w:r w:rsidR="009F1C4F" w:rsidRPr="005C2E20">
        <w:rPr>
          <w:bCs/>
          <w:szCs w:val="22"/>
        </w:rPr>
        <w:t xml:space="preserve">noted the advice received from Osteoporosis Australia supporting the continued availability of strontium ranelate on the PBS for patients with osteoporosis who are either </w:t>
      </w:r>
      <w:r w:rsidR="00E954D4" w:rsidRPr="005C2E20">
        <w:rPr>
          <w:bCs/>
          <w:szCs w:val="22"/>
        </w:rPr>
        <w:t xml:space="preserve">currently taking the medication, </w:t>
      </w:r>
      <w:r w:rsidR="009F1C4F" w:rsidRPr="005C2E20">
        <w:rPr>
          <w:bCs/>
          <w:szCs w:val="22"/>
        </w:rPr>
        <w:t xml:space="preserve">or for those patients who </w:t>
      </w:r>
      <w:r w:rsidR="000525F0" w:rsidRPr="005C2E20">
        <w:rPr>
          <w:bCs/>
          <w:szCs w:val="22"/>
        </w:rPr>
        <w:t>are intolerant to other osteoporosis drugs and there is a low risk of cardiovascular disease. The advice also noted that strontium ranelate provides a different mode of administration, as a soluble power, compared with other treatments.</w:t>
      </w:r>
      <w:r w:rsidR="00AF4FDA" w:rsidRPr="005C2E20">
        <w:rPr>
          <w:bCs/>
          <w:szCs w:val="22"/>
        </w:rPr>
        <w:t xml:space="preserve"> The PBAC noted that this advice was supportive of the evidence provided in the submission.</w:t>
      </w:r>
    </w:p>
    <w:p w:rsidR="009F1C4F" w:rsidRPr="00882085" w:rsidRDefault="009F1C4F" w:rsidP="00950DD9">
      <w:pPr>
        <w:keepNext/>
        <w:widowControl/>
      </w:pPr>
    </w:p>
    <w:p w:rsidR="00B60939" w:rsidRPr="002C2775" w:rsidRDefault="00B60939" w:rsidP="00950DD9">
      <w:pPr>
        <w:pStyle w:val="Heading2"/>
        <w:keepNext/>
        <w:widowControl/>
        <w:rPr>
          <w:i/>
        </w:rPr>
      </w:pPr>
      <w:bookmarkStart w:id="8" w:name="_Toc419206530"/>
      <w:r w:rsidRPr="002C2775">
        <w:rPr>
          <w:i/>
        </w:rPr>
        <w:t>Clinical trials</w:t>
      </w:r>
      <w:bookmarkEnd w:id="8"/>
    </w:p>
    <w:p w:rsidR="00B60939" w:rsidRPr="00882085" w:rsidRDefault="00B60939" w:rsidP="00950DD9">
      <w:pPr>
        <w:keepNext/>
        <w:widowControl/>
        <w:rPr>
          <w:szCs w:val="22"/>
        </w:rPr>
      </w:pPr>
    </w:p>
    <w:p w:rsidR="00580315" w:rsidRDefault="00580315" w:rsidP="00950DD9">
      <w:pPr>
        <w:pStyle w:val="ListParagraph"/>
        <w:widowControl/>
        <w:numPr>
          <w:ilvl w:val="1"/>
          <w:numId w:val="5"/>
        </w:numPr>
        <w:rPr>
          <w:szCs w:val="22"/>
        </w:rPr>
      </w:pPr>
      <w:r w:rsidRPr="00580315">
        <w:rPr>
          <w:szCs w:val="22"/>
        </w:rPr>
        <w:t>The submission was based on a series of direct and indirect comparisons between strontium ranelate and nominated comparators:</w:t>
      </w:r>
    </w:p>
    <w:p w:rsidR="00580315" w:rsidRDefault="00580315" w:rsidP="00950DD9">
      <w:pPr>
        <w:pStyle w:val="ListParagraph"/>
        <w:widowControl/>
        <w:numPr>
          <w:ilvl w:val="0"/>
          <w:numId w:val="8"/>
        </w:numPr>
        <w:ind w:left="993" w:hanging="284"/>
        <w:rPr>
          <w:szCs w:val="22"/>
        </w:rPr>
      </w:pPr>
      <w:r w:rsidRPr="00580315">
        <w:rPr>
          <w:szCs w:val="22"/>
        </w:rPr>
        <w:t xml:space="preserve">Direct comparison of fracture outcomes with strontium ranelate vs. placebo in patients with postmenopausal osteoporosis (SOTI, TROPOS). </w:t>
      </w:r>
    </w:p>
    <w:p w:rsidR="00580315" w:rsidRDefault="00580315" w:rsidP="00950DD9">
      <w:pPr>
        <w:pStyle w:val="ListParagraph"/>
        <w:widowControl/>
        <w:numPr>
          <w:ilvl w:val="0"/>
          <w:numId w:val="8"/>
        </w:numPr>
        <w:ind w:left="993" w:hanging="284"/>
        <w:rPr>
          <w:szCs w:val="22"/>
        </w:rPr>
      </w:pPr>
      <w:r w:rsidRPr="00580315">
        <w:rPr>
          <w:szCs w:val="22"/>
        </w:rPr>
        <w:t xml:space="preserve">Direct comparison of BMD outcomes with strontium ranelate vs. placebo in patients with male osteoporosis (MALEO). </w:t>
      </w:r>
    </w:p>
    <w:p w:rsidR="00580315" w:rsidRDefault="00580315" w:rsidP="00950DD9">
      <w:pPr>
        <w:pStyle w:val="ListParagraph"/>
        <w:widowControl/>
        <w:numPr>
          <w:ilvl w:val="0"/>
          <w:numId w:val="8"/>
        </w:numPr>
        <w:ind w:left="993" w:hanging="284"/>
        <w:rPr>
          <w:szCs w:val="22"/>
        </w:rPr>
      </w:pPr>
      <w:r w:rsidRPr="00580315">
        <w:rPr>
          <w:szCs w:val="22"/>
        </w:rPr>
        <w:t xml:space="preserve">Indirect comparison of fracture outcomes with strontium ranelate (SOTI, TROPOS) vs. denosumab (FREEDOM) using a placebo common comparator in patients with postmenopausal osteoporosis. </w:t>
      </w:r>
    </w:p>
    <w:p w:rsidR="00580315" w:rsidRDefault="00580315" w:rsidP="00950DD9">
      <w:pPr>
        <w:pStyle w:val="ListParagraph"/>
        <w:widowControl/>
        <w:numPr>
          <w:ilvl w:val="0"/>
          <w:numId w:val="8"/>
        </w:numPr>
        <w:ind w:left="993" w:hanging="284"/>
        <w:rPr>
          <w:szCs w:val="22"/>
        </w:rPr>
      </w:pPr>
      <w:r w:rsidRPr="00580315">
        <w:rPr>
          <w:szCs w:val="22"/>
        </w:rPr>
        <w:t>Indirect comparison of BMD outcomes with strontium ranelate (MALEO) vs. denosumab (ADAMO) using a placebo common comparator in patients with male osteoporosis</w:t>
      </w:r>
      <w:r w:rsidR="00D065E4">
        <w:rPr>
          <w:szCs w:val="22"/>
        </w:rPr>
        <w:t>.</w:t>
      </w:r>
    </w:p>
    <w:p w:rsidR="00580315" w:rsidRDefault="00580315" w:rsidP="00950DD9">
      <w:pPr>
        <w:widowControl/>
        <w:rPr>
          <w:szCs w:val="22"/>
        </w:rPr>
      </w:pPr>
    </w:p>
    <w:p w:rsidR="00580315" w:rsidRDefault="00901CE2" w:rsidP="00950DD9">
      <w:pPr>
        <w:pStyle w:val="ListParagraph"/>
        <w:widowControl/>
        <w:numPr>
          <w:ilvl w:val="1"/>
          <w:numId w:val="5"/>
        </w:numPr>
        <w:rPr>
          <w:szCs w:val="22"/>
        </w:rPr>
      </w:pPr>
      <w:r>
        <w:rPr>
          <w:szCs w:val="22"/>
        </w:rPr>
        <w:t>Two additional studies (Ringe et al 2010, DIRECT) were considered as supportive evidence</w:t>
      </w:r>
      <w:r w:rsidR="00CA0B8C">
        <w:rPr>
          <w:szCs w:val="22"/>
        </w:rPr>
        <w:t xml:space="preserve"> only </w:t>
      </w:r>
      <w:r>
        <w:rPr>
          <w:szCs w:val="22"/>
        </w:rPr>
        <w:t>during the evaluation.</w:t>
      </w:r>
    </w:p>
    <w:p w:rsidR="00862502" w:rsidRPr="00901CE2" w:rsidRDefault="00862502" w:rsidP="00950DD9">
      <w:pPr>
        <w:widowControl/>
        <w:rPr>
          <w:szCs w:val="22"/>
        </w:rPr>
      </w:pPr>
    </w:p>
    <w:p w:rsidR="00862502" w:rsidRPr="00B50DB8" w:rsidRDefault="00862502" w:rsidP="00950DD9">
      <w:pPr>
        <w:pStyle w:val="ListParagraph"/>
        <w:widowControl/>
        <w:numPr>
          <w:ilvl w:val="1"/>
          <w:numId w:val="5"/>
        </w:numPr>
        <w:rPr>
          <w:szCs w:val="22"/>
        </w:rPr>
      </w:pPr>
      <w:r w:rsidRPr="00B50DB8">
        <w:rPr>
          <w:szCs w:val="22"/>
        </w:rPr>
        <w:t>Details of the trials presented in the submission ar</w:t>
      </w:r>
      <w:r w:rsidR="00901CE2">
        <w:rPr>
          <w:szCs w:val="22"/>
        </w:rPr>
        <w:t xml:space="preserve">e provided in the table below. </w:t>
      </w:r>
    </w:p>
    <w:p w:rsidR="00862502" w:rsidRDefault="00862502" w:rsidP="00950DD9">
      <w:pPr>
        <w:widowControl/>
        <w:rPr>
          <w:szCs w:val="22"/>
        </w:rPr>
      </w:pPr>
    </w:p>
    <w:p w:rsidR="00901CE2" w:rsidRPr="00E161DB" w:rsidRDefault="00901CE2" w:rsidP="00950DD9">
      <w:pPr>
        <w:keepNext/>
        <w:widowControl/>
        <w:ind w:firstLine="720"/>
        <w:rPr>
          <w:rFonts w:ascii="Arial Narrow" w:hAnsi="Arial Narrow"/>
          <w:b/>
          <w:sz w:val="20"/>
        </w:rPr>
      </w:pPr>
      <w:r>
        <w:rPr>
          <w:rFonts w:ascii="Arial Narrow" w:hAnsi="Arial Narrow"/>
          <w:b/>
          <w:sz w:val="20"/>
        </w:rPr>
        <w:t>Table 1</w:t>
      </w:r>
      <w:r w:rsidRPr="00BE7415">
        <w:rPr>
          <w:rFonts w:ascii="Arial Narrow" w:hAnsi="Arial Narrow"/>
          <w:b/>
          <w:sz w:val="20"/>
        </w:rPr>
        <w:t>:</w:t>
      </w:r>
      <w:r w:rsidRPr="00E161DB">
        <w:rPr>
          <w:rFonts w:ascii="Arial Narrow" w:hAnsi="Arial Narrow"/>
          <w:b/>
          <w:sz w:val="20"/>
        </w:rPr>
        <w:t xml:space="preserve"> Trials </w:t>
      </w:r>
      <w:r>
        <w:rPr>
          <w:rFonts w:ascii="Arial Narrow" w:hAnsi="Arial Narrow"/>
          <w:b/>
          <w:sz w:val="20"/>
        </w:rPr>
        <w:t>and associated reports included</w:t>
      </w:r>
      <w:r w:rsidRPr="00E161DB">
        <w:rPr>
          <w:rFonts w:ascii="Arial Narrow" w:hAnsi="Arial Narrow"/>
          <w:b/>
          <w:sz w:val="20"/>
        </w:rPr>
        <w:t xml:space="preserve"> in the submission</w:t>
      </w:r>
    </w:p>
    <w:tbl>
      <w:tblPr>
        <w:tblStyle w:val="TableGrid"/>
        <w:tblW w:w="0" w:type="auto"/>
        <w:tblInd w:w="822" w:type="dxa"/>
        <w:tblLayout w:type="fixed"/>
        <w:tblLook w:val="04A0" w:firstRow="1" w:lastRow="0" w:firstColumn="1" w:lastColumn="0" w:noHBand="0" w:noVBand="1"/>
        <w:tblCaption w:val="Table 1: Trials and associated reports included in the submission"/>
        <w:tblDescription w:val="The table shows the trials and associated reports included in the submission"/>
      </w:tblPr>
      <w:tblGrid>
        <w:gridCol w:w="1129"/>
        <w:gridCol w:w="4890"/>
        <w:gridCol w:w="2324"/>
      </w:tblGrid>
      <w:tr w:rsidR="00901CE2" w:rsidRPr="002858F4" w:rsidTr="008B2A7F">
        <w:trPr>
          <w:cantSplit/>
          <w:tblHeader/>
        </w:trPr>
        <w:tc>
          <w:tcPr>
            <w:tcW w:w="1129" w:type="dxa"/>
            <w:vAlign w:val="center"/>
          </w:tcPr>
          <w:p w:rsidR="00901CE2" w:rsidRPr="002858F4" w:rsidRDefault="00901CE2" w:rsidP="00950DD9">
            <w:pPr>
              <w:keepNext/>
              <w:widowControl/>
              <w:rPr>
                <w:rFonts w:ascii="Arial Narrow" w:hAnsi="Arial Narrow"/>
                <w:b/>
                <w:sz w:val="20"/>
              </w:rPr>
            </w:pPr>
            <w:r w:rsidRPr="002858F4">
              <w:rPr>
                <w:rFonts w:ascii="Arial Narrow" w:hAnsi="Arial Narrow"/>
                <w:b/>
                <w:sz w:val="20"/>
              </w:rPr>
              <w:t>Trial ID</w:t>
            </w:r>
          </w:p>
        </w:tc>
        <w:tc>
          <w:tcPr>
            <w:tcW w:w="4890" w:type="dxa"/>
            <w:vAlign w:val="center"/>
          </w:tcPr>
          <w:p w:rsidR="00901CE2" w:rsidRPr="002858F4" w:rsidRDefault="00901CE2" w:rsidP="00950DD9">
            <w:pPr>
              <w:keepNext/>
              <w:widowControl/>
              <w:jc w:val="center"/>
              <w:rPr>
                <w:rFonts w:ascii="Arial Narrow" w:hAnsi="Arial Narrow"/>
                <w:b/>
                <w:sz w:val="20"/>
              </w:rPr>
            </w:pPr>
            <w:r w:rsidRPr="002858F4">
              <w:rPr>
                <w:rFonts w:ascii="Arial Narrow" w:hAnsi="Arial Narrow"/>
                <w:b/>
                <w:sz w:val="20"/>
              </w:rPr>
              <w:t xml:space="preserve">Protocol title/ </w:t>
            </w:r>
            <w:r w:rsidR="00FF23FA">
              <w:rPr>
                <w:rFonts w:ascii="Arial Narrow" w:hAnsi="Arial Narrow"/>
                <w:b/>
                <w:sz w:val="20"/>
              </w:rPr>
              <w:t>Key p</w:t>
            </w:r>
            <w:r w:rsidRPr="002858F4">
              <w:rPr>
                <w:rFonts w:ascii="Arial Narrow" w:hAnsi="Arial Narrow"/>
                <w:b/>
                <w:sz w:val="20"/>
              </w:rPr>
              <w:t>ublication title</w:t>
            </w:r>
          </w:p>
        </w:tc>
        <w:tc>
          <w:tcPr>
            <w:tcW w:w="2324" w:type="dxa"/>
            <w:vAlign w:val="center"/>
          </w:tcPr>
          <w:p w:rsidR="00901CE2" w:rsidRPr="002858F4" w:rsidRDefault="00901CE2" w:rsidP="00950DD9">
            <w:pPr>
              <w:keepNext/>
              <w:widowControl/>
              <w:jc w:val="center"/>
              <w:rPr>
                <w:rFonts w:ascii="Arial Narrow" w:hAnsi="Arial Narrow"/>
                <w:b/>
                <w:sz w:val="20"/>
              </w:rPr>
            </w:pPr>
            <w:r w:rsidRPr="002858F4">
              <w:rPr>
                <w:rFonts w:ascii="Arial Narrow" w:hAnsi="Arial Narrow"/>
                <w:b/>
                <w:sz w:val="20"/>
              </w:rPr>
              <w:t>Publication citation</w:t>
            </w:r>
          </w:p>
        </w:tc>
      </w:tr>
      <w:tr w:rsidR="00901CE2" w:rsidRPr="002858F4" w:rsidTr="008B2A7F">
        <w:trPr>
          <w:cantSplit/>
        </w:trPr>
        <w:tc>
          <w:tcPr>
            <w:tcW w:w="8343" w:type="dxa"/>
            <w:gridSpan w:val="3"/>
            <w:vAlign w:val="center"/>
          </w:tcPr>
          <w:p w:rsidR="00901CE2" w:rsidRPr="00ED0086" w:rsidRDefault="00901CE2" w:rsidP="00950DD9">
            <w:pPr>
              <w:keepNext/>
              <w:widowControl/>
              <w:jc w:val="left"/>
              <w:rPr>
                <w:rFonts w:ascii="Arial Narrow" w:hAnsi="Arial Narrow"/>
                <w:b/>
                <w:sz w:val="20"/>
              </w:rPr>
            </w:pPr>
            <w:r>
              <w:rPr>
                <w:rFonts w:ascii="Arial Narrow" w:hAnsi="Arial Narrow"/>
                <w:b/>
                <w:sz w:val="20"/>
              </w:rPr>
              <w:t>Strontium ranelate</w:t>
            </w:r>
            <w:r w:rsidRPr="00ED0086">
              <w:rPr>
                <w:rFonts w:ascii="Arial Narrow" w:hAnsi="Arial Narrow"/>
                <w:b/>
                <w:sz w:val="20"/>
              </w:rPr>
              <w:t xml:space="preserve"> trials</w:t>
            </w:r>
          </w:p>
        </w:tc>
      </w:tr>
      <w:tr w:rsidR="00901CE2" w:rsidRPr="002858F4" w:rsidTr="008B2A7F">
        <w:trPr>
          <w:cantSplit/>
        </w:trPr>
        <w:tc>
          <w:tcPr>
            <w:tcW w:w="1129" w:type="dxa"/>
            <w:vMerge w:val="restart"/>
            <w:vAlign w:val="center"/>
          </w:tcPr>
          <w:p w:rsidR="00901CE2" w:rsidRDefault="00901CE2" w:rsidP="00950DD9">
            <w:pPr>
              <w:widowControl/>
              <w:rPr>
                <w:rFonts w:ascii="Arial Narrow" w:hAnsi="Arial Narrow"/>
                <w:color w:val="000000"/>
                <w:sz w:val="20"/>
              </w:rPr>
            </w:pPr>
            <w:r>
              <w:rPr>
                <w:rFonts w:ascii="Arial Narrow" w:hAnsi="Arial Narrow"/>
                <w:color w:val="000000"/>
                <w:sz w:val="20"/>
              </w:rPr>
              <w:t>NP08338</w:t>
            </w:r>
          </w:p>
          <w:p w:rsidR="00901CE2" w:rsidRPr="002858F4" w:rsidRDefault="00901CE2" w:rsidP="00950DD9">
            <w:pPr>
              <w:widowControl/>
              <w:rPr>
                <w:rFonts w:ascii="Arial Narrow" w:hAnsi="Arial Narrow"/>
                <w:color w:val="000000"/>
                <w:sz w:val="20"/>
              </w:rPr>
            </w:pPr>
            <w:r>
              <w:rPr>
                <w:rFonts w:ascii="Arial Narrow" w:hAnsi="Arial Narrow"/>
                <w:color w:val="000000"/>
                <w:sz w:val="20"/>
              </w:rPr>
              <w:t>(SOTI)</w:t>
            </w:r>
          </w:p>
        </w:tc>
        <w:tc>
          <w:tcPr>
            <w:tcW w:w="4890" w:type="dxa"/>
            <w:vAlign w:val="center"/>
          </w:tcPr>
          <w:p w:rsidR="00901CE2" w:rsidRDefault="00901CE2" w:rsidP="00950DD9">
            <w:pPr>
              <w:widowControl/>
              <w:rPr>
                <w:rFonts w:ascii="Arial Narrow" w:hAnsi="Arial Narrow"/>
                <w:sz w:val="20"/>
              </w:rPr>
            </w:pPr>
            <w:r>
              <w:rPr>
                <w:rFonts w:ascii="Arial Narrow" w:hAnsi="Arial Narrow"/>
                <w:sz w:val="20"/>
              </w:rPr>
              <w:t xml:space="preserve">Servier Clinical Study Report (2003). </w:t>
            </w:r>
            <w:r w:rsidRPr="005312CD">
              <w:rPr>
                <w:rFonts w:ascii="Arial Narrow" w:hAnsi="Arial Narrow"/>
                <w:sz w:val="20"/>
              </w:rPr>
              <w:t xml:space="preserve">SOTI: Spinal Osteoporosis Therapeutic Intervention. </w:t>
            </w:r>
            <w:r w:rsidRPr="007A1509">
              <w:rPr>
                <w:rFonts w:ascii="Arial Narrow" w:hAnsi="Arial Narrow"/>
                <w:sz w:val="20"/>
              </w:rPr>
              <w:t>The effects of a three-year oral administration of S12911 on the incidence of new vertebral fractures in osteoporotic postmenopausal women. A multicentre controlled study</w:t>
            </w:r>
            <w:r>
              <w:rPr>
                <w:rFonts w:ascii="Arial Narrow" w:hAnsi="Arial Narrow"/>
                <w:sz w:val="20"/>
              </w:rPr>
              <w:t xml:space="preserve"> </w:t>
            </w:r>
          </w:p>
        </w:tc>
        <w:tc>
          <w:tcPr>
            <w:tcW w:w="2324" w:type="dxa"/>
            <w:vAlign w:val="center"/>
          </w:tcPr>
          <w:p w:rsidR="00901CE2" w:rsidRDefault="00901CE2" w:rsidP="00950DD9">
            <w:pPr>
              <w:widowControl/>
              <w:jc w:val="left"/>
              <w:rPr>
                <w:rFonts w:ascii="Arial Narrow" w:hAnsi="Arial Narrow"/>
                <w:sz w:val="20"/>
              </w:rPr>
            </w:pPr>
            <w:r>
              <w:rPr>
                <w:rFonts w:ascii="Arial Narrow" w:hAnsi="Arial Narrow"/>
                <w:sz w:val="20"/>
              </w:rPr>
              <w:t>Internal study report</w:t>
            </w:r>
          </w:p>
        </w:tc>
      </w:tr>
      <w:tr w:rsidR="00901CE2" w:rsidRPr="002858F4" w:rsidTr="008B2A7F">
        <w:trPr>
          <w:cantSplit/>
        </w:trPr>
        <w:tc>
          <w:tcPr>
            <w:tcW w:w="1129" w:type="dxa"/>
            <w:vMerge/>
            <w:vAlign w:val="center"/>
          </w:tcPr>
          <w:p w:rsidR="00901CE2" w:rsidRPr="00CF74C2" w:rsidRDefault="00901CE2" w:rsidP="00950DD9">
            <w:pPr>
              <w:widowControl/>
              <w:rPr>
                <w:rFonts w:ascii="Arial Narrow" w:hAnsi="Arial Narrow"/>
                <w:color w:val="000000"/>
                <w:sz w:val="20"/>
              </w:rPr>
            </w:pPr>
          </w:p>
        </w:tc>
        <w:tc>
          <w:tcPr>
            <w:tcW w:w="4890" w:type="dxa"/>
            <w:vAlign w:val="center"/>
          </w:tcPr>
          <w:p w:rsidR="00901CE2" w:rsidRDefault="00901CE2" w:rsidP="00950DD9">
            <w:pPr>
              <w:widowControl/>
              <w:rPr>
                <w:rFonts w:ascii="Arial Narrow" w:hAnsi="Arial Narrow"/>
                <w:sz w:val="20"/>
              </w:rPr>
            </w:pPr>
            <w:r>
              <w:rPr>
                <w:rFonts w:ascii="Arial Narrow" w:hAnsi="Arial Narrow"/>
                <w:sz w:val="20"/>
              </w:rPr>
              <w:t>Servier Clinical Study Report (2006). S</w:t>
            </w:r>
            <w:r w:rsidRPr="005312CD">
              <w:rPr>
                <w:rFonts w:ascii="Arial Narrow" w:hAnsi="Arial Narrow"/>
                <w:sz w:val="20"/>
              </w:rPr>
              <w:t xml:space="preserve">OTI: Spinal Osteoporosis Therapeutic Intervention. </w:t>
            </w:r>
            <w:r>
              <w:rPr>
                <w:rFonts w:ascii="Arial Narrow" w:hAnsi="Arial Narrow"/>
                <w:sz w:val="20"/>
              </w:rPr>
              <w:t>The effects of a four</w:t>
            </w:r>
            <w:r w:rsidRPr="007A1509">
              <w:rPr>
                <w:rFonts w:ascii="Arial Narrow" w:hAnsi="Arial Narrow"/>
                <w:sz w:val="20"/>
              </w:rPr>
              <w:t>-year oral administration of S12911 on the incidence of new vertebral fractures in osteoporotic postmenopausal women. A multicentre controlled study</w:t>
            </w:r>
            <w:r>
              <w:rPr>
                <w:rFonts w:ascii="Arial Narrow" w:hAnsi="Arial Narrow"/>
                <w:sz w:val="20"/>
              </w:rPr>
              <w:t>. Fifth year of the study, after treatment switch</w:t>
            </w:r>
          </w:p>
        </w:tc>
        <w:tc>
          <w:tcPr>
            <w:tcW w:w="2324" w:type="dxa"/>
            <w:vAlign w:val="center"/>
          </w:tcPr>
          <w:p w:rsidR="00901CE2" w:rsidRDefault="00901CE2" w:rsidP="00950DD9">
            <w:pPr>
              <w:widowControl/>
              <w:jc w:val="left"/>
              <w:rPr>
                <w:rFonts w:ascii="Arial Narrow" w:hAnsi="Arial Narrow"/>
                <w:sz w:val="20"/>
              </w:rPr>
            </w:pPr>
            <w:r>
              <w:rPr>
                <w:rFonts w:ascii="Arial Narrow" w:hAnsi="Arial Narrow"/>
                <w:sz w:val="20"/>
              </w:rPr>
              <w:t>Internal study report</w:t>
            </w:r>
          </w:p>
        </w:tc>
      </w:tr>
      <w:tr w:rsidR="00901CE2" w:rsidRPr="002858F4" w:rsidTr="008B2A7F">
        <w:trPr>
          <w:cantSplit/>
        </w:trPr>
        <w:tc>
          <w:tcPr>
            <w:tcW w:w="1129" w:type="dxa"/>
            <w:vMerge/>
            <w:vAlign w:val="center"/>
          </w:tcPr>
          <w:p w:rsidR="00901CE2" w:rsidRPr="00CF74C2" w:rsidRDefault="00901CE2" w:rsidP="00950DD9">
            <w:pPr>
              <w:widowControl/>
              <w:rPr>
                <w:rFonts w:ascii="Arial Narrow" w:hAnsi="Arial Narrow"/>
                <w:color w:val="000000"/>
                <w:sz w:val="20"/>
              </w:rPr>
            </w:pPr>
          </w:p>
        </w:tc>
        <w:tc>
          <w:tcPr>
            <w:tcW w:w="4890" w:type="dxa"/>
            <w:vAlign w:val="center"/>
          </w:tcPr>
          <w:p w:rsidR="00901CE2" w:rsidRDefault="00FF23FA" w:rsidP="00950DD9">
            <w:pPr>
              <w:widowControl/>
              <w:rPr>
                <w:rFonts w:ascii="Arial Narrow" w:hAnsi="Arial Narrow"/>
                <w:sz w:val="20"/>
              </w:rPr>
            </w:pPr>
            <w:r w:rsidRPr="00FF23FA">
              <w:rPr>
                <w:rFonts w:ascii="Arial Narrow" w:hAnsi="Arial Narrow"/>
                <w:b/>
                <w:sz w:val="20"/>
              </w:rPr>
              <w:t>Key publication</w:t>
            </w:r>
            <w:r>
              <w:rPr>
                <w:rFonts w:ascii="Arial Narrow" w:hAnsi="Arial Narrow"/>
                <w:sz w:val="20"/>
              </w:rPr>
              <w:t xml:space="preserve">: </w:t>
            </w:r>
            <w:r w:rsidR="00901CE2">
              <w:rPr>
                <w:rFonts w:ascii="Arial Narrow" w:hAnsi="Arial Narrow"/>
                <w:sz w:val="20"/>
              </w:rPr>
              <w:t>Meunier et al (2004). The Effects of Strontium Ranelate on the Risk of Vertebral Fracture in Women with Postmenopausal Osteoporosis</w:t>
            </w:r>
          </w:p>
        </w:tc>
        <w:tc>
          <w:tcPr>
            <w:tcW w:w="2324" w:type="dxa"/>
            <w:vAlign w:val="center"/>
          </w:tcPr>
          <w:p w:rsidR="00901CE2" w:rsidRDefault="00901CE2" w:rsidP="00950DD9">
            <w:pPr>
              <w:widowControl/>
              <w:jc w:val="left"/>
              <w:rPr>
                <w:rFonts w:ascii="Arial Narrow" w:hAnsi="Arial Narrow"/>
                <w:sz w:val="20"/>
              </w:rPr>
            </w:pPr>
            <w:r>
              <w:rPr>
                <w:rFonts w:ascii="Arial Narrow" w:hAnsi="Arial Narrow"/>
                <w:sz w:val="20"/>
              </w:rPr>
              <w:t>New England Journal of Medicine 350: 459-468</w:t>
            </w:r>
          </w:p>
        </w:tc>
      </w:tr>
      <w:tr w:rsidR="00901CE2" w:rsidRPr="002858F4" w:rsidTr="008B2A7F">
        <w:trPr>
          <w:cantSplit/>
        </w:trPr>
        <w:tc>
          <w:tcPr>
            <w:tcW w:w="1129" w:type="dxa"/>
            <w:vMerge w:val="restart"/>
            <w:vAlign w:val="center"/>
          </w:tcPr>
          <w:p w:rsidR="00901CE2" w:rsidRDefault="00901CE2" w:rsidP="00950DD9">
            <w:pPr>
              <w:widowControl/>
              <w:rPr>
                <w:rFonts w:ascii="Arial Narrow" w:hAnsi="Arial Narrow"/>
                <w:sz w:val="20"/>
              </w:rPr>
            </w:pPr>
            <w:r>
              <w:rPr>
                <w:rFonts w:ascii="Arial Narrow" w:hAnsi="Arial Narrow"/>
                <w:sz w:val="20"/>
              </w:rPr>
              <w:t>NP08340</w:t>
            </w:r>
          </w:p>
          <w:p w:rsidR="00901CE2" w:rsidRPr="002858F4" w:rsidRDefault="00901CE2" w:rsidP="00950DD9">
            <w:pPr>
              <w:widowControl/>
              <w:rPr>
                <w:rFonts w:ascii="Arial Narrow" w:hAnsi="Arial Narrow"/>
                <w:sz w:val="20"/>
              </w:rPr>
            </w:pPr>
            <w:r>
              <w:rPr>
                <w:rFonts w:ascii="Arial Narrow" w:hAnsi="Arial Narrow"/>
                <w:sz w:val="20"/>
              </w:rPr>
              <w:t>(TROPOS)</w:t>
            </w:r>
          </w:p>
        </w:tc>
        <w:tc>
          <w:tcPr>
            <w:tcW w:w="4890" w:type="dxa"/>
            <w:vAlign w:val="center"/>
          </w:tcPr>
          <w:p w:rsidR="00901CE2" w:rsidRPr="002858F4" w:rsidRDefault="00901CE2" w:rsidP="00950DD9">
            <w:pPr>
              <w:widowControl/>
              <w:rPr>
                <w:rFonts w:ascii="Arial Narrow" w:hAnsi="Arial Narrow"/>
                <w:sz w:val="20"/>
              </w:rPr>
            </w:pPr>
            <w:r>
              <w:rPr>
                <w:rFonts w:ascii="Arial Narrow" w:hAnsi="Arial Narrow"/>
                <w:sz w:val="20"/>
              </w:rPr>
              <w:t xml:space="preserve">Servier Clinical Study Report (2003). </w:t>
            </w:r>
            <w:r w:rsidRPr="00842EDA">
              <w:rPr>
                <w:rFonts w:ascii="Arial Narrow" w:hAnsi="Arial Narrow"/>
                <w:sz w:val="20"/>
              </w:rPr>
              <w:t>TROPOS: Treatment of Peripheral Osteoporosis. The effects of a three-year oral administration of S12911 on the incidence of peripheral fractures in osteoporotic postmenopausal women. A multicentre controlled study.</w:t>
            </w:r>
          </w:p>
        </w:tc>
        <w:tc>
          <w:tcPr>
            <w:tcW w:w="2324" w:type="dxa"/>
            <w:vAlign w:val="center"/>
          </w:tcPr>
          <w:p w:rsidR="00901CE2" w:rsidRPr="002858F4" w:rsidRDefault="00901CE2" w:rsidP="00950DD9">
            <w:pPr>
              <w:widowControl/>
              <w:jc w:val="left"/>
              <w:rPr>
                <w:rFonts w:ascii="Arial Narrow" w:hAnsi="Arial Narrow"/>
                <w:sz w:val="20"/>
              </w:rPr>
            </w:pPr>
            <w:r>
              <w:rPr>
                <w:rFonts w:ascii="Arial Narrow" w:hAnsi="Arial Narrow"/>
                <w:sz w:val="20"/>
              </w:rPr>
              <w:t>Internal study report</w:t>
            </w:r>
          </w:p>
        </w:tc>
      </w:tr>
      <w:tr w:rsidR="00901CE2" w:rsidRPr="002858F4" w:rsidTr="008B2A7F">
        <w:trPr>
          <w:cantSplit/>
        </w:trPr>
        <w:tc>
          <w:tcPr>
            <w:tcW w:w="1129" w:type="dxa"/>
            <w:vMerge/>
            <w:vAlign w:val="center"/>
          </w:tcPr>
          <w:p w:rsidR="00901CE2" w:rsidRPr="00CF74C2" w:rsidRDefault="00901CE2" w:rsidP="00950DD9">
            <w:pPr>
              <w:widowControl/>
              <w:rPr>
                <w:rFonts w:ascii="Arial Narrow" w:hAnsi="Arial Narrow"/>
                <w:sz w:val="20"/>
              </w:rPr>
            </w:pPr>
          </w:p>
        </w:tc>
        <w:tc>
          <w:tcPr>
            <w:tcW w:w="4890" w:type="dxa"/>
            <w:vAlign w:val="center"/>
          </w:tcPr>
          <w:p w:rsidR="00901CE2" w:rsidRDefault="00901CE2" w:rsidP="00950DD9">
            <w:pPr>
              <w:widowControl/>
              <w:rPr>
                <w:rFonts w:ascii="Arial Narrow" w:hAnsi="Arial Narrow"/>
                <w:sz w:val="20"/>
              </w:rPr>
            </w:pPr>
            <w:r>
              <w:rPr>
                <w:rFonts w:ascii="Arial Narrow" w:hAnsi="Arial Narrow"/>
                <w:sz w:val="20"/>
              </w:rPr>
              <w:t>Servier Clinical Study Report (2006). The effects of a five</w:t>
            </w:r>
            <w:r w:rsidRPr="00842EDA">
              <w:rPr>
                <w:rFonts w:ascii="Arial Narrow" w:hAnsi="Arial Narrow"/>
                <w:sz w:val="20"/>
              </w:rPr>
              <w:t>-year oral administration of S12911 on the incidence of peripheral fractures in osteoporotic postmenopausal women. A multicentre controlled study.</w:t>
            </w:r>
            <w:r>
              <w:rPr>
                <w:rFonts w:ascii="Arial Narrow" w:hAnsi="Arial Narrow"/>
                <w:sz w:val="20"/>
              </w:rPr>
              <w:t xml:space="preserve"> Fifth year of the study</w:t>
            </w:r>
          </w:p>
        </w:tc>
        <w:tc>
          <w:tcPr>
            <w:tcW w:w="2324" w:type="dxa"/>
            <w:vAlign w:val="center"/>
          </w:tcPr>
          <w:p w:rsidR="00901CE2" w:rsidRDefault="00901CE2" w:rsidP="00950DD9">
            <w:pPr>
              <w:widowControl/>
              <w:jc w:val="left"/>
              <w:rPr>
                <w:rFonts w:ascii="Arial Narrow" w:hAnsi="Arial Narrow"/>
                <w:sz w:val="20"/>
              </w:rPr>
            </w:pPr>
            <w:r>
              <w:rPr>
                <w:rFonts w:ascii="Arial Narrow" w:hAnsi="Arial Narrow"/>
                <w:sz w:val="20"/>
              </w:rPr>
              <w:t>Internal study report</w:t>
            </w:r>
          </w:p>
        </w:tc>
      </w:tr>
      <w:tr w:rsidR="00901CE2" w:rsidRPr="002858F4" w:rsidTr="008B2A7F">
        <w:trPr>
          <w:cantSplit/>
        </w:trPr>
        <w:tc>
          <w:tcPr>
            <w:tcW w:w="1129" w:type="dxa"/>
            <w:vMerge/>
            <w:vAlign w:val="center"/>
          </w:tcPr>
          <w:p w:rsidR="00901CE2" w:rsidRPr="00CF74C2" w:rsidRDefault="00901CE2" w:rsidP="00950DD9">
            <w:pPr>
              <w:widowControl/>
              <w:rPr>
                <w:rFonts w:ascii="Arial Narrow" w:hAnsi="Arial Narrow"/>
                <w:sz w:val="20"/>
              </w:rPr>
            </w:pPr>
          </w:p>
        </w:tc>
        <w:tc>
          <w:tcPr>
            <w:tcW w:w="4890" w:type="dxa"/>
            <w:vAlign w:val="center"/>
          </w:tcPr>
          <w:p w:rsidR="00901CE2" w:rsidRDefault="00FF23FA" w:rsidP="00950DD9">
            <w:pPr>
              <w:widowControl/>
              <w:rPr>
                <w:rFonts w:ascii="Arial Narrow" w:hAnsi="Arial Narrow"/>
                <w:sz w:val="20"/>
              </w:rPr>
            </w:pPr>
            <w:r w:rsidRPr="00FF23FA">
              <w:rPr>
                <w:rFonts w:ascii="Arial Narrow" w:hAnsi="Arial Narrow"/>
                <w:b/>
                <w:sz w:val="20"/>
              </w:rPr>
              <w:t>Key publication</w:t>
            </w:r>
            <w:r>
              <w:rPr>
                <w:rFonts w:ascii="Arial Narrow" w:hAnsi="Arial Narrow"/>
                <w:sz w:val="20"/>
              </w:rPr>
              <w:t xml:space="preserve">: </w:t>
            </w:r>
            <w:r w:rsidR="00901CE2">
              <w:rPr>
                <w:rFonts w:ascii="Arial Narrow" w:hAnsi="Arial Narrow"/>
                <w:sz w:val="20"/>
              </w:rPr>
              <w:t>Reginster et al (2005). Strontium Ranelate Reduces the Risk of Nonvertebral Fractures in Postmenopausal Women with Osteoporosis: Treatment of Peripheral Osteoporosis (TROPOS) Study</w:t>
            </w:r>
          </w:p>
        </w:tc>
        <w:tc>
          <w:tcPr>
            <w:tcW w:w="2324" w:type="dxa"/>
            <w:vAlign w:val="center"/>
          </w:tcPr>
          <w:p w:rsidR="00901CE2" w:rsidRDefault="00901CE2" w:rsidP="00950DD9">
            <w:pPr>
              <w:widowControl/>
              <w:jc w:val="left"/>
              <w:rPr>
                <w:rFonts w:ascii="Arial Narrow" w:hAnsi="Arial Narrow"/>
                <w:sz w:val="20"/>
              </w:rPr>
            </w:pPr>
            <w:r>
              <w:rPr>
                <w:rFonts w:ascii="Arial Narrow" w:hAnsi="Arial Narrow"/>
                <w:sz w:val="20"/>
              </w:rPr>
              <w:t>Journal of Clinical Endocrinology and Metabolism 90: 2816-2822</w:t>
            </w:r>
          </w:p>
        </w:tc>
      </w:tr>
      <w:tr w:rsidR="00A37D3E" w:rsidRPr="002858F4" w:rsidTr="008B2A7F">
        <w:trPr>
          <w:cantSplit/>
        </w:trPr>
        <w:tc>
          <w:tcPr>
            <w:tcW w:w="1129" w:type="dxa"/>
            <w:vMerge w:val="restart"/>
            <w:vAlign w:val="center"/>
          </w:tcPr>
          <w:p w:rsidR="00A37D3E" w:rsidRDefault="00A37D3E" w:rsidP="00950DD9">
            <w:pPr>
              <w:widowControl/>
              <w:rPr>
                <w:rFonts w:ascii="Arial Narrow" w:hAnsi="Arial Narrow"/>
                <w:sz w:val="20"/>
              </w:rPr>
            </w:pPr>
            <w:r>
              <w:rPr>
                <w:rFonts w:ascii="Arial Narrow" w:hAnsi="Arial Narrow"/>
                <w:sz w:val="20"/>
              </w:rPr>
              <w:t>SOTI/</w:t>
            </w:r>
          </w:p>
          <w:p w:rsidR="00A37D3E" w:rsidRPr="002858F4" w:rsidRDefault="00A37D3E" w:rsidP="00950DD9">
            <w:pPr>
              <w:widowControl/>
              <w:rPr>
                <w:rFonts w:ascii="Arial Narrow" w:hAnsi="Arial Narrow"/>
                <w:sz w:val="20"/>
              </w:rPr>
            </w:pPr>
            <w:r>
              <w:rPr>
                <w:rFonts w:ascii="Arial Narrow" w:hAnsi="Arial Narrow"/>
                <w:sz w:val="20"/>
              </w:rPr>
              <w:t>TROPOS</w:t>
            </w:r>
          </w:p>
        </w:tc>
        <w:tc>
          <w:tcPr>
            <w:tcW w:w="4890" w:type="dxa"/>
            <w:vAlign w:val="center"/>
          </w:tcPr>
          <w:p w:rsidR="00A37D3E" w:rsidRPr="002858F4" w:rsidRDefault="00A37D3E" w:rsidP="00950DD9">
            <w:pPr>
              <w:widowControl/>
              <w:rPr>
                <w:rFonts w:ascii="Arial Narrow" w:hAnsi="Arial Narrow"/>
                <w:sz w:val="20"/>
              </w:rPr>
            </w:pPr>
            <w:r>
              <w:rPr>
                <w:rFonts w:ascii="Arial Narrow" w:hAnsi="Arial Narrow"/>
                <w:sz w:val="20"/>
              </w:rPr>
              <w:t xml:space="preserve">Kanis et al (2011). A meta-analysis of the effect of strontium ranelate on the risk of vertebral and non-vertebral fracture in postmenopausal osteoporosis and the interaction with FRAX. </w:t>
            </w:r>
          </w:p>
        </w:tc>
        <w:tc>
          <w:tcPr>
            <w:tcW w:w="2324" w:type="dxa"/>
            <w:vAlign w:val="center"/>
          </w:tcPr>
          <w:p w:rsidR="00A37D3E" w:rsidRPr="002858F4" w:rsidRDefault="00A37D3E" w:rsidP="00950DD9">
            <w:pPr>
              <w:widowControl/>
              <w:jc w:val="left"/>
              <w:rPr>
                <w:rFonts w:ascii="Arial Narrow" w:hAnsi="Arial Narrow"/>
                <w:sz w:val="20"/>
              </w:rPr>
            </w:pPr>
            <w:r>
              <w:rPr>
                <w:rFonts w:ascii="Arial Narrow" w:hAnsi="Arial Narrow"/>
                <w:sz w:val="20"/>
              </w:rPr>
              <w:t>Osteoporosis International 22: 2347-2355</w:t>
            </w:r>
          </w:p>
        </w:tc>
      </w:tr>
      <w:tr w:rsidR="00A37D3E" w:rsidRPr="002858F4" w:rsidTr="008B2A7F">
        <w:trPr>
          <w:cantSplit/>
        </w:trPr>
        <w:tc>
          <w:tcPr>
            <w:tcW w:w="1129" w:type="dxa"/>
            <w:vMerge/>
            <w:vAlign w:val="center"/>
          </w:tcPr>
          <w:p w:rsidR="00A37D3E" w:rsidRDefault="00A37D3E" w:rsidP="00950DD9">
            <w:pPr>
              <w:widowControl/>
              <w:rPr>
                <w:rFonts w:ascii="Arial Narrow" w:hAnsi="Arial Narrow"/>
                <w:sz w:val="20"/>
              </w:rPr>
            </w:pPr>
          </w:p>
        </w:tc>
        <w:tc>
          <w:tcPr>
            <w:tcW w:w="4890" w:type="dxa"/>
            <w:vAlign w:val="center"/>
          </w:tcPr>
          <w:p w:rsidR="00A37D3E" w:rsidRDefault="00A37D3E" w:rsidP="00950DD9">
            <w:pPr>
              <w:widowControl/>
              <w:rPr>
                <w:rFonts w:ascii="Arial Narrow" w:hAnsi="Arial Narrow"/>
                <w:sz w:val="20"/>
              </w:rPr>
            </w:pPr>
            <w:r>
              <w:rPr>
                <w:rFonts w:ascii="Arial Narrow" w:hAnsi="Arial Narrow"/>
                <w:sz w:val="20"/>
              </w:rPr>
              <w:t>Reginster et al (2012). Maintenance of Antifracture Efficacy over 10 Years with Strontium Ranelate in Postmenopausal Osteoporosis</w:t>
            </w:r>
          </w:p>
        </w:tc>
        <w:tc>
          <w:tcPr>
            <w:tcW w:w="2324" w:type="dxa"/>
            <w:vAlign w:val="center"/>
          </w:tcPr>
          <w:p w:rsidR="00A37D3E" w:rsidRDefault="00A37D3E" w:rsidP="00950DD9">
            <w:pPr>
              <w:widowControl/>
              <w:jc w:val="left"/>
              <w:rPr>
                <w:rFonts w:ascii="Arial Narrow" w:hAnsi="Arial Narrow"/>
                <w:sz w:val="20"/>
              </w:rPr>
            </w:pPr>
            <w:r>
              <w:rPr>
                <w:rFonts w:ascii="Arial Narrow" w:hAnsi="Arial Narrow"/>
                <w:sz w:val="20"/>
              </w:rPr>
              <w:t>Osteoporosis International 23: 1115-1122</w:t>
            </w:r>
          </w:p>
        </w:tc>
      </w:tr>
      <w:tr w:rsidR="00A37D3E" w:rsidRPr="002858F4" w:rsidTr="008B2A7F">
        <w:trPr>
          <w:cantSplit/>
        </w:trPr>
        <w:tc>
          <w:tcPr>
            <w:tcW w:w="1129" w:type="dxa"/>
            <w:vMerge/>
            <w:vAlign w:val="center"/>
          </w:tcPr>
          <w:p w:rsidR="00A37D3E" w:rsidRDefault="00A37D3E" w:rsidP="00950DD9">
            <w:pPr>
              <w:widowControl/>
              <w:rPr>
                <w:rFonts w:ascii="Arial Narrow" w:hAnsi="Arial Narrow"/>
                <w:sz w:val="20"/>
              </w:rPr>
            </w:pPr>
          </w:p>
        </w:tc>
        <w:tc>
          <w:tcPr>
            <w:tcW w:w="4890" w:type="dxa"/>
            <w:vAlign w:val="center"/>
          </w:tcPr>
          <w:p w:rsidR="00A37D3E" w:rsidRPr="00FF23FA" w:rsidRDefault="00A37D3E" w:rsidP="00950DD9">
            <w:pPr>
              <w:widowControl/>
              <w:rPr>
                <w:rFonts w:ascii="Arial Narrow" w:hAnsi="Arial Narrow"/>
                <w:sz w:val="20"/>
              </w:rPr>
            </w:pPr>
            <w:r>
              <w:rPr>
                <w:rFonts w:ascii="Arial Narrow" w:hAnsi="Arial Narrow"/>
                <w:sz w:val="20"/>
              </w:rPr>
              <w:t>Kanis et al (2013). A meta-analysis of the effect o</w:t>
            </w:r>
            <w:r w:rsidRPr="00FF23FA">
              <w:rPr>
                <w:rFonts w:ascii="Arial Narrow" w:hAnsi="Arial Narrow"/>
                <w:sz w:val="20"/>
              </w:rPr>
              <w:t>f strontium ranelate on the risk</w:t>
            </w:r>
            <w:r>
              <w:rPr>
                <w:rFonts w:ascii="Arial Narrow" w:hAnsi="Arial Narrow"/>
                <w:sz w:val="20"/>
              </w:rPr>
              <w:t xml:space="preserve"> </w:t>
            </w:r>
            <w:r w:rsidRPr="00FF23FA">
              <w:rPr>
                <w:rFonts w:ascii="Arial Narrow" w:hAnsi="Arial Narrow"/>
                <w:sz w:val="20"/>
              </w:rPr>
              <w:t>of vertebral and non-vertebral fracture in postmenopausal</w:t>
            </w:r>
          </w:p>
          <w:p w:rsidR="00A37D3E" w:rsidRDefault="00A37D3E" w:rsidP="00950DD9">
            <w:pPr>
              <w:widowControl/>
              <w:rPr>
                <w:rFonts w:ascii="Arial Narrow" w:hAnsi="Arial Narrow"/>
                <w:sz w:val="20"/>
              </w:rPr>
            </w:pPr>
            <w:r w:rsidRPr="00FF23FA">
              <w:rPr>
                <w:rFonts w:ascii="Arial Narrow" w:hAnsi="Arial Narrow"/>
                <w:sz w:val="20"/>
              </w:rPr>
              <w:t>osteoporosis and the interaction with FRAX</w:t>
            </w:r>
            <w:r>
              <w:rPr>
                <w:rFonts w:ascii="Arial Narrow" w:hAnsi="Arial Narrow"/>
                <w:sz w:val="20"/>
              </w:rPr>
              <w:t>: A multivariate analysis to ex</w:t>
            </w:r>
            <w:r w:rsidRPr="00FF23FA">
              <w:rPr>
                <w:rFonts w:ascii="Arial Narrow" w:hAnsi="Arial Narrow"/>
                <w:sz w:val="20"/>
              </w:rPr>
              <w:t>amine the impact of severe</w:t>
            </w:r>
            <w:r>
              <w:rPr>
                <w:rFonts w:ascii="Arial Narrow" w:hAnsi="Arial Narrow"/>
                <w:sz w:val="20"/>
              </w:rPr>
              <w:t xml:space="preserve"> </w:t>
            </w:r>
            <w:r w:rsidRPr="00FF23FA">
              <w:rPr>
                <w:rFonts w:ascii="Arial Narrow" w:hAnsi="Arial Narrow"/>
                <w:sz w:val="20"/>
              </w:rPr>
              <w:t>osteoporosis and contraindications</w:t>
            </w:r>
          </w:p>
        </w:tc>
        <w:tc>
          <w:tcPr>
            <w:tcW w:w="2324" w:type="dxa"/>
            <w:vAlign w:val="center"/>
          </w:tcPr>
          <w:p w:rsidR="00A37D3E" w:rsidRDefault="00A37D3E" w:rsidP="00950DD9">
            <w:pPr>
              <w:widowControl/>
              <w:jc w:val="left"/>
              <w:rPr>
                <w:rFonts w:ascii="Arial Narrow" w:hAnsi="Arial Narrow"/>
                <w:sz w:val="20"/>
              </w:rPr>
            </w:pPr>
            <w:r>
              <w:rPr>
                <w:rFonts w:ascii="Arial Narrow" w:hAnsi="Arial Narrow"/>
                <w:sz w:val="20"/>
              </w:rPr>
              <w:t>Confidential report</w:t>
            </w:r>
            <w:r w:rsidR="00E30264">
              <w:rPr>
                <w:rFonts w:ascii="Arial Narrow" w:hAnsi="Arial Narrow"/>
                <w:sz w:val="20"/>
              </w:rPr>
              <w:t xml:space="preserve"> </w:t>
            </w:r>
            <w:r>
              <w:rPr>
                <w:rFonts w:ascii="Arial Narrow" w:hAnsi="Arial Narrow"/>
                <w:sz w:val="20"/>
              </w:rPr>
              <w:t>(part of sponsor’s response to EMA)</w:t>
            </w:r>
          </w:p>
        </w:tc>
      </w:tr>
      <w:tr w:rsidR="00A37D3E" w:rsidRPr="002858F4" w:rsidTr="008B2A7F">
        <w:trPr>
          <w:cantSplit/>
        </w:trPr>
        <w:tc>
          <w:tcPr>
            <w:tcW w:w="1129" w:type="dxa"/>
            <w:vMerge w:val="restart"/>
            <w:vAlign w:val="center"/>
          </w:tcPr>
          <w:p w:rsidR="00A37D3E" w:rsidRDefault="00A37D3E" w:rsidP="00950DD9">
            <w:pPr>
              <w:widowControl/>
              <w:jc w:val="left"/>
              <w:rPr>
                <w:rFonts w:ascii="Arial Narrow" w:hAnsi="Arial Narrow"/>
                <w:sz w:val="20"/>
              </w:rPr>
            </w:pPr>
            <w:r>
              <w:rPr>
                <w:rFonts w:ascii="Arial Narrow" w:hAnsi="Arial Narrow"/>
                <w:sz w:val="20"/>
              </w:rPr>
              <w:t>NP29799</w:t>
            </w:r>
          </w:p>
          <w:p w:rsidR="00A37D3E" w:rsidRPr="00CF23B0" w:rsidRDefault="00A37D3E" w:rsidP="00950DD9">
            <w:pPr>
              <w:widowControl/>
              <w:jc w:val="left"/>
              <w:rPr>
                <w:rFonts w:ascii="Arial Narrow" w:hAnsi="Arial Narrow"/>
                <w:sz w:val="20"/>
              </w:rPr>
            </w:pPr>
            <w:r>
              <w:rPr>
                <w:rFonts w:ascii="Arial Narrow" w:hAnsi="Arial Narrow"/>
                <w:sz w:val="20"/>
              </w:rPr>
              <w:t>(MALEO)</w:t>
            </w:r>
          </w:p>
        </w:tc>
        <w:tc>
          <w:tcPr>
            <w:tcW w:w="4890" w:type="dxa"/>
            <w:vAlign w:val="center"/>
          </w:tcPr>
          <w:p w:rsidR="00A37D3E" w:rsidRDefault="00A37D3E" w:rsidP="00950DD9">
            <w:pPr>
              <w:widowControl/>
              <w:rPr>
                <w:rFonts w:ascii="Arial Narrow" w:hAnsi="Arial Narrow"/>
                <w:sz w:val="20"/>
              </w:rPr>
            </w:pPr>
            <w:r>
              <w:rPr>
                <w:rFonts w:ascii="Arial Narrow" w:hAnsi="Arial Narrow"/>
                <w:sz w:val="20"/>
              </w:rPr>
              <w:t xml:space="preserve">Servier Clinical Study Report (2010). </w:t>
            </w:r>
            <w:r w:rsidRPr="00AD0B4A">
              <w:rPr>
                <w:rFonts w:ascii="Arial Narrow" w:hAnsi="Arial Narrow"/>
                <w:sz w:val="20"/>
              </w:rPr>
              <w:t>The efficacy and safety of 2g strontium ranelate in the treatment of male osteoporosis.</w:t>
            </w:r>
            <w:r>
              <w:rPr>
                <w:rFonts w:ascii="Arial Narrow" w:hAnsi="Arial Narrow"/>
                <w:sz w:val="20"/>
              </w:rPr>
              <w:t xml:space="preserve"> First year of study</w:t>
            </w:r>
          </w:p>
        </w:tc>
        <w:tc>
          <w:tcPr>
            <w:tcW w:w="2324" w:type="dxa"/>
            <w:vAlign w:val="center"/>
          </w:tcPr>
          <w:p w:rsidR="00A37D3E" w:rsidRDefault="00A37D3E" w:rsidP="00950DD9">
            <w:pPr>
              <w:widowControl/>
              <w:jc w:val="left"/>
              <w:rPr>
                <w:rFonts w:ascii="Arial Narrow" w:hAnsi="Arial Narrow"/>
                <w:sz w:val="20"/>
              </w:rPr>
            </w:pPr>
            <w:r>
              <w:rPr>
                <w:rFonts w:ascii="Arial Narrow" w:hAnsi="Arial Narrow"/>
                <w:sz w:val="20"/>
              </w:rPr>
              <w:t>Internal study report</w:t>
            </w:r>
          </w:p>
        </w:tc>
      </w:tr>
      <w:tr w:rsidR="00A37D3E" w:rsidRPr="002858F4" w:rsidTr="008B2A7F">
        <w:trPr>
          <w:cantSplit/>
        </w:trPr>
        <w:tc>
          <w:tcPr>
            <w:tcW w:w="1129" w:type="dxa"/>
            <w:vMerge/>
            <w:vAlign w:val="center"/>
          </w:tcPr>
          <w:p w:rsidR="00A37D3E" w:rsidRDefault="00A37D3E" w:rsidP="00950DD9">
            <w:pPr>
              <w:widowControl/>
              <w:rPr>
                <w:rFonts w:ascii="Arial Narrow" w:hAnsi="Arial Narrow"/>
                <w:sz w:val="20"/>
              </w:rPr>
            </w:pPr>
          </w:p>
        </w:tc>
        <w:tc>
          <w:tcPr>
            <w:tcW w:w="4890" w:type="dxa"/>
            <w:vAlign w:val="center"/>
          </w:tcPr>
          <w:p w:rsidR="00A37D3E" w:rsidRDefault="00A37D3E" w:rsidP="00950DD9">
            <w:pPr>
              <w:widowControl/>
              <w:rPr>
                <w:rFonts w:ascii="Arial Narrow" w:hAnsi="Arial Narrow"/>
                <w:sz w:val="20"/>
              </w:rPr>
            </w:pPr>
            <w:r w:rsidRPr="00FF23FA">
              <w:rPr>
                <w:rFonts w:ascii="Arial Narrow" w:hAnsi="Arial Narrow"/>
                <w:b/>
                <w:sz w:val="20"/>
              </w:rPr>
              <w:t>Key publication.</w:t>
            </w:r>
            <w:r>
              <w:rPr>
                <w:rFonts w:ascii="Arial Narrow" w:hAnsi="Arial Narrow"/>
                <w:sz w:val="20"/>
              </w:rPr>
              <w:t xml:space="preserve"> Kaufman et al (2013). Efficacy and Safety of Strontium Ranelate in the Treatment of Osteoporosis in Men</w:t>
            </w:r>
          </w:p>
        </w:tc>
        <w:tc>
          <w:tcPr>
            <w:tcW w:w="2324" w:type="dxa"/>
            <w:vAlign w:val="center"/>
          </w:tcPr>
          <w:p w:rsidR="00A37D3E" w:rsidRDefault="00A37D3E" w:rsidP="00950DD9">
            <w:pPr>
              <w:widowControl/>
              <w:jc w:val="left"/>
              <w:rPr>
                <w:rFonts w:ascii="Arial Narrow" w:hAnsi="Arial Narrow"/>
                <w:sz w:val="20"/>
              </w:rPr>
            </w:pPr>
            <w:r>
              <w:rPr>
                <w:rFonts w:ascii="Arial Narrow" w:hAnsi="Arial Narrow"/>
                <w:sz w:val="20"/>
              </w:rPr>
              <w:t>Journal of Clinical Endocrinology and Metabolism 98: 592-601</w:t>
            </w:r>
          </w:p>
        </w:tc>
      </w:tr>
      <w:tr w:rsidR="00A37D3E" w:rsidRPr="002858F4" w:rsidTr="008B2A7F">
        <w:trPr>
          <w:cantSplit/>
        </w:trPr>
        <w:tc>
          <w:tcPr>
            <w:tcW w:w="1129" w:type="dxa"/>
            <w:vAlign w:val="center"/>
          </w:tcPr>
          <w:p w:rsidR="00A37D3E" w:rsidRDefault="00A37D3E" w:rsidP="00950DD9">
            <w:pPr>
              <w:widowControl/>
              <w:rPr>
                <w:rFonts w:ascii="Arial Narrow" w:hAnsi="Arial Narrow"/>
                <w:sz w:val="20"/>
              </w:rPr>
            </w:pPr>
            <w:r>
              <w:rPr>
                <w:rFonts w:ascii="Arial Narrow" w:hAnsi="Arial Narrow"/>
                <w:sz w:val="20"/>
              </w:rPr>
              <w:t xml:space="preserve">Ringe </w:t>
            </w:r>
          </w:p>
          <w:p w:rsidR="00A37D3E" w:rsidRDefault="00A37D3E" w:rsidP="00950DD9">
            <w:pPr>
              <w:widowControl/>
              <w:rPr>
                <w:rFonts w:ascii="Arial Narrow" w:hAnsi="Arial Narrow"/>
                <w:sz w:val="20"/>
              </w:rPr>
            </w:pPr>
            <w:r>
              <w:rPr>
                <w:rFonts w:ascii="Arial Narrow" w:hAnsi="Arial Narrow"/>
                <w:sz w:val="20"/>
              </w:rPr>
              <w:t>(2010)</w:t>
            </w:r>
          </w:p>
        </w:tc>
        <w:tc>
          <w:tcPr>
            <w:tcW w:w="4890" w:type="dxa"/>
            <w:vAlign w:val="center"/>
          </w:tcPr>
          <w:p w:rsidR="00A37D3E" w:rsidRDefault="00A37D3E" w:rsidP="00950DD9">
            <w:pPr>
              <w:widowControl/>
              <w:rPr>
                <w:rFonts w:ascii="Arial Narrow" w:hAnsi="Arial Narrow"/>
                <w:sz w:val="20"/>
              </w:rPr>
            </w:pPr>
            <w:r w:rsidRPr="00A37D3E">
              <w:rPr>
                <w:rFonts w:ascii="Arial Narrow" w:hAnsi="Arial Narrow"/>
                <w:b/>
                <w:sz w:val="20"/>
              </w:rPr>
              <w:t>Key publication</w:t>
            </w:r>
            <w:r>
              <w:rPr>
                <w:rFonts w:ascii="Arial Narrow" w:hAnsi="Arial Narrow"/>
                <w:sz w:val="20"/>
              </w:rPr>
              <w:t>. Ringe et al (2010). Efficacy of Strontium Ranelate on Bone Mineral Density in Men with Osteoporosis</w:t>
            </w:r>
          </w:p>
        </w:tc>
        <w:tc>
          <w:tcPr>
            <w:tcW w:w="2324" w:type="dxa"/>
            <w:vAlign w:val="center"/>
          </w:tcPr>
          <w:p w:rsidR="00A37D3E" w:rsidRDefault="00A37D3E" w:rsidP="00950DD9">
            <w:pPr>
              <w:widowControl/>
              <w:jc w:val="left"/>
              <w:rPr>
                <w:rFonts w:ascii="Arial Narrow" w:hAnsi="Arial Narrow"/>
                <w:sz w:val="20"/>
              </w:rPr>
            </w:pPr>
            <w:r w:rsidRPr="00ED0086">
              <w:rPr>
                <w:rFonts w:ascii="Arial Narrow" w:hAnsi="Arial Narrow"/>
                <w:sz w:val="20"/>
              </w:rPr>
              <w:t>Arzneimittelforschung</w:t>
            </w:r>
            <w:r>
              <w:rPr>
                <w:rFonts w:ascii="Arial Narrow" w:hAnsi="Arial Narrow"/>
                <w:sz w:val="20"/>
              </w:rPr>
              <w:t xml:space="preserve"> 60: 267-272</w:t>
            </w:r>
          </w:p>
        </w:tc>
      </w:tr>
      <w:tr w:rsidR="00A37D3E" w:rsidRPr="002858F4" w:rsidTr="008B2A7F">
        <w:trPr>
          <w:cantSplit/>
        </w:trPr>
        <w:tc>
          <w:tcPr>
            <w:tcW w:w="8343" w:type="dxa"/>
            <w:gridSpan w:val="3"/>
            <w:vAlign w:val="center"/>
          </w:tcPr>
          <w:p w:rsidR="00A37D3E" w:rsidRPr="00ED0086" w:rsidRDefault="00A37D3E" w:rsidP="001A42B2">
            <w:pPr>
              <w:keepNext/>
              <w:widowControl/>
              <w:jc w:val="left"/>
              <w:rPr>
                <w:rFonts w:ascii="Arial Narrow" w:hAnsi="Arial Narrow"/>
                <w:b/>
                <w:sz w:val="20"/>
              </w:rPr>
            </w:pPr>
            <w:r>
              <w:rPr>
                <w:rFonts w:ascii="Arial Narrow" w:hAnsi="Arial Narrow"/>
                <w:b/>
                <w:sz w:val="20"/>
              </w:rPr>
              <w:t>Denosumab</w:t>
            </w:r>
            <w:r w:rsidRPr="00ED0086">
              <w:rPr>
                <w:rFonts w:ascii="Arial Narrow" w:hAnsi="Arial Narrow"/>
                <w:b/>
                <w:sz w:val="20"/>
              </w:rPr>
              <w:t xml:space="preserve"> trials</w:t>
            </w:r>
          </w:p>
        </w:tc>
      </w:tr>
      <w:tr w:rsidR="00A37D3E" w:rsidRPr="002858F4" w:rsidTr="008B2A7F">
        <w:trPr>
          <w:cantSplit/>
        </w:trPr>
        <w:tc>
          <w:tcPr>
            <w:tcW w:w="1129" w:type="dxa"/>
            <w:vAlign w:val="center"/>
          </w:tcPr>
          <w:p w:rsidR="00A37D3E" w:rsidRPr="00B82758" w:rsidRDefault="00A37D3E" w:rsidP="00950DD9">
            <w:pPr>
              <w:widowControl/>
              <w:rPr>
                <w:rFonts w:ascii="Arial Narrow" w:hAnsi="Arial Narrow"/>
                <w:sz w:val="20"/>
              </w:rPr>
            </w:pPr>
            <w:r>
              <w:rPr>
                <w:rFonts w:ascii="Arial Narrow" w:hAnsi="Arial Narrow"/>
                <w:sz w:val="20"/>
              </w:rPr>
              <w:t>FREEDOM</w:t>
            </w:r>
          </w:p>
        </w:tc>
        <w:tc>
          <w:tcPr>
            <w:tcW w:w="4890" w:type="dxa"/>
            <w:vAlign w:val="center"/>
          </w:tcPr>
          <w:p w:rsidR="00A37D3E" w:rsidRDefault="00A37D3E" w:rsidP="00950DD9">
            <w:pPr>
              <w:widowControl/>
              <w:rPr>
                <w:rFonts w:ascii="Arial Narrow" w:hAnsi="Arial Narrow"/>
                <w:sz w:val="20"/>
              </w:rPr>
            </w:pPr>
            <w:r w:rsidRPr="00A37D3E">
              <w:rPr>
                <w:rFonts w:ascii="Arial Narrow" w:hAnsi="Arial Narrow"/>
                <w:b/>
                <w:sz w:val="20"/>
              </w:rPr>
              <w:t>Key publication</w:t>
            </w:r>
            <w:r>
              <w:rPr>
                <w:rFonts w:ascii="Arial Narrow" w:hAnsi="Arial Narrow"/>
                <w:sz w:val="20"/>
              </w:rPr>
              <w:t>. Cummings et al (2009). Denosumab for the Prevention of Fractures in Postmenopausal Women with Osteoporosis</w:t>
            </w:r>
          </w:p>
        </w:tc>
        <w:tc>
          <w:tcPr>
            <w:tcW w:w="2324" w:type="dxa"/>
            <w:vAlign w:val="center"/>
          </w:tcPr>
          <w:p w:rsidR="00A37D3E" w:rsidRPr="00ED0086" w:rsidRDefault="00A37D3E" w:rsidP="00950DD9">
            <w:pPr>
              <w:widowControl/>
              <w:jc w:val="left"/>
              <w:rPr>
                <w:rFonts w:ascii="Arial Narrow" w:hAnsi="Arial Narrow"/>
                <w:sz w:val="20"/>
              </w:rPr>
            </w:pPr>
            <w:r>
              <w:rPr>
                <w:rFonts w:ascii="Arial Narrow" w:hAnsi="Arial Narrow"/>
                <w:sz w:val="20"/>
              </w:rPr>
              <w:t>New England Journal of Medicine 361: 756-765</w:t>
            </w:r>
          </w:p>
        </w:tc>
      </w:tr>
      <w:tr w:rsidR="00A37D3E" w:rsidRPr="002858F4" w:rsidTr="008B2A7F">
        <w:trPr>
          <w:cantSplit/>
        </w:trPr>
        <w:tc>
          <w:tcPr>
            <w:tcW w:w="1129" w:type="dxa"/>
            <w:vAlign w:val="center"/>
          </w:tcPr>
          <w:p w:rsidR="00A37D3E" w:rsidRDefault="00A37D3E" w:rsidP="00950DD9">
            <w:pPr>
              <w:widowControl/>
              <w:rPr>
                <w:rFonts w:ascii="Arial Narrow" w:hAnsi="Arial Narrow"/>
                <w:sz w:val="20"/>
              </w:rPr>
            </w:pPr>
            <w:r>
              <w:rPr>
                <w:rFonts w:ascii="Arial Narrow" w:hAnsi="Arial Narrow"/>
                <w:sz w:val="20"/>
              </w:rPr>
              <w:t>ADAMO</w:t>
            </w:r>
          </w:p>
        </w:tc>
        <w:tc>
          <w:tcPr>
            <w:tcW w:w="4890" w:type="dxa"/>
            <w:vAlign w:val="center"/>
          </w:tcPr>
          <w:p w:rsidR="00A37D3E" w:rsidRDefault="00A37D3E" w:rsidP="00950DD9">
            <w:pPr>
              <w:widowControl/>
              <w:rPr>
                <w:rFonts w:ascii="Arial Narrow" w:hAnsi="Arial Narrow"/>
                <w:sz w:val="20"/>
              </w:rPr>
            </w:pPr>
            <w:r w:rsidRPr="00A37D3E">
              <w:rPr>
                <w:rFonts w:ascii="Arial Narrow" w:hAnsi="Arial Narrow"/>
                <w:b/>
                <w:sz w:val="20"/>
              </w:rPr>
              <w:t>Key publication</w:t>
            </w:r>
            <w:r>
              <w:rPr>
                <w:rFonts w:ascii="Arial Narrow" w:hAnsi="Arial Narrow"/>
                <w:sz w:val="20"/>
              </w:rPr>
              <w:t>. Orwoll et al (2012). A Randomized, Placebo-Controlled Study of the Effects of Denosumab for the Treatment of Men with Low Bone Mineral Density</w:t>
            </w:r>
          </w:p>
        </w:tc>
        <w:tc>
          <w:tcPr>
            <w:tcW w:w="2324" w:type="dxa"/>
            <w:vAlign w:val="center"/>
          </w:tcPr>
          <w:p w:rsidR="00A37D3E" w:rsidRDefault="00A37D3E" w:rsidP="00950DD9">
            <w:pPr>
              <w:widowControl/>
              <w:jc w:val="left"/>
              <w:rPr>
                <w:rFonts w:ascii="Arial Narrow" w:hAnsi="Arial Narrow"/>
                <w:sz w:val="20"/>
              </w:rPr>
            </w:pPr>
            <w:r>
              <w:rPr>
                <w:rFonts w:ascii="Arial Narrow" w:hAnsi="Arial Narrow"/>
                <w:sz w:val="20"/>
              </w:rPr>
              <w:t>Journal of Clinical Endocrinology and Metabolism 97: 3161-3169</w:t>
            </w:r>
          </w:p>
        </w:tc>
      </w:tr>
      <w:tr w:rsidR="00A37D3E" w:rsidRPr="002858F4" w:rsidTr="008B2A7F">
        <w:trPr>
          <w:cantSplit/>
        </w:trPr>
        <w:tc>
          <w:tcPr>
            <w:tcW w:w="1129" w:type="dxa"/>
            <w:vAlign w:val="center"/>
          </w:tcPr>
          <w:p w:rsidR="00A37D3E" w:rsidRDefault="00A37D3E" w:rsidP="00950DD9">
            <w:pPr>
              <w:widowControl/>
              <w:rPr>
                <w:rFonts w:ascii="Arial Narrow" w:hAnsi="Arial Narrow"/>
                <w:sz w:val="20"/>
              </w:rPr>
            </w:pPr>
            <w:r>
              <w:rPr>
                <w:rFonts w:ascii="Arial Narrow" w:hAnsi="Arial Narrow"/>
                <w:sz w:val="20"/>
              </w:rPr>
              <w:t>DIRECT</w:t>
            </w:r>
          </w:p>
        </w:tc>
        <w:tc>
          <w:tcPr>
            <w:tcW w:w="4890" w:type="dxa"/>
            <w:vAlign w:val="center"/>
          </w:tcPr>
          <w:p w:rsidR="00A37D3E" w:rsidRDefault="00A37D3E" w:rsidP="00950DD9">
            <w:pPr>
              <w:widowControl/>
              <w:rPr>
                <w:rFonts w:ascii="Arial Narrow" w:hAnsi="Arial Narrow"/>
                <w:sz w:val="20"/>
              </w:rPr>
            </w:pPr>
            <w:r w:rsidRPr="00A37D3E">
              <w:rPr>
                <w:rFonts w:ascii="Arial Narrow" w:hAnsi="Arial Narrow"/>
                <w:b/>
                <w:sz w:val="20"/>
              </w:rPr>
              <w:t>Key publication</w:t>
            </w:r>
            <w:r>
              <w:rPr>
                <w:rFonts w:ascii="Arial Narrow" w:hAnsi="Arial Narrow"/>
                <w:sz w:val="20"/>
              </w:rPr>
              <w:t>. Nakamura et al (2014). Fracture Risk Reduction with Denosumab in Japanese Postmenopausal Women and Men with Osteoporosis: Denosumab Fracture Intervention Randomized Placebo Controlled Trial (DIRECT)</w:t>
            </w:r>
          </w:p>
        </w:tc>
        <w:tc>
          <w:tcPr>
            <w:tcW w:w="2324" w:type="dxa"/>
            <w:vAlign w:val="center"/>
          </w:tcPr>
          <w:p w:rsidR="00A37D3E" w:rsidRDefault="00A37D3E" w:rsidP="00950DD9">
            <w:pPr>
              <w:widowControl/>
              <w:jc w:val="left"/>
              <w:rPr>
                <w:rFonts w:ascii="Arial Narrow" w:hAnsi="Arial Narrow"/>
                <w:sz w:val="20"/>
              </w:rPr>
            </w:pPr>
            <w:r>
              <w:rPr>
                <w:rFonts w:ascii="Arial Narrow" w:hAnsi="Arial Narrow"/>
                <w:sz w:val="20"/>
              </w:rPr>
              <w:t>Journal of Clinical Endocrinology and Metabolism 99: 2599-2607</w:t>
            </w:r>
          </w:p>
        </w:tc>
      </w:tr>
    </w:tbl>
    <w:p w:rsidR="00862502" w:rsidRPr="008F120A" w:rsidRDefault="00862502" w:rsidP="00950DD9">
      <w:pPr>
        <w:widowControl/>
        <w:rPr>
          <w:szCs w:val="22"/>
        </w:rPr>
      </w:pPr>
    </w:p>
    <w:p w:rsidR="00862502" w:rsidRPr="00B50DB8" w:rsidRDefault="006E67FC" w:rsidP="00950DD9">
      <w:pPr>
        <w:pStyle w:val="ListParagraph"/>
        <w:keepNext/>
        <w:widowControl/>
        <w:numPr>
          <w:ilvl w:val="1"/>
          <w:numId w:val="5"/>
        </w:numPr>
        <w:rPr>
          <w:szCs w:val="22"/>
        </w:rPr>
      </w:pPr>
      <w:r>
        <w:rPr>
          <w:szCs w:val="22"/>
        </w:rPr>
        <w:t>The key features of the included trials</w:t>
      </w:r>
      <w:r w:rsidR="008F120A" w:rsidRPr="00B50DB8">
        <w:rPr>
          <w:szCs w:val="22"/>
        </w:rPr>
        <w:t xml:space="preserve"> are </w:t>
      </w:r>
      <w:r w:rsidR="0064309F">
        <w:rPr>
          <w:szCs w:val="22"/>
        </w:rPr>
        <w:t xml:space="preserve">summarised in the table below. </w:t>
      </w:r>
    </w:p>
    <w:p w:rsidR="007F1017" w:rsidRDefault="007F1017" w:rsidP="00950DD9">
      <w:pPr>
        <w:keepNext/>
        <w:widowControl/>
        <w:rPr>
          <w:szCs w:val="22"/>
        </w:rPr>
      </w:pPr>
    </w:p>
    <w:p w:rsidR="007F1017" w:rsidRPr="00E2771E" w:rsidRDefault="0064309F" w:rsidP="00950DD9">
      <w:pPr>
        <w:keepNext/>
        <w:widowControl/>
        <w:ind w:firstLine="720"/>
        <w:rPr>
          <w:rStyle w:val="CommentReference"/>
        </w:rPr>
      </w:pPr>
      <w:r>
        <w:rPr>
          <w:rStyle w:val="CommentReference"/>
        </w:rPr>
        <w:t>Table 2</w:t>
      </w:r>
      <w:r w:rsidR="007F1017" w:rsidRPr="00E2771E">
        <w:rPr>
          <w:rStyle w:val="CommentReference"/>
        </w:rPr>
        <w:t>: 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1"/>
        <w:gridCol w:w="711"/>
        <w:gridCol w:w="1439"/>
        <w:gridCol w:w="826"/>
        <w:gridCol w:w="2195"/>
        <w:gridCol w:w="925"/>
        <w:gridCol w:w="1118"/>
      </w:tblGrid>
      <w:tr w:rsidR="00E22A0D" w:rsidRPr="00E2771E" w:rsidTr="00CA3AFE">
        <w:tc>
          <w:tcPr>
            <w:tcW w:w="678" w:type="pct"/>
            <w:shd w:val="clear" w:color="auto" w:fill="auto"/>
            <w:vAlign w:val="center"/>
          </w:tcPr>
          <w:p w:rsidR="007F1017" w:rsidRPr="00E2771E" w:rsidRDefault="007F1017" w:rsidP="00950DD9">
            <w:pPr>
              <w:keepNext/>
              <w:widowControl/>
              <w:jc w:val="left"/>
              <w:rPr>
                <w:rFonts w:ascii="Arial Narrow" w:hAnsi="Arial Narrow"/>
                <w:b/>
                <w:sz w:val="20"/>
                <w:lang w:val="en-US"/>
              </w:rPr>
            </w:pPr>
            <w:r w:rsidRPr="00E2771E">
              <w:rPr>
                <w:rFonts w:ascii="Arial Narrow" w:hAnsi="Arial Narrow"/>
                <w:b/>
                <w:sz w:val="20"/>
                <w:lang w:val="en-US"/>
              </w:rPr>
              <w:t>Trial</w:t>
            </w:r>
          </w:p>
        </w:tc>
        <w:tc>
          <w:tcPr>
            <w:tcW w:w="426" w:type="pct"/>
            <w:shd w:val="clear" w:color="auto" w:fill="auto"/>
            <w:vAlign w:val="center"/>
          </w:tcPr>
          <w:p w:rsidR="007F1017" w:rsidRPr="00E2771E" w:rsidRDefault="007F1017" w:rsidP="00950DD9">
            <w:pPr>
              <w:keepNext/>
              <w:widowControl/>
              <w:jc w:val="center"/>
              <w:rPr>
                <w:rFonts w:ascii="Arial Narrow" w:hAnsi="Arial Narrow"/>
                <w:b/>
                <w:sz w:val="20"/>
                <w:lang w:val="en-US"/>
              </w:rPr>
            </w:pPr>
            <w:r w:rsidRPr="00E2771E">
              <w:rPr>
                <w:rFonts w:ascii="Arial Narrow" w:hAnsi="Arial Narrow"/>
                <w:b/>
                <w:sz w:val="20"/>
                <w:lang w:val="en-US"/>
              </w:rPr>
              <w:t>N</w:t>
            </w:r>
          </w:p>
        </w:tc>
        <w:tc>
          <w:tcPr>
            <w:tcW w:w="862" w:type="pct"/>
            <w:shd w:val="clear" w:color="auto" w:fill="auto"/>
            <w:vAlign w:val="center"/>
          </w:tcPr>
          <w:p w:rsidR="007F1017" w:rsidRPr="00E2771E" w:rsidRDefault="007F1017" w:rsidP="00950DD9">
            <w:pPr>
              <w:keepNext/>
              <w:widowControl/>
              <w:jc w:val="center"/>
              <w:rPr>
                <w:rFonts w:ascii="Arial Narrow" w:hAnsi="Arial Narrow"/>
                <w:b/>
                <w:sz w:val="20"/>
                <w:lang w:val="en-US"/>
              </w:rPr>
            </w:pPr>
            <w:r w:rsidRPr="00E2771E">
              <w:rPr>
                <w:rFonts w:ascii="Arial Narrow" w:hAnsi="Arial Narrow"/>
                <w:b/>
                <w:sz w:val="20"/>
                <w:lang w:val="en-US"/>
              </w:rPr>
              <w:t>Design/ duration</w:t>
            </w:r>
          </w:p>
        </w:tc>
        <w:tc>
          <w:tcPr>
            <w:tcW w:w="495" w:type="pct"/>
            <w:shd w:val="clear" w:color="auto" w:fill="auto"/>
            <w:vAlign w:val="center"/>
          </w:tcPr>
          <w:p w:rsidR="007F1017" w:rsidRPr="00E2771E" w:rsidRDefault="007F1017" w:rsidP="00950DD9">
            <w:pPr>
              <w:keepNext/>
              <w:widowControl/>
              <w:jc w:val="center"/>
              <w:rPr>
                <w:rFonts w:ascii="Arial Narrow" w:hAnsi="Arial Narrow"/>
                <w:b/>
                <w:sz w:val="20"/>
                <w:lang w:val="en-US"/>
              </w:rPr>
            </w:pPr>
            <w:r w:rsidRPr="00E2771E">
              <w:rPr>
                <w:rFonts w:ascii="Arial Narrow" w:hAnsi="Arial Narrow"/>
                <w:b/>
                <w:sz w:val="20"/>
                <w:lang w:val="en-US"/>
              </w:rPr>
              <w:t>Risk of bias</w:t>
            </w:r>
          </w:p>
        </w:tc>
        <w:tc>
          <w:tcPr>
            <w:tcW w:w="1315" w:type="pct"/>
            <w:shd w:val="clear" w:color="auto" w:fill="auto"/>
            <w:vAlign w:val="center"/>
          </w:tcPr>
          <w:p w:rsidR="007F1017" w:rsidRPr="00E2771E" w:rsidRDefault="007F1017" w:rsidP="00950DD9">
            <w:pPr>
              <w:keepNext/>
              <w:widowControl/>
              <w:jc w:val="center"/>
              <w:rPr>
                <w:rFonts w:ascii="Arial Narrow" w:hAnsi="Arial Narrow"/>
                <w:b/>
                <w:sz w:val="20"/>
                <w:lang w:val="en-US"/>
              </w:rPr>
            </w:pPr>
            <w:r w:rsidRPr="00E2771E">
              <w:rPr>
                <w:rFonts w:ascii="Arial Narrow" w:hAnsi="Arial Narrow"/>
                <w:b/>
                <w:sz w:val="20"/>
                <w:lang w:val="en-US"/>
              </w:rPr>
              <w:t>Patient population</w:t>
            </w:r>
          </w:p>
        </w:tc>
        <w:tc>
          <w:tcPr>
            <w:tcW w:w="554" w:type="pct"/>
            <w:shd w:val="clear" w:color="auto" w:fill="auto"/>
            <w:vAlign w:val="center"/>
          </w:tcPr>
          <w:p w:rsidR="007F1017" w:rsidRPr="00E2771E" w:rsidRDefault="00CA3AFE" w:rsidP="00950DD9">
            <w:pPr>
              <w:keepNext/>
              <w:widowControl/>
              <w:jc w:val="center"/>
              <w:rPr>
                <w:rFonts w:ascii="Arial Narrow" w:hAnsi="Arial Narrow"/>
                <w:b/>
                <w:sz w:val="20"/>
                <w:lang w:val="en-US"/>
              </w:rPr>
            </w:pPr>
            <w:r>
              <w:rPr>
                <w:rFonts w:ascii="Arial Narrow" w:hAnsi="Arial Narrow"/>
                <w:b/>
                <w:sz w:val="20"/>
                <w:lang w:val="en-US"/>
              </w:rPr>
              <w:t>Key o</w:t>
            </w:r>
            <w:r w:rsidR="007506D8">
              <w:rPr>
                <w:rFonts w:ascii="Arial Narrow" w:hAnsi="Arial Narrow"/>
                <w:b/>
                <w:sz w:val="20"/>
                <w:lang w:val="en-US"/>
              </w:rPr>
              <w:t>utcomes</w:t>
            </w:r>
          </w:p>
        </w:tc>
        <w:tc>
          <w:tcPr>
            <w:tcW w:w="670" w:type="pct"/>
            <w:shd w:val="clear" w:color="auto" w:fill="auto"/>
            <w:vAlign w:val="center"/>
          </w:tcPr>
          <w:p w:rsidR="007F1017" w:rsidRPr="00E2771E" w:rsidRDefault="007F1017" w:rsidP="00950DD9">
            <w:pPr>
              <w:keepNext/>
              <w:widowControl/>
              <w:jc w:val="center"/>
              <w:rPr>
                <w:rFonts w:ascii="Arial Narrow" w:hAnsi="Arial Narrow"/>
                <w:b/>
                <w:sz w:val="20"/>
                <w:lang w:val="en-US"/>
              </w:rPr>
            </w:pPr>
            <w:r w:rsidRPr="00E2771E">
              <w:rPr>
                <w:rFonts w:ascii="Arial Narrow" w:hAnsi="Arial Narrow"/>
                <w:b/>
                <w:sz w:val="20"/>
                <w:lang w:val="en-US"/>
              </w:rPr>
              <w:t>Use in modelled evaluation</w:t>
            </w:r>
          </w:p>
        </w:tc>
      </w:tr>
      <w:tr w:rsidR="007F1017" w:rsidRPr="00E2771E" w:rsidTr="00E22A0D">
        <w:tc>
          <w:tcPr>
            <w:tcW w:w="5000" w:type="pct"/>
            <w:gridSpan w:val="7"/>
            <w:shd w:val="clear" w:color="auto" w:fill="auto"/>
            <w:vAlign w:val="center"/>
          </w:tcPr>
          <w:p w:rsidR="007F1017" w:rsidRPr="00E2771E" w:rsidRDefault="0064309F" w:rsidP="00950DD9">
            <w:pPr>
              <w:keepNext/>
              <w:widowControl/>
              <w:jc w:val="left"/>
              <w:rPr>
                <w:rFonts w:ascii="Arial Narrow" w:hAnsi="Arial Narrow"/>
                <w:b/>
                <w:sz w:val="20"/>
                <w:lang w:val="en-US"/>
              </w:rPr>
            </w:pPr>
            <w:r>
              <w:rPr>
                <w:rFonts w:ascii="Arial Narrow" w:hAnsi="Arial Narrow"/>
                <w:b/>
                <w:sz w:val="20"/>
                <w:lang w:val="en-US"/>
              </w:rPr>
              <w:t>Strontium ranelate vs. placebo</w:t>
            </w:r>
          </w:p>
        </w:tc>
      </w:tr>
      <w:tr w:rsidR="00E22A0D" w:rsidRPr="00E2771E" w:rsidTr="00CA3AFE">
        <w:tc>
          <w:tcPr>
            <w:tcW w:w="678" w:type="pct"/>
            <w:shd w:val="clear" w:color="auto" w:fill="auto"/>
            <w:vAlign w:val="center"/>
          </w:tcPr>
          <w:p w:rsidR="007F1017" w:rsidRPr="00E2771E" w:rsidRDefault="0064309F" w:rsidP="00950DD9">
            <w:pPr>
              <w:keepNext/>
              <w:widowControl/>
              <w:jc w:val="left"/>
              <w:rPr>
                <w:rFonts w:ascii="Arial Narrow" w:hAnsi="Arial Narrow"/>
                <w:sz w:val="20"/>
                <w:lang w:val="en-US"/>
              </w:rPr>
            </w:pPr>
            <w:r>
              <w:rPr>
                <w:rFonts w:ascii="Arial Narrow" w:hAnsi="Arial Narrow"/>
                <w:sz w:val="20"/>
                <w:lang w:val="en-US"/>
              </w:rPr>
              <w:t>SOTI</w:t>
            </w:r>
          </w:p>
        </w:tc>
        <w:tc>
          <w:tcPr>
            <w:tcW w:w="426" w:type="pct"/>
            <w:shd w:val="clear" w:color="auto" w:fill="auto"/>
            <w:vAlign w:val="center"/>
          </w:tcPr>
          <w:p w:rsidR="007F1017" w:rsidRPr="00E2771E" w:rsidRDefault="00BF2384" w:rsidP="00950DD9">
            <w:pPr>
              <w:keepNext/>
              <w:widowControl/>
              <w:jc w:val="center"/>
              <w:rPr>
                <w:rFonts w:ascii="Arial Narrow" w:hAnsi="Arial Narrow"/>
                <w:sz w:val="20"/>
                <w:lang w:val="en-US"/>
              </w:rPr>
            </w:pPr>
            <w:r>
              <w:rPr>
                <w:rFonts w:ascii="Arial Narrow" w:hAnsi="Arial Narrow"/>
                <w:sz w:val="20"/>
                <w:lang w:val="en-US"/>
              </w:rPr>
              <w:t>1,649</w:t>
            </w:r>
          </w:p>
        </w:tc>
        <w:tc>
          <w:tcPr>
            <w:tcW w:w="862" w:type="pct"/>
            <w:shd w:val="clear" w:color="auto" w:fill="auto"/>
            <w:vAlign w:val="center"/>
          </w:tcPr>
          <w:p w:rsidR="007F1017" w:rsidRPr="00E2771E" w:rsidRDefault="007506D8" w:rsidP="00950DD9">
            <w:pPr>
              <w:keepNext/>
              <w:widowControl/>
              <w:jc w:val="center"/>
              <w:rPr>
                <w:rFonts w:ascii="Arial Narrow" w:hAnsi="Arial Narrow"/>
                <w:sz w:val="20"/>
                <w:lang w:val="en-US"/>
              </w:rPr>
            </w:pPr>
            <w:r>
              <w:rPr>
                <w:rFonts w:ascii="Arial Narrow" w:hAnsi="Arial Narrow"/>
                <w:sz w:val="20"/>
                <w:lang w:val="en-US"/>
              </w:rPr>
              <w:t xml:space="preserve">MC, </w:t>
            </w:r>
            <w:r w:rsidR="007F1017" w:rsidRPr="00E2771E">
              <w:rPr>
                <w:rFonts w:ascii="Arial Narrow" w:hAnsi="Arial Narrow"/>
                <w:sz w:val="20"/>
                <w:lang w:val="en-US"/>
              </w:rPr>
              <w:t>R, DB</w:t>
            </w:r>
            <w:r>
              <w:rPr>
                <w:rFonts w:ascii="Arial Narrow" w:hAnsi="Arial Narrow"/>
                <w:sz w:val="20"/>
                <w:lang w:val="en-US"/>
              </w:rPr>
              <w:t>, PG</w:t>
            </w:r>
          </w:p>
          <w:p w:rsidR="007F1017" w:rsidRPr="00E2771E" w:rsidRDefault="007506D8" w:rsidP="00950DD9">
            <w:pPr>
              <w:keepNext/>
              <w:widowControl/>
              <w:jc w:val="center"/>
              <w:rPr>
                <w:rFonts w:ascii="Arial Narrow" w:hAnsi="Arial Narrow"/>
                <w:sz w:val="20"/>
                <w:lang w:val="en-US"/>
              </w:rPr>
            </w:pPr>
            <w:r>
              <w:rPr>
                <w:rFonts w:ascii="Arial Narrow" w:hAnsi="Arial Narrow"/>
                <w:sz w:val="20"/>
                <w:lang w:val="en-US"/>
              </w:rPr>
              <w:t>4 years</w:t>
            </w:r>
          </w:p>
        </w:tc>
        <w:tc>
          <w:tcPr>
            <w:tcW w:w="495" w:type="pct"/>
            <w:shd w:val="clear" w:color="auto" w:fill="auto"/>
            <w:vAlign w:val="center"/>
          </w:tcPr>
          <w:p w:rsidR="007F1017" w:rsidRPr="00E2771E" w:rsidRDefault="007F1017" w:rsidP="00950DD9">
            <w:pPr>
              <w:keepNext/>
              <w:widowControl/>
              <w:jc w:val="center"/>
              <w:rPr>
                <w:rFonts w:ascii="Arial Narrow" w:hAnsi="Arial Narrow"/>
                <w:sz w:val="20"/>
                <w:lang w:val="en-US"/>
              </w:rPr>
            </w:pPr>
            <w:r w:rsidRPr="00E2771E">
              <w:rPr>
                <w:rFonts w:ascii="Arial Narrow" w:hAnsi="Arial Narrow"/>
                <w:sz w:val="20"/>
                <w:lang w:val="en-US"/>
              </w:rPr>
              <w:t>Low</w:t>
            </w:r>
          </w:p>
        </w:tc>
        <w:tc>
          <w:tcPr>
            <w:tcW w:w="1315" w:type="pct"/>
            <w:shd w:val="clear" w:color="auto" w:fill="auto"/>
            <w:vAlign w:val="center"/>
          </w:tcPr>
          <w:p w:rsidR="007F1017" w:rsidRPr="00E2771E" w:rsidRDefault="007506D8" w:rsidP="00950DD9">
            <w:pPr>
              <w:keepNext/>
              <w:widowControl/>
              <w:jc w:val="center"/>
              <w:rPr>
                <w:rFonts w:ascii="Arial Narrow" w:hAnsi="Arial Narrow"/>
                <w:sz w:val="20"/>
                <w:lang w:val="en-US"/>
              </w:rPr>
            </w:pPr>
            <w:r>
              <w:rPr>
                <w:rFonts w:ascii="Arial Narrow" w:hAnsi="Arial Narrow"/>
                <w:sz w:val="20"/>
                <w:lang w:val="en-US"/>
              </w:rPr>
              <w:t xml:space="preserve">Postmenopausal osteoporosis </w:t>
            </w:r>
            <w:r w:rsidR="00CA3AFE" w:rsidRPr="00CA3AFE">
              <w:rPr>
                <w:rFonts w:ascii="Arial Narrow" w:hAnsi="Arial Narrow"/>
                <w:sz w:val="20"/>
                <w:lang w:val="en-US"/>
              </w:rPr>
              <w:t xml:space="preserve">at increased risk of vertebral fracture </w:t>
            </w:r>
          </w:p>
        </w:tc>
        <w:tc>
          <w:tcPr>
            <w:tcW w:w="554" w:type="pct"/>
            <w:shd w:val="clear" w:color="auto" w:fill="auto"/>
            <w:vAlign w:val="center"/>
          </w:tcPr>
          <w:p w:rsidR="007F1017" w:rsidRDefault="00CA3AFE" w:rsidP="00950DD9">
            <w:pPr>
              <w:keepNext/>
              <w:widowControl/>
              <w:jc w:val="center"/>
              <w:rPr>
                <w:rFonts w:ascii="Arial Narrow" w:hAnsi="Arial Narrow"/>
                <w:sz w:val="20"/>
                <w:lang w:val="en-US"/>
              </w:rPr>
            </w:pPr>
            <w:r>
              <w:rPr>
                <w:rFonts w:ascii="Arial Narrow" w:hAnsi="Arial Narrow"/>
                <w:sz w:val="20"/>
                <w:lang w:val="en-US"/>
              </w:rPr>
              <w:t>Fractures</w:t>
            </w:r>
          </w:p>
          <w:p w:rsidR="00A315BF" w:rsidRPr="00E2771E" w:rsidRDefault="00D065E4" w:rsidP="00950DD9">
            <w:pPr>
              <w:keepNext/>
              <w:widowControl/>
              <w:jc w:val="center"/>
              <w:rPr>
                <w:rFonts w:ascii="Arial Narrow" w:hAnsi="Arial Narrow"/>
                <w:sz w:val="20"/>
                <w:lang w:val="en-US"/>
              </w:rPr>
            </w:pPr>
            <w:r>
              <w:rPr>
                <w:rFonts w:ascii="Arial Narrow" w:hAnsi="Arial Narrow"/>
                <w:sz w:val="20"/>
                <w:lang w:val="en-US"/>
              </w:rPr>
              <w:t xml:space="preserve">(3 </w:t>
            </w:r>
            <w:r w:rsidR="00A315BF">
              <w:rPr>
                <w:rFonts w:ascii="Arial Narrow" w:hAnsi="Arial Narrow"/>
                <w:sz w:val="20"/>
                <w:lang w:val="en-US"/>
              </w:rPr>
              <w:t>year)</w:t>
            </w:r>
          </w:p>
        </w:tc>
        <w:tc>
          <w:tcPr>
            <w:tcW w:w="670" w:type="pct"/>
            <w:shd w:val="clear" w:color="auto" w:fill="auto"/>
            <w:vAlign w:val="center"/>
          </w:tcPr>
          <w:p w:rsidR="007F1017" w:rsidRPr="00E2771E" w:rsidRDefault="007F1017" w:rsidP="00950DD9">
            <w:pPr>
              <w:keepNext/>
              <w:widowControl/>
              <w:jc w:val="center"/>
              <w:rPr>
                <w:rFonts w:ascii="Arial Narrow" w:hAnsi="Arial Narrow"/>
                <w:sz w:val="20"/>
                <w:lang w:val="en-US"/>
              </w:rPr>
            </w:pPr>
            <w:r w:rsidRPr="00E2771E">
              <w:rPr>
                <w:rFonts w:ascii="Arial Narrow" w:hAnsi="Arial Narrow"/>
                <w:sz w:val="20"/>
                <w:lang w:val="en-US"/>
              </w:rPr>
              <w:t>Not used</w:t>
            </w:r>
          </w:p>
        </w:tc>
      </w:tr>
      <w:tr w:rsidR="00E22A0D" w:rsidRPr="00E2771E" w:rsidTr="00CA3AFE">
        <w:tc>
          <w:tcPr>
            <w:tcW w:w="678" w:type="pct"/>
            <w:shd w:val="clear" w:color="auto" w:fill="auto"/>
            <w:vAlign w:val="center"/>
          </w:tcPr>
          <w:p w:rsidR="007F1017" w:rsidRPr="00E2771E" w:rsidRDefault="0064309F" w:rsidP="00950DD9">
            <w:pPr>
              <w:keepNext/>
              <w:widowControl/>
              <w:jc w:val="left"/>
              <w:rPr>
                <w:rFonts w:ascii="Arial Narrow" w:hAnsi="Arial Narrow"/>
                <w:sz w:val="20"/>
                <w:lang w:val="en-US"/>
              </w:rPr>
            </w:pPr>
            <w:r>
              <w:rPr>
                <w:rFonts w:ascii="Arial Narrow" w:hAnsi="Arial Narrow"/>
                <w:sz w:val="20"/>
                <w:lang w:val="en-US"/>
              </w:rPr>
              <w:t>TROPOS</w:t>
            </w:r>
          </w:p>
        </w:tc>
        <w:tc>
          <w:tcPr>
            <w:tcW w:w="426" w:type="pct"/>
            <w:shd w:val="clear" w:color="auto" w:fill="auto"/>
            <w:vAlign w:val="center"/>
          </w:tcPr>
          <w:p w:rsidR="007F1017" w:rsidRPr="00E2771E" w:rsidRDefault="00BF2384" w:rsidP="00950DD9">
            <w:pPr>
              <w:keepNext/>
              <w:widowControl/>
              <w:jc w:val="center"/>
              <w:rPr>
                <w:rFonts w:ascii="Arial Narrow" w:hAnsi="Arial Narrow"/>
                <w:sz w:val="20"/>
                <w:lang w:val="en-US"/>
              </w:rPr>
            </w:pPr>
            <w:r>
              <w:rPr>
                <w:rFonts w:ascii="Arial Narrow" w:hAnsi="Arial Narrow"/>
                <w:sz w:val="20"/>
                <w:lang w:val="en-US"/>
              </w:rPr>
              <w:t>5,091</w:t>
            </w:r>
          </w:p>
        </w:tc>
        <w:tc>
          <w:tcPr>
            <w:tcW w:w="862" w:type="pct"/>
            <w:shd w:val="clear" w:color="auto" w:fill="auto"/>
            <w:vAlign w:val="center"/>
          </w:tcPr>
          <w:p w:rsidR="007F1017" w:rsidRPr="00E2771E" w:rsidRDefault="007506D8" w:rsidP="00950DD9">
            <w:pPr>
              <w:keepNext/>
              <w:widowControl/>
              <w:jc w:val="center"/>
              <w:rPr>
                <w:rFonts w:ascii="Arial Narrow" w:hAnsi="Arial Narrow"/>
                <w:sz w:val="20"/>
                <w:lang w:val="en-US"/>
              </w:rPr>
            </w:pPr>
            <w:r>
              <w:rPr>
                <w:rFonts w:ascii="Arial Narrow" w:hAnsi="Arial Narrow"/>
                <w:sz w:val="20"/>
                <w:lang w:val="en-US"/>
              </w:rPr>
              <w:t xml:space="preserve">MC, </w:t>
            </w:r>
            <w:r w:rsidRPr="00E2771E">
              <w:rPr>
                <w:rFonts w:ascii="Arial Narrow" w:hAnsi="Arial Narrow"/>
                <w:sz w:val="20"/>
                <w:lang w:val="en-US"/>
              </w:rPr>
              <w:t>R, DB</w:t>
            </w:r>
            <w:r>
              <w:rPr>
                <w:rFonts w:ascii="Arial Narrow" w:hAnsi="Arial Narrow"/>
                <w:sz w:val="20"/>
                <w:lang w:val="en-US"/>
              </w:rPr>
              <w:t>, PG</w:t>
            </w:r>
          </w:p>
          <w:p w:rsidR="007F1017" w:rsidRPr="00E2771E" w:rsidRDefault="007506D8" w:rsidP="00950DD9">
            <w:pPr>
              <w:keepNext/>
              <w:widowControl/>
              <w:jc w:val="center"/>
              <w:rPr>
                <w:rFonts w:ascii="Arial Narrow" w:hAnsi="Arial Narrow"/>
                <w:sz w:val="20"/>
                <w:lang w:val="en-US"/>
              </w:rPr>
            </w:pPr>
            <w:r>
              <w:rPr>
                <w:rFonts w:ascii="Arial Narrow" w:hAnsi="Arial Narrow"/>
                <w:sz w:val="20"/>
                <w:lang w:val="en-US"/>
              </w:rPr>
              <w:t>5 years</w:t>
            </w:r>
          </w:p>
        </w:tc>
        <w:tc>
          <w:tcPr>
            <w:tcW w:w="495" w:type="pct"/>
            <w:shd w:val="clear" w:color="auto" w:fill="auto"/>
            <w:vAlign w:val="center"/>
          </w:tcPr>
          <w:p w:rsidR="007F1017" w:rsidRPr="00E2771E" w:rsidRDefault="007506D8" w:rsidP="00950DD9">
            <w:pPr>
              <w:keepNext/>
              <w:widowControl/>
              <w:jc w:val="center"/>
              <w:rPr>
                <w:rFonts w:ascii="Arial Narrow" w:hAnsi="Arial Narrow"/>
                <w:sz w:val="20"/>
                <w:lang w:val="en-US"/>
              </w:rPr>
            </w:pPr>
            <w:r>
              <w:rPr>
                <w:rFonts w:ascii="Arial Narrow" w:hAnsi="Arial Narrow"/>
                <w:sz w:val="20"/>
                <w:lang w:val="en-US"/>
              </w:rPr>
              <w:t>Low</w:t>
            </w:r>
          </w:p>
        </w:tc>
        <w:tc>
          <w:tcPr>
            <w:tcW w:w="1315" w:type="pct"/>
            <w:shd w:val="clear" w:color="auto" w:fill="auto"/>
            <w:vAlign w:val="center"/>
          </w:tcPr>
          <w:p w:rsidR="007F1017" w:rsidRPr="00E2771E" w:rsidRDefault="007506D8" w:rsidP="00950DD9">
            <w:pPr>
              <w:keepNext/>
              <w:widowControl/>
              <w:jc w:val="center"/>
              <w:rPr>
                <w:rFonts w:ascii="Arial Narrow" w:hAnsi="Arial Narrow"/>
                <w:sz w:val="20"/>
                <w:lang w:val="en-US"/>
              </w:rPr>
            </w:pPr>
            <w:r>
              <w:rPr>
                <w:rFonts w:ascii="Arial Narrow" w:hAnsi="Arial Narrow"/>
                <w:sz w:val="20"/>
                <w:lang w:val="en-US"/>
              </w:rPr>
              <w:t>Postmenopausal osteoporosis</w:t>
            </w:r>
          </w:p>
        </w:tc>
        <w:tc>
          <w:tcPr>
            <w:tcW w:w="554" w:type="pct"/>
            <w:shd w:val="clear" w:color="auto" w:fill="auto"/>
            <w:vAlign w:val="center"/>
          </w:tcPr>
          <w:p w:rsidR="007F1017" w:rsidRPr="00E2771E" w:rsidRDefault="00CA3AFE" w:rsidP="00950DD9">
            <w:pPr>
              <w:keepNext/>
              <w:widowControl/>
              <w:jc w:val="center"/>
              <w:rPr>
                <w:rFonts w:ascii="Arial Narrow" w:hAnsi="Arial Narrow"/>
                <w:sz w:val="20"/>
                <w:lang w:val="en-US"/>
              </w:rPr>
            </w:pPr>
            <w:r>
              <w:rPr>
                <w:rFonts w:ascii="Arial Narrow" w:hAnsi="Arial Narrow"/>
                <w:sz w:val="20"/>
                <w:lang w:val="en-US"/>
              </w:rPr>
              <w:t>Fractures</w:t>
            </w:r>
            <w:r w:rsidR="00D065E4">
              <w:rPr>
                <w:rFonts w:ascii="Arial Narrow" w:hAnsi="Arial Narrow"/>
                <w:sz w:val="20"/>
                <w:lang w:val="en-US"/>
              </w:rPr>
              <w:t xml:space="preserve"> (3 </w:t>
            </w:r>
            <w:r w:rsidR="00A315BF">
              <w:rPr>
                <w:rFonts w:ascii="Arial Narrow" w:hAnsi="Arial Narrow"/>
                <w:sz w:val="20"/>
                <w:lang w:val="en-US"/>
              </w:rPr>
              <w:t>year)</w:t>
            </w:r>
          </w:p>
        </w:tc>
        <w:tc>
          <w:tcPr>
            <w:tcW w:w="670" w:type="pct"/>
            <w:shd w:val="clear" w:color="auto" w:fill="auto"/>
            <w:vAlign w:val="center"/>
          </w:tcPr>
          <w:p w:rsidR="007F1017" w:rsidRPr="00E2771E" w:rsidRDefault="007F1017" w:rsidP="00950DD9">
            <w:pPr>
              <w:keepNext/>
              <w:widowControl/>
              <w:jc w:val="center"/>
              <w:rPr>
                <w:rFonts w:ascii="Arial Narrow" w:hAnsi="Arial Narrow"/>
                <w:sz w:val="20"/>
                <w:lang w:val="en-US"/>
              </w:rPr>
            </w:pPr>
            <w:r w:rsidRPr="00E2771E">
              <w:rPr>
                <w:rFonts w:ascii="Arial Narrow" w:hAnsi="Arial Narrow"/>
                <w:sz w:val="20"/>
                <w:lang w:val="en-US"/>
              </w:rPr>
              <w:t>Not used</w:t>
            </w:r>
          </w:p>
        </w:tc>
      </w:tr>
      <w:tr w:rsidR="00E22A0D" w:rsidRPr="00E2771E" w:rsidTr="00CA3AFE">
        <w:tc>
          <w:tcPr>
            <w:tcW w:w="678" w:type="pct"/>
            <w:shd w:val="clear" w:color="auto" w:fill="auto"/>
            <w:vAlign w:val="center"/>
          </w:tcPr>
          <w:p w:rsidR="007F1017" w:rsidRPr="00E2771E" w:rsidRDefault="0064309F" w:rsidP="00950DD9">
            <w:pPr>
              <w:keepNext/>
              <w:widowControl/>
              <w:jc w:val="left"/>
              <w:rPr>
                <w:rFonts w:ascii="Arial Narrow" w:hAnsi="Arial Narrow"/>
                <w:sz w:val="20"/>
                <w:lang w:val="en-US"/>
              </w:rPr>
            </w:pPr>
            <w:r>
              <w:rPr>
                <w:rFonts w:ascii="Arial Narrow" w:hAnsi="Arial Narrow"/>
                <w:sz w:val="20"/>
                <w:lang w:val="en-US"/>
              </w:rPr>
              <w:t>MALEO</w:t>
            </w:r>
          </w:p>
        </w:tc>
        <w:tc>
          <w:tcPr>
            <w:tcW w:w="426" w:type="pct"/>
            <w:shd w:val="clear" w:color="auto" w:fill="auto"/>
            <w:vAlign w:val="center"/>
          </w:tcPr>
          <w:p w:rsidR="007F1017" w:rsidRPr="00E2771E" w:rsidRDefault="00BF2384" w:rsidP="00950DD9">
            <w:pPr>
              <w:keepNext/>
              <w:widowControl/>
              <w:jc w:val="center"/>
              <w:rPr>
                <w:rFonts w:ascii="Arial Narrow" w:hAnsi="Arial Narrow"/>
                <w:sz w:val="20"/>
                <w:lang w:val="en-US"/>
              </w:rPr>
            </w:pPr>
            <w:r>
              <w:rPr>
                <w:rFonts w:ascii="Arial Narrow" w:hAnsi="Arial Narrow"/>
                <w:sz w:val="20"/>
                <w:lang w:val="en-US"/>
              </w:rPr>
              <w:t>261</w:t>
            </w:r>
          </w:p>
        </w:tc>
        <w:tc>
          <w:tcPr>
            <w:tcW w:w="862" w:type="pct"/>
            <w:shd w:val="clear" w:color="auto" w:fill="auto"/>
            <w:vAlign w:val="center"/>
          </w:tcPr>
          <w:p w:rsidR="007F1017" w:rsidRPr="00E2771E" w:rsidRDefault="007506D8" w:rsidP="00950DD9">
            <w:pPr>
              <w:keepNext/>
              <w:widowControl/>
              <w:jc w:val="center"/>
              <w:rPr>
                <w:rFonts w:ascii="Arial Narrow" w:hAnsi="Arial Narrow"/>
                <w:sz w:val="20"/>
                <w:lang w:val="en-US"/>
              </w:rPr>
            </w:pPr>
            <w:r>
              <w:rPr>
                <w:rFonts w:ascii="Arial Narrow" w:hAnsi="Arial Narrow"/>
                <w:sz w:val="20"/>
                <w:lang w:val="en-US"/>
              </w:rPr>
              <w:t xml:space="preserve">MC, </w:t>
            </w:r>
            <w:r w:rsidRPr="00E2771E">
              <w:rPr>
                <w:rFonts w:ascii="Arial Narrow" w:hAnsi="Arial Narrow"/>
                <w:sz w:val="20"/>
                <w:lang w:val="en-US"/>
              </w:rPr>
              <w:t>R, DB</w:t>
            </w:r>
            <w:r>
              <w:rPr>
                <w:rFonts w:ascii="Arial Narrow" w:hAnsi="Arial Narrow"/>
                <w:sz w:val="20"/>
                <w:lang w:val="en-US"/>
              </w:rPr>
              <w:t>, PG</w:t>
            </w:r>
          </w:p>
          <w:p w:rsidR="007F1017" w:rsidRPr="00E2771E" w:rsidRDefault="007506D8" w:rsidP="00950DD9">
            <w:pPr>
              <w:keepNext/>
              <w:widowControl/>
              <w:jc w:val="center"/>
              <w:rPr>
                <w:rFonts w:ascii="Arial Narrow" w:hAnsi="Arial Narrow"/>
                <w:sz w:val="20"/>
                <w:lang w:val="en-US"/>
              </w:rPr>
            </w:pPr>
            <w:r>
              <w:rPr>
                <w:rFonts w:ascii="Arial Narrow" w:hAnsi="Arial Narrow"/>
                <w:sz w:val="20"/>
                <w:lang w:val="en-US"/>
              </w:rPr>
              <w:t>2 years</w:t>
            </w:r>
          </w:p>
        </w:tc>
        <w:tc>
          <w:tcPr>
            <w:tcW w:w="495" w:type="pct"/>
            <w:shd w:val="clear" w:color="auto" w:fill="auto"/>
            <w:vAlign w:val="center"/>
          </w:tcPr>
          <w:p w:rsidR="007F1017" w:rsidRPr="00E2771E" w:rsidRDefault="007F1017" w:rsidP="00950DD9">
            <w:pPr>
              <w:keepNext/>
              <w:widowControl/>
              <w:jc w:val="center"/>
              <w:rPr>
                <w:rFonts w:ascii="Arial Narrow" w:hAnsi="Arial Narrow"/>
                <w:sz w:val="20"/>
                <w:lang w:val="en-US"/>
              </w:rPr>
            </w:pPr>
            <w:r w:rsidRPr="00E2771E">
              <w:rPr>
                <w:rFonts w:ascii="Arial Narrow" w:hAnsi="Arial Narrow"/>
                <w:sz w:val="20"/>
                <w:lang w:val="en-US"/>
              </w:rPr>
              <w:t>Low</w:t>
            </w:r>
          </w:p>
        </w:tc>
        <w:tc>
          <w:tcPr>
            <w:tcW w:w="1315" w:type="pct"/>
            <w:shd w:val="clear" w:color="auto" w:fill="auto"/>
            <w:vAlign w:val="center"/>
          </w:tcPr>
          <w:p w:rsidR="007F1017" w:rsidRPr="00E2771E" w:rsidRDefault="007506D8" w:rsidP="00950DD9">
            <w:pPr>
              <w:keepNext/>
              <w:widowControl/>
              <w:jc w:val="center"/>
              <w:rPr>
                <w:rFonts w:ascii="Arial Narrow" w:hAnsi="Arial Narrow"/>
                <w:sz w:val="20"/>
                <w:lang w:val="en-US"/>
              </w:rPr>
            </w:pPr>
            <w:r>
              <w:rPr>
                <w:rFonts w:ascii="Arial Narrow" w:hAnsi="Arial Narrow"/>
                <w:sz w:val="20"/>
                <w:lang w:val="en-US"/>
              </w:rPr>
              <w:t>Male osteoporosis</w:t>
            </w:r>
          </w:p>
        </w:tc>
        <w:tc>
          <w:tcPr>
            <w:tcW w:w="554" w:type="pct"/>
            <w:shd w:val="clear" w:color="auto" w:fill="auto"/>
            <w:vAlign w:val="center"/>
          </w:tcPr>
          <w:p w:rsidR="007F1017" w:rsidRPr="00E2771E" w:rsidRDefault="00CA3AFE" w:rsidP="00950DD9">
            <w:pPr>
              <w:keepNext/>
              <w:widowControl/>
              <w:jc w:val="center"/>
              <w:rPr>
                <w:rFonts w:ascii="Arial Narrow" w:hAnsi="Arial Narrow"/>
                <w:sz w:val="20"/>
                <w:lang w:val="en-US"/>
              </w:rPr>
            </w:pPr>
            <w:r>
              <w:rPr>
                <w:rFonts w:ascii="Arial Narrow" w:hAnsi="Arial Narrow"/>
                <w:sz w:val="20"/>
                <w:lang w:val="en-US"/>
              </w:rPr>
              <w:t>BMD</w:t>
            </w:r>
          </w:p>
        </w:tc>
        <w:tc>
          <w:tcPr>
            <w:tcW w:w="670" w:type="pct"/>
            <w:shd w:val="clear" w:color="auto" w:fill="auto"/>
            <w:vAlign w:val="center"/>
          </w:tcPr>
          <w:p w:rsidR="007F1017" w:rsidRPr="00E2771E" w:rsidRDefault="007F1017" w:rsidP="00950DD9">
            <w:pPr>
              <w:keepNext/>
              <w:widowControl/>
              <w:jc w:val="center"/>
              <w:rPr>
                <w:rFonts w:ascii="Arial Narrow" w:hAnsi="Arial Narrow"/>
                <w:sz w:val="20"/>
                <w:lang w:val="en-US"/>
              </w:rPr>
            </w:pPr>
            <w:r w:rsidRPr="00E2771E">
              <w:rPr>
                <w:rFonts w:ascii="Arial Narrow" w:hAnsi="Arial Narrow"/>
                <w:sz w:val="20"/>
                <w:lang w:val="en-US"/>
              </w:rPr>
              <w:t>Not used</w:t>
            </w:r>
          </w:p>
        </w:tc>
      </w:tr>
      <w:tr w:rsidR="007F1017" w:rsidRPr="00E2771E" w:rsidTr="00CA3AFE">
        <w:tc>
          <w:tcPr>
            <w:tcW w:w="678" w:type="pct"/>
            <w:shd w:val="clear" w:color="auto" w:fill="auto"/>
            <w:vAlign w:val="center"/>
          </w:tcPr>
          <w:p w:rsidR="007F1017" w:rsidRPr="00E2771E" w:rsidRDefault="007F1017" w:rsidP="00950DD9">
            <w:pPr>
              <w:keepNext/>
              <w:widowControl/>
              <w:jc w:val="left"/>
              <w:rPr>
                <w:rFonts w:ascii="Arial Narrow" w:hAnsi="Arial Narrow"/>
                <w:sz w:val="20"/>
                <w:lang w:val="en-US"/>
              </w:rPr>
            </w:pPr>
            <w:r w:rsidRPr="00E2771E">
              <w:rPr>
                <w:rFonts w:ascii="Arial Narrow" w:hAnsi="Arial Narrow"/>
                <w:sz w:val="20"/>
                <w:lang w:val="en-US"/>
              </w:rPr>
              <w:t>Meta-analysis</w:t>
            </w:r>
          </w:p>
        </w:tc>
        <w:tc>
          <w:tcPr>
            <w:tcW w:w="426" w:type="pct"/>
            <w:shd w:val="clear" w:color="auto" w:fill="auto"/>
            <w:vAlign w:val="center"/>
          </w:tcPr>
          <w:p w:rsidR="007F1017" w:rsidRPr="00E2771E" w:rsidRDefault="00BF2384" w:rsidP="00950DD9">
            <w:pPr>
              <w:keepNext/>
              <w:widowControl/>
              <w:jc w:val="center"/>
              <w:rPr>
                <w:rFonts w:ascii="Arial Narrow" w:hAnsi="Arial Narrow"/>
                <w:sz w:val="20"/>
                <w:lang w:val="en-US"/>
              </w:rPr>
            </w:pPr>
            <w:r>
              <w:rPr>
                <w:rFonts w:ascii="Arial Narrow" w:hAnsi="Arial Narrow"/>
                <w:sz w:val="20"/>
                <w:lang w:val="en-US"/>
              </w:rPr>
              <w:t>6,374</w:t>
            </w:r>
          </w:p>
        </w:tc>
        <w:tc>
          <w:tcPr>
            <w:tcW w:w="3226" w:type="pct"/>
            <w:gridSpan w:val="4"/>
            <w:shd w:val="clear" w:color="auto" w:fill="auto"/>
            <w:vAlign w:val="center"/>
          </w:tcPr>
          <w:p w:rsidR="007F1017" w:rsidRPr="00E2771E" w:rsidRDefault="00BF2384" w:rsidP="00950DD9">
            <w:pPr>
              <w:keepNext/>
              <w:widowControl/>
              <w:jc w:val="center"/>
              <w:rPr>
                <w:rFonts w:ascii="Arial Narrow" w:hAnsi="Arial Narrow"/>
                <w:sz w:val="20"/>
                <w:lang w:val="en-US"/>
              </w:rPr>
            </w:pPr>
            <w:r>
              <w:rPr>
                <w:rFonts w:ascii="Arial Narrow" w:hAnsi="Arial Narrow"/>
                <w:sz w:val="20"/>
                <w:lang w:val="en-US"/>
              </w:rPr>
              <w:t>Includes subgroup analysis of SOTI and TROPOS based on disease severity and cardiovascular contraindications</w:t>
            </w:r>
            <w:r w:rsidR="007F1017" w:rsidRPr="00E2771E">
              <w:rPr>
                <w:rFonts w:ascii="Arial Narrow" w:hAnsi="Arial Narrow"/>
                <w:sz w:val="20"/>
                <w:lang w:val="en-US"/>
              </w:rPr>
              <w:t xml:space="preserve"> </w:t>
            </w:r>
          </w:p>
        </w:tc>
        <w:tc>
          <w:tcPr>
            <w:tcW w:w="670" w:type="pct"/>
            <w:shd w:val="clear" w:color="auto" w:fill="auto"/>
            <w:vAlign w:val="center"/>
          </w:tcPr>
          <w:p w:rsidR="007F1017" w:rsidRPr="00E2771E" w:rsidRDefault="00BF2384" w:rsidP="00950DD9">
            <w:pPr>
              <w:keepNext/>
              <w:widowControl/>
              <w:jc w:val="center"/>
              <w:rPr>
                <w:rFonts w:ascii="Arial Narrow" w:hAnsi="Arial Narrow"/>
                <w:sz w:val="20"/>
                <w:lang w:val="en-US"/>
              </w:rPr>
            </w:pPr>
            <w:r>
              <w:rPr>
                <w:rFonts w:ascii="Arial Narrow" w:hAnsi="Arial Narrow"/>
                <w:sz w:val="20"/>
                <w:lang w:val="en-US"/>
              </w:rPr>
              <w:t>Fracture outcomes</w:t>
            </w:r>
          </w:p>
        </w:tc>
      </w:tr>
      <w:tr w:rsidR="0064309F" w:rsidRPr="00E2771E" w:rsidTr="00CA3AFE">
        <w:tc>
          <w:tcPr>
            <w:tcW w:w="5000" w:type="pct"/>
            <w:gridSpan w:val="7"/>
            <w:shd w:val="clear" w:color="auto" w:fill="auto"/>
            <w:vAlign w:val="center"/>
          </w:tcPr>
          <w:p w:rsidR="0064309F" w:rsidRPr="0064309F" w:rsidRDefault="0064309F" w:rsidP="00950DD9">
            <w:pPr>
              <w:keepNext/>
              <w:widowControl/>
              <w:jc w:val="left"/>
              <w:rPr>
                <w:rFonts w:ascii="Arial Narrow" w:hAnsi="Arial Narrow"/>
                <w:b/>
                <w:sz w:val="20"/>
                <w:lang w:val="en-US"/>
              </w:rPr>
            </w:pPr>
            <w:r>
              <w:rPr>
                <w:rFonts w:ascii="Arial Narrow" w:hAnsi="Arial Narrow"/>
                <w:b/>
                <w:sz w:val="20"/>
                <w:lang w:val="en-US"/>
              </w:rPr>
              <w:t>Denosumab vs placebo</w:t>
            </w:r>
          </w:p>
        </w:tc>
      </w:tr>
      <w:tr w:rsidR="00E22A0D" w:rsidRPr="00E2771E" w:rsidTr="00CA3AFE">
        <w:tc>
          <w:tcPr>
            <w:tcW w:w="678" w:type="pct"/>
            <w:shd w:val="clear" w:color="auto" w:fill="auto"/>
            <w:vAlign w:val="center"/>
          </w:tcPr>
          <w:p w:rsidR="007F1017" w:rsidRPr="00E2771E" w:rsidRDefault="0064309F" w:rsidP="00950DD9">
            <w:pPr>
              <w:keepNext/>
              <w:widowControl/>
              <w:jc w:val="left"/>
              <w:rPr>
                <w:rFonts w:ascii="Arial Narrow" w:hAnsi="Arial Narrow"/>
                <w:sz w:val="20"/>
                <w:lang w:val="en-US"/>
              </w:rPr>
            </w:pPr>
            <w:r>
              <w:rPr>
                <w:rFonts w:ascii="Arial Narrow" w:hAnsi="Arial Narrow"/>
                <w:sz w:val="20"/>
                <w:lang w:val="en-US"/>
              </w:rPr>
              <w:t>FREEDOM</w:t>
            </w:r>
          </w:p>
        </w:tc>
        <w:tc>
          <w:tcPr>
            <w:tcW w:w="426" w:type="pct"/>
            <w:shd w:val="clear" w:color="auto" w:fill="auto"/>
            <w:vAlign w:val="center"/>
          </w:tcPr>
          <w:p w:rsidR="007F1017" w:rsidRPr="00E2771E" w:rsidRDefault="00BF2384" w:rsidP="00950DD9">
            <w:pPr>
              <w:keepNext/>
              <w:widowControl/>
              <w:jc w:val="center"/>
              <w:rPr>
                <w:rFonts w:ascii="Arial Narrow" w:hAnsi="Arial Narrow"/>
                <w:sz w:val="20"/>
                <w:lang w:val="en-US"/>
              </w:rPr>
            </w:pPr>
            <w:r>
              <w:rPr>
                <w:rFonts w:ascii="Arial Narrow" w:hAnsi="Arial Narrow"/>
                <w:sz w:val="20"/>
                <w:lang w:val="en-US"/>
              </w:rPr>
              <w:t>7,868</w:t>
            </w:r>
          </w:p>
        </w:tc>
        <w:tc>
          <w:tcPr>
            <w:tcW w:w="862" w:type="pct"/>
            <w:shd w:val="clear" w:color="auto" w:fill="auto"/>
            <w:vAlign w:val="center"/>
          </w:tcPr>
          <w:p w:rsidR="007F1017" w:rsidRDefault="007506D8" w:rsidP="00950DD9">
            <w:pPr>
              <w:keepNext/>
              <w:widowControl/>
              <w:jc w:val="center"/>
              <w:rPr>
                <w:rFonts w:ascii="Arial Narrow" w:hAnsi="Arial Narrow"/>
                <w:sz w:val="20"/>
                <w:lang w:val="en-US"/>
              </w:rPr>
            </w:pPr>
            <w:r>
              <w:rPr>
                <w:rFonts w:ascii="Arial Narrow" w:hAnsi="Arial Narrow"/>
                <w:sz w:val="20"/>
                <w:lang w:val="en-US"/>
              </w:rPr>
              <w:t xml:space="preserve">MC, </w:t>
            </w:r>
            <w:r w:rsidRPr="00E2771E">
              <w:rPr>
                <w:rFonts w:ascii="Arial Narrow" w:hAnsi="Arial Narrow"/>
                <w:sz w:val="20"/>
                <w:lang w:val="en-US"/>
              </w:rPr>
              <w:t>R, DB</w:t>
            </w:r>
            <w:r>
              <w:rPr>
                <w:rFonts w:ascii="Arial Narrow" w:hAnsi="Arial Narrow"/>
                <w:sz w:val="20"/>
                <w:lang w:val="en-US"/>
              </w:rPr>
              <w:t>, PG</w:t>
            </w:r>
          </w:p>
          <w:p w:rsidR="007506D8" w:rsidRPr="00E2771E" w:rsidRDefault="007506D8" w:rsidP="00950DD9">
            <w:pPr>
              <w:keepNext/>
              <w:widowControl/>
              <w:jc w:val="center"/>
              <w:rPr>
                <w:rFonts w:ascii="Arial Narrow" w:hAnsi="Arial Narrow"/>
                <w:sz w:val="20"/>
                <w:lang w:val="en-US"/>
              </w:rPr>
            </w:pPr>
            <w:r>
              <w:rPr>
                <w:rFonts w:ascii="Arial Narrow" w:hAnsi="Arial Narrow"/>
                <w:sz w:val="20"/>
                <w:lang w:val="en-US"/>
              </w:rPr>
              <w:t>3 years</w:t>
            </w:r>
          </w:p>
        </w:tc>
        <w:tc>
          <w:tcPr>
            <w:tcW w:w="495" w:type="pct"/>
            <w:shd w:val="clear" w:color="auto" w:fill="auto"/>
            <w:vAlign w:val="center"/>
          </w:tcPr>
          <w:p w:rsidR="007F1017" w:rsidRPr="00E2771E" w:rsidRDefault="007506D8" w:rsidP="00950DD9">
            <w:pPr>
              <w:keepNext/>
              <w:widowControl/>
              <w:jc w:val="center"/>
              <w:rPr>
                <w:rFonts w:ascii="Arial Narrow" w:hAnsi="Arial Narrow"/>
                <w:sz w:val="20"/>
                <w:lang w:val="en-US"/>
              </w:rPr>
            </w:pPr>
            <w:r>
              <w:rPr>
                <w:rFonts w:ascii="Arial Narrow" w:hAnsi="Arial Narrow"/>
                <w:sz w:val="20"/>
                <w:lang w:val="en-US"/>
              </w:rPr>
              <w:t>Low</w:t>
            </w:r>
          </w:p>
        </w:tc>
        <w:tc>
          <w:tcPr>
            <w:tcW w:w="1315" w:type="pct"/>
            <w:shd w:val="clear" w:color="auto" w:fill="auto"/>
            <w:vAlign w:val="center"/>
          </w:tcPr>
          <w:p w:rsidR="007F1017" w:rsidRPr="00E2771E" w:rsidRDefault="007506D8" w:rsidP="00950DD9">
            <w:pPr>
              <w:keepNext/>
              <w:widowControl/>
              <w:jc w:val="center"/>
              <w:rPr>
                <w:rFonts w:ascii="Arial Narrow" w:hAnsi="Arial Narrow"/>
                <w:sz w:val="20"/>
                <w:lang w:val="en-US"/>
              </w:rPr>
            </w:pPr>
            <w:r>
              <w:rPr>
                <w:rFonts w:ascii="Arial Narrow" w:hAnsi="Arial Narrow"/>
                <w:sz w:val="20"/>
                <w:lang w:val="en-US"/>
              </w:rPr>
              <w:t>Postmenopausal osteoporosis</w:t>
            </w:r>
          </w:p>
        </w:tc>
        <w:tc>
          <w:tcPr>
            <w:tcW w:w="554" w:type="pct"/>
            <w:shd w:val="clear" w:color="auto" w:fill="auto"/>
            <w:vAlign w:val="center"/>
          </w:tcPr>
          <w:p w:rsidR="007F1017" w:rsidRPr="00E2771E" w:rsidRDefault="00CA3AFE" w:rsidP="00950DD9">
            <w:pPr>
              <w:keepNext/>
              <w:widowControl/>
              <w:jc w:val="center"/>
              <w:rPr>
                <w:rFonts w:ascii="Arial Narrow" w:hAnsi="Arial Narrow"/>
                <w:sz w:val="20"/>
                <w:lang w:val="en-US"/>
              </w:rPr>
            </w:pPr>
            <w:r>
              <w:rPr>
                <w:rFonts w:ascii="Arial Narrow" w:hAnsi="Arial Narrow"/>
                <w:sz w:val="20"/>
                <w:lang w:val="en-US"/>
              </w:rPr>
              <w:t>Fractures</w:t>
            </w:r>
            <w:r w:rsidR="00A315BF">
              <w:rPr>
                <w:rFonts w:ascii="Arial Narrow" w:hAnsi="Arial Narrow"/>
                <w:sz w:val="20"/>
                <w:lang w:val="en-US"/>
              </w:rPr>
              <w:t xml:space="preserve"> (3 year)</w:t>
            </w:r>
          </w:p>
        </w:tc>
        <w:tc>
          <w:tcPr>
            <w:tcW w:w="670" w:type="pct"/>
            <w:shd w:val="clear" w:color="auto" w:fill="auto"/>
            <w:vAlign w:val="center"/>
          </w:tcPr>
          <w:p w:rsidR="007F1017" w:rsidRPr="00E2771E" w:rsidRDefault="00CA3AFE" w:rsidP="00950DD9">
            <w:pPr>
              <w:keepNext/>
              <w:widowControl/>
              <w:jc w:val="center"/>
              <w:rPr>
                <w:rFonts w:ascii="Arial Narrow" w:hAnsi="Arial Narrow"/>
                <w:sz w:val="20"/>
                <w:lang w:val="en-US"/>
              </w:rPr>
            </w:pPr>
            <w:r w:rsidRPr="00E2771E">
              <w:rPr>
                <w:rFonts w:ascii="Arial Narrow" w:hAnsi="Arial Narrow"/>
                <w:sz w:val="20"/>
                <w:lang w:val="en-US"/>
              </w:rPr>
              <w:t>Not used</w:t>
            </w:r>
          </w:p>
        </w:tc>
      </w:tr>
      <w:tr w:rsidR="0064309F" w:rsidRPr="00E2771E" w:rsidTr="00CA3AFE">
        <w:tc>
          <w:tcPr>
            <w:tcW w:w="678" w:type="pct"/>
            <w:shd w:val="clear" w:color="auto" w:fill="auto"/>
            <w:vAlign w:val="center"/>
          </w:tcPr>
          <w:p w:rsidR="0064309F" w:rsidRPr="00E2771E" w:rsidRDefault="0064309F" w:rsidP="00950DD9">
            <w:pPr>
              <w:keepNext/>
              <w:widowControl/>
              <w:jc w:val="left"/>
              <w:rPr>
                <w:rFonts w:ascii="Arial Narrow" w:hAnsi="Arial Narrow"/>
                <w:sz w:val="20"/>
                <w:lang w:val="en-US"/>
              </w:rPr>
            </w:pPr>
            <w:r>
              <w:rPr>
                <w:rFonts w:ascii="Arial Narrow" w:hAnsi="Arial Narrow"/>
                <w:sz w:val="20"/>
                <w:lang w:val="en-US"/>
              </w:rPr>
              <w:t>ADAMO</w:t>
            </w:r>
          </w:p>
        </w:tc>
        <w:tc>
          <w:tcPr>
            <w:tcW w:w="426" w:type="pct"/>
            <w:shd w:val="clear" w:color="auto" w:fill="auto"/>
            <w:vAlign w:val="center"/>
          </w:tcPr>
          <w:p w:rsidR="0064309F" w:rsidRPr="00E2771E" w:rsidRDefault="00BF2384" w:rsidP="00950DD9">
            <w:pPr>
              <w:keepNext/>
              <w:widowControl/>
              <w:jc w:val="center"/>
              <w:rPr>
                <w:rFonts w:ascii="Arial Narrow" w:hAnsi="Arial Narrow"/>
                <w:sz w:val="20"/>
                <w:lang w:val="en-US"/>
              </w:rPr>
            </w:pPr>
            <w:r>
              <w:rPr>
                <w:rFonts w:ascii="Arial Narrow" w:hAnsi="Arial Narrow"/>
                <w:sz w:val="20"/>
                <w:lang w:val="en-US"/>
              </w:rPr>
              <w:t>242</w:t>
            </w:r>
          </w:p>
        </w:tc>
        <w:tc>
          <w:tcPr>
            <w:tcW w:w="862" w:type="pct"/>
            <w:shd w:val="clear" w:color="auto" w:fill="auto"/>
            <w:vAlign w:val="center"/>
          </w:tcPr>
          <w:p w:rsidR="0064309F" w:rsidRDefault="007506D8" w:rsidP="00950DD9">
            <w:pPr>
              <w:keepNext/>
              <w:widowControl/>
              <w:jc w:val="center"/>
              <w:rPr>
                <w:rFonts w:ascii="Arial Narrow" w:hAnsi="Arial Narrow"/>
                <w:sz w:val="20"/>
                <w:lang w:val="en-US"/>
              </w:rPr>
            </w:pPr>
            <w:r>
              <w:rPr>
                <w:rFonts w:ascii="Arial Narrow" w:hAnsi="Arial Narrow"/>
                <w:sz w:val="20"/>
                <w:lang w:val="en-US"/>
              </w:rPr>
              <w:t xml:space="preserve">MC, </w:t>
            </w:r>
            <w:r w:rsidRPr="00E2771E">
              <w:rPr>
                <w:rFonts w:ascii="Arial Narrow" w:hAnsi="Arial Narrow"/>
                <w:sz w:val="20"/>
                <w:lang w:val="en-US"/>
              </w:rPr>
              <w:t>R, DB</w:t>
            </w:r>
            <w:r>
              <w:rPr>
                <w:rFonts w:ascii="Arial Narrow" w:hAnsi="Arial Narrow"/>
                <w:sz w:val="20"/>
                <w:lang w:val="en-US"/>
              </w:rPr>
              <w:t>, PG</w:t>
            </w:r>
          </w:p>
          <w:p w:rsidR="007506D8" w:rsidRPr="00E2771E" w:rsidRDefault="007506D8" w:rsidP="00950DD9">
            <w:pPr>
              <w:keepNext/>
              <w:widowControl/>
              <w:jc w:val="center"/>
              <w:rPr>
                <w:rFonts w:ascii="Arial Narrow" w:hAnsi="Arial Narrow"/>
                <w:sz w:val="20"/>
                <w:lang w:val="en-US"/>
              </w:rPr>
            </w:pPr>
            <w:r>
              <w:rPr>
                <w:rFonts w:ascii="Arial Narrow" w:hAnsi="Arial Narrow"/>
                <w:sz w:val="20"/>
                <w:lang w:val="en-US"/>
              </w:rPr>
              <w:t>1 year</w:t>
            </w:r>
          </w:p>
        </w:tc>
        <w:tc>
          <w:tcPr>
            <w:tcW w:w="495" w:type="pct"/>
            <w:shd w:val="clear" w:color="auto" w:fill="auto"/>
            <w:vAlign w:val="center"/>
          </w:tcPr>
          <w:p w:rsidR="0064309F" w:rsidRPr="00E2771E" w:rsidRDefault="007506D8" w:rsidP="00950DD9">
            <w:pPr>
              <w:keepNext/>
              <w:widowControl/>
              <w:jc w:val="center"/>
              <w:rPr>
                <w:rFonts w:ascii="Arial Narrow" w:hAnsi="Arial Narrow"/>
                <w:sz w:val="20"/>
                <w:lang w:val="en-US"/>
              </w:rPr>
            </w:pPr>
            <w:r>
              <w:rPr>
                <w:rFonts w:ascii="Arial Narrow" w:hAnsi="Arial Narrow"/>
                <w:sz w:val="20"/>
                <w:lang w:val="en-US"/>
              </w:rPr>
              <w:t>Low</w:t>
            </w:r>
          </w:p>
        </w:tc>
        <w:tc>
          <w:tcPr>
            <w:tcW w:w="1315" w:type="pct"/>
            <w:shd w:val="clear" w:color="auto" w:fill="auto"/>
            <w:vAlign w:val="center"/>
          </w:tcPr>
          <w:p w:rsidR="0064309F" w:rsidRPr="00E2771E" w:rsidRDefault="007506D8" w:rsidP="00950DD9">
            <w:pPr>
              <w:keepNext/>
              <w:widowControl/>
              <w:jc w:val="center"/>
              <w:rPr>
                <w:rFonts w:ascii="Arial Narrow" w:hAnsi="Arial Narrow"/>
                <w:sz w:val="20"/>
                <w:lang w:val="en-US"/>
              </w:rPr>
            </w:pPr>
            <w:r>
              <w:rPr>
                <w:rFonts w:ascii="Arial Narrow" w:hAnsi="Arial Narrow"/>
                <w:sz w:val="20"/>
                <w:lang w:val="en-US"/>
              </w:rPr>
              <w:t>Males with low BMD</w:t>
            </w:r>
          </w:p>
        </w:tc>
        <w:tc>
          <w:tcPr>
            <w:tcW w:w="554" w:type="pct"/>
            <w:shd w:val="clear" w:color="auto" w:fill="auto"/>
            <w:vAlign w:val="center"/>
          </w:tcPr>
          <w:p w:rsidR="0064309F" w:rsidRPr="00E2771E" w:rsidRDefault="00CA3AFE" w:rsidP="00950DD9">
            <w:pPr>
              <w:keepNext/>
              <w:widowControl/>
              <w:jc w:val="center"/>
              <w:rPr>
                <w:rFonts w:ascii="Arial Narrow" w:hAnsi="Arial Narrow"/>
                <w:sz w:val="20"/>
                <w:lang w:val="en-US"/>
              </w:rPr>
            </w:pPr>
            <w:r>
              <w:rPr>
                <w:rFonts w:ascii="Arial Narrow" w:hAnsi="Arial Narrow"/>
                <w:sz w:val="20"/>
                <w:lang w:val="en-US"/>
              </w:rPr>
              <w:t>BMD</w:t>
            </w:r>
          </w:p>
        </w:tc>
        <w:tc>
          <w:tcPr>
            <w:tcW w:w="670" w:type="pct"/>
            <w:shd w:val="clear" w:color="auto" w:fill="auto"/>
            <w:vAlign w:val="center"/>
          </w:tcPr>
          <w:p w:rsidR="0064309F" w:rsidRPr="00E2771E" w:rsidRDefault="00CA3AFE" w:rsidP="00950DD9">
            <w:pPr>
              <w:keepNext/>
              <w:widowControl/>
              <w:jc w:val="center"/>
              <w:rPr>
                <w:rFonts w:ascii="Arial Narrow" w:hAnsi="Arial Narrow"/>
                <w:sz w:val="20"/>
                <w:lang w:val="en-US"/>
              </w:rPr>
            </w:pPr>
            <w:r w:rsidRPr="00E2771E">
              <w:rPr>
                <w:rFonts w:ascii="Arial Narrow" w:hAnsi="Arial Narrow"/>
                <w:sz w:val="20"/>
                <w:lang w:val="en-US"/>
              </w:rPr>
              <w:t>Not used</w:t>
            </w:r>
          </w:p>
        </w:tc>
      </w:tr>
    </w:tbl>
    <w:p w:rsidR="007F1017" w:rsidRPr="0072416F" w:rsidRDefault="007506D8" w:rsidP="00950DD9">
      <w:pPr>
        <w:pStyle w:val="TableFooter"/>
        <w:keepNext/>
        <w:widowControl/>
        <w:ind w:left="709"/>
      </w:pPr>
      <w:r>
        <w:t xml:space="preserve">Abbreviations: </w:t>
      </w:r>
      <w:r w:rsidR="00D065E4">
        <w:t xml:space="preserve">BMD, </w:t>
      </w:r>
      <w:r w:rsidR="00D065E4" w:rsidRPr="001A6221">
        <w:rPr>
          <w:szCs w:val="18"/>
        </w:rPr>
        <w:t>bone mineral d</w:t>
      </w:r>
      <w:r w:rsidR="00D065E4">
        <w:rPr>
          <w:szCs w:val="18"/>
        </w:rPr>
        <w:t>ensity</w:t>
      </w:r>
      <w:r w:rsidR="00D065E4">
        <w:t xml:space="preserve">; </w:t>
      </w:r>
      <w:r>
        <w:t xml:space="preserve">DB, double blind; MC, </w:t>
      </w:r>
      <w:r w:rsidR="007F1017" w:rsidRPr="0072416F">
        <w:t>multi-centre;</w:t>
      </w:r>
      <w:r>
        <w:t xml:space="preserve"> PG, parallel-group; R, </w:t>
      </w:r>
      <w:r w:rsidR="007F1017" w:rsidRPr="0072416F">
        <w:t>randomised.</w:t>
      </w:r>
    </w:p>
    <w:p w:rsidR="007F1017" w:rsidRPr="0072416F" w:rsidRDefault="007F1017" w:rsidP="00950DD9">
      <w:pPr>
        <w:pStyle w:val="TableFooter"/>
        <w:widowControl/>
        <w:ind w:firstLine="720"/>
      </w:pPr>
      <w:r w:rsidRPr="0072416F">
        <w:t>Source: compiled during the evaluation</w:t>
      </w:r>
      <w:r w:rsidR="00D065E4">
        <w:t>.</w:t>
      </w:r>
    </w:p>
    <w:p w:rsidR="007F1017" w:rsidRDefault="007F1017" w:rsidP="00950DD9">
      <w:pPr>
        <w:widowControl/>
      </w:pPr>
    </w:p>
    <w:p w:rsidR="00995DCD" w:rsidRPr="00741DE1" w:rsidRDefault="00995DCD" w:rsidP="00950DD9">
      <w:pPr>
        <w:pStyle w:val="ListParagraph"/>
        <w:keepNext/>
        <w:widowControl/>
        <w:numPr>
          <w:ilvl w:val="1"/>
          <w:numId w:val="5"/>
        </w:numPr>
        <w:rPr>
          <w:szCs w:val="22"/>
        </w:rPr>
      </w:pPr>
      <w:r w:rsidRPr="00741DE1">
        <w:rPr>
          <w:szCs w:val="22"/>
        </w:rPr>
        <w:t>The submission acknowledge</w:t>
      </w:r>
      <w:r w:rsidR="005F30D7" w:rsidRPr="00741DE1">
        <w:rPr>
          <w:szCs w:val="22"/>
        </w:rPr>
        <w:t>d that the trial populations were</w:t>
      </w:r>
      <w:r w:rsidRPr="00741DE1">
        <w:rPr>
          <w:szCs w:val="22"/>
        </w:rPr>
        <w:t xml:space="preserve"> not representative of the current PBS population and therefore presented subgroup analyses assessing the impact of disease severity and cardiovascular risk factors on fracture outcomes.</w:t>
      </w:r>
      <w:r w:rsidR="003F2E78" w:rsidRPr="00741DE1">
        <w:rPr>
          <w:szCs w:val="22"/>
        </w:rPr>
        <w:t xml:space="preserve"> No analysis was presented to assess the impact of shifting place in therapy (i.e. from first-line treatment to second-line or last-line treatment). </w:t>
      </w:r>
    </w:p>
    <w:p w:rsidR="00E30264" w:rsidRPr="00741DE1" w:rsidRDefault="00E30264" w:rsidP="00950DD9">
      <w:pPr>
        <w:pStyle w:val="ListParagraph"/>
        <w:keepNext/>
        <w:widowControl/>
        <w:rPr>
          <w:szCs w:val="22"/>
        </w:rPr>
      </w:pPr>
    </w:p>
    <w:p w:rsidR="00995DCD" w:rsidRPr="00741DE1" w:rsidRDefault="00995DCD" w:rsidP="00950DD9">
      <w:pPr>
        <w:pStyle w:val="ListParagraph"/>
        <w:keepNext/>
        <w:widowControl/>
        <w:numPr>
          <w:ilvl w:val="1"/>
          <w:numId w:val="5"/>
        </w:numPr>
        <w:rPr>
          <w:szCs w:val="22"/>
        </w:rPr>
      </w:pPr>
      <w:r w:rsidRPr="00741DE1">
        <w:rPr>
          <w:szCs w:val="22"/>
        </w:rPr>
        <w:t>The submission acknowledged heterogeneity between the SOTI and TROPOS trials which appear</w:t>
      </w:r>
      <w:r w:rsidR="005F30D7" w:rsidRPr="00741DE1">
        <w:rPr>
          <w:szCs w:val="22"/>
        </w:rPr>
        <w:t>ed</w:t>
      </w:r>
      <w:r w:rsidRPr="00741DE1">
        <w:rPr>
          <w:szCs w:val="22"/>
        </w:rPr>
        <w:t xml:space="preserve"> to be primarily due to differences in trial populations due to the SOTI trial enrolling patients with an increased risk of vertebral fracture.</w:t>
      </w:r>
    </w:p>
    <w:p w:rsidR="00995DCD" w:rsidRPr="00741DE1" w:rsidRDefault="00995DCD" w:rsidP="00950DD9">
      <w:pPr>
        <w:pStyle w:val="ListParagraph"/>
        <w:keepNext/>
        <w:widowControl/>
        <w:rPr>
          <w:szCs w:val="22"/>
        </w:rPr>
      </w:pPr>
    </w:p>
    <w:p w:rsidR="00995DCD" w:rsidRPr="00764176" w:rsidRDefault="00995DCD" w:rsidP="00950DD9">
      <w:pPr>
        <w:pStyle w:val="ListParagraph"/>
        <w:keepNext/>
        <w:widowControl/>
        <w:numPr>
          <w:ilvl w:val="1"/>
          <w:numId w:val="5"/>
        </w:numPr>
        <w:rPr>
          <w:szCs w:val="22"/>
        </w:rPr>
      </w:pPr>
      <w:r w:rsidRPr="00764176">
        <w:rPr>
          <w:szCs w:val="22"/>
        </w:rPr>
        <w:t>The submission also acknowledged differences in patient (e.g. fracture history, baseline BMD T-scores) and study characteristics (</w:t>
      </w:r>
      <w:r w:rsidR="003F2E78" w:rsidRPr="00764176">
        <w:rPr>
          <w:szCs w:val="22"/>
        </w:rPr>
        <w:t>e.g. calcium and Vitamin D supplementation</w:t>
      </w:r>
      <w:r w:rsidR="00970894" w:rsidRPr="00764176">
        <w:rPr>
          <w:szCs w:val="22"/>
        </w:rPr>
        <w:t>, differences in recruitment periods</w:t>
      </w:r>
      <w:r w:rsidRPr="00764176">
        <w:rPr>
          <w:szCs w:val="22"/>
        </w:rPr>
        <w:t>) between the strontium ranelate and denosumab trials which may have limited the exchangeability of studies included in the indirect analyses.</w:t>
      </w:r>
      <w:r w:rsidR="003F4A47" w:rsidRPr="00764176">
        <w:rPr>
          <w:szCs w:val="22"/>
        </w:rPr>
        <w:t xml:space="preserve"> </w:t>
      </w:r>
      <w:r w:rsidR="003F4A47" w:rsidRPr="00764176">
        <w:t>The PSCR acknowledged that the trials were probably not sufficiently exchangeable to justify their inclusion in an indirect comparison but justified their inclusion given the absence of any better quality comparative evidence.</w:t>
      </w:r>
    </w:p>
    <w:p w:rsidR="00764176" w:rsidRPr="00882085" w:rsidRDefault="00764176" w:rsidP="00950DD9">
      <w:pPr>
        <w:widowControl/>
        <w:rPr>
          <w:szCs w:val="22"/>
        </w:rPr>
      </w:pPr>
    </w:p>
    <w:p w:rsidR="00B60939" w:rsidRPr="002C2775" w:rsidRDefault="00B60939" w:rsidP="00950DD9">
      <w:pPr>
        <w:pStyle w:val="Heading2"/>
        <w:widowControl/>
        <w:rPr>
          <w:i/>
        </w:rPr>
      </w:pPr>
      <w:bookmarkStart w:id="9" w:name="_Toc419206531"/>
      <w:r w:rsidRPr="002C2775">
        <w:rPr>
          <w:i/>
        </w:rPr>
        <w:t>Comparative effectiveness</w:t>
      </w:r>
      <w:bookmarkEnd w:id="9"/>
    </w:p>
    <w:p w:rsidR="006361B0" w:rsidRPr="00882085" w:rsidRDefault="006361B0" w:rsidP="00950DD9">
      <w:pPr>
        <w:widowControl/>
        <w:rPr>
          <w:szCs w:val="22"/>
        </w:rPr>
      </w:pPr>
    </w:p>
    <w:p w:rsidR="002C2775" w:rsidRDefault="00335096" w:rsidP="00950DD9">
      <w:pPr>
        <w:pStyle w:val="ListParagraph"/>
        <w:widowControl/>
        <w:numPr>
          <w:ilvl w:val="1"/>
          <w:numId w:val="5"/>
        </w:numPr>
        <w:rPr>
          <w:szCs w:val="22"/>
        </w:rPr>
      </w:pPr>
      <w:r>
        <w:rPr>
          <w:szCs w:val="22"/>
        </w:rPr>
        <w:t>The following table presents a d</w:t>
      </w:r>
      <w:r w:rsidR="008679C8">
        <w:rPr>
          <w:szCs w:val="22"/>
        </w:rPr>
        <w:t>irect comparison of strontium ranelate vs. placebo.</w:t>
      </w:r>
    </w:p>
    <w:p w:rsidR="006512CA" w:rsidRDefault="006512CA" w:rsidP="00950DD9">
      <w:pPr>
        <w:pStyle w:val="PBACHeading1"/>
        <w:numPr>
          <w:ilvl w:val="0"/>
          <w:numId w:val="0"/>
        </w:numPr>
      </w:pPr>
    </w:p>
    <w:p w:rsidR="006512CA" w:rsidRPr="00567EEF" w:rsidRDefault="006512CA" w:rsidP="00950DD9">
      <w:pPr>
        <w:keepNext/>
        <w:widowControl/>
        <w:ind w:firstLine="720"/>
        <w:rPr>
          <w:rFonts w:ascii="Arial Narrow" w:hAnsi="Arial Narrow"/>
          <w:b/>
          <w:sz w:val="20"/>
        </w:rPr>
      </w:pPr>
      <w:r w:rsidRPr="00567EEF">
        <w:rPr>
          <w:rFonts w:ascii="Arial Narrow" w:hAnsi="Arial Narrow"/>
          <w:b/>
          <w:sz w:val="20"/>
        </w:rPr>
        <w:t>Table</w:t>
      </w:r>
      <w:r>
        <w:rPr>
          <w:rFonts w:ascii="Arial Narrow" w:hAnsi="Arial Narrow"/>
          <w:b/>
          <w:sz w:val="20"/>
        </w:rPr>
        <w:t xml:space="preserve"> 3: Fracture outcomes with strontium ranelate vs. placebo</w:t>
      </w:r>
    </w:p>
    <w:tbl>
      <w:tblPr>
        <w:tblW w:w="4514" w:type="pct"/>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4"/>
        <w:gridCol w:w="1196"/>
        <w:gridCol w:w="1202"/>
        <w:gridCol w:w="1197"/>
        <w:gridCol w:w="1197"/>
        <w:gridCol w:w="1198"/>
      </w:tblGrid>
      <w:tr w:rsidR="006512CA" w:rsidRPr="00567EEF" w:rsidTr="006C25C1">
        <w:trPr>
          <w:cantSplit/>
          <w:trHeight w:val="167"/>
          <w:tblHeader/>
        </w:trPr>
        <w:tc>
          <w:tcPr>
            <w:tcW w:w="1411" w:type="pct"/>
            <w:tcBorders>
              <w:right w:val="single" w:sz="4" w:space="0" w:color="auto"/>
            </w:tcBorders>
            <w:shd w:val="clear" w:color="auto" w:fill="auto"/>
            <w:vAlign w:val="center"/>
          </w:tcPr>
          <w:p w:rsidR="006512CA" w:rsidRPr="00567EEF" w:rsidRDefault="006512CA" w:rsidP="00950DD9">
            <w:pPr>
              <w:keepNext/>
              <w:widowControl/>
              <w:jc w:val="center"/>
              <w:rPr>
                <w:rFonts w:ascii="Arial Narrow" w:hAnsi="Arial Narrow"/>
                <w:b/>
                <w:sz w:val="20"/>
              </w:rPr>
            </w:pPr>
            <w:r>
              <w:rPr>
                <w:rFonts w:ascii="Arial Narrow" w:hAnsi="Arial Narrow"/>
                <w:b/>
                <w:sz w:val="20"/>
              </w:rPr>
              <w:t>Trial</w:t>
            </w:r>
          </w:p>
        </w:tc>
        <w:tc>
          <w:tcPr>
            <w:tcW w:w="717" w:type="pct"/>
            <w:tcBorders>
              <w:left w:val="single" w:sz="4" w:space="0" w:color="auto"/>
              <w:right w:val="single" w:sz="4" w:space="0" w:color="auto"/>
            </w:tcBorders>
            <w:shd w:val="clear" w:color="auto" w:fill="auto"/>
            <w:vAlign w:val="center"/>
          </w:tcPr>
          <w:p w:rsidR="006512CA" w:rsidRDefault="006512CA" w:rsidP="00950DD9">
            <w:pPr>
              <w:keepNext/>
              <w:widowControl/>
              <w:jc w:val="center"/>
              <w:rPr>
                <w:rFonts w:ascii="Arial Narrow" w:hAnsi="Arial Narrow"/>
                <w:b/>
                <w:sz w:val="20"/>
              </w:rPr>
            </w:pPr>
            <w:r>
              <w:rPr>
                <w:rFonts w:ascii="Arial Narrow" w:hAnsi="Arial Narrow"/>
                <w:b/>
                <w:sz w:val="20"/>
              </w:rPr>
              <w:t>Strontium</w:t>
            </w:r>
          </w:p>
          <w:p w:rsidR="006512CA" w:rsidRDefault="006512CA" w:rsidP="00950DD9">
            <w:pPr>
              <w:keepNext/>
              <w:widowControl/>
              <w:jc w:val="center"/>
              <w:rPr>
                <w:rFonts w:ascii="Arial Narrow" w:hAnsi="Arial Narrow"/>
                <w:b/>
                <w:sz w:val="20"/>
              </w:rPr>
            </w:pPr>
            <w:r>
              <w:rPr>
                <w:rFonts w:ascii="Arial Narrow" w:hAnsi="Arial Narrow"/>
                <w:b/>
                <w:sz w:val="20"/>
              </w:rPr>
              <w:t>n/N (%)</w:t>
            </w:r>
          </w:p>
        </w:tc>
        <w:tc>
          <w:tcPr>
            <w:tcW w:w="720" w:type="pct"/>
            <w:tcBorders>
              <w:left w:val="single" w:sz="4" w:space="0" w:color="auto"/>
              <w:right w:val="single" w:sz="4" w:space="0" w:color="auto"/>
            </w:tcBorders>
            <w:shd w:val="clear" w:color="auto" w:fill="auto"/>
            <w:vAlign w:val="center"/>
          </w:tcPr>
          <w:p w:rsidR="006512CA" w:rsidRDefault="006512CA" w:rsidP="00950DD9">
            <w:pPr>
              <w:keepNext/>
              <w:widowControl/>
              <w:jc w:val="center"/>
              <w:rPr>
                <w:rFonts w:ascii="Arial Narrow" w:hAnsi="Arial Narrow"/>
                <w:b/>
                <w:sz w:val="20"/>
              </w:rPr>
            </w:pPr>
            <w:r>
              <w:rPr>
                <w:rFonts w:ascii="Arial Narrow" w:hAnsi="Arial Narrow"/>
                <w:b/>
                <w:sz w:val="20"/>
              </w:rPr>
              <w:t>Placebo</w:t>
            </w:r>
          </w:p>
          <w:p w:rsidR="006512CA" w:rsidRDefault="006512CA" w:rsidP="00950DD9">
            <w:pPr>
              <w:keepNext/>
              <w:widowControl/>
              <w:jc w:val="center"/>
              <w:rPr>
                <w:rFonts w:ascii="Arial Narrow" w:hAnsi="Arial Narrow"/>
                <w:b/>
                <w:sz w:val="20"/>
              </w:rPr>
            </w:pPr>
            <w:r>
              <w:rPr>
                <w:rFonts w:ascii="Arial Narrow" w:hAnsi="Arial Narrow"/>
                <w:b/>
                <w:sz w:val="20"/>
              </w:rPr>
              <w:t>n/N (%)</w:t>
            </w:r>
          </w:p>
        </w:tc>
        <w:tc>
          <w:tcPr>
            <w:tcW w:w="717" w:type="pct"/>
            <w:tcBorders>
              <w:left w:val="single" w:sz="4" w:space="0" w:color="auto"/>
              <w:right w:val="single" w:sz="4" w:space="0" w:color="auto"/>
            </w:tcBorders>
            <w:shd w:val="clear" w:color="auto" w:fill="auto"/>
            <w:vAlign w:val="center"/>
          </w:tcPr>
          <w:p w:rsidR="006512CA" w:rsidRDefault="006512CA" w:rsidP="00950DD9">
            <w:pPr>
              <w:keepNext/>
              <w:widowControl/>
              <w:jc w:val="center"/>
              <w:rPr>
                <w:rFonts w:ascii="Arial Narrow" w:hAnsi="Arial Narrow"/>
                <w:b/>
                <w:sz w:val="20"/>
              </w:rPr>
            </w:pPr>
            <w:r>
              <w:rPr>
                <w:rFonts w:ascii="Arial Narrow" w:hAnsi="Arial Narrow"/>
                <w:b/>
                <w:sz w:val="20"/>
              </w:rPr>
              <w:t>RR</w:t>
            </w:r>
          </w:p>
          <w:p w:rsidR="006512CA" w:rsidRDefault="006512CA" w:rsidP="00950DD9">
            <w:pPr>
              <w:keepNext/>
              <w:widowControl/>
              <w:jc w:val="center"/>
              <w:rPr>
                <w:rFonts w:ascii="Arial Narrow" w:hAnsi="Arial Narrow"/>
                <w:b/>
                <w:sz w:val="20"/>
              </w:rPr>
            </w:pPr>
            <w:r>
              <w:rPr>
                <w:rFonts w:ascii="Arial Narrow" w:hAnsi="Arial Narrow"/>
                <w:b/>
                <w:sz w:val="20"/>
              </w:rPr>
              <w:t>(95% CI)</w:t>
            </w:r>
          </w:p>
        </w:tc>
        <w:tc>
          <w:tcPr>
            <w:tcW w:w="717" w:type="pct"/>
            <w:tcBorders>
              <w:left w:val="single" w:sz="4" w:space="0" w:color="auto"/>
            </w:tcBorders>
            <w:shd w:val="clear" w:color="auto" w:fill="auto"/>
            <w:vAlign w:val="center"/>
          </w:tcPr>
          <w:p w:rsidR="006512CA" w:rsidRDefault="006512CA" w:rsidP="00950DD9">
            <w:pPr>
              <w:keepNext/>
              <w:widowControl/>
              <w:jc w:val="center"/>
              <w:rPr>
                <w:rFonts w:ascii="Arial Narrow" w:hAnsi="Arial Narrow"/>
                <w:b/>
                <w:sz w:val="20"/>
              </w:rPr>
            </w:pPr>
            <w:r>
              <w:rPr>
                <w:rFonts w:ascii="Arial Narrow" w:hAnsi="Arial Narrow"/>
                <w:b/>
                <w:sz w:val="20"/>
              </w:rPr>
              <w:t>HR</w:t>
            </w:r>
          </w:p>
          <w:p w:rsidR="006512CA" w:rsidRPr="000A0FC3" w:rsidRDefault="006512CA" w:rsidP="00950DD9">
            <w:pPr>
              <w:keepNext/>
              <w:widowControl/>
              <w:jc w:val="center"/>
              <w:rPr>
                <w:rFonts w:ascii="Arial Narrow" w:hAnsi="Arial Narrow"/>
                <w:b/>
                <w:sz w:val="20"/>
                <w:vertAlign w:val="superscript"/>
              </w:rPr>
            </w:pPr>
            <w:r>
              <w:rPr>
                <w:rFonts w:ascii="Arial Narrow" w:hAnsi="Arial Narrow"/>
                <w:b/>
                <w:sz w:val="20"/>
              </w:rPr>
              <w:t>(95% CI)</w:t>
            </w:r>
            <w:r>
              <w:rPr>
                <w:rFonts w:ascii="Arial Narrow" w:hAnsi="Arial Narrow"/>
                <w:b/>
                <w:sz w:val="20"/>
                <w:vertAlign w:val="superscript"/>
              </w:rPr>
              <w:t>a</w:t>
            </w:r>
          </w:p>
        </w:tc>
        <w:tc>
          <w:tcPr>
            <w:tcW w:w="718" w:type="pct"/>
            <w:tcBorders>
              <w:left w:val="single" w:sz="4" w:space="0" w:color="auto"/>
            </w:tcBorders>
            <w:shd w:val="clear" w:color="auto" w:fill="auto"/>
            <w:vAlign w:val="center"/>
          </w:tcPr>
          <w:p w:rsidR="006512CA" w:rsidRDefault="006512CA" w:rsidP="00950DD9">
            <w:pPr>
              <w:keepNext/>
              <w:widowControl/>
              <w:jc w:val="center"/>
              <w:rPr>
                <w:rFonts w:ascii="Arial Narrow" w:hAnsi="Arial Narrow"/>
                <w:b/>
                <w:sz w:val="20"/>
              </w:rPr>
            </w:pPr>
            <w:r>
              <w:rPr>
                <w:rFonts w:ascii="Arial Narrow" w:hAnsi="Arial Narrow"/>
                <w:b/>
                <w:sz w:val="20"/>
              </w:rPr>
              <w:t>RD</w:t>
            </w:r>
          </w:p>
          <w:p w:rsidR="006512CA" w:rsidRPr="00567EEF" w:rsidRDefault="006512CA" w:rsidP="00950DD9">
            <w:pPr>
              <w:keepNext/>
              <w:widowControl/>
              <w:jc w:val="center"/>
              <w:rPr>
                <w:rFonts w:ascii="Arial Narrow" w:hAnsi="Arial Narrow"/>
                <w:b/>
                <w:sz w:val="20"/>
              </w:rPr>
            </w:pPr>
            <w:r>
              <w:rPr>
                <w:rFonts w:ascii="Arial Narrow" w:hAnsi="Arial Narrow"/>
                <w:b/>
                <w:sz w:val="20"/>
              </w:rPr>
              <w:t>(95% CI)</w:t>
            </w:r>
          </w:p>
        </w:tc>
      </w:tr>
      <w:tr w:rsidR="006512CA" w:rsidRPr="00567EEF" w:rsidTr="006512CA">
        <w:trPr>
          <w:cantSplit/>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6512CA" w:rsidRPr="00A3242B" w:rsidRDefault="006512CA" w:rsidP="00950DD9">
            <w:pPr>
              <w:keepNext/>
              <w:widowControl/>
              <w:jc w:val="left"/>
              <w:rPr>
                <w:rFonts w:ascii="Arial Narrow" w:hAnsi="Arial Narrow"/>
                <w:b/>
                <w:sz w:val="20"/>
              </w:rPr>
            </w:pPr>
            <w:r>
              <w:rPr>
                <w:rFonts w:ascii="Arial Narrow" w:hAnsi="Arial Narrow"/>
                <w:b/>
                <w:sz w:val="20"/>
              </w:rPr>
              <w:t>Morphometric vertebral fractures</w:t>
            </w:r>
          </w:p>
        </w:tc>
      </w:tr>
      <w:tr w:rsidR="006512CA" w:rsidRPr="00567EEF" w:rsidTr="006C25C1">
        <w:trPr>
          <w:cantSplit/>
          <w:trHeight w:val="459"/>
        </w:trPr>
        <w:tc>
          <w:tcPr>
            <w:tcW w:w="1411" w:type="pct"/>
            <w:tcBorders>
              <w:top w:val="single" w:sz="4" w:space="0" w:color="auto"/>
              <w:left w:val="single" w:sz="4" w:space="0" w:color="auto"/>
              <w:bottom w:val="single" w:sz="4" w:space="0" w:color="auto"/>
              <w:right w:val="single" w:sz="4" w:space="0" w:color="auto"/>
            </w:tcBorders>
            <w:shd w:val="clear" w:color="auto" w:fill="auto"/>
            <w:vAlign w:val="center"/>
          </w:tcPr>
          <w:p w:rsidR="006512CA" w:rsidRDefault="006512CA" w:rsidP="00950DD9">
            <w:pPr>
              <w:keepNext/>
              <w:widowControl/>
              <w:jc w:val="left"/>
              <w:rPr>
                <w:rFonts w:ascii="Arial Narrow" w:hAnsi="Arial Narrow"/>
                <w:sz w:val="20"/>
              </w:rPr>
            </w:pPr>
            <w:r>
              <w:rPr>
                <w:rFonts w:ascii="Arial Narrow" w:hAnsi="Arial Narrow"/>
                <w:sz w:val="20"/>
              </w:rPr>
              <w:t>SOTI (3 year)</w:t>
            </w:r>
          </w:p>
        </w:tc>
        <w:tc>
          <w:tcPr>
            <w:tcW w:w="717" w:type="pct"/>
            <w:tcBorders>
              <w:top w:val="single" w:sz="4" w:space="0" w:color="auto"/>
              <w:left w:val="single" w:sz="4" w:space="0" w:color="auto"/>
              <w:bottom w:val="single" w:sz="4" w:space="0" w:color="auto"/>
              <w:right w:val="single" w:sz="4" w:space="0" w:color="auto"/>
            </w:tcBorders>
            <w:vAlign w:val="center"/>
          </w:tcPr>
          <w:p w:rsidR="006512CA" w:rsidRPr="00481114" w:rsidRDefault="006512CA" w:rsidP="00950DD9">
            <w:pPr>
              <w:keepNext/>
              <w:widowControl/>
              <w:jc w:val="center"/>
              <w:rPr>
                <w:rFonts w:ascii="Arial Narrow" w:hAnsi="Arial Narrow"/>
                <w:sz w:val="20"/>
              </w:rPr>
            </w:pPr>
            <w:r>
              <w:rPr>
                <w:rFonts w:ascii="Arial Narrow" w:hAnsi="Arial Narrow"/>
                <w:sz w:val="20"/>
              </w:rPr>
              <w:t>139/719 (19.3%)</w:t>
            </w:r>
          </w:p>
        </w:tc>
        <w:tc>
          <w:tcPr>
            <w:tcW w:w="720" w:type="pct"/>
            <w:tcBorders>
              <w:top w:val="single" w:sz="4" w:space="0" w:color="auto"/>
              <w:left w:val="single" w:sz="4" w:space="0" w:color="auto"/>
              <w:bottom w:val="single" w:sz="4" w:space="0" w:color="auto"/>
              <w:right w:val="single" w:sz="4" w:space="0" w:color="auto"/>
            </w:tcBorders>
            <w:vAlign w:val="center"/>
          </w:tcPr>
          <w:p w:rsidR="006512CA" w:rsidRDefault="006512CA" w:rsidP="00950DD9">
            <w:pPr>
              <w:keepNext/>
              <w:widowControl/>
              <w:jc w:val="center"/>
              <w:rPr>
                <w:rFonts w:ascii="Arial Narrow" w:hAnsi="Arial Narrow"/>
                <w:sz w:val="20"/>
              </w:rPr>
            </w:pPr>
            <w:r>
              <w:rPr>
                <w:rFonts w:ascii="Arial Narrow" w:hAnsi="Arial Narrow"/>
                <w:sz w:val="20"/>
              </w:rPr>
              <w:t>222/723</w:t>
            </w:r>
          </w:p>
          <w:p w:rsidR="006512CA" w:rsidRPr="00481114" w:rsidRDefault="006512CA" w:rsidP="00950DD9">
            <w:pPr>
              <w:keepNext/>
              <w:widowControl/>
              <w:jc w:val="center"/>
              <w:rPr>
                <w:rFonts w:ascii="Arial Narrow" w:hAnsi="Arial Narrow"/>
                <w:sz w:val="20"/>
              </w:rPr>
            </w:pPr>
            <w:r>
              <w:rPr>
                <w:rFonts w:ascii="Arial Narrow" w:hAnsi="Arial Narrow"/>
                <w:sz w:val="20"/>
              </w:rPr>
              <w:t>(30.7%)</w:t>
            </w:r>
          </w:p>
        </w:tc>
        <w:tc>
          <w:tcPr>
            <w:tcW w:w="717" w:type="pct"/>
            <w:tcBorders>
              <w:top w:val="single" w:sz="4" w:space="0" w:color="auto"/>
              <w:left w:val="single" w:sz="4" w:space="0" w:color="auto"/>
              <w:bottom w:val="single" w:sz="4" w:space="0" w:color="auto"/>
              <w:right w:val="single" w:sz="4" w:space="0" w:color="auto"/>
            </w:tcBorders>
            <w:vAlign w:val="center"/>
          </w:tcPr>
          <w:p w:rsidR="006512CA" w:rsidRPr="00420DB7" w:rsidRDefault="006512CA" w:rsidP="00950DD9">
            <w:pPr>
              <w:keepNext/>
              <w:widowControl/>
              <w:jc w:val="center"/>
              <w:rPr>
                <w:rFonts w:ascii="Arial Narrow" w:hAnsi="Arial Narrow"/>
                <w:b/>
                <w:sz w:val="20"/>
              </w:rPr>
            </w:pPr>
            <w:r w:rsidRPr="00420DB7">
              <w:rPr>
                <w:rFonts w:ascii="Arial Narrow" w:hAnsi="Arial Narrow"/>
                <w:b/>
                <w:sz w:val="20"/>
              </w:rPr>
              <w:t xml:space="preserve">0.63 </w:t>
            </w:r>
          </w:p>
          <w:p w:rsidR="006512CA" w:rsidRPr="00420DB7" w:rsidRDefault="006512CA" w:rsidP="00950DD9">
            <w:pPr>
              <w:keepNext/>
              <w:widowControl/>
              <w:jc w:val="center"/>
              <w:rPr>
                <w:rFonts w:ascii="Arial Narrow" w:hAnsi="Arial Narrow"/>
                <w:sz w:val="20"/>
              </w:rPr>
            </w:pPr>
            <w:r w:rsidRPr="00420DB7">
              <w:rPr>
                <w:rFonts w:ascii="Arial Narrow" w:hAnsi="Arial Narrow"/>
                <w:b/>
                <w:sz w:val="20"/>
              </w:rPr>
              <w:t>(0.52, 0.76)</w:t>
            </w:r>
          </w:p>
        </w:tc>
        <w:tc>
          <w:tcPr>
            <w:tcW w:w="717" w:type="pct"/>
            <w:tcBorders>
              <w:top w:val="single" w:sz="4" w:space="0" w:color="auto"/>
              <w:left w:val="single" w:sz="4" w:space="0" w:color="auto"/>
              <w:bottom w:val="single" w:sz="4" w:space="0" w:color="auto"/>
              <w:right w:val="single" w:sz="4" w:space="0" w:color="auto"/>
            </w:tcBorders>
            <w:vAlign w:val="center"/>
          </w:tcPr>
          <w:p w:rsidR="006512CA" w:rsidRPr="00420DB7" w:rsidRDefault="006512CA" w:rsidP="00950DD9">
            <w:pPr>
              <w:keepNext/>
              <w:widowControl/>
              <w:jc w:val="center"/>
              <w:rPr>
                <w:rFonts w:ascii="Arial Narrow" w:hAnsi="Arial Narrow"/>
                <w:b/>
                <w:sz w:val="20"/>
              </w:rPr>
            </w:pPr>
            <w:r w:rsidRPr="00420DB7">
              <w:rPr>
                <w:rFonts w:ascii="Arial Narrow" w:hAnsi="Arial Narrow"/>
                <w:b/>
                <w:sz w:val="20"/>
              </w:rPr>
              <w:t xml:space="preserve">0.59 </w:t>
            </w:r>
          </w:p>
          <w:p w:rsidR="006512CA" w:rsidRPr="00420DB7" w:rsidRDefault="006512CA" w:rsidP="00950DD9">
            <w:pPr>
              <w:keepNext/>
              <w:widowControl/>
              <w:jc w:val="center"/>
              <w:rPr>
                <w:rFonts w:ascii="Arial Narrow" w:hAnsi="Arial Narrow"/>
                <w:sz w:val="20"/>
              </w:rPr>
            </w:pPr>
            <w:r w:rsidRPr="00420DB7">
              <w:rPr>
                <w:rFonts w:ascii="Arial Narrow" w:hAnsi="Arial Narrow"/>
                <w:b/>
                <w:sz w:val="20"/>
              </w:rPr>
              <w:t>(0.48, 0.73)</w:t>
            </w:r>
          </w:p>
        </w:tc>
        <w:tc>
          <w:tcPr>
            <w:tcW w:w="718" w:type="pct"/>
            <w:tcBorders>
              <w:top w:val="single" w:sz="4" w:space="0" w:color="auto"/>
              <w:left w:val="single" w:sz="4" w:space="0" w:color="auto"/>
              <w:bottom w:val="single" w:sz="4" w:space="0" w:color="auto"/>
              <w:right w:val="single" w:sz="4" w:space="0" w:color="auto"/>
            </w:tcBorders>
            <w:vAlign w:val="center"/>
          </w:tcPr>
          <w:p w:rsidR="006512CA" w:rsidRPr="00420DB7" w:rsidRDefault="006512CA" w:rsidP="00950DD9">
            <w:pPr>
              <w:keepNext/>
              <w:widowControl/>
              <w:jc w:val="center"/>
              <w:rPr>
                <w:rFonts w:ascii="Arial Narrow" w:hAnsi="Arial Narrow"/>
                <w:b/>
                <w:sz w:val="20"/>
              </w:rPr>
            </w:pPr>
            <w:r w:rsidRPr="00420DB7">
              <w:rPr>
                <w:rFonts w:ascii="Arial Narrow" w:hAnsi="Arial Narrow"/>
                <w:b/>
                <w:sz w:val="20"/>
              </w:rPr>
              <w:t xml:space="preserve">-0.11 </w:t>
            </w:r>
          </w:p>
          <w:p w:rsidR="006512CA" w:rsidRPr="00420DB7" w:rsidRDefault="006512CA" w:rsidP="00950DD9">
            <w:pPr>
              <w:keepNext/>
              <w:widowControl/>
              <w:jc w:val="center"/>
              <w:rPr>
                <w:rFonts w:ascii="Arial Narrow" w:hAnsi="Arial Narrow"/>
                <w:sz w:val="20"/>
              </w:rPr>
            </w:pPr>
            <w:r w:rsidRPr="00420DB7">
              <w:rPr>
                <w:rFonts w:ascii="Arial Narrow" w:hAnsi="Arial Narrow"/>
                <w:b/>
                <w:sz w:val="20"/>
              </w:rPr>
              <w:t>(-0.16, -0.07)</w:t>
            </w:r>
          </w:p>
        </w:tc>
      </w:tr>
      <w:tr w:rsidR="006512CA" w:rsidRPr="00567EEF" w:rsidTr="006C25C1">
        <w:trPr>
          <w:cantSplit/>
          <w:trHeight w:val="459"/>
        </w:trPr>
        <w:tc>
          <w:tcPr>
            <w:tcW w:w="1411" w:type="pct"/>
            <w:tcBorders>
              <w:top w:val="single" w:sz="4" w:space="0" w:color="auto"/>
              <w:left w:val="single" w:sz="4" w:space="0" w:color="auto"/>
              <w:bottom w:val="single" w:sz="4" w:space="0" w:color="auto"/>
              <w:right w:val="single" w:sz="4" w:space="0" w:color="auto"/>
            </w:tcBorders>
            <w:shd w:val="clear" w:color="auto" w:fill="auto"/>
            <w:vAlign w:val="center"/>
          </w:tcPr>
          <w:p w:rsidR="006512CA" w:rsidRDefault="006512CA" w:rsidP="00950DD9">
            <w:pPr>
              <w:keepNext/>
              <w:widowControl/>
              <w:jc w:val="left"/>
              <w:rPr>
                <w:rFonts w:ascii="Arial Narrow" w:hAnsi="Arial Narrow"/>
                <w:sz w:val="20"/>
              </w:rPr>
            </w:pPr>
            <w:r>
              <w:rPr>
                <w:rFonts w:ascii="Arial Narrow" w:hAnsi="Arial Narrow"/>
                <w:sz w:val="20"/>
              </w:rPr>
              <w:t>TROPOS (3 year)</w:t>
            </w:r>
          </w:p>
        </w:tc>
        <w:tc>
          <w:tcPr>
            <w:tcW w:w="717" w:type="pct"/>
            <w:tcBorders>
              <w:top w:val="single" w:sz="4" w:space="0" w:color="auto"/>
              <w:left w:val="single" w:sz="4" w:space="0" w:color="auto"/>
              <w:bottom w:val="single" w:sz="4" w:space="0" w:color="auto"/>
              <w:right w:val="single" w:sz="4" w:space="0" w:color="auto"/>
            </w:tcBorders>
            <w:vAlign w:val="center"/>
          </w:tcPr>
          <w:p w:rsidR="006512CA" w:rsidRPr="00481114" w:rsidRDefault="006512CA" w:rsidP="00950DD9">
            <w:pPr>
              <w:keepNext/>
              <w:widowControl/>
              <w:jc w:val="center"/>
              <w:rPr>
                <w:rFonts w:ascii="Arial Narrow" w:hAnsi="Arial Narrow"/>
                <w:sz w:val="20"/>
              </w:rPr>
            </w:pPr>
            <w:r>
              <w:rPr>
                <w:rFonts w:ascii="Arial Narrow" w:hAnsi="Arial Narrow"/>
                <w:sz w:val="20"/>
              </w:rPr>
              <w:t>202/1817 (11.1%)</w:t>
            </w:r>
          </w:p>
        </w:tc>
        <w:tc>
          <w:tcPr>
            <w:tcW w:w="720" w:type="pct"/>
            <w:tcBorders>
              <w:top w:val="single" w:sz="4" w:space="0" w:color="auto"/>
              <w:left w:val="single" w:sz="4" w:space="0" w:color="auto"/>
              <w:bottom w:val="single" w:sz="4" w:space="0" w:color="auto"/>
              <w:right w:val="single" w:sz="4" w:space="0" w:color="auto"/>
            </w:tcBorders>
            <w:vAlign w:val="center"/>
          </w:tcPr>
          <w:p w:rsidR="006512CA" w:rsidRDefault="006512CA" w:rsidP="00950DD9">
            <w:pPr>
              <w:keepNext/>
              <w:widowControl/>
              <w:jc w:val="center"/>
              <w:rPr>
                <w:rFonts w:ascii="Arial Narrow" w:hAnsi="Arial Narrow"/>
                <w:sz w:val="20"/>
              </w:rPr>
            </w:pPr>
            <w:r>
              <w:rPr>
                <w:rFonts w:ascii="Arial Narrow" w:hAnsi="Arial Narrow"/>
                <w:sz w:val="20"/>
              </w:rPr>
              <w:t>321/1823</w:t>
            </w:r>
          </w:p>
          <w:p w:rsidR="006512CA" w:rsidRPr="00481114" w:rsidRDefault="006512CA" w:rsidP="00950DD9">
            <w:pPr>
              <w:keepNext/>
              <w:widowControl/>
              <w:jc w:val="center"/>
              <w:rPr>
                <w:rFonts w:ascii="Arial Narrow" w:hAnsi="Arial Narrow"/>
                <w:sz w:val="20"/>
              </w:rPr>
            </w:pPr>
            <w:r>
              <w:rPr>
                <w:rFonts w:ascii="Arial Narrow" w:hAnsi="Arial Narrow"/>
                <w:sz w:val="20"/>
              </w:rPr>
              <w:t>(17.6%)</w:t>
            </w:r>
          </w:p>
        </w:tc>
        <w:tc>
          <w:tcPr>
            <w:tcW w:w="717" w:type="pct"/>
            <w:tcBorders>
              <w:top w:val="single" w:sz="4" w:space="0" w:color="auto"/>
              <w:left w:val="single" w:sz="4" w:space="0" w:color="auto"/>
              <w:bottom w:val="single" w:sz="4" w:space="0" w:color="auto"/>
              <w:right w:val="single" w:sz="4" w:space="0" w:color="auto"/>
            </w:tcBorders>
            <w:vAlign w:val="center"/>
          </w:tcPr>
          <w:p w:rsidR="006512CA" w:rsidRPr="00420DB7" w:rsidRDefault="006512CA" w:rsidP="00950DD9">
            <w:pPr>
              <w:keepNext/>
              <w:widowControl/>
              <w:jc w:val="center"/>
              <w:rPr>
                <w:rFonts w:ascii="Arial Narrow" w:hAnsi="Arial Narrow"/>
                <w:b/>
                <w:sz w:val="20"/>
              </w:rPr>
            </w:pPr>
            <w:r w:rsidRPr="00420DB7">
              <w:rPr>
                <w:rFonts w:ascii="Arial Narrow" w:hAnsi="Arial Narrow"/>
                <w:b/>
                <w:sz w:val="20"/>
              </w:rPr>
              <w:t xml:space="preserve">0.63 </w:t>
            </w:r>
          </w:p>
          <w:p w:rsidR="006512CA" w:rsidRPr="00420DB7" w:rsidRDefault="006512CA" w:rsidP="00950DD9">
            <w:pPr>
              <w:keepNext/>
              <w:widowControl/>
              <w:jc w:val="center"/>
              <w:rPr>
                <w:rFonts w:ascii="Arial Narrow" w:hAnsi="Arial Narrow"/>
                <w:sz w:val="20"/>
              </w:rPr>
            </w:pPr>
            <w:r w:rsidRPr="00420DB7">
              <w:rPr>
                <w:rFonts w:ascii="Arial Narrow" w:hAnsi="Arial Narrow"/>
                <w:b/>
                <w:sz w:val="20"/>
              </w:rPr>
              <w:t>(0.54, 0.74)</w:t>
            </w:r>
          </w:p>
        </w:tc>
        <w:tc>
          <w:tcPr>
            <w:tcW w:w="717" w:type="pct"/>
            <w:tcBorders>
              <w:top w:val="single" w:sz="4" w:space="0" w:color="auto"/>
              <w:left w:val="single" w:sz="4" w:space="0" w:color="auto"/>
              <w:bottom w:val="single" w:sz="4" w:space="0" w:color="auto"/>
              <w:right w:val="single" w:sz="4" w:space="0" w:color="auto"/>
            </w:tcBorders>
            <w:vAlign w:val="center"/>
          </w:tcPr>
          <w:p w:rsidR="006512CA" w:rsidRPr="00420DB7" w:rsidRDefault="006512CA" w:rsidP="00950DD9">
            <w:pPr>
              <w:keepNext/>
              <w:widowControl/>
              <w:jc w:val="center"/>
              <w:rPr>
                <w:rFonts w:ascii="Arial Narrow" w:hAnsi="Arial Narrow"/>
                <w:b/>
                <w:sz w:val="20"/>
              </w:rPr>
            </w:pPr>
            <w:r w:rsidRPr="00420DB7">
              <w:rPr>
                <w:rFonts w:ascii="Arial Narrow" w:hAnsi="Arial Narrow"/>
                <w:b/>
                <w:sz w:val="20"/>
              </w:rPr>
              <w:t xml:space="preserve">0.61 </w:t>
            </w:r>
          </w:p>
          <w:p w:rsidR="006512CA" w:rsidRPr="00420DB7" w:rsidRDefault="006512CA" w:rsidP="00950DD9">
            <w:pPr>
              <w:keepNext/>
              <w:widowControl/>
              <w:jc w:val="center"/>
              <w:rPr>
                <w:rFonts w:ascii="Arial Narrow" w:hAnsi="Arial Narrow"/>
                <w:sz w:val="20"/>
              </w:rPr>
            </w:pPr>
            <w:r w:rsidRPr="00420DB7">
              <w:rPr>
                <w:rFonts w:ascii="Arial Narrow" w:hAnsi="Arial Narrow"/>
                <w:b/>
                <w:sz w:val="20"/>
              </w:rPr>
              <w:t>(0.51, 0.73)</w:t>
            </w:r>
          </w:p>
        </w:tc>
        <w:tc>
          <w:tcPr>
            <w:tcW w:w="718" w:type="pct"/>
            <w:tcBorders>
              <w:top w:val="single" w:sz="4" w:space="0" w:color="auto"/>
              <w:left w:val="single" w:sz="4" w:space="0" w:color="auto"/>
              <w:bottom w:val="single" w:sz="4" w:space="0" w:color="auto"/>
              <w:right w:val="single" w:sz="4" w:space="0" w:color="auto"/>
            </w:tcBorders>
            <w:vAlign w:val="center"/>
          </w:tcPr>
          <w:p w:rsidR="006512CA" w:rsidRPr="00420DB7" w:rsidRDefault="006512CA" w:rsidP="00950DD9">
            <w:pPr>
              <w:keepNext/>
              <w:widowControl/>
              <w:jc w:val="center"/>
              <w:rPr>
                <w:rFonts w:ascii="Arial Narrow" w:hAnsi="Arial Narrow"/>
                <w:b/>
                <w:sz w:val="20"/>
              </w:rPr>
            </w:pPr>
            <w:r w:rsidRPr="00420DB7">
              <w:rPr>
                <w:rFonts w:ascii="Arial Narrow" w:hAnsi="Arial Narrow"/>
                <w:b/>
                <w:sz w:val="20"/>
              </w:rPr>
              <w:t xml:space="preserve">-0.06 </w:t>
            </w:r>
          </w:p>
          <w:p w:rsidR="006512CA" w:rsidRPr="00420DB7" w:rsidRDefault="006512CA" w:rsidP="00950DD9">
            <w:pPr>
              <w:keepNext/>
              <w:widowControl/>
              <w:jc w:val="center"/>
              <w:rPr>
                <w:rFonts w:ascii="Arial Narrow" w:hAnsi="Arial Narrow"/>
                <w:sz w:val="20"/>
              </w:rPr>
            </w:pPr>
            <w:r w:rsidRPr="00420DB7">
              <w:rPr>
                <w:rFonts w:ascii="Arial Narrow" w:hAnsi="Arial Narrow"/>
                <w:b/>
                <w:sz w:val="20"/>
              </w:rPr>
              <w:t>(-0.09, -0.04)</w:t>
            </w:r>
          </w:p>
        </w:tc>
      </w:tr>
      <w:tr w:rsidR="006512CA" w:rsidRPr="00567EEF" w:rsidTr="006512CA">
        <w:trPr>
          <w:cantSplit/>
          <w:trHeight w:val="459"/>
        </w:trPr>
        <w:tc>
          <w:tcPr>
            <w:tcW w:w="284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512CA" w:rsidRDefault="005F30D7" w:rsidP="00950DD9">
            <w:pPr>
              <w:keepNext/>
              <w:widowControl/>
              <w:jc w:val="right"/>
              <w:rPr>
                <w:rFonts w:ascii="Arial Narrow" w:hAnsi="Arial Narrow"/>
                <w:sz w:val="20"/>
              </w:rPr>
            </w:pPr>
            <w:r>
              <w:rPr>
                <w:rFonts w:ascii="Arial Narrow" w:hAnsi="Arial Narrow"/>
                <w:sz w:val="20"/>
              </w:rPr>
              <w:t xml:space="preserve">Meta-analysis </w:t>
            </w:r>
            <w:r w:rsidR="006512CA">
              <w:rPr>
                <w:rFonts w:ascii="Arial Narrow" w:hAnsi="Arial Narrow"/>
                <w:sz w:val="20"/>
              </w:rPr>
              <w:t>SOTI/TROPOS (3 years)</w:t>
            </w:r>
          </w:p>
          <w:p w:rsidR="006512CA" w:rsidRPr="00481114" w:rsidRDefault="006512CA" w:rsidP="00950DD9">
            <w:pPr>
              <w:keepNext/>
              <w:widowControl/>
              <w:jc w:val="right"/>
              <w:rPr>
                <w:rFonts w:ascii="Arial Narrow" w:hAnsi="Arial Narrow"/>
                <w:sz w:val="20"/>
              </w:rPr>
            </w:pPr>
            <w:r>
              <w:rPr>
                <w:rFonts w:ascii="Arial Narrow" w:hAnsi="Arial Narrow"/>
                <w:sz w:val="20"/>
              </w:rPr>
              <w:t>I</w:t>
            </w:r>
            <w:r w:rsidRPr="00420DB7">
              <w:rPr>
                <w:rFonts w:ascii="Arial Narrow" w:hAnsi="Arial Narrow"/>
                <w:sz w:val="20"/>
                <w:vertAlign w:val="superscript"/>
              </w:rPr>
              <w:t>2</w:t>
            </w:r>
            <w:r>
              <w:rPr>
                <w:rFonts w:ascii="Arial Narrow" w:hAnsi="Arial Narrow"/>
                <w:sz w:val="20"/>
              </w:rPr>
              <w:t xml:space="preserve"> = 0% [RR], 74% [RD] </w:t>
            </w:r>
          </w:p>
        </w:tc>
        <w:tc>
          <w:tcPr>
            <w:tcW w:w="717" w:type="pct"/>
            <w:tcBorders>
              <w:top w:val="single" w:sz="4" w:space="0" w:color="auto"/>
              <w:left w:val="single" w:sz="4" w:space="0" w:color="auto"/>
              <w:bottom w:val="single" w:sz="4" w:space="0" w:color="auto"/>
              <w:right w:val="single" w:sz="4" w:space="0" w:color="auto"/>
            </w:tcBorders>
            <w:vAlign w:val="center"/>
          </w:tcPr>
          <w:p w:rsidR="006512CA" w:rsidRPr="00420DB7" w:rsidRDefault="006512CA" w:rsidP="00950DD9">
            <w:pPr>
              <w:keepNext/>
              <w:widowControl/>
              <w:jc w:val="center"/>
              <w:rPr>
                <w:rFonts w:ascii="Arial Narrow" w:hAnsi="Arial Narrow"/>
                <w:b/>
                <w:sz w:val="20"/>
              </w:rPr>
            </w:pPr>
            <w:r w:rsidRPr="00420DB7">
              <w:rPr>
                <w:rFonts w:ascii="Arial Narrow" w:hAnsi="Arial Narrow"/>
                <w:b/>
                <w:sz w:val="20"/>
              </w:rPr>
              <w:t xml:space="preserve">0.63 </w:t>
            </w:r>
          </w:p>
          <w:p w:rsidR="006512CA" w:rsidRPr="00420DB7" w:rsidRDefault="006512CA" w:rsidP="00950DD9">
            <w:pPr>
              <w:keepNext/>
              <w:widowControl/>
              <w:jc w:val="center"/>
              <w:rPr>
                <w:rFonts w:ascii="Arial Narrow" w:hAnsi="Arial Narrow"/>
                <w:sz w:val="20"/>
              </w:rPr>
            </w:pPr>
            <w:r w:rsidRPr="00420DB7">
              <w:rPr>
                <w:rFonts w:ascii="Arial Narrow" w:hAnsi="Arial Narrow"/>
                <w:b/>
                <w:sz w:val="20"/>
              </w:rPr>
              <w:t>(0.56, 0.71)</w:t>
            </w:r>
          </w:p>
        </w:tc>
        <w:tc>
          <w:tcPr>
            <w:tcW w:w="717" w:type="pct"/>
            <w:tcBorders>
              <w:top w:val="single" w:sz="4" w:space="0" w:color="auto"/>
              <w:left w:val="single" w:sz="4" w:space="0" w:color="auto"/>
              <w:bottom w:val="single" w:sz="4" w:space="0" w:color="auto"/>
              <w:right w:val="single" w:sz="4" w:space="0" w:color="auto"/>
            </w:tcBorders>
            <w:vAlign w:val="center"/>
          </w:tcPr>
          <w:p w:rsidR="006512CA" w:rsidRPr="00420DB7" w:rsidRDefault="006512CA" w:rsidP="00950DD9">
            <w:pPr>
              <w:keepNext/>
              <w:widowControl/>
              <w:jc w:val="center"/>
              <w:rPr>
                <w:rFonts w:ascii="Arial Narrow" w:hAnsi="Arial Narrow"/>
                <w:b/>
                <w:sz w:val="20"/>
              </w:rPr>
            </w:pPr>
            <w:r w:rsidRPr="00420DB7">
              <w:rPr>
                <w:rFonts w:ascii="Arial Narrow" w:hAnsi="Arial Narrow"/>
                <w:b/>
                <w:sz w:val="20"/>
              </w:rPr>
              <w:t xml:space="preserve">0.60 </w:t>
            </w:r>
          </w:p>
          <w:p w:rsidR="006512CA" w:rsidRPr="00420DB7" w:rsidRDefault="006512CA" w:rsidP="00950DD9">
            <w:pPr>
              <w:keepNext/>
              <w:widowControl/>
              <w:jc w:val="center"/>
              <w:rPr>
                <w:rFonts w:ascii="Arial Narrow" w:hAnsi="Arial Narrow"/>
                <w:sz w:val="20"/>
              </w:rPr>
            </w:pPr>
            <w:r w:rsidRPr="00420DB7">
              <w:rPr>
                <w:rFonts w:ascii="Arial Narrow" w:hAnsi="Arial Narrow"/>
                <w:b/>
                <w:sz w:val="20"/>
              </w:rPr>
              <w:t>(0.52, 0.69)</w:t>
            </w:r>
          </w:p>
        </w:tc>
        <w:tc>
          <w:tcPr>
            <w:tcW w:w="718" w:type="pct"/>
            <w:tcBorders>
              <w:top w:val="single" w:sz="4" w:space="0" w:color="auto"/>
              <w:left w:val="single" w:sz="4" w:space="0" w:color="auto"/>
              <w:bottom w:val="single" w:sz="4" w:space="0" w:color="auto"/>
              <w:right w:val="single" w:sz="4" w:space="0" w:color="auto"/>
            </w:tcBorders>
            <w:vAlign w:val="center"/>
          </w:tcPr>
          <w:p w:rsidR="006512CA" w:rsidRPr="00420DB7" w:rsidRDefault="006512CA" w:rsidP="00950DD9">
            <w:pPr>
              <w:keepNext/>
              <w:widowControl/>
              <w:jc w:val="center"/>
              <w:rPr>
                <w:rFonts w:ascii="Arial Narrow" w:hAnsi="Arial Narrow"/>
                <w:b/>
                <w:sz w:val="20"/>
              </w:rPr>
            </w:pPr>
            <w:r w:rsidRPr="00420DB7">
              <w:rPr>
                <w:rFonts w:ascii="Arial Narrow" w:hAnsi="Arial Narrow"/>
                <w:b/>
                <w:sz w:val="20"/>
              </w:rPr>
              <w:t xml:space="preserve">-0.09 </w:t>
            </w:r>
          </w:p>
          <w:p w:rsidR="006512CA" w:rsidRPr="00420DB7" w:rsidRDefault="006512CA" w:rsidP="00950DD9">
            <w:pPr>
              <w:keepNext/>
              <w:widowControl/>
              <w:jc w:val="center"/>
              <w:rPr>
                <w:rFonts w:ascii="Arial Narrow" w:hAnsi="Arial Narrow"/>
                <w:sz w:val="20"/>
              </w:rPr>
            </w:pPr>
            <w:r w:rsidRPr="00420DB7">
              <w:rPr>
                <w:rFonts w:ascii="Arial Narrow" w:hAnsi="Arial Narrow"/>
                <w:b/>
                <w:sz w:val="20"/>
              </w:rPr>
              <w:t>(-0.13, -0.04)</w:t>
            </w:r>
          </w:p>
        </w:tc>
      </w:tr>
      <w:tr w:rsidR="006C25C1" w:rsidRPr="00A3242B" w:rsidTr="007246AC">
        <w:trPr>
          <w:cantSplit/>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6C25C1" w:rsidRPr="00A3242B" w:rsidRDefault="006C25C1" w:rsidP="00950DD9">
            <w:pPr>
              <w:keepNext/>
              <w:widowControl/>
              <w:jc w:val="left"/>
              <w:rPr>
                <w:rFonts w:ascii="Arial Narrow" w:hAnsi="Arial Narrow"/>
                <w:b/>
                <w:sz w:val="20"/>
              </w:rPr>
            </w:pPr>
            <w:r>
              <w:rPr>
                <w:rFonts w:ascii="Arial Narrow" w:hAnsi="Arial Narrow"/>
                <w:b/>
                <w:sz w:val="20"/>
              </w:rPr>
              <w:t>Clinical vertebral fractures</w:t>
            </w:r>
          </w:p>
        </w:tc>
      </w:tr>
      <w:tr w:rsidR="006C25C1" w:rsidRPr="00420DB7" w:rsidTr="007246AC">
        <w:trPr>
          <w:cantSplit/>
          <w:trHeight w:val="459"/>
        </w:trPr>
        <w:tc>
          <w:tcPr>
            <w:tcW w:w="1411" w:type="pct"/>
            <w:tcBorders>
              <w:top w:val="single" w:sz="4" w:space="0" w:color="auto"/>
              <w:left w:val="single" w:sz="4" w:space="0" w:color="auto"/>
              <w:bottom w:val="single" w:sz="4" w:space="0" w:color="auto"/>
              <w:right w:val="single" w:sz="4" w:space="0" w:color="auto"/>
            </w:tcBorders>
            <w:shd w:val="clear" w:color="auto" w:fill="auto"/>
            <w:vAlign w:val="center"/>
          </w:tcPr>
          <w:p w:rsidR="006C25C1" w:rsidRDefault="006C25C1" w:rsidP="00950DD9">
            <w:pPr>
              <w:keepNext/>
              <w:widowControl/>
              <w:jc w:val="left"/>
              <w:rPr>
                <w:rFonts w:ascii="Arial Narrow" w:hAnsi="Arial Narrow"/>
                <w:sz w:val="20"/>
              </w:rPr>
            </w:pPr>
            <w:r>
              <w:rPr>
                <w:rFonts w:ascii="Arial Narrow" w:hAnsi="Arial Narrow"/>
                <w:sz w:val="20"/>
              </w:rPr>
              <w:t>SOTI (3 year)</w:t>
            </w:r>
          </w:p>
        </w:tc>
        <w:tc>
          <w:tcPr>
            <w:tcW w:w="717" w:type="pct"/>
            <w:tcBorders>
              <w:top w:val="single" w:sz="4" w:space="0" w:color="auto"/>
              <w:left w:val="single" w:sz="4" w:space="0" w:color="auto"/>
              <w:bottom w:val="single" w:sz="4" w:space="0" w:color="auto"/>
              <w:right w:val="single" w:sz="4" w:space="0" w:color="auto"/>
            </w:tcBorders>
            <w:vAlign w:val="center"/>
          </w:tcPr>
          <w:p w:rsidR="006C25C1" w:rsidRPr="00481114" w:rsidRDefault="006C25C1" w:rsidP="00950DD9">
            <w:pPr>
              <w:keepNext/>
              <w:widowControl/>
              <w:jc w:val="center"/>
              <w:rPr>
                <w:rFonts w:ascii="Arial Narrow" w:hAnsi="Arial Narrow"/>
                <w:sz w:val="20"/>
              </w:rPr>
            </w:pPr>
            <w:r>
              <w:rPr>
                <w:rFonts w:ascii="Arial Narrow" w:hAnsi="Arial Narrow"/>
                <w:sz w:val="20"/>
              </w:rPr>
              <w:t>75/719 (10.4%)</w:t>
            </w:r>
          </w:p>
        </w:tc>
        <w:tc>
          <w:tcPr>
            <w:tcW w:w="720" w:type="pct"/>
            <w:tcBorders>
              <w:top w:val="single" w:sz="4" w:space="0" w:color="auto"/>
              <w:left w:val="single" w:sz="4" w:space="0" w:color="auto"/>
              <w:bottom w:val="single" w:sz="4" w:space="0" w:color="auto"/>
              <w:right w:val="single" w:sz="4" w:space="0" w:color="auto"/>
            </w:tcBorders>
            <w:vAlign w:val="center"/>
          </w:tcPr>
          <w:p w:rsidR="006C25C1" w:rsidRDefault="006C25C1" w:rsidP="00950DD9">
            <w:pPr>
              <w:keepNext/>
              <w:widowControl/>
              <w:jc w:val="center"/>
              <w:rPr>
                <w:rFonts w:ascii="Arial Narrow" w:hAnsi="Arial Narrow"/>
                <w:sz w:val="20"/>
              </w:rPr>
            </w:pPr>
            <w:r>
              <w:rPr>
                <w:rFonts w:ascii="Arial Narrow" w:hAnsi="Arial Narrow"/>
                <w:sz w:val="20"/>
              </w:rPr>
              <w:t>117/723</w:t>
            </w:r>
          </w:p>
          <w:p w:rsidR="006C25C1" w:rsidRPr="00481114" w:rsidRDefault="006C25C1" w:rsidP="00950DD9">
            <w:pPr>
              <w:keepNext/>
              <w:widowControl/>
              <w:jc w:val="center"/>
              <w:rPr>
                <w:rFonts w:ascii="Arial Narrow" w:hAnsi="Arial Narrow"/>
                <w:sz w:val="20"/>
              </w:rPr>
            </w:pPr>
            <w:r>
              <w:rPr>
                <w:rFonts w:ascii="Arial Narrow" w:hAnsi="Arial Narrow"/>
                <w:sz w:val="20"/>
              </w:rPr>
              <w:t>(16.2%)</w:t>
            </w:r>
          </w:p>
        </w:tc>
        <w:tc>
          <w:tcPr>
            <w:tcW w:w="717" w:type="pct"/>
            <w:tcBorders>
              <w:top w:val="single" w:sz="4" w:space="0" w:color="auto"/>
              <w:left w:val="single" w:sz="4" w:space="0" w:color="auto"/>
              <w:bottom w:val="single" w:sz="4" w:space="0" w:color="auto"/>
              <w:right w:val="single" w:sz="4" w:space="0" w:color="auto"/>
            </w:tcBorders>
            <w:vAlign w:val="center"/>
          </w:tcPr>
          <w:p w:rsidR="006C25C1" w:rsidRPr="004D1D36" w:rsidRDefault="006C25C1" w:rsidP="00950DD9">
            <w:pPr>
              <w:keepNext/>
              <w:widowControl/>
              <w:jc w:val="center"/>
              <w:rPr>
                <w:rFonts w:ascii="Arial Narrow" w:hAnsi="Arial Narrow"/>
                <w:b/>
                <w:sz w:val="20"/>
              </w:rPr>
            </w:pPr>
            <w:r w:rsidRPr="004D1D36">
              <w:rPr>
                <w:rFonts w:ascii="Arial Narrow" w:hAnsi="Arial Narrow"/>
                <w:b/>
                <w:sz w:val="20"/>
              </w:rPr>
              <w:t xml:space="preserve">0.64 </w:t>
            </w:r>
          </w:p>
          <w:p w:rsidR="006C25C1" w:rsidRPr="00420DB7" w:rsidRDefault="006C25C1" w:rsidP="00950DD9">
            <w:pPr>
              <w:keepNext/>
              <w:widowControl/>
              <w:jc w:val="center"/>
              <w:rPr>
                <w:rFonts w:ascii="Arial Narrow" w:hAnsi="Arial Narrow"/>
                <w:sz w:val="20"/>
              </w:rPr>
            </w:pPr>
            <w:r w:rsidRPr="004D1D36">
              <w:rPr>
                <w:rFonts w:ascii="Arial Narrow" w:hAnsi="Arial Narrow"/>
                <w:b/>
                <w:sz w:val="20"/>
              </w:rPr>
              <w:t>(0.49, 0.85)</w:t>
            </w:r>
          </w:p>
        </w:tc>
        <w:tc>
          <w:tcPr>
            <w:tcW w:w="717" w:type="pct"/>
            <w:tcBorders>
              <w:top w:val="single" w:sz="4" w:space="0" w:color="auto"/>
              <w:left w:val="single" w:sz="4" w:space="0" w:color="auto"/>
              <w:bottom w:val="single" w:sz="4" w:space="0" w:color="auto"/>
              <w:right w:val="single" w:sz="4" w:space="0" w:color="auto"/>
            </w:tcBorders>
            <w:vAlign w:val="center"/>
          </w:tcPr>
          <w:p w:rsidR="006C25C1" w:rsidRPr="00420DB7" w:rsidRDefault="006C25C1" w:rsidP="00950DD9">
            <w:pPr>
              <w:keepNext/>
              <w:widowControl/>
              <w:jc w:val="center"/>
              <w:rPr>
                <w:rFonts w:ascii="Arial Narrow" w:hAnsi="Arial Narrow"/>
                <w:sz w:val="20"/>
              </w:rPr>
            </w:pPr>
            <w:r w:rsidRPr="004D1D36">
              <w:rPr>
                <w:rFonts w:ascii="Arial Narrow" w:hAnsi="Arial Narrow"/>
                <w:b/>
                <w:sz w:val="20"/>
              </w:rPr>
              <w:t>0.62 (0.47,0.83)</w:t>
            </w:r>
          </w:p>
        </w:tc>
        <w:tc>
          <w:tcPr>
            <w:tcW w:w="718" w:type="pct"/>
            <w:tcBorders>
              <w:top w:val="single" w:sz="4" w:space="0" w:color="auto"/>
              <w:left w:val="single" w:sz="4" w:space="0" w:color="auto"/>
              <w:bottom w:val="single" w:sz="4" w:space="0" w:color="auto"/>
              <w:right w:val="single" w:sz="4" w:space="0" w:color="auto"/>
            </w:tcBorders>
            <w:vAlign w:val="center"/>
          </w:tcPr>
          <w:p w:rsidR="006C25C1" w:rsidRPr="004D1D36" w:rsidRDefault="006C25C1" w:rsidP="00950DD9">
            <w:pPr>
              <w:keepNext/>
              <w:widowControl/>
              <w:jc w:val="center"/>
              <w:rPr>
                <w:rFonts w:ascii="Arial Narrow" w:hAnsi="Arial Narrow"/>
                <w:b/>
                <w:sz w:val="20"/>
              </w:rPr>
            </w:pPr>
            <w:r w:rsidRPr="004D1D36">
              <w:rPr>
                <w:rFonts w:ascii="Arial Narrow" w:hAnsi="Arial Narrow"/>
                <w:b/>
                <w:sz w:val="20"/>
              </w:rPr>
              <w:t xml:space="preserve">-0.06 </w:t>
            </w:r>
          </w:p>
          <w:p w:rsidR="006C25C1" w:rsidRPr="00420DB7" w:rsidRDefault="006C25C1" w:rsidP="00950DD9">
            <w:pPr>
              <w:keepNext/>
              <w:widowControl/>
              <w:jc w:val="center"/>
              <w:rPr>
                <w:rFonts w:ascii="Arial Narrow" w:hAnsi="Arial Narrow"/>
                <w:sz w:val="20"/>
              </w:rPr>
            </w:pPr>
            <w:r w:rsidRPr="004D1D36">
              <w:rPr>
                <w:rFonts w:ascii="Arial Narrow" w:hAnsi="Arial Narrow"/>
                <w:b/>
                <w:sz w:val="20"/>
              </w:rPr>
              <w:t>(-0.09, -0.02)</w:t>
            </w:r>
          </w:p>
        </w:tc>
      </w:tr>
      <w:tr w:rsidR="006C25C1" w:rsidRPr="00420DB7" w:rsidTr="007246AC">
        <w:trPr>
          <w:cantSplit/>
          <w:trHeight w:val="459"/>
        </w:trPr>
        <w:tc>
          <w:tcPr>
            <w:tcW w:w="1411" w:type="pct"/>
            <w:tcBorders>
              <w:top w:val="single" w:sz="4" w:space="0" w:color="auto"/>
              <w:left w:val="single" w:sz="4" w:space="0" w:color="auto"/>
              <w:bottom w:val="single" w:sz="4" w:space="0" w:color="auto"/>
              <w:right w:val="single" w:sz="4" w:space="0" w:color="auto"/>
            </w:tcBorders>
            <w:shd w:val="clear" w:color="auto" w:fill="auto"/>
            <w:vAlign w:val="center"/>
          </w:tcPr>
          <w:p w:rsidR="006C25C1" w:rsidRDefault="006C25C1" w:rsidP="00950DD9">
            <w:pPr>
              <w:keepNext/>
              <w:widowControl/>
              <w:jc w:val="left"/>
              <w:rPr>
                <w:rFonts w:ascii="Arial Narrow" w:hAnsi="Arial Narrow"/>
                <w:sz w:val="20"/>
              </w:rPr>
            </w:pPr>
            <w:r>
              <w:rPr>
                <w:rFonts w:ascii="Arial Narrow" w:hAnsi="Arial Narrow"/>
                <w:sz w:val="20"/>
              </w:rPr>
              <w:t>TROPOS (3 year)</w:t>
            </w:r>
          </w:p>
        </w:tc>
        <w:tc>
          <w:tcPr>
            <w:tcW w:w="717" w:type="pct"/>
            <w:tcBorders>
              <w:top w:val="single" w:sz="4" w:space="0" w:color="auto"/>
              <w:left w:val="single" w:sz="4" w:space="0" w:color="auto"/>
              <w:bottom w:val="single" w:sz="4" w:space="0" w:color="auto"/>
              <w:right w:val="single" w:sz="4" w:space="0" w:color="auto"/>
            </w:tcBorders>
            <w:vAlign w:val="center"/>
          </w:tcPr>
          <w:p w:rsidR="006C25C1" w:rsidRPr="00481114" w:rsidRDefault="006C25C1" w:rsidP="00950DD9">
            <w:pPr>
              <w:keepNext/>
              <w:widowControl/>
              <w:jc w:val="center"/>
              <w:rPr>
                <w:rFonts w:ascii="Arial Narrow" w:hAnsi="Arial Narrow"/>
                <w:sz w:val="20"/>
              </w:rPr>
            </w:pPr>
            <w:r>
              <w:rPr>
                <w:rFonts w:ascii="Arial Narrow" w:hAnsi="Arial Narrow"/>
                <w:sz w:val="20"/>
              </w:rPr>
              <w:t>119/1817 (6.5%)</w:t>
            </w:r>
          </w:p>
        </w:tc>
        <w:tc>
          <w:tcPr>
            <w:tcW w:w="720" w:type="pct"/>
            <w:tcBorders>
              <w:top w:val="single" w:sz="4" w:space="0" w:color="auto"/>
              <w:left w:val="single" w:sz="4" w:space="0" w:color="auto"/>
              <w:bottom w:val="single" w:sz="4" w:space="0" w:color="auto"/>
              <w:right w:val="single" w:sz="4" w:space="0" w:color="auto"/>
            </w:tcBorders>
            <w:vAlign w:val="center"/>
          </w:tcPr>
          <w:p w:rsidR="006C25C1" w:rsidRDefault="006C25C1" w:rsidP="00950DD9">
            <w:pPr>
              <w:keepNext/>
              <w:widowControl/>
              <w:jc w:val="center"/>
              <w:rPr>
                <w:rFonts w:ascii="Arial Narrow" w:hAnsi="Arial Narrow"/>
                <w:sz w:val="20"/>
              </w:rPr>
            </w:pPr>
            <w:r>
              <w:rPr>
                <w:rFonts w:ascii="Arial Narrow" w:hAnsi="Arial Narrow"/>
                <w:sz w:val="20"/>
              </w:rPr>
              <w:t>138/1823</w:t>
            </w:r>
          </w:p>
          <w:p w:rsidR="006C25C1" w:rsidRPr="00481114" w:rsidRDefault="006C25C1" w:rsidP="00950DD9">
            <w:pPr>
              <w:keepNext/>
              <w:widowControl/>
              <w:jc w:val="center"/>
              <w:rPr>
                <w:rFonts w:ascii="Arial Narrow" w:hAnsi="Arial Narrow"/>
                <w:sz w:val="20"/>
              </w:rPr>
            </w:pPr>
            <w:r>
              <w:rPr>
                <w:rFonts w:ascii="Arial Narrow" w:hAnsi="Arial Narrow"/>
                <w:sz w:val="20"/>
              </w:rPr>
              <w:t>(7.6%)</w:t>
            </w:r>
          </w:p>
        </w:tc>
        <w:tc>
          <w:tcPr>
            <w:tcW w:w="717" w:type="pct"/>
            <w:tcBorders>
              <w:top w:val="single" w:sz="4" w:space="0" w:color="auto"/>
              <w:left w:val="single" w:sz="4" w:space="0" w:color="auto"/>
              <w:bottom w:val="single" w:sz="4" w:space="0" w:color="auto"/>
              <w:right w:val="single" w:sz="4" w:space="0" w:color="auto"/>
            </w:tcBorders>
            <w:vAlign w:val="center"/>
          </w:tcPr>
          <w:p w:rsidR="006C25C1" w:rsidRPr="004D1D36" w:rsidRDefault="006C25C1" w:rsidP="00950DD9">
            <w:pPr>
              <w:keepNext/>
              <w:widowControl/>
              <w:jc w:val="center"/>
              <w:rPr>
                <w:rFonts w:ascii="Arial Narrow" w:hAnsi="Arial Narrow"/>
                <w:sz w:val="20"/>
              </w:rPr>
            </w:pPr>
            <w:r w:rsidRPr="004D1D36">
              <w:rPr>
                <w:rFonts w:ascii="Arial Narrow" w:hAnsi="Arial Narrow"/>
                <w:sz w:val="20"/>
              </w:rPr>
              <w:t xml:space="preserve">0.87 </w:t>
            </w:r>
          </w:p>
          <w:p w:rsidR="006C25C1" w:rsidRPr="00420DB7" w:rsidRDefault="006C25C1" w:rsidP="00950DD9">
            <w:pPr>
              <w:keepNext/>
              <w:widowControl/>
              <w:jc w:val="center"/>
              <w:rPr>
                <w:rFonts w:ascii="Arial Narrow" w:hAnsi="Arial Narrow"/>
                <w:sz w:val="20"/>
              </w:rPr>
            </w:pPr>
            <w:r w:rsidRPr="004D1D36">
              <w:rPr>
                <w:rFonts w:ascii="Arial Narrow" w:hAnsi="Arial Narrow"/>
                <w:sz w:val="20"/>
              </w:rPr>
              <w:t>(0.68, 1.10)</w:t>
            </w:r>
          </w:p>
        </w:tc>
        <w:tc>
          <w:tcPr>
            <w:tcW w:w="717" w:type="pct"/>
            <w:tcBorders>
              <w:top w:val="single" w:sz="4" w:space="0" w:color="auto"/>
              <w:left w:val="single" w:sz="4" w:space="0" w:color="auto"/>
              <w:bottom w:val="single" w:sz="4" w:space="0" w:color="auto"/>
              <w:right w:val="single" w:sz="4" w:space="0" w:color="auto"/>
            </w:tcBorders>
            <w:vAlign w:val="center"/>
          </w:tcPr>
          <w:p w:rsidR="006C25C1" w:rsidRPr="004D1D36" w:rsidRDefault="006C25C1" w:rsidP="00950DD9">
            <w:pPr>
              <w:keepNext/>
              <w:widowControl/>
              <w:jc w:val="center"/>
              <w:rPr>
                <w:rFonts w:ascii="Arial Narrow" w:hAnsi="Arial Narrow"/>
                <w:sz w:val="20"/>
              </w:rPr>
            </w:pPr>
            <w:r w:rsidRPr="004D1D36">
              <w:rPr>
                <w:rFonts w:ascii="Arial Narrow" w:hAnsi="Arial Narrow"/>
                <w:sz w:val="20"/>
              </w:rPr>
              <w:t xml:space="preserve">0.85 </w:t>
            </w:r>
          </w:p>
          <w:p w:rsidR="006C25C1" w:rsidRPr="00420DB7" w:rsidRDefault="006C25C1" w:rsidP="00950DD9">
            <w:pPr>
              <w:keepNext/>
              <w:widowControl/>
              <w:jc w:val="center"/>
              <w:rPr>
                <w:rFonts w:ascii="Arial Narrow" w:hAnsi="Arial Narrow"/>
                <w:sz w:val="20"/>
              </w:rPr>
            </w:pPr>
            <w:r w:rsidRPr="004D1D36">
              <w:rPr>
                <w:rFonts w:ascii="Arial Narrow" w:hAnsi="Arial Narrow"/>
                <w:sz w:val="20"/>
              </w:rPr>
              <w:t>(0.67, 1.09)</w:t>
            </w:r>
          </w:p>
        </w:tc>
        <w:tc>
          <w:tcPr>
            <w:tcW w:w="718" w:type="pct"/>
            <w:tcBorders>
              <w:top w:val="single" w:sz="4" w:space="0" w:color="auto"/>
              <w:left w:val="single" w:sz="4" w:space="0" w:color="auto"/>
              <w:bottom w:val="single" w:sz="4" w:space="0" w:color="auto"/>
              <w:right w:val="single" w:sz="4" w:space="0" w:color="auto"/>
            </w:tcBorders>
            <w:vAlign w:val="center"/>
          </w:tcPr>
          <w:p w:rsidR="006C25C1" w:rsidRPr="004D1D36" w:rsidRDefault="006C25C1" w:rsidP="00950DD9">
            <w:pPr>
              <w:keepNext/>
              <w:widowControl/>
              <w:jc w:val="center"/>
              <w:rPr>
                <w:rFonts w:ascii="Arial Narrow" w:hAnsi="Arial Narrow"/>
                <w:sz w:val="20"/>
              </w:rPr>
            </w:pPr>
            <w:r w:rsidRPr="004D1D36">
              <w:rPr>
                <w:rFonts w:ascii="Arial Narrow" w:hAnsi="Arial Narrow"/>
                <w:sz w:val="20"/>
              </w:rPr>
              <w:t xml:space="preserve">-0.01 </w:t>
            </w:r>
          </w:p>
          <w:p w:rsidR="006C25C1" w:rsidRPr="00420DB7" w:rsidRDefault="006C25C1" w:rsidP="00950DD9">
            <w:pPr>
              <w:keepNext/>
              <w:widowControl/>
              <w:jc w:val="center"/>
              <w:rPr>
                <w:rFonts w:ascii="Arial Narrow" w:hAnsi="Arial Narrow"/>
                <w:sz w:val="20"/>
              </w:rPr>
            </w:pPr>
            <w:r w:rsidRPr="004D1D36">
              <w:rPr>
                <w:rFonts w:ascii="Arial Narrow" w:hAnsi="Arial Narrow"/>
                <w:sz w:val="20"/>
              </w:rPr>
              <w:t>(-0.03, 0.01)</w:t>
            </w:r>
          </w:p>
        </w:tc>
      </w:tr>
      <w:tr w:rsidR="006C25C1" w:rsidRPr="00420DB7" w:rsidTr="007246AC">
        <w:trPr>
          <w:cantSplit/>
          <w:trHeight w:val="459"/>
        </w:trPr>
        <w:tc>
          <w:tcPr>
            <w:tcW w:w="284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246AC" w:rsidRDefault="005F30D7" w:rsidP="00950DD9">
            <w:pPr>
              <w:keepNext/>
              <w:widowControl/>
              <w:jc w:val="right"/>
              <w:rPr>
                <w:rFonts w:ascii="Arial Narrow" w:hAnsi="Arial Narrow"/>
                <w:sz w:val="20"/>
              </w:rPr>
            </w:pPr>
            <w:r>
              <w:rPr>
                <w:rFonts w:ascii="Arial Narrow" w:hAnsi="Arial Narrow"/>
                <w:sz w:val="20"/>
              </w:rPr>
              <w:t xml:space="preserve">Meta-analysis </w:t>
            </w:r>
            <w:r w:rsidR="007246AC">
              <w:rPr>
                <w:rFonts w:ascii="Arial Narrow" w:hAnsi="Arial Narrow"/>
                <w:sz w:val="20"/>
              </w:rPr>
              <w:t>SOTI/TROPOS (3 years)</w:t>
            </w:r>
          </w:p>
          <w:p w:rsidR="006C25C1" w:rsidRPr="00481114" w:rsidRDefault="007246AC" w:rsidP="00950DD9">
            <w:pPr>
              <w:keepNext/>
              <w:widowControl/>
              <w:jc w:val="right"/>
              <w:rPr>
                <w:rFonts w:ascii="Arial Narrow" w:hAnsi="Arial Narrow"/>
                <w:sz w:val="20"/>
              </w:rPr>
            </w:pPr>
            <w:r>
              <w:rPr>
                <w:rFonts w:ascii="Arial Narrow" w:hAnsi="Arial Narrow"/>
                <w:sz w:val="20"/>
              </w:rPr>
              <w:t>I</w:t>
            </w:r>
            <w:r w:rsidRPr="004D1D36">
              <w:rPr>
                <w:rFonts w:ascii="Arial Narrow" w:hAnsi="Arial Narrow"/>
                <w:sz w:val="20"/>
                <w:vertAlign w:val="superscript"/>
              </w:rPr>
              <w:t>2</w:t>
            </w:r>
            <w:r>
              <w:rPr>
                <w:rFonts w:ascii="Arial Narrow" w:hAnsi="Arial Narrow"/>
                <w:sz w:val="20"/>
              </w:rPr>
              <w:t xml:space="preserve"> = 61% [RR], 84% [RD]</w:t>
            </w:r>
            <w:r w:rsidR="006C25C1">
              <w:rPr>
                <w:rFonts w:ascii="Arial Narrow" w:hAnsi="Arial Narrow"/>
                <w:sz w:val="20"/>
              </w:rPr>
              <w:t xml:space="preserve"> </w:t>
            </w:r>
          </w:p>
        </w:tc>
        <w:tc>
          <w:tcPr>
            <w:tcW w:w="717" w:type="pct"/>
            <w:tcBorders>
              <w:top w:val="single" w:sz="4" w:space="0" w:color="auto"/>
              <w:left w:val="single" w:sz="4" w:space="0" w:color="auto"/>
              <w:bottom w:val="single" w:sz="4" w:space="0" w:color="auto"/>
              <w:right w:val="single" w:sz="4" w:space="0" w:color="auto"/>
            </w:tcBorders>
            <w:vAlign w:val="center"/>
          </w:tcPr>
          <w:p w:rsidR="006C25C1" w:rsidRPr="004D1D36" w:rsidRDefault="006C25C1" w:rsidP="00950DD9">
            <w:pPr>
              <w:keepNext/>
              <w:widowControl/>
              <w:jc w:val="center"/>
              <w:rPr>
                <w:rFonts w:ascii="Arial Narrow" w:hAnsi="Arial Narrow"/>
                <w:sz w:val="20"/>
              </w:rPr>
            </w:pPr>
            <w:r w:rsidRPr="004D1D36">
              <w:rPr>
                <w:rFonts w:ascii="Arial Narrow" w:hAnsi="Arial Narrow"/>
                <w:sz w:val="20"/>
              </w:rPr>
              <w:t xml:space="preserve">0.75 </w:t>
            </w:r>
          </w:p>
          <w:p w:rsidR="006C25C1" w:rsidRPr="00420DB7" w:rsidRDefault="006C25C1" w:rsidP="00950DD9">
            <w:pPr>
              <w:keepNext/>
              <w:widowControl/>
              <w:jc w:val="center"/>
              <w:rPr>
                <w:rFonts w:ascii="Arial Narrow" w:hAnsi="Arial Narrow"/>
                <w:sz w:val="20"/>
              </w:rPr>
            </w:pPr>
            <w:r w:rsidRPr="004D1D36">
              <w:rPr>
                <w:rFonts w:ascii="Arial Narrow" w:hAnsi="Arial Narrow"/>
                <w:sz w:val="20"/>
              </w:rPr>
              <w:t>(0.56, 1.00)</w:t>
            </w:r>
          </w:p>
        </w:tc>
        <w:tc>
          <w:tcPr>
            <w:tcW w:w="717" w:type="pct"/>
            <w:tcBorders>
              <w:top w:val="single" w:sz="4" w:space="0" w:color="auto"/>
              <w:left w:val="single" w:sz="4" w:space="0" w:color="auto"/>
              <w:bottom w:val="single" w:sz="4" w:space="0" w:color="auto"/>
              <w:right w:val="single" w:sz="4" w:space="0" w:color="auto"/>
            </w:tcBorders>
            <w:vAlign w:val="center"/>
          </w:tcPr>
          <w:p w:rsidR="006C25C1" w:rsidRPr="004D1D36" w:rsidRDefault="006C25C1" w:rsidP="00950DD9">
            <w:pPr>
              <w:keepNext/>
              <w:widowControl/>
              <w:jc w:val="center"/>
              <w:rPr>
                <w:rFonts w:ascii="Arial Narrow" w:hAnsi="Arial Narrow"/>
                <w:b/>
                <w:sz w:val="20"/>
              </w:rPr>
            </w:pPr>
            <w:r w:rsidRPr="004D1D36">
              <w:rPr>
                <w:rFonts w:ascii="Arial Narrow" w:hAnsi="Arial Narrow"/>
                <w:b/>
                <w:sz w:val="20"/>
              </w:rPr>
              <w:t xml:space="preserve">0.75 </w:t>
            </w:r>
          </w:p>
          <w:p w:rsidR="006C25C1" w:rsidRPr="00420DB7" w:rsidRDefault="006C25C1" w:rsidP="00950DD9">
            <w:pPr>
              <w:keepNext/>
              <w:widowControl/>
              <w:jc w:val="center"/>
              <w:rPr>
                <w:rFonts w:ascii="Arial Narrow" w:hAnsi="Arial Narrow"/>
                <w:sz w:val="20"/>
              </w:rPr>
            </w:pPr>
            <w:r w:rsidRPr="004D1D36">
              <w:rPr>
                <w:rFonts w:ascii="Arial Narrow" w:hAnsi="Arial Narrow"/>
                <w:b/>
                <w:sz w:val="20"/>
              </w:rPr>
              <w:t>(0.62, 0.92)</w:t>
            </w:r>
          </w:p>
        </w:tc>
        <w:tc>
          <w:tcPr>
            <w:tcW w:w="718" w:type="pct"/>
            <w:tcBorders>
              <w:top w:val="single" w:sz="4" w:space="0" w:color="auto"/>
              <w:left w:val="single" w:sz="4" w:space="0" w:color="auto"/>
              <w:bottom w:val="single" w:sz="4" w:space="0" w:color="auto"/>
              <w:right w:val="single" w:sz="4" w:space="0" w:color="auto"/>
            </w:tcBorders>
            <w:vAlign w:val="center"/>
          </w:tcPr>
          <w:p w:rsidR="006C25C1" w:rsidRPr="004D1D36" w:rsidRDefault="006C25C1" w:rsidP="00950DD9">
            <w:pPr>
              <w:keepNext/>
              <w:widowControl/>
              <w:jc w:val="center"/>
              <w:rPr>
                <w:rFonts w:ascii="Arial Narrow" w:hAnsi="Arial Narrow"/>
                <w:sz w:val="20"/>
              </w:rPr>
            </w:pPr>
            <w:r w:rsidRPr="004D1D36">
              <w:rPr>
                <w:rFonts w:ascii="Arial Narrow" w:hAnsi="Arial Narrow"/>
                <w:sz w:val="20"/>
              </w:rPr>
              <w:t xml:space="preserve">-0.03 </w:t>
            </w:r>
          </w:p>
          <w:p w:rsidR="006C25C1" w:rsidRPr="00420DB7" w:rsidRDefault="006C25C1" w:rsidP="00950DD9">
            <w:pPr>
              <w:keepNext/>
              <w:widowControl/>
              <w:jc w:val="center"/>
              <w:rPr>
                <w:rFonts w:ascii="Arial Narrow" w:hAnsi="Arial Narrow"/>
                <w:sz w:val="20"/>
              </w:rPr>
            </w:pPr>
            <w:r w:rsidRPr="004D1D36">
              <w:rPr>
                <w:rFonts w:ascii="Arial Narrow" w:hAnsi="Arial Narrow"/>
                <w:sz w:val="20"/>
              </w:rPr>
              <w:t>(-0.08, 0.02)</w:t>
            </w:r>
          </w:p>
        </w:tc>
      </w:tr>
      <w:tr w:rsidR="007246AC" w:rsidRPr="00A3242B" w:rsidTr="007246AC">
        <w:trPr>
          <w:cantSplit/>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7246AC" w:rsidRPr="00A3242B" w:rsidRDefault="007246AC" w:rsidP="00950DD9">
            <w:pPr>
              <w:keepNext/>
              <w:widowControl/>
              <w:jc w:val="left"/>
              <w:rPr>
                <w:rFonts w:ascii="Arial Narrow" w:hAnsi="Arial Narrow"/>
                <w:b/>
                <w:sz w:val="20"/>
              </w:rPr>
            </w:pPr>
            <w:r>
              <w:rPr>
                <w:rFonts w:ascii="Arial Narrow" w:hAnsi="Arial Narrow"/>
                <w:b/>
                <w:sz w:val="20"/>
              </w:rPr>
              <w:t>Clinical non-vertebral fractures</w:t>
            </w:r>
          </w:p>
        </w:tc>
      </w:tr>
      <w:tr w:rsidR="004D29DA" w:rsidRPr="00420DB7" w:rsidTr="007246AC">
        <w:trPr>
          <w:cantSplit/>
          <w:trHeight w:val="459"/>
        </w:trPr>
        <w:tc>
          <w:tcPr>
            <w:tcW w:w="1411" w:type="pct"/>
            <w:tcBorders>
              <w:top w:val="single" w:sz="4" w:space="0" w:color="auto"/>
              <w:left w:val="single" w:sz="4" w:space="0" w:color="auto"/>
              <w:bottom w:val="single" w:sz="4" w:space="0" w:color="auto"/>
              <w:right w:val="single" w:sz="4" w:space="0" w:color="auto"/>
            </w:tcBorders>
            <w:shd w:val="clear" w:color="auto" w:fill="auto"/>
            <w:vAlign w:val="center"/>
          </w:tcPr>
          <w:p w:rsidR="004D29DA" w:rsidRDefault="004D29DA" w:rsidP="00950DD9">
            <w:pPr>
              <w:keepNext/>
              <w:widowControl/>
              <w:jc w:val="left"/>
              <w:rPr>
                <w:rFonts w:ascii="Arial Narrow" w:hAnsi="Arial Narrow"/>
                <w:sz w:val="20"/>
              </w:rPr>
            </w:pPr>
            <w:r>
              <w:rPr>
                <w:rFonts w:ascii="Arial Narrow" w:hAnsi="Arial Narrow"/>
                <w:sz w:val="20"/>
              </w:rPr>
              <w:t>SOTI (3 year)</w:t>
            </w:r>
          </w:p>
        </w:tc>
        <w:tc>
          <w:tcPr>
            <w:tcW w:w="717" w:type="pct"/>
            <w:tcBorders>
              <w:top w:val="single" w:sz="4" w:space="0" w:color="auto"/>
              <w:left w:val="single" w:sz="4" w:space="0" w:color="auto"/>
              <w:bottom w:val="single" w:sz="4" w:space="0" w:color="auto"/>
              <w:right w:val="single" w:sz="4" w:space="0" w:color="auto"/>
            </w:tcBorders>
            <w:vAlign w:val="center"/>
          </w:tcPr>
          <w:p w:rsidR="004D29DA" w:rsidRPr="00481114" w:rsidRDefault="004D29DA" w:rsidP="00950DD9">
            <w:pPr>
              <w:keepNext/>
              <w:widowControl/>
              <w:jc w:val="center"/>
              <w:rPr>
                <w:rFonts w:ascii="Arial Narrow" w:hAnsi="Arial Narrow"/>
                <w:sz w:val="20"/>
              </w:rPr>
            </w:pPr>
            <w:r>
              <w:rPr>
                <w:rFonts w:ascii="Arial Narrow" w:hAnsi="Arial Narrow"/>
                <w:sz w:val="20"/>
              </w:rPr>
              <w:t>112/719 (15.6%)</w:t>
            </w:r>
          </w:p>
        </w:tc>
        <w:tc>
          <w:tcPr>
            <w:tcW w:w="720" w:type="pct"/>
            <w:tcBorders>
              <w:top w:val="single" w:sz="4" w:space="0" w:color="auto"/>
              <w:left w:val="single" w:sz="4" w:space="0" w:color="auto"/>
              <w:bottom w:val="single" w:sz="4" w:space="0" w:color="auto"/>
              <w:right w:val="single" w:sz="4" w:space="0" w:color="auto"/>
            </w:tcBorders>
            <w:vAlign w:val="center"/>
          </w:tcPr>
          <w:p w:rsidR="004D29DA" w:rsidRDefault="004D29DA" w:rsidP="00950DD9">
            <w:pPr>
              <w:keepNext/>
              <w:widowControl/>
              <w:jc w:val="center"/>
              <w:rPr>
                <w:rFonts w:ascii="Arial Narrow" w:hAnsi="Arial Narrow"/>
                <w:sz w:val="20"/>
              </w:rPr>
            </w:pPr>
            <w:r>
              <w:rPr>
                <w:rFonts w:ascii="Arial Narrow" w:hAnsi="Arial Narrow"/>
                <w:sz w:val="20"/>
              </w:rPr>
              <w:t>122/723</w:t>
            </w:r>
          </w:p>
          <w:p w:rsidR="004D29DA" w:rsidRPr="00481114" w:rsidRDefault="004D29DA" w:rsidP="00950DD9">
            <w:pPr>
              <w:keepNext/>
              <w:widowControl/>
              <w:jc w:val="center"/>
              <w:rPr>
                <w:rFonts w:ascii="Arial Narrow" w:hAnsi="Arial Narrow"/>
                <w:sz w:val="20"/>
              </w:rPr>
            </w:pPr>
            <w:r>
              <w:rPr>
                <w:rFonts w:ascii="Arial Narrow" w:hAnsi="Arial Narrow"/>
                <w:sz w:val="20"/>
              </w:rPr>
              <w:t>(16.9%)</w:t>
            </w:r>
          </w:p>
        </w:tc>
        <w:tc>
          <w:tcPr>
            <w:tcW w:w="717" w:type="pct"/>
            <w:tcBorders>
              <w:top w:val="single" w:sz="4" w:space="0" w:color="auto"/>
              <w:left w:val="single" w:sz="4" w:space="0" w:color="auto"/>
              <w:bottom w:val="single" w:sz="4" w:space="0" w:color="auto"/>
              <w:right w:val="single" w:sz="4" w:space="0" w:color="auto"/>
            </w:tcBorders>
            <w:vAlign w:val="center"/>
          </w:tcPr>
          <w:p w:rsidR="004D29DA" w:rsidRPr="00224999" w:rsidRDefault="004D29DA" w:rsidP="00950DD9">
            <w:pPr>
              <w:keepNext/>
              <w:widowControl/>
              <w:jc w:val="center"/>
              <w:rPr>
                <w:rFonts w:ascii="Arial Narrow" w:hAnsi="Arial Narrow"/>
                <w:sz w:val="20"/>
              </w:rPr>
            </w:pPr>
            <w:r w:rsidRPr="00224999">
              <w:rPr>
                <w:rFonts w:ascii="Arial Narrow" w:hAnsi="Arial Narrow"/>
                <w:sz w:val="20"/>
              </w:rPr>
              <w:t xml:space="preserve">0.92 </w:t>
            </w:r>
          </w:p>
          <w:p w:rsidR="004D29DA" w:rsidRPr="00420DB7" w:rsidRDefault="004D29DA" w:rsidP="00950DD9">
            <w:pPr>
              <w:keepNext/>
              <w:widowControl/>
              <w:jc w:val="center"/>
              <w:rPr>
                <w:rFonts w:ascii="Arial Narrow" w:hAnsi="Arial Narrow"/>
                <w:sz w:val="20"/>
              </w:rPr>
            </w:pPr>
            <w:r w:rsidRPr="00224999">
              <w:rPr>
                <w:rFonts w:ascii="Arial Narrow" w:hAnsi="Arial Narrow"/>
                <w:sz w:val="20"/>
              </w:rPr>
              <w:t>(0.73, 1.17)</w:t>
            </w:r>
          </w:p>
        </w:tc>
        <w:tc>
          <w:tcPr>
            <w:tcW w:w="717" w:type="pct"/>
            <w:tcBorders>
              <w:top w:val="single" w:sz="4" w:space="0" w:color="auto"/>
              <w:left w:val="single" w:sz="4" w:space="0" w:color="auto"/>
              <w:bottom w:val="single" w:sz="4" w:space="0" w:color="auto"/>
              <w:right w:val="single" w:sz="4" w:space="0" w:color="auto"/>
            </w:tcBorders>
            <w:vAlign w:val="center"/>
          </w:tcPr>
          <w:p w:rsidR="004D29DA" w:rsidRPr="00224999" w:rsidRDefault="004D29DA" w:rsidP="00950DD9">
            <w:pPr>
              <w:keepNext/>
              <w:widowControl/>
              <w:jc w:val="center"/>
              <w:rPr>
                <w:rFonts w:ascii="Arial Narrow" w:hAnsi="Arial Narrow"/>
                <w:sz w:val="20"/>
              </w:rPr>
            </w:pPr>
            <w:r w:rsidRPr="00224999">
              <w:rPr>
                <w:rFonts w:ascii="Arial Narrow" w:hAnsi="Arial Narrow"/>
                <w:sz w:val="20"/>
              </w:rPr>
              <w:t xml:space="preserve">0.91 </w:t>
            </w:r>
          </w:p>
          <w:p w:rsidR="004D29DA" w:rsidRPr="00420DB7" w:rsidRDefault="004D29DA" w:rsidP="00950DD9">
            <w:pPr>
              <w:keepNext/>
              <w:widowControl/>
              <w:jc w:val="center"/>
              <w:rPr>
                <w:rFonts w:ascii="Arial Narrow" w:hAnsi="Arial Narrow"/>
                <w:sz w:val="20"/>
              </w:rPr>
            </w:pPr>
            <w:r w:rsidRPr="00224999">
              <w:rPr>
                <w:rFonts w:ascii="Arial Narrow" w:hAnsi="Arial Narrow"/>
                <w:sz w:val="20"/>
              </w:rPr>
              <w:t>(0.71, 1.18)</w:t>
            </w:r>
          </w:p>
        </w:tc>
        <w:tc>
          <w:tcPr>
            <w:tcW w:w="718" w:type="pct"/>
            <w:tcBorders>
              <w:top w:val="single" w:sz="4" w:space="0" w:color="auto"/>
              <w:left w:val="single" w:sz="4" w:space="0" w:color="auto"/>
              <w:bottom w:val="single" w:sz="4" w:space="0" w:color="auto"/>
              <w:right w:val="single" w:sz="4" w:space="0" w:color="auto"/>
            </w:tcBorders>
            <w:vAlign w:val="center"/>
          </w:tcPr>
          <w:p w:rsidR="004D29DA" w:rsidRPr="00224999" w:rsidRDefault="004D29DA" w:rsidP="00950DD9">
            <w:pPr>
              <w:keepNext/>
              <w:widowControl/>
              <w:jc w:val="center"/>
              <w:rPr>
                <w:rFonts w:ascii="Arial Narrow" w:hAnsi="Arial Narrow"/>
                <w:sz w:val="20"/>
              </w:rPr>
            </w:pPr>
            <w:r w:rsidRPr="00224999">
              <w:rPr>
                <w:rFonts w:ascii="Arial Narrow" w:hAnsi="Arial Narrow"/>
                <w:sz w:val="20"/>
              </w:rPr>
              <w:t xml:space="preserve">-0.01 </w:t>
            </w:r>
          </w:p>
          <w:p w:rsidR="004D29DA" w:rsidRPr="00420DB7" w:rsidRDefault="004D29DA" w:rsidP="00950DD9">
            <w:pPr>
              <w:keepNext/>
              <w:widowControl/>
              <w:jc w:val="center"/>
              <w:rPr>
                <w:rFonts w:ascii="Arial Narrow" w:hAnsi="Arial Narrow"/>
                <w:sz w:val="20"/>
              </w:rPr>
            </w:pPr>
            <w:r w:rsidRPr="00224999">
              <w:rPr>
                <w:rFonts w:ascii="Arial Narrow" w:hAnsi="Arial Narrow"/>
                <w:sz w:val="20"/>
              </w:rPr>
              <w:t>(-0.05, 0.03)</w:t>
            </w:r>
          </w:p>
        </w:tc>
      </w:tr>
      <w:tr w:rsidR="004D29DA" w:rsidRPr="00420DB7" w:rsidTr="007246AC">
        <w:trPr>
          <w:cantSplit/>
          <w:trHeight w:val="459"/>
        </w:trPr>
        <w:tc>
          <w:tcPr>
            <w:tcW w:w="1411" w:type="pct"/>
            <w:tcBorders>
              <w:top w:val="single" w:sz="4" w:space="0" w:color="auto"/>
              <w:left w:val="single" w:sz="4" w:space="0" w:color="auto"/>
              <w:bottom w:val="single" w:sz="4" w:space="0" w:color="auto"/>
              <w:right w:val="single" w:sz="4" w:space="0" w:color="auto"/>
            </w:tcBorders>
            <w:shd w:val="clear" w:color="auto" w:fill="auto"/>
            <w:vAlign w:val="center"/>
          </w:tcPr>
          <w:p w:rsidR="004D29DA" w:rsidRDefault="004D29DA" w:rsidP="00950DD9">
            <w:pPr>
              <w:keepNext/>
              <w:widowControl/>
              <w:jc w:val="left"/>
              <w:rPr>
                <w:rFonts w:ascii="Arial Narrow" w:hAnsi="Arial Narrow"/>
                <w:sz w:val="20"/>
              </w:rPr>
            </w:pPr>
            <w:r>
              <w:rPr>
                <w:rFonts w:ascii="Arial Narrow" w:hAnsi="Arial Narrow"/>
                <w:sz w:val="20"/>
              </w:rPr>
              <w:t>TROPOS (3 year)</w:t>
            </w:r>
          </w:p>
        </w:tc>
        <w:tc>
          <w:tcPr>
            <w:tcW w:w="717" w:type="pct"/>
            <w:tcBorders>
              <w:top w:val="single" w:sz="4" w:space="0" w:color="auto"/>
              <w:left w:val="single" w:sz="4" w:space="0" w:color="auto"/>
              <w:bottom w:val="single" w:sz="4" w:space="0" w:color="auto"/>
              <w:right w:val="single" w:sz="4" w:space="0" w:color="auto"/>
            </w:tcBorders>
            <w:vAlign w:val="center"/>
          </w:tcPr>
          <w:p w:rsidR="004D29DA" w:rsidRPr="00481114" w:rsidRDefault="004D29DA" w:rsidP="00950DD9">
            <w:pPr>
              <w:keepNext/>
              <w:widowControl/>
              <w:jc w:val="center"/>
              <w:rPr>
                <w:rFonts w:ascii="Arial Narrow" w:hAnsi="Arial Narrow"/>
                <w:sz w:val="20"/>
              </w:rPr>
            </w:pPr>
            <w:r>
              <w:rPr>
                <w:rFonts w:ascii="Arial Narrow" w:hAnsi="Arial Narrow"/>
                <w:sz w:val="20"/>
              </w:rPr>
              <w:t>233/2479 (9.4%)</w:t>
            </w:r>
          </w:p>
        </w:tc>
        <w:tc>
          <w:tcPr>
            <w:tcW w:w="720" w:type="pct"/>
            <w:tcBorders>
              <w:top w:val="single" w:sz="4" w:space="0" w:color="auto"/>
              <w:left w:val="single" w:sz="4" w:space="0" w:color="auto"/>
              <w:bottom w:val="single" w:sz="4" w:space="0" w:color="auto"/>
              <w:right w:val="single" w:sz="4" w:space="0" w:color="auto"/>
            </w:tcBorders>
            <w:vAlign w:val="center"/>
          </w:tcPr>
          <w:p w:rsidR="004D29DA" w:rsidRDefault="004D29DA" w:rsidP="00950DD9">
            <w:pPr>
              <w:keepNext/>
              <w:widowControl/>
              <w:jc w:val="center"/>
              <w:rPr>
                <w:rFonts w:ascii="Arial Narrow" w:hAnsi="Arial Narrow"/>
                <w:sz w:val="20"/>
              </w:rPr>
            </w:pPr>
            <w:r>
              <w:rPr>
                <w:rFonts w:ascii="Arial Narrow" w:hAnsi="Arial Narrow"/>
                <w:sz w:val="20"/>
              </w:rPr>
              <w:t>276/2453</w:t>
            </w:r>
          </w:p>
          <w:p w:rsidR="004D29DA" w:rsidRPr="00481114" w:rsidRDefault="004D29DA" w:rsidP="00950DD9">
            <w:pPr>
              <w:keepNext/>
              <w:widowControl/>
              <w:jc w:val="center"/>
              <w:rPr>
                <w:rFonts w:ascii="Arial Narrow" w:hAnsi="Arial Narrow"/>
                <w:sz w:val="20"/>
              </w:rPr>
            </w:pPr>
            <w:r>
              <w:rPr>
                <w:rFonts w:ascii="Arial Narrow" w:hAnsi="Arial Narrow"/>
                <w:sz w:val="20"/>
              </w:rPr>
              <w:t>(11.3%)</w:t>
            </w:r>
          </w:p>
        </w:tc>
        <w:tc>
          <w:tcPr>
            <w:tcW w:w="717" w:type="pct"/>
            <w:tcBorders>
              <w:top w:val="single" w:sz="4" w:space="0" w:color="auto"/>
              <w:left w:val="single" w:sz="4" w:space="0" w:color="auto"/>
              <w:bottom w:val="single" w:sz="4" w:space="0" w:color="auto"/>
              <w:right w:val="single" w:sz="4" w:space="0" w:color="auto"/>
            </w:tcBorders>
            <w:vAlign w:val="center"/>
          </w:tcPr>
          <w:p w:rsidR="004D29DA" w:rsidRPr="00224999" w:rsidRDefault="004D29DA" w:rsidP="00950DD9">
            <w:pPr>
              <w:keepNext/>
              <w:widowControl/>
              <w:jc w:val="center"/>
              <w:rPr>
                <w:rFonts w:ascii="Arial Narrow" w:hAnsi="Arial Narrow"/>
                <w:b/>
                <w:sz w:val="20"/>
              </w:rPr>
            </w:pPr>
            <w:r w:rsidRPr="00224999">
              <w:rPr>
                <w:rFonts w:ascii="Arial Narrow" w:hAnsi="Arial Narrow"/>
                <w:b/>
                <w:sz w:val="20"/>
              </w:rPr>
              <w:t xml:space="preserve">0.84 </w:t>
            </w:r>
          </w:p>
          <w:p w:rsidR="004D29DA" w:rsidRPr="00420DB7" w:rsidRDefault="004D29DA" w:rsidP="00950DD9">
            <w:pPr>
              <w:keepNext/>
              <w:widowControl/>
              <w:jc w:val="center"/>
              <w:rPr>
                <w:rFonts w:ascii="Arial Narrow" w:hAnsi="Arial Narrow"/>
                <w:sz w:val="20"/>
              </w:rPr>
            </w:pPr>
            <w:r w:rsidRPr="00224999">
              <w:rPr>
                <w:rFonts w:ascii="Arial Narrow" w:hAnsi="Arial Narrow"/>
                <w:b/>
                <w:sz w:val="20"/>
              </w:rPr>
              <w:t>(0.71, 0.99)</w:t>
            </w:r>
          </w:p>
        </w:tc>
        <w:tc>
          <w:tcPr>
            <w:tcW w:w="717" w:type="pct"/>
            <w:tcBorders>
              <w:top w:val="single" w:sz="4" w:space="0" w:color="auto"/>
              <w:left w:val="single" w:sz="4" w:space="0" w:color="auto"/>
              <w:bottom w:val="single" w:sz="4" w:space="0" w:color="auto"/>
              <w:right w:val="single" w:sz="4" w:space="0" w:color="auto"/>
            </w:tcBorders>
            <w:vAlign w:val="center"/>
          </w:tcPr>
          <w:p w:rsidR="004D29DA" w:rsidRDefault="004D29DA" w:rsidP="00950DD9">
            <w:pPr>
              <w:keepNext/>
              <w:widowControl/>
              <w:jc w:val="center"/>
              <w:rPr>
                <w:rFonts w:ascii="Arial Narrow" w:hAnsi="Arial Narrow"/>
                <w:sz w:val="20"/>
              </w:rPr>
            </w:pPr>
            <w:r>
              <w:rPr>
                <w:rFonts w:ascii="Arial Narrow" w:hAnsi="Arial Narrow"/>
                <w:sz w:val="20"/>
              </w:rPr>
              <w:t xml:space="preserve">0.84 </w:t>
            </w:r>
          </w:p>
          <w:p w:rsidR="004D29DA" w:rsidRPr="00420DB7" w:rsidRDefault="004D29DA" w:rsidP="00950DD9">
            <w:pPr>
              <w:keepNext/>
              <w:widowControl/>
              <w:jc w:val="center"/>
              <w:rPr>
                <w:rFonts w:ascii="Arial Narrow" w:hAnsi="Arial Narrow"/>
                <w:sz w:val="20"/>
              </w:rPr>
            </w:pPr>
            <w:r>
              <w:rPr>
                <w:rFonts w:ascii="Arial Narrow" w:hAnsi="Arial Narrow"/>
                <w:sz w:val="20"/>
              </w:rPr>
              <w:t>(0.71, 1.00)</w:t>
            </w:r>
          </w:p>
        </w:tc>
        <w:tc>
          <w:tcPr>
            <w:tcW w:w="718" w:type="pct"/>
            <w:tcBorders>
              <w:top w:val="single" w:sz="4" w:space="0" w:color="auto"/>
              <w:left w:val="single" w:sz="4" w:space="0" w:color="auto"/>
              <w:bottom w:val="single" w:sz="4" w:space="0" w:color="auto"/>
              <w:right w:val="single" w:sz="4" w:space="0" w:color="auto"/>
            </w:tcBorders>
            <w:vAlign w:val="center"/>
          </w:tcPr>
          <w:p w:rsidR="004D29DA" w:rsidRPr="00224999" w:rsidRDefault="004D29DA" w:rsidP="00950DD9">
            <w:pPr>
              <w:keepNext/>
              <w:widowControl/>
              <w:jc w:val="center"/>
              <w:rPr>
                <w:rFonts w:ascii="Arial Narrow" w:hAnsi="Arial Narrow"/>
                <w:b/>
                <w:sz w:val="20"/>
              </w:rPr>
            </w:pPr>
            <w:r w:rsidRPr="00224999">
              <w:rPr>
                <w:rFonts w:ascii="Arial Narrow" w:hAnsi="Arial Narrow"/>
                <w:b/>
                <w:sz w:val="20"/>
              </w:rPr>
              <w:t xml:space="preserve">-0.02 </w:t>
            </w:r>
          </w:p>
          <w:p w:rsidR="004D29DA" w:rsidRPr="00420DB7" w:rsidRDefault="004D29DA" w:rsidP="00950DD9">
            <w:pPr>
              <w:keepNext/>
              <w:widowControl/>
              <w:jc w:val="center"/>
              <w:rPr>
                <w:rFonts w:ascii="Arial Narrow" w:hAnsi="Arial Narrow"/>
                <w:sz w:val="20"/>
              </w:rPr>
            </w:pPr>
            <w:r w:rsidRPr="00224999">
              <w:rPr>
                <w:rFonts w:ascii="Arial Narrow" w:hAnsi="Arial Narrow"/>
                <w:b/>
                <w:sz w:val="20"/>
              </w:rPr>
              <w:t>(-0.04, -0.00)</w:t>
            </w:r>
          </w:p>
        </w:tc>
      </w:tr>
      <w:tr w:rsidR="004D29DA" w:rsidRPr="00420DB7" w:rsidTr="007246AC">
        <w:trPr>
          <w:cantSplit/>
          <w:trHeight w:val="459"/>
        </w:trPr>
        <w:tc>
          <w:tcPr>
            <w:tcW w:w="284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D29DA" w:rsidRDefault="005F30D7" w:rsidP="00950DD9">
            <w:pPr>
              <w:keepNext/>
              <w:widowControl/>
              <w:jc w:val="right"/>
              <w:rPr>
                <w:rFonts w:ascii="Arial Narrow" w:hAnsi="Arial Narrow"/>
                <w:sz w:val="20"/>
              </w:rPr>
            </w:pPr>
            <w:r>
              <w:rPr>
                <w:rFonts w:ascii="Arial Narrow" w:hAnsi="Arial Narrow"/>
                <w:sz w:val="20"/>
              </w:rPr>
              <w:t xml:space="preserve">Meta-analysis </w:t>
            </w:r>
            <w:r w:rsidR="004D29DA">
              <w:rPr>
                <w:rFonts w:ascii="Arial Narrow" w:hAnsi="Arial Narrow"/>
                <w:sz w:val="20"/>
              </w:rPr>
              <w:t>SOTI/TROPOS (3 years)</w:t>
            </w:r>
          </w:p>
          <w:p w:rsidR="004D29DA" w:rsidRPr="00481114" w:rsidRDefault="004D29DA" w:rsidP="00950DD9">
            <w:pPr>
              <w:keepNext/>
              <w:widowControl/>
              <w:jc w:val="right"/>
              <w:rPr>
                <w:rFonts w:ascii="Arial Narrow" w:hAnsi="Arial Narrow"/>
                <w:sz w:val="20"/>
              </w:rPr>
            </w:pPr>
            <w:r>
              <w:rPr>
                <w:rFonts w:ascii="Arial Narrow" w:hAnsi="Arial Narrow"/>
                <w:sz w:val="20"/>
              </w:rPr>
              <w:t>I</w:t>
            </w:r>
            <w:r w:rsidRPr="00CD62B6">
              <w:rPr>
                <w:rFonts w:ascii="Arial Narrow" w:hAnsi="Arial Narrow"/>
                <w:sz w:val="20"/>
                <w:vertAlign w:val="superscript"/>
              </w:rPr>
              <w:t>2</w:t>
            </w:r>
            <w:r>
              <w:rPr>
                <w:rFonts w:ascii="Arial Narrow" w:hAnsi="Arial Narrow"/>
                <w:sz w:val="20"/>
              </w:rPr>
              <w:t xml:space="preserve"> = 0% [RR], 0% [RD] </w:t>
            </w:r>
          </w:p>
        </w:tc>
        <w:tc>
          <w:tcPr>
            <w:tcW w:w="717" w:type="pct"/>
            <w:tcBorders>
              <w:top w:val="single" w:sz="4" w:space="0" w:color="auto"/>
              <w:left w:val="single" w:sz="4" w:space="0" w:color="auto"/>
              <w:bottom w:val="single" w:sz="4" w:space="0" w:color="auto"/>
              <w:right w:val="single" w:sz="4" w:space="0" w:color="auto"/>
            </w:tcBorders>
            <w:vAlign w:val="center"/>
          </w:tcPr>
          <w:p w:rsidR="004D29DA" w:rsidRPr="00224999" w:rsidRDefault="004D29DA" w:rsidP="00950DD9">
            <w:pPr>
              <w:keepNext/>
              <w:widowControl/>
              <w:jc w:val="center"/>
              <w:rPr>
                <w:rFonts w:ascii="Arial Narrow" w:hAnsi="Arial Narrow"/>
                <w:b/>
                <w:sz w:val="20"/>
              </w:rPr>
            </w:pPr>
            <w:r w:rsidRPr="00224999">
              <w:rPr>
                <w:rFonts w:ascii="Arial Narrow" w:hAnsi="Arial Narrow"/>
                <w:b/>
                <w:sz w:val="20"/>
              </w:rPr>
              <w:t xml:space="preserve">0.86 </w:t>
            </w:r>
          </w:p>
          <w:p w:rsidR="004D29DA" w:rsidRPr="00420DB7" w:rsidRDefault="004D29DA" w:rsidP="00950DD9">
            <w:pPr>
              <w:keepNext/>
              <w:widowControl/>
              <w:jc w:val="center"/>
              <w:rPr>
                <w:rFonts w:ascii="Arial Narrow" w:hAnsi="Arial Narrow"/>
                <w:sz w:val="20"/>
              </w:rPr>
            </w:pPr>
            <w:r w:rsidRPr="00224999">
              <w:rPr>
                <w:rFonts w:ascii="Arial Narrow" w:hAnsi="Arial Narrow"/>
                <w:b/>
                <w:sz w:val="20"/>
              </w:rPr>
              <w:t>(0.75, 0.99)</w:t>
            </w:r>
          </w:p>
        </w:tc>
        <w:tc>
          <w:tcPr>
            <w:tcW w:w="717" w:type="pct"/>
            <w:tcBorders>
              <w:top w:val="single" w:sz="4" w:space="0" w:color="auto"/>
              <w:left w:val="single" w:sz="4" w:space="0" w:color="auto"/>
              <w:bottom w:val="single" w:sz="4" w:space="0" w:color="auto"/>
              <w:right w:val="single" w:sz="4" w:space="0" w:color="auto"/>
            </w:tcBorders>
            <w:vAlign w:val="center"/>
          </w:tcPr>
          <w:p w:rsidR="004D29DA" w:rsidRPr="00224999" w:rsidRDefault="004D29DA" w:rsidP="00950DD9">
            <w:pPr>
              <w:keepNext/>
              <w:widowControl/>
              <w:jc w:val="center"/>
              <w:rPr>
                <w:rFonts w:ascii="Arial Narrow" w:hAnsi="Arial Narrow"/>
                <w:b/>
                <w:sz w:val="20"/>
              </w:rPr>
            </w:pPr>
            <w:r w:rsidRPr="00224999">
              <w:rPr>
                <w:rFonts w:ascii="Arial Narrow" w:hAnsi="Arial Narrow"/>
                <w:b/>
                <w:sz w:val="20"/>
              </w:rPr>
              <w:t xml:space="preserve">0.84 </w:t>
            </w:r>
          </w:p>
          <w:p w:rsidR="004D29DA" w:rsidRPr="00420DB7" w:rsidRDefault="004D29DA" w:rsidP="00950DD9">
            <w:pPr>
              <w:keepNext/>
              <w:widowControl/>
              <w:jc w:val="center"/>
              <w:rPr>
                <w:rFonts w:ascii="Arial Narrow" w:hAnsi="Arial Narrow"/>
                <w:sz w:val="20"/>
              </w:rPr>
            </w:pPr>
            <w:r w:rsidRPr="00224999">
              <w:rPr>
                <w:rFonts w:ascii="Arial Narrow" w:hAnsi="Arial Narrow"/>
                <w:b/>
                <w:sz w:val="20"/>
              </w:rPr>
              <w:t>(0.72, 0.98)</w:t>
            </w:r>
            <w:r>
              <w:rPr>
                <w:rFonts w:ascii="Arial Narrow" w:hAnsi="Arial Narrow"/>
                <w:b/>
                <w:sz w:val="20"/>
                <w:vertAlign w:val="superscript"/>
              </w:rPr>
              <w:t>b</w:t>
            </w:r>
          </w:p>
        </w:tc>
        <w:tc>
          <w:tcPr>
            <w:tcW w:w="718" w:type="pct"/>
            <w:tcBorders>
              <w:top w:val="single" w:sz="4" w:space="0" w:color="auto"/>
              <w:left w:val="single" w:sz="4" w:space="0" w:color="auto"/>
              <w:bottom w:val="single" w:sz="4" w:space="0" w:color="auto"/>
              <w:right w:val="single" w:sz="4" w:space="0" w:color="auto"/>
            </w:tcBorders>
            <w:vAlign w:val="center"/>
          </w:tcPr>
          <w:p w:rsidR="004D29DA" w:rsidRPr="00224999" w:rsidRDefault="004D29DA" w:rsidP="00950DD9">
            <w:pPr>
              <w:keepNext/>
              <w:widowControl/>
              <w:jc w:val="center"/>
              <w:rPr>
                <w:rFonts w:ascii="Arial Narrow" w:hAnsi="Arial Narrow"/>
                <w:b/>
                <w:sz w:val="20"/>
              </w:rPr>
            </w:pPr>
            <w:r w:rsidRPr="00224999">
              <w:rPr>
                <w:rFonts w:ascii="Arial Narrow" w:hAnsi="Arial Narrow"/>
                <w:b/>
                <w:sz w:val="20"/>
              </w:rPr>
              <w:t xml:space="preserve">-0.02 </w:t>
            </w:r>
          </w:p>
          <w:p w:rsidR="004D29DA" w:rsidRPr="00420DB7" w:rsidRDefault="004D29DA" w:rsidP="00950DD9">
            <w:pPr>
              <w:keepNext/>
              <w:widowControl/>
              <w:jc w:val="center"/>
              <w:rPr>
                <w:rFonts w:ascii="Arial Narrow" w:hAnsi="Arial Narrow"/>
                <w:sz w:val="20"/>
              </w:rPr>
            </w:pPr>
            <w:r w:rsidRPr="00224999">
              <w:rPr>
                <w:rFonts w:ascii="Arial Narrow" w:hAnsi="Arial Narrow"/>
                <w:b/>
                <w:sz w:val="20"/>
              </w:rPr>
              <w:t>(-0.03, -0.00)</w:t>
            </w:r>
          </w:p>
        </w:tc>
      </w:tr>
      <w:tr w:rsidR="00CE486F" w:rsidRPr="00A3242B" w:rsidTr="006048A7">
        <w:trPr>
          <w:cantSplit/>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CE486F" w:rsidRPr="00A3242B" w:rsidRDefault="00CE486F" w:rsidP="00950DD9">
            <w:pPr>
              <w:keepNext/>
              <w:widowControl/>
              <w:jc w:val="left"/>
              <w:rPr>
                <w:rFonts w:ascii="Arial Narrow" w:hAnsi="Arial Narrow"/>
                <w:b/>
                <w:sz w:val="20"/>
              </w:rPr>
            </w:pPr>
            <w:r>
              <w:rPr>
                <w:rFonts w:ascii="Arial Narrow" w:hAnsi="Arial Narrow"/>
                <w:b/>
                <w:sz w:val="20"/>
              </w:rPr>
              <w:t>Clinical hip fractures</w:t>
            </w:r>
          </w:p>
        </w:tc>
      </w:tr>
      <w:tr w:rsidR="00CE486F" w:rsidRPr="00420DB7" w:rsidTr="006048A7">
        <w:trPr>
          <w:cantSplit/>
          <w:trHeight w:val="459"/>
        </w:trPr>
        <w:tc>
          <w:tcPr>
            <w:tcW w:w="1411" w:type="pct"/>
            <w:tcBorders>
              <w:top w:val="single" w:sz="4" w:space="0" w:color="auto"/>
              <w:left w:val="single" w:sz="4" w:space="0" w:color="auto"/>
              <w:bottom w:val="single" w:sz="4" w:space="0" w:color="auto"/>
              <w:right w:val="single" w:sz="4" w:space="0" w:color="auto"/>
            </w:tcBorders>
            <w:shd w:val="clear" w:color="auto" w:fill="auto"/>
            <w:vAlign w:val="center"/>
          </w:tcPr>
          <w:p w:rsidR="00CE486F" w:rsidRDefault="00CE486F" w:rsidP="00950DD9">
            <w:pPr>
              <w:keepNext/>
              <w:widowControl/>
              <w:jc w:val="left"/>
              <w:rPr>
                <w:rFonts w:ascii="Arial Narrow" w:hAnsi="Arial Narrow"/>
                <w:sz w:val="20"/>
              </w:rPr>
            </w:pPr>
            <w:r>
              <w:rPr>
                <w:rFonts w:ascii="Arial Narrow" w:hAnsi="Arial Narrow"/>
                <w:sz w:val="20"/>
              </w:rPr>
              <w:t>SOTI (3 year)</w:t>
            </w:r>
          </w:p>
        </w:tc>
        <w:tc>
          <w:tcPr>
            <w:tcW w:w="717" w:type="pct"/>
            <w:tcBorders>
              <w:top w:val="single" w:sz="4" w:space="0" w:color="auto"/>
              <w:left w:val="single" w:sz="4" w:space="0" w:color="auto"/>
              <w:bottom w:val="single" w:sz="4" w:space="0" w:color="auto"/>
              <w:right w:val="single" w:sz="4" w:space="0" w:color="auto"/>
            </w:tcBorders>
            <w:vAlign w:val="center"/>
          </w:tcPr>
          <w:p w:rsidR="00CE486F" w:rsidRPr="00481114" w:rsidRDefault="00CE486F" w:rsidP="00950DD9">
            <w:pPr>
              <w:keepNext/>
              <w:widowControl/>
              <w:jc w:val="center"/>
              <w:rPr>
                <w:rFonts w:ascii="Arial Narrow" w:hAnsi="Arial Narrow"/>
                <w:sz w:val="20"/>
              </w:rPr>
            </w:pPr>
            <w:r>
              <w:rPr>
                <w:rFonts w:ascii="Arial Narrow" w:hAnsi="Arial Narrow"/>
                <w:sz w:val="20"/>
              </w:rPr>
              <w:t>NR</w:t>
            </w:r>
          </w:p>
        </w:tc>
        <w:tc>
          <w:tcPr>
            <w:tcW w:w="720" w:type="pct"/>
            <w:tcBorders>
              <w:top w:val="single" w:sz="4" w:space="0" w:color="auto"/>
              <w:left w:val="single" w:sz="4" w:space="0" w:color="auto"/>
              <w:bottom w:val="single" w:sz="4" w:space="0" w:color="auto"/>
              <w:right w:val="single" w:sz="4" w:space="0" w:color="auto"/>
            </w:tcBorders>
            <w:vAlign w:val="center"/>
          </w:tcPr>
          <w:p w:rsidR="00CE486F" w:rsidRPr="00481114" w:rsidRDefault="00CE486F" w:rsidP="00950DD9">
            <w:pPr>
              <w:keepNext/>
              <w:widowControl/>
              <w:jc w:val="center"/>
              <w:rPr>
                <w:rFonts w:ascii="Arial Narrow" w:hAnsi="Arial Narrow"/>
                <w:sz w:val="20"/>
              </w:rPr>
            </w:pPr>
            <w:r>
              <w:rPr>
                <w:rFonts w:ascii="Arial Narrow" w:hAnsi="Arial Narrow"/>
                <w:sz w:val="20"/>
              </w:rPr>
              <w:t>NR</w:t>
            </w:r>
          </w:p>
        </w:tc>
        <w:tc>
          <w:tcPr>
            <w:tcW w:w="717" w:type="pct"/>
            <w:tcBorders>
              <w:top w:val="single" w:sz="4" w:space="0" w:color="auto"/>
              <w:left w:val="single" w:sz="4" w:space="0" w:color="auto"/>
              <w:bottom w:val="single" w:sz="4" w:space="0" w:color="auto"/>
              <w:right w:val="single" w:sz="4" w:space="0" w:color="auto"/>
            </w:tcBorders>
            <w:vAlign w:val="center"/>
          </w:tcPr>
          <w:p w:rsidR="00CE486F" w:rsidRPr="00420DB7" w:rsidRDefault="00CE486F" w:rsidP="00950DD9">
            <w:pPr>
              <w:keepNext/>
              <w:widowControl/>
              <w:jc w:val="center"/>
              <w:rPr>
                <w:rFonts w:ascii="Arial Narrow" w:hAnsi="Arial Narrow"/>
                <w:sz w:val="20"/>
              </w:rPr>
            </w:pPr>
            <w:r>
              <w:rPr>
                <w:rFonts w:ascii="Arial Narrow" w:hAnsi="Arial Narrow"/>
                <w:sz w:val="20"/>
              </w:rPr>
              <w:t>-</w:t>
            </w:r>
          </w:p>
        </w:tc>
        <w:tc>
          <w:tcPr>
            <w:tcW w:w="717" w:type="pct"/>
            <w:tcBorders>
              <w:top w:val="single" w:sz="4" w:space="0" w:color="auto"/>
              <w:left w:val="single" w:sz="4" w:space="0" w:color="auto"/>
              <w:bottom w:val="single" w:sz="4" w:space="0" w:color="auto"/>
              <w:right w:val="single" w:sz="4" w:space="0" w:color="auto"/>
            </w:tcBorders>
            <w:vAlign w:val="center"/>
          </w:tcPr>
          <w:p w:rsidR="00CE486F" w:rsidRPr="00420DB7" w:rsidRDefault="00CE486F" w:rsidP="00950DD9">
            <w:pPr>
              <w:keepNext/>
              <w:widowControl/>
              <w:jc w:val="center"/>
              <w:rPr>
                <w:rFonts w:ascii="Arial Narrow" w:hAnsi="Arial Narrow"/>
                <w:sz w:val="20"/>
              </w:rPr>
            </w:pPr>
            <w:r>
              <w:rPr>
                <w:rFonts w:ascii="Arial Narrow" w:hAnsi="Arial Narrow"/>
                <w:sz w:val="20"/>
              </w:rPr>
              <w:t>-</w:t>
            </w:r>
          </w:p>
        </w:tc>
        <w:tc>
          <w:tcPr>
            <w:tcW w:w="718" w:type="pct"/>
            <w:tcBorders>
              <w:top w:val="single" w:sz="4" w:space="0" w:color="auto"/>
              <w:left w:val="single" w:sz="4" w:space="0" w:color="auto"/>
              <w:bottom w:val="single" w:sz="4" w:space="0" w:color="auto"/>
              <w:right w:val="single" w:sz="4" w:space="0" w:color="auto"/>
            </w:tcBorders>
            <w:vAlign w:val="center"/>
          </w:tcPr>
          <w:p w:rsidR="00CE486F" w:rsidRPr="00420DB7" w:rsidRDefault="00CE486F" w:rsidP="00950DD9">
            <w:pPr>
              <w:keepNext/>
              <w:widowControl/>
              <w:jc w:val="center"/>
              <w:rPr>
                <w:rFonts w:ascii="Arial Narrow" w:hAnsi="Arial Narrow"/>
                <w:sz w:val="20"/>
              </w:rPr>
            </w:pPr>
            <w:r>
              <w:rPr>
                <w:rFonts w:ascii="Arial Narrow" w:hAnsi="Arial Narrow"/>
                <w:sz w:val="20"/>
              </w:rPr>
              <w:t>-</w:t>
            </w:r>
          </w:p>
        </w:tc>
      </w:tr>
      <w:tr w:rsidR="00CE486F" w:rsidRPr="00420DB7" w:rsidTr="006048A7">
        <w:trPr>
          <w:cantSplit/>
          <w:trHeight w:val="459"/>
        </w:trPr>
        <w:tc>
          <w:tcPr>
            <w:tcW w:w="1411" w:type="pct"/>
            <w:tcBorders>
              <w:top w:val="single" w:sz="4" w:space="0" w:color="auto"/>
              <w:left w:val="single" w:sz="4" w:space="0" w:color="auto"/>
              <w:bottom w:val="single" w:sz="4" w:space="0" w:color="auto"/>
              <w:right w:val="single" w:sz="4" w:space="0" w:color="auto"/>
            </w:tcBorders>
            <w:shd w:val="clear" w:color="auto" w:fill="auto"/>
            <w:vAlign w:val="center"/>
          </w:tcPr>
          <w:p w:rsidR="00CE486F" w:rsidRDefault="00CE486F" w:rsidP="00950DD9">
            <w:pPr>
              <w:keepNext/>
              <w:widowControl/>
              <w:jc w:val="left"/>
              <w:rPr>
                <w:rFonts w:ascii="Arial Narrow" w:hAnsi="Arial Narrow"/>
                <w:sz w:val="20"/>
              </w:rPr>
            </w:pPr>
            <w:r>
              <w:rPr>
                <w:rFonts w:ascii="Arial Narrow" w:hAnsi="Arial Narrow"/>
                <w:sz w:val="20"/>
              </w:rPr>
              <w:t>TROPOS (3 year)</w:t>
            </w:r>
          </w:p>
        </w:tc>
        <w:tc>
          <w:tcPr>
            <w:tcW w:w="717" w:type="pct"/>
            <w:tcBorders>
              <w:top w:val="single" w:sz="4" w:space="0" w:color="auto"/>
              <w:left w:val="single" w:sz="4" w:space="0" w:color="auto"/>
              <w:bottom w:val="single" w:sz="4" w:space="0" w:color="auto"/>
              <w:right w:val="single" w:sz="4" w:space="0" w:color="auto"/>
            </w:tcBorders>
            <w:vAlign w:val="center"/>
          </w:tcPr>
          <w:p w:rsidR="00CE486F" w:rsidRPr="00481114" w:rsidRDefault="00CE486F" w:rsidP="00950DD9">
            <w:pPr>
              <w:keepNext/>
              <w:widowControl/>
              <w:jc w:val="center"/>
              <w:rPr>
                <w:rFonts w:ascii="Arial Narrow" w:hAnsi="Arial Narrow"/>
                <w:sz w:val="20"/>
              </w:rPr>
            </w:pPr>
            <w:r>
              <w:rPr>
                <w:rFonts w:ascii="Arial Narrow" w:hAnsi="Arial Narrow"/>
                <w:sz w:val="20"/>
              </w:rPr>
              <w:t>62/2479 (2.5%)</w:t>
            </w:r>
          </w:p>
        </w:tc>
        <w:tc>
          <w:tcPr>
            <w:tcW w:w="720" w:type="pct"/>
            <w:tcBorders>
              <w:top w:val="single" w:sz="4" w:space="0" w:color="auto"/>
              <w:left w:val="single" w:sz="4" w:space="0" w:color="auto"/>
              <w:bottom w:val="single" w:sz="4" w:space="0" w:color="auto"/>
              <w:right w:val="single" w:sz="4" w:space="0" w:color="auto"/>
            </w:tcBorders>
            <w:vAlign w:val="center"/>
          </w:tcPr>
          <w:p w:rsidR="00CE486F" w:rsidRDefault="00CE486F" w:rsidP="00950DD9">
            <w:pPr>
              <w:keepNext/>
              <w:widowControl/>
              <w:jc w:val="center"/>
              <w:rPr>
                <w:rFonts w:ascii="Arial Narrow" w:hAnsi="Arial Narrow"/>
                <w:sz w:val="20"/>
              </w:rPr>
            </w:pPr>
            <w:r>
              <w:rPr>
                <w:rFonts w:ascii="Arial Narrow" w:hAnsi="Arial Narrow"/>
                <w:sz w:val="20"/>
              </w:rPr>
              <w:t>74/2453</w:t>
            </w:r>
          </w:p>
          <w:p w:rsidR="00CE486F" w:rsidRPr="00481114" w:rsidRDefault="00CE486F" w:rsidP="00950DD9">
            <w:pPr>
              <w:keepNext/>
              <w:widowControl/>
              <w:jc w:val="center"/>
              <w:rPr>
                <w:rFonts w:ascii="Arial Narrow" w:hAnsi="Arial Narrow"/>
                <w:sz w:val="20"/>
              </w:rPr>
            </w:pPr>
            <w:r>
              <w:rPr>
                <w:rFonts w:ascii="Arial Narrow" w:hAnsi="Arial Narrow"/>
                <w:sz w:val="20"/>
              </w:rPr>
              <w:t>(3.0%)</w:t>
            </w:r>
          </w:p>
        </w:tc>
        <w:tc>
          <w:tcPr>
            <w:tcW w:w="717" w:type="pct"/>
            <w:tcBorders>
              <w:top w:val="single" w:sz="4" w:space="0" w:color="auto"/>
              <w:left w:val="single" w:sz="4" w:space="0" w:color="auto"/>
              <w:bottom w:val="single" w:sz="4" w:space="0" w:color="auto"/>
              <w:right w:val="single" w:sz="4" w:space="0" w:color="auto"/>
            </w:tcBorders>
            <w:vAlign w:val="center"/>
          </w:tcPr>
          <w:p w:rsidR="00CE486F" w:rsidRPr="004A509E" w:rsidRDefault="00CE486F" w:rsidP="00950DD9">
            <w:pPr>
              <w:keepNext/>
              <w:widowControl/>
              <w:jc w:val="center"/>
              <w:rPr>
                <w:rFonts w:ascii="Arial Narrow" w:hAnsi="Arial Narrow"/>
                <w:sz w:val="20"/>
              </w:rPr>
            </w:pPr>
            <w:r w:rsidRPr="004A509E">
              <w:rPr>
                <w:rFonts w:ascii="Arial Narrow" w:hAnsi="Arial Narrow"/>
                <w:sz w:val="20"/>
              </w:rPr>
              <w:t xml:space="preserve">0.83 </w:t>
            </w:r>
          </w:p>
          <w:p w:rsidR="00CE486F" w:rsidRPr="00420DB7" w:rsidRDefault="00CE486F" w:rsidP="00950DD9">
            <w:pPr>
              <w:keepNext/>
              <w:widowControl/>
              <w:jc w:val="center"/>
              <w:rPr>
                <w:rFonts w:ascii="Arial Narrow" w:hAnsi="Arial Narrow"/>
                <w:sz w:val="20"/>
              </w:rPr>
            </w:pPr>
            <w:r w:rsidRPr="004A509E">
              <w:rPr>
                <w:rFonts w:ascii="Arial Narrow" w:hAnsi="Arial Narrow"/>
                <w:sz w:val="20"/>
              </w:rPr>
              <w:t>(0.59, 1.16)</w:t>
            </w:r>
          </w:p>
        </w:tc>
        <w:tc>
          <w:tcPr>
            <w:tcW w:w="717" w:type="pct"/>
            <w:tcBorders>
              <w:top w:val="single" w:sz="4" w:space="0" w:color="auto"/>
              <w:left w:val="single" w:sz="4" w:space="0" w:color="auto"/>
              <w:bottom w:val="single" w:sz="4" w:space="0" w:color="auto"/>
              <w:right w:val="single" w:sz="4" w:space="0" w:color="auto"/>
            </w:tcBorders>
            <w:vAlign w:val="center"/>
          </w:tcPr>
          <w:p w:rsidR="00CE486F" w:rsidRPr="004A509E" w:rsidRDefault="00CE486F" w:rsidP="00950DD9">
            <w:pPr>
              <w:keepNext/>
              <w:widowControl/>
              <w:jc w:val="center"/>
              <w:rPr>
                <w:rFonts w:ascii="Arial Narrow" w:hAnsi="Arial Narrow"/>
                <w:sz w:val="20"/>
              </w:rPr>
            </w:pPr>
            <w:r w:rsidRPr="004A509E">
              <w:rPr>
                <w:rFonts w:ascii="Arial Narrow" w:hAnsi="Arial Narrow"/>
                <w:sz w:val="20"/>
              </w:rPr>
              <w:t xml:space="preserve">0.85 </w:t>
            </w:r>
          </w:p>
          <w:p w:rsidR="00CE486F" w:rsidRPr="00420DB7" w:rsidRDefault="00CE486F" w:rsidP="00950DD9">
            <w:pPr>
              <w:keepNext/>
              <w:widowControl/>
              <w:jc w:val="center"/>
              <w:rPr>
                <w:rFonts w:ascii="Arial Narrow" w:hAnsi="Arial Narrow"/>
                <w:sz w:val="20"/>
              </w:rPr>
            </w:pPr>
            <w:r w:rsidRPr="004A509E">
              <w:rPr>
                <w:rFonts w:ascii="Arial Narrow" w:hAnsi="Arial Narrow"/>
                <w:sz w:val="20"/>
              </w:rPr>
              <w:t>(0.61, 1.19)</w:t>
            </w:r>
          </w:p>
        </w:tc>
        <w:tc>
          <w:tcPr>
            <w:tcW w:w="718" w:type="pct"/>
            <w:tcBorders>
              <w:top w:val="single" w:sz="4" w:space="0" w:color="auto"/>
              <w:left w:val="single" w:sz="4" w:space="0" w:color="auto"/>
              <w:bottom w:val="single" w:sz="4" w:space="0" w:color="auto"/>
              <w:right w:val="single" w:sz="4" w:space="0" w:color="auto"/>
            </w:tcBorders>
            <w:vAlign w:val="center"/>
          </w:tcPr>
          <w:p w:rsidR="00CE486F" w:rsidRPr="004A509E" w:rsidRDefault="00CE486F" w:rsidP="00950DD9">
            <w:pPr>
              <w:keepNext/>
              <w:widowControl/>
              <w:jc w:val="center"/>
              <w:rPr>
                <w:rFonts w:ascii="Arial Narrow" w:hAnsi="Arial Narrow"/>
                <w:sz w:val="20"/>
              </w:rPr>
            </w:pPr>
            <w:r w:rsidRPr="004A509E">
              <w:rPr>
                <w:rFonts w:ascii="Arial Narrow" w:hAnsi="Arial Narrow"/>
                <w:sz w:val="20"/>
              </w:rPr>
              <w:t xml:space="preserve">-0.01 </w:t>
            </w:r>
          </w:p>
          <w:p w:rsidR="00CE486F" w:rsidRPr="00420DB7" w:rsidRDefault="00CE486F" w:rsidP="00950DD9">
            <w:pPr>
              <w:keepNext/>
              <w:widowControl/>
              <w:jc w:val="center"/>
              <w:rPr>
                <w:rFonts w:ascii="Arial Narrow" w:hAnsi="Arial Narrow"/>
                <w:sz w:val="20"/>
              </w:rPr>
            </w:pPr>
            <w:r w:rsidRPr="004A509E">
              <w:rPr>
                <w:rFonts w:ascii="Arial Narrow" w:hAnsi="Arial Narrow"/>
                <w:sz w:val="20"/>
              </w:rPr>
              <w:t>(-0.01, 0.00)</w:t>
            </w:r>
          </w:p>
        </w:tc>
      </w:tr>
      <w:tr w:rsidR="00CE486F" w:rsidRPr="00420DB7" w:rsidTr="006048A7">
        <w:trPr>
          <w:cantSplit/>
          <w:trHeight w:val="459"/>
        </w:trPr>
        <w:tc>
          <w:tcPr>
            <w:tcW w:w="284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E486F" w:rsidRPr="00481114" w:rsidRDefault="005F30D7" w:rsidP="00950DD9">
            <w:pPr>
              <w:keepNext/>
              <w:widowControl/>
              <w:jc w:val="right"/>
              <w:rPr>
                <w:rFonts w:ascii="Arial Narrow" w:hAnsi="Arial Narrow"/>
                <w:sz w:val="20"/>
              </w:rPr>
            </w:pPr>
            <w:r>
              <w:rPr>
                <w:rFonts w:ascii="Arial Narrow" w:hAnsi="Arial Narrow"/>
                <w:sz w:val="20"/>
              </w:rPr>
              <w:t>Meta-analysis SOTI/TROPOS (3 years)</w:t>
            </w:r>
            <w:r w:rsidR="00CE486F">
              <w:rPr>
                <w:rFonts w:ascii="Arial Narrow" w:hAnsi="Arial Narrow"/>
                <w:sz w:val="20"/>
              </w:rPr>
              <w:t xml:space="preserve"> </w:t>
            </w:r>
          </w:p>
        </w:tc>
        <w:tc>
          <w:tcPr>
            <w:tcW w:w="717" w:type="pct"/>
            <w:tcBorders>
              <w:top w:val="single" w:sz="4" w:space="0" w:color="auto"/>
              <w:left w:val="single" w:sz="4" w:space="0" w:color="auto"/>
              <w:bottom w:val="single" w:sz="4" w:space="0" w:color="auto"/>
              <w:right w:val="single" w:sz="4" w:space="0" w:color="auto"/>
            </w:tcBorders>
            <w:vAlign w:val="center"/>
          </w:tcPr>
          <w:p w:rsidR="00CE486F" w:rsidRPr="00420DB7" w:rsidRDefault="00CE486F" w:rsidP="00950DD9">
            <w:pPr>
              <w:keepNext/>
              <w:widowControl/>
              <w:jc w:val="center"/>
              <w:rPr>
                <w:rFonts w:ascii="Arial Narrow" w:hAnsi="Arial Narrow"/>
                <w:sz w:val="20"/>
              </w:rPr>
            </w:pPr>
            <w:r>
              <w:rPr>
                <w:rFonts w:ascii="Arial Narrow" w:hAnsi="Arial Narrow"/>
                <w:sz w:val="20"/>
              </w:rPr>
              <w:t>-</w:t>
            </w:r>
          </w:p>
        </w:tc>
        <w:tc>
          <w:tcPr>
            <w:tcW w:w="717" w:type="pct"/>
            <w:tcBorders>
              <w:top w:val="single" w:sz="4" w:space="0" w:color="auto"/>
              <w:left w:val="single" w:sz="4" w:space="0" w:color="auto"/>
              <w:bottom w:val="single" w:sz="4" w:space="0" w:color="auto"/>
              <w:right w:val="single" w:sz="4" w:space="0" w:color="auto"/>
            </w:tcBorders>
            <w:vAlign w:val="center"/>
          </w:tcPr>
          <w:p w:rsidR="00CE486F" w:rsidRPr="004A509E" w:rsidRDefault="00CE486F" w:rsidP="00950DD9">
            <w:pPr>
              <w:keepNext/>
              <w:widowControl/>
              <w:jc w:val="center"/>
              <w:rPr>
                <w:rFonts w:ascii="Arial Narrow" w:hAnsi="Arial Narrow"/>
                <w:sz w:val="20"/>
              </w:rPr>
            </w:pPr>
            <w:r w:rsidRPr="004A509E">
              <w:rPr>
                <w:rFonts w:ascii="Arial Narrow" w:hAnsi="Arial Narrow"/>
                <w:sz w:val="20"/>
              </w:rPr>
              <w:t xml:space="preserve">0.95 </w:t>
            </w:r>
          </w:p>
          <w:p w:rsidR="00CE486F" w:rsidRPr="00420DB7" w:rsidRDefault="00CE486F" w:rsidP="00950DD9">
            <w:pPr>
              <w:keepNext/>
              <w:widowControl/>
              <w:jc w:val="center"/>
              <w:rPr>
                <w:rFonts w:ascii="Arial Narrow" w:hAnsi="Arial Narrow"/>
                <w:sz w:val="20"/>
              </w:rPr>
            </w:pPr>
            <w:r w:rsidRPr="004A509E">
              <w:rPr>
                <w:rFonts w:ascii="Arial Narrow" w:hAnsi="Arial Narrow"/>
                <w:sz w:val="20"/>
              </w:rPr>
              <w:t>(0.70, 1.28)</w:t>
            </w:r>
          </w:p>
        </w:tc>
        <w:tc>
          <w:tcPr>
            <w:tcW w:w="718" w:type="pct"/>
            <w:tcBorders>
              <w:top w:val="single" w:sz="4" w:space="0" w:color="auto"/>
              <w:left w:val="single" w:sz="4" w:space="0" w:color="auto"/>
              <w:bottom w:val="single" w:sz="4" w:space="0" w:color="auto"/>
              <w:right w:val="single" w:sz="4" w:space="0" w:color="auto"/>
            </w:tcBorders>
            <w:vAlign w:val="center"/>
          </w:tcPr>
          <w:p w:rsidR="00CE486F" w:rsidRPr="00420DB7" w:rsidRDefault="00CE486F" w:rsidP="00950DD9">
            <w:pPr>
              <w:keepNext/>
              <w:widowControl/>
              <w:jc w:val="center"/>
              <w:rPr>
                <w:rFonts w:ascii="Arial Narrow" w:hAnsi="Arial Narrow"/>
                <w:sz w:val="20"/>
              </w:rPr>
            </w:pPr>
            <w:r>
              <w:rPr>
                <w:rFonts w:ascii="Arial Narrow" w:hAnsi="Arial Narrow"/>
                <w:sz w:val="20"/>
              </w:rPr>
              <w:t>-</w:t>
            </w:r>
          </w:p>
        </w:tc>
      </w:tr>
    </w:tbl>
    <w:p w:rsidR="006512CA" w:rsidRDefault="006512CA" w:rsidP="00950DD9">
      <w:pPr>
        <w:keepNext/>
        <w:widowControl/>
        <w:ind w:firstLine="720"/>
        <w:rPr>
          <w:rFonts w:ascii="Arial Narrow" w:hAnsi="Arial Narrow"/>
          <w:sz w:val="18"/>
          <w:szCs w:val="18"/>
        </w:rPr>
      </w:pPr>
      <w:r w:rsidRPr="00567EEF">
        <w:rPr>
          <w:rFonts w:ascii="Arial Narrow" w:hAnsi="Arial Narrow"/>
          <w:sz w:val="18"/>
          <w:szCs w:val="18"/>
        </w:rPr>
        <w:t>Ab</w:t>
      </w:r>
      <w:r w:rsidR="006C25C1">
        <w:rPr>
          <w:rFonts w:ascii="Arial Narrow" w:hAnsi="Arial Narrow"/>
          <w:sz w:val="18"/>
          <w:szCs w:val="18"/>
        </w:rPr>
        <w:t>b</w:t>
      </w:r>
      <w:r w:rsidRPr="00567EEF">
        <w:rPr>
          <w:rFonts w:ascii="Arial Narrow" w:hAnsi="Arial Narrow"/>
          <w:sz w:val="18"/>
          <w:szCs w:val="18"/>
        </w:rPr>
        <w:t>revia</w:t>
      </w:r>
      <w:r>
        <w:rPr>
          <w:rFonts w:ascii="Arial Narrow" w:hAnsi="Arial Narrow"/>
          <w:sz w:val="18"/>
          <w:szCs w:val="18"/>
        </w:rPr>
        <w:t>tions: CI, confidence interval; HR, hazard ratio; NR, not reported; RD, risk difference; RR, relative risk</w:t>
      </w:r>
      <w:r w:rsidR="00D065E4">
        <w:rPr>
          <w:rFonts w:ascii="Arial Narrow" w:hAnsi="Arial Narrow"/>
          <w:sz w:val="18"/>
          <w:szCs w:val="18"/>
        </w:rPr>
        <w:t>.</w:t>
      </w:r>
    </w:p>
    <w:p w:rsidR="00D065E4" w:rsidRPr="002B33AE" w:rsidRDefault="00D065E4" w:rsidP="00950DD9">
      <w:pPr>
        <w:keepNext/>
        <w:widowControl/>
        <w:ind w:firstLine="720"/>
        <w:rPr>
          <w:rFonts w:ascii="Arial Narrow" w:hAnsi="Arial Narrow"/>
          <w:sz w:val="18"/>
          <w:szCs w:val="18"/>
        </w:rPr>
      </w:pPr>
      <w:r w:rsidRPr="002B33AE">
        <w:rPr>
          <w:rStyle w:val="CommentReference"/>
          <w:sz w:val="18"/>
        </w:rPr>
        <w:t>Values in bold represent statistically significant differences observed between treatment groups.</w:t>
      </w:r>
    </w:p>
    <w:p w:rsidR="006512CA" w:rsidRDefault="006512CA" w:rsidP="00950DD9">
      <w:pPr>
        <w:keepNext/>
        <w:widowControl/>
        <w:ind w:left="720"/>
        <w:rPr>
          <w:rFonts w:ascii="Arial Narrow" w:hAnsi="Arial Narrow"/>
          <w:sz w:val="18"/>
          <w:szCs w:val="18"/>
        </w:rPr>
      </w:pPr>
      <w:r>
        <w:rPr>
          <w:rFonts w:ascii="Arial Narrow" w:hAnsi="Arial Narrow"/>
          <w:sz w:val="18"/>
          <w:szCs w:val="18"/>
          <w:vertAlign w:val="superscript"/>
        </w:rPr>
        <w:t>a</w:t>
      </w:r>
      <w:r>
        <w:rPr>
          <w:rFonts w:ascii="Arial Narrow" w:hAnsi="Arial Narrow"/>
          <w:sz w:val="18"/>
          <w:szCs w:val="18"/>
        </w:rPr>
        <w:t xml:space="preserve"> Hazard ratios were based on Cox Proportional Hazards models adjusted for age, country, prior vertebral fracture and lumbar spine BMD in the SOTI trial and age, country, body mass index and femoral neck BMD in the TROPOS trial. Hazard ratios for the meta-analyses were based on a Poisson regression model adjusted for age, treatment exposure and calculated 10-year probability of fracture.</w:t>
      </w:r>
    </w:p>
    <w:p w:rsidR="004D29DA" w:rsidRDefault="004D29DA" w:rsidP="00950DD9">
      <w:pPr>
        <w:keepNext/>
        <w:widowControl/>
        <w:ind w:left="720"/>
        <w:rPr>
          <w:rFonts w:ascii="Arial Narrow" w:hAnsi="Arial Narrow"/>
          <w:sz w:val="18"/>
          <w:szCs w:val="18"/>
        </w:rPr>
      </w:pPr>
      <w:r>
        <w:rPr>
          <w:rFonts w:ascii="Arial Narrow" w:hAnsi="Arial Narrow"/>
          <w:sz w:val="18"/>
          <w:szCs w:val="18"/>
          <w:vertAlign w:val="superscript"/>
        </w:rPr>
        <w:t>b</w:t>
      </w:r>
      <w:r>
        <w:rPr>
          <w:rFonts w:ascii="Arial Narrow" w:hAnsi="Arial Narrow"/>
          <w:sz w:val="18"/>
          <w:szCs w:val="18"/>
        </w:rPr>
        <w:t xml:space="preserve"> It is unclear whether the definition of a non-vertebral fracture used in the meta-analysis is consistent with the definitions used in each of the individual trials</w:t>
      </w:r>
      <w:r w:rsidR="00D065E4">
        <w:rPr>
          <w:rFonts w:ascii="Arial Narrow" w:hAnsi="Arial Narrow"/>
          <w:sz w:val="18"/>
          <w:szCs w:val="18"/>
        </w:rPr>
        <w:t>.</w:t>
      </w:r>
    </w:p>
    <w:p w:rsidR="00266ED7" w:rsidRPr="00203EB5" w:rsidRDefault="00266ED7" w:rsidP="00950DD9">
      <w:pPr>
        <w:widowControl/>
        <w:ind w:left="720"/>
        <w:rPr>
          <w:rFonts w:ascii="Arial Narrow" w:hAnsi="Arial Narrow"/>
          <w:sz w:val="18"/>
          <w:szCs w:val="18"/>
        </w:rPr>
      </w:pPr>
      <w:r>
        <w:rPr>
          <w:rFonts w:ascii="Arial Narrow" w:hAnsi="Arial Narrow"/>
          <w:sz w:val="18"/>
          <w:szCs w:val="18"/>
        </w:rPr>
        <w:t>S</w:t>
      </w:r>
      <w:r w:rsidRPr="00567EEF">
        <w:rPr>
          <w:rFonts w:ascii="Arial Narrow" w:hAnsi="Arial Narrow"/>
          <w:sz w:val="18"/>
          <w:szCs w:val="18"/>
        </w:rPr>
        <w:t>ource:</w:t>
      </w:r>
      <w:r>
        <w:rPr>
          <w:rFonts w:ascii="Arial Narrow" w:hAnsi="Arial Narrow"/>
          <w:sz w:val="18"/>
          <w:szCs w:val="18"/>
        </w:rPr>
        <w:t xml:space="preserve"> Table B-33 (p 52), Table B-35 (p 54), Table B-49 (p 63), Table C-4 (p 79), Table C-5 (p 79), Table C-6 (p 79) of the submission </w:t>
      </w:r>
    </w:p>
    <w:p w:rsidR="004D29DA" w:rsidRDefault="004D29DA" w:rsidP="00950DD9">
      <w:pPr>
        <w:widowControl/>
        <w:ind w:left="720"/>
        <w:rPr>
          <w:rFonts w:ascii="Arial Narrow" w:hAnsi="Arial Narrow"/>
          <w:sz w:val="18"/>
          <w:szCs w:val="18"/>
        </w:rPr>
      </w:pPr>
    </w:p>
    <w:p w:rsidR="000F2470" w:rsidRPr="00407827" w:rsidRDefault="00CE486F" w:rsidP="00950DD9">
      <w:pPr>
        <w:pStyle w:val="ListParagraph"/>
        <w:widowControl/>
        <w:numPr>
          <w:ilvl w:val="1"/>
          <w:numId w:val="5"/>
        </w:numPr>
        <w:rPr>
          <w:szCs w:val="22"/>
        </w:rPr>
      </w:pPr>
      <w:r w:rsidRPr="00407827">
        <w:rPr>
          <w:szCs w:val="22"/>
        </w:rPr>
        <w:t>Treatment with strontium ranelate was associated with a statistically significant reduction in morphometric vertebral fractures compared to placebo. Strontium ranelate was also associated with a statistically significant reduction in clinical vertebral fractures (in a population at increased risk of vertebral fracture) and a borderline statistically significant reduction in non-vertebral fractures. Treatment with strontium ranelate was not associated with a reduction in hip fracture.</w:t>
      </w:r>
    </w:p>
    <w:p w:rsidR="008E7474" w:rsidRDefault="008E7474" w:rsidP="00950DD9">
      <w:pPr>
        <w:pStyle w:val="PBACHeading1"/>
        <w:numPr>
          <w:ilvl w:val="0"/>
          <w:numId w:val="0"/>
        </w:numPr>
        <w:ind w:left="720"/>
        <w:jc w:val="both"/>
        <w:rPr>
          <w:b w:val="0"/>
        </w:rPr>
      </w:pPr>
    </w:p>
    <w:p w:rsidR="008E7474" w:rsidRPr="002B33AE" w:rsidRDefault="003C72AE" w:rsidP="00950DD9">
      <w:pPr>
        <w:pStyle w:val="ListParagraph"/>
        <w:widowControl/>
        <w:numPr>
          <w:ilvl w:val="1"/>
          <w:numId w:val="5"/>
        </w:numPr>
        <w:rPr>
          <w:szCs w:val="22"/>
        </w:rPr>
      </w:pPr>
      <w:r w:rsidRPr="002B33AE">
        <w:rPr>
          <w:szCs w:val="22"/>
        </w:rPr>
        <w:t xml:space="preserve">There were </w:t>
      </w:r>
      <w:r w:rsidR="008E7474" w:rsidRPr="002B33AE">
        <w:rPr>
          <w:szCs w:val="22"/>
        </w:rPr>
        <w:t xml:space="preserve">incomplete fracture outcome data available for the SOTI and TROPOS trials beyond 3-years (nominated time point for the primary outcome). </w:t>
      </w:r>
      <w:r w:rsidRPr="002B33AE">
        <w:rPr>
          <w:szCs w:val="22"/>
        </w:rPr>
        <w:t>There were</w:t>
      </w:r>
      <w:r w:rsidR="008E7474" w:rsidRPr="002B33AE">
        <w:rPr>
          <w:szCs w:val="22"/>
        </w:rPr>
        <w:t xml:space="preserve"> </w:t>
      </w:r>
      <w:r w:rsidR="0034580A" w:rsidRPr="002B33AE">
        <w:rPr>
          <w:szCs w:val="22"/>
        </w:rPr>
        <w:t xml:space="preserve">also </w:t>
      </w:r>
      <w:r w:rsidR="008E7474" w:rsidRPr="002B33AE">
        <w:rPr>
          <w:szCs w:val="22"/>
        </w:rPr>
        <w:t>substantial differences in vertebral fracture rates between trials</w:t>
      </w:r>
      <w:r w:rsidRPr="002B33AE">
        <w:rPr>
          <w:szCs w:val="22"/>
        </w:rPr>
        <w:t xml:space="preserve"> which was</w:t>
      </w:r>
      <w:r w:rsidR="008E7474" w:rsidRPr="002B33AE">
        <w:rPr>
          <w:szCs w:val="22"/>
        </w:rPr>
        <w:t xml:space="preserve"> reflective of clinical heterogeneity between studies due to the SOTI trial enrolling a patient population at increased risk of vertebral fracture.</w:t>
      </w:r>
    </w:p>
    <w:p w:rsidR="000F2470" w:rsidRPr="00210815" w:rsidRDefault="000F2470" w:rsidP="00950DD9">
      <w:pPr>
        <w:widowControl/>
        <w:ind w:left="720"/>
        <w:rPr>
          <w:i/>
          <w:sz w:val="20"/>
        </w:rPr>
      </w:pPr>
    </w:p>
    <w:p w:rsidR="000F2470" w:rsidRPr="00EF1D6E" w:rsidRDefault="000F2470" w:rsidP="00950DD9">
      <w:pPr>
        <w:pStyle w:val="ListParagraph"/>
        <w:widowControl/>
        <w:numPr>
          <w:ilvl w:val="1"/>
          <w:numId w:val="5"/>
        </w:numPr>
        <w:rPr>
          <w:szCs w:val="22"/>
        </w:rPr>
      </w:pPr>
      <w:r w:rsidRPr="00EF1D6E">
        <w:rPr>
          <w:szCs w:val="22"/>
        </w:rPr>
        <w:t>Longer term data from observational follow-up studies</w:t>
      </w:r>
      <w:r w:rsidR="0034580A" w:rsidRPr="00EF1D6E">
        <w:rPr>
          <w:szCs w:val="22"/>
        </w:rPr>
        <w:t xml:space="preserve"> (up to 10 years)</w:t>
      </w:r>
      <w:r w:rsidR="003C72AE" w:rsidRPr="00EF1D6E">
        <w:rPr>
          <w:szCs w:val="22"/>
        </w:rPr>
        <w:t xml:space="preserve"> suggested</w:t>
      </w:r>
      <w:r w:rsidRPr="00EF1D6E">
        <w:rPr>
          <w:szCs w:val="22"/>
        </w:rPr>
        <w:t xml:space="preserve"> that the incidence of fracture was similar to estimates reported during the randomised periods and remained substantiall</w:t>
      </w:r>
      <w:r w:rsidR="00D73451" w:rsidRPr="00EF1D6E">
        <w:rPr>
          <w:szCs w:val="22"/>
        </w:rPr>
        <w:t>y lower than predicted from</w:t>
      </w:r>
      <w:r w:rsidRPr="00EF1D6E">
        <w:rPr>
          <w:szCs w:val="22"/>
        </w:rPr>
        <w:t xml:space="preserve"> risk estimates.</w:t>
      </w:r>
    </w:p>
    <w:p w:rsidR="008E7474" w:rsidRPr="00210815" w:rsidRDefault="008E7474" w:rsidP="00950DD9">
      <w:pPr>
        <w:pStyle w:val="ListParagraph"/>
        <w:widowControl/>
        <w:rPr>
          <w:sz w:val="20"/>
        </w:rPr>
      </w:pPr>
    </w:p>
    <w:p w:rsidR="008E7474" w:rsidRPr="00E92ACF" w:rsidRDefault="008E7474" w:rsidP="00950DD9">
      <w:pPr>
        <w:pStyle w:val="ListParagraph"/>
        <w:widowControl/>
        <w:numPr>
          <w:ilvl w:val="1"/>
          <w:numId w:val="5"/>
        </w:numPr>
        <w:rPr>
          <w:szCs w:val="22"/>
        </w:rPr>
      </w:pPr>
      <w:r w:rsidRPr="00E92ACF">
        <w:rPr>
          <w:szCs w:val="22"/>
        </w:rPr>
        <w:t xml:space="preserve">Strontium ranelate </w:t>
      </w:r>
      <w:r w:rsidR="003C72AE">
        <w:rPr>
          <w:szCs w:val="22"/>
        </w:rPr>
        <w:t>was</w:t>
      </w:r>
      <w:r w:rsidRPr="00E92ACF">
        <w:rPr>
          <w:szCs w:val="22"/>
        </w:rPr>
        <w:t xml:space="preserve"> associated with statistically significant increases in BMD measures compared to placebo</w:t>
      </w:r>
      <w:r>
        <w:rPr>
          <w:szCs w:val="22"/>
        </w:rPr>
        <w:t xml:space="preserve"> in males with osteoporosis</w:t>
      </w:r>
      <w:r w:rsidRPr="00E92ACF">
        <w:rPr>
          <w:szCs w:val="22"/>
        </w:rPr>
        <w:t>. The submission acknowledge</w:t>
      </w:r>
      <w:r w:rsidR="00587BB9">
        <w:rPr>
          <w:szCs w:val="22"/>
        </w:rPr>
        <w:t>d</w:t>
      </w:r>
      <w:r w:rsidRPr="00E92ACF">
        <w:rPr>
          <w:szCs w:val="22"/>
        </w:rPr>
        <w:t xml:space="preserve"> the difficulties in interpreting the clinical impo</w:t>
      </w:r>
      <w:r w:rsidR="003C72AE">
        <w:rPr>
          <w:szCs w:val="22"/>
        </w:rPr>
        <w:t>rtance of BMD outcomes but noted that these results were</w:t>
      </w:r>
      <w:r w:rsidRPr="00E92ACF">
        <w:rPr>
          <w:szCs w:val="22"/>
        </w:rPr>
        <w:t xml:space="preserve"> similar to those previously shown to be associated with fracture risk reduction in women with postmenopausal osteoporosis. </w:t>
      </w:r>
      <w:r w:rsidR="003C72AE">
        <w:rPr>
          <w:szCs w:val="22"/>
        </w:rPr>
        <w:t>Therefore, the submission argued</w:t>
      </w:r>
      <w:r w:rsidRPr="00E92ACF">
        <w:rPr>
          <w:szCs w:val="22"/>
        </w:rPr>
        <w:t xml:space="preserve"> that</w:t>
      </w:r>
      <w:r w:rsidR="00587BB9">
        <w:rPr>
          <w:szCs w:val="22"/>
        </w:rPr>
        <w:t>,</w:t>
      </w:r>
      <w:r w:rsidRPr="00E92ACF">
        <w:rPr>
          <w:szCs w:val="22"/>
        </w:rPr>
        <w:t xml:space="preserve"> in the absence of any known gender-specific difference in treatment effect</w:t>
      </w:r>
      <w:r w:rsidR="00587BB9">
        <w:rPr>
          <w:szCs w:val="22"/>
        </w:rPr>
        <w:t>,</w:t>
      </w:r>
      <w:r w:rsidRPr="00E92ACF">
        <w:rPr>
          <w:szCs w:val="22"/>
        </w:rPr>
        <w:t xml:space="preserve"> it may be acceptable to </w:t>
      </w:r>
      <w:r>
        <w:rPr>
          <w:szCs w:val="22"/>
        </w:rPr>
        <w:t>assume a similar relative reduction in fracture risk with men and women</w:t>
      </w:r>
      <w:r w:rsidRPr="00E92ACF">
        <w:rPr>
          <w:szCs w:val="22"/>
        </w:rPr>
        <w:t>.</w:t>
      </w:r>
      <w:r w:rsidRPr="002B33AE">
        <w:rPr>
          <w:szCs w:val="22"/>
        </w:rPr>
        <w:t xml:space="preserve"> Th</w:t>
      </w:r>
      <w:r w:rsidR="00587BB9">
        <w:rPr>
          <w:szCs w:val="22"/>
        </w:rPr>
        <w:t>e evaluation considered that this</w:t>
      </w:r>
      <w:r w:rsidRPr="002B33AE">
        <w:rPr>
          <w:szCs w:val="22"/>
        </w:rPr>
        <w:t xml:space="preserve"> argument appear</w:t>
      </w:r>
      <w:r w:rsidR="00587BB9">
        <w:rPr>
          <w:szCs w:val="22"/>
        </w:rPr>
        <w:t>ed</w:t>
      </w:r>
      <w:r w:rsidRPr="002B33AE">
        <w:rPr>
          <w:szCs w:val="22"/>
        </w:rPr>
        <w:t xml:space="preserve"> reasonable.</w:t>
      </w:r>
    </w:p>
    <w:p w:rsidR="00B60939" w:rsidRPr="00210815" w:rsidRDefault="00B60939" w:rsidP="00950DD9">
      <w:pPr>
        <w:widowControl/>
        <w:rPr>
          <w:sz w:val="20"/>
        </w:rPr>
      </w:pPr>
    </w:p>
    <w:p w:rsidR="008679C8" w:rsidRPr="00B50DB8" w:rsidRDefault="008679C8" w:rsidP="00950DD9">
      <w:pPr>
        <w:pStyle w:val="ListParagraph"/>
        <w:widowControl/>
        <w:numPr>
          <w:ilvl w:val="1"/>
          <w:numId w:val="5"/>
        </w:numPr>
        <w:rPr>
          <w:szCs w:val="22"/>
        </w:rPr>
      </w:pPr>
      <w:r>
        <w:rPr>
          <w:szCs w:val="22"/>
        </w:rPr>
        <w:t>Subgroup analyses of strontium ranelate vs. placebo</w:t>
      </w:r>
      <w:r w:rsidR="00EF1D6E">
        <w:rPr>
          <w:szCs w:val="22"/>
        </w:rPr>
        <w:t xml:space="preserve"> are presented in the following table</w:t>
      </w:r>
      <w:r>
        <w:rPr>
          <w:szCs w:val="22"/>
        </w:rPr>
        <w:t>.</w:t>
      </w:r>
    </w:p>
    <w:p w:rsidR="008679C8" w:rsidRPr="00210815" w:rsidRDefault="008679C8" w:rsidP="00950DD9">
      <w:pPr>
        <w:widowControl/>
        <w:rPr>
          <w:sz w:val="20"/>
        </w:rPr>
      </w:pPr>
    </w:p>
    <w:p w:rsidR="006048A7" w:rsidRPr="001A6221" w:rsidRDefault="006048A7" w:rsidP="00950DD9">
      <w:pPr>
        <w:widowControl/>
        <w:ind w:firstLine="720"/>
        <w:rPr>
          <w:rFonts w:ascii="Arial Narrow" w:hAnsi="Arial Narrow"/>
          <w:b/>
          <w:sz w:val="20"/>
        </w:rPr>
      </w:pPr>
      <w:r>
        <w:rPr>
          <w:rFonts w:ascii="Arial Narrow" w:hAnsi="Arial Narrow"/>
          <w:b/>
          <w:sz w:val="20"/>
        </w:rPr>
        <w:t>Table 4: Subgroup analyses based on severity and cardiovascular risk factors</w:t>
      </w:r>
    </w:p>
    <w:tbl>
      <w:tblPr>
        <w:tblW w:w="0" w:type="auto"/>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2827"/>
        <w:gridCol w:w="2828"/>
      </w:tblGrid>
      <w:tr w:rsidR="006048A7" w:rsidTr="004A0942">
        <w:tc>
          <w:tcPr>
            <w:tcW w:w="2688" w:type="dxa"/>
            <w:tcBorders>
              <w:top w:val="single" w:sz="4" w:space="0" w:color="auto"/>
            </w:tcBorders>
            <w:shd w:val="clear" w:color="auto" w:fill="auto"/>
            <w:vAlign w:val="center"/>
          </w:tcPr>
          <w:p w:rsidR="006048A7" w:rsidRPr="00BB59D6" w:rsidRDefault="006048A7" w:rsidP="00950DD9">
            <w:pPr>
              <w:widowControl/>
              <w:jc w:val="left"/>
              <w:rPr>
                <w:rFonts w:ascii="Arial Narrow" w:hAnsi="Arial Narrow"/>
                <w:b/>
                <w:sz w:val="20"/>
              </w:rPr>
            </w:pPr>
            <w:r w:rsidRPr="00BB59D6">
              <w:rPr>
                <w:rFonts w:ascii="Arial Narrow" w:hAnsi="Arial Narrow"/>
                <w:b/>
                <w:sz w:val="20"/>
              </w:rPr>
              <w:t>Outcome</w:t>
            </w:r>
          </w:p>
        </w:tc>
        <w:tc>
          <w:tcPr>
            <w:tcW w:w="2827" w:type="dxa"/>
            <w:tcBorders>
              <w:top w:val="single" w:sz="4" w:space="0" w:color="auto"/>
            </w:tcBorders>
            <w:shd w:val="clear" w:color="auto" w:fill="auto"/>
            <w:vAlign w:val="center"/>
          </w:tcPr>
          <w:p w:rsidR="006048A7" w:rsidRDefault="006048A7" w:rsidP="00950DD9">
            <w:pPr>
              <w:widowControl/>
              <w:jc w:val="center"/>
              <w:rPr>
                <w:rFonts w:ascii="Arial Narrow" w:hAnsi="Arial Narrow"/>
                <w:b/>
                <w:sz w:val="20"/>
              </w:rPr>
            </w:pPr>
            <w:r w:rsidRPr="00BB59D6">
              <w:rPr>
                <w:rFonts w:ascii="Arial Narrow" w:hAnsi="Arial Narrow"/>
                <w:b/>
                <w:sz w:val="20"/>
              </w:rPr>
              <w:t>Any cardiovascular risk factor</w:t>
            </w:r>
          </w:p>
          <w:p w:rsidR="006048A7" w:rsidRPr="00BB59D6" w:rsidRDefault="006048A7" w:rsidP="00950DD9">
            <w:pPr>
              <w:widowControl/>
              <w:jc w:val="center"/>
              <w:rPr>
                <w:rFonts w:ascii="Arial Narrow" w:hAnsi="Arial Narrow"/>
                <w:b/>
                <w:sz w:val="20"/>
              </w:rPr>
            </w:pPr>
            <w:r>
              <w:rPr>
                <w:rFonts w:ascii="Arial Narrow" w:hAnsi="Arial Narrow"/>
                <w:b/>
                <w:sz w:val="20"/>
              </w:rPr>
              <w:t>HR (95% CI)</w:t>
            </w:r>
            <w:r>
              <w:rPr>
                <w:rFonts w:ascii="Arial Narrow" w:hAnsi="Arial Narrow"/>
                <w:b/>
                <w:sz w:val="20"/>
                <w:vertAlign w:val="superscript"/>
              </w:rPr>
              <w:t>a</w:t>
            </w:r>
            <w:r>
              <w:rPr>
                <w:rFonts w:ascii="Arial Narrow" w:hAnsi="Arial Narrow"/>
                <w:b/>
                <w:sz w:val="20"/>
              </w:rPr>
              <w:t>, N = 3,187</w:t>
            </w:r>
          </w:p>
        </w:tc>
        <w:tc>
          <w:tcPr>
            <w:tcW w:w="2828" w:type="dxa"/>
            <w:tcBorders>
              <w:top w:val="single" w:sz="4" w:space="0" w:color="auto"/>
            </w:tcBorders>
          </w:tcPr>
          <w:p w:rsidR="006048A7" w:rsidRDefault="006048A7" w:rsidP="00950DD9">
            <w:pPr>
              <w:widowControl/>
              <w:jc w:val="center"/>
              <w:rPr>
                <w:rFonts w:ascii="Arial Narrow" w:hAnsi="Arial Narrow"/>
                <w:b/>
                <w:sz w:val="20"/>
              </w:rPr>
            </w:pPr>
            <w:r w:rsidRPr="00BB59D6">
              <w:rPr>
                <w:rFonts w:ascii="Arial Narrow" w:hAnsi="Arial Narrow"/>
                <w:b/>
                <w:sz w:val="20"/>
              </w:rPr>
              <w:t>No</w:t>
            </w:r>
            <w:r>
              <w:rPr>
                <w:rFonts w:ascii="Arial Narrow" w:hAnsi="Arial Narrow"/>
                <w:b/>
                <w:sz w:val="20"/>
              </w:rPr>
              <w:t xml:space="preserve"> cardiovascular risk factor</w:t>
            </w:r>
          </w:p>
          <w:p w:rsidR="006048A7" w:rsidRPr="00BB59D6" w:rsidRDefault="006048A7" w:rsidP="00950DD9">
            <w:pPr>
              <w:widowControl/>
              <w:jc w:val="center"/>
              <w:rPr>
                <w:rFonts w:ascii="Arial Narrow" w:hAnsi="Arial Narrow"/>
                <w:b/>
                <w:sz w:val="20"/>
              </w:rPr>
            </w:pPr>
            <w:r>
              <w:rPr>
                <w:rFonts w:ascii="Arial Narrow" w:hAnsi="Arial Narrow"/>
                <w:b/>
                <w:sz w:val="20"/>
              </w:rPr>
              <w:t>HR (95% CI)</w:t>
            </w:r>
            <w:r>
              <w:rPr>
                <w:rFonts w:ascii="Arial Narrow" w:hAnsi="Arial Narrow"/>
                <w:b/>
                <w:sz w:val="20"/>
                <w:vertAlign w:val="superscript"/>
              </w:rPr>
              <w:t>a</w:t>
            </w:r>
            <w:r>
              <w:rPr>
                <w:rFonts w:ascii="Arial Narrow" w:hAnsi="Arial Narrow"/>
                <w:b/>
                <w:sz w:val="20"/>
              </w:rPr>
              <w:t>, N = 3,187</w:t>
            </w:r>
          </w:p>
        </w:tc>
      </w:tr>
      <w:tr w:rsidR="006048A7" w:rsidTr="006048A7">
        <w:tc>
          <w:tcPr>
            <w:tcW w:w="2688" w:type="dxa"/>
            <w:shd w:val="clear" w:color="auto" w:fill="auto"/>
            <w:vAlign w:val="center"/>
          </w:tcPr>
          <w:p w:rsidR="006048A7" w:rsidRPr="001A6221" w:rsidRDefault="006048A7" w:rsidP="00950DD9">
            <w:pPr>
              <w:widowControl/>
              <w:jc w:val="left"/>
              <w:rPr>
                <w:rFonts w:ascii="Arial Narrow" w:hAnsi="Arial Narrow"/>
                <w:sz w:val="20"/>
              </w:rPr>
            </w:pPr>
            <w:r>
              <w:rPr>
                <w:rFonts w:ascii="Arial Narrow" w:hAnsi="Arial Narrow"/>
                <w:sz w:val="20"/>
              </w:rPr>
              <w:t>Morphometric vertebral fracture</w:t>
            </w:r>
          </w:p>
        </w:tc>
        <w:tc>
          <w:tcPr>
            <w:tcW w:w="2827" w:type="dxa"/>
            <w:vAlign w:val="center"/>
          </w:tcPr>
          <w:p w:rsidR="006048A7" w:rsidRPr="00B36248" w:rsidRDefault="006048A7" w:rsidP="00950DD9">
            <w:pPr>
              <w:widowControl/>
              <w:jc w:val="center"/>
              <w:rPr>
                <w:rFonts w:ascii="Arial Narrow" w:hAnsi="Arial Narrow"/>
                <w:b/>
                <w:sz w:val="20"/>
              </w:rPr>
            </w:pPr>
            <w:r w:rsidRPr="00B36248">
              <w:rPr>
                <w:rFonts w:ascii="Arial Narrow" w:hAnsi="Arial Narrow"/>
                <w:b/>
                <w:sz w:val="20"/>
              </w:rPr>
              <w:t>0.61 (0.50, 0.74)</w:t>
            </w:r>
          </w:p>
        </w:tc>
        <w:tc>
          <w:tcPr>
            <w:tcW w:w="2828" w:type="dxa"/>
          </w:tcPr>
          <w:p w:rsidR="006048A7" w:rsidRPr="00DD164E" w:rsidRDefault="006048A7" w:rsidP="00950DD9">
            <w:pPr>
              <w:widowControl/>
              <w:jc w:val="center"/>
              <w:rPr>
                <w:rFonts w:ascii="Arial Narrow" w:hAnsi="Arial Narrow"/>
                <w:b/>
                <w:sz w:val="20"/>
              </w:rPr>
            </w:pPr>
            <w:r w:rsidRPr="00DD164E">
              <w:rPr>
                <w:rFonts w:ascii="Arial Narrow" w:hAnsi="Arial Narrow"/>
                <w:b/>
                <w:sz w:val="20"/>
              </w:rPr>
              <w:t>0.60 (0.49, 0.72)</w:t>
            </w:r>
          </w:p>
        </w:tc>
      </w:tr>
      <w:tr w:rsidR="006048A7" w:rsidTr="006048A7">
        <w:tc>
          <w:tcPr>
            <w:tcW w:w="2688" w:type="dxa"/>
            <w:shd w:val="clear" w:color="auto" w:fill="auto"/>
            <w:vAlign w:val="center"/>
          </w:tcPr>
          <w:p w:rsidR="006048A7" w:rsidRPr="001A6221" w:rsidRDefault="006048A7" w:rsidP="00950DD9">
            <w:pPr>
              <w:widowControl/>
              <w:jc w:val="left"/>
              <w:rPr>
                <w:rFonts w:ascii="Arial Narrow" w:hAnsi="Arial Narrow"/>
                <w:sz w:val="20"/>
              </w:rPr>
            </w:pPr>
            <w:r>
              <w:rPr>
                <w:rFonts w:ascii="Arial Narrow" w:hAnsi="Arial Narrow"/>
                <w:sz w:val="20"/>
              </w:rPr>
              <w:t>Clinical vertebral fractures</w:t>
            </w:r>
          </w:p>
        </w:tc>
        <w:tc>
          <w:tcPr>
            <w:tcW w:w="2827" w:type="dxa"/>
            <w:vAlign w:val="center"/>
          </w:tcPr>
          <w:p w:rsidR="006048A7" w:rsidRPr="001A6221" w:rsidRDefault="006048A7" w:rsidP="00950DD9">
            <w:pPr>
              <w:widowControl/>
              <w:jc w:val="center"/>
              <w:rPr>
                <w:rFonts w:ascii="Arial Narrow" w:hAnsi="Arial Narrow"/>
                <w:sz w:val="20"/>
              </w:rPr>
            </w:pPr>
            <w:r>
              <w:rPr>
                <w:rFonts w:ascii="Arial Narrow" w:hAnsi="Arial Narrow"/>
                <w:sz w:val="20"/>
              </w:rPr>
              <w:t>0.79 (0.60, 1.03)</w:t>
            </w:r>
          </w:p>
        </w:tc>
        <w:tc>
          <w:tcPr>
            <w:tcW w:w="2828" w:type="dxa"/>
          </w:tcPr>
          <w:p w:rsidR="006048A7" w:rsidRPr="00DD164E" w:rsidRDefault="006048A7" w:rsidP="00950DD9">
            <w:pPr>
              <w:widowControl/>
              <w:jc w:val="center"/>
              <w:rPr>
                <w:rFonts w:ascii="Arial Narrow" w:hAnsi="Arial Narrow"/>
                <w:b/>
                <w:sz w:val="20"/>
              </w:rPr>
            </w:pPr>
            <w:r w:rsidRPr="00DD164E">
              <w:rPr>
                <w:rFonts w:ascii="Arial Narrow" w:hAnsi="Arial Narrow"/>
                <w:b/>
                <w:sz w:val="20"/>
              </w:rPr>
              <w:t>0.74 (0.56, 0.97)</w:t>
            </w:r>
          </w:p>
        </w:tc>
      </w:tr>
      <w:tr w:rsidR="006048A7" w:rsidTr="006048A7">
        <w:tc>
          <w:tcPr>
            <w:tcW w:w="2688" w:type="dxa"/>
            <w:shd w:val="clear" w:color="auto" w:fill="auto"/>
            <w:vAlign w:val="center"/>
          </w:tcPr>
          <w:p w:rsidR="006048A7" w:rsidRPr="00303EBB" w:rsidRDefault="006048A7" w:rsidP="00950DD9">
            <w:pPr>
              <w:widowControl/>
              <w:jc w:val="left"/>
              <w:rPr>
                <w:rFonts w:ascii="Arial Narrow" w:hAnsi="Arial Narrow"/>
                <w:sz w:val="20"/>
                <w:vertAlign w:val="superscript"/>
              </w:rPr>
            </w:pPr>
            <w:r>
              <w:rPr>
                <w:rFonts w:ascii="Arial Narrow" w:hAnsi="Arial Narrow"/>
                <w:sz w:val="20"/>
              </w:rPr>
              <w:t>Any clinical fracture</w:t>
            </w:r>
            <w:r>
              <w:rPr>
                <w:rFonts w:ascii="Arial Narrow" w:hAnsi="Arial Narrow"/>
                <w:sz w:val="20"/>
                <w:vertAlign w:val="superscript"/>
              </w:rPr>
              <w:t>b</w:t>
            </w:r>
          </w:p>
        </w:tc>
        <w:tc>
          <w:tcPr>
            <w:tcW w:w="2827" w:type="dxa"/>
            <w:vAlign w:val="center"/>
          </w:tcPr>
          <w:p w:rsidR="006048A7" w:rsidRPr="00B36248" w:rsidRDefault="006048A7" w:rsidP="00950DD9">
            <w:pPr>
              <w:widowControl/>
              <w:jc w:val="center"/>
              <w:rPr>
                <w:rFonts w:ascii="Arial Narrow" w:hAnsi="Arial Narrow"/>
                <w:b/>
                <w:sz w:val="20"/>
              </w:rPr>
            </w:pPr>
            <w:r w:rsidRPr="00B36248">
              <w:rPr>
                <w:rFonts w:ascii="Arial Narrow" w:hAnsi="Arial Narrow"/>
                <w:b/>
                <w:sz w:val="20"/>
              </w:rPr>
              <w:t>0.81 (0.68, 0.96)</w:t>
            </w:r>
          </w:p>
        </w:tc>
        <w:tc>
          <w:tcPr>
            <w:tcW w:w="2828" w:type="dxa"/>
            <w:vAlign w:val="center"/>
          </w:tcPr>
          <w:p w:rsidR="006048A7" w:rsidRPr="001A6221" w:rsidRDefault="006048A7" w:rsidP="00950DD9">
            <w:pPr>
              <w:widowControl/>
              <w:jc w:val="center"/>
              <w:rPr>
                <w:rFonts w:ascii="Arial Narrow" w:hAnsi="Arial Narrow"/>
                <w:sz w:val="20"/>
              </w:rPr>
            </w:pPr>
            <w:r>
              <w:rPr>
                <w:rFonts w:ascii="Arial Narrow" w:hAnsi="Arial Narrow"/>
                <w:sz w:val="20"/>
              </w:rPr>
              <w:t>0.84 (0.71, 1.00)</w:t>
            </w:r>
          </w:p>
        </w:tc>
      </w:tr>
      <w:tr w:rsidR="006048A7" w:rsidTr="006048A7">
        <w:tc>
          <w:tcPr>
            <w:tcW w:w="2688" w:type="dxa"/>
            <w:shd w:val="clear" w:color="auto" w:fill="auto"/>
            <w:vAlign w:val="center"/>
          </w:tcPr>
          <w:p w:rsidR="006048A7" w:rsidRPr="00303EBB" w:rsidRDefault="006048A7" w:rsidP="00950DD9">
            <w:pPr>
              <w:widowControl/>
              <w:jc w:val="left"/>
              <w:rPr>
                <w:rFonts w:ascii="Arial Narrow" w:hAnsi="Arial Narrow"/>
                <w:sz w:val="20"/>
                <w:vertAlign w:val="superscript"/>
              </w:rPr>
            </w:pPr>
            <w:r>
              <w:rPr>
                <w:rFonts w:ascii="Arial Narrow" w:hAnsi="Arial Narrow"/>
                <w:sz w:val="20"/>
              </w:rPr>
              <w:t>Any clinical osteoporotic fracture</w:t>
            </w:r>
            <w:r>
              <w:rPr>
                <w:rFonts w:ascii="Arial Narrow" w:hAnsi="Arial Narrow"/>
                <w:sz w:val="20"/>
                <w:vertAlign w:val="superscript"/>
              </w:rPr>
              <w:t>b</w:t>
            </w:r>
          </w:p>
        </w:tc>
        <w:tc>
          <w:tcPr>
            <w:tcW w:w="2827" w:type="dxa"/>
            <w:vAlign w:val="center"/>
          </w:tcPr>
          <w:p w:rsidR="006048A7" w:rsidRPr="00B36248" w:rsidRDefault="006048A7" w:rsidP="00950DD9">
            <w:pPr>
              <w:widowControl/>
              <w:jc w:val="center"/>
              <w:rPr>
                <w:rFonts w:ascii="Arial Narrow" w:hAnsi="Arial Narrow"/>
                <w:b/>
                <w:sz w:val="20"/>
              </w:rPr>
            </w:pPr>
            <w:r w:rsidRPr="00B36248">
              <w:rPr>
                <w:rFonts w:ascii="Arial Narrow" w:hAnsi="Arial Narrow"/>
                <w:b/>
                <w:sz w:val="20"/>
              </w:rPr>
              <w:t>0.78 (0.66, 0.93)</w:t>
            </w:r>
          </w:p>
        </w:tc>
        <w:tc>
          <w:tcPr>
            <w:tcW w:w="2828" w:type="dxa"/>
            <w:vAlign w:val="center"/>
          </w:tcPr>
          <w:p w:rsidR="006048A7" w:rsidRDefault="006048A7" w:rsidP="00950DD9">
            <w:pPr>
              <w:widowControl/>
              <w:jc w:val="center"/>
              <w:rPr>
                <w:rFonts w:ascii="Arial Narrow" w:hAnsi="Arial Narrow"/>
                <w:sz w:val="20"/>
              </w:rPr>
            </w:pPr>
            <w:r>
              <w:rPr>
                <w:rFonts w:ascii="Arial Narrow" w:hAnsi="Arial Narrow"/>
                <w:sz w:val="20"/>
              </w:rPr>
              <w:t>0.84 (0.71, 1.00)</w:t>
            </w:r>
          </w:p>
        </w:tc>
      </w:tr>
      <w:tr w:rsidR="006048A7" w:rsidTr="006048A7">
        <w:tc>
          <w:tcPr>
            <w:tcW w:w="2688" w:type="dxa"/>
            <w:shd w:val="clear" w:color="auto" w:fill="auto"/>
            <w:vAlign w:val="center"/>
          </w:tcPr>
          <w:p w:rsidR="006048A7" w:rsidRDefault="006048A7" w:rsidP="00950DD9">
            <w:pPr>
              <w:widowControl/>
              <w:jc w:val="left"/>
              <w:rPr>
                <w:rFonts w:ascii="Arial Narrow" w:hAnsi="Arial Narrow"/>
                <w:sz w:val="20"/>
              </w:rPr>
            </w:pPr>
            <w:r>
              <w:rPr>
                <w:rFonts w:ascii="Arial Narrow" w:hAnsi="Arial Narrow"/>
                <w:sz w:val="20"/>
              </w:rPr>
              <w:t>Hip fracture</w:t>
            </w:r>
          </w:p>
        </w:tc>
        <w:tc>
          <w:tcPr>
            <w:tcW w:w="2827" w:type="dxa"/>
            <w:vAlign w:val="center"/>
          </w:tcPr>
          <w:p w:rsidR="006048A7" w:rsidRPr="001A6221" w:rsidRDefault="006048A7" w:rsidP="00950DD9">
            <w:pPr>
              <w:widowControl/>
              <w:jc w:val="center"/>
              <w:rPr>
                <w:rFonts w:ascii="Arial Narrow" w:hAnsi="Arial Narrow"/>
                <w:sz w:val="20"/>
              </w:rPr>
            </w:pPr>
            <w:r>
              <w:rPr>
                <w:rFonts w:ascii="Arial Narrow" w:hAnsi="Arial Narrow"/>
                <w:sz w:val="20"/>
              </w:rPr>
              <w:t>0.94 (0.61, 1.45)</w:t>
            </w:r>
          </w:p>
        </w:tc>
        <w:tc>
          <w:tcPr>
            <w:tcW w:w="2828" w:type="dxa"/>
            <w:vAlign w:val="center"/>
          </w:tcPr>
          <w:p w:rsidR="006048A7" w:rsidRDefault="006048A7" w:rsidP="00950DD9">
            <w:pPr>
              <w:widowControl/>
              <w:jc w:val="center"/>
              <w:rPr>
                <w:rFonts w:ascii="Arial Narrow" w:hAnsi="Arial Narrow"/>
                <w:sz w:val="20"/>
              </w:rPr>
            </w:pPr>
            <w:r>
              <w:rPr>
                <w:rFonts w:ascii="Arial Narrow" w:hAnsi="Arial Narrow"/>
                <w:sz w:val="20"/>
              </w:rPr>
              <w:t>0.96 (0.63, 1.46)</w:t>
            </w:r>
          </w:p>
        </w:tc>
      </w:tr>
      <w:tr w:rsidR="006048A7" w:rsidRPr="00BB59D6" w:rsidTr="006048A7">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rsidR="006048A7" w:rsidRPr="00873E76" w:rsidRDefault="006048A7" w:rsidP="00950DD9">
            <w:pPr>
              <w:widowControl/>
              <w:jc w:val="left"/>
              <w:rPr>
                <w:rFonts w:ascii="Arial Narrow" w:hAnsi="Arial Narrow"/>
                <w:b/>
                <w:sz w:val="20"/>
              </w:rPr>
            </w:pPr>
            <w:r w:rsidRPr="00873E76">
              <w:rPr>
                <w:rFonts w:ascii="Arial Narrow" w:hAnsi="Arial Narrow"/>
                <w:b/>
                <w:sz w:val="20"/>
              </w:rPr>
              <w:t>Outcome</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rsidR="006048A7" w:rsidRDefault="006048A7" w:rsidP="00950DD9">
            <w:pPr>
              <w:widowControl/>
              <w:jc w:val="center"/>
              <w:rPr>
                <w:rFonts w:ascii="Arial Narrow" w:hAnsi="Arial Narrow"/>
                <w:b/>
                <w:sz w:val="20"/>
              </w:rPr>
            </w:pPr>
            <w:r w:rsidRPr="00873E76">
              <w:rPr>
                <w:rFonts w:ascii="Arial Narrow" w:hAnsi="Arial Narrow"/>
                <w:b/>
                <w:sz w:val="20"/>
              </w:rPr>
              <w:t xml:space="preserve">Severe osteoporosis </w:t>
            </w:r>
          </w:p>
          <w:p w:rsidR="006048A7" w:rsidRPr="00873E76" w:rsidRDefault="006048A7" w:rsidP="00950DD9">
            <w:pPr>
              <w:widowControl/>
              <w:jc w:val="center"/>
              <w:rPr>
                <w:rFonts w:ascii="Arial Narrow" w:hAnsi="Arial Narrow"/>
                <w:b/>
                <w:sz w:val="20"/>
              </w:rPr>
            </w:pPr>
            <w:r w:rsidRPr="00873E76">
              <w:rPr>
                <w:rFonts w:ascii="Arial Narrow" w:hAnsi="Arial Narrow"/>
                <w:b/>
                <w:sz w:val="20"/>
              </w:rPr>
              <w:t>(WHO definition)</w:t>
            </w:r>
          </w:p>
          <w:p w:rsidR="006048A7" w:rsidRPr="00873E76" w:rsidRDefault="006048A7" w:rsidP="00950DD9">
            <w:pPr>
              <w:widowControl/>
              <w:jc w:val="center"/>
              <w:rPr>
                <w:rFonts w:ascii="Arial Narrow" w:hAnsi="Arial Narrow"/>
                <w:b/>
                <w:sz w:val="20"/>
              </w:rPr>
            </w:pPr>
            <w:r>
              <w:rPr>
                <w:rFonts w:ascii="Arial Narrow" w:hAnsi="Arial Narrow"/>
                <w:b/>
                <w:sz w:val="20"/>
              </w:rPr>
              <w:t>HR (95% CI)</w:t>
            </w:r>
            <w:r>
              <w:rPr>
                <w:rFonts w:ascii="Arial Narrow" w:hAnsi="Arial Narrow"/>
                <w:b/>
                <w:sz w:val="20"/>
                <w:vertAlign w:val="superscript"/>
              </w:rPr>
              <w:t>a</w:t>
            </w:r>
            <w:r>
              <w:rPr>
                <w:rFonts w:ascii="Arial Narrow" w:hAnsi="Arial Narrow"/>
                <w:b/>
                <w:sz w:val="20"/>
              </w:rPr>
              <w:t>, N = 3,246</w:t>
            </w:r>
          </w:p>
        </w:tc>
        <w:tc>
          <w:tcPr>
            <w:tcW w:w="2828" w:type="dxa"/>
            <w:tcBorders>
              <w:top w:val="single" w:sz="4" w:space="0" w:color="auto"/>
              <w:left w:val="single" w:sz="4" w:space="0" w:color="auto"/>
              <w:bottom w:val="single" w:sz="4" w:space="0" w:color="auto"/>
              <w:right w:val="single" w:sz="4" w:space="0" w:color="auto"/>
            </w:tcBorders>
            <w:vAlign w:val="center"/>
          </w:tcPr>
          <w:p w:rsidR="006048A7" w:rsidRPr="00873E76" w:rsidRDefault="006048A7" w:rsidP="00950DD9">
            <w:pPr>
              <w:widowControl/>
              <w:jc w:val="center"/>
              <w:rPr>
                <w:rFonts w:ascii="Arial Narrow" w:hAnsi="Arial Narrow"/>
                <w:b/>
                <w:sz w:val="20"/>
              </w:rPr>
            </w:pPr>
            <w:r w:rsidRPr="00873E76">
              <w:rPr>
                <w:rFonts w:ascii="Arial Narrow" w:hAnsi="Arial Narrow"/>
                <w:b/>
                <w:sz w:val="20"/>
              </w:rPr>
              <w:t>No severe osteoporosis</w:t>
            </w:r>
          </w:p>
          <w:p w:rsidR="006048A7" w:rsidRPr="00873E76" w:rsidRDefault="006048A7" w:rsidP="00950DD9">
            <w:pPr>
              <w:widowControl/>
              <w:jc w:val="center"/>
              <w:rPr>
                <w:rFonts w:ascii="Arial Narrow" w:hAnsi="Arial Narrow"/>
                <w:b/>
                <w:sz w:val="20"/>
              </w:rPr>
            </w:pPr>
            <w:r>
              <w:rPr>
                <w:rFonts w:ascii="Arial Narrow" w:hAnsi="Arial Narrow"/>
                <w:b/>
                <w:sz w:val="20"/>
              </w:rPr>
              <w:t>HR (95% CI)</w:t>
            </w:r>
            <w:r>
              <w:rPr>
                <w:rFonts w:ascii="Arial Narrow" w:hAnsi="Arial Narrow"/>
                <w:b/>
                <w:sz w:val="20"/>
                <w:vertAlign w:val="superscript"/>
              </w:rPr>
              <w:t>a</w:t>
            </w:r>
            <w:r>
              <w:rPr>
                <w:rFonts w:ascii="Arial Narrow" w:hAnsi="Arial Narrow"/>
                <w:b/>
                <w:sz w:val="20"/>
              </w:rPr>
              <w:t xml:space="preserve">, </w:t>
            </w:r>
            <w:r w:rsidRPr="00873E76">
              <w:rPr>
                <w:rFonts w:ascii="Arial Narrow" w:hAnsi="Arial Narrow"/>
                <w:b/>
                <w:sz w:val="20"/>
              </w:rPr>
              <w:t>N =</w:t>
            </w:r>
            <w:r>
              <w:rPr>
                <w:rFonts w:ascii="Arial Narrow" w:hAnsi="Arial Narrow"/>
                <w:b/>
                <w:sz w:val="20"/>
              </w:rPr>
              <w:t xml:space="preserve"> 3,119</w:t>
            </w:r>
          </w:p>
        </w:tc>
      </w:tr>
      <w:tr w:rsidR="006048A7" w:rsidRPr="001A6221" w:rsidTr="006048A7">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rsidR="006048A7" w:rsidRPr="001A6221" w:rsidRDefault="006048A7" w:rsidP="00950DD9">
            <w:pPr>
              <w:widowControl/>
              <w:jc w:val="left"/>
              <w:rPr>
                <w:rFonts w:ascii="Arial Narrow" w:hAnsi="Arial Narrow"/>
                <w:sz w:val="20"/>
              </w:rPr>
            </w:pPr>
            <w:r>
              <w:rPr>
                <w:rFonts w:ascii="Arial Narrow" w:hAnsi="Arial Narrow"/>
                <w:sz w:val="20"/>
              </w:rPr>
              <w:t>Morphometric vertebral fracture</w:t>
            </w:r>
          </w:p>
        </w:tc>
        <w:tc>
          <w:tcPr>
            <w:tcW w:w="2827" w:type="dxa"/>
            <w:tcBorders>
              <w:top w:val="single" w:sz="4" w:space="0" w:color="auto"/>
              <w:left w:val="single" w:sz="4" w:space="0" w:color="auto"/>
              <w:bottom w:val="single" w:sz="4" w:space="0" w:color="auto"/>
              <w:right w:val="single" w:sz="4" w:space="0" w:color="auto"/>
            </w:tcBorders>
            <w:vAlign w:val="center"/>
          </w:tcPr>
          <w:p w:rsidR="006048A7" w:rsidRPr="00545FF2" w:rsidRDefault="006048A7" w:rsidP="00950DD9">
            <w:pPr>
              <w:widowControl/>
              <w:jc w:val="center"/>
              <w:rPr>
                <w:rFonts w:ascii="Arial Narrow" w:hAnsi="Arial Narrow"/>
                <w:b/>
                <w:sz w:val="20"/>
              </w:rPr>
            </w:pPr>
            <w:r w:rsidRPr="00545FF2">
              <w:rPr>
                <w:rFonts w:ascii="Arial Narrow" w:hAnsi="Arial Narrow"/>
                <w:b/>
                <w:sz w:val="20"/>
              </w:rPr>
              <w:t>0.65 (0.56, 0.76)</w:t>
            </w:r>
          </w:p>
        </w:tc>
        <w:tc>
          <w:tcPr>
            <w:tcW w:w="2828" w:type="dxa"/>
            <w:tcBorders>
              <w:top w:val="single" w:sz="4" w:space="0" w:color="auto"/>
              <w:left w:val="single" w:sz="4" w:space="0" w:color="auto"/>
              <w:bottom w:val="single" w:sz="4" w:space="0" w:color="auto"/>
              <w:right w:val="single" w:sz="4" w:space="0" w:color="auto"/>
            </w:tcBorders>
            <w:vAlign w:val="center"/>
          </w:tcPr>
          <w:p w:rsidR="006048A7" w:rsidRPr="00350062" w:rsidRDefault="006048A7" w:rsidP="00950DD9">
            <w:pPr>
              <w:widowControl/>
              <w:jc w:val="center"/>
              <w:rPr>
                <w:rFonts w:ascii="Arial Narrow" w:hAnsi="Arial Narrow"/>
                <w:b/>
                <w:sz w:val="20"/>
              </w:rPr>
            </w:pPr>
            <w:r w:rsidRPr="00350062">
              <w:rPr>
                <w:rFonts w:ascii="Arial Narrow" w:hAnsi="Arial Narrow"/>
                <w:b/>
                <w:sz w:val="20"/>
              </w:rPr>
              <w:t>0.47 (0.35, 0.63)</w:t>
            </w:r>
          </w:p>
        </w:tc>
      </w:tr>
      <w:tr w:rsidR="006048A7" w:rsidRPr="001A6221" w:rsidTr="006048A7">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rsidR="006048A7" w:rsidRPr="001A6221" w:rsidRDefault="006048A7" w:rsidP="00950DD9">
            <w:pPr>
              <w:widowControl/>
              <w:jc w:val="left"/>
              <w:rPr>
                <w:rFonts w:ascii="Arial Narrow" w:hAnsi="Arial Narrow"/>
                <w:sz w:val="20"/>
              </w:rPr>
            </w:pPr>
            <w:r>
              <w:rPr>
                <w:rFonts w:ascii="Arial Narrow" w:hAnsi="Arial Narrow"/>
                <w:sz w:val="20"/>
              </w:rPr>
              <w:t>Clinical vertebral fractures</w:t>
            </w:r>
          </w:p>
        </w:tc>
        <w:tc>
          <w:tcPr>
            <w:tcW w:w="2827" w:type="dxa"/>
            <w:tcBorders>
              <w:top w:val="single" w:sz="4" w:space="0" w:color="auto"/>
              <w:left w:val="single" w:sz="4" w:space="0" w:color="auto"/>
              <w:bottom w:val="single" w:sz="4" w:space="0" w:color="auto"/>
              <w:right w:val="single" w:sz="4" w:space="0" w:color="auto"/>
            </w:tcBorders>
            <w:vAlign w:val="center"/>
          </w:tcPr>
          <w:p w:rsidR="006048A7" w:rsidRPr="00545FF2" w:rsidRDefault="006048A7" w:rsidP="00950DD9">
            <w:pPr>
              <w:widowControl/>
              <w:jc w:val="center"/>
              <w:rPr>
                <w:rFonts w:ascii="Arial Narrow" w:hAnsi="Arial Narrow"/>
                <w:b/>
                <w:sz w:val="20"/>
              </w:rPr>
            </w:pPr>
            <w:r w:rsidRPr="00545FF2">
              <w:rPr>
                <w:rFonts w:ascii="Arial Narrow" w:hAnsi="Arial Narrow"/>
                <w:b/>
                <w:sz w:val="20"/>
              </w:rPr>
              <w:t>0.77 (0.62, 0.95)</w:t>
            </w:r>
          </w:p>
        </w:tc>
        <w:tc>
          <w:tcPr>
            <w:tcW w:w="2828" w:type="dxa"/>
            <w:tcBorders>
              <w:top w:val="single" w:sz="4" w:space="0" w:color="auto"/>
              <w:left w:val="single" w:sz="4" w:space="0" w:color="auto"/>
              <w:bottom w:val="single" w:sz="4" w:space="0" w:color="auto"/>
              <w:right w:val="single" w:sz="4" w:space="0" w:color="auto"/>
            </w:tcBorders>
            <w:vAlign w:val="center"/>
          </w:tcPr>
          <w:p w:rsidR="006048A7" w:rsidRPr="001A6221" w:rsidRDefault="006048A7" w:rsidP="00950DD9">
            <w:pPr>
              <w:widowControl/>
              <w:jc w:val="center"/>
              <w:rPr>
                <w:rFonts w:ascii="Arial Narrow" w:hAnsi="Arial Narrow"/>
                <w:sz w:val="20"/>
              </w:rPr>
            </w:pPr>
            <w:r>
              <w:rPr>
                <w:rFonts w:ascii="Arial Narrow" w:hAnsi="Arial Narrow"/>
                <w:sz w:val="20"/>
              </w:rPr>
              <w:t>0.76 (0.50 ,1.16)</w:t>
            </w:r>
          </w:p>
        </w:tc>
      </w:tr>
      <w:tr w:rsidR="006048A7" w:rsidRPr="001A6221" w:rsidTr="006048A7">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rsidR="006048A7" w:rsidRPr="00303EBB" w:rsidRDefault="006048A7" w:rsidP="00950DD9">
            <w:pPr>
              <w:widowControl/>
              <w:jc w:val="left"/>
              <w:rPr>
                <w:rFonts w:ascii="Arial Narrow" w:hAnsi="Arial Narrow"/>
                <w:sz w:val="20"/>
                <w:vertAlign w:val="superscript"/>
              </w:rPr>
            </w:pPr>
            <w:r>
              <w:rPr>
                <w:rFonts w:ascii="Arial Narrow" w:hAnsi="Arial Narrow"/>
                <w:sz w:val="20"/>
              </w:rPr>
              <w:t>Any clinical fracture</w:t>
            </w:r>
            <w:r>
              <w:rPr>
                <w:rFonts w:ascii="Arial Narrow" w:hAnsi="Arial Narrow"/>
                <w:sz w:val="20"/>
                <w:vertAlign w:val="superscript"/>
              </w:rPr>
              <w:t>b</w:t>
            </w:r>
          </w:p>
        </w:tc>
        <w:tc>
          <w:tcPr>
            <w:tcW w:w="2827" w:type="dxa"/>
            <w:tcBorders>
              <w:top w:val="single" w:sz="4" w:space="0" w:color="auto"/>
              <w:left w:val="single" w:sz="4" w:space="0" w:color="auto"/>
              <w:bottom w:val="single" w:sz="4" w:space="0" w:color="auto"/>
              <w:right w:val="single" w:sz="4" w:space="0" w:color="auto"/>
            </w:tcBorders>
            <w:vAlign w:val="center"/>
          </w:tcPr>
          <w:p w:rsidR="006048A7" w:rsidRPr="00545FF2" w:rsidRDefault="006048A7" w:rsidP="00950DD9">
            <w:pPr>
              <w:widowControl/>
              <w:jc w:val="center"/>
              <w:rPr>
                <w:rFonts w:ascii="Arial Narrow" w:hAnsi="Arial Narrow"/>
                <w:b/>
                <w:sz w:val="20"/>
              </w:rPr>
            </w:pPr>
            <w:r w:rsidRPr="00545FF2">
              <w:rPr>
                <w:rFonts w:ascii="Arial Narrow" w:hAnsi="Arial Narrow"/>
                <w:b/>
                <w:sz w:val="20"/>
              </w:rPr>
              <w:t>0.85 (0.73, 0.98)</w:t>
            </w:r>
          </w:p>
        </w:tc>
        <w:tc>
          <w:tcPr>
            <w:tcW w:w="2828" w:type="dxa"/>
            <w:tcBorders>
              <w:top w:val="single" w:sz="4" w:space="0" w:color="auto"/>
              <w:left w:val="single" w:sz="4" w:space="0" w:color="auto"/>
              <w:bottom w:val="single" w:sz="4" w:space="0" w:color="auto"/>
              <w:right w:val="single" w:sz="4" w:space="0" w:color="auto"/>
            </w:tcBorders>
            <w:vAlign w:val="center"/>
          </w:tcPr>
          <w:p w:rsidR="006048A7" w:rsidRPr="00350062" w:rsidRDefault="006048A7" w:rsidP="00950DD9">
            <w:pPr>
              <w:widowControl/>
              <w:jc w:val="center"/>
              <w:rPr>
                <w:rFonts w:ascii="Arial Narrow" w:hAnsi="Arial Narrow"/>
                <w:b/>
                <w:sz w:val="20"/>
              </w:rPr>
            </w:pPr>
            <w:r w:rsidRPr="00350062">
              <w:rPr>
                <w:rFonts w:ascii="Arial Narrow" w:hAnsi="Arial Narrow"/>
                <w:b/>
                <w:sz w:val="20"/>
              </w:rPr>
              <w:t>0.79 (0.64, 0.98)</w:t>
            </w:r>
          </w:p>
        </w:tc>
      </w:tr>
      <w:tr w:rsidR="006048A7" w:rsidTr="006048A7">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rsidR="006048A7" w:rsidRPr="00303EBB" w:rsidRDefault="006048A7" w:rsidP="00950DD9">
            <w:pPr>
              <w:widowControl/>
              <w:jc w:val="left"/>
              <w:rPr>
                <w:rFonts w:ascii="Arial Narrow" w:hAnsi="Arial Narrow"/>
                <w:sz w:val="20"/>
                <w:vertAlign w:val="superscript"/>
              </w:rPr>
            </w:pPr>
            <w:r>
              <w:rPr>
                <w:rFonts w:ascii="Arial Narrow" w:hAnsi="Arial Narrow"/>
                <w:sz w:val="20"/>
              </w:rPr>
              <w:t>Any clinical osteoporotic fracture</w:t>
            </w:r>
            <w:r>
              <w:rPr>
                <w:rFonts w:ascii="Arial Narrow" w:hAnsi="Arial Narrow"/>
                <w:sz w:val="20"/>
                <w:vertAlign w:val="superscript"/>
              </w:rPr>
              <w:t>b</w:t>
            </w:r>
          </w:p>
        </w:tc>
        <w:tc>
          <w:tcPr>
            <w:tcW w:w="2827" w:type="dxa"/>
            <w:tcBorders>
              <w:top w:val="single" w:sz="4" w:space="0" w:color="auto"/>
              <w:left w:val="single" w:sz="4" w:space="0" w:color="auto"/>
              <w:bottom w:val="single" w:sz="4" w:space="0" w:color="auto"/>
              <w:right w:val="single" w:sz="4" w:space="0" w:color="auto"/>
            </w:tcBorders>
            <w:vAlign w:val="center"/>
          </w:tcPr>
          <w:p w:rsidR="006048A7" w:rsidRPr="00545FF2" w:rsidRDefault="006048A7" w:rsidP="00950DD9">
            <w:pPr>
              <w:widowControl/>
              <w:jc w:val="center"/>
              <w:rPr>
                <w:rFonts w:ascii="Arial Narrow" w:hAnsi="Arial Narrow"/>
                <w:b/>
                <w:sz w:val="20"/>
              </w:rPr>
            </w:pPr>
            <w:r w:rsidRPr="00545FF2">
              <w:rPr>
                <w:rFonts w:ascii="Arial Narrow" w:hAnsi="Arial Narrow"/>
                <w:b/>
                <w:sz w:val="20"/>
              </w:rPr>
              <w:t>0.84 (0.72, 0.98)</w:t>
            </w:r>
          </w:p>
        </w:tc>
        <w:tc>
          <w:tcPr>
            <w:tcW w:w="2828" w:type="dxa"/>
            <w:tcBorders>
              <w:top w:val="single" w:sz="4" w:space="0" w:color="auto"/>
              <w:left w:val="single" w:sz="4" w:space="0" w:color="auto"/>
              <w:bottom w:val="single" w:sz="4" w:space="0" w:color="auto"/>
              <w:right w:val="single" w:sz="4" w:space="0" w:color="auto"/>
            </w:tcBorders>
            <w:vAlign w:val="center"/>
          </w:tcPr>
          <w:p w:rsidR="006048A7" w:rsidRPr="00350062" w:rsidRDefault="006048A7" w:rsidP="00950DD9">
            <w:pPr>
              <w:widowControl/>
              <w:jc w:val="center"/>
              <w:rPr>
                <w:rFonts w:ascii="Arial Narrow" w:hAnsi="Arial Narrow"/>
                <w:b/>
                <w:sz w:val="20"/>
              </w:rPr>
            </w:pPr>
            <w:r w:rsidRPr="00350062">
              <w:rPr>
                <w:rFonts w:ascii="Arial Narrow" w:hAnsi="Arial Narrow"/>
                <w:b/>
                <w:sz w:val="20"/>
              </w:rPr>
              <w:t>0.76 (0.61, 0.94)</w:t>
            </w:r>
          </w:p>
        </w:tc>
      </w:tr>
      <w:tr w:rsidR="006048A7" w:rsidTr="006048A7">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rsidR="006048A7" w:rsidRDefault="006048A7" w:rsidP="00950DD9">
            <w:pPr>
              <w:widowControl/>
              <w:jc w:val="left"/>
              <w:rPr>
                <w:rFonts w:ascii="Arial Narrow" w:hAnsi="Arial Narrow"/>
                <w:sz w:val="20"/>
              </w:rPr>
            </w:pPr>
            <w:r>
              <w:rPr>
                <w:rFonts w:ascii="Arial Narrow" w:hAnsi="Arial Narrow"/>
                <w:sz w:val="20"/>
              </w:rPr>
              <w:t>Hip fracture</w:t>
            </w:r>
          </w:p>
        </w:tc>
        <w:tc>
          <w:tcPr>
            <w:tcW w:w="2827" w:type="dxa"/>
            <w:tcBorders>
              <w:top w:val="single" w:sz="4" w:space="0" w:color="auto"/>
              <w:left w:val="single" w:sz="4" w:space="0" w:color="auto"/>
              <w:bottom w:val="single" w:sz="4" w:space="0" w:color="auto"/>
              <w:right w:val="single" w:sz="4" w:space="0" w:color="auto"/>
            </w:tcBorders>
            <w:vAlign w:val="center"/>
          </w:tcPr>
          <w:p w:rsidR="006048A7" w:rsidRPr="001A6221" w:rsidRDefault="006048A7" w:rsidP="00950DD9">
            <w:pPr>
              <w:widowControl/>
              <w:jc w:val="center"/>
              <w:rPr>
                <w:rFonts w:ascii="Arial Narrow" w:hAnsi="Arial Narrow"/>
                <w:sz w:val="20"/>
              </w:rPr>
            </w:pPr>
            <w:r>
              <w:rPr>
                <w:rFonts w:ascii="Arial Narrow" w:hAnsi="Arial Narrow"/>
                <w:sz w:val="20"/>
              </w:rPr>
              <w:t>1.14 (0.76, 1.70)</w:t>
            </w:r>
          </w:p>
        </w:tc>
        <w:tc>
          <w:tcPr>
            <w:tcW w:w="2828" w:type="dxa"/>
            <w:tcBorders>
              <w:top w:val="single" w:sz="4" w:space="0" w:color="auto"/>
              <w:left w:val="single" w:sz="4" w:space="0" w:color="auto"/>
              <w:bottom w:val="single" w:sz="4" w:space="0" w:color="auto"/>
              <w:right w:val="single" w:sz="4" w:space="0" w:color="auto"/>
            </w:tcBorders>
            <w:vAlign w:val="center"/>
          </w:tcPr>
          <w:p w:rsidR="006048A7" w:rsidRDefault="006048A7" w:rsidP="00950DD9">
            <w:pPr>
              <w:widowControl/>
              <w:jc w:val="center"/>
              <w:rPr>
                <w:rFonts w:ascii="Arial Narrow" w:hAnsi="Arial Narrow"/>
                <w:sz w:val="20"/>
              </w:rPr>
            </w:pPr>
            <w:r>
              <w:rPr>
                <w:rFonts w:ascii="Arial Narrow" w:hAnsi="Arial Narrow"/>
                <w:sz w:val="20"/>
              </w:rPr>
              <w:t>0.78 (0.49, 1.23)</w:t>
            </w:r>
          </w:p>
        </w:tc>
      </w:tr>
      <w:tr w:rsidR="006048A7" w:rsidRPr="00873E76" w:rsidTr="006048A7">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rsidR="006048A7" w:rsidRPr="00873E76" w:rsidRDefault="006048A7" w:rsidP="00950DD9">
            <w:pPr>
              <w:widowControl/>
              <w:jc w:val="left"/>
              <w:rPr>
                <w:rFonts w:ascii="Arial Narrow" w:hAnsi="Arial Narrow"/>
                <w:b/>
                <w:sz w:val="20"/>
              </w:rPr>
            </w:pPr>
            <w:r w:rsidRPr="00873E76">
              <w:rPr>
                <w:rFonts w:ascii="Arial Narrow" w:hAnsi="Arial Narrow"/>
                <w:b/>
                <w:sz w:val="20"/>
              </w:rPr>
              <w:t>Outcome</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rsidR="006048A7" w:rsidRDefault="006048A7" w:rsidP="00950DD9">
            <w:pPr>
              <w:widowControl/>
              <w:jc w:val="center"/>
              <w:rPr>
                <w:rFonts w:ascii="Arial Narrow" w:hAnsi="Arial Narrow"/>
                <w:b/>
                <w:sz w:val="20"/>
              </w:rPr>
            </w:pPr>
            <w:r>
              <w:rPr>
                <w:rFonts w:ascii="Arial Narrow" w:hAnsi="Arial Narrow"/>
                <w:b/>
                <w:sz w:val="20"/>
              </w:rPr>
              <w:t xml:space="preserve">Severe osteoporosis </w:t>
            </w:r>
          </w:p>
          <w:p w:rsidR="006048A7" w:rsidRPr="00873E76" w:rsidRDefault="006048A7" w:rsidP="00950DD9">
            <w:pPr>
              <w:widowControl/>
              <w:jc w:val="center"/>
              <w:rPr>
                <w:rFonts w:ascii="Arial Narrow" w:hAnsi="Arial Narrow"/>
                <w:b/>
                <w:sz w:val="20"/>
              </w:rPr>
            </w:pPr>
            <w:r>
              <w:rPr>
                <w:rFonts w:ascii="Arial Narrow" w:hAnsi="Arial Narrow"/>
                <w:b/>
                <w:sz w:val="20"/>
              </w:rPr>
              <w:t>(FRAX</w:t>
            </w:r>
            <w:r w:rsidRPr="00873E76">
              <w:rPr>
                <w:rFonts w:ascii="Arial Narrow" w:hAnsi="Arial Narrow"/>
                <w:b/>
                <w:sz w:val="20"/>
              </w:rPr>
              <w:t xml:space="preserve"> definition)</w:t>
            </w:r>
          </w:p>
          <w:p w:rsidR="006048A7" w:rsidRPr="00873E76" w:rsidRDefault="006048A7" w:rsidP="00950DD9">
            <w:pPr>
              <w:widowControl/>
              <w:jc w:val="center"/>
              <w:rPr>
                <w:rFonts w:ascii="Arial Narrow" w:hAnsi="Arial Narrow"/>
                <w:b/>
                <w:sz w:val="20"/>
              </w:rPr>
            </w:pPr>
            <w:r>
              <w:rPr>
                <w:rFonts w:ascii="Arial Narrow" w:hAnsi="Arial Narrow"/>
                <w:b/>
                <w:sz w:val="20"/>
              </w:rPr>
              <w:t>HR (95% CI)</w:t>
            </w:r>
            <w:r>
              <w:rPr>
                <w:rFonts w:ascii="Arial Narrow" w:hAnsi="Arial Narrow"/>
                <w:b/>
                <w:sz w:val="20"/>
                <w:vertAlign w:val="superscript"/>
              </w:rPr>
              <w:t>a</w:t>
            </w:r>
            <w:r>
              <w:rPr>
                <w:rFonts w:ascii="Arial Narrow" w:hAnsi="Arial Narrow"/>
                <w:b/>
                <w:sz w:val="20"/>
              </w:rPr>
              <w:t xml:space="preserve">, </w:t>
            </w:r>
            <w:r w:rsidRPr="00873E76">
              <w:rPr>
                <w:rFonts w:ascii="Arial Narrow" w:hAnsi="Arial Narrow"/>
                <w:b/>
                <w:sz w:val="20"/>
              </w:rPr>
              <w:t xml:space="preserve">N = </w:t>
            </w:r>
            <w:r>
              <w:rPr>
                <w:rFonts w:ascii="Arial Narrow" w:hAnsi="Arial Narrow"/>
                <w:b/>
                <w:sz w:val="20"/>
              </w:rPr>
              <w:t>4,137</w:t>
            </w:r>
          </w:p>
        </w:tc>
        <w:tc>
          <w:tcPr>
            <w:tcW w:w="2828" w:type="dxa"/>
            <w:tcBorders>
              <w:top w:val="single" w:sz="4" w:space="0" w:color="auto"/>
              <w:left w:val="single" w:sz="4" w:space="0" w:color="auto"/>
              <w:bottom w:val="single" w:sz="4" w:space="0" w:color="auto"/>
              <w:right w:val="single" w:sz="4" w:space="0" w:color="auto"/>
            </w:tcBorders>
            <w:vAlign w:val="center"/>
          </w:tcPr>
          <w:p w:rsidR="006048A7" w:rsidRPr="00873E76" w:rsidRDefault="006048A7" w:rsidP="00950DD9">
            <w:pPr>
              <w:widowControl/>
              <w:jc w:val="center"/>
              <w:rPr>
                <w:rFonts w:ascii="Arial Narrow" w:hAnsi="Arial Narrow"/>
                <w:b/>
                <w:sz w:val="20"/>
              </w:rPr>
            </w:pPr>
            <w:r w:rsidRPr="00873E76">
              <w:rPr>
                <w:rFonts w:ascii="Arial Narrow" w:hAnsi="Arial Narrow"/>
                <w:b/>
                <w:sz w:val="20"/>
              </w:rPr>
              <w:t>No severe osteoporosis</w:t>
            </w:r>
          </w:p>
          <w:p w:rsidR="006048A7" w:rsidRPr="00873E76" w:rsidRDefault="006048A7" w:rsidP="00950DD9">
            <w:pPr>
              <w:widowControl/>
              <w:jc w:val="center"/>
              <w:rPr>
                <w:rFonts w:ascii="Arial Narrow" w:hAnsi="Arial Narrow"/>
                <w:b/>
                <w:sz w:val="20"/>
              </w:rPr>
            </w:pPr>
            <w:r>
              <w:rPr>
                <w:rFonts w:ascii="Arial Narrow" w:hAnsi="Arial Narrow"/>
                <w:b/>
                <w:sz w:val="20"/>
              </w:rPr>
              <w:t>HR (95% CI)</w:t>
            </w:r>
            <w:r>
              <w:rPr>
                <w:rFonts w:ascii="Arial Narrow" w:hAnsi="Arial Narrow"/>
                <w:b/>
                <w:sz w:val="20"/>
                <w:vertAlign w:val="superscript"/>
              </w:rPr>
              <w:t>a</w:t>
            </w:r>
            <w:r>
              <w:rPr>
                <w:rFonts w:ascii="Arial Narrow" w:hAnsi="Arial Narrow"/>
                <w:b/>
                <w:sz w:val="20"/>
              </w:rPr>
              <w:t xml:space="preserve">, </w:t>
            </w:r>
            <w:r w:rsidRPr="00873E76">
              <w:rPr>
                <w:rFonts w:ascii="Arial Narrow" w:hAnsi="Arial Narrow"/>
                <w:b/>
                <w:sz w:val="20"/>
              </w:rPr>
              <w:t>N =</w:t>
            </w:r>
            <w:r>
              <w:rPr>
                <w:rFonts w:ascii="Arial Narrow" w:hAnsi="Arial Narrow"/>
                <w:b/>
                <w:sz w:val="20"/>
              </w:rPr>
              <w:t xml:space="preserve"> 2,131</w:t>
            </w:r>
          </w:p>
        </w:tc>
      </w:tr>
      <w:tr w:rsidR="006048A7" w:rsidRPr="001A6221" w:rsidTr="006048A7">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rsidR="006048A7" w:rsidRPr="001A6221" w:rsidRDefault="006048A7" w:rsidP="00950DD9">
            <w:pPr>
              <w:widowControl/>
              <w:jc w:val="left"/>
              <w:rPr>
                <w:rFonts w:ascii="Arial Narrow" w:hAnsi="Arial Narrow"/>
                <w:sz w:val="20"/>
              </w:rPr>
            </w:pPr>
            <w:r>
              <w:rPr>
                <w:rFonts w:ascii="Arial Narrow" w:hAnsi="Arial Narrow"/>
                <w:sz w:val="20"/>
              </w:rPr>
              <w:t>Morphometric vertebral fracture</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rsidR="006048A7" w:rsidRPr="006048A7" w:rsidRDefault="006048A7" w:rsidP="00950DD9">
            <w:pPr>
              <w:widowControl/>
              <w:jc w:val="center"/>
              <w:rPr>
                <w:rFonts w:ascii="Arial Narrow" w:hAnsi="Arial Narrow"/>
                <w:b/>
                <w:sz w:val="20"/>
              </w:rPr>
            </w:pPr>
            <w:r w:rsidRPr="006048A7">
              <w:rPr>
                <w:rFonts w:ascii="Arial Narrow" w:hAnsi="Arial Narrow"/>
                <w:b/>
                <w:sz w:val="20"/>
              </w:rPr>
              <w:t>0.63 (0.54, 0.74)</w:t>
            </w:r>
          </w:p>
        </w:tc>
        <w:tc>
          <w:tcPr>
            <w:tcW w:w="2828" w:type="dxa"/>
            <w:tcBorders>
              <w:top w:val="single" w:sz="4" w:space="0" w:color="auto"/>
              <w:left w:val="single" w:sz="4" w:space="0" w:color="auto"/>
              <w:bottom w:val="single" w:sz="4" w:space="0" w:color="auto"/>
              <w:right w:val="single" w:sz="4" w:space="0" w:color="auto"/>
            </w:tcBorders>
            <w:vAlign w:val="center"/>
          </w:tcPr>
          <w:p w:rsidR="006048A7" w:rsidRPr="00236D5C" w:rsidRDefault="006048A7" w:rsidP="00950DD9">
            <w:pPr>
              <w:widowControl/>
              <w:jc w:val="center"/>
              <w:rPr>
                <w:rFonts w:ascii="Arial Narrow" w:hAnsi="Arial Narrow"/>
                <w:b/>
                <w:sz w:val="20"/>
              </w:rPr>
            </w:pPr>
            <w:r w:rsidRPr="00236D5C">
              <w:rPr>
                <w:rFonts w:ascii="Arial Narrow" w:hAnsi="Arial Narrow"/>
                <w:b/>
                <w:sz w:val="20"/>
              </w:rPr>
              <w:t>0.50 (0.37, 0.67)</w:t>
            </w:r>
          </w:p>
        </w:tc>
      </w:tr>
      <w:tr w:rsidR="006048A7" w:rsidRPr="001A6221" w:rsidTr="006048A7">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rsidR="006048A7" w:rsidRPr="001A6221" w:rsidRDefault="006048A7" w:rsidP="00950DD9">
            <w:pPr>
              <w:widowControl/>
              <w:jc w:val="left"/>
              <w:rPr>
                <w:rFonts w:ascii="Arial Narrow" w:hAnsi="Arial Narrow"/>
                <w:sz w:val="20"/>
              </w:rPr>
            </w:pPr>
            <w:r>
              <w:rPr>
                <w:rFonts w:ascii="Arial Narrow" w:hAnsi="Arial Narrow"/>
                <w:sz w:val="20"/>
              </w:rPr>
              <w:t>Clinical vertebral fractures</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rsidR="006048A7" w:rsidRPr="006048A7" w:rsidRDefault="006048A7" w:rsidP="00950DD9">
            <w:pPr>
              <w:widowControl/>
              <w:jc w:val="center"/>
              <w:rPr>
                <w:rFonts w:ascii="Arial Narrow" w:hAnsi="Arial Narrow"/>
                <w:b/>
                <w:sz w:val="20"/>
              </w:rPr>
            </w:pPr>
            <w:r w:rsidRPr="006048A7">
              <w:rPr>
                <w:rFonts w:ascii="Arial Narrow" w:hAnsi="Arial Narrow"/>
                <w:b/>
                <w:sz w:val="20"/>
              </w:rPr>
              <w:t>0.77 (0.62, 0.95)</w:t>
            </w:r>
          </w:p>
        </w:tc>
        <w:tc>
          <w:tcPr>
            <w:tcW w:w="2828" w:type="dxa"/>
            <w:tcBorders>
              <w:top w:val="single" w:sz="4" w:space="0" w:color="auto"/>
              <w:left w:val="single" w:sz="4" w:space="0" w:color="auto"/>
              <w:bottom w:val="single" w:sz="4" w:space="0" w:color="auto"/>
              <w:right w:val="single" w:sz="4" w:space="0" w:color="auto"/>
            </w:tcBorders>
            <w:vAlign w:val="center"/>
          </w:tcPr>
          <w:p w:rsidR="006048A7" w:rsidRPr="001A6221" w:rsidRDefault="006048A7" w:rsidP="00950DD9">
            <w:pPr>
              <w:widowControl/>
              <w:jc w:val="center"/>
              <w:rPr>
                <w:rFonts w:ascii="Arial Narrow" w:hAnsi="Arial Narrow"/>
                <w:sz w:val="20"/>
              </w:rPr>
            </w:pPr>
            <w:r>
              <w:rPr>
                <w:rFonts w:ascii="Arial Narrow" w:hAnsi="Arial Narrow"/>
                <w:sz w:val="20"/>
              </w:rPr>
              <w:t>0.72 (0.47, 1.10)</w:t>
            </w:r>
          </w:p>
        </w:tc>
      </w:tr>
      <w:tr w:rsidR="006048A7" w:rsidRPr="001A6221" w:rsidTr="006048A7">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rsidR="006048A7" w:rsidRPr="00303EBB" w:rsidRDefault="006048A7" w:rsidP="00950DD9">
            <w:pPr>
              <w:widowControl/>
              <w:jc w:val="left"/>
              <w:rPr>
                <w:rFonts w:ascii="Arial Narrow" w:hAnsi="Arial Narrow"/>
                <w:sz w:val="20"/>
                <w:vertAlign w:val="superscript"/>
              </w:rPr>
            </w:pPr>
            <w:r>
              <w:rPr>
                <w:rFonts w:ascii="Arial Narrow" w:hAnsi="Arial Narrow"/>
                <w:sz w:val="20"/>
              </w:rPr>
              <w:t>Any clinical fracture</w:t>
            </w:r>
            <w:r>
              <w:rPr>
                <w:rFonts w:ascii="Arial Narrow" w:hAnsi="Arial Narrow"/>
                <w:sz w:val="20"/>
                <w:vertAlign w:val="superscript"/>
              </w:rPr>
              <w:t>b</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rsidR="006048A7" w:rsidRPr="006048A7" w:rsidRDefault="006048A7" w:rsidP="00950DD9">
            <w:pPr>
              <w:widowControl/>
              <w:jc w:val="center"/>
              <w:rPr>
                <w:rFonts w:ascii="Arial Narrow" w:hAnsi="Arial Narrow"/>
                <w:b/>
                <w:sz w:val="20"/>
              </w:rPr>
            </w:pPr>
            <w:r w:rsidRPr="006048A7">
              <w:rPr>
                <w:rFonts w:ascii="Arial Narrow" w:hAnsi="Arial Narrow"/>
                <w:b/>
                <w:sz w:val="20"/>
              </w:rPr>
              <w:t>0.84 (0.73, 0.96)</w:t>
            </w:r>
          </w:p>
        </w:tc>
        <w:tc>
          <w:tcPr>
            <w:tcW w:w="2828" w:type="dxa"/>
            <w:tcBorders>
              <w:top w:val="single" w:sz="4" w:space="0" w:color="auto"/>
              <w:left w:val="single" w:sz="4" w:space="0" w:color="auto"/>
              <w:bottom w:val="single" w:sz="4" w:space="0" w:color="auto"/>
              <w:right w:val="single" w:sz="4" w:space="0" w:color="auto"/>
            </w:tcBorders>
            <w:vAlign w:val="center"/>
          </w:tcPr>
          <w:p w:rsidR="006048A7" w:rsidRPr="001A6221" w:rsidRDefault="006048A7" w:rsidP="00950DD9">
            <w:pPr>
              <w:widowControl/>
              <w:jc w:val="center"/>
              <w:rPr>
                <w:rFonts w:ascii="Arial Narrow" w:hAnsi="Arial Narrow"/>
                <w:sz w:val="20"/>
              </w:rPr>
            </w:pPr>
            <w:r>
              <w:rPr>
                <w:rFonts w:ascii="Arial Narrow" w:hAnsi="Arial Narrow"/>
                <w:sz w:val="20"/>
              </w:rPr>
              <w:t>0.79 (0.62, 1.01)</w:t>
            </w:r>
          </w:p>
        </w:tc>
      </w:tr>
      <w:tr w:rsidR="006048A7" w:rsidTr="006048A7">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rsidR="006048A7" w:rsidRPr="00303EBB" w:rsidRDefault="006048A7" w:rsidP="00950DD9">
            <w:pPr>
              <w:widowControl/>
              <w:jc w:val="left"/>
              <w:rPr>
                <w:rFonts w:ascii="Arial Narrow" w:hAnsi="Arial Narrow"/>
                <w:sz w:val="20"/>
              </w:rPr>
            </w:pPr>
            <w:r>
              <w:rPr>
                <w:rFonts w:ascii="Arial Narrow" w:hAnsi="Arial Narrow"/>
                <w:sz w:val="20"/>
              </w:rPr>
              <w:t>Any clinical osteoporotic fracture</w:t>
            </w:r>
            <w:r>
              <w:rPr>
                <w:rFonts w:ascii="Arial Narrow" w:hAnsi="Arial Narrow"/>
                <w:sz w:val="20"/>
                <w:vertAlign w:val="superscript"/>
              </w:rPr>
              <w:t>b</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rsidR="006048A7" w:rsidRPr="006048A7" w:rsidRDefault="006048A7" w:rsidP="00950DD9">
            <w:pPr>
              <w:widowControl/>
              <w:jc w:val="center"/>
              <w:rPr>
                <w:rFonts w:ascii="Arial Narrow" w:hAnsi="Arial Narrow"/>
                <w:b/>
                <w:sz w:val="20"/>
              </w:rPr>
            </w:pPr>
            <w:r w:rsidRPr="006048A7">
              <w:rPr>
                <w:rFonts w:ascii="Arial Narrow" w:hAnsi="Arial Narrow"/>
                <w:b/>
                <w:sz w:val="20"/>
              </w:rPr>
              <w:t>0.83 (0.72, 0.96)</w:t>
            </w:r>
          </w:p>
        </w:tc>
        <w:tc>
          <w:tcPr>
            <w:tcW w:w="2828" w:type="dxa"/>
            <w:tcBorders>
              <w:top w:val="single" w:sz="4" w:space="0" w:color="auto"/>
              <w:left w:val="single" w:sz="4" w:space="0" w:color="auto"/>
              <w:bottom w:val="single" w:sz="4" w:space="0" w:color="auto"/>
              <w:right w:val="single" w:sz="4" w:space="0" w:color="auto"/>
            </w:tcBorders>
            <w:vAlign w:val="center"/>
          </w:tcPr>
          <w:p w:rsidR="006048A7" w:rsidRPr="00236D5C" w:rsidRDefault="006048A7" w:rsidP="00950DD9">
            <w:pPr>
              <w:widowControl/>
              <w:jc w:val="center"/>
              <w:rPr>
                <w:rFonts w:ascii="Arial Narrow" w:hAnsi="Arial Narrow"/>
                <w:b/>
                <w:sz w:val="20"/>
              </w:rPr>
            </w:pPr>
            <w:r w:rsidRPr="00236D5C">
              <w:rPr>
                <w:rFonts w:ascii="Arial Narrow" w:hAnsi="Arial Narrow"/>
                <w:b/>
                <w:sz w:val="20"/>
              </w:rPr>
              <w:t>0.74 (0.57, 0.95)</w:t>
            </w:r>
          </w:p>
        </w:tc>
      </w:tr>
      <w:tr w:rsidR="006048A7" w:rsidTr="006048A7">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rsidR="006048A7" w:rsidRDefault="006048A7" w:rsidP="00950DD9">
            <w:pPr>
              <w:widowControl/>
              <w:jc w:val="left"/>
              <w:rPr>
                <w:rFonts w:ascii="Arial Narrow" w:hAnsi="Arial Narrow"/>
                <w:sz w:val="20"/>
              </w:rPr>
            </w:pPr>
            <w:r>
              <w:rPr>
                <w:rFonts w:ascii="Arial Narrow" w:hAnsi="Arial Narrow"/>
                <w:sz w:val="20"/>
              </w:rPr>
              <w:t>Hip fracture</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rsidR="006048A7" w:rsidRPr="006048A7" w:rsidRDefault="006048A7" w:rsidP="00950DD9">
            <w:pPr>
              <w:widowControl/>
              <w:jc w:val="center"/>
              <w:rPr>
                <w:rFonts w:ascii="Arial Narrow" w:hAnsi="Arial Narrow"/>
                <w:sz w:val="20"/>
              </w:rPr>
            </w:pPr>
            <w:r w:rsidRPr="006048A7">
              <w:rPr>
                <w:rFonts w:ascii="Arial Narrow" w:hAnsi="Arial Narrow"/>
                <w:sz w:val="20"/>
              </w:rPr>
              <w:t>0.94 (0.67, 1.32)</w:t>
            </w:r>
          </w:p>
        </w:tc>
        <w:tc>
          <w:tcPr>
            <w:tcW w:w="2828" w:type="dxa"/>
            <w:tcBorders>
              <w:top w:val="single" w:sz="4" w:space="0" w:color="auto"/>
              <w:left w:val="single" w:sz="4" w:space="0" w:color="auto"/>
              <w:bottom w:val="single" w:sz="4" w:space="0" w:color="auto"/>
              <w:right w:val="single" w:sz="4" w:space="0" w:color="auto"/>
            </w:tcBorders>
            <w:vAlign w:val="center"/>
          </w:tcPr>
          <w:p w:rsidR="006048A7" w:rsidRDefault="006048A7" w:rsidP="00950DD9">
            <w:pPr>
              <w:widowControl/>
              <w:jc w:val="center"/>
              <w:rPr>
                <w:rFonts w:ascii="Arial Narrow" w:hAnsi="Arial Narrow"/>
                <w:sz w:val="20"/>
              </w:rPr>
            </w:pPr>
            <w:r>
              <w:rPr>
                <w:rFonts w:ascii="Arial Narrow" w:hAnsi="Arial Narrow"/>
                <w:sz w:val="20"/>
              </w:rPr>
              <w:t>0.99 (0.48, 2.03)</w:t>
            </w:r>
          </w:p>
        </w:tc>
      </w:tr>
    </w:tbl>
    <w:p w:rsidR="006048A7" w:rsidRDefault="006048A7" w:rsidP="00950DD9">
      <w:pPr>
        <w:widowControl/>
        <w:ind w:firstLine="720"/>
        <w:rPr>
          <w:rFonts w:ascii="Arial Narrow" w:hAnsi="Arial Narrow"/>
          <w:sz w:val="18"/>
          <w:szCs w:val="18"/>
        </w:rPr>
      </w:pPr>
      <w:r w:rsidRPr="001A6221">
        <w:rPr>
          <w:rFonts w:ascii="Arial Narrow" w:hAnsi="Arial Narrow"/>
          <w:sz w:val="18"/>
          <w:szCs w:val="18"/>
        </w:rPr>
        <w:t xml:space="preserve">Abbreviations: </w:t>
      </w:r>
      <w:r>
        <w:rPr>
          <w:rFonts w:ascii="Arial Narrow" w:hAnsi="Arial Narrow"/>
          <w:sz w:val="18"/>
          <w:szCs w:val="18"/>
        </w:rPr>
        <w:t>CI, confidence interval; HR, hazard ratio</w:t>
      </w:r>
      <w:r w:rsidR="007B246F">
        <w:rPr>
          <w:rFonts w:ascii="Arial Narrow" w:hAnsi="Arial Narrow"/>
          <w:sz w:val="18"/>
          <w:szCs w:val="18"/>
        </w:rPr>
        <w:t>.</w:t>
      </w:r>
    </w:p>
    <w:p w:rsidR="007B246F" w:rsidRPr="002B33AE" w:rsidRDefault="007B246F" w:rsidP="00950DD9">
      <w:pPr>
        <w:keepNext/>
        <w:widowControl/>
        <w:ind w:firstLine="720"/>
        <w:rPr>
          <w:rFonts w:ascii="Arial Narrow" w:hAnsi="Arial Narrow"/>
          <w:sz w:val="18"/>
          <w:szCs w:val="18"/>
        </w:rPr>
      </w:pPr>
      <w:r w:rsidRPr="002B33AE">
        <w:rPr>
          <w:rStyle w:val="CommentReference"/>
          <w:sz w:val="18"/>
        </w:rPr>
        <w:t>Values in bold represent statistically significant differences observed between treatment groups.</w:t>
      </w:r>
    </w:p>
    <w:p w:rsidR="006048A7" w:rsidRDefault="006048A7" w:rsidP="00950DD9">
      <w:pPr>
        <w:widowControl/>
        <w:ind w:firstLine="720"/>
        <w:rPr>
          <w:rFonts w:ascii="Arial Narrow" w:hAnsi="Arial Narrow"/>
          <w:sz w:val="18"/>
          <w:szCs w:val="18"/>
        </w:rPr>
      </w:pPr>
      <w:r w:rsidRPr="009D3919">
        <w:rPr>
          <w:rFonts w:ascii="Arial Narrow" w:hAnsi="Arial Narrow"/>
          <w:sz w:val="18"/>
          <w:szCs w:val="18"/>
          <w:vertAlign w:val="superscript"/>
        </w:rPr>
        <w:t>a</w:t>
      </w:r>
      <w:r>
        <w:rPr>
          <w:rFonts w:ascii="Arial Narrow" w:hAnsi="Arial Narrow"/>
          <w:sz w:val="18"/>
          <w:szCs w:val="18"/>
        </w:rPr>
        <w:t xml:space="preserve"> </w:t>
      </w:r>
      <w:r w:rsidRPr="009D3919">
        <w:rPr>
          <w:rFonts w:ascii="Arial Narrow" w:hAnsi="Arial Narrow"/>
          <w:sz w:val="18"/>
          <w:szCs w:val="18"/>
        </w:rPr>
        <w:t>Hazard</w:t>
      </w:r>
      <w:r>
        <w:rPr>
          <w:rFonts w:ascii="Arial Narrow" w:hAnsi="Arial Narrow"/>
          <w:sz w:val="18"/>
          <w:szCs w:val="18"/>
        </w:rPr>
        <w:t xml:space="preserve"> ratios for the meta-analysed results are based on an adjusted Poisson regression model</w:t>
      </w:r>
      <w:r w:rsidR="007B246F">
        <w:rPr>
          <w:rFonts w:ascii="Arial Narrow" w:hAnsi="Arial Narrow"/>
          <w:sz w:val="18"/>
          <w:szCs w:val="18"/>
        </w:rPr>
        <w:t>.</w:t>
      </w:r>
    </w:p>
    <w:p w:rsidR="006048A7" w:rsidRPr="00303EBB" w:rsidRDefault="006048A7" w:rsidP="00950DD9">
      <w:pPr>
        <w:widowControl/>
        <w:ind w:firstLine="720"/>
        <w:rPr>
          <w:rFonts w:ascii="Arial Narrow" w:hAnsi="Arial Narrow"/>
          <w:sz w:val="18"/>
          <w:szCs w:val="18"/>
        </w:rPr>
      </w:pPr>
      <w:r>
        <w:rPr>
          <w:rFonts w:ascii="Arial Narrow" w:hAnsi="Arial Narrow"/>
          <w:sz w:val="18"/>
          <w:szCs w:val="18"/>
          <w:vertAlign w:val="superscript"/>
        </w:rPr>
        <w:t>b</w:t>
      </w:r>
      <w:r>
        <w:rPr>
          <w:rFonts w:ascii="Arial Narrow" w:hAnsi="Arial Narrow"/>
          <w:sz w:val="18"/>
          <w:szCs w:val="18"/>
        </w:rPr>
        <w:t xml:space="preserve"> Includes both vertebral and non-vertebral fractures</w:t>
      </w:r>
      <w:r w:rsidR="007B246F">
        <w:rPr>
          <w:rFonts w:ascii="Arial Narrow" w:hAnsi="Arial Narrow"/>
          <w:sz w:val="18"/>
          <w:szCs w:val="18"/>
        </w:rPr>
        <w:t>.</w:t>
      </w:r>
    </w:p>
    <w:p w:rsidR="006048A7" w:rsidRPr="009D3919" w:rsidRDefault="006048A7" w:rsidP="00950DD9">
      <w:pPr>
        <w:pStyle w:val="COMTbl-foot"/>
        <w:widowControl/>
        <w:ind w:firstLine="720"/>
        <w:rPr>
          <w:rFonts w:ascii="Arial Narrow" w:hAnsi="Arial Narrow"/>
        </w:rPr>
      </w:pPr>
      <w:r w:rsidRPr="009D3919">
        <w:rPr>
          <w:rFonts w:ascii="Arial Narrow" w:hAnsi="Arial Narrow"/>
        </w:rPr>
        <w:t xml:space="preserve">WHO definition: </w:t>
      </w:r>
      <w:r>
        <w:rPr>
          <w:rFonts w:ascii="Arial Narrow" w:hAnsi="Arial Narrow"/>
        </w:rPr>
        <w:t>P</w:t>
      </w:r>
      <w:r w:rsidRPr="009D3919">
        <w:rPr>
          <w:rFonts w:ascii="Arial Narrow" w:hAnsi="Arial Narrow"/>
        </w:rPr>
        <w:t>atients with a BMD T-score -2.5 and a prior fragility fracture</w:t>
      </w:r>
      <w:r w:rsidR="007B246F">
        <w:rPr>
          <w:rFonts w:ascii="Arial Narrow" w:hAnsi="Arial Narrow"/>
        </w:rPr>
        <w:t>.</w:t>
      </w:r>
    </w:p>
    <w:p w:rsidR="006048A7" w:rsidRDefault="006048A7" w:rsidP="00950DD9">
      <w:pPr>
        <w:pStyle w:val="COMTbl-foot"/>
        <w:widowControl/>
        <w:ind w:left="720"/>
        <w:rPr>
          <w:rFonts w:ascii="Arial Narrow" w:hAnsi="Arial Narrow"/>
          <w:szCs w:val="18"/>
        </w:rPr>
      </w:pPr>
      <w:r>
        <w:rPr>
          <w:rFonts w:ascii="Arial Narrow" w:hAnsi="Arial Narrow"/>
        </w:rPr>
        <w:t>FRAX definition:</w:t>
      </w:r>
      <w:r w:rsidRPr="009D3919">
        <w:rPr>
          <w:rFonts w:ascii="Arial Narrow" w:hAnsi="Arial Narrow"/>
        </w:rPr>
        <w:t xml:space="preserve"> </w:t>
      </w:r>
      <w:r>
        <w:rPr>
          <w:rFonts w:ascii="Arial Narrow" w:hAnsi="Arial Narrow"/>
        </w:rPr>
        <w:t>P</w:t>
      </w:r>
      <w:r w:rsidRPr="009D3919">
        <w:rPr>
          <w:rFonts w:ascii="Arial Narrow" w:hAnsi="Arial Narrow"/>
        </w:rPr>
        <w:t xml:space="preserve">atients with a 10-year probability of fracture greater than that of a patient with a BMD T-score -2.5 and a </w:t>
      </w:r>
      <w:r>
        <w:rPr>
          <w:rFonts w:ascii="Arial Narrow" w:hAnsi="Arial Narrow"/>
        </w:rPr>
        <w:t>prior fragility fracture</w:t>
      </w:r>
      <w:r w:rsidR="007B246F">
        <w:rPr>
          <w:rFonts w:ascii="Arial Narrow" w:hAnsi="Arial Narrow"/>
        </w:rPr>
        <w:t>.</w:t>
      </w:r>
      <w:r w:rsidR="00FE7EF0">
        <w:rPr>
          <w:rFonts w:ascii="Arial Narrow" w:hAnsi="Arial Narrow"/>
          <w:szCs w:val="18"/>
        </w:rPr>
        <w:t xml:space="preserve">Source: Table C-4 (p 79), Table C-5 (p 79), Table C-6 (p 79) </w:t>
      </w:r>
      <w:r w:rsidR="00FE7EF0" w:rsidRPr="001A6221">
        <w:rPr>
          <w:rFonts w:ascii="Arial Narrow" w:hAnsi="Arial Narrow"/>
          <w:szCs w:val="18"/>
        </w:rPr>
        <w:t>of the submission</w:t>
      </w:r>
    </w:p>
    <w:p w:rsidR="00764176" w:rsidRPr="00210815" w:rsidRDefault="00764176" w:rsidP="00950DD9">
      <w:pPr>
        <w:pStyle w:val="COMTbl-foot"/>
        <w:widowControl/>
        <w:ind w:left="720"/>
        <w:rPr>
          <w:rFonts w:ascii="Arial Narrow" w:hAnsi="Arial Narrow"/>
        </w:rPr>
      </w:pPr>
    </w:p>
    <w:p w:rsidR="006048A7" w:rsidRDefault="003C72AE" w:rsidP="00950DD9">
      <w:pPr>
        <w:pStyle w:val="ListParagraph"/>
        <w:widowControl/>
        <w:numPr>
          <w:ilvl w:val="1"/>
          <w:numId w:val="5"/>
        </w:numPr>
        <w:rPr>
          <w:szCs w:val="22"/>
        </w:rPr>
      </w:pPr>
      <w:r w:rsidRPr="007B246F">
        <w:rPr>
          <w:szCs w:val="22"/>
        </w:rPr>
        <w:t>There were</w:t>
      </w:r>
      <w:r w:rsidR="008A2650" w:rsidRPr="007B246F">
        <w:rPr>
          <w:szCs w:val="22"/>
        </w:rPr>
        <w:t xml:space="preserve"> no statistically significant difference</w:t>
      </w:r>
      <w:r w:rsidRPr="007B246F">
        <w:rPr>
          <w:szCs w:val="22"/>
        </w:rPr>
        <w:t>s</w:t>
      </w:r>
      <w:r w:rsidR="008A2650" w:rsidRPr="007B246F">
        <w:rPr>
          <w:szCs w:val="22"/>
        </w:rPr>
        <w:t xml:space="preserve"> in fracture outcomes associated with disease severity (interaction test, p &gt; 0.30) or the presence/absence of cardiovascular risk factors (interaction test, p &gt; 0.30).</w:t>
      </w:r>
    </w:p>
    <w:p w:rsidR="006048A7" w:rsidRDefault="006048A7" w:rsidP="00950DD9">
      <w:pPr>
        <w:widowControl/>
        <w:rPr>
          <w:szCs w:val="22"/>
        </w:rPr>
      </w:pPr>
    </w:p>
    <w:p w:rsidR="006048A7" w:rsidRPr="001A6221" w:rsidRDefault="006048A7" w:rsidP="00950DD9">
      <w:pPr>
        <w:keepNext/>
        <w:widowControl/>
        <w:ind w:left="720"/>
        <w:rPr>
          <w:rFonts w:ascii="Arial Narrow" w:hAnsi="Arial Narrow"/>
          <w:b/>
          <w:sz w:val="20"/>
        </w:rPr>
      </w:pPr>
      <w:r>
        <w:rPr>
          <w:rFonts w:ascii="Arial Narrow" w:hAnsi="Arial Narrow"/>
          <w:b/>
          <w:sz w:val="20"/>
        </w:rPr>
        <w:t>Table 5: Subgroup analyses of risk of major osteoporotic fracture</w:t>
      </w:r>
      <w:r>
        <w:rPr>
          <w:rFonts w:ascii="Arial Narrow" w:hAnsi="Arial Narrow"/>
          <w:b/>
          <w:sz w:val="20"/>
          <w:vertAlign w:val="superscript"/>
        </w:rPr>
        <w:t>a</w:t>
      </w:r>
      <w:r>
        <w:rPr>
          <w:rFonts w:ascii="Arial Narrow" w:hAnsi="Arial Narrow"/>
          <w:b/>
          <w:sz w:val="20"/>
        </w:rPr>
        <w:t xml:space="preserve"> based on BMD levels in patients with severe osteoporosis </w:t>
      </w:r>
    </w:p>
    <w:tbl>
      <w:tblPr>
        <w:tblW w:w="0" w:type="auto"/>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4"/>
        <w:gridCol w:w="1344"/>
        <w:gridCol w:w="2841"/>
        <w:gridCol w:w="2814"/>
      </w:tblGrid>
      <w:tr w:rsidR="006048A7" w:rsidTr="006048A7">
        <w:tc>
          <w:tcPr>
            <w:tcW w:w="1344" w:type="dxa"/>
            <w:tcBorders>
              <w:top w:val="single" w:sz="4" w:space="0" w:color="auto"/>
            </w:tcBorders>
            <w:shd w:val="clear" w:color="auto" w:fill="auto"/>
            <w:vAlign w:val="center"/>
          </w:tcPr>
          <w:p w:rsidR="006048A7" w:rsidRPr="001418BF" w:rsidRDefault="006048A7" w:rsidP="00950DD9">
            <w:pPr>
              <w:keepNext/>
              <w:widowControl/>
              <w:jc w:val="center"/>
              <w:rPr>
                <w:rFonts w:ascii="Arial Narrow" w:hAnsi="Arial Narrow"/>
                <w:b/>
                <w:sz w:val="20"/>
                <w:vertAlign w:val="superscript"/>
              </w:rPr>
            </w:pPr>
            <w:r>
              <w:rPr>
                <w:rFonts w:ascii="Arial Narrow" w:hAnsi="Arial Narrow"/>
                <w:b/>
                <w:sz w:val="20"/>
              </w:rPr>
              <w:t>Risk percentile</w:t>
            </w:r>
            <w:r>
              <w:rPr>
                <w:rFonts w:ascii="Arial Narrow" w:hAnsi="Arial Narrow"/>
                <w:b/>
                <w:sz w:val="20"/>
                <w:vertAlign w:val="superscript"/>
              </w:rPr>
              <w:t>b</w:t>
            </w:r>
          </w:p>
        </w:tc>
        <w:tc>
          <w:tcPr>
            <w:tcW w:w="1344" w:type="dxa"/>
            <w:tcBorders>
              <w:top w:val="single" w:sz="4" w:space="0" w:color="auto"/>
            </w:tcBorders>
            <w:shd w:val="clear" w:color="auto" w:fill="auto"/>
            <w:vAlign w:val="center"/>
          </w:tcPr>
          <w:p w:rsidR="006048A7" w:rsidRPr="00BB59D6" w:rsidRDefault="006048A7" w:rsidP="00950DD9">
            <w:pPr>
              <w:keepNext/>
              <w:widowControl/>
              <w:jc w:val="center"/>
              <w:rPr>
                <w:rFonts w:ascii="Arial Narrow" w:hAnsi="Arial Narrow"/>
                <w:b/>
                <w:sz w:val="20"/>
              </w:rPr>
            </w:pPr>
            <w:r>
              <w:rPr>
                <w:rFonts w:ascii="Arial Narrow" w:hAnsi="Arial Narrow"/>
                <w:b/>
                <w:sz w:val="20"/>
              </w:rPr>
              <w:t>10-year fracture risk</w:t>
            </w:r>
          </w:p>
        </w:tc>
        <w:tc>
          <w:tcPr>
            <w:tcW w:w="2841" w:type="dxa"/>
            <w:tcBorders>
              <w:top w:val="single" w:sz="4" w:space="0" w:color="auto"/>
            </w:tcBorders>
            <w:shd w:val="clear" w:color="auto" w:fill="auto"/>
            <w:vAlign w:val="center"/>
          </w:tcPr>
          <w:p w:rsidR="006048A7" w:rsidRDefault="006048A7" w:rsidP="00950DD9">
            <w:pPr>
              <w:keepNext/>
              <w:widowControl/>
              <w:jc w:val="center"/>
              <w:rPr>
                <w:rFonts w:ascii="Arial Narrow" w:hAnsi="Arial Narrow"/>
                <w:b/>
                <w:sz w:val="20"/>
              </w:rPr>
            </w:pPr>
            <w:r>
              <w:rPr>
                <w:rFonts w:ascii="Arial Narrow" w:hAnsi="Arial Narrow"/>
                <w:b/>
                <w:sz w:val="20"/>
              </w:rPr>
              <w:t xml:space="preserve">Severe osteoporosis (WHO definition) </w:t>
            </w:r>
          </w:p>
          <w:p w:rsidR="006048A7" w:rsidRPr="00BB59D6" w:rsidRDefault="006048A7" w:rsidP="00950DD9">
            <w:pPr>
              <w:keepNext/>
              <w:widowControl/>
              <w:jc w:val="center"/>
              <w:rPr>
                <w:rFonts w:ascii="Arial Narrow" w:hAnsi="Arial Narrow"/>
                <w:b/>
                <w:sz w:val="20"/>
              </w:rPr>
            </w:pPr>
            <w:r>
              <w:rPr>
                <w:rFonts w:ascii="Arial Narrow" w:hAnsi="Arial Narrow"/>
                <w:b/>
                <w:sz w:val="20"/>
              </w:rPr>
              <w:t>HR (95% CI)</w:t>
            </w:r>
            <w:r>
              <w:rPr>
                <w:rFonts w:ascii="Arial Narrow" w:hAnsi="Arial Narrow"/>
                <w:b/>
                <w:sz w:val="20"/>
                <w:vertAlign w:val="superscript"/>
              </w:rPr>
              <w:t>c</w:t>
            </w:r>
            <w:r>
              <w:rPr>
                <w:rFonts w:ascii="Arial Narrow" w:hAnsi="Arial Narrow"/>
                <w:b/>
                <w:sz w:val="20"/>
              </w:rPr>
              <w:t>, N = 3,246</w:t>
            </w:r>
          </w:p>
        </w:tc>
        <w:tc>
          <w:tcPr>
            <w:tcW w:w="2814" w:type="dxa"/>
            <w:tcBorders>
              <w:top w:val="single" w:sz="4" w:space="0" w:color="auto"/>
            </w:tcBorders>
          </w:tcPr>
          <w:p w:rsidR="006048A7" w:rsidRDefault="006048A7" w:rsidP="00950DD9">
            <w:pPr>
              <w:keepNext/>
              <w:widowControl/>
              <w:jc w:val="center"/>
              <w:rPr>
                <w:rFonts w:ascii="Arial Narrow" w:hAnsi="Arial Narrow"/>
                <w:b/>
                <w:sz w:val="20"/>
              </w:rPr>
            </w:pPr>
            <w:r>
              <w:rPr>
                <w:rFonts w:ascii="Arial Narrow" w:hAnsi="Arial Narrow"/>
                <w:b/>
                <w:sz w:val="20"/>
              </w:rPr>
              <w:t xml:space="preserve">Severe osteoporosis (FRAX definition) </w:t>
            </w:r>
          </w:p>
          <w:p w:rsidR="006048A7" w:rsidRPr="00BB59D6" w:rsidRDefault="006048A7" w:rsidP="00950DD9">
            <w:pPr>
              <w:keepNext/>
              <w:widowControl/>
              <w:jc w:val="center"/>
              <w:rPr>
                <w:rFonts w:ascii="Arial Narrow" w:hAnsi="Arial Narrow"/>
                <w:b/>
                <w:sz w:val="20"/>
              </w:rPr>
            </w:pPr>
            <w:r>
              <w:rPr>
                <w:rFonts w:ascii="Arial Narrow" w:hAnsi="Arial Narrow"/>
                <w:b/>
                <w:sz w:val="20"/>
              </w:rPr>
              <w:t>HR (95% CI)</w:t>
            </w:r>
            <w:r>
              <w:rPr>
                <w:rFonts w:ascii="Arial Narrow" w:hAnsi="Arial Narrow"/>
                <w:b/>
                <w:sz w:val="20"/>
                <w:vertAlign w:val="superscript"/>
              </w:rPr>
              <w:t>c</w:t>
            </w:r>
            <w:r>
              <w:rPr>
                <w:rFonts w:ascii="Arial Narrow" w:hAnsi="Arial Narrow"/>
                <w:b/>
                <w:sz w:val="20"/>
              </w:rPr>
              <w:t xml:space="preserve">, </w:t>
            </w:r>
            <w:r w:rsidRPr="00873E76">
              <w:rPr>
                <w:rFonts w:ascii="Arial Narrow" w:hAnsi="Arial Narrow"/>
                <w:b/>
                <w:sz w:val="20"/>
              </w:rPr>
              <w:t xml:space="preserve">N = </w:t>
            </w:r>
            <w:r>
              <w:rPr>
                <w:rFonts w:ascii="Arial Narrow" w:hAnsi="Arial Narrow"/>
                <w:b/>
                <w:sz w:val="20"/>
              </w:rPr>
              <w:t>4,137</w:t>
            </w:r>
          </w:p>
        </w:tc>
      </w:tr>
      <w:tr w:rsidR="006048A7" w:rsidTr="006048A7">
        <w:tc>
          <w:tcPr>
            <w:tcW w:w="1344" w:type="dxa"/>
            <w:shd w:val="clear" w:color="auto" w:fill="auto"/>
            <w:vAlign w:val="center"/>
          </w:tcPr>
          <w:p w:rsidR="006048A7" w:rsidRPr="001A6221" w:rsidRDefault="006048A7" w:rsidP="00950DD9">
            <w:pPr>
              <w:keepNext/>
              <w:widowControl/>
              <w:jc w:val="center"/>
              <w:rPr>
                <w:rFonts w:ascii="Arial Narrow" w:hAnsi="Arial Narrow"/>
                <w:sz w:val="20"/>
              </w:rPr>
            </w:pPr>
            <w:r>
              <w:rPr>
                <w:rFonts w:ascii="Arial Narrow" w:hAnsi="Arial Narrow"/>
                <w:sz w:val="20"/>
              </w:rPr>
              <w:t>10</w:t>
            </w:r>
            <w:r w:rsidRPr="00FF479A">
              <w:rPr>
                <w:rFonts w:ascii="Arial Narrow" w:hAnsi="Arial Narrow"/>
                <w:sz w:val="20"/>
                <w:vertAlign w:val="superscript"/>
              </w:rPr>
              <w:t>th</w:t>
            </w:r>
          </w:p>
        </w:tc>
        <w:tc>
          <w:tcPr>
            <w:tcW w:w="1344" w:type="dxa"/>
            <w:shd w:val="clear" w:color="auto" w:fill="auto"/>
            <w:vAlign w:val="center"/>
          </w:tcPr>
          <w:p w:rsidR="006048A7" w:rsidRPr="001A6221" w:rsidRDefault="006048A7" w:rsidP="00950DD9">
            <w:pPr>
              <w:keepNext/>
              <w:widowControl/>
              <w:jc w:val="center"/>
              <w:rPr>
                <w:rFonts w:ascii="Arial Narrow" w:hAnsi="Arial Narrow"/>
                <w:sz w:val="20"/>
              </w:rPr>
            </w:pPr>
            <w:r>
              <w:rPr>
                <w:rFonts w:ascii="Arial Narrow" w:hAnsi="Arial Narrow"/>
                <w:sz w:val="20"/>
              </w:rPr>
              <w:t>8.4%</w:t>
            </w:r>
          </w:p>
        </w:tc>
        <w:tc>
          <w:tcPr>
            <w:tcW w:w="2841" w:type="dxa"/>
            <w:vAlign w:val="center"/>
          </w:tcPr>
          <w:p w:rsidR="006048A7" w:rsidRPr="00B36248" w:rsidRDefault="006048A7" w:rsidP="00950DD9">
            <w:pPr>
              <w:keepNext/>
              <w:widowControl/>
              <w:jc w:val="center"/>
              <w:rPr>
                <w:rFonts w:ascii="Arial Narrow" w:hAnsi="Arial Narrow"/>
                <w:b/>
                <w:sz w:val="20"/>
              </w:rPr>
            </w:pPr>
            <w:r>
              <w:rPr>
                <w:rFonts w:ascii="Arial Narrow" w:hAnsi="Arial Narrow"/>
                <w:b/>
                <w:sz w:val="20"/>
              </w:rPr>
              <w:t>0.69 (0.58, 0.84)</w:t>
            </w:r>
          </w:p>
        </w:tc>
        <w:tc>
          <w:tcPr>
            <w:tcW w:w="2814" w:type="dxa"/>
          </w:tcPr>
          <w:p w:rsidR="006048A7" w:rsidRPr="00162A35" w:rsidRDefault="006048A7" w:rsidP="00950DD9">
            <w:pPr>
              <w:keepNext/>
              <w:widowControl/>
              <w:jc w:val="center"/>
              <w:rPr>
                <w:rFonts w:ascii="Arial Narrow" w:hAnsi="Arial Narrow"/>
                <w:b/>
                <w:sz w:val="20"/>
              </w:rPr>
            </w:pPr>
            <w:r w:rsidRPr="00162A35">
              <w:rPr>
                <w:rFonts w:ascii="Arial Narrow" w:hAnsi="Arial Narrow"/>
                <w:b/>
                <w:sz w:val="20"/>
              </w:rPr>
              <w:t>0.71 (0.59, 0.85)</w:t>
            </w:r>
          </w:p>
        </w:tc>
      </w:tr>
      <w:tr w:rsidR="006048A7" w:rsidTr="006048A7">
        <w:tc>
          <w:tcPr>
            <w:tcW w:w="1344" w:type="dxa"/>
            <w:shd w:val="clear" w:color="auto" w:fill="auto"/>
            <w:vAlign w:val="center"/>
          </w:tcPr>
          <w:p w:rsidR="006048A7" w:rsidRPr="001A6221" w:rsidRDefault="006048A7" w:rsidP="00950DD9">
            <w:pPr>
              <w:keepNext/>
              <w:widowControl/>
              <w:jc w:val="center"/>
              <w:rPr>
                <w:rFonts w:ascii="Arial Narrow" w:hAnsi="Arial Narrow"/>
                <w:sz w:val="20"/>
              </w:rPr>
            </w:pPr>
            <w:r>
              <w:rPr>
                <w:rFonts w:ascii="Arial Narrow" w:hAnsi="Arial Narrow"/>
                <w:sz w:val="20"/>
              </w:rPr>
              <w:t>25</w:t>
            </w:r>
            <w:r w:rsidRPr="00FF479A">
              <w:rPr>
                <w:rFonts w:ascii="Arial Narrow" w:hAnsi="Arial Narrow"/>
                <w:sz w:val="20"/>
                <w:vertAlign w:val="superscript"/>
              </w:rPr>
              <w:t>th</w:t>
            </w:r>
          </w:p>
        </w:tc>
        <w:tc>
          <w:tcPr>
            <w:tcW w:w="1344" w:type="dxa"/>
            <w:shd w:val="clear" w:color="auto" w:fill="auto"/>
            <w:vAlign w:val="center"/>
          </w:tcPr>
          <w:p w:rsidR="006048A7" w:rsidRPr="001A6221" w:rsidRDefault="006048A7" w:rsidP="00950DD9">
            <w:pPr>
              <w:keepNext/>
              <w:widowControl/>
              <w:jc w:val="center"/>
              <w:rPr>
                <w:rFonts w:ascii="Arial Narrow" w:hAnsi="Arial Narrow"/>
                <w:sz w:val="20"/>
              </w:rPr>
            </w:pPr>
            <w:r>
              <w:rPr>
                <w:rFonts w:ascii="Arial Narrow" w:hAnsi="Arial Narrow"/>
                <w:sz w:val="20"/>
              </w:rPr>
              <w:t>11.5%</w:t>
            </w:r>
          </w:p>
        </w:tc>
        <w:tc>
          <w:tcPr>
            <w:tcW w:w="2841" w:type="dxa"/>
            <w:vAlign w:val="center"/>
          </w:tcPr>
          <w:p w:rsidR="006048A7" w:rsidRPr="00162A35" w:rsidRDefault="006048A7" w:rsidP="00950DD9">
            <w:pPr>
              <w:keepNext/>
              <w:widowControl/>
              <w:jc w:val="center"/>
              <w:rPr>
                <w:rFonts w:ascii="Arial Narrow" w:hAnsi="Arial Narrow"/>
                <w:b/>
                <w:sz w:val="20"/>
              </w:rPr>
            </w:pPr>
            <w:r w:rsidRPr="00162A35">
              <w:rPr>
                <w:rFonts w:ascii="Arial Narrow" w:hAnsi="Arial Narrow"/>
                <w:b/>
                <w:sz w:val="20"/>
              </w:rPr>
              <w:t>0.72 (0.61, 0.85)</w:t>
            </w:r>
          </w:p>
        </w:tc>
        <w:tc>
          <w:tcPr>
            <w:tcW w:w="2814" w:type="dxa"/>
          </w:tcPr>
          <w:p w:rsidR="006048A7" w:rsidRPr="00162A35" w:rsidRDefault="006048A7" w:rsidP="00950DD9">
            <w:pPr>
              <w:keepNext/>
              <w:widowControl/>
              <w:jc w:val="center"/>
              <w:rPr>
                <w:rFonts w:ascii="Arial Narrow" w:hAnsi="Arial Narrow"/>
                <w:b/>
                <w:sz w:val="20"/>
              </w:rPr>
            </w:pPr>
            <w:r w:rsidRPr="00162A35">
              <w:rPr>
                <w:rFonts w:ascii="Arial Narrow" w:hAnsi="Arial Narrow"/>
                <w:b/>
                <w:sz w:val="20"/>
              </w:rPr>
              <w:t>0.73 (0.62, 0.86)</w:t>
            </w:r>
          </w:p>
        </w:tc>
      </w:tr>
      <w:tr w:rsidR="006048A7" w:rsidTr="006048A7">
        <w:tc>
          <w:tcPr>
            <w:tcW w:w="1344" w:type="dxa"/>
            <w:shd w:val="clear" w:color="auto" w:fill="auto"/>
            <w:vAlign w:val="center"/>
          </w:tcPr>
          <w:p w:rsidR="006048A7" w:rsidRPr="001A6221" w:rsidRDefault="006048A7" w:rsidP="00950DD9">
            <w:pPr>
              <w:keepNext/>
              <w:widowControl/>
              <w:jc w:val="center"/>
              <w:rPr>
                <w:rFonts w:ascii="Arial Narrow" w:hAnsi="Arial Narrow"/>
                <w:sz w:val="20"/>
              </w:rPr>
            </w:pPr>
            <w:r>
              <w:rPr>
                <w:rFonts w:ascii="Arial Narrow" w:hAnsi="Arial Narrow"/>
                <w:sz w:val="20"/>
              </w:rPr>
              <w:t>50</w:t>
            </w:r>
            <w:r w:rsidRPr="00FF479A">
              <w:rPr>
                <w:rFonts w:ascii="Arial Narrow" w:hAnsi="Arial Narrow"/>
                <w:sz w:val="20"/>
                <w:vertAlign w:val="superscript"/>
              </w:rPr>
              <w:t>th</w:t>
            </w:r>
          </w:p>
        </w:tc>
        <w:tc>
          <w:tcPr>
            <w:tcW w:w="1344" w:type="dxa"/>
            <w:shd w:val="clear" w:color="auto" w:fill="auto"/>
            <w:vAlign w:val="center"/>
          </w:tcPr>
          <w:p w:rsidR="006048A7" w:rsidRPr="001A6221" w:rsidRDefault="006048A7" w:rsidP="00950DD9">
            <w:pPr>
              <w:keepNext/>
              <w:widowControl/>
              <w:jc w:val="center"/>
              <w:rPr>
                <w:rFonts w:ascii="Arial Narrow" w:hAnsi="Arial Narrow"/>
                <w:sz w:val="20"/>
              </w:rPr>
            </w:pPr>
            <w:r>
              <w:rPr>
                <w:rFonts w:ascii="Arial Narrow" w:hAnsi="Arial Narrow"/>
                <w:sz w:val="20"/>
              </w:rPr>
              <w:t>16.1%</w:t>
            </w:r>
          </w:p>
        </w:tc>
        <w:tc>
          <w:tcPr>
            <w:tcW w:w="2841" w:type="dxa"/>
            <w:vAlign w:val="center"/>
          </w:tcPr>
          <w:p w:rsidR="006048A7" w:rsidRPr="00B36248" w:rsidRDefault="006048A7" w:rsidP="00950DD9">
            <w:pPr>
              <w:keepNext/>
              <w:widowControl/>
              <w:jc w:val="center"/>
              <w:rPr>
                <w:rFonts w:ascii="Arial Narrow" w:hAnsi="Arial Narrow"/>
                <w:b/>
                <w:sz w:val="20"/>
              </w:rPr>
            </w:pPr>
            <w:r>
              <w:rPr>
                <w:rFonts w:ascii="Arial Narrow" w:hAnsi="Arial Narrow"/>
                <w:b/>
                <w:sz w:val="20"/>
              </w:rPr>
              <w:t>0.76 (0.67, 0.87)</w:t>
            </w:r>
          </w:p>
        </w:tc>
        <w:tc>
          <w:tcPr>
            <w:tcW w:w="2814" w:type="dxa"/>
            <w:vAlign w:val="center"/>
          </w:tcPr>
          <w:p w:rsidR="006048A7" w:rsidRPr="00162A35" w:rsidRDefault="006048A7" w:rsidP="00950DD9">
            <w:pPr>
              <w:keepNext/>
              <w:widowControl/>
              <w:jc w:val="center"/>
              <w:rPr>
                <w:rFonts w:ascii="Arial Narrow" w:hAnsi="Arial Narrow"/>
                <w:b/>
                <w:sz w:val="20"/>
              </w:rPr>
            </w:pPr>
            <w:r w:rsidRPr="00162A35">
              <w:rPr>
                <w:rFonts w:ascii="Arial Narrow" w:hAnsi="Arial Narrow"/>
                <w:b/>
                <w:sz w:val="20"/>
              </w:rPr>
              <w:t>0.76 (0.67, 0.87)</w:t>
            </w:r>
          </w:p>
        </w:tc>
      </w:tr>
      <w:tr w:rsidR="006048A7" w:rsidTr="006048A7">
        <w:tc>
          <w:tcPr>
            <w:tcW w:w="1344" w:type="dxa"/>
            <w:shd w:val="clear" w:color="auto" w:fill="auto"/>
            <w:vAlign w:val="center"/>
          </w:tcPr>
          <w:p w:rsidR="006048A7" w:rsidRDefault="006048A7" w:rsidP="00950DD9">
            <w:pPr>
              <w:keepNext/>
              <w:widowControl/>
              <w:jc w:val="center"/>
              <w:rPr>
                <w:rFonts w:ascii="Arial Narrow" w:hAnsi="Arial Narrow"/>
                <w:sz w:val="20"/>
              </w:rPr>
            </w:pPr>
            <w:r>
              <w:rPr>
                <w:rFonts w:ascii="Arial Narrow" w:hAnsi="Arial Narrow"/>
                <w:sz w:val="20"/>
              </w:rPr>
              <w:t>75</w:t>
            </w:r>
            <w:r w:rsidRPr="00FF479A">
              <w:rPr>
                <w:rFonts w:ascii="Arial Narrow" w:hAnsi="Arial Narrow"/>
                <w:sz w:val="20"/>
                <w:vertAlign w:val="superscript"/>
              </w:rPr>
              <w:t>th</w:t>
            </w:r>
          </w:p>
        </w:tc>
        <w:tc>
          <w:tcPr>
            <w:tcW w:w="1344" w:type="dxa"/>
            <w:shd w:val="clear" w:color="auto" w:fill="auto"/>
            <w:vAlign w:val="center"/>
          </w:tcPr>
          <w:p w:rsidR="006048A7" w:rsidRDefault="006048A7" w:rsidP="00950DD9">
            <w:pPr>
              <w:keepNext/>
              <w:widowControl/>
              <w:jc w:val="center"/>
              <w:rPr>
                <w:rFonts w:ascii="Arial Narrow" w:hAnsi="Arial Narrow"/>
                <w:sz w:val="20"/>
              </w:rPr>
            </w:pPr>
            <w:r>
              <w:rPr>
                <w:rFonts w:ascii="Arial Narrow" w:hAnsi="Arial Narrow"/>
                <w:sz w:val="20"/>
              </w:rPr>
              <w:t>22.5%</w:t>
            </w:r>
          </w:p>
        </w:tc>
        <w:tc>
          <w:tcPr>
            <w:tcW w:w="2841" w:type="dxa"/>
            <w:vAlign w:val="center"/>
          </w:tcPr>
          <w:p w:rsidR="006048A7" w:rsidRPr="00B36248" w:rsidRDefault="006048A7" w:rsidP="00950DD9">
            <w:pPr>
              <w:keepNext/>
              <w:widowControl/>
              <w:jc w:val="center"/>
              <w:rPr>
                <w:rFonts w:ascii="Arial Narrow" w:hAnsi="Arial Narrow"/>
                <w:b/>
                <w:sz w:val="20"/>
              </w:rPr>
            </w:pPr>
            <w:r>
              <w:rPr>
                <w:rFonts w:ascii="Arial Narrow" w:hAnsi="Arial Narrow"/>
                <w:b/>
                <w:sz w:val="20"/>
              </w:rPr>
              <w:t>0.82 (0.72, 0.94)</w:t>
            </w:r>
          </w:p>
        </w:tc>
        <w:tc>
          <w:tcPr>
            <w:tcW w:w="2814" w:type="dxa"/>
            <w:vAlign w:val="center"/>
          </w:tcPr>
          <w:p w:rsidR="006048A7" w:rsidRPr="00162A35" w:rsidRDefault="006048A7" w:rsidP="00950DD9">
            <w:pPr>
              <w:keepNext/>
              <w:widowControl/>
              <w:jc w:val="center"/>
              <w:rPr>
                <w:rFonts w:ascii="Arial Narrow" w:hAnsi="Arial Narrow"/>
                <w:b/>
                <w:sz w:val="20"/>
              </w:rPr>
            </w:pPr>
            <w:r w:rsidRPr="00162A35">
              <w:rPr>
                <w:rFonts w:ascii="Arial Narrow" w:hAnsi="Arial Narrow"/>
                <w:b/>
                <w:sz w:val="20"/>
              </w:rPr>
              <w:t>0.81 (0.72, 0.92)</w:t>
            </w:r>
          </w:p>
        </w:tc>
      </w:tr>
      <w:tr w:rsidR="006048A7" w:rsidTr="006048A7">
        <w:tc>
          <w:tcPr>
            <w:tcW w:w="1344" w:type="dxa"/>
            <w:shd w:val="clear" w:color="auto" w:fill="auto"/>
            <w:vAlign w:val="center"/>
          </w:tcPr>
          <w:p w:rsidR="006048A7" w:rsidRDefault="006048A7" w:rsidP="00950DD9">
            <w:pPr>
              <w:keepNext/>
              <w:widowControl/>
              <w:jc w:val="center"/>
              <w:rPr>
                <w:rFonts w:ascii="Arial Narrow" w:hAnsi="Arial Narrow"/>
                <w:sz w:val="20"/>
              </w:rPr>
            </w:pPr>
            <w:r>
              <w:rPr>
                <w:rFonts w:ascii="Arial Narrow" w:hAnsi="Arial Narrow"/>
                <w:sz w:val="20"/>
              </w:rPr>
              <w:t>90</w:t>
            </w:r>
            <w:r w:rsidRPr="00FF479A">
              <w:rPr>
                <w:rFonts w:ascii="Arial Narrow" w:hAnsi="Arial Narrow"/>
                <w:sz w:val="20"/>
                <w:vertAlign w:val="superscript"/>
              </w:rPr>
              <w:t>th</w:t>
            </w:r>
          </w:p>
        </w:tc>
        <w:tc>
          <w:tcPr>
            <w:tcW w:w="1344" w:type="dxa"/>
            <w:shd w:val="clear" w:color="auto" w:fill="auto"/>
            <w:vAlign w:val="center"/>
          </w:tcPr>
          <w:p w:rsidR="006048A7" w:rsidRDefault="006048A7" w:rsidP="00950DD9">
            <w:pPr>
              <w:keepNext/>
              <w:widowControl/>
              <w:jc w:val="center"/>
              <w:rPr>
                <w:rFonts w:ascii="Arial Narrow" w:hAnsi="Arial Narrow"/>
                <w:sz w:val="20"/>
              </w:rPr>
            </w:pPr>
            <w:r>
              <w:rPr>
                <w:rFonts w:ascii="Arial Narrow" w:hAnsi="Arial Narrow"/>
                <w:sz w:val="20"/>
              </w:rPr>
              <w:t>30.2%</w:t>
            </w:r>
          </w:p>
        </w:tc>
        <w:tc>
          <w:tcPr>
            <w:tcW w:w="2841" w:type="dxa"/>
            <w:vAlign w:val="center"/>
          </w:tcPr>
          <w:p w:rsidR="006048A7" w:rsidRPr="001A6221" w:rsidRDefault="006048A7" w:rsidP="00950DD9">
            <w:pPr>
              <w:keepNext/>
              <w:widowControl/>
              <w:jc w:val="center"/>
              <w:rPr>
                <w:rFonts w:ascii="Arial Narrow" w:hAnsi="Arial Narrow"/>
                <w:sz w:val="20"/>
              </w:rPr>
            </w:pPr>
            <w:r>
              <w:rPr>
                <w:rFonts w:ascii="Arial Narrow" w:hAnsi="Arial Narrow"/>
                <w:sz w:val="20"/>
              </w:rPr>
              <w:t>0.90 (0.77, 1.06)</w:t>
            </w:r>
          </w:p>
        </w:tc>
        <w:tc>
          <w:tcPr>
            <w:tcW w:w="2814" w:type="dxa"/>
            <w:vAlign w:val="center"/>
          </w:tcPr>
          <w:p w:rsidR="006048A7" w:rsidRDefault="006048A7" w:rsidP="00950DD9">
            <w:pPr>
              <w:keepNext/>
              <w:widowControl/>
              <w:jc w:val="center"/>
              <w:rPr>
                <w:rFonts w:ascii="Arial Narrow" w:hAnsi="Arial Narrow"/>
                <w:sz w:val="20"/>
              </w:rPr>
            </w:pPr>
            <w:r>
              <w:rPr>
                <w:rFonts w:ascii="Arial Narrow" w:hAnsi="Arial Narrow"/>
                <w:sz w:val="20"/>
              </w:rPr>
              <w:t>0.88 (0.75, 1.03)</w:t>
            </w:r>
          </w:p>
        </w:tc>
      </w:tr>
    </w:tbl>
    <w:p w:rsidR="006048A7" w:rsidRPr="001A6221" w:rsidRDefault="006048A7" w:rsidP="00950DD9">
      <w:pPr>
        <w:keepNext/>
        <w:widowControl/>
        <w:ind w:firstLine="720"/>
        <w:rPr>
          <w:rFonts w:ascii="Arial Narrow" w:hAnsi="Arial Narrow"/>
          <w:sz w:val="18"/>
          <w:szCs w:val="18"/>
        </w:rPr>
      </w:pPr>
      <w:r w:rsidRPr="001A6221">
        <w:rPr>
          <w:rFonts w:ascii="Arial Narrow" w:hAnsi="Arial Narrow"/>
          <w:sz w:val="18"/>
          <w:szCs w:val="18"/>
        </w:rPr>
        <w:t xml:space="preserve">Abbreviations: </w:t>
      </w:r>
      <w:r>
        <w:rPr>
          <w:rFonts w:ascii="Arial Narrow" w:hAnsi="Arial Narrow"/>
          <w:sz w:val="18"/>
          <w:szCs w:val="18"/>
        </w:rPr>
        <w:t>BMD, bone mineral density; CI, confidence interval; HR, hazard ratio</w:t>
      </w:r>
    </w:p>
    <w:p w:rsidR="007B246F" w:rsidRPr="002B33AE" w:rsidRDefault="007B246F" w:rsidP="00950DD9">
      <w:pPr>
        <w:keepNext/>
        <w:widowControl/>
        <w:ind w:firstLine="720"/>
        <w:rPr>
          <w:rFonts w:ascii="Arial Narrow" w:hAnsi="Arial Narrow"/>
          <w:sz w:val="18"/>
          <w:szCs w:val="18"/>
        </w:rPr>
      </w:pPr>
      <w:r w:rsidRPr="002B33AE">
        <w:rPr>
          <w:rStyle w:val="CommentReference"/>
          <w:sz w:val="18"/>
        </w:rPr>
        <w:t>Values in bold represent statistically significant differences observed between subgroups.</w:t>
      </w:r>
    </w:p>
    <w:p w:rsidR="006048A7" w:rsidRPr="001B3276" w:rsidRDefault="006048A7" w:rsidP="00950DD9">
      <w:pPr>
        <w:keepNext/>
        <w:widowControl/>
        <w:ind w:left="720"/>
        <w:rPr>
          <w:rFonts w:ascii="Arial Narrow" w:hAnsi="Arial Narrow"/>
          <w:sz w:val="18"/>
          <w:szCs w:val="18"/>
        </w:rPr>
      </w:pPr>
      <w:r>
        <w:rPr>
          <w:rFonts w:ascii="Arial Narrow" w:hAnsi="Arial Narrow"/>
          <w:sz w:val="18"/>
          <w:szCs w:val="18"/>
          <w:vertAlign w:val="superscript"/>
        </w:rPr>
        <w:t>a</w:t>
      </w:r>
      <w:r>
        <w:rPr>
          <w:rFonts w:ascii="Arial Narrow" w:hAnsi="Arial Narrow"/>
          <w:sz w:val="18"/>
          <w:szCs w:val="18"/>
        </w:rPr>
        <w:t xml:space="preserve"> The definition of a major osteoporotic fracture was unclear in the sponsor’s response. In the individual trials a major fracture was defined as clinical vertebral, h</w:t>
      </w:r>
      <w:r w:rsidRPr="001B3276">
        <w:rPr>
          <w:rFonts w:ascii="Arial Narrow" w:hAnsi="Arial Narrow"/>
          <w:sz w:val="18"/>
          <w:szCs w:val="18"/>
        </w:rPr>
        <w:t>ip</w:t>
      </w:r>
      <w:r>
        <w:rPr>
          <w:rFonts w:ascii="Arial Narrow" w:hAnsi="Arial Narrow"/>
          <w:sz w:val="18"/>
          <w:szCs w:val="18"/>
        </w:rPr>
        <w:t xml:space="preserve"> area, p</w:t>
      </w:r>
      <w:r w:rsidRPr="001B3276">
        <w:rPr>
          <w:rFonts w:ascii="Arial Narrow" w:hAnsi="Arial Narrow"/>
          <w:sz w:val="18"/>
          <w:szCs w:val="18"/>
        </w:rPr>
        <w:t>roximal femur</w:t>
      </w:r>
      <w:r>
        <w:rPr>
          <w:rFonts w:ascii="Arial Narrow" w:hAnsi="Arial Narrow"/>
          <w:sz w:val="18"/>
          <w:szCs w:val="18"/>
        </w:rPr>
        <w:t>, ribs-</w:t>
      </w:r>
      <w:r w:rsidRPr="001B3276">
        <w:rPr>
          <w:rFonts w:ascii="Arial Narrow" w:hAnsi="Arial Narrow"/>
          <w:sz w:val="18"/>
          <w:szCs w:val="18"/>
        </w:rPr>
        <w:t>sternum</w:t>
      </w:r>
      <w:r>
        <w:rPr>
          <w:rFonts w:ascii="Arial Narrow" w:hAnsi="Arial Narrow"/>
          <w:sz w:val="18"/>
          <w:szCs w:val="18"/>
        </w:rPr>
        <w:t>, p</w:t>
      </w:r>
      <w:r w:rsidRPr="001B3276">
        <w:rPr>
          <w:rFonts w:ascii="Arial Narrow" w:hAnsi="Arial Narrow"/>
          <w:sz w:val="18"/>
          <w:szCs w:val="18"/>
        </w:rPr>
        <w:t>elvic-sacrum</w:t>
      </w:r>
      <w:r>
        <w:rPr>
          <w:rFonts w:ascii="Arial Narrow" w:hAnsi="Arial Narrow"/>
          <w:sz w:val="18"/>
          <w:szCs w:val="18"/>
        </w:rPr>
        <w:t>, f</w:t>
      </w:r>
      <w:r w:rsidRPr="001B3276">
        <w:rPr>
          <w:rFonts w:ascii="Arial Narrow" w:hAnsi="Arial Narrow"/>
          <w:sz w:val="18"/>
          <w:szCs w:val="18"/>
        </w:rPr>
        <w:t>orearm</w:t>
      </w:r>
      <w:r>
        <w:rPr>
          <w:rFonts w:ascii="Arial Narrow" w:hAnsi="Arial Narrow"/>
          <w:sz w:val="18"/>
          <w:szCs w:val="18"/>
        </w:rPr>
        <w:t>, wrist or shoulder fracture</w:t>
      </w:r>
    </w:p>
    <w:p w:rsidR="006048A7" w:rsidRPr="001418BF" w:rsidRDefault="006048A7" w:rsidP="00950DD9">
      <w:pPr>
        <w:keepNext/>
        <w:widowControl/>
        <w:ind w:firstLine="720"/>
        <w:rPr>
          <w:rFonts w:ascii="Arial Narrow" w:hAnsi="Arial Narrow"/>
          <w:sz w:val="18"/>
          <w:szCs w:val="18"/>
        </w:rPr>
      </w:pPr>
      <w:r>
        <w:rPr>
          <w:rFonts w:ascii="Arial Narrow" w:hAnsi="Arial Narrow"/>
          <w:sz w:val="18"/>
          <w:szCs w:val="18"/>
          <w:vertAlign w:val="superscript"/>
        </w:rPr>
        <w:t>b</w:t>
      </w:r>
      <w:r>
        <w:rPr>
          <w:rFonts w:ascii="Arial Narrow" w:hAnsi="Arial Narrow"/>
          <w:sz w:val="18"/>
          <w:szCs w:val="18"/>
        </w:rPr>
        <w:t xml:space="preserve"> Based on baseline BMD levels</w:t>
      </w:r>
    </w:p>
    <w:p w:rsidR="006048A7" w:rsidRPr="004C4CE7" w:rsidRDefault="006048A7" w:rsidP="00950DD9">
      <w:pPr>
        <w:keepNext/>
        <w:widowControl/>
        <w:ind w:firstLine="720"/>
        <w:rPr>
          <w:rFonts w:ascii="Arial Narrow" w:hAnsi="Arial Narrow"/>
          <w:sz w:val="18"/>
          <w:szCs w:val="18"/>
        </w:rPr>
      </w:pPr>
      <w:r>
        <w:rPr>
          <w:rFonts w:ascii="Arial Narrow" w:hAnsi="Arial Narrow"/>
          <w:sz w:val="18"/>
          <w:szCs w:val="18"/>
          <w:vertAlign w:val="superscript"/>
        </w:rPr>
        <w:t>c</w:t>
      </w:r>
      <w:r>
        <w:rPr>
          <w:rFonts w:ascii="Arial Narrow" w:hAnsi="Arial Narrow"/>
          <w:sz w:val="18"/>
          <w:szCs w:val="18"/>
        </w:rPr>
        <w:t xml:space="preserve"> </w:t>
      </w:r>
      <w:r w:rsidRPr="009D3919">
        <w:rPr>
          <w:rFonts w:ascii="Arial Narrow" w:hAnsi="Arial Narrow"/>
          <w:sz w:val="18"/>
          <w:szCs w:val="18"/>
        </w:rPr>
        <w:t>Hazard</w:t>
      </w:r>
      <w:r>
        <w:rPr>
          <w:rFonts w:ascii="Arial Narrow" w:hAnsi="Arial Narrow"/>
          <w:sz w:val="18"/>
          <w:szCs w:val="18"/>
        </w:rPr>
        <w:t xml:space="preserve"> ratios for the meta-analysed results are based on an adjusted Poisson regression model</w:t>
      </w:r>
    </w:p>
    <w:p w:rsidR="006048A7" w:rsidRPr="009D3919" w:rsidRDefault="006048A7" w:rsidP="00950DD9">
      <w:pPr>
        <w:pStyle w:val="COMTbl-foot"/>
        <w:keepNext/>
        <w:widowControl/>
        <w:ind w:firstLine="720"/>
        <w:rPr>
          <w:rFonts w:ascii="Arial Narrow" w:hAnsi="Arial Narrow"/>
        </w:rPr>
      </w:pPr>
      <w:r w:rsidRPr="009D3919">
        <w:rPr>
          <w:rFonts w:ascii="Arial Narrow" w:hAnsi="Arial Narrow"/>
        </w:rPr>
        <w:t xml:space="preserve">WHO definition: </w:t>
      </w:r>
      <w:r>
        <w:rPr>
          <w:rFonts w:ascii="Arial Narrow" w:hAnsi="Arial Narrow"/>
        </w:rPr>
        <w:t>P</w:t>
      </w:r>
      <w:r w:rsidRPr="009D3919">
        <w:rPr>
          <w:rFonts w:ascii="Arial Narrow" w:hAnsi="Arial Narrow"/>
        </w:rPr>
        <w:t>atients with a BMD T-score -2.5 and a prior fragility fracture</w:t>
      </w:r>
    </w:p>
    <w:p w:rsidR="006048A7" w:rsidRDefault="006048A7" w:rsidP="00950DD9">
      <w:pPr>
        <w:pStyle w:val="COMTbl-foot"/>
        <w:keepNext/>
        <w:widowControl/>
        <w:ind w:left="720"/>
        <w:rPr>
          <w:rFonts w:ascii="Arial Narrow" w:hAnsi="Arial Narrow"/>
        </w:rPr>
      </w:pPr>
      <w:r>
        <w:rPr>
          <w:rFonts w:ascii="Arial Narrow" w:hAnsi="Arial Narrow"/>
        </w:rPr>
        <w:t>FRAX definition:</w:t>
      </w:r>
      <w:r w:rsidRPr="009D3919">
        <w:rPr>
          <w:rFonts w:ascii="Arial Narrow" w:hAnsi="Arial Narrow"/>
        </w:rPr>
        <w:t xml:space="preserve"> </w:t>
      </w:r>
      <w:r>
        <w:rPr>
          <w:rFonts w:ascii="Arial Narrow" w:hAnsi="Arial Narrow"/>
        </w:rPr>
        <w:t>P</w:t>
      </w:r>
      <w:r w:rsidRPr="009D3919">
        <w:rPr>
          <w:rFonts w:ascii="Arial Narrow" w:hAnsi="Arial Narrow"/>
        </w:rPr>
        <w:t xml:space="preserve">atients with a 10-year probability of fracture greater than that of a patient with a BMD T-score -2.5 and a </w:t>
      </w:r>
      <w:r>
        <w:rPr>
          <w:rFonts w:ascii="Arial Narrow" w:hAnsi="Arial Narrow"/>
        </w:rPr>
        <w:t>prior fragility fracture</w:t>
      </w:r>
    </w:p>
    <w:p w:rsidR="00DC04A3" w:rsidRPr="001C5FB3" w:rsidRDefault="00FE7EF0" w:rsidP="00950DD9">
      <w:pPr>
        <w:keepNext/>
        <w:widowControl/>
        <w:ind w:firstLine="720"/>
        <w:rPr>
          <w:rFonts w:ascii="Arial Narrow" w:hAnsi="Arial Narrow"/>
          <w:sz w:val="18"/>
          <w:szCs w:val="18"/>
        </w:rPr>
      </w:pPr>
      <w:r>
        <w:rPr>
          <w:rFonts w:ascii="Arial Narrow" w:hAnsi="Arial Narrow"/>
          <w:sz w:val="18"/>
          <w:szCs w:val="18"/>
        </w:rPr>
        <w:t>Source: Table 6 (p 9) of the sponsor’s response to EMA assessment report</w:t>
      </w:r>
    </w:p>
    <w:p w:rsidR="006048A7" w:rsidRDefault="006048A7" w:rsidP="00950DD9">
      <w:pPr>
        <w:widowControl/>
        <w:rPr>
          <w:szCs w:val="22"/>
        </w:rPr>
      </w:pPr>
    </w:p>
    <w:p w:rsidR="008A2650" w:rsidRPr="002B33AE" w:rsidRDefault="008A2650" w:rsidP="00950DD9">
      <w:pPr>
        <w:pStyle w:val="ListParagraph"/>
        <w:widowControl/>
        <w:numPr>
          <w:ilvl w:val="1"/>
          <w:numId w:val="5"/>
        </w:numPr>
        <w:rPr>
          <w:szCs w:val="22"/>
        </w:rPr>
      </w:pPr>
      <w:r w:rsidRPr="002B33AE">
        <w:rPr>
          <w:szCs w:val="22"/>
        </w:rPr>
        <w:t>There was a potential interaction between treatment effect and underlying risk of fracture</w:t>
      </w:r>
      <w:r w:rsidR="004A0942" w:rsidRPr="002B33AE">
        <w:rPr>
          <w:szCs w:val="22"/>
        </w:rPr>
        <w:t>,</w:t>
      </w:r>
      <w:r w:rsidRPr="002B33AE">
        <w:rPr>
          <w:szCs w:val="22"/>
        </w:rPr>
        <w:t xml:space="preserve"> with smaller treatment effects observed in patients with higher risk. </w:t>
      </w:r>
      <w:r w:rsidR="003C72AE" w:rsidRPr="002B33AE">
        <w:rPr>
          <w:szCs w:val="22"/>
        </w:rPr>
        <w:t>The i</w:t>
      </w:r>
      <w:r w:rsidRPr="002B33AE">
        <w:rPr>
          <w:szCs w:val="22"/>
        </w:rPr>
        <w:t>nteraction test was statistically significant in severe patients using the WHO definition (p = 0.033) but not the FRAX definition (p = 0.076).</w:t>
      </w:r>
    </w:p>
    <w:p w:rsidR="006048A7" w:rsidRDefault="006048A7" w:rsidP="00950DD9">
      <w:pPr>
        <w:widowControl/>
        <w:rPr>
          <w:szCs w:val="22"/>
        </w:rPr>
      </w:pPr>
    </w:p>
    <w:p w:rsidR="008679C8" w:rsidRPr="00B50DB8" w:rsidRDefault="007B246F" w:rsidP="00950DD9">
      <w:pPr>
        <w:pStyle w:val="ListParagraph"/>
        <w:widowControl/>
        <w:numPr>
          <w:ilvl w:val="1"/>
          <w:numId w:val="5"/>
        </w:numPr>
        <w:rPr>
          <w:szCs w:val="22"/>
        </w:rPr>
      </w:pPr>
      <w:r>
        <w:rPr>
          <w:szCs w:val="22"/>
        </w:rPr>
        <w:t>The results of the i</w:t>
      </w:r>
      <w:r w:rsidR="008679C8">
        <w:rPr>
          <w:szCs w:val="22"/>
        </w:rPr>
        <w:t>ndirect comparison of strontium ranelate vs. denosumab</w:t>
      </w:r>
      <w:r>
        <w:rPr>
          <w:szCs w:val="22"/>
        </w:rPr>
        <w:t xml:space="preserve"> are presented in the following table</w:t>
      </w:r>
      <w:r w:rsidR="008679C8">
        <w:rPr>
          <w:szCs w:val="22"/>
        </w:rPr>
        <w:t>.</w:t>
      </w:r>
    </w:p>
    <w:p w:rsidR="008679C8" w:rsidRDefault="008679C8" w:rsidP="00950DD9">
      <w:pPr>
        <w:widowControl/>
        <w:rPr>
          <w:szCs w:val="22"/>
        </w:rPr>
      </w:pPr>
    </w:p>
    <w:p w:rsidR="006B3C84" w:rsidRPr="00781149" w:rsidRDefault="006B3C84" w:rsidP="00950DD9">
      <w:pPr>
        <w:keepNext/>
        <w:widowControl/>
        <w:ind w:left="720"/>
        <w:rPr>
          <w:rFonts w:ascii="Arial Narrow" w:hAnsi="Arial Narrow"/>
          <w:b/>
          <w:sz w:val="20"/>
        </w:rPr>
      </w:pPr>
      <w:r w:rsidRPr="00781149">
        <w:rPr>
          <w:rFonts w:ascii="Arial Narrow" w:hAnsi="Arial Narrow"/>
          <w:b/>
          <w:sz w:val="20"/>
        </w:rPr>
        <w:t>Tabl</w:t>
      </w:r>
      <w:r w:rsidR="008A2650">
        <w:rPr>
          <w:rFonts w:ascii="Arial Narrow" w:hAnsi="Arial Narrow"/>
          <w:b/>
          <w:sz w:val="20"/>
        </w:rPr>
        <w:t>e 6</w:t>
      </w:r>
      <w:r>
        <w:rPr>
          <w:rFonts w:ascii="Arial Narrow" w:hAnsi="Arial Narrow"/>
          <w:b/>
          <w:sz w:val="20"/>
        </w:rPr>
        <w:t>: Indirect comparison of fracture outcomes with strontium ranelate</w:t>
      </w:r>
      <w:r w:rsidRPr="00781149">
        <w:rPr>
          <w:rFonts w:ascii="Arial Narrow" w:hAnsi="Arial Narrow"/>
          <w:b/>
          <w:sz w:val="20"/>
        </w:rPr>
        <w:t xml:space="preserve"> vs. </w:t>
      </w:r>
      <w:r>
        <w:rPr>
          <w:rFonts w:ascii="Arial Narrow" w:hAnsi="Arial Narrow"/>
          <w:b/>
          <w:sz w:val="20"/>
        </w:rPr>
        <w:t>denosumab using a placebo</w:t>
      </w:r>
      <w:r w:rsidRPr="00781149">
        <w:rPr>
          <w:rFonts w:ascii="Arial Narrow" w:hAnsi="Arial Narrow"/>
          <w:b/>
          <w:sz w:val="20"/>
        </w:rPr>
        <w:t xml:space="preserve"> common comparator </w:t>
      </w:r>
    </w:p>
    <w:tbl>
      <w:tblPr>
        <w:tblW w:w="4514" w:type="pct"/>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341"/>
        <w:gridCol w:w="1342"/>
        <w:gridCol w:w="1342"/>
        <w:gridCol w:w="2974"/>
      </w:tblGrid>
      <w:tr w:rsidR="006B3C84" w:rsidRPr="00781149" w:rsidTr="00A1595C">
        <w:trPr>
          <w:trHeight w:val="53"/>
          <w:tblHeader/>
        </w:trPr>
        <w:tc>
          <w:tcPr>
            <w:tcW w:w="1344" w:type="dxa"/>
            <w:tcBorders>
              <w:left w:val="single" w:sz="4" w:space="0" w:color="auto"/>
              <w:bottom w:val="single" w:sz="4" w:space="0" w:color="auto"/>
              <w:right w:val="single" w:sz="4" w:space="0" w:color="auto"/>
            </w:tcBorders>
            <w:tcMar>
              <w:right w:w="28" w:type="dxa"/>
            </w:tcMar>
            <w:vAlign w:val="center"/>
          </w:tcPr>
          <w:p w:rsidR="006B3C84" w:rsidRPr="00781149" w:rsidRDefault="006B3C84" w:rsidP="00950DD9">
            <w:pPr>
              <w:pStyle w:val="TableHeading"/>
              <w:jc w:val="center"/>
              <w:rPr>
                <w:rFonts w:cs="Arial"/>
              </w:rPr>
            </w:pPr>
            <w:r w:rsidRPr="00781149">
              <w:rPr>
                <w:rFonts w:cs="Arial"/>
              </w:rPr>
              <w:t>Trial</w:t>
            </w:r>
          </w:p>
        </w:tc>
        <w:tc>
          <w:tcPr>
            <w:tcW w:w="1341" w:type="dxa"/>
            <w:tcBorders>
              <w:top w:val="single" w:sz="4" w:space="0" w:color="auto"/>
              <w:left w:val="nil"/>
              <w:right w:val="single" w:sz="4" w:space="0" w:color="auto"/>
            </w:tcBorders>
            <w:vAlign w:val="center"/>
          </w:tcPr>
          <w:p w:rsidR="006B3C84" w:rsidRPr="00781149" w:rsidRDefault="006B3C84" w:rsidP="00950DD9">
            <w:pPr>
              <w:pStyle w:val="TableHeading"/>
              <w:jc w:val="center"/>
              <w:rPr>
                <w:rFonts w:cs="Arial"/>
              </w:rPr>
            </w:pPr>
            <w:r>
              <w:rPr>
                <w:rFonts w:cs="Arial"/>
              </w:rPr>
              <w:t>Strontium ranelate</w:t>
            </w:r>
          </w:p>
        </w:tc>
        <w:tc>
          <w:tcPr>
            <w:tcW w:w="1342" w:type="dxa"/>
            <w:tcBorders>
              <w:top w:val="single" w:sz="4" w:space="0" w:color="auto"/>
              <w:left w:val="single" w:sz="4" w:space="0" w:color="auto"/>
              <w:right w:val="single" w:sz="4" w:space="0" w:color="auto"/>
            </w:tcBorders>
            <w:vAlign w:val="center"/>
          </w:tcPr>
          <w:p w:rsidR="006B3C84" w:rsidRPr="00781149" w:rsidRDefault="006B3C84" w:rsidP="00950DD9">
            <w:pPr>
              <w:pStyle w:val="TableHeading"/>
              <w:jc w:val="center"/>
              <w:rPr>
                <w:rFonts w:cs="Arial"/>
              </w:rPr>
            </w:pPr>
            <w:r>
              <w:rPr>
                <w:rFonts w:cs="Arial"/>
              </w:rPr>
              <w:t>Placebo</w:t>
            </w:r>
          </w:p>
        </w:tc>
        <w:tc>
          <w:tcPr>
            <w:tcW w:w="1342" w:type="dxa"/>
            <w:tcBorders>
              <w:top w:val="single" w:sz="4" w:space="0" w:color="auto"/>
              <w:left w:val="single" w:sz="4" w:space="0" w:color="auto"/>
              <w:right w:val="double" w:sz="4" w:space="0" w:color="auto"/>
            </w:tcBorders>
            <w:vAlign w:val="center"/>
          </w:tcPr>
          <w:p w:rsidR="006B3C84" w:rsidRPr="00781149" w:rsidRDefault="006B3C84" w:rsidP="00950DD9">
            <w:pPr>
              <w:pStyle w:val="TableHeading"/>
              <w:jc w:val="center"/>
              <w:rPr>
                <w:rFonts w:cs="Arial"/>
              </w:rPr>
            </w:pPr>
            <w:r>
              <w:rPr>
                <w:rFonts w:cs="Arial"/>
              </w:rPr>
              <w:t>Denosumab</w:t>
            </w:r>
          </w:p>
        </w:tc>
        <w:tc>
          <w:tcPr>
            <w:tcW w:w="2974" w:type="dxa"/>
            <w:tcBorders>
              <w:left w:val="double" w:sz="4" w:space="0" w:color="auto"/>
              <w:right w:val="single" w:sz="4" w:space="0" w:color="auto"/>
            </w:tcBorders>
            <w:vAlign w:val="center"/>
          </w:tcPr>
          <w:p w:rsidR="006B3C84" w:rsidRPr="00781149" w:rsidRDefault="006B3C84" w:rsidP="00950DD9">
            <w:pPr>
              <w:pStyle w:val="TableHeading"/>
              <w:jc w:val="center"/>
              <w:rPr>
                <w:rFonts w:cs="Arial"/>
              </w:rPr>
            </w:pPr>
            <w:r>
              <w:rPr>
                <w:rFonts w:cs="Arial"/>
              </w:rPr>
              <w:t>Relative risk</w:t>
            </w:r>
          </w:p>
          <w:p w:rsidR="006B3C84" w:rsidRPr="00781149" w:rsidRDefault="006B3C84" w:rsidP="00950DD9">
            <w:pPr>
              <w:pStyle w:val="TableHeading"/>
              <w:jc w:val="center"/>
              <w:rPr>
                <w:rFonts w:cs="Arial"/>
              </w:rPr>
            </w:pPr>
            <w:r w:rsidRPr="00781149">
              <w:rPr>
                <w:rFonts w:cs="Arial"/>
              </w:rPr>
              <w:t>(95% CI)</w:t>
            </w:r>
          </w:p>
        </w:tc>
      </w:tr>
      <w:tr w:rsidR="006B3C84" w:rsidRPr="00781149" w:rsidTr="00A1595C">
        <w:trPr>
          <w:trHeight w:val="70"/>
        </w:trPr>
        <w:tc>
          <w:tcPr>
            <w:tcW w:w="8343" w:type="dxa"/>
            <w:gridSpan w:val="5"/>
            <w:tcBorders>
              <w:top w:val="single" w:sz="4" w:space="0" w:color="auto"/>
              <w:left w:val="single" w:sz="4" w:space="0" w:color="auto"/>
              <w:bottom w:val="single" w:sz="4" w:space="0" w:color="auto"/>
              <w:right w:val="single" w:sz="4" w:space="0" w:color="auto"/>
            </w:tcBorders>
            <w:tcMar>
              <w:right w:w="28" w:type="dxa"/>
            </w:tcMar>
            <w:vAlign w:val="center"/>
          </w:tcPr>
          <w:p w:rsidR="006B3C84" w:rsidRPr="00E86571" w:rsidRDefault="006B3C84" w:rsidP="00950DD9">
            <w:pPr>
              <w:pStyle w:val="TableText0"/>
              <w:spacing w:before="0" w:after="0"/>
              <w:rPr>
                <w:rFonts w:cs="Arial"/>
                <w:b/>
              </w:rPr>
            </w:pPr>
            <w:r>
              <w:rPr>
                <w:rFonts w:cs="Arial"/>
                <w:b/>
              </w:rPr>
              <w:t>Morphometric vertebral fractures, n/N (%)</w:t>
            </w:r>
          </w:p>
        </w:tc>
      </w:tr>
      <w:tr w:rsidR="006B3C84" w:rsidRPr="00781149" w:rsidTr="00A1595C">
        <w:tc>
          <w:tcPr>
            <w:tcW w:w="1344" w:type="dxa"/>
            <w:tcBorders>
              <w:top w:val="single" w:sz="4" w:space="0" w:color="auto"/>
              <w:left w:val="single" w:sz="4" w:space="0" w:color="auto"/>
              <w:bottom w:val="single" w:sz="4" w:space="0" w:color="auto"/>
              <w:right w:val="single" w:sz="4" w:space="0" w:color="auto"/>
            </w:tcBorders>
            <w:tcMar>
              <w:right w:w="28" w:type="dxa"/>
            </w:tcMar>
            <w:vAlign w:val="center"/>
          </w:tcPr>
          <w:p w:rsidR="006B3C84" w:rsidRPr="00781149" w:rsidRDefault="006B3C84" w:rsidP="00950DD9">
            <w:pPr>
              <w:pStyle w:val="TableText0"/>
              <w:spacing w:before="0" w:after="0"/>
              <w:rPr>
                <w:rFonts w:cs="Arial"/>
              </w:rPr>
            </w:pPr>
            <w:r>
              <w:rPr>
                <w:rFonts w:cs="Arial"/>
              </w:rPr>
              <w:t>SOTI/TROPOS</w:t>
            </w:r>
            <w:r w:rsidR="00A1595C">
              <w:rPr>
                <w:rFonts w:cs="Arial"/>
              </w:rPr>
              <w:t xml:space="preserve"> </w:t>
            </w:r>
          </w:p>
          <w:p w:rsidR="006B3C84" w:rsidRPr="00781149" w:rsidRDefault="006B3C84" w:rsidP="00950DD9">
            <w:pPr>
              <w:pStyle w:val="TableText0"/>
              <w:spacing w:before="0" w:after="0"/>
              <w:rPr>
                <w:rFonts w:cs="Arial"/>
              </w:rPr>
            </w:pPr>
            <w:r>
              <w:rPr>
                <w:rFonts w:cs="Arial"/>
              </w:rPr>
              <w:t>(N = 5,082</w:t>
            </w:r>
            <w:r w:rsidRPr="00781149">
              <w:rPr>
                <w:rFonts w:cs="Arial"/>
              </w:rPr>
              <w:t>)</w:t>
            </w:r>
          </w:p>
        </w:tc>
        <w:tc>
          <w:tcPr>
            <w:tcW w:w="1341" w:type="dxa"/>
            <w:tcBorders>
              <w:top w:val="single" w:sz="4" w:space="0" w:color="auto"/>
              <w:left w:val="single" w:sz="4" w:space="0" w:color="auto"/>
              <w:bottom w:val="single" w:sz="4" w:space="0" w:color="auto"/>
              <w:right w:val="single" w:sz="4" w:space="0" w:color="auto"/>
            </w:tcBorders>
            <w:vAlign w:val="center"/>
          </w:tcPr>
          <w:p w:rsidR="006B3C84" w:rsidRPr="00781149" w:rsidRDefault="006B3C84" w:rsidP="00950DD9">
            <w:pPr>
              <w:pStyle w:val="TableText0"/>
              <w:spacing w:before="0" w:after="0"/>
              <w:jc w:val="center"/>
              <w:rPr>
                <w:rFonts w:cs="Arial"/>
              </w:rPr>
            </w:pPr>
            <w:r>
              <w:t>339/2536 (13.4%)</w:t>
            </w:r>
          </w:p>
        </w:tc>
        <w:tc>
          <w:tcPr>
            <w:tcW w:w="1342" w:type="dxa"/>
            <w:tcBorders>
              <w:top w:val="single" w:sz="4" w:space="0" w:color="auto"/>
              <w:left w:val="single" w:sz="4" w:space="0" w:color="auto"/>
              <w:bottom w:val="single" w:sz="4" w:space="0" w:color="auto"/>
              <w:right w:val="single" w:sz="4" w:space="0" w:color="auto"/>
            </w:tcBorders>
            <w:vAlign w:val="center"/>
          </w:tcPr>
          <w:p w:rsidR="006B3C84" w:rsidRPr="00781149" w:rsidRDefault="006B3C84" w:rsidP="00950DD9">
            <w:pPr>
              <w:pStyle w:val="TableText0"/>
              <w:spacing w:before="0" w:after="0"/>
              <w:jc w:val="center"/>
              <w:rPr>
                <w:rFonts w:cs="Arial"/>
              </w:rPr>
            </w:pPr>
            <w:r>
              <w:t>543/2546 (21.3%)</w:t>
            </w:r>
          </w:p>
        </w:tc>
        <w:tc>
          <w:tcPr>
            <w:tcW w:w="1342" w:type="dxa"/>
            <w:tcBorders>
              <w:top w:val="single" w:sz="4" w:space="0" w:color="auto"/>
              <w:left w:val="single" w:sz="4" w:space="0" w:color="auto"/>
              <w:bottom w:val="single" w:sz="4" w:space="0" w:color="auto"/>
              <w:right w:val="double" w:sz="4" w:space="0" w:color="auto"/>
            </w:tcBorders>
            <w:vAlign w:val="center"/>
          </w:tcPr>
          <w:p w:rsidR="006B3C84" w:rsidRPr="00781149" w:rsidRDefault="006B3C84" w:rsidP="00950DD9">
            <w:pPr>
              <w:pStyle w:val="TableText0"/>
              <w:spacing w:before="0" w:after="0"/>
              <w:jc w:val="center"/>
              <w:rPr>
                <w:rFonts w:cs="Arial"/>
              </w:rPr>
            </w:pPr>
            <w:r w:rsidRPr="00781149">
              <w:rPr>
                <w:rFonts w:cs="Arial"/>
              </w:rPr>
              <w:t>-</w:t>
            </w:r>
          </w:p>
        </w:tc>
        <w:tc>
          <w:tcPr>
            <w:tcW w:w="2974" w:type="dxa"/>
            <w:tcBorders>
              <w:top w:val="single" w:sz="4" w:space="0" w:color="auto"/>
              <w:left w:val="double" w:sz="4" w:space="0" w:color="auto"/>
              <w:bottom w:val="single" w:sz="4" w:space="0" w:color="auto"/>
              <w:right w:val="single" w:sz="4" w:space="0" w:color="auto"/>
            </w:tcBorders>
            <w:vAlign w:val="center"/>
          </w:tcPr>
          <w:p w:rsidR="006B3C84" w:rsidRPr="00770FBC" w:rsidRDefault="006B3C84" w:rsidP="00950DD9">
            <w:pPr>
              <w:pStyle w:val="TableText0"/>
              <w:jc w:val="center"/>
              <w:rPr>
                <w:rFonts w:cs="Arial"/>
                <w:b/>
              </w:rPr>
            </w:pPr>
            <w:r w:rsidRPr="00770FBC">
              <w:rPr>
                <w:rFonts w:cs="Arial"/>
                <w:b/>
              </w:rPr>
              <w:t>0.63 (0.56, 0.71)</w:t>
            </w:r>
          </w:p>
        </w:tc>
      </w:tr>
      <w:tr w:rsidR="006B3C84" w:rsidRPr="00781149" w:rsidTr="00A1595C">
        <w:tc>
          <w:tcPr>
            <w:tcW w:w="1344" w:type="dxa"/>
            <w:tcBorders>
              <w:top w:val="single" w:sz="4" w:space="0" w:color="auto"/>
              <w:left w:val="single" w:sz="4" w:space="0" w:color="auto"/>
              <w:bottom w:val="single" w:sz="4" w:space="0" w:color="auto"/>
              <w:right w:val="single" w:sz="4" w:space="0" w:color="auto"/>
            </w:tcBorders>
            <w:tcMar>
              <w:right w:w="28" w:type="dxa"/>
            </w:tcMar>
            <w:vAlign w:val="center"/>
          </w:tcPr>
          <w:p w:rsidR="006B3C84" w:rsidRPr="00781149" w:rsidRDefault="006B3C84" w:rsidP="00950DD9">
            <w:pPr>
              <w:pStyle w:val="TableText0"/>
              <w:spacing w:before="0" w:after="0"/>
              <w:rPr>
                <w:rFonts w:cs="Arial"/>
              </w:rPr>
            </w:pPr>
            <w:r>
              <w:rPr>
                <w:rFonts w:cs="Arial"/>
              </w:rPr>
              <w:t>FREEDOM</w:t>
            </w:r>
            <w:r w:rsidR="00A1595C">
              <w:rPr>
                <w:rFonts w:cs="Arial"/>
              </w:rPr>
              <w:t xml:space="preserve"> </w:t>
            </w:r>
          </w:p>
          <w:p w:rsidR="006B3C84" w:rsidRPr="00781149" w:rsidRDefault="006B3C84" w:rsidP="00950DD9">
            <w:pPr>
              <w:pStyle w:val="TableText0"/>
              <w:spacing w:before="0" w:after="0"/>
              <w:rPr>
                <w:rFonts w:cs="Arial"/>
              </w:rPr>
            </w:pPr>
            <w:r>
              <w:rPr>
                <w:rFonts w:cs="Arial"/>
              </w:rPr>
              <w:t>(N = 7,393</w:t>
            </w:r>
            <w:r w:rsidRPr="00781149">
              <w:rPr>
                <w:rFonts w:cs="Arial"/>
              </w:rPr>
              <w:t>)</w:t>
            </w:r>
          </w:p>
        </w:tc>
        <w:tc>
          <w:tcPr>
            <w:tcW w:w="1341" w:type="dxa"/>
            <w:tcBorders>
              <w:top w:val="single" w:sz="4" w:space="0" w:color="auto"/>
              <w:left w:val="single" w:sz="4" w:space="0" w:color="auto"/>
              <w:bottom w:val="single" w:sz="4" w:space="0" w:color="auto"/>
              <w:right w:val="single" w:sz="4" w:space="0" w:color="auto"/>
            </w:tcBorders>
            <w:vAlign w:val="center"/>
          </w:tcPr>
          <w:p w:rsidR="006B3C84" w:rsidRPr="00781149" w:rsidRDefault="006B3C84" w:rsidP="00950DD9">
            <w:pPr>
              <w:pStyle w:val="TableText0"/>
              <w:spacing w:before="0" w:after="0"/>
              <w:jc w:val="center"/>
              <w:rPr>
                <w:rFonts w:cs="Arial"/>
              </w:rPr>
            </w:pPr>
            <w:r>
              <w:rPr>
                <w:rFonts w:cs="Arial"/>
              </w:rPr>
              <w:t>-</w:t>
            </w:r>
          </w:p>
        </w:tc>
        <w:tc>
          <w:tcPr>
            <w:tcW w:w="1342" w:type="dxa"/>
            <w:tcBorders>
              <w:top w:val="single" w:sz="4" w:space="0" w:color="auto"/>
              <w:left w:val="single" w:sz="4" w:space="0" w:color="auto"/>
              <w:bottom w:val="single" w:sz="4" w:space="0" w:color="auto"/>
              <w:right w:val="single" w:sz="4" w:space="0" w:color="auto"/>
            </w:tcBorders>
            <w:vAlign w:val="center"/>
          </w:tcPr>
          <w:p w:rsidR="006B3C84" w:rsidRDefault="006B3C84" w:rsidP="00950DD9">
            <w:pPr>
              <w:pStyle w:val="TableText0"/>
              <w:spacing w:before="0" w:after="0"/>
              <w:jc w:val="center"/>
              <w:rPr>
                <w:rFonts w:cs="Arial"/>
              </w:rPr>
            </w:pPr>
            <w:r>
              <w:rPr>
                <w:rFonts w:cs="Arial"/>
              </w:rPr>
              <w:t xml:space="preserve">264/3691 </w:t>
            </w:r>
          </w:p>
          <w:p w:rsidR="006B3C84" w:rsidRPr="00781149" w:rsidRDefault="006B3C84" w:rsidP="00950DD9">
            <w:pPr>
              <w:pStyle w:val="TableText0"/>
              <w:spacing w:before="0" w:after="0"/>
              <w:jc w:val="center"/>
              <w:rPr>
                <w:rFonts w:cs="Arial"/>
              </w:rPr>
            </w:pPr>
            <w:r>
              <w:rPr>
                <w:rFonts w:cs="Arial"/>
              </w:rPr>
              <w:t>(7.2%)</w:t>
            </w:r>
          </w:p>
        </w:tc>
        <w:tc>
          <w:tcPr>
            <w:tcW w:w="1342" w:type="dxa"/>
            <w:tcBorders>
              <w:top w:val="single" w:sz="4" w:space="0" w:color="auto"/>
              <w:left w:val="single" w:sz="4" w:space="0" w:color="auto"/>
              <w:bottom w:val="single" w:sz="4" w:space="0" w:color="auto"/>
              <w:right w:val="double" w:sz="4" w:space="0" w:color="auto"/>
            </w:tcBorders>
            <w:vAlign w:val="center"/>
          </w:tcPr>
          <w:p w:rsidR="006B3C84" w:rsidRDefault="006B3C84" w:rsidP="00950DD9">
            <w:pPr>
              <w:pStyle w:val="TableText0"/>
              <w:spacing w:before="0" w:after="0"/>
              <w:jc w:val="center"/>
              <w:rPr>
                <w:rFonts w:cs="Arial"/>
              </w:rPr>
            </w:pPr>
            <w:r>
              <w:rPr>
                <w:rFonts w:cs="Arial"/>
              </w:rPr>
              <w:t xml:space="preserve">86/3702 </w:t>
            </w:r>
          </w:p>
          <w:p w:rsidR="006B3C84" w:rsidRPr="00781149" w:rsidRDefault="006B3C84" w:rsidP="00950DD9">
            <w:pPr>
              <w:pStyle w:val="TableText0"/>
              <w:spacing w:before="0" w:after="0"/>
              <w:jc w:val="center"/>
              <w:rPr>
                <w:rFonts w:cs="Arial"/>
              </w:rPr>
            </w:pPr>
            <w:r>
              <w:rPr>
                <w:rFonts w:cs="Arial"/>
              </w:rPr>
              <w:t>(2.3%)</w:t>
            </w:r>
          </w:p>
        </w:tc>
        <w:tc>
          <w:tcPr>
            <w:tcW w:w="2974" w:type="dxa"/>
            <w:tcBorders>
              <w:top w:val="single" w:sz="4" w:space="0" w:color="auto"/>
              <w:left w:val="double" w:sz="4" w:space="0" w:color="auto"/>
              <w:bottom w:val="single" w:sz="4" w:space="0" w:color="auto"/>
              <w:right w:val="single" w:sz="4" w:space="0" w:color="auto"/>
            </w:tcBorders>
            <w:shd w:val="clear" w:color="auto" w:fill="FFFFFF"/>
            <w:vAlign w:val="center"/>
          </w:tcPr>
          <w:p w:rsidR="006B3C84" w:rsidRPr="00770FBC" w:rsidRDefault="006B3C84" w:rsidP="00950DD9">
            <w:pPr>
              <w:pStyle w:val="TableText0"/>
              <w:spacing w:before="0" w:after="0"/>
              <w:jc w:val="center"/>
              <w:rPr>
                <w:rFonts w:cs="Arial"/>
                <w:b/>
              </w:rPr>
            </w:pPr>
            <w:r w:rsidRPr="00770FBC">
              <w:rPr>
                <w:rFonts w:cs="Arial"/>
                <w:b/>
              </w:rPr>
              <w:t>0.32 (0.26; 0.41)</w:t>
            </w:r>
          </w:p>
        </w:tc>
      </w:tr>
      <w:tr w:rsidR="006B3C84" w:rsidRPr="00781149" w:rsidTr="00A1595C">
        <w:trPr>
          <w:trHeight w:val="52"/>
        </w:trPr>
        <w:tc>
          <w:tcPr>
            <w:tcW w:w="5369" w:type="dxa"/>
            <w:gridSpan w:val="4"/>
            <w:tcBorders>
              <w:top w:val="single" w:sz="4" w:space="0" w:color="auto"/>
              <w:left w:val="single" w:sz="4" w:space="0" w:color="auto"/>
              <w:bottom w:val="single" w:sz="4" w:space="0" w:color="auto"/>
              <w:right w:val="double" w:sz="4" w:space="0" w:color="auto"/>
            </w:tcBorders>
            <w:tcMar>
              <w:right w:w="28" w:type="dxa"/>
            </w:tcMar>
            <w:vAlign w:val="center"/>
          </w:tcPr>
          <w:p w:rsidR="006B3C84" w:rsidRPr="00203BE4" w:rsidRDefault="006B3C84" w:rsidP="00950DD9">
            <w:pPr>
              <w:pStyle w:val="TableText0"/>
              <w:spacing w:before="0" w:after="0"/>
              <w:jc w:val="right"/>
              <w:rPr>
                <w:rFonts w:cs="Arial"/>
              </w:rPr>
            </w:pPr>
            <w:r w:rsidRPr="00203BE4">
              <w:rPr>
                <w:rFonts w:cs="Arial"/>
              </w:rPr>
              <w:t xml:space="preserve">Indirect estimate of effect </w:t>
            </w:r>
          </w:p>
          <w:p w:rsidR="006B3C84" w:rsidRPr="00203BE4" w:rsidRDefault="006B3C84" w:rsidP="00950DD9">
            <w:pPr>
              <w:pStyle w:val="TableText0"/>
              <w:spacing w:before="0" w:after="0"/>
              <w:jc w:val="right"/>
              <w:rPr>
                <w:rFonts w:cs="Arial"/>
              </w:rPr>
            </w:pPr>
            <w:r w:rsidRPr="00203BE4">
              <w:rPr>
                <w:rFonts w:cs="Arial"/>
              </w:rPr>
              <w:t>(resu</w:t>
            </w:r>
            <w:r>
              <w:rPr>
                <w:rFonts w:cs="Arial"/>
              </w:rPr>
              <w:t>lts &lt; 1 favour strontium ranelate</w:t>
            </w:r>
            <w:r w:rsidRPr="00203BE4">
              <w:rPr>
                <w:rFonts w:cs="Arial"/>
              </w:rPr>
              <w:t>)</w:t>
            </w:r>
          </w:p>
        </w:tc>
        <w:tc>
          <w:tcPr>
            <w:tcW w:w="2974" w:type="dxa"/>
            <w:tcBorders>
              <w:top w:val="single" w:sz="4" w:space="0" w:color="auto"/>
              <w:left w:val="double" w:sz="4" w:space="0" w:color="auto"/>
              <w:bottom w:val="single" w:sz="4" w:space="0" w:color="auto"/>
              <w:right w:val="single" w:sz="4" w:space="0" w:color="auto"/>
            </w:tcBorders>
            <w:shd w:val="clear" w:color="auto" w:fill="FFFFFF"/>
            <w:vAlign w:val="center"/>
          </w:tcPr>
          <w:p w:rsidR="006B3C84" w:rsidRPr="000A7191" w:rsidRDefault="006B3C84" w:rsidP="00950DD9">
            <w:pPr>
              <w:pStyle w:val="TableText0"/>
              <w:spacing w:before="0" w:after="0"/>
              <w:jc w:val="center"/>
              <w:rPr>
                <w:rFonts w:cs="Arial"/>
                <w:b/>
              </w:rPr>
            </w:pPr>
            <w:r>
              <w:rPr>
                <w:rFonts w:cs="Arial"/>
                <w:b/>
              </w:rPr>
              <w:t>1.97 (1.52; 2.55)</w:t>
            </w:r>
          </w:p>
        </w:tc>
      </w:tr>
      <w:tr w:rsidR="006B3C84" w:rsidRPr="00781149" w:rsidTr="00A1595C">
        <w:trPr>
          <w:trHeight w:val="70"/>
        </w:trPr>
        <w:tc>
          <w:tcPr>
            <w:tcW w:w="8343" w:type="dxa"/>
            <w:gridSpan w:val="5"/>
            <w:tcBorders>
              <w:top w:val="single" w:sz="4" w:space="0" w:color="auto"/>
              <w:left w:val="single" w:sz="4" w:space="0" w:color="auto"/>
              <w:bottom w:val="single" w:sz="4" w:space="0" w:color="auto"/>
              <w:right w:val="single" w:sz="4" w:space="0" w:color="auto"/>
            </w:tcBorders>
            <w:tcMar>
              <w:right w:w="28" w:type="dxa"/>
            </w:tcMar>
            <w:vAlign w:val="center"/>
          </w:tcPr>
          <w:p w:rsidR="006B3C84" w:rsidRPr="00265939" w:rsidRDefault="006B3C84" w:rsidP="00950DD9">
            <w:pPr>
              <w:pStyle w:val="TableText0"/>
              <w:spacing w:before="0" w:after="0"/>
              <w:rPr>
                <w:rFonts w:cs="Arial"/>
                <w:b/>
                <w:vertAlign w:val="superscript"/>
              </w:rPr>
            </w:pPr>
            <w:r>
              <w:rPr>
                <w:b/>
              </w:rPr>
              <w:t>Clinical vertebral fractures, n/N (%)</w:t>
            </w:r>
          </w:p>
        </w:tc>
      </w:tr>
      <w:tr w:rsidR="006B3C84" w:rsidRPr="00781149" w:rsidTr="00A1595C">
        <w:tc>
          <w:tcPr>
            <w:tcW w:w="1344" w:type="dxa"/>
            <w:tcBorders>
              <w:top w:val="single" w:sz="4" w:space="0" w:color="auto"/>
              <w:left w:val="single" w:sz="4" w:space="0" w:color="auto"/>
              <w:bottom w:val="single" w:sz="4" w:space="0" w:color="auto"/>
              <w:right w:val="single" w:sz="4" w:space="0" w:color="auto"/>
            </w:tcBorders>
            <w:tcMar>
              <w:right w:w="28" w:type="dxa"/>
            </w:tcMar>
            <w:vAlign w:val="center"/>
          </w:tcPr>
          <w:p w:rsidR="006B3C84" w:rsidRPr="00781149" w:rsidRDefault="00A1595C" w:rsidP="00950DD9">
            <w:pPr>
              <w:pStyle w:val="TableText0"/>
              <w:spacing w:before="0" w:after="0"/>
              <w:rPr>
                <w:rFonts w:cs="Arial"/>
              </w:rPr>
            </w:pPr>
            <w:r>
              <w:rPr>
                <w:rFonts w:cs="Arial"/>
              </w:rPr>
              <w:t xml:space="preserve">SOTI/TROPOS </w:t>
            </w:r>
          </w:p>
          <w:p w:rsidR="006B3C84" w:rsidRPr="00781149" w:rsidRDefault="006B3C84" w:rsidP="00950DD9">
            <w:pPr>
              <w:pStyle w:val="TableText0"/>
              <w:spacing w:before="0" w:after="0"/>
              <w:rPr>
                <w:rFonts w:cs="Arial"/>
              </w:rPr>
            </w:pPr>
            <w:r>
              <w:rPr>
                <w:rFonts w:cs="Arial"/>
              </w:rPr>
              <w:t>(N = 5,082</w:t>
            </w:r>
            <w:r w:rsidRPr="00781149">
              <w:rPr>
                <w:rFonts w:cs="Arial"/>
              </w:rPr>
              <w:t>)</w:t>
            </w:r>
          </w:p>
        </w:tc>
        <w:tc>
          <w:tcPr>
            <w:tcW w:w="1341" w:type="dxa"/>
            <w:tcBorders>
              <w:top w:val="single" w:sz="4" w:space="0" w:color="auto"/>
              <w:left w:val="single" w:sz="4" w:space="0" w:color="auto"/>
              <w:bottom w:val="single" w:sz="4" w:space="0" w:color="auto"/>
              <w:right w:val="single" w:sz="4" w:space="0" w:color="auto"/>
            </w:tcBorders>
            <w:vAlign w:val="center"/>
          </w:tcPr>
          <w:p w:rsidR="006B3C84" w:rsidRPr="00781149" w:rsidRDefault="006B3C84" w:rsidP="00950DD9">
            <w:pPr>
              <w:pStyle w:val="TableText0"/>
              <w:spacing w:before="0" w:after="0"/>
              <w:jc w:val="center"/>
              <w:rPr>
                <w:rFonts w:cs="Arial"/>
              </w:rPr>
            </w:pPr>
            <w:r>
              <w:t>194/2536 (7.6%)</w:t>
            </w:r>
          </w:p>
        </w:tc>
        <w:tc>
          <w:tcPr>
            <w:tcW w:w="1342" w:type="dxa"/>
            <w:tcBorders>
              <w:top w:val="single" w:sz="4" w:space="0" w:color="auto"/>
              <w:left w:val="single" w:sz="4" w:space="0" w:color="auto"/>
              <w:bottom w:val="single" w:sz="4" w:space="0" w:color="auto"/>
              <w:right w:val="single" w:sz="4" w:space="0" w:color="auto"/>
            </w:tcBorders>
            <w:vAlign w:val="center"/>
          </w:tcPr>
          <w:p w:rsidR="006B3C84" w:rsidRDefault="006B3C84" w:rsidP="00950DD9">
            <w:pPr>
              <w:keepNext/>
              <w:widowControl/>
              <w:jc w:val="center"/>
              <w:rPr>
                <w:rFonts w:ascii="Arial Narrow" w:hAnsi="Arial Narrow"/>
                <w:sz w:val="20"/>
              </w:rPr>
            </w:pPr>
            <w:r>
              <w:rPr>
                <w:rFonts w:ascii="Arial Narrow" w:hAnsi="Arial Narrow"/>
                <w:sz w:val="20"/>
              </w:rPr>
              <w:t>255/2546</w:t>
            </w:r>
          </w:p>
          <w:p w:rsidR="006B3C84" w:rsidRPr="00781149" w:rsidRDefault="006B3C84" w:rsidP="00950DD9">
            <w:pPr>
              <w:pStyle w:val="TableText0"/>
              <w:spacing w:before="0" w:after="0"/>
              <w:jc w:val="center"/>
              <w:rPr>
                <w:rFonts w:cs="Arial"/>
              </w:rPr>
            </w:pPr>
            <w:r>
              <w:t>(10.0%)</w:t>
            </w:r>
          </w:p>
        </w:tc>
        <w:tc>
          <w:tcPr>
            <w:tcW w:w="1342" w:type="dxa"/>
            <w:tcBorders>
              <w:top w:val="single" w:sz="4" w:space="0" w:color="auto"/>
              <w:left w:val="single" w:sz="4" w:space="0" w:color="auto"/>
              <w:bottom w:val="single" w:sz="4" w:space="0" w:color="auto"/>
              <w:right w:val="double" w:sz="4" w:space="0" w:color="auto"/>
            </w:tcBorders>
            <w:vAlign w:val="center"/>
          </w:tcPr>
          <w:p w:rsidR="006B3C84" w:rsidRPr="00781149" w:rsidRDefault="006B3C84" w:rsidP="00950DD9">
            <w:pPr>
              <w:pStyle w:val="TableText0"/>
              <w:spacing w:before="0" w:after="0"/>
              <w:jc w:val="center"/>
              <w:rPr>
                <w:rFonts w:cs="Arial"/>
              </w:rPr>
            </w:pPr>
            <w:r w:rsidRPr="00781149">
              <w:rPr>
                <w:rFonts w:cs="Arial"/>
              </w:rPr>
              <w:t>-</w:t>
            </w:r>
          </w:p>
        </w:tc>
        <w:tc>
          <w:tcPr>
            <w:tcW w:w="2974" w:type="dxa"/>
            <w:tcBorders>
              <w:top w:val="single" w:sz="4" w:space="0" w:color="auto"/>
              <w:left w:val="double" w:sz="4" w:space="0" w:color="auto"/>
              <w:bottom w:val="single" w:sz="4" w:space="0" w:color="auto"/>
              <w:right w:val="single" w:sz="4" w:space="0" w:color="auto"/>
            </w:tcBorders>
            <w:vAlign w:val="center"/>
          </w:tcPr>
          <w:p w:rsidR="006B3C84" w:rsidRPr="00781149" w:rsidRDefault="006B3C84" w:rsidP="00950DD9">
            <w:pPr>
              <w:pStyle w:val="TableText0"/>
              <w:jc w:val="center"/>
              <w:rPr>
                <w:rFonts w:cs="Arial"/>
              </w:rPr>
            </w:pPr>
            <w:r w:rsidRPr="000F4E19">
              <w:rPr>
                <w:rFonts w:cs="Arial"/>
              </w:rPr>
              <w:t>0.75 (0.56, 1.00)</w:t>
            </w:r>
          </w:p>
        </w:tc>
      </w:tr>
      <w:tr w:rsidR="006B3C84" w:rsidRPr="00781149" w:rsidTr="00A1595C">
        <w:trPr>
          <w:trHeight w:val="52"/>
        </w:trPr>
        <w:tc>
          <w:tcPr>
            <w:tcW w:w="1344" w:type="dxa"/>
            <w:tcBorders>
              <w:top w:val="single" w:sz="4" w:space="0" w:color="auto"/>
              <w:left w:val="single" w:sz="4" w:space="0" w:color="auto"/>
              <w:bottom w:val="single" w:sz="4" w:space="0" w:color="auto"/>
              <w:right w:val="single" w:sz="4" w:space="0" w:color="auto"/>
            </w:tcBorders>
            <w:tcMar>
              <w:right w:w="28" w:type="dxa"/>
            </w:tcMar>
            <w:vAlign w:val="center"/>
          </w:tcPr>
          <w:p w:rsidR="006B3C84" w:rsidRPr="00781149" w:rsidRDefault="00A1595C" w:rsidP="00950DD9">
            <w:pPr>
              <w:pStyle w:val="TableText0"/>
              <w:spacing w:before="0" w:after="0"/>
              <w:rPr>
                <w:rFonts w:cs="Arial"/>
              </w:rPr>
            </w:pPr>
            <w:r>
              <w:rPr>
                <w:rFonts w:cs="Arial"/>
              </w:rPr>
              <w:t>FREEDOM</w:t>
            </w:r>
          </w:p>
          <w:p w:rsidR="006B3C84" w:rsidRPr="00781149" w:rsidRDefault="006B3C84" w:rsidP="00950DD9">
            <w:pPr>
              <w:pStyle w:val="TableText0"/>
              <w:spacing w:before="0" w:after="0"/>
              <w:rPr>
                <w:rFonts w:cs="Arial"/>
              </w:rPr>
            </w:pPr>
            <w:r>
              <w:rPr>
                <w:rFonts w:cs="Arial"/>
              </w:rPr>
              <w:t>(N = 7,808</w:t>
            </w:r>
            <w:r w:rsidRPr="00781149">
              <w:rPr>
                <w:rFonts w:cs="Arial"/>
              </w:rPr>
              <w:t>)</w:t>
            </w:r>
          </w:p>
        </w:tc>
        <w:tc>
          <w:tcPr>
            <w:tcW w:w="1341" w:type="dxa"/>
            <w:tcBorders>
              <w:top w:val="single" w:sz="4" w:space="0" w:color="auto"/>
              <w:left w:val="single" w:sz="4" w:space="0" w:color="auto"/>
              <w:bottom w:val="single" w:sz="4" w:space="0" w:color="auto"/>
              <w:right w:val="single" w:sz="4" w:space="0" w:color="auto"/>
            </w:tcBorders>
            <w:vAlign w:val="center"/>
          </w:tcPr>
          <w:p w:rsidR="006B3C84" w:rsidRPr="00781149" w:rsidRDefault="006B3C84" w:rsidP="00950DD9">
            <w:pPr>
              <w:pStyle w:val="TableText0"/>
              <w:spacing w:before="0" w:after="0"/>
              <w:jc w:val="center"/>
              <w:rPr>
                <w:rFonts w:cs="Arial"/>
              </w:rPr>
            </w:pPr>
            <w:r>
              <w:rPr>
                <w:rFonts w:cs="Arial"/>
              </w:rPr>
              <w:t>-</w:t>
            </w:r>
          </w:p>
        </w:tc>
        <w:tc>
          <w:tcPr>
            <w:tcW w:w="1342" w:type="dxa"/>
            <w:tcBorders>
              <w:top w:val="single" w:sz="4" w:space="0" w:color="auto"/>
              <w:left w:val="single" w:sz="4" w:space="0" w:color="auto"/>
              <w:bottom w:val="single" w:sz="4" w:space="0" w:color="auto"/>
              <w:right w:val="single" w:sz="4" w:space="0" w:color="auto"/>
            </w:tcBorders>
            <w:vAlign w:val="center"/>
          </w:tcPr>
          <w:p w:rsidR="006B3C84" w:rsidRDefault="006B3C84" w:rsidP="00950DD9">
            <w:pPr>
              <w:pStyle w:val="TableText0"/>
              <w:spacing w:before="0" w:after="0"/>
              <w:jc w:val="center"/>
              <w:rPr>
                <w:rFonts w:cs="Arial"/>
              </w:rPr>
            </w:pPr>
            <w:r>
              <w:rPr>
                <w:rFonts w:cs="Arial"/>
              </w:rPr>
              <w:t xml:space="preserve">92/3906 </w:t>
            </w:r>
          </w:p>
          <w:p w:rsidR="006B3C84" w:rsidRPr="00781149" w:rsidRDefault="006B3C84" w:rsidP="00950DD9">
            <w:pPr>
              <w:pStyle w:val="TableText0"/>
              <w:spacing w:before="0" w:after="0"/>
              <w:jc w:val="center"/>
              <w:rPr>
                <w:rFonts w:cs="Arial"/>
              </w:rPr>
            </w:pPr>
            <w:r>
              <w:rPr>
                <w:rFonts w:cs="Arial"/>
              </w:rPr>
              <w:t>(2.4%)</w:t>
            </w:r>
          </w:p>
        </w:tc>
        <w:tc>
          <w:tcPr>
            <w:tcW w:w="1342" w:type="dxa"/>
            <w:tcBorders>
              <w:top w:val="single" w:sz="4" w:space="0" w:color="auto"/>
              <w:left w:val="single" w:sz="4" w:space="0" w:color="auto"/>
              <w:bottom w:val="single" w:sz="4" w:space="0" w:color="auto"/>
              <w:right w:val="double" w:sz="4" w:space="0" w:color="auto"/>
            </w:tcBorders>
            <w:vAlign w:val="center"/>
          </w:tcPr>
          <w:p w:rsidR="006B3C84" w:rsidRDefault="006B3C84" w:rsidP="00950DD9">
            <w:pPr>
              <w:pStyle w:val="TableText0"/>
              <w:spacing w:before="0" w:after="0"/>
              <w:jc w:val="center"/>
              <w:rPr>
                <w:rFonts w:cs="Arial"/>
              </w:rPr>
            </w:pPr>
            <w:r>
              <w:rPr>
                <w:rFonts w:cs="Arial"/>
              </w:rPr>
              <w:t xml:space="preserve">29/3902 </w:t>
            </w:r>
          </w:p>
          <w:p w:rsidR="006B3C84" w:rsidRPr="00781149" w:rsidRDefault="006B3C84" w:rsidP="00950DD9">
            <w:pPr>
              <w:pStyle w:val="TableText0"/>
              <w:spacing w:before="0" w:after="0"/>
              <w:jc w:val="center"/>
              <w:rPr>
                <w:rFonts w:cs="Arial"/>
              </w:rPr>
            </w:pPr>
            <w:r>
              <w:rPr>
                <w:rFonts w:cs="Arial"/>
              </w:rPr>
              <w:t>(0.7%)</w:t>
            </w:r>
          </w:p>
        </w:tc>
        <w:tc>
          <w:tcPr>
            <w:tcW w:w="2974" w:type="dxa"/>
            <w:tcBorders>
              <w:top w:val="single" w:sz="4" w:space="0" w:color="auto"/>
              <w:left w:val="double" w:sz="4" w:space="0" w:color="auto"/>
              <w:bottom w:val="single" w:sz="4" w:space="0" w:color="auto"/>
              <w:right w:val="single" w:sz="4" w:space="0" w:color="auto"/>
            </w:tcBorders>
            <w:shd w:val="clear" w:color="auto" w:fill="FFFFFF"/>
            <w:vAlign w:val="center"/>
          </w:tcPr>
          <w:p w:rsidR="006B3C84" w:rsidRPr="006419A6" w:rsidRDefault="006B3C84" w:rsidP="00950DD9">
            <w:pPr>
              <w:pStyle w:val="TableText0"/>
              <w:spacing w:before="0" w:after="0"/>
              <w:jc w:val="center"/>
              <w:rPr>
                <w:rFonts w:cs="Arial"/>
                <w:b/>
              </w:rPr>
            </w:pPr>
            <w:r>
              <w:rPr>
                <w:rFonts w:cs="Arial"/>
                <w:b/>
              </w:rPr>
              <w:t>0.32 (0.21; 0.48</w:t>
            </w:r>
            <w:r w:rsidRPr="006419A6">
              <w:rPr>
                <w:rFonts w:cs="Arial"/>
                <w:b/>
              </w:rPr>
              <w:t>)</w:t>
            </w:r>
          </w:p>
        </w:tc>
      </w:tr>
      <w:tr w:rsidR="006B3C84" w:rsidRPr="00781149" w:rsidTr="00A1595C">
        <w:tc>
          <w:tcPr>
            <w:tcW w:w="5369" w:type="dxa"/>
            <w:gridSpan w:val="4"/>
            <w:tcBorders>
              <w:top w:val="single" w:sz="4" w:space="0" w:color="auto"/>
              <w:left w:val="single" w:sz="4" w:space="0" w:color="auto"/>
              <w:bottom w:val="single" w:sz="4" w:space="0" w:color="auto"/>
              <w:right w:val="double" w:sz="4" w:space="0" w:color="auto"/>
            </w:tcBorders>
            <w:tcMar>
              <w:right w:w="28" w:type="dxa"/>
            </w:tcMar>
            <w:vAlign w:val="center"/>
          </w:tcPr>
          <w:p w:rsidR="006B3C84" w:rsidRPr="00203BE4" w:rsidRDefault="006B3C84" w:rsidP="00950DD9">
            <w:pPr>
              <w:pStyle w:val="TableText0"/>
              <w:spacing w:before="0" w:after="0"/>
              <w:jc w:val="right"/>
              <w:rPr>
                <w:rFonts w:cs="Arial"/>
              </w:rPr>
            </w:pPr>
            <w:r w:rsidRPr="00203BE4">
              <w:rPr>
                <w:rFonts w:cs="Arial"/>
              </w:rPr>
              <w:t xml:space="preserve">Indirect estimate of effect </w:t>
            </w:r>
          </w:p>
          <w:p w:rsidR="006B3C84" w:rsidRPr="00203BE4" w:rsidRDefault="006B3C84" w:rsidP="00950DD9">
            <w:pPr>
              <w:pStyle w:val="TableText0"/>
              <w:spacing w:before="0" w:after="0"/>
              <w:jc w:val="right"/>
              <w:rPr>
                <w:rFonts w:cs="Arial"/>
              </w:rPr>
            </w:pPr>
            <w:r>
              <w:rPr>
                <w:rFonts w:cs="Arial"/>
              </w:rPr>
              <w:t>(results &lt; 1 favour strontium ranelate</w:t>
            </w:r>
            <w:r w:rsidRPr="00203BE4">
              <w:rPr>
                <w:rFonts w:cs="Arial"/>
              </w:rPr>
              <w:t>)</w:t>
            </w:r>
          </w:p>
        </w:tc>
        <w:tc>
          <w:tcPr>
            <w:tcW w:w="2974" w:type="dxa"/>
            <w:tcBorders>
              <w:top w:val="single" w:sz="4" w:space="0" w:color="auto"/>
              <w:left w:val="double" w:sz="4" w:space="0" w:color="auto"/>
              <w:bottom w:val="single" w:sz="4" w:space="0" w:color="auto"/>
              <w:right w:val="single" w:sz="4" w:space="0" w:color="auto"/>
            </w:tcBorders>
            <w:shd w:val="clear" w:color="auto" w:fill="FFFFFF"/>
            <w:vAlign w:val="center"/>
          </w:tcPr>
          <w:p w:rsidR="006B3C84" w:rsidRPr="00E33FD2" w:rsidRDefault="006B3C84" w:rsidP="00950DD9">
            <w:pPr>
              <w:pStyle w:val="TableText0"/>
              <w:spacing w:before="0" w:after="0"/>
              <w:jc w:val="center"/>
              <w:rPr>
                <w:rFonts w:cs="Arial"/>
                <w:b/>
              </w:rPr>
            </w:pPr>
            <w:r w:rsidRPr="00E33FD2">
              <w:rPr>
                <w:rFonts w:cs="Arial"/>
                <w:b/>
              </w:rPr>
              <w:t>2.34 (1.42, 3.88)</w:t>
            </w:r>
          </w:p>
        </w:tc>
      </w:tr>
      <w:tr w:rsidR="006B3C84" w:rsidRPr="00781149" w:rsidTr="00A1595C">
        <w:trPr>
          <w:trHeight w:val="70"/>
        </w:trPr>
        <w:tc>
          <w:tcPr>
            <w:tcW w:w="8343" w:type="dxa"/>
            <w:gridSpan w:val="5"/>
            <w:tcBorders>
              <w:top w:val="single" w:sz="4" w:space="0" w:color="auto"/>
              <w:left w:val="single" w:sz="4" w:space="0" w:color="auto"/>
              <w:bottom w:val="single" w:sz="4" w:space="0" w:color="auto"/>
              <w:right w:val="single" w:sz="4" w:space="0" w:color="auto"/>
            </w:tcBorders>
            <w:tcMar>
              <w:right w:w="28" w:type="dxa"/>
            </w:tcMar>
            <w:vAlign w:val="center"/>
          </w:tcPr>
          <w:p w:rsidR="006B3C84" w:rsidRPr="002F38EA" w:rsidRDefault="006B3C84" w:rsidP="00950DD9">
            <w:pPr>
              <w:pStyle w:val="TableText0"/>
              <w:spacing w:before="0" w:after="0"/>
              <w:rPr>
                <w:rFonts w:cs="Arial"/>
                <w:b/>
                <w:vertAlign w:val="superscript"/>
              </w:rPr>
            </w:pPr>
            <w:r>
              <w:rPr>
                <w:b/>
              </w:rPr>
              <w:t>Non-vertebral fractures, n/N (%)</w:t>
            </w:r>
          </w:p>
        </w:tc>
      </w:tr>
      <w:tr w:rsidR="006B3C84" w:rsidRPr="00781149" w:rsidTr="00A1595C">
        <w:tc>
          <w:tcPr>
            <w:tcW w:w="1344" w:type="dxa"/>
            <w:tcBorders>
              <w:top w:val="single" w:sz="4" w:space="0" w:color="auto"/>
              <w:left w:val="single" w:sz="4" w:space="0" w:color="auto"/>
              <w:bottom w:val="single" w:sz="4" w:space="0" w:color="auto"/>
              <w:right w:val="single" w:sz="4" w:space="0" w:color="auto"/>
            </w:tcBorders>
            <w:tcMar>
              <w:right w:w="28" w:type="dxa"/>
            </w:tcMar>
            <w:vAlign w:val="center"/>
          </w:tcPr>
          <w:p w:rsidR="006B3C84" w:rsidRPr="00781149" w:rsidRDefault="00A1595C" w:rsidP="00950DD9">
            <w:pPr>
              <w:pStyle w:val="TableText0"/>
              <w:spacing w:before="0" w:after="0"/>
              <w:rPr>
                <w:rFonts w:cs="Arial"/>
              </w:rPr>
            </w:pPr>
            <w:r>
              <w:rPr>
                <w:rFonts w:cs="Arial"/>
              </w:rPr>
              <w:t xml:space="preserve">SOTI/TROPOS </w:t>
            </w:r>
          </w:p>
          <w:p w:rsidR="006B3C84" w:rsidRPr="00781149" w:rsidRDefault="006B3C84" w:rsidP="00950DD9">
            <w:pPr>
              <w:pStyle w:val="TableText0"/>
              <w:spacing w:before="0" w:after="0"/>
              <w:rPr>
                <w:rFonts w:cs="Arial"/>
              </w:rPr>
            </w:pPr>
            <w:r>
              <w:rPr>
                <w:rFonts w:cs="Arial"/>
              </w:rPr>
              <w:t>(N = 6,374</w:t>
            </w:r>
            <w:r w:rsidRPr="00781149">
              <w:rPr>
                <w:rFonts w:cs="Arial"/>
              </w:rPr>
              <w:t>)</w:t>
            </w:r>
          </w:p>
        </w:tc>
        <w:tc>
          <w:tcPr>
            <w:tcW w:w="1341" w:type="dxa"/>
            <w:tcBorders>
              <w:top w:val="single" w:sz="4" w:space="0" w:color="auto"/>
              <w:left w:val="single" w:sz="4" w:space="0" w:color="auto"/>
              <w:bottom w:val="single" w:sz="4" w:space="0" w:color="auto"/>
              <w:right w:val="single" w:sz="4" w:space="0" w:color="auto"/>
            </w:tcBorders>
            <w:vAlign w:val="center"/>
          </w:tcPr>
          <w:p w:rsidR="006B3C84" w:rsidRPr="00781149" w:rsidRDefault="006B3C84" w:rsidP="00950DD9">
            <w:pPr>
              <w:pStyle w:val="TableText0"/>
              <w:spacing w:before="0" w:after="0"/>
              <w:jc w:val="center"/>
              <w:rPr>
                <w:rFonts w:cs="Arial"/>
              </w:rPr>
            </w:pPr>
            <w:r>
              <w:t>345/3198 (10.8%)</w:t>
            </w:r>
          </w:p>
        </w:tc>
        <w:tc>
          <w:tcPr>
            <w:tcW w:w="1342" w:type="dxa"/>
            <w:tcBorders>
              <w:top w:val="single" w:sz="4" w:space="0" w:color="auto"/>
              <w:left w:val="single" w:sz="4" w:space="0" w:color="auto"/>
              <w:bottom w:val="single" w:sz="4" w:space="0" w:color="auto"/>
              <w:right w:val="single" w:sz="4" w:space="0" w:color="auto"/>
            </w:tcBorders>
            <w:vAlign w:val="center"/>
          </w:tcPr>
          <w:p w:rsidR="006B3C84" w:rsidRDefault="006B3C84" w:rsidP="00950DD9">
            <w:pPr>
              <w:keepNext/>
              <w:widowControl/>
              <w:jc w:val="center"/>
              <w:rPr>
                <w:rFonts w:ascii="Arial Narrow" w:hAnsi="Arial Narrow"/>
                <w:sz w:val="20"/>
              </w:rPr>
            </w:pPr>
            <w:r>
              <w:rPr>
                <w:rFonts w:ascii="Arial Narrow" w:hAnsi="Arial Narrow"/>
                <w:sz w:val="20"/>
              </w:rPr>
              <w:t>398/3176</w:t>
            </w:r>
          </w:p>
          <w:p w:rsidR="006B3C84" w:rsidRPr="00781149" w:rsidRDefault="006B3C84" w:rsidP="00950DD9">
            <w:pPr>
              <w:pStyle w:val="TableText0"/>
              <w:spacing w:before="0" w:after="0"/>
              <w:jc w:val="center"/>
              <w:rPr>
                <w:rFonts w:cs="Arial"/>
              </w:rPr>
            </w:pPr>
            <w:r>
              <w:t>(12.5%)</w:t>
            </w:r>
          </w:p>
        </w:tc>
        <w:tc>
          <w:tcPr>
            <w:tcW w:w="1342" w:type="dxa"/>
            <w:tcBorders>
              <w:top w:val="single" w:sz="4" w:space="0" w:color="auto"/>
              <w:left w:val="single" w:sz="4" w:space="0" w:color="auto"/>
              <w:bottom w:val="single" w:sz="4" w:space="0" w:color="auto"/>
              <w:right w:val="double" w:sz="4" w:space="0" w:color="auto"/>
            </w:tcBorders>
            <w:vAlign w:val="center"/>
          </w:tcPr>
          <w:p w:rsidR="006B3C84" w:rsidRPr="00781149" w:rsidRDefault="006B3C84" w:rsidP="00950DD9">
            <w:pPr>
              <w:pStyle w:val="TableText0"/>
              <w:spacing w:before="0" w:after="0"/>
              <w:jc w:val="center"/>
              <w:rPr>
                <w:rFonts w:cs="Arial"/>
              </w:rPr>
            </w:pPr>
            <w:r w:rsidRPr="00781149">
              <w:rPr>
                <w:rFonts w:cs="Arial"/>
              </w:rPr>
              <w:t>-</w:t>
            </w:r>
          </w:p>
        </w:tc>
        <w:tc>
          <w:tcPr>
            <w:tcW w:w="2974" w:type="dxa"/>
            <w:tcBorders>
              <w:top w:val="single" w:sz="4" w:space="0" w:color="auto"/>
              <w:left w:val="double" w:sz="4" w:space="0" w:color="auto"/>
              <w:bottom w:val="single" w:sz="4" w:space="0" w:color="auto"/>
              <w:right w:val="single" w:sz="4" w:space="0" w:color="auto"/>
            </w:tcBorders>
            <w:vAlign w:val="center"/>
          </w:tcPr>
          <w:p w:rsidR="006B3C84" w:rsidRPr="000F4E19" w:rsidRDefault="006B3C84" w:rsidP="00950DD9">
            <w:pPr>
              <w:pStyle w:val="TableText0"/>
              <w:jc w:val="center"/>
              <w:rPr>
                <w:rFonts w:cs="Arial"/>
                <w:b/>
              </w:rPr>
            </w:pPr>
            <w:r w:rsidRPr="000F4E19">
              <w:rPr>
                <w:rFonts w:cs="Arial"/>
                <w:b/>
              </w:rPr>
              <w:t>0.86 (0.75, 0.99)</w:t>
            </w:r>
          </w:p>
        </w:tc>
      </w:tr>
      <w:tr w:rsidR="006B3C84" w:rsidRPr="00781149" w:rsidTr="00A1595C">
        <w:tc>
          <w:tcPr>
            <w:tcW w:w="1344" w:type="dxa"/>
            <w:tcBorders>
              <w:top w:val="single" w:sz="4" w:space="0" w:color="auto"/>
              <w:left w:val="single" w:sz="4" w:space="0" w:color="auto"/>
              <w:bottom w:val="single" w:sz="4" w:space="0" w:color="auto"/>
              <w:right w:val="single" w:sz="4" w:space="0" w:color="auto"/>
            </w:tcBorders>
            <w:tcMar>
              <w:right w:w="28" w:type="dxa"/>
            </w:tcMar>
            <w:vAlign w:val="center"/>
          </w:tcPr>
          <w:p w:rsidR="006B3C84" w:rsidRPr="00781149" w:rsidRDefault="00A1595C" w:rsidP="00950DD9">
            <w:pPr>
              <w:pStyle w:val="TableText0"/>
              <w:spacing w:before="0" w:after="0"/>
              <w:rPr>
                <w:rFonts w:cs="Arial"/>
              </w:rPr>
            </w:pPr>
            <w:r>
              <w:rPr>
                <w:rFonts w:cs="Arial"/>
              </w:rPr>
              <w:t xml:space="preserve">FREEDOM </w:t>
            </w:r>
          </w:p>
          <w:p w:rsidR="006B3C84" w:rsidRPr="00781149" w:rsidRDefault="006B3C84" w:rsidP="00950DD9">
            <w:pPr>
              <w:pStyle w:val="TableText0"/>
              <w:spacing w:before="0" w:after="0"/>
              <w:rPr>
                <w:rFonts w:cs="Arial"/>
              </w:rPr>
            </w:pPr>
            <w:r>
              <w:rPr>
                <w:rFonts w:cs="Arial"/>
              </w:rPr>
              <w:t>(N = 7,808</w:t>
            </w:r>
            <w:r w:rsidRPr="00781149">
              <w:rPr>
                <w:rFonts w:cs="Arial"/>
              </w:rPr>
              <w:t>)</w:t>
            </w:r>
          </w:p>
        </w:tc>
        <w:tc>
          <w:tcPr>
            <w:tcW w:w="1341" w:type="dxa"/>
            <w:tcBorders>
              <w:top w:val="single" w:sz="4" w:space="0" w:color="auto"/>
              <w:left w:val="single" w:sz="4" w:space="0" w:color="auto"/>
              <w:bottom w:val="single" w:sz="4" w:space="0" w:color="auto"/>
              <w:right w:val="single" w:sz="4" w:space="0" w:color="auto"/>
            </w:tcBorders>
            <w:vAlign w:val="center"/>
          </w:tcPr>
          <w:p w:rsidR="006B3C84" w:rsidRPr="00781149" w:rsidRDefault="006B3C84" w:rsidP="00950DD9">
            <w:pPr>
              <w:pStyle w:val="TableText0"/>
              <w:spacing w:before="0" w:after="0"/>
              <w:jc w:val="center"/>
              <w:rPr>
                <w:rFonts w:cs="Arial"/>
              </w:rPr>
            </w:pPr>
            <w:r>
              <w:rPr>
                <w:rFonts w:cs="Arial"/>
              </w:rPr>
              <w:t>-</w:t>
            </w:r>
          </w:p>
        </w:tc>
        <w:tc>
          <w:tcPr>
            <w:tcW w:w="1342" w:type="dxa"/>
            <w:tcBorders>
              <w:top w:val="single" w:sz="4" w:space="0" w:color="auto"/>
              <w:left w:val="single" w:sz="4" w:space="0" w:color="auto"/>
              <w:bottom w:val="single" w:sz="4" w:space="0" w:color="auto"/>
              <w:right w:val="single" w:sz="4" w:space="0" w:color="auto"/>
            </w:tcBorders>
            <w:vAlign w:val="center"/>
          </w:tcPr>
          <w:p w:rsidR="006B3C84" w:rsidRPr="00781149" w:rsidRDefault="006B3C84" w:rsidP="00950DD9">
            <w:pPr>
              <w:pStyle w:val="TableText0"/>
              <w:spacing w:before="0" w:after="0"/>
              <w:jc w:val="center"/>
              <w:rPr>
                <w:rFonts w:cs="Arial"/>
              </w:rPr>
            </w:pPr>
            <w:r>
              <w:rPr>
                <w:rFonts w:cs="Arial"/>
              </w:rPr>
              <w:t>293/3906 (7.5%)</w:t>
            </w:r>
          </w:p>
        </w:tc>
        <w:tc>
          <w:tcPr>
            <w:tcW w:w="1342" w:type="dxa"/>
            <w:tcBorders>
              <w:top w:val="single" w:sz="4" w:space="0" w:color="auto"/>
              <w:left w:val="single" w:sz="4" w:space="0" w:color="auto"/>
              <w:bottom w:val="single" w:sz="4" w:space="0" w:color="auto"/>
              <w:right w:val="double" w:sz="4" w:space="0" w:color="auto"/>
            </w:tcBorders>
            <w:vAlign w:val="center"/>
          </w:tcPr>
          <w:p w:rsidR="006B3C84" w:rsidRPr="00781149" w:rsidRDefault="006B3C84" w:rsidP="00950DD9">
            <w:pPr>
              <w:pStyle w:val="TableText0"/>
              <w:spacing w:before="0" w:after="0"/>
              <w:jc w:val="center"/>
              <w:rPr>
                <w:rFonts w:cs="Arial"/>
              </w:rPr>
            </w:pPr>
            <w:r>
              <w:rPr>
                <w:rFonts w:cs="Arial"/>
              </w:rPr>
              <w:t>238/3902 (6.1%)</w:t>
            </w:r>
          </w:p>
        </w:tc>
        <w:tc>
          <w:tcPr>
            <w:tcW w:w="2974" w:type="dxa"/>
            <w:tcBorders>
              <w:top w:val="single" w:sz="4" w:space="0" w:color="auto"/>
              <w:left w:val="double" w:sz="4" w:space="0" w:color="auto"/>
              <w:bottom w:val="single" w:sz="4" w:space="0" w:color="auto"/>
              <w:right w:val="single" w:sz="4" w:space="0" w:color="auto"/>
            </w:tcBorders>
            <w:shd w:val="clear" w:color="auto" w:fill="FFFFFF"/>
            <w:vAlign w:val="center"/>
          </w:tcPr>
          <w:p w:rsidR="006B3C84" w:rsidRPr="000F4E19" w:rsidRDefault="006B3C84" w:rsidP="00950DD9">
            <w:pPr>
              <w:pStyle w:val="TableText0"/>
              <w:spacing w:before="0" w:after="0"/>
              <w:jc w:val="center"/>
              <w:rPr>
                <w:rFonts w:cs="Arial"/>
                <w:b/>
              </w:rPr>
            </w:pPr>
            <w:r w:rsidRPr="000F4E19">
              <w:rPr>
                <w:rFonts w:cs="Arial"/>
                <w:b/>
              </w:rPr>
              <w:t>0.81 (0.69; 0.96)</w:t>
            </w:r>
          </w:p>
        </w:tc>
      </w:tr>
      <w:tr w:rsidR="006B3C84" w:rsidRPr="00781149" w:rsidTr="00A1595C">
        <w:tc>
          <w:tcPr>
            <w:tcW w:w="5369" w:type="dxa"/>
            <w:gridSpan w:val="4"/>
            <w:tcBorders>
              <w:top w:val="single" w:sz="4" w:space="0" w:color="auto"/>
              <w:left w:val="single" w:sz="4" w:space="0" w:color="auto"/>
              <w:bottom w:val="single" w:sz="4" w:space="0" w:color="auto"/>
              <w:right w:val="double" w:sz="4" w:space="0" w:color="auto"/>
            </w:tcBorders>
            <w:tcMar>
              <w:right w:w="28" w:type="dxa"/>
            </w:tcMar>
            <w:vAlign w:val="center"/>
          </w:tcPr>
          <w:p w:rsidR="006B3C84" w:rsidRPr="00203BE4" w:rsidRDefault="006B3C84" w:rsidP="00950DD9">
            <w:pPr>
              <w:pStyle w:val="TableText0"/>
              <w:spacing w:before="0" w:after="0"/>
              <w:jc w:val="right"/>
              <w:rPr>
                <w:rFonts w:cs="Arial"/>
              </w:rPr>
            </w:pPr>
            <w:r w:rsidRPr="00203BE4">
              <w:rPr>
                <w:rFonts w:cs="Arial"/>
              </w:rPr>
              <w:t xml:space="preserve">Indirect estimate of effect </w:t>
            </w:r>
          </w:p>
          <w:p w:rsidR="006B3C84" w:rsidRDefault="006B3C84" w:rsidP="00950DD9">
            <w:pPr>
              <w:pStyle w:val="TableText0"/>
              <w:spacing w:before="0" w:after="0"/>
              <w:jc w:val="right"/>
              <w:rPr>
                <w:rFonts w:cs="Arial"/>
              </w:rPr>
            </w:pPr>
            <w:r>
              <w:rPr>
                <w:rFonts w:cs="Arial"/>
              </w:rPr>
              <w:t>(results &lt; 1 favour strontium ranelate</w:t>
            </w:r>
            <w:r w:rsidRPr="00203BE4">
              <w:rPr>
                <w:rFonts w:cs="Arial"/>
              </w:rPr>
              <w:t>)</w:t>
            </w:r>
          </w:p>
        </w:tc>
        <w:tc>
          <w:tcPr>
            <w:tcW w:w="2974" w:type="dxa"/>
            <w:tcBorders>
              <w:top w:val="single" w:sz="4" w:space="0" w:color="auto"/>
              <w:left w:val="double" w:sz="4" w:space="0" w:color="auto"/>
              <w:bottom w:val="single" w:sz="4" w:space="0" w:color="auto"/>
              <w:right w:val="single" w:sz="4" w:space="0" w:color="auto"/>
            </w:tcBorders>
            <w:shd w:val="clear" w:color="auto" w:fill="FFFFFF"/>
            <w:vAlign w:val="center"/>
          </w:tcPr>
          <w:p w:rsidR="006B3C84" w:rsidRDefault="006B3C84" w:rsidP="00950DD9">
            <w:pPr>
              <w:pStyle w:val="TableText0"/>
              <w:spacing w:before="0" w:after="0"/>
              <w:jc w:val="center"/>
              <w:rPr>
                <w:rFonts w:cs="Arial"/>
              </w:rPr>
            </w:pPr>
            <w:r>
              <w:rPr>
                <w:rFonts w:cs="Arial"/>
              </w:rPr>
              <w:t>1.06 (0.86; 1.32)</w:t>
            </w:r>
          </w:p>
        </w:tc>
      </w:tr>
      <w:tr w:rsidR="006B3C84" w:rsidRPr="00781149" w:rsidTr="00A1595C">
        <w:trPr>
          <w:trHeight w:val="70"/>
        </w:trPr>
        <w:tc>
          <w:tcPr>
            <w:tcW w:w="8343" w:type="dxa"/>
            <w:gridSpan w:val="5"/>
            <w:tcBorders>
              <w:top w:val="single" w:sz="4" w:space="0" w:color="auto"/>
              <w:left w:val="single" w:sz="4" w:space="0" w:color="auto"/>
              <w:bottom w:val="single" w:sz="4" w:space="0" w:color="auto"/>
              <w:right w:val="single" w:sz="4" w:space="0" w:color="auto"/>
            </w:tcBorders>
            <w:tcMar>
              <w:right w:w="28" w:type="dxa"/>
            </w:tcMar>
            <w:vAlign w:val="center"/>
          </w:tcPr>
          <w:p w:rsidR="006B3C84" w:rsidRPr="002F38EA" w:rsidRDefault="006B3C84" w:rsidP="00950DD9">
            <w:pPr>
              <w:pStyle w:val="TableText0"/>
              <w:spacing w:before="0" w:after="0"/>
              <w:rPr>
                <w:rFonts w:cs="Arial"/>
                <w:b/>
                <w:vertAlign w:val="superscript"/>
              </w:rPr>
            </w:pPr>
            <w:r>
              <w:rPr>
                <w:b/>
              </w:rPr>
              <w:t>Hip fractures</w:t>
            </w:r>
            <w:r w:rsidRPr="002F38EA">
              <w:rPr>
                <w:b/>
              </w:rPr>
              <w:t>, n/N</w:t>
            </w:r>
            <w:r>
              <w:rPr>
                <w:b/>
              </w:rPr>
              <w:t xml:space="preserve"> (%)</w:t>
            </w:r>
          </w:p>
        </w:tc>
      </w:tr>
      <w:tr w:rsidR="006B3C84" w:rsidRPr="00781149" w:rsidTr="00A1595C">
        <w:tc>
          <w:tcPr>
            <w:tcW w:w="1344" w:type="dxa"/>
            <w:tcBorders>
              <w:top w:val="single" w:sz="4" w:space="0" w:color="auto"/>
              <w:left w:val="single" w:sz="4" w:space="0" w:color="auto"/>
              <w:bottom w:val="single" w:sz="4" w:space="0" w:color="auto"/>
              <w:right w:val="single" w:sz="4" w:space="0" w:color="auto"/>
            </w:tcBorders>
            <w:tcMar>
              <w:right w:w="28" w:type="dxa"/>
            </w:tcMar>
            <w:vAlign w:val="center"/>
          </w:tcPr>
          <w:p w:rsidR="006B3C84" w:rsidRPr="00781149" w:rsidRDefault="00A1595C" w:rsidP="00950DD9">
            <w:pPr>
              <w:pStyle w:val="TableText0"/>
              <w:spacing w:before="0" w:after="0"/>
              <w:rPr>
                <w:rFonts w:cs="Arial"/>
              </w:rPr>
            </w:pPr>
            <w:r>
              <w:rPr>
                <w:rFonts w:cs="Arial"/>
              </w:rPr>
              <w:t xml:space="preserve">TROPOS </w:t>
            </w:r>
          </w:p>
          <w:p w:rsidR="006B3C84" w:rsidRPr="00781149" w:rsidRDefault="006B3C84" w:rsidP="00950DD9">
            <w:pPr>
              <w:pStyle w:val="TableText0"/>
              <w:spacing w:before="0" w:after="0"/>
              <w:rPr>
                <w:rFonts w:cs="Arial"/>
              </w:rPr>
            </w:pPr>
            <w:r>
              <w:rPr>
                <w:rFonts w:cs="Arial"/>
              </w:rPr>
              <w:t>(N = 4,932)</w:t>
            </w:r>
          </w:p>
        </w:tc>
        <w:tc>
          <w:tcPr>
            <w:tcW w:w="1341" w:type="dxa"/>
            <w:tcBorders>
              <w:top w:val="single" w:sz="4" w:space="0" w:color="auto"/>
              <w:left w:val="single" w:sz="4" w:space="0" w:color="auto"/>
              <w:bottom w:val="single" w:sz="4" w:space="0" w:color="auto"/>
              <w:right w:val="single" w:sz="4" w:space="0" w:color="auto"/>
            </w:tcBorders>
            <w:vAlign w:val="center"/>
          </w:tcPr>
          <w:p w:rsidR="006B3C84" w:rsidRDefault="006B3C84" w:rsidP="00950DD9">
            <w:pPr>
              <w:pStyle w:val="TableText0"/>
              <w:spacing w:before="0" w:after="0"/>
              <w:jc w:val="center"/>
            </w:pPr>
            <w:r>
              <w:t xml:space="preserve">62/2479 </w:t>
            </w:r>
          </w:p>
          <w:p w:rsidR="006B3C84" w:rsidRPr="00781149" w:rsidRDefault="006B3C84" w:rsidP="00950DD9">
            <w:pPr>
              <w:pStyle w:val="TableText0"/>
              <w:spacing w:before="0" w:after="0"/>
              <w:jc w:val="center"/>
              <w:rPr>
                <w:rFonts w:cs="Arial"/>
              </w:rPr>
            </w:pPr>
            <w:r>
              <w:t>(2.5%)</w:t>
            </w:r>
          </w:p>
        </w:tc>
        <w:tc>
          <w:tcPr>
            <w:tcW w:w="1342" w:type="dxa"/>
            <w:tcBorders>
              <w:top w:val="single" w:sz="4" w:space="0" w:color="auto"/>
              <w:left w:val="single" w:sz="4" w:space="0" w:color="auto"/>
              <w:bottom w:val="single" w:sz="4" w:space="0" w:color="auto"/>
              <w:right w:val="single" w:sz="4" w:space="0" w:color="auto"/>
            </w:tcBorders>
            <w:vAlign w:val="center"/>
          </w:tcPr>
          <w:p w:rsidR="006B3C84" w:rsidRDefault="006B3C84" w:rsidP="00950DD9">
            <w:pPr>
              <w:keepNext/>
              <w:widowControl/>
              <w:jc w:val="center"/>
              <w:rPr>
                <w:rFonts w:ascii="Arial Narrow" w:hAnsi="Arial Narrow"/>
                <w:sz w:val="20"/>
              </w:rPr>
            </w:pPr>
            <w:r>
              <w:rPr>
                <w:rFonts w:ascii="Arial Narrow" w:hAnsi="Arial Narrow"/>
                <w:sz w:val="20"/>
              </w:rPr>
              <w:t>74/2453</w:t>
            </w:r>
          </w:p>
          <w:p w:rsidR="006B3C84" w:rsidRPr="00781149" w:rsidRDefault="006B3C84" w:rsidP="00950DD9">
            <w:pPr>
              <w:pStyle w:val="TableText0"/>
              <w:spacing w:before="0" w:after="0"/>
              <w:jc w:val="center"/>
              <w:rPr>
                <w:rFonts w:cs="Arial"/>
              </w:rPr>
            </w:pPr>
            <w:r>
              <w:t>(3.0%)</w:t>
            </w:r>
          </w:p>
        </w:tc>
        <w:tc>
          <w:tcPr>
            <w:tcW w:w="1342" w:type="dxa"/>
            <w:tcBorders>
              <w:top w:val="single" w:sz="4" w:space="0" w:color="auto"/>
              <w:left w:val="single" w:sz="4" w:space="0" w:color="auto"/>
              <w:bottom w:val="single" w:sz="4" w:space="0" w:color="auto"/>
              <w:right w:val="double" w:sz="4" w:space="0" w:color="auto"/>
            </w:tcBorders>
            <w:vAlign w:val="center"/>
          </w:tcPr>
          <w:p w:rsidR="006B3C84" w:rsidRPr="00781149" w:rsidRDefault="006B3C84" w:rsidP="00950DD9">
            <w:pPr>
              <w:pStyle w:val="TableText0"/>
              <w:spacing w:before="0" w:after="0"/>
              <w:jc w:val="center"/>
              <w:rPr>
                <w:rFonts w:cs="Arial"/>
              </w:rPr>
            </w:pPr>
            <w:r w:rsidRPr="00781149">
              <w:rPr>
                <w:rFonts w:cs="Arial"/>
              </w:rPr>
              <w:t>-</w:t>
            </w:r>
          </w:p>
        </w:tc>
        <w:tc>
          <w:tcPr>
            <w:tcW w:w="2974" w:type="dxa"/>
            <w:tcBorders>
              <w:top w:val="single" w:sz="4" w:space="0" w:color="auto"/>
              <w:left w:val="double" w:sz="4" w:space="0" w:color="auto"/>
              <w:bottom w:val="single" w:sz="4" w:space="0" w:color="auto"/>
              <w:right w:val="single" w:sz="4" w:space="0" w:color="auto"/>
            </w:tcBorders>
            <w:vAlign w:val="center"/>
          </w:tcPr>
          <w:p w:rsidR="006B3C84" w:rsidRPr="00871CBD" w:rsidRDefault="006B3C84" w:rsidP="00950DD9">
            <w:pPr>
              <w:pStyle w:val="TableText0"/>
              <w:jc w:val="center"/>
              <w:rPr>
                <w:rFonts w:cs="Arial"/>
              </w:rPr>
            </w:pPr>
            <w:r w:rsidRPr="00871CBD">
              <w:rPr>
                <w:rFonts w:cs="Arial"/>
              </w:rPr>
              <w:t>0.83 (0.59, 1.16)</w:t>
            </w:r>
          </w:p>
        </w:tc>
      </w:tr>
      <w:tr w:rsidR="006B3C84" w:rsidRPr="00781149" w:rsidTr="00A1595C">
        <w:tc>
          <w:tcPr>
            <w:tcW w:w="1344" w:type="dxa"/>
            <w:tcBorders>
              <w:top w:val="single" w:sz="4" w:space="0" w:color="auto"/>
              <w:left w:val="single" w:sz="4" w:space="0" w:color="auto"/>
              <w:bottom w:val="single" w:sz="4" w:space="0" w:color="auto"/>
              <w:right w:val="single" w:sz="4" w:space="0" w:color="auto"/>
            </w:tcBorders>
            <w:tcMar>
              <w:right w:w="28" w:type="dxa"/>
            </w:tcMar>
            <w:vAlign w:val="center"/>
          </w:tcPr>
          <w:p w:rsidR="006B3C84" w:rsidRPr="00781149" w:rsidRDefault="00A1595C" w:rsidP="00950DD9">
            <w:pPr>
              <w:pStyle w:val="TableText0"/>
              <w:spacing w:before="0" w:after="0"/>
              <w:rPr>
                <w:rFonts w:cs="Arial"/>
              </w:rPr>
            </w:pPr>
            <w:r>
              <w:rPr>
                <w:rFonts w:cs="Arial"/>
              </w:rPr>
              <w:t>FREEDOM</w:t>
            </w:r>
          </w:p>
          <w:p w:rsidR="006B3C84" w:rsidRPr="00781149" w:rsidRDefault="006B3C84" w:rsidP="00950DD9">
            <w:pPr>
              <w:pStyle w:val="TableText0"/>
              <w:spacing w:before="0" w:after="0"/>
              <w:rPr>
                <w:rFonts w:cs="Arial"/>
              </w:rPr>
            </w:pPr>
            <w:r>
              <w:rPr>
                <w:rFonts w:cs="Arial"/>
              </w:rPr>
              <w:t>(N = 7,808</w:t>
            </w:r>
            <w:r w:rsidRPr="00781149">
              <w:rPr>
                <w:rFonts w:cs="Arial"/>
              </w:rPr>
              <w:t>)</w:t>
            </w:r>
          </w:p>
        </w:tc>
        <w:tc>
          <w:tcPr>
            <w:tcW w:w="1341" w:type="dxa"/>
            <w:tcBorders>
              <w:top w:val="single" w:sz="4" w:space="0" w:color="auto"/>
              <w:left w:val="single" w:sz="4" w:space="0" w:color="auto"/>
              <w:bottom w:val="single" w:sz="4" w:space="0" w:color="auto"/>
              <w:right w:val="single" w:sz="4" w:space="0" w:color="auto"/>
            </w:tcBorders>
            <w:vAlign w:val="center"/>
          </w:tcPr>
          <w:p w:rsidR="006B3C84" w:rsidRPr="00781149" w:rsidRDefault="006B3C84" w:rsidP="00950DD9">
            <w:pPr>
              <w:pStyle w:val="TableText0"/>
              <w:spacing w:before="0" w:after="0"/>
              <w:jc w:val="center"/>
              <w:rPr>
                <w:rFonts w:cs="Arial"/>
              </w:rPr>
            </w:pPr>
            <w:r>
              <w:rPr>
                <w:rFonts w:cs="Arial"/>
              </w:rPr>
              <w:t>-</w:t>
            </w:r>
          </w:p>
        </w:tc>
        <w:tc>
          <w:tcPr>
            <w:tcW w:w="1342" w:type="dxa"/>
            <w:tcBorders>
              <w:top w:val="single" w:sz="4" w:space="0" w:color="auto"/>
              <w:left w:val="single" w:sz="4" w:space="0" w:color="auto"/>
              <w:bottom w:val="single" w:sz="4" w:space="0" w:color="auto"/>
              <w:right w:val="single" w:sz="4" w:space="0" w:color="auto"/>
            </w:tcBorders>
            <w:vAlign w:val="center"/>
          </w:tcPr>
          <w:p w:rsidR="006B3C84" w:rsidRDefault="006B3C84" w:rsidP="00950DD9">
            <w:pPr>
              <w:pStyle w:val="TableText0"/>
              <w:spacing w:before="0" w:after="0"/>
              <w:jc w:val="center"/>
              <w:rPr>
                <w:rFonts w:cs="Arial"/>
              </w:rPr>
            </w:pPr>
            <w:r>
              <w:rPr>
                <w:rFonts w:cs="Arial"/>
              </w:rPr>
              <w:t xml:space="preserve">43/3906 </w:t>
            </w:r>
          </w:p>
          <w:p w:rsidR="006B3C84" w:rsidRPr="00781149" w:rsidRDefault="006B3C84" w:rsidP="00950DD9">
            <w:pPr>
              <w:pStyle w:val="TableText0"/>
              <w:spacing w:before="0" w:after="0"/>
              <w:jc w:val="center"/>
              <w:rPr>
                <w:rFonts w:cs="Arial"/>
              </w:rPr>
            </w:pPr>
            <w:r>
              <w:rPr>
                <w:rFonts w:cs="Arial"/>
              </w:rPr>
              <w:t>(1.1%)</w:t>
            </w:r>
          </w:p>
        </w:tc>
        <w:tc>
          <w:tcPr>
            <w:tcW w:w="1342" w:type="dxa"/>
            <w:tcBorders>
              <w:top w:val="single" w:sz="4" w:space="0" w:color="auto"/>
              <w:left w:val="single" w:sz="4" w:space="0" w:color="auto"/>
              <w:bottom w:val="single" w:sz="4" w:space="0" w:color="auto"/>
              <w:right w:val="double" w:sz="4" w:space="0" w:color="auto"/>
            </w:tcBorders>
            <w:vAlign w:val="center"/>
          </w:tcPr>
          <w:p w:rsidR="006B3C84" w:rsidRDefault="006B3C84" w:rsidP="00950DD9">
            <w:pPr>
              <w:pStyle w:val="TableText0"/>
              <w:spacing w:before="0" w:after="0"/>
              <w:jc w:val="center"/>
              <w:rPr>
                <w:rFonts w:cs="Arial"/>
              </w:rPr>
            </w:pPr>
            <w:r>
              <w:rPr>
                <w:rFonts w:cs="Arial"/>
              </w:rPr>
              <w:t xml:space="preserve">26/3902 </w:t>
            </w:r>
          </w:p>
          <w:p w:rsidR="006B3C84" w:rsidRPr="00781149" w:rsidRDefault="006B3C84" w:rsidP="00950DD9">
            <w:pPr>
              <w:pStyle w:val="TableText0"/>
              <w:spacing w:before="0" w:after="0"/>
              <w:jc w:val="center"/>
              <w:rPr>
                <w:rFonts w:cs="Arial"/>
              </w:rPr>
            </w:pPr>
            <w:r>
              <w:rPr>
                <w:rFonts w:cs="Arial"/>
              </w:rPr>
              <w:t>(0.7%)</w:t>
            </w:r>
          </w:p>
        </w:tc>
        <w:tc>
          <w:tcPr>
            <w:tcW w:w="2974" w:type="dxa"/>
            <w:tcBorders>
              <w:top w:val="single" w:sz="4" w:space="0" w:color="auto"/>
              <w:left w:val="double" w:sz="4" w:space="0" w:color="auto"/>
              <w:bottom w:val="single" w:sz="4" w:space="0" w:color="auto"/>
              <w:right w:val="single" w:sz="4" w:space="0" w:color="auto"/>
            </w:tcBorders>
            <w:shd w:val="clear" w:color="auto" w:fill="FFFFFF"/>
            <w:vAlign w:val="center"/>
          </w:tcPr>
          <w:p w:rsidR="006B3C84" w:rsidRPr="00A65519" w:rsidRDefault="006B3C84" w:rsidP="00950DD9">
            <w:pPr>
              <w:pStyle w:val="TableText0"/>
              <w:spacing w:before="0" w:after="0"/>
              <w:jc w:val="center"/>
              <w:rPr>
                <w:rFonts w:cs="Arial"/>
                <w:b/>
              </w:rPr>
            </w:pPr>
            <w:r>
              <w:rPr>
                <w:rFonts w:cs="Arial"/>
                <w:b/>
              </w:rPr>
              <w:t>0.61 (0.37; 0.98</w:t>
            </w:r>
            <w:r w:rsidRPr="00A65519">
              <w:rPr>
                <w:rFonts w:cs="Arial"/>
                <w:b/>
              </w:rPr>
              <w:t>)</w:t>
            </w:r>
          </w:p>
        </w:tc>
      </w:tr>
      <w:tr w:rsidR="006B3C84" w:rsidRPr="00781149" w:rsidTr="00A1595C">
        <w:tc>
          <w:tcPr>
            <w:tcW w:w="5369" w:type="dxa"/>
            <w:gridSpan w:val="4"/>
            <w:tcBorders>
              <w:top w:val="single" w:sz="4" w:space="0" w:color="auto"/>
              <w:left w:val="single" w:sz="4" w:space="0" w:color="auto"/>
              <w:bottom w:val="single" w:sz="4" w:space="0" w:color="auto"/>
              <w:right w:val="double" w:sz="4" w:space="0" w:color="auto"/>
            </w:tcBorders>
            <w:tcMar>
              <w:right w:w="108" w:type="dxa"/>
            </w:tcMar>
            <w:vAlign w:val="center"/>
          </w:tcPr>
          <w:p w:rsidR="006B3C84" w:rsidRPr="00203BE4" w:rsidRDefault="006B3C84" w:rsidP="00950DD9">
            <w:pPr>
              <w:pStyle w:val="TableText0"/>
              <w:spacing w:before="0" w:after="0"/>
              <w:jc w:val="right"/>
              <w:rPr>
                <w:rFonts w:cs="Arial"/>
              </w:rPr>
            </w:pPr>
            <w:r w:rsidRPr="00203BE4">
              <w:rPr>
                <w:rFonts w:cs="Arial"/>
              </w:rPr>
              <w:t xml:space="preserve">Indirect estimate of effect </w:t>
            </w:r>
          </w:p>
          <w:p w:rsidR="006B3C84" w:rsidRDefault="006B3C84" w:rsidP="00950DD9">
            <w:pPr>
              <w:pStyle w:val="TableText0"/>
              <w:spacing w:before="0" w:after="0"/>
              <w:jc w:val="right"/>
              <w:rPr>
                <w:rFonts w:cs="Arial"/>
              </w:rPr>
            </w:pPr>
            <w:r w:rsidRPr="00203BE4">
              <w:rPr>
                <w:rFonts w:cs="Arial"/>
              </w:rPr>
              <w:t>(resu</w:t>
            </w:r>
            <w:r>
              <w:rPr>
                <w:rFonts w:cs="Arial"/>
              </w:rPr>
              <w:t>lts &lt; 1 favour strontium ranelate</w:t>
            </w:r>
            <w:r w:rsidRPr="00203BE4">
              <w:rPr>
                <w:rFonts w:cs="Arial"/>
              </w:rPr>
              <w:t>)</w:t>
            </w:r>
          </w:p>
        </w:tc>
        <w:tc>
          <w:tcPr>
            <w:tcW w:w="2974" w:type="dxa"/>
            <w:tcBorders>
              <w:top w:val="single" w:sz="4" w:space="0" w:color="auto"/>
              <w:left w:val="double" w:sz="4" w:space="0" w:color="auto"/>
              <w:bottom w:val="single" w:sz="4" w:space="0" w:color="auto"/>
              <w:right w:val="single" w:sz="4" w:space="0" w:color="auto"/>
            </w:tcBorders>
            <w:vAlign w:val="center"/>
          </w:tcPr>
          <w:p w:rsidR="006B3C84" w:rsidRPr="00781149" w:rsidRDefault="006B3C84" w:rsidP="00950DD9">
            <w:pPr>
              <w:pStyle w:val="TableText0"/>
              <w:spacing w:before="0" w:after="0"/>
              <w:jc w:val="center"/>
              <w:rPr>
                <w:rFonts w:cs="Arial"/>
              </w:rPr>
            </w:pPr>
            <w:r>
              <w:rPr>
                <w:rFonts w:cs="Arial"/>
              </w:rPr>
              <w:t>1.36 (0.75, 2.46)</w:t>
            </w:r>
          </w:p>
        </w:tc>
      </w:tr>
    </w:tbl>
    <w:p w:rsidR="00DC04A3" w:rsidRPr="00DC04A3" w:rsidRDefault="006B3C84" w:rsidP="00447A0C">
      <w:pPr>
        <w:widowControl/>
        <w:ind w:left="709" w:firstLine="11"/>
        <w:rPr>
          <w:rFonts w:ascii="Arial Narrow" w:hAnsi="Arial Narrow"/>
          <w:sz w:val="18"/>
          <w:szCs w:val="18"/>
        </w:rPr>
      </w:pPr>
      <w:r w:rsidRPr="00567EEF">
        <w:rPr>
          <w:rFonts w:ascii="Arial Narrow" w:hAnsi="Arial Narrow"/>
          <w:sz w:val="18"/>
          <w:szCs w:val="18"/>
        </w:rPr>
        <w:t>Abbrevia</w:t>
      </w:r>
      <w:r>
        <w:rPr>
          <w:rFonts w:ascii="Arial Narrow" w:hAnsi="Arial Narrow"/>
          <w:sz w:val="18"/>
          <w:szCs w:val="18"/>
        </w:rPr>
        <w:t>tions: CI, confidence interval</w:t>
      </w:r>
      <w:r w:rsidR="00DC04A3">
        <w:rPr>
          <w:rFonts w:ascii="Arial Narrow" w:hAnsi="Arial Narrow"/>
          <w:sz w:val="18"/>
          <w:szCs w:val="18"/>
        </w:rPr>
        <w:t>.</w:t>
      </w:r>
      <w:r w:rsidR="00447A0C">
        <w:rPr>
          <w:rFonts w:ascii="Arial Narrow" w:hAnsi="Arial Narrow"/>
          <w:sz w:val="18"/>
          <w:szCs w:val="18"/>
        </w:rPr>
        <w:t xml:space="preserve"> </w:t>
      </w:r>
      <w:r w:rsidR="00DC04A3" w:rsidRPr="00CB3DAB">
        <w:rPr>
          <w:rStyle w:val="CommentReference"/>
          <w:i/>
          <w:sz w:val="18"/>
        </w:rPr>
        <w:t>Values in bold represent statistically significant differences observed between groups.</w:t>
      </w:r>
      <w:r w:rsidR="00447A0C">
        <w:rPr>
          <w:rStyle w:val="CommentReference"/>
          <w:b w:val="0"/>
          <w:sz w:val="18"/>
          <w:szCs w:val="18"/>
        </w:rPr>
        <w:t xml:space="preserve"> </w:t>
      </w:r>
      <w:r w:rsidR="0022091B" w:rsidRPr="00567EEF">
        <w:rPr>
          <w:rFonts w:ascii="Arial Narrow" w:hAnsi="Arial Narrow"/>
          <w:sz w:val="18"/>
          <w:szCs w:val="18"/>
        </w:rPr>
        <w:t xml:space="preserve">Source: </w:t>
      </w:r>
      <w:r w:rsidR="0022091B">
        <w:rPr>
          <w:rFonts w:ascii="Arial Narrow" w:hAnsi="Arial Narrow"/>
          <w:sz w:val="18"/>
          <w:szCs w:val="18"/>
        </w:rPr>
        <w:t>Table B-49 (p 63) of the submission</w:t>
      </w:r>
    </w:p>
    <w:p w:rsidR="006B3C84" w:rsidRDefault="006B3C84" w:rsidP="00950DD9">
      <w:pPr>
        <w:widowControl/>
        <w:rPr>
          <w:szCs w:val="22"/>
        </w:rPr>
      </w:pPr>
    </w:p>
    <w:p w:rsidR="00A1595C" w:rsidRDefault="00A1595C" w:rsidP="00950DD9">
      <w:pPr>
        <w:pStyle w:val="ListParagraph"/>
        <w:widowControl/>
        <w:numPr>
          <w:ilvl w:val="1"/>
          <w:numId w:val="5"/>
        </w:numPr>
        <w:rPr>
          <w:szCs w:val="22"/>
        </w:rPr>
      </w:pPr>
      <w:r>
        <w:rPr>
          <w:szCs w:val="22"/>
        </w:rPr>
        <w:t>T</w:t>
      </w:r>
      <w:r w:rsidRPr="00B05027">
        <w:rPr>
          <w:szCs w:val="22"/>
        </w:rPr>
        <w:t>reatment with denosumab was associated with statistically significant reduction</w:t>
      </w:r>
      <w:r w:rsidR="003C72AE">
        <w:rPr>
          <w:szCs w:val="22"/>
        </w:rPr>
        <w:t>s</w:t>
      </w:r>
      <w:r w:rsidRPr="00B05027">
        <w:rPr>
          <w:szCs w:val="22"/>
        </w:rPr>
        <w:t xml:space="preserve"> in morphometric and clinical vertebral fracture risk compared to strontium ranelate. There was no difference in non-vertebral fracture or hip fracture risk</w:t>
      </w:r>
      <w:r>
        <w:rPr>
          <w:szCs w:val="22"/>
        </w:rPr>
        <w:t xml:space="preserve"> between treatments</w:t>
      </w:r>
      <w:r w:rsidRPr="00B05027">
        <w:rPr>
          <w:szCs w:val="22"/>
        </w:rPr>
        <w:t>.</w:t>
      </w:r>
    </w:p>
    <w:p w:rsidR="00D73451" w:rsidRDefault="00D73451" w:rsidP="00950DD9">
      <w:pPr>
        <w:widowControl/>
        <w:ind w:left="720"/>
        <w:rPr>
          <w:szCs w:val="22"/>
        </w:rPr>
      </w:pPr>
    </w:p>
    <w:p w:rsidR="00D73451" w:rsidRDefault="003C72AE" w:rsidP="00950DD9">
      <w:pPr>
        <w:pStyle w:val="ListParagraph"/>
        <w:widowControl/>
        <w:numPr>
          <w:ilvl w:val="1"/>
          <w:numId w:val="5"/>
        </w:numPr>
        <w:rPr>
          <w:szCs w:val="22"/>
        </w:rPr>
      </w:pPr>
      <w:r w:rsidRPr="002B33AE">
        <w:rPr>
          <w:szCs w:val="22"/>
        </w:rPr>
        <w:t>There were</w:t>
      </w:r>
      <w:r w:rsidR="00D73451" w:rsidRPr="002B33AE">
        <w:rPr>
          <w:szCs w:val="22"/>
        </w:rPr>
        <w:t xml:space="preserve"> substantial differences in placebo event rates between trials indicating that the trials may not</w:t>
      </w:r>
      <w:r w:rsidRPr="002B33AE">
        <w:rPr>
          <w:szCs w:val="22"/>
        </w:rPr>
        <w:t xml:space="preserve"> have</w:t>
      </w:r>
      <w:r w:rsidR="00D73451" w:rsidRPr="002B33AE">
        <w:rPr>
          <w:szCs w:val="22"/>
        </w:rPr>
        <w:t xml:space="preserve"> be</w:t>
      </w:r>
      <w:r w:rsidRPr="002B33AE">
        <w:rPr>
          <w:szCs w:val="22"/>
        </w:rPr>
        <w:t>en</w:t>
      </w:r>
      <w:r w:rsidR="00D73451" w:rsidRPr="002B33AE">
        <w:rPr>
          <w:szCs w:val="22"/>
        </w:rPr>
        <w:t xml:space="preserve"> sufficiently exchangeable to justify their use in an indirect comparison. </w:t>
      </w:r>
    </w:p>
    <w:p w:rsidR="00953F49" w:rsidRPr="00953F49" w:rsidRDefault="00953F49" w:rsidP="00950DD9">
      <w:pPr>
        <w:pStyle w:val="ListParagraph"/>
        <w:widowControl/>
        <w:rPr>
          <w:szCs w:val="22"/>
        </w:rPr>
      </w:pPr>
    </w:p>
    <w:p w:rsidR="00953F49" w:rsidRPr="00764176" w:rsidRDefault="00953F49" w:rsidP="00950DD9">
      <w:pPr>
        <w:pStyle w:val="ListParagraph"/>
        <w:widowControl/>
        <w:numPr>
          <w:ilvl w:val="1"/>
          <w:numId w:val="5"/>
        </w:numPr>
        <w:rPr>
          <w:szCs w:val="22"/>
        </w:rPr>
      </w:pPr>
      <w:r w:rsidRPr="00764176">
        <w:rPr>
          <w:szCs w:val="22"/>
        </w:rPr>
        <w:t xml:space="preserve">The ESC noted that there </w:t>
      </w:r>
      <w:r w:rsidR="001B35DA" w:rsidRPr="00764176">
        <w:rPr>
          <w:szCs w:val="22"/>
        </w:rPr>
        <w:t xml:space="preserve">were </w:t>
      </w:r>
      <w:r w:rsidRPr="00764176">
        <w:rPr>
          <w:szCs w:val="22"/>
        </w:rPr>
        <w:t xml:space="preserve">no data </w:t>
      </w:r>
      <w:r w:rsidR="006D220C" w:rsidRPr="00764176">
        <w:rPr>
          <w:szCs w:val="22"/>
        </w:rPr>
        <w:t xml:space="preserve">for </w:t>
      </w:r>
      <w:r w:rsidRPr="00764176">
        <w:rPr>
          <w:szCs w:val="22"/>
        </w:rPr>
        <w:t xml:space="preserve">the subgroup eligible for strontium ranelate on the PBS and it was unclear whether these patients </w:t>
      </w:r>
      <w:r w:rsidR="006D220C" w:rsidRPr="00764176">
        <w:rPr>
          <w:szCs w:val="22"/>
        </w:rPr>
        <w:t xml:space="preserve">would </w:t>
      </w:r>
      <w:r w:rsidRPr="00764176">
        <w:rPr>
          <w:szCs w:val="22"/>
        </w:rPr>
        <w:t>have the same response as those in the trials.</w:t>
      </w:r>
    </w:p>
    <w:p w:rsidR="008679C8" w:rsidRDefault="008679C8" w:rsidP="00950DD9">
      <w:pPr>
        <w:widowControl/>
        <w:rPr>
          <w:szCs w:val="22"/>
        </w:rPr>
      </w:pPr>
    </w:p>
    <w:p w:rsidR="00764176" w:rsidRDefault="00764176" w:rsidP="00950DD9">
      <w:pPr>
        <w:pStyle w:val="ListParagraph"/>
        <w:widowControl/>
        <w:ind w:left="709"/>
        <w:rPr>
          <w:i/>
          <w:szCs w:val="22"/>
        </w:rPr>
      </w:pPr>
      <w:r w:rsidRPr="0054786F">
        <w:rPr>
          <w:i/>
          <w:szCs w:val="22"/>
        </w:rPr>
        <w:t>For more detail on PBAC’s view, see section 7 “PBAC outcome”</w:t>
      </w:r>
    </w:p>
    <w:p w:rsidR="00764176" w:rsidRPr="00882085" w:rsidRDefault="00764176" w:rsidP="00950DD9">
      <w:pPr>
        <w:widowControl/>
        <w:rPr>
          <w:szCs w:val="22"/>
        </w:rPr>
      </w:pPr>
    </w:p>
    <w:p w:rsidR="00B60939" w:rsidRPr="002C2775" w:rsidRDefault="00B60939" w:rsidP="00950DD9">
      <w:pPr>
        <w:pStyle w:val="Heading2"/>
        <w:keepNext/>
        <w:widowControl/>
        <w:rPr>
          <w:i/>
        </w:rPr>
      </w:pPr>
      <w:bookmarkStart w:id="10" w:name="_Toc419206532"/>
      <w:r w:rsidRPr="002C2775">
        <w:rPr>
          <w:i/>
        </w:rPr>
        <w:t>Comparative harms</w:t>
      </w:r>
      <w:bookmarkEnd w:id="10"/>
    </w:p>
    <w:p w:rsidR="00B60939" w:rsidRPr="00882085" w:rsidRDefault="00B60939" w:rsidP="00950DD9">
      <w:pPr>
        <w:keepNext/>
        <w:widowControl/>
        <w:ind w:left="720" w:hanging="720"/>
        <w:rPr>
          <w:szCs w:val="22"/>
        </w:rPr>
      </w:pPr>
    </w:p>
    <w:p w:rsidR="00B60939" w:rsidRPr="00610194" w:rsidRDefault="00460BD0" w:rsidP="00950DD9">
      <w:pPr>
        <w:pStyle w:val="ListParagraph"/>
        <w:widowControl/>
        <w:numPr>
          <w:ilvl w:val="1"/>
          <w:numId w:val="5"/>
        </w:numPr>
        <w:rPr>
          <w:szCs w:val="22"/>
        </w:rPr>
      </w:pPr>
      <w:r>
        <w:rPr>
          <w:szCs w:val="22"/>
        </w:rPr>
        <w:t>A d</w:t>
      </w:r>
      <w:r w:rsidR="00610194">
        <w:rPr>
          <w:szCs w:val="22"/>
        </w:rPr>
        <w:t>irect comparison of strontium ranelate vs. placebo</w:t>
      </w:r>
      <w:r>
        <w:rPr>
          <w:szCs w:val="22"/>
        </w:rPr>
        <w:t xml:space="preserve"> is presented in the following table</w:t>
      </w:r>
      <w:r w:rsidR="00610194">
        <w:rPr>
          <w:szCs w:val="22"/>
        </w:rPr>
        <w:t>.</w:t>
      </w:r>
    </w:p>
    <w:p w:rsidR="00B60939" w:rsidRDefault="00B60939" w:rsidP="00950DD9">
      <w:pPr>
        <w:pStyle w:val="ListParagraph"/>
        <w:widowControl/>
        <w:ind w:left="0"/>
        <w:rPr>
          <w:szCs w:val="22"/>
        </w:rPr>
      </w:pPr>
    </w:p>
    <w:p w:rsidR="00610194" w:rsidRPr="00F851CE" w:rsidRDefault="008A2650" w:rsidP="00950DD9">
      <w:pPr>
        <w:pStyle w:val="COMtbl-HEADLeftAligned"/>
        <w:keepNext/>
        <w:widowControl/>
      </w:pPr>
      <w:r>
        <w:tab/>
        <w:t>Table 7</w:t>
      </w:r>
      <w:r w:rsidR="00610194">
        <w:t xml:space="preserve">: </w:t>
      </w:r>
      <w:r w:rsidR="00610194" w:rsidRPr="00071A3E">
        <w:t>Overall summary of adverse event</w:t>
      </w:r>
      <w:r w:rsidR="00610194">
        <w:t>s reported in strontium ranelate trials</w:t>
      </w:r>
    </w:p>
    <w:tbl>
      <w:tblPr>
        <w:tblW w:w="4594" w:type="pct"/>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8"/>
        <w:gridCol w:w="1046"/>
        <w:gridCol w:w="1048"/>
        <w:gridCol w:w="1050"/>
        <w:gridCol w:w="1050"/>
        <w:gridCol w:w="1048"/>
        <w:gridCol w:w="1045"/>
      </w:tblGrid>
      <w:tr w:rsidR="00610194" w:rsidTr="00610194">
        <w:trPr>
          <w:trHeight w:val="86"/>
        </w:trPr>
        <w:tc>
          <w:tcPr>
            <w:tcW w:w="1233" w:type="pct"/>
            <w:vMerge w:val="restart"/>
            <w:vAlign w:val="center"/>
          </w:tcPr>
          <w:p w:rsidR="00610194" w:rsidRDefault="00610194" w:rsidP="00950DD9">
            <w:pPr>
              <w:pStyle w:val="COMtbl-HEADLeftAligned"/>
              <w:keepNext/>
              <w:widowControl/>
            </w:pPr>
          </w:p>
        </w:tc>
        <w:tc>
          <w:tcPr>
            <w:tcW w:w="1255" w:type="pct"/>
            <w:gridSpan w:val="2"/>
            <w:vAlign w:val="center"/>
          </w:tcPr>
          <w:p w:rsidR="00610194" w:rsidRPr="00610194" w:rsidRDefault="00610194" w:rsidP="00950DD9">
            <w:pPr>
              <w:pStyle w:val="COMtbl-HEADCentred"/>
              <w:keepNext/>
              <w:widowControl/>
              <w:rPr>
                <w:vertAlign w:val="superscript"/>
              </w:rPr>
            </w:pPr>
            <w:r>
              <w:t>SOTI 3-year</w:t>
            </w:r>
            <w:r>
              <w:rPr>
                <w:vertAlign w:val="superscript"/>
              </w:rPr>
              <w:t xml:space="preserve"> </w:t>
            </w:r>
          </w:p>
        </w:tc>
        <w:tc>
          <w:tcPr>
            <w:tcW w:w="1258" w:type="pct"/>
            <w:gridSpan w:val="2"/>
            <w:vAlign w:val="center"/>
          </w:tcPr>
          <w:p w:rsidR="00610194" w:rsidRDefault="00610194" w:rsidP="00950DD9">
            <w:pPr>
              <w:pStyle w:val="COMtbl-HEADCentred"/>
              <w:keepNext/>
              <w:widowControl/>
            </w:pPr>
            <w:r>
              <w:t>TROPOS 5-year</w:t>
            </w:r>
          </w:p>
        </w:tc>
        <w:tc>
          <w:tcPr>
            <w:tcW w:w="1255" w:type="pct"/>
            <w:gridSpan w:val="2"/>
            <w:vAlign w:val="center"/>
          </w:tcPr>
          <w:p w:rsidR="00610194" w:rsidRPr="00B46698" w:rsidRDefault="00610194" w:rsidP="00950DD9">
            <w:pPr>
              <w:pStyle w:val="COMtbl-HEADCentred"/>
              <w:keepNext/>
              <w:widowControl/>
            </w:pPr>
            <w:r>
              <w:t>MALEO 2-year</w:t>
            </w:r>
            <w:r>
              <w:rPr>
                <w:vertAlign w:val="superscript"/>
              </w:rPr>
              <w:t xml:space="preserve"> </w:t>
            </w:r>
          </w:p>
        </w:tc>
      </w:tr>
      <w:tr w:rsidR="00610194" w:rsidTr="00610194">
        <w:trPr>
          <w:trHeight w:val="64"/>
        </w:trPr>
        <w:tc>
          <w:tcPr>
            <w:tcW w:w="1233" w:type="pct"/>
            <w:vMerge/>
            <w:vAlign w:val="center"/>
          </w:tcPr>
          <w:p w:rsidR="00610194" w:rsidRDefault="00610194" w:rsidP="00950DD9">
            <w:pPr>
              <w:pStyle w:val="COMtbl-HEADLeftAligned"/>
              <w:keepNext/>
              <w:widowControl/>
            </w:pPr>
          </w:p>
        </w:tc>
        <w:tc>
          <w:tcPr>
            <w:tcW w:w="627" w:type="pct"/>
            <w:vAlign w:val="center"/>
          </w:tcPr>
          <w:p w:rsidR="00610194" w:rsidRDefault="00610194" w:rsidP="00950DD9">
            <w:pPr>
              <w:pStyle w:val="COMtbl-HEADCentred"/>
              <w:keepNext/>
              <w:widowControl/>
            </w:pPr>
            <w:r>
              <w:t>Strontium</w:t>
            </w:r>
          </w:p>
          <w:p w:rsidR="00610194" w:rsidRDefault="00610194" w:rsidP="00950DD9">
            <w:pPr>
              <w:pStyle w:val="COMtbl-HEADCentred"/>
              <w:keepNext/>
              <w:widowControl/>
            </w:pPr>
            <w:r>
              <w:t>N = 826</w:t>
            </w:r>
          </w:p>
        </w:tc>
        <w:tc>
          <w:tcPr>
            <w:tcW w:w="628" w:type="pct"/>
            <w:vAlign w:val="center"/>
          </w:tcPr>
          <w:p w:rsidR="00610194" w:rsidRDefault="00610194" w:rsidP="00950DD9">
            <w:pPr>
              <w:pStyle w:val="COMtbl-HEADCentred"/>
              <w:keepNext/>
              <w:widowControl/>
            </w:pPr>
            <w:r>
              <w:t>Placebo</w:t>
            </w:r>
          </w:p>
          <w:p w:rsidR="00610194" w:rsidRDefault="00610194" w:rsidP="00950DD9">
            <w:pPr>
              <w:pStyle w:val="COMtbl-HEADCentred"/>
              <w:keepNext/>
              <w:widowControl/>
            </w:pPr>
            <w:r>
              <w:t>N = 814</w:t>
            </w:r>
          </w:p>
        </w:tc>
        <w:tc>
          <w:tcPr>
            <w:tcW w:w="629" w:type="pct"/>
            <w:vAlign w:val="center"/>
          </w:tcPr>
          <w:p w:rsidR="00610194" w:rsidRDefault="00610194" w:rsidP="00950DD9">
            <w:pPr>
              <w:pStyle w:val="COMtbl-HEADCentred"/>
              <w:keepNext/>
              <w:widowControl/>
            </w:pPr>
            <w:r>
              <w:t>Strontium</w:t>
            </w:r>
          </w:p>
          <w:p w:rsidR="00610194" w:rsidRDefault="00610194" w:rsidP="00950DD9">
            <w:pPr>
              <w:pStyle w:val="COMtbl-HEADCentred"/>
              <w:keepNext/>
              <w:widowControl/>
            </w:pPr>
            <w:r>
              <w:t>N = 2,526</w:t>
            </w:r>
          </w:p>
        </w:tc>
        <w:tc>
          <w:tcPr>
            <w:tcW w:w="629" w:type="pct"/>
            <w:vAlign w:val="center"/>
          </w:tcPr>
          <w:p w:rsidR="00610194" w:rsidRDefault="00610194" w:rsidP="00950DD9">
            <w:pPr>
              <w:pStyle w:val="COMtbl-HEADCentred"/>
              <w:keepNext/>
              <w:widowControl/>
            </w:pPr>
            <w:r>
              <w:t>Placebo</w:t>
            </w:r>
          </w:p>
          <w:p w:rsidR="00610194" w:rsidRPr="009C778F" w:rsidRDefault="00610194" w:rsidP="00950DD9">
            <w:pPr>
              <w:pStyle w:val="COMtbl-HEADCentred"/>
              <w:keepNext/>
              <w:widowControl/>
            </w:pPr>
            <w:r>
              <w:t>N = 2,503</w:t>
            </w:r>
          </w:p>
        </w:tc>
        <w:tc>
          <w:tcPr>
            <w:tcW w:w="628" w:type="pct"/>
            <w:vAlign w:val="center"/>
          </w:tcPr>
          <w:p w:rsidR="00610194" w:rsidRDefault="00610194" w:rsidP="00950DD9">
            <w:pPr>
              <w:pStyle w:val="COMtbl-HEADCentred"/>
              <w:keepNext/>
              <w:widowControl/>
            </w:pPr>
            <w:r>
              <w:t>Strontium</w:t>
            </w:r>
          </w:p>
          <w:p w:rsidR="00610194" w:rsidRPr="009C778F" w:rsidRDefault="00610194" w:rsidP="00950DD9">
            <w:pPr>
              <w:pStyle w:val="COMtbl-HEADCentred"/>
              <w:keepNext/>
              <w:widowControl/>
            </w:pPr>
            <w:r>
              <w:t>N = 173</w:t>
            </w:r>
          </w:p>
        </w:tc>
        <w:tc>
          <w:tcPr>
            <w:tcW w:w="627" w:type="pct"/>
            <w:vAlign w:val="center"/>
          </w:tcPr>
          <w:p w:rsidR="00610194" w:rsidRDefault="00610194" w:rsidP="00950DD9">
            <w:pPr>
              <w:pStyle w:val="COMtbl-HEADCentred"/>
              <w:keepNext/>
              <w:widowControl/>
            </w:pPr>
            <w:r>
              <w:t>Placebo</w:t>
            </w:r>
          </w:p>
          <w:p w:rsidR="00610194" w:rsidRPr="009C778F" w:rsidRDefault="00610194" w:rsidP="00950DD9">
            <w:pPr>
              <w:pStyle w:val="COMtbl-HEADCentred"/>
              <w:keepNext/>
              <w:widowControl/>
            </w:pPr>
            <w:r>
              <w:t>N = 187</w:t>
            </w:r>
          </w:p>
        </w:tc>
      </w:tr>
      <w:tr w:rsidR="00610194" w:rsidTr="00610194">
        <w:tc>
          <w:tcPr>
            <w:tcW w:w="5000" w:type="pct"/>
            <w:gridSpan w:val="7"/>
            <w:tcBorders>
              <w:bottom w:val="single" w:sz="4" w:space="0" w:color="auto"/>
            </w:tcBorders>
            <w:vAlign w:val="center"/>
          </w:tcPr>
          <w:p w:rsidR="00610194" w:rsidRPr="00286235" w:rsidRDefault="00610194" w:rsidP="00950DD9">
            <w:pPr>
              <w:pStyle w:val="COMtbl-textCentred"/>
              <w:keepNext/>
              <w:widowControl/>
              <w:jc w:val="left"/>
              <w:rPr>
                <w:b/>
              </w:rPr>
            </w:pPr>
            <w:r>
              <w:rPr>
                <w:b/>
              </w:rPr>
              <w:t xml:space="preserve">Proportion of patients with adverse events emergent under treatment, n/N (%) </w:t>
            </w:r>
          </w:p>
        </w:tc>
      </w:tr>
      <w:tr w:rsidR="00610194" w:rsidTr="00610194">
        <w:tc>
          <w:tcPr>
            <w:tcW w:w="1233" w:type="pct"/>
            <w:tcBorders>
              <w:bottom w:val="double" w:sz="4" w:space="0" w:color="auto"/>
            </w:tcBorders>
            <w:vAlign w:val="center"/>
          </w:tcPr>
          <w:p w:rsidR="00610194" w:rsidRDefault="00610194" w:rsidP="00950DD9">
            <w:pPr>
              <w:pStyle w:val="COMtbl-textLeftAligned"/>
              <w:keepNext/>
              <w:widowControl/>
            </w:pPr>
            <w:r>
              <w:t>Any</w:t>
            </w:r>
            <w:r w:rsidRPr="00212627">
              <w:t xml:space="preserve"> events</w:t>
            </w:r>
          </w:p>
        </w:tc>
        <w:tc>
          <w:tcPr>
            <w:tcW w:w="627" w:type="pct"/>
            <w:tcBorders>
              <w:bottom w:val="double" w:sz="4" w:space="0" w:color="auto"/>
            </w:tcBorders>
            <w:vAlign w:val="center"/>
          </w:tcPr>
          <w:p w:rsidR="00610194" w:rsidRPr="004A54DB" w:rsidRDefault="00610194" w:rsidP="00950DD9">
            <w:pPr>
              <w:pStyle w:val="COMtbl-textCentred"/>
              <w:keepNext/>
              <w:widowControl/>
            </w:pPr>
            <w:r>
              <w:t>730 (88.4%)</w:t>
            </w:r>
          </w:p>
        </w:tc>
        <w:tc>
          <w:tcPr>
            <w:tcW w:w="628" w:type="pct"/>
            <w:tcBorders>
              <w:bottom w:val="double" w:sz="4" w:space="0" w:color="auto"/>
            </w:tcBorders>
            <w:vAlign w:val="center"/>
          </w:tcPr>
          <w:p w:rsidR="00610194" w:rsidRPr="004A54DB" w:rsidRDefault="00610194" w:rsidP="00950DD9">
            <w:pPr>
              <w:pStyle w:val="COMtbl-textCentred"/>
              <w:keepNext/>
              <w:widowControl/>
            </w:pPr>
            <w:r>
              <w:t>711 (87.3%)</w:t>
            </w:r>
          </w:p>
        </w:tc>
        <w:tc>
          <w:tcPr>
            <w:tcW w:w="628" w:type="pct"/>
            <w:tcBorders>
              <w:bottom w:val="double" w:sz="4" w:space="0" w:color="auto"/>
            </w:tcBorders>
            <w:vAlign w:val="center"/>
          </w:tcPr>
          <w:p w:rsidR="00610194" w:rsidRPr="001D492A" w:rsidRDefault="00610194" w:rsidP="00950DD9">
            <w:pPr>
              <w:pStyle w:val="COMtbl-textCentred"/>
              <w:keepNext/>
              <w:widowControl/>
            </w:pPr>
            <w:r>
              <w:t>2311 (91.5%)</w:t>
            </w:r>
          </w:p>
        </w:tc>
        <w:tc>
          <w:tcPr>
            <w:tcW w:w="628" w:type="pct"/>
            <w:tcBorders>
              <w:bottom w:val="double" w:sz="4" w:space="0" w:color="auto"/>
            </w:tcBorders>
            <w:vAlign w:val="center"/>
          </w:tcPr>
          <w:p w:rsidR="00610194" w:rsidRPr="001D492A" w:rsidRDefault="00610194" w:rsidP="00950DD9">
            <w:pPr>
              <w:pStyle w:val="COMtbl-textCentred"/>
              <w:keepNext/>
              <w:widowControl/>
            </w:pPr>
            <w:r>
              <w:t>2295 (91.7%)</w:t>
            </w:r>
          </w:p>
        </w:tc>
        <w:tc>
          <w:tcPr>
            <w:tcW w:w="628" w:type="pct"/>
            <w:tcBorders>
              <w:bottom w:val="double" w:sz="4" w:space="0" w:color="auto"/>
            </w:tcBorders>
            <w:vAlign w:val="center"/>
          </w:tcPr>
          <w:p w:rsidR="00610194" w:rsidRPr="00D45DD2" w:rsidRDefault="00610194" w:rsidP="00950DD9">
            <w:pPr>
              <w:pStyle w:val="COMtbl-textCentred"/>
              <w:keepNext/>
              <w:widowControl/>
            </w:pPr>
            <w:r>
              <w:t>153 (88.4%)</w:t>
            </w:r>
          </w:p>
        </w:tc>
        <w:tc>
          <w:tcPr>
            <w:tcW w:w="628" w:type="pct"/>
            <w:tcBorders>
              <w:bottom w:val="double" w:sz="4" w:space="0" w:color="auto"/>
            </w:tcBorders>
            <w:vAlign w:val="center"/>
          </w:tcPr>
          <w:p w:rsidR="00610194" w:rsidRPr="00D45DD2" w:rsidRDefault="00610194" w:rsidP="00950DD9">
            <w:pPr>
              <w:pStyle w:val="COMtbl-textCentred"/>
              <w:keepNext/>
              <w:widowControl/>
            </w:pPr>
            <w:r>
              <w:t>84 (96.6%)</w:t>
            </w:r>
          </w:p>
        </w:tc>
      </w:tr>
      <w:tr w:rsidR="00610194" w:rsidTr="00610194">
        <w:tc>
          <w:tcPr>
            <w:tcW w:w="1233" w:type="pct"/>
            <w:vAlign w:val="center"/>
          </w:tcPr>
          <w:p w:rsidR="00610194" w:rsidRDefault="00610194" w:rsidP="00950DD9">
            <w:pPr>
              <w:pStyle w:val="COMtbl-textLeftAligned"/>
              <w:keepNext/>
              <w:widowControl/>
            </w:pPr>
            <w:r>
              <w:t>- Nausea</w:t>
            </w:r>
          </w:p>
        </w:tc>
        <w:tc>
          <w:tcPr>
            <w:tcW w:w="627" w:type="pct"/>
            <w:vAlign w:val="center"/>
          </w:tcPr>
          <w:p w:rsidR="00610194" w:rsidRDefault="00610194" w:rsidP="00950DD9">
            <w:pPr>
              <w:pStyle w:val="COMtbl-textCentred"/>
              <w:keepNext/>
              <w:widowControl/>
            </w:pPr>
            <w:r>
              <w:t>41 (5.0%)</w:t>
            </w:r>
          </w:p>
        </w:tc>
        <w:tc>
          <w:tcPr>
            <w:tcW w:w="628" w:type="pct"/>
            <w:vAlign w:val="center"/>
          </w:tcPr>
          <w:p w:rsidR="00610194" w:rsidRDefault="00610194" w:rsidP="00950DD9">
            <w:pPr>
              <w:pStyle w:val="COMtbl-textCentred"/>
              <w:keepNext/>
              <w:widowControl/>
            </w:pPr>
            <w:r>
              <w:t>31 (3.8%)</w:t>
            </w:r>
          </w:p>
        </w:tc>
        <w:tc>
          <w:tcPr>
            <w:tcW w:w="628" w:type="pct"/>
            <w:vAlign w:val="center"/>
          </w:tcPr>
          <w:p w:rsidR="00610194" w:rsidRDefault="00610194" w:rsidP="00950DD9">
            <w:pPr>
              <w:pStyle w:val="COMtbl-textCentred"/>
              <w:keepNext/>
              <w:widowControl/>
            </w:pPr>
            <w:r>
              <w:t>196 (7.8%)</w:t>
            </w:r>
          </w:p>
        </w:tc>
        <w:tc>
          <w:tcPr>
            <w:tcW w:w="628" w:type="pct"/>
            <w:vAlign w:val="center"/>
          </w:tcPr>
          <w:p w:rsidR="00610194" w:rsidRDefault="00610194" w:rsidP="00950DD9">
            <w:pPr>
              <w:pStyle w:val="COMtbl-textCentred"/>
              <w:keepNext/>
              <w:widowControl/>
            </w:pPr>
            <w:r>
              <w:t>120 (4.8%)</w:t>
            </w:r>
          </w:p>
        </w:tc>
        <w:tc>
          <w:tcPr>
            <w:tcW w:w="628" w:type="pct"/>
            <w:vAlign w:val="center"/>
          </w:tcPr>
          <w:p w:rsidR="00610194" w:rsidRPr="00D45DD2" w:rsidRDefault="00610194" w:rsidP="00950DD9">
            <w:pPr>
              <w:pStyle w:val="COMtbl-textCentred"/>
              <w:keepNext/>
              <w:widowControl/>
            </w:pPr>
            <w:r>
              <w:t>NR</w:t>
            </w:r>
          </w:p>
        </w:tc>
        <w:tc>
          <w:tcPr>
            <w:tcW w:w="628" w:type="pct"/>
            <w:vAlign w:val="center"/>
          </w:tcPr>
          <w:p w:rsidR="00610194" w:rsidRPr="00D45DD2" w:rsidRDefault="00610194" w:rsidP="00950DD9">
            <w:pPr>
              <w:pStyle w:val="COMtbl-textCentred"/>
              <w:keepNext/>
              <w:widowControl/>
            </w:pPr>
            <w:r>
              <w:t>NR</w:t>
            </w:r>
          </w:p>
        </w:tc>
      </w:tr>
      <w:tr w:rsidR="00610194" w:rsidTr="00610194">
        <w:tc>
          <w:tcPr>
            <w:tcW w:w="1233" w:type="pct"/>
            <w:vAlign w:val="center"/>
          </w:tcPr>
          <w:p w:rsidR="00610194" w:rsidRDefault="00610194" w:rsidP="00950DD9">
            <w:pPr>
              <w:pStyle w:val="COMtbl-textLeftAligned"/>
              <w:keepNext/>
              <w:widowControl/>
            </w:pPr>
            <w:r>
              <w:t>- Diarrhoea</w:t>
            </w:r>
          </w:p>
        </w:tc>
        <w:tc>
          <w:tcPr>
            <w:tcW w:w="627" w:type="pct"/>
            <w:vAlign w:val="center"/>
          </w:tcPr>
          <w:p w:rsidR="00610194" w:rsidRDefault="00610194" w:rsidP="00950DD9">
            <w:pPr>
              <w:pStyle w:val="COMtbl-textCentred"/>
              <w:keepNext/>
              <w:widowControl/>
            </w:pPr>
            <w:r>
              <w:t>50 (6.1%)</w:t>
            </w:r>
          </w:p>
        </w:tc>
        <w:tc>
          <w:tcPr>
            <w:tcW w:w="628" w:type="pct"/>
            <w:vAlign w:val="center"/>
          </w:tcPr>
          <w:p w:rsidR="00610194" w:rsidRDefault="00610194" w:rsidP="00950DD9">
            <w:pPr>
              <w:pStyle w:val="COMtbl-textCentred"/>
              <w:keepNext/>
              <w:widowControl/>
            </w:pPr>
            <w:r>
              <w:t>29 (3.6%)</w:t>
            </w:r>
          </w:p>
        </w:tc>
        <w:tc>
          <w:tcPr>
            <w:tcW w:w="628" w:type="pct"/>
            <w:vAlign w:val="center"/>
          </w:tcPr>
          <w:p w:rsidR="00610194" w:rsidRDefault="00610194" w:rsidP="00950DD9">
            <w:pPr>
              <w:pStyle w:val="COMtbl-textCentred"/>
              <w:keepNext/>
              <w:widowControl/>
            </w:pPr>
            <w:r>
              <w:t>182 (7.2%)</w:t>
            </w:r>
          </w:p>
        </w:tc>
        <w:tc>
          <w:tcPr>
            <w:tcW w:w="628" w:type="pct"/>
            <w:vAlign w:val="center"/>
          </w:tcPr>
          <w:p w:rsidR="00610194" w:rsidRDefault="00610194" w:rsidP="00950DD9">
            <w:pPr>
              <w:pStyle w:val="COMtbl-textCentred"/>
              <w:keepNext/>
              <w:widowControl/>
            </w:pPr>
            <w:r>
              <w:t>136 (5.4%)</w:t>
            </w:r>
          </w:p>
        </w:tc>
        <w:tc>
          <w:tcPr>
            <w:tcW w:w="628" w:type="pct"/>
            <w:vAlign w:val="center"/>
          </w:tcPr>
          <w:p w:rsidR="00610194" w:rsidRPr="00D45DD2" w:rsidRDefault="00610194" w:rsidP="00950DD9">
            <w:pPr>
              <w:pStyle w:val="COMtbl-textCentred"/>
              <w:keepNext/>
              <w:widowControl/>
            </w:pPr>
            <w:r>
              <w:t>NR</w:t>
            </w:r>
          </w:p>
        </w:tc>
        <w:tc>
          <w:tcPr>
            <w:tcW w:w="628" w:type="pct"/>
            <w:vAlign w:val="center"/>
          </w:tcPr>
          <w:p w:rsidR="00610194" w:rsidRPr="00D45DD2" w:rsidRDefault="00610194" w:rsidP="00950DD9">
            <w:pPr>
              <w:pStyle w:val="COMtbl-textCentred"/>
              <w:keepNext/>
              <w:widowControl/>
            </w:pPr>
            <w:r>
              <w:t>NR</w:t>
            </w:r>
          </w:p>
        </w:tc>
      </w:tr>
      <w:tr w:rsidR="00610194" w:rsidTr="00610194">
        <w:tc>
          <w:tcPr>
            <w:tcW w:w="1233" w:type="pct"/>
            <w:vAlign w:val="center"/>
          </w:tcPr>
          <w:p w:rsidR="00610194" w:rsidRPr="00F945EB" w:rsidRDefault="00610194" w:rsidP="00950DD9">
            <w:pPr>
              <w:pStyle w:val="COMtbl-textLeftAligned"/>
              <w:keepNext/>
              <w:widowControl/>
              <w:rPr>
                <w:vertAlign w:val="superscript"/>
              </w:rPr>
            </w:pPr>
            <w:r>
              <w:t>- Thromboembolism</w:t>
            </w:r>
          </w:p>
        </w:tc>
        <w:tc>
          <w:tcPr>
            <w:tcW w:w="627" w:type="pct"/>
            <w:vAlign w:val="center"/>
          </w:tcPr>
          <w:p w:rsidR="00610194" w:rsidRDefault="00610194" w:rsidP="00950DD9">
            <w:pPr>
              <w:pStyle w:val="COMtbl-textCentred"/>
              <w:keepNext/>
              <w:widowControl/>
            </w:pPr>
            <w:r>
              <w:t>21 (2.5%)</w:t>
            </w:r>
          </w:p>
        </w:tc>
        <w:tc>
          <w:tcPr>
            <w:tcW w:w="628" w:type="pct"/>
            <w:vAlign w:val="center"/>
          </w:tcPr>
          <w:p w:rsidR="00610194" w:rsidRDefault="00610194" w:rsidP="00950DD9">
            <w:pPr>
              <w:pStyle w:val="COMtbl-textCentred"/>
              <w:keepNext/>
              <w:widowControl/>
            </w:pPr>
            <w:r>
              <w:t>12 (1.5%)</w:t>
            </w:r>
          </w:p>
        </w:tc>
        <w:tc>
          <w:tcPr>
            <w:tcW w:w="628" w:type="pct"/>
            <w:vAlign w:val="center"/>
          </w:tcPr>
          <w:p w:rsidR="00610194" w:rsidRDefault="00610194" w:rsidP="00950DD9">
            <w:pPr>
              <w:pStyle w:val="COMtbl-textCentred"/>
              <w:keepNext/>
              <w:widowControl/>
            </w:pPr>
            <w:r>
              <w:t>(2.7%)</w:t>
            </w:r>
          </w:p>
        </w:tc>
        <w:tc>
          <w:tcPr>
            <w:tcW w:w="628" w:type="pct"/>
            <w:vAlign w:val="center"/>
          </w:tcPr>
          <w:p w:rsidR="00610194" w:rsidRDefault="00610194" w:rsidP="00950DD9">
            <w:pPr>
              <w:pStyle w:val="COMtbl-textCentred"/>
              <w:keepNext/>
              <w:widowControl/>
            </w:pPr>
            <w:r>
              <w:t>(2.1%)</w:t>
            </w:r>
          </w:p>
        </w:tc>
        <w:tc>
          <w:tcPr>
            <w:tcW w:w="628" w:type="pct"/>
            <w:vAlign w:val="center"/>
          </w:tcPr>
          <w:p w:rsidR="00610194" w:rsidRPr="00D45DD2" w:rsidRDefault="00610194" w:rsidP="00950DD9">
            <w:pPr>
              <w:pStyle w:val="COMtbl-textCentred"/>
              <w:keepNext/>
              <w:widowControl/>
            </w:pPr>
            <w:r>
              <w:t>3 (1.7%)</w:t>
            </w:r>
          </w:p>
        </w:tc>
        <w:tc>
          <w:tcPr>
            <w:tcW w:w="628" w:type="pct"/>
            <w:vAlign w:val="center"/>
          </w:tcPr>
          <w:p w:rsidR="00610194" w:rsidRPr="00D45DD2" w:rsidRDefault="00610194" w:rsidP="00950DD9">
            <w:pPr>
              <w:pStyle w:val="COMtbl-textCentred"/>
              <w:keepNext/>
              <w:widowControl/>
            </w:pPr>
            <w:r>
              <w:t>0 (0.0%)</w:t>
            </w:r>
          </w:p>
        </w:tc>
      </w:tr>
      <w:tr w:rsidR="00610194" w:rsidTr="00610194">
        <w:tc>
          <w:tcPr>
            <w:tcW w:w="1233" w:type="pct"/>
            <w:vAlign w:val="center"/>
          </w:tcPr>
          <w:p w:rsidR="00610194" w:rsidRDefault="00610194" w:rsidP="00950DD9">
            <w:pPr>
              <w:pStyle w:val="COMtbl-textLeftAligned"/>
              <w:keepNext/>
              <w:widowControl/>
            </w:pPr>
            <w:r>
              <w:t>- Myocardial infarction</w:t>
            </w:r>
          </w:p>
        </w:tc>
        <w:tc>
          <w:tcPr>
            <w:tcW w:w="627" w:type="pct"/>
            <w:vAlign w:val="center"/>
          </w:tcPr>
          <w:p w:rsidR="00610194" w:rsidRDefault="00610194" w:rsidP="00950DD9">
            <w:pPr>
              <w:pStyle w:val="COMtbl-textCentred"/>
              <w:keepNext/>
              <w:widowControl/>
            </w:pPr>
            <w:r>
              <w:t>4 (0.5%)</w:t>
            </w:r>
          </w:p>
        </w:tc>
        <w:tc>
          <w:tcPr>
            <w:tcW w:w="628" w:type="pct"/>
            <w:vAlign w:val="center"/>
          </w:tcPr>
          <w:p w:rsidR="00610194" w:rsidRDefault="00610194" w:rsidP="00950DD9">
            <w:pPr>
              <w:pStyle w:val="COMtbl-textCentred"/>
              <w:keepNext/>
              <w:widowControl/>
            </w:pPr>
            <w:r>
              <w:t>6 (0.7%)</w:t>
            </w:r>
          </w:p>
        </w:tc>
        <w:tc>
          <w:tcPr>
            <w:tcW w:w="628" w:type="pct"/>
            <w:vAlign w:val="center"/>
          </w:tcPr>
          <w:p w:rsidR="00610194" w:rsidRDefault="00610194" w:rsidP="00950DD9">
            <w:pPr>
              <w:pStyle w:val="COMtbl-textCentred"/>
              <w:keepNext/>
              <w:widowControl/>
            </w:pPr>
            <w:r>
              <w:t>52 (2.1%)</w:t>
            </w:r>
          </w:p>
        </w:tc>
        <w:tc>
          <w:tcPr>
            <w:tcW w:w="628" w:type="pct"/>
            <w:vAlign w:val="center"/>
          </w:tcPr>
          <w:p w:rsidR="00610194" w:rsidRDefault="00610194" w:rsidP="00950DD9">
            <w:pPr>
              <w:pStyle w:val="COMtbl-textCentred"/>
              <w:keepNext/>
              <w:widowControl/>
            </w:pPr>
            <w:r>
              <w:t>29 (1.2%)</w:t>
            </w:r>
          </w:p>
        </w:tc>
        <w:tc>
          <w:tcPr>
            <w:tcW w:w="628" w:type="pct"/>
            <w:vAlign w:val="center"/>
          </w:tcPr>
          <w:p w:rsidR="00610194" w:rsidRDefault="00610194" w:rsidP="00950DD9">
            <w:pPr>
              <w:pStyle w:val="COMtbl-textCentred"/>
              <w:keepNext/>
              <w:widowControl/>
            </w:pPr>
            <w:r>
              <w:t>NR</w:t>
            </w:r>
          </w:p>
        </w:tc>
        <w:tc>
          <w:tcPr>
            <w:tcW w:w="628" w:type="pct"/>
            <w:vAlign w:val="center"/>
          </w:tcPr>
          <w:p w:rsidR="00610194" w:rsidRDefault="00610194" w:rsidP="00950DD9">
            <w:pPr>
              <w:pStyle w:val="COMtbl-textCentred"/>
              <w:keepNext/>
              <w:widowControl/>
            </w:pPr>
            <w:r>
              <w:t>NR</w:t>
            </w:r>
          </w:p>
        </w:tc>
      </w:tr>
      <w:tr w:rsidR="00610194" w:rsidTr="00610194">
        <w:tc>
          <w:tcPr>
            <w:tcW w:w="1233" w:type="pct"/>
            <w:vAlign w:val="center"/>
          </w:tcPr>
          <w:p w:rsidR="00610194" w:rsidRDefault="00610194" w:rsidP="00950DD9">
            <w:pPr>
              <w:pStyle w:val="COMtbl-textLeftAligned"/>
              <w:keepNext/>
              <w:widowControl/>
            </w:pPr>
            <w:r>
              <w:t>- Hypercholesterolemia</w:t>
            </w:r>
          </w:p>
        </w:tc>
        <w:tc>
          <w:tcPr>
            <w:tcW w:w="627" w:type="pct"/>
            <w:vAlign w:val="center"/>
          </w:tcPr>
          <w:p w:rsidR="00610194" w:rsidRDefault="00610194" w:rsidP="00950DD9">
            <w:pPr>
              <w:pStyle w:val="COMtbl-textCentred"/>
              <w:keepNext/>
              <w:widowControl/>
            </w:pPr>
            <w:r>
              <w:t>61 (7.4%)</w:t>
            </w:r>
          </w:p>
        </w:tc>
        <w:tc>
          <w:tcPr>
            <w:tcW w:w="628" w:type="pct"/>
            <w:vAlign w:val="center"/>
          </w:tcPr>
          <w:p w:rsidR="00610194" w:rsidRDefault="00610194" w:rsidP="00950DD9">
            <w:pPr>
              <w:pStyle w:val="COMtbl-textCentred"/>
              <w:keepNext/>
              <w:widowControl/>
            </w:pPr>
            <w:r>
              <w:t>44 (5.4%)</w:t>
            </w:r>
          </w:p>
        </w:tc>
        <w:tc>
          <w:tcPr>
            <w:tcW w:w="628" w:type="pct"/>
            <w:vAlign w:val="center"/>
          </w:tcPr>
          <w:p w:rsidR="00610194" w:rsidRDefault="00610194" w:rsidP="00950DD9">
            <w:pPr>
              <w:pStyle w:val="COMtbl-textCentred"/>
              <w:keepNext/>
              <w:widowControl/>
            </w:pPr>
            <w:r>
              <w:t>184 (7.3%)</w:t>
            </w:r>
          </w:p>
        </w:tc>
        <w:tc>
          <w:tcPr>
            <w:tcW w:w="628" w:type="pct"/>
            <w:vAlign w:val="center"/>
          </w:tcPr>
          <w:p w:rsidR="00610194" w:rsidRDefault="00610194" w:rsidP="00950DD9">
            <w:pPr>
              <w:pStyle w:val="COMtbl-textCentred"/>
              <w:keepNext/>
              <w:widowControl/>
            </w:pPr>
            <w:r>
              <w:t>134 (5.4%)</w:t>
            </w:r>
          </w:p>
        </w:tc>
        <w:tc>
          <w:tcPr>
            <w:tcW w:w="628" w:type="pct"/>
            <w:vAlign w:val="center"/>
          </w:tcPr>
          <w:p w:rsidR="00610194" w:rsidRDefault="00610194" w:rsidP="00950DD9">
            <w:pPr>
              <w:pStyle w:val="COMtbl-textCentred"/>
              <w:keepNext/>
              <w:widowControl/>
            </w:pPr>
            <w:r>
              <w:t>NR</w:t>
            </w:r>
          </w:p>
        </w:tc>
        <w:tc>
          <w:tcPr>
            <w:tcW w:w="628" w:type="pct"/>
            <w:vAlign w:val="center"/>
          </w:tcPr>
          <w:p w:rsidR="00610194" w:rsidRDefault="00610194" w:rsidP="00950DD9">
            <w:pPr>
              <w:pStyle w:val="COMtbl-textCentred"/>
              <w:keepNext/>
              <w:widowControl/>
            </w:pPr>
            <w:r>
              <w:t>NR</w:t>
            </w:r>
          </w:p>
        </w:tc>
      </w:tr>
      <w:tr w:rsidR="00610194" w:rsidTr="00610194">
        <w:tc>
          <w:tcPr>
            <w:tcW w:w="1233" w:type="pct"/>
            <w:vAlign w:val="center"/>
          </w:tcPr>
          <w:p w:rsidR="00610194" w:rsidRPr="00570BF3" w:rsidRDefault="00610194" w:rsidP="00950DD9">
            <w:pPr>
              <w:pStyle w:val="COMtbl-textLeftAligned"/>
              <w:keepNext/>
              <w:widowControl/>
              <w:rPr>
                <w:vertAlign w:val="superscript"/>
              </w:rPr>
            </w:pPr>
            <w:r>
              <w:t>- Disturbance of consciousness</w:t>
            </w:r>
          </w:p>
        </w:tc>
        <w:tc>
          <w:tcPr>
            <w:tcW w:w="627" w:type="pct"/>
            <w:vAlign w:val="center"/>
          </w:tcPr>
          <w:p w:rsidR="00610194" w:rsidRDefault="00610194" w:rsidP="00950DD9">
            <w:pPr>
              <w:pStyle w:val="COMtbl-textCentred"/>
              <w:keepNext/>
              <w:widowControl/>
            </w:pPr>
            <w:r>
              <w:t>16 (1.9%)</w:t>
            </w:r>
          </w:p>
        </w:tc>
        <w:tc>
          <w:tcPr>
            <w:tcW w:w="628" w:type="pct"/>
            <w:vAlign w:val="center"/>
          </w:tcPr>
          <w:p w:rsidR="00610194" w:rsidRDefault="00610194" w:rsidP="00950DD9">
            <w:pPr>
              <w:pStyle w:val="COMtbl-textCentred"/>
              <w:keepNext/>
              <w:widowControl/>
            </w:pPr>
            <w:r>
              <w:t>14 (1.7%)</w:t>
            </w:r>
          </w:p>
        </w:tc>
        <w:tc>
          <w:tcPr>
            <w:tcW w:w="628" w:type="pct"/>
            <w:vAlign w:val="center"/>
          </w:tcPr>
          <w:p w:rsidR="00610194" w:rsidRDefault="00610194" w:rsidP="00950DD9">
            <w:pPr>
              <w:pStyle w:val="COMtbl-textCentred"/>
              <w:keepNext/>
              <w:widowControl/>
            </w:pPr>
            <w:r>
              <w:t>71 (2.8%)</w:t>
            </w:r>
          </w:p>
        </w:tc>
        <w:tc>
          <w:tcPr>
            <w:tcW w:w="628" w:type="pct"/>
            <w:vAlign w:val="center"/>
          </w:tcPr>
          <w:p w:rsidR="00610194" w:rsidRDefault="00610194" w:rsidP="00950DD9">
            <w:pPr>
              <w:pStyle w:val="COMtbl-textCentred"/>
              <w:keepNext/>
              <w:widowControl/>
            </w:pPr>
            <w:r>
              <w:t>54 (2.2%)</w:t>
            </w:r>
          </w:p>
        </w:tc>
        <w:tc>
          <w:tcPr>
            <w:tcW w:w="628" w:type="pct"/>
            <w:vAlign w:val="center"/>
          </w:tcPr>
          <w:p w:rsidR="00610194" w:rsidRPr="00D45DD2" w:rsidRDefault="00610194" w:rsidP="00950DD9">
            <w:pPr>
              <w:pStyle w:val="COMtbl-textCentred"/>
              <w:keepNext/>
              <w:widowControl/>
            </w:pPr>
            <w:r>
              <w:t>NR</w:t>
            </w:r>
          </w:p>
        </w:tc>
        <w:tc>
          <w:tcPr>
            <w:tcW w:w="628" w:type="pct"/>
            <w:vAlign w:val="center"/>
          </w:tcPr>
          <w:p w:rsidR="00610194" w:rsidRPr="00D45DD2" w:rsidRDefault="00610194" w:rsidP="00950DD9">
            <w:pPr>
              <w:pStyle w:val="COMtbl-textCentred"/>
              <w:keepNext/>
              <w:widowControl/>
            </w:pPr>
            <w:r>
              <w:t>NR</w:t>
            </w:r>
          </w:p>
        </w:tc>
      </w:tr>
      <w:tr w:rsidR="00610194" w:rsidTr="00610194">
        <w:tc>
          <w:tcPr>
            <w:tcW w:w="1233" w:type="pct"/>
            <w:vAlign w:val="center"/>
          </w:tcPr>
          <w:p w:rsidR="00610194" w:rsidRPr="00570BF3" w:rsidRDefault="00610194" w:rsidP="00950DD9">
            <w:pPr>
              <w:pStyle w:val="COMtbl-textLeftAligned"/>
              <w:keepNext/>
              <w:widowControl/>
              <w:rPr>
                <w:vertAlign w:val="superscript"/>
              </w:rPr>
            </w:pPr>
            <w:r>
              <w:t>- Seizures</w:t>
            </w:r>
          </w:p>
        </w:tc>
        <w:tc>
          <w:tcPr>
            <w:tcW w:w="627" w:type="pct"/>
            <w:vAlign w:val="center"/>
          </w:tcPr>
          <w:p w:rsidR="00610194" w:rsidRDefault="00610194" w:rsidP="00950DD9">
            <w:pPr>
              <w:pStyle w:val="COMtbl-textCentred"/>
              <w:keepNext/>
              <w:widowControl/>
            </w:pPr>
            <w:r>
              <w:t>2 (0.2%)</w:t>
            </w:r>
          </w:p>
        </w:tc>
        <w:tc>
          <w:tcPr>
            <w:tcW w:w="628" w:type="pct"/>
            <w:vAlign w:val="center"/>
          </w:tcPr>
          <w:p w:rsidR="00610194" w:rsidRDefault="00610194" w:rsidP="00950DD9">
            <w:pPr>
              <w:pStyle w:val="COMtbl-textCentred"/>
              <w:keepNext/>
              <w:widowControl/>
            </w:pPr>
            <w:r>
              <w:t>0 (0.0%)</w:t>
            </w:r>
          </w:p>
        </w:tc>
        <w:tc>
          <w:tcPr>
            <w:tcW w:w="628" w:type="pct"/>
            <w:vAlign w:val="center"/>
          </w:tcPr>
          <w:p w:rsidR="00610194" w:rsidRDefault="00610194" w:rsidP="00950DD9">
            <w:pPr>
              <w:pStyle w:val="COMtbl-textCentred"/>
              <w:keepNext/>
              <w:widowControl/>
            </w:pPr>
            <w:r>
              <w:t>10 (0.4%)</w:t>
            </w:r>
          </w:p>
        </w:tc>
        <w:tc>
          <w:tcPr>
            <w:tcW w:w="628" w:type="pct"/>
            <w:vAlign w:val="center"/>
          </w:tcPr>
          <w:p w:rsidR="00610194" w:rsidRDefault="00610194" w:rsidP="00950DD9">
            <w:pPr>
              <w:pStyle w:val="COMtbl-textCentred"/>
              <w:keepNext/>
              <w:widowControl/>
            </w:pPr>
            <w:r>
              <w:t>2 (0.1%)</w:t>
            </w:r>
          </w:p>
        </w:tc>
        <w:tc>
          <w:tcPr>
            <w:tcW w:w="628" w:type="pct"/>
            <w:vAlign w:val="center"/>
          </w:tcPr>
          <w:p w:rsidR="00610194" w:rsidRPr="00D45DD2" w:rsidRDefault="00610194" w:rsidP="00950DD9">
            <w:pPr>
              <w:pStyle w:val="COMtbl-textCentred"/>
              <w:keepNext/>
              <w:widowControl/>
            </w:pPr>
            <w:r>
              <w:t>NR</w:t>
            </w:r>
          </w:p>
        </w:tc>
        <w:tc>
          <w:tcPr>
            <w:tcW w:w="628" w:type="pct"/>
            <w:vAlign w:val="center"/>
          </w:tcPr>
          <w:p w:rsidR="00610194" w:rsidRPr="00D45DD2" w:rsidRDefault="00610194" w:rsidP="00950DD9">
            <w:pPr>
              <w:pStyle w:val="COMtbl-textCentred"/>
              <w:keepNext/>
              <w:widowControl/>
            </w:pPr>
            <w:r>
              <w:t>NR</w:t>
            </w:r>
          </w:p>
        </w:tc>
      </w:tr>
      <w:tr w:rsidR="00610194" w:rsidTr="00610194">
        <w:tc>
          <w:tcPr>
            <w:tcW w:w="1233" w:type="pct"/>
            <w:vAlign w:val="center"/>
          </w:tcPr>
          <w:p w:rsidR="00610194" w:rsidRPr="00570BF3" w:rsidRDefault="00610194" w:rsidP="00950DD9">
            <w:pPr>
              <w:pStyle w:val="COMtbl-textLeftAligned"/>
              <w:keepNext/>
              <w:widowControl/>
              <w:rPr>
                <w:vertAlign w:val="superscript"/>
              </w:rPr>
            </w:pPr>
            <w:r>
              <w:t>- Memory loss</w:t>
            </w:r>
          </w:p>
        </w:tc>
        <w:tc>
          <w:tcPr>
            <w:tcW w:w="627" w:type="pct"/>
            <w:vAlign w:val="center"/>
          </w:tcPr>
          <w:p w:rsidR="00610194" w:rsidRDefault="00610194" w:rsidP="00950DD9">
            <w:pPr>
              <w:pStyle w:val="COMtbl-textCentred"/>
              <w:keepNext/>
              <w:widowControl/>
            </w:pPr>
            <w:r>
              <w:t>12 (1.5%)</w:t>
            </w:r>
          </w:p>
        </w:tc>
        <w:tc>
          <w:tcPr>
            <w:tcW w:w="628" w:type="pct"/>
            <w:vAlign w:val="center"/>
          </w:tcPr>
          <w:p w:rsidR="00610194" w:rsidRDefault="00610194" w:rsidP="00950DD9">
            <w:pPr>
              <w:pStyle w:val="COMtbl-textCentred"/>
              <w:keepNext/>
              <w:widowControl/>
            </w:pPr>
            <w:r>
              <w:t>6 (0.7%)</w:t>
            </w:r>
          </w:p>
        </w:tc>
        <w:tc>
          <w:tcPr>
            <w:tcW w:w="628" w:type="pct"/>
            <w:vAlign w:val="center"/>
          </w:tcPr>
          <w:p w:rsidR="00610194" w:rsidRDefault="00610194" w:rsidP="00950DD9">
            <w:pPr>
              <w:pStyle w:val="COMtbl-textCentred"/>
              <w:keepNext/>
              <w:widowControl/>
            </w:pPr>
            <w:r>
              <w:t>70 (2.8%)</w:t>
            </w:r>
          </w:p>
        </w:tc>
        <w:tc>
          <w:tcPr>
            <w:tcW w:w="628" w:type="pct"/>
            <w:vAlign w:val="center"/>
          </w:tcPr>
          <w:p w:rsidR="00610194" w:rsidRDefault="00610194" w:rsidP="00950DD9">
            <w:pPr>
              <w:pStyle w:val="COMtbl-textCentred"/>
              <w:keepNext/>
              <w:widowControl/>
            </w:pPr>
            <w:r>
              <w:t>59 (2.4%)</w:t>
            </w:r>
          </w:p>
        </w:tc>
        <w:tc>
          <w:tcPr>
            <w:tcW w:w="628" w:type="pct"/>
            <w:vAlign w:val="center"/>
          </w:tcPr>
          <w:p w:rsidR="00610194" w:rsidRPr="00D45DD2" w:rsidRDefault="00610194" w:rsidP="00950DD9">
            <w:pPr>
              <w:pStyle w:val="COMtbl-textCentred"/>
              <w:keepNext/>
              <w:widowControl/>
            </w:pPr>
            <w:r>
              <w:t>NR</w:t>
            </w:r>
          </w:p>
        </w:tc>
        <w:tc>
          <w:tcPr>
            <w:tcW w:w="628" w:type="pct"/>
            <w:vAlign w:val="center"/>
          </w:tcPr>
          <w:p w:rsidR="00610194" w:rsidRPr="00D45DD2" w:rsidRDefault="00610194" w:rsidP="00950DD9">
            <w:pPr>
              <w:pStyle w:val="COMtbl-textCentred"/>
              <w:keepNext/>
              <w:widowControl/>
            </w:pPr>
            <w:r>
              <w:t>NR</w:t>
            </w:r>
          </w:p>
        </w:tc>
      </w:tr>
      <w:tr w:rsidR="00610194" w:rsidTr="00610194">
        <w:tc>
          <w:tcPr>
            <w:tcW w:w="1233" w:type="pct"/>
            <w:vAlign w:val="center"/>
          </w:tcPr>
          <w:p w:rsidR="00610194" w:rsidRDefault="00610194" w:rsidP="00950DD9">
            <w:pPr>
              <w:pStyle w:val="COMtbl-textLeftAligned"/>
              <w:keepNext/>
              <w:widowControl/>
            </w:pPr>
            <w:r>
              <w:t>- Headache</w:t>
            </w:r>
          </w:p>
        </w:tc>
        <w:tc>
          <w:tcPr>
            <w:tcW w:w="627" w:type="pct"/>
            <w:vAlign w:val="center"/>
          </w:tcPr>
          <w:p w:rsidR="00610194" w:rsidRDefault="00610194" w:rsidP="00950DD9">
            <w:pPr>
              <w:pStyle w:val="COMtbl-textCentred"/>
              <w:keepNext/>
              <w:widowControl/>
            </w:pPr>
            <w:r>
              <w:t>15 (1.8%)</w:t>
            </w:r>
          </w:p>
        </w:tc>
        <w:tc>
          <w:tcPr>
            <w:tcW w:w="628" w:type="pct"/>
            <w:vAlign w:val="center"/>
          </w:tcPr>
          <w:p w:rsidR="00610194" w:rsidRDefault="00610194" w:rsidP="00950DD9">
            <w:pPr>
              <w:pStyle w:val="COMtbl-textCentred"/>
              <w:keepNext/>
              <w:widowControl/>
            </w:pPr>
            <w:r>
              <w:t>19 (2.3%)</w:t>
            </w:r>
          </w:p>
        </w:tc>
        <w:tc>
          <w:tcPr>
            <w:tcW w:w="628" w:type="pct"/>
            <w:vAlign w:val="center"/>
          </w:tcPr>
          <w:p w:rsidR="00610194" w:rsidRDefault="00610194" w:rsidP="00950DD9">
            <w:pPr>
              <w:pStyle w:val="COMtbl-textCentred"/>
              <w:keepNext/>
              <w:widowControl/>
            </w:pPr>
            <w:r>
              <w:t>92 (3.6%)</w:t>
            </w:r>
          </w:p>
        </w:tc>
        <w:tc>
          <w:tcPr>
            <w:tcW w:w="628" w:type="pct"/>
            <w:vAlign w:val="center"/>
          </w:tcPr>
          <w:p w:rsidR="00610194" w:rsidRDefault="00610194" w:rsidP="00950DD9">
            <w:pPr>
              <w:pStyle w:val="COMtbl-textCentred"/>
              <w:keepNext/>
              <w:widowControl/>
            </w:pPr>
            <w:r>
              <w:t>68 (2.7%)</w:t>
            </w:r>
          </w:p>
        </w:tc>
        <w:tc>
          <w:tcPr>
            <w:tcW w:w="628" w:type="pct"/>
            <w:vAlign w:val="center"/>
          </w:tcPr>
          <w:p w:rsidR="00610194" w:rsidRDefault="00610194" w:rsidP="00950DD9">
            <w:pPr>
              <w:pStyle w:val="COMtbl-textCentred"/>
              <w:keepNext/>
              <w:widowControl/>
            </w:pPr>
            <w:r>
              <w:t>NR</w:t>
            </w:r>
          </w:p>
        </w:tc>
        <w:tc>
          <w:tcPr>
            <w:tcW w:w="628" w:type="pct"/>
            <w:vAlign w:val="center"/>
          </w:tcPr>
          <w:p w:rsidR="00610194" w:rsidRDefault="00610194" w:rsidP="00950DD9">
            <w:pPr>
              <w:pStyle w:val="COMtbl-textCentred"/>
              <w:keepNext/>
              <w:widowControl/>
            </w:pPr>
            <w:r>
              <w:t>NR</w:t>
            </w:r>
          </w:p>
        </w:tc>
      </w:tr>
      <w:tr w:rsidR="00610194" w:rsidTr="00610194">
        <w:tc>
          <w:tcPr>
            <w:tcW w:w="1233" w:type="pct"/>
            <w:vAlign w:val="center"/>
          </w:tcPr>
          <w:p w:rsidR="00610194" w:rsidRDefault="00610194" w:rsidP="00950DD9">
            <w:pPr>
              <w:pStyle w:val="COMtbl-textLeftAligned"/>
              <w:keepNext/>
              <w:widowControl/>
            </w:pPr>
            <w:r>
              <w:t xml:space="preserve">- Dermatitis </w:t>
            </w:r>
          </w:p>
        </w:tc>
        <w:tc>
          <w:tcPr>
            <w:tcW w:w="627" w:type="pct"/>
            <w:vAlign w:val="center"/>
          </w:tcPr>
          <w:p w:rsidR="00610194" w:rsidRDefault="00610194" w:rsidP="00950DD9">
            <w:pPr>
              <w:pStyle w:val="COMtbl-textCentred"/>
              <w:keepNext/>
              <w:widowControl/>
            </w:pPr>
            <w:r>
              <w:t>17 (2.1%)</w:t>
            </w:r>
          </w:p>
        </w:tc>
        <w:tc>
          <w:tcPr>
            <w:tcW w:w="628" w:type="pct"/>
            <w:vAlign w:val="center"/>
          </w:tcPr>
          <w:p w:rsidR="00610194" w:rsidRDefault="00610194" w:rsidP="00950DD9">
            <w:pPr>
              <w:pStyle w:val="COMtbl-textCentred"/>
              <w:keepNext/>
              <w:widowControl/>
            </w:pPr>
            <w:r>
              <w:t>13 (1.6%)</w:t>
            </w:r>
          </w:p>
        </w:tc>
        <w:tc>
          <w:tcPr>
            <w:tcW w:w="628" w:type="pct"/>
            <w:vAlign w:val="center"/>
          </w:tcPr>
          <w:p w:rsidR="00610194" w:rsidRDefault="00610194" w:rsidP="00950DD9">
            <w:pPr>
              <w:pStyle w:val="COMtbl-textCentred"/>
              <w:keepNext/>
              <w:widowControl/>
            </w:pPr>
            <w:r>
              <w:t>59 (2.3%)</w:t>
            </w:r>
          </w:p>
        </w:tc>
        <w:tc>
          <w:tcPr>
            <w:tcW w:w="628" w:type="pct"/>
            <w:vAlign w:val="center"/>
          </w:tcPr>
          <w:p w:rsidR="00610194" w:rsidRDefault="00610194" w:rsidP="00950DD9">
            <w:pPr>
              <w:pStyle w:val="COMtbl-textCentred"/>
              <w:keepNext/>
              <w:widowControl/>
            </w:pPr>
            <w:r>
              <w:t>50 (2.0%)</w:t>
            </w:r>
          </w:p>
        </w:tc>
        <w:tc>
          <w:tcPr>
            <w:tcW w:w="628" w:type="pct"/>
            <w:vAlign w:val="center"/>
          </w:tcPr>
          <w:p w:rsidR="00610194" w:rsidRDefault="00610194" w:rsidP="00950DD9">
            <w:pPr>
              <w:pStyle w:val="COMtbl-textCentred"/>
              <w:keepNext/>
              <w:widowControl/>
            </w:pPr>
            <w:r>
              <w:t>NR</w:t>
            </w:r>
          </w:p>
        </w:tc>
        <w:tc>
          <w:tcPr>
            <w:tcW w:w="628" w:type="pct"/>
            <w:vAlign w:val="center"/>
          </w:tcPr>
          <w:p w:rsidR="00610194" w:rsidRDefault="00610194" w:rsidP="00950DD9">
            <w:pPr>
              <w:pStyle w:val="COMtbl-textCentred"/>
              <w:keepNext/>
              <w:widowControl/>
            </w:pPr>
            <w:r>
              <w:t>NR</w:t>
            </w:r>
          </w:p>
        </w:tc>
      </w:tr>
      <w:tr w:rsidR="00610194" w:rsidTr="00610194">
        <w:tc>
          <w:tcPr>
            <w:tcW w:w="1233" w:type="pct"/>
            <w:vAlign w:val="center"/>
          </w:tcPr>
          <w:p w:rsidR="00610194" w:rsidRDefault="00610194" w:rsidP="00950DD9">
            <w:pPr>
              <w:pStyle w:val="COMtbl-textLeftAligned"/>
              <w:keepNext/>
              <w:widowControl/>
            </w:pPr>
            <w:r>
              <w:t>- Eczema</w:t>
            </w:r>
          </w:p>
        </w:tc>
        <w:tc>
          <w:tcPr>
            <w:tcW w:w="627" w:type="pct"/>
            <w:vAlign w:val="center"/>
          </w:tcPr>
          <w:p w:rsidR="00610194" w:rsidRDefault="00610194" w:rsidP="00950DD9">
            <w:pPr>
              <w:pStyle w:val="COMtbl-textCentred"/>
              <w:keepNext/>
              <w:widowControl/>
            </w:pPr>
            <w:r>
              <w:t>8 (1.0%)</w:t>
            </w:r>
          </w:p>
        </w:tc>
        <w:tc>
          <w:tcPr>
            <w:tcW w:w="628" w:type="pct"/>
            <w:vAlign w:val="center"/>
          </w:tcPr>
          <w:p w:rsidR="00610194" w:rsidRDefault="00610194" w:rsidP="00950DD9">
            <w:pPr>
              <w:pStyle w:val="COMtbl-textCentred"/>
              <w:keepNext/>
              <w:widowControl/>
            </w:pPr>
            <w:r>
              <w:t>10 (1.2%)</w:t>
            </w:r>
          </w:p>
        </w:tc>
        <w:tc>
          <w:tcPr>
            <w:tcW w:w="628" w:type="pct"/>
            <w:vAlign w:val="center"/>
          </w:tcPr>
          <w:p w:rsidR="00610194" w:rsidRDefault="00610194" w:rsidP="00950DD9">
            <w:pPr>
              <w:pStyle w:val="COMtbl-textCentred"/>
              <w:keepNext/>
              <w:widowControl/>
            </w:pPr>
            <w:r>
              <w:t>51 (2.0%)</w:t>
            </w:r>
          </w:p>
        </w:tc>
        <w:tc>
          <w:tcPr>
            <w:tcW w:w="628" w:type="pct"/>
            <w:vAlign w:val="center"/>
          </w:tcPr>
          <w:p w:rsidR="00610194" w:rsidRDefault="00610194" w:rsidP="00950DD9">
            <w:pPr>
              <w:pStyle w:val="COMtbl-textCentred"/>
              <w:keepNext/>
              <w:widowControl/>
            </w:pPr>
            <w:r>
              <w:t>37 (1.5%)</w:t>
            </w:r>
          </w:p>
        </w:tc>
        <w:tc>
          <w:tcPr>
            <w:tcW w:w="628" w:type="pct"/>
            <w:vAlign w:val="center"/>
          </w:tcPr>
          <w:p w:rsidR="00610194" w:rsidRDefault="00610194" w:rsidP="00950DD9">
            <w:pPr>
              <w:pStyle w:val="COMtbl-textCentred"/>
              <w:keepNext/>
              <w:widowControl/>
            </w:pPr>
            <w:r>
              <w:t>NR</w:t>
            </w:r>
          </w:p>
        </w:tc>
        <w:tc>
          <w:tcPr>
            <w:tcW w:w="628" w:type="pct"/>
            <w:vAlign w:val="center"/>
          </w:tcPr>
          <w:p w:rsidR="00610194" w:rsidRDefault="00610194" w:rsidP="00950DD9">
            <w:pPr>
              <w:pStyle w:val="COMtbl-textCentred"/>
              <w:keepNext/>
              <w:widowControl/>
            </w:pPr>
            <w:r>
              <w:t>NR</w:t>
            </w:r>
          </w:p>
        </w:tc>
      </w:tr>
      <w:tr w:rsidR="00610194" w:rsidTr="00610194">
        <w:tc>
          <w:tcPr>
            <w:tcW w:w="1233" w:type="pct"/>
            <w:tcBorders>
              <w:top w:val="double" w:sz="4" w:space="0" w:color="auto"/>
            </w:tcBorders>
            <w:vAlign w:val="center"/>
          </w:tcPr>
          <w:p w:rsidR="00610194" w:rsidRDefault="00610194" w:rsidP="00950DD9">
            <w:pPr>
              <w:pStyle w:val="COMtbl-textLeftAligned"/>
              <w:keepNext/>
              <w:widowControl/>
            </w:pPr>
            <w:r>
              <w:t>Serious adverse events</w:t>
            </w:r>
          </w:p>
        </w:tc>
        <w:tc>
          <w:tcPr>
            <w:tcW w:w="627" w:type="pct"/>
            <w:tcBorders>
              <w:top w:val="double" w:sz="4" w:space="0" w:color="auto"/>
            </w:tcBorders>
            <w:vAlign w:val="center"/>
          </w:tcPr>
          <w:p w:rsidR="00610194" w:rsidRPr="004A54DB" w:rsidRDefault="00610194" w:rsidP="00950DD9">
            <w:pPr>
              <w:pStyle w:val="COMtbl-textCentred"/>
              <w:keepNext/>
              <w:widowControl/>
            </w:pPr>
            <w:r>
              <w:t>188 (22.8%)</w:t>
            </w:r>
          </w:p>
        </w:tc>
        <w:tc>
          <w:tcPr>
            <w:tcW w:w="628" w:type="pct"/>
            <w:tcBorders>
              <w:top w:val="double" w:sz="4" w:space="0" w:color="auto"/>
            </w:tcBorders>
            <w:vAlign w:val="center"/>
          </w:tcPr>
          <w:p w:rsidR="00610194" w:rsidRPr="004A54DB" w:rsidRDefault="00610194" w:rsidP="00950DD9">
            <w:pPr>
              <w:pStyle w:val="COMtbl-textCentred"/>
              <w:keepNext/>
              <w:widowControl/>
            </w:pPr>
            <w:r>
              <w:t xml:space="preserve">188 (23.1%) </w:t>
            </w:r>
          </w:p>
        </w:tc>
        <w:tc>
          <w:tcPr>
            <w:tcW w:w="628" w:type="pct"/>
            <w:tcBorders>
              <w:top w:val="double" w:sz="4" w:space="0" w:color="auto"/>
            </w:tcBorders>
            <w:vAlign w:val="center"/>
          </w:tcPr>
          <w:p w:rsidR="00610194" w:rsidRPr="001D492A" w:rsidRDefault="00610194" w:rsidP="00950DD9">
            <w:pPr>
              <w:pStyle w:val="COMtbl-textCentred"/>
              <w:keepNext/>
              <w:widowControl/>
            </w:pPr>
            <w:r>
              <w:t>781 (30.9%)</w:t>
            </w:r>
          </w:p>
        </w:tc>
        <w:tc>
          <w:tcPr>
            <w:tcW w:w="628" w:type="pct"/>
            <w:tcBorders>
              <w:top w:val="double" w:sz="4" w:space="0" w:color="auto"/>
            </w:tcBorders>
            <w:vAlign w:val="center"/>
          </w:tcPr>
          <w:p w:rsidR="00610194" w:rsidRPr="001D492A" w:rsidRDefault="00610194" w:rsidP="00950DD9">
            <w:pPr>
              <w:pStyle w:val="COMtbl-textCentred"/>
              <w:keepNext/>
              <w:widowControl/>
            </w:pPr>
            <w:r>
              <w:t>751 (30.0%)</w:t>
            </w:r>
          </w:p>
        </w:tc>
        <w:tc>
          <w:tcPr>
            <w:tcW w:w="628" w:type="pct"/>
            <w:tcBorders>
              <w:top w:val="double" w:sz="4" w:space="0" w:color="auto"/>
            </w:tcBorders>
            <w:vAlign w:val="center"/>
          </w:tcPr>
          <w:p w:rsidR="00610194" w:rsidRPr="00D45DD2" w:rsidRDefault="00610194" w:rsidP="00950DD9">
            <w:pPr>
              <w:pStyle w:val="COMtbl-textCentred"/>
              <w:keepNext/>
              <w:widowControl/>
            </w:pPr>
            <w:r>
              <w:t>51 (29.5%)</w:t>
            </w:r>
          </w:p>
        </w:tc>
        <w:tc>
          <w:tcPr>
            <w:tcW w:w="628" w:type="pct"/>
            <w:tcBorders>
              <w:top w:val="double" w:sz="4" w:space="0" w:color="auto"/>
            </w:tcBorders>
            <w:vAlign w:val="center"/>
          </w:tcPr>
          <w:p w:rsidR="00610194" w:rsidRPr="00D45DD2" w:rsidRDefault="00610194" w:rsidP="00950DD9">
            <w:pPr>
              <w:pStyle w:val="COMtbl-textCentred"/>
              <w:keepNext/>
              <w:widowControl/>
            </w:pPr>
            <w:r>
              <w:t>26 (29.9%)</w:t>
            </w:r>
          </w:p>
        </w:tc>
      </w:tr>
      <w:tr w:rsidR="00610194" w:rsidTr="00610194">
        <w:tc>
          <w:tcPr>
            <w:tcW w:w="1233" w:type="pct"/>
            <w:vAlign w:val="center"/>
          </w:tcPr>
          <w:p w:rsidR="00610194" w:rsidRDefault="00610194" w:rsidP="00950DD9">
            <w:pPr>
              <w:pStyle w:val="COMtbl-textLeftAligned"/>
              <w:keepNext/>
              <w:widowControl/>
            </w:pPr>
            <w:r>
              <w:t>Treatment-related events</w:t>
            </w:r>
          </w:p>
        </w:tc>
        <w:tc>
          <w:tcPr>
            <w:tcW w:w="627" w:type="pct"/>
            <w:vAlign w:val="center"/>
          </w:tcPr>
          <w:p w:rsidR="00610194" w:rsidRPr="004A54DB" w:rsidRDefault="00610194" w:rsidP="00950DD9">
            <w:pPr>
              <w:pStyle w:val="COMtbl-textCentred"/>
              <w:keepNext/>
              <w:widowControl/>
            </w:pPr>
            <w:r>
              <w:t>169 (20.5%)</w:t>
            </w:r>
          </w:p>
        </w:tc>
        <w:tc>
          <w:tcPr>
            <w:tcW w:w="628" w:type="pct"/>
            <w:vAlign w:val="center"/>
          </w:tcPr>
          <w:p w:rsidR="00610194" w:rsidRPr="004A54DB" w:rsidRDefault="00610194" w:rsidP="00950DD9">
            <w:pPr>
              <w:pStyle w:val="COMtbl-textCentred"/>
              <w:keepNext/>
              <w:widowControl/>
            </w:pPr>
            <w:r>
              <w:t>135 (16.6%)</w:t>
            </w:r>
          </w:p>
        </w:tc>
        <w:tc>
          <w:tcPr>
            <w:tcW w:w="628" w:type="pct"/>
            <w:vAlign w:val="center"/>
          </w:tcPr>
          <w:p w:rsidR="00610194" w:rsidRPr="001D492A" w:rsidRDefault="00610194" w:rsidP="00950DD9">
            <w:pPr>
              <w:pStyle w:val="COMtbl-textCentred"/>
              <w:keepNext/>
              <w:widowControl/>
            </w:pPr>
            <w:r>
              <w:t>575 (22.8%)</w:t>
            </w:r>
          </w:p>
        </w:tc>
        <w:tc>
          <w:tcPr>
            <w:tcW w:w="628" w:type="pct"/>
            <w:vAlign w:val="center"/>
          </w:tcPr>
          <w:p w:rsidR="00610194" w:rsidRPr="001D492A" w:rsidRDefault="00610194" w:rsidP="00950DD9">
            <w:pPr>
              <w:pStyle w:val="COMtbl-textCentred"/>
              <w:keepNext/>
              <w:widowControl/>
            </w:pPr>
            <w:r>
              <w:t>420 (16.8%)</w:t>
            </w:r>
          </w:p>
        </w:tc>
        <w:tc>
          <w:tcPr>
            <w:tcW w:w="628" w:type="pct"/>
            <w:vAlign w:val="center"/>
          </w:tcPr>
          <w:p w:rsidR="00610194" w:rsidRPr="00D45DD2" w:rsidRDefault="00610194" w:rsidP="00950DD9">
            <w:pPr>
              <w:pStyle w:val="COMtbl-textCentred"/>
              <w:keepNext/>
              <w:widowControl/>
            </w:pPr>
            <w:r>
              <w:t>50 (28.9%)</w:t>
            </w:r>
          </w:p>
        </w:tc>
        <w:tc>
          <w:tcPr>
            <w:tcW w:w="628" w:type="pct"/>
            <w:vAlign w:val="center"/>
          </w:tcPr>
          <w:p w:rsidR="00610194" w:rsidRPr="00D45DD2" w:rsidRDefault="00610194" w:rsidP="00950DD9">
            <w:pPr>
              <w:pStyle w:val="COMtbl-textCentred"/>
              <w:keepNext/>
              <w:widowControl/>
            </w:pPr>
            <w:r>
              <w:t>26 (29.9%)</w:t>
            </w:r>
          </w:p>
        </w:tc>
      </w:tr>
      <w:tr w:rsidR="00610194" w:rsidTr="00610194">
        <w:tc>
          <w:tcPr>
            <w:tcW w:w="1233" w:type="pct"/>
            <w:vAlign w:val="center"/>
          </w:tcPr>
          <w:p w:rsidR="00610194" w:rsidRDefault="00610194" w:rsidP="00950DD9">
            <w:pPr>
              <w:pStyle w:val="COMtbl-textLeftAligned"/>
              <w:keepNext/>
              <w:widowControl/>
            </w:pPr>
            <w:r>
              <w:t>D</w:t>
            </w:r>
            <w:r w:rsidRPr="00212627">
              <w:t xml:space="preserve">iscontinuations due to </w:t>
            </w:r>
            <w:r>
              <w:br/>
            </w:r>
            <w:r w:rsidRPr="00212627">
              <w:t>adverse events</w:t>
            </w:r>
          </w:p>
        </w:tc>
        <w:tc>
          <w:tcPr>
            <w:tcW w:w="627" w:type="pct"/>
            <w:vAlign w:val="center"/>
          </w:tcPr>
          <w:p w:rsidR="00610194" w:rsidRPr="004A54DB" w:rsidRDefault="00610194" w:rsidP="00950DD9">
            <w:pPr>
              <w:pStyle w:val="COMtbl-textCentred"/>
              <w:keepNext/>
              <w:widowControl/>
            </w:pPr>
            <w:r>
              <w:t>168 (20.3%)</w:t>
            </w:r>
          </w:p>
        </w:tc>
        <w:tc>
          <w:tcPr>
            <w:tcW w:w="628" w:type="pct"/>
            <w:vAlign w:val="center"/>
          </w:tcPr>
          <w:p w:rsidR="00610194" w:rsidRPr="004A54DB" w:rsidRDefault="00610194" w:rsidP="00950DD9">
            <w:pPr>
              <w:pStyle w:val="COMtbl-textCentred"/>
              <w:keepNext/>
              <w:widowControl/>
            </w:pPr>
            <w:r>
              <w:t>121 (14.7%)</w:t>
            </w:r>
          </w:p>
        </w:tc>
        <w:tc>
          <w:tcPr>
            <w:tcW w:w="628" w:type="pct"/>
            <w:vAlign w:val="center"/>
          </w:tcPr>
          <w:p w:rsidR="00610194" w:rsidRPr="001D492A" w:rsidRDefault="00610194" w:rsidP="00950DD9">
            <w:pPr>
              <w:pStyle w:val="COMtbl-textCentred"/>
              <w:keepNext/>
              <w:widowControl/>
            </w:pPr>
            <w:r>
              <w:t>738 (29.2%)</w:t>
            </w:r>
          </w:p>
        </w:tc>
        <w:tc>
          <w:tcPr>
            <w:tcW w:w="628" w:type="pct"/>
            <w:vAlign w:val="center"/>
          </w:tcPr>
          <w:p w:rsidR="00610194" w:rsidRPr="001D492A" w:rsidRDefault="00610194" w:rsidP="00950DD9">
            <w:pPr>
              <w:pStyle w:val="COMtbl-textCentred"/>
              <w:keepNext/>
              <w:widowControl/>
            </w:pPr>
            <w:r>
              <w:t>663 (26.5%)</w:t>
            </w:r>
          </w:p>
        </w:tc>
        <w:tc>
          <w:tcPr>
            <w:tcW w:w="628" w:type="pct"/>
            <w:vAlign w:val="center"/>
          </w:tcPr>
          <w:p w:rsidR="00610194" w:rsidRPr="00A05369" w:rsidRDefault="00610194" w:rsidP="00950DD9">
            <w:pPr>
              <w:pStyle w:val="COMtbl-textCentred"/>
              <w:keepNext/>
              <w:widowControl/>
            </w:pPr>
            <w:r>
              <w:t>31 (17.9%)</w:t>
            </w:r>
          </w:p>
        </w:tc>
        <w:tc>
          <w:tcPr>
            <w:tcW w:w="628" w:type="pct"/>
            <w:vAlign w:val="center"/>
          </w:tcPr>
          <w:p w:rsidR="00610194" w:rsidRPr="00A05369" w:rsidRDefault="00610194" w:rsidP="00950DD9">
            <w:pPr>
              <w:pStyle w:val="COMtbl-textCentred"/>
              <w:keepNext/>
              <w:widowControl/>
            </w:pPr>
            <w:r>
              <w:t>12 (13.8%)</w:t>
            </w:r>
          </w:p>
        </w:tc>
      </w:tr>
      <w:tr w:rsidR="00610194" w:rsidTr="00610194">
        <w:tc>
          <w:tcPr>
            <w:tcW w:w="1233" w:type="pct"/>
            <w:vAlign w:val="center"/>
          </w:tcPr>
          <w:p w:rsidR="00610194" w:rsidRDefault="00610194" w:rsidP="00950DD9">
            <w:pPr>
              <w:pStyle w:val="COMtbl-textLeftAligned"/>
              <w:widowControl/>
            </w:pPr>
            <w:r>
              <w:t>Deaths</w:t>
            </w:r>
          </w:p>
        </w:tc>
        <w:tc>
          <w:tcPr>
            <w:tcW w:w="627" w:type="pct"/>
            <w:vAlign w:val="center"/>
          </w:tcPr>
          <w:p w:rsidR="00610194" w:rsidRPr="004A54DB" w:rsidRDefault="00610194" w:rsidP="00950DD9">
            <w:pPr>
              <w:pStyle w:val="COMtbl-textCentred"/>
              <w:widowControl/>
            </w:pPr>
            <w:r>
              <w:t>29 (3.5%)</w:t>
            </w:r>
          </w:p>
        </w:tc>
        <w:tc>
          <w:tcPr>
            <w:tcW w:w="628" w:type="pct"/>
            <w:vAlign w:val="center"/>
          </w:tcPr>
          <w:p w:rsidR="00610194" w:rsidRPr="004A54DB" w:rsidRDefault="00610194" w:rsidP="00950DD9">
            <w:pPr>
              <w:pStyle w:val="COMtbl-textCentred"/>
              <w:widowControl/>
            </w:pPr>
            <w:r>
              <w:t>21 (2.6%)</w:t>
            </w:r>
          </w:p>
        </w:tc>
        <w:tc>
          <w:tcPr>
            <w:tcW w:w="628" w:type="pct"/>
            <w:vAlign w:val="center"/>
          </w:tcPr>
          <w:p w:rsidR="00610194" w:rsidRPr="001D492A" w:rsidRDefault="00610194" w:rsidP="00950DD9">
            <w:pPr>
              <w:pStyle w:val="COMtbl-textCentred"/>
              <w:widowControl/>
            </w:pPr>
            <w:r>
              <w:t>227 (9.0%)</w:t>
            </w:r>
          </w:p>
        </w:tc>
        <w:tc>
          <w:tcPr>
            <w:tcW w:w="628" w:type="pct"/>
            <w:vAlign w:val="center"/>
          </w:tcPr>
          <w:p w:rsidR="00610194" w:rsidRPr="001D492A" w:rsidRDefault="00610194" w:rsidP="00950DD9">
            <w:pPr>
              <w:pStyle w:val="COMtbl-textCentred"/>
              <w:widowControl/>
            </w:pPr>
            <w:r>
              <w:t>229 (9.1%)</w:t>
            </w:r>
          </w:p>
        </w:tc>
        <w:tc>
          <w:tcPr>
            <w:tcW w:w="628" w:type="pct"/>
            <w:vAlign w:val="center"/>
          </w:tcPr>
          <w:p w:rsidR="00610194" w:rsidRPr="00A05369" w:rsidRDefault="00610194" w:rsidP="00950DD9">
            <w:pPr>
              <w:pStyle w:val="COMtbl-textCentred"/>
              <w:widowControl/>
            </w:pPr>
            <w:r>
              <w:t>3 (1.7%)</w:t>
            </w:r>
          </w:p>
        </w:tc>
        <w:tc>
          <w:tcPr>
            <w:tcW w:w="628" w:type="pct"/>
            <w:vAlign w:val="center"/>
          </w:tcPr>
          <w:p w:rsidR="00610194" w:rsidRPr="00A05369" w:rsidRDefault="00610194" w:rsidP="00950DD9">
            <w:pPr>
              <w:pStyle w:val="COMtbl-textCentred"/>
              <w:widowControl/>
            </w:pPr>
            <w:r>
              <w:t>1 (0.5%)</w:t>
            </w:r>
          </w:p>
        </w:tc>
      </w:tr>
    </w:tbl>
    <w:p w:rsidR="00610194" w:rsidRPr="001C5FB3" w:rsidRDefault="0022091B" w:rsidP="00950DD9">
      <w:pPr>
        <w:pStyle w:val="COMTbl-foot"/>
        <w:widowControl/>
        <w:ind w:left="720"/>
        <w:rPr>
          <w:rStyle w:val="CommentReference"/>
          <w:b w:val="0"/>
          <w:sz w:val="18"/>
          <w:szCs w:val="20"/>
        </w:rPr>
      </w:pPr>
      <w:r w:rsidRPr="00932394">
        <w:rPr>
          <w:rFonts w:ascii="Arial Narrow" w:hAnsi="Arial Narrow"/>
        </w:rPr>
        <w:t>Source: Table B-51 (p 64) of the submission; 3-year SOTI trial report; 5-year TROPOS trial report; Kaufmann (2013) publication</w:t>
      </w:r>
    </w:p>
    <w:p w:rsidR="00460BD0" w:rsidRDefault="00460BD0" w:rsidP="00950DD9">
      <w:pPr>
        <w:widowControl/>
        <w:ind w:left="720"/>
      </w:pPr>
    </w:p>
    <w:p w:rsidR="00610194" w:rsidRPr="00460BD0" w:rsidRDefault="00610194" w:rsidP="00950DD9">
      <w:pPr>
        <w:pStyle w:val="ListParagraph"/>
        <w:widowControl/>
        <w:numPr>
          <w:ilvl w:val="1"/>
          <w:numId w:val="5"/>
        </w:numPr>
        <w:rPr>
          <w:szCs w:val="22"/>
        </w:rPr>
      </w:pPr>
      <w:r w:rsidRPr="00460BD0">
        <w:rPr>
          <w:szCs w:val="22"/>
        </w:rPr>
        <w:t xml:space="preserve">Strontium ranelate was associated with a higher incidence of treatment-related events and discontinuations due to adverse events compared </w:t>
      </w:r>
      <w:r w:rsidR="000957A8">
        <w:rPr>
          <w:szCs w:val="22"/>
        </w:rPr>
        <w:t>with</w:t>
      </w:r>
      <w:r w:rsidR="000957A8" w:rsidRPr="00460BD0">
        <w:rPr>
          <w:szCs w:val="22"/>
        </w:rPr>
        <w:t xml:space="preserve"> </w:t>
      </w:r>
      <w:r w:rsidRPr="00460BD0">
        <w:rPr>
          <w:szCs w:val="22"/>
        </w:rPr>
        <w:t>placebo. Adverse events more frequently reported with strontium ranelate include</w:t>
      </w:r>
      <w:r w:rsidR="000957A8">
        <w:rPr>
          <w:szCs w:val="22"/>
        </w:rPr>
        <w:t>d</w:t>
      </w:r>
      <w:r w:rsidRPr="00460BD0">
        <w:rPr>
          <w:szCs w:val="22"/>
        </w:rPr>
        <w:t xml:space="preserve"> gastrointestinal disorders (nausea, diarrhoea), nervous system disorders (headache, disturbances of consciousness, seizures, memory loss), skin disorders (dermatitis, eczema) hypercholesterolemia, myocardial infarction, thromboembolism and transient increases in blood creatinine phosphokinase laboratory measures. </w:t>
      </w:r>
    </w:p>
    <w:p w:rsidR="00610194" w:rsidRPr="00460BD0" w:rsidRDefault="00610194" w:rsidP="00950DD9">
      <w:pPr>
        <w:pStyle w:val="ListParagraph"/>
        <w:widowControl/>
        <w:rPr>
          <w:szCs w:val="22"/>
        </w:rPr>
      </w:pPr>
    </w:p>
    <w:p w:rsidR="00610194" w:rsidRPr="00460BD0" w:rsidRDefault="00610194" w:rsidP="00950DD9">
      <w:pPr>
        <w:pStyle w:val="ListParagraph"/>
        <w:widowControl/>
        <w:numPr>
          <w:ilvl w:val="1"/>
          <w:numId w:val="5"/>
        </w:numPr>
        <w:rPr>
          <w:szCs w:val="22"/>
        </w:rPr>
      </w:pPr>
      <w:r w:rsidRPr="00460BD0">
        <w:rPr>
          <w:szCs w:val="22"/>
        </w:rPr>
        <w:t xml:space="preserve">Long-term (10-year) treatment with strontium ranelate was not associated with any additional safety signals. </w:t>
      </w:r>
    </w:p>
    <w:p w:rsidR="00610194" w:rsidRPr="00460BD0" w:rsidRDefault="00610194" w:rsidP="00950DD9">
      <w:pPr>
        <w:pStyle w:val="ListParagraph"/>
        <w:widowControl/>
        <w:rPr>
          <w:szCs w:val="22"/>
        </w:rPr>
      </w:pPr>
    </w:p>
    <w:p w:rsidR="00610194" w:rsidRDefault="00610194" w:rsidP="00950DD9">
      <w:pPr>
        <w:pStyle w:val="ListParagraph"/>
        <w:widowControl/>
        <w:numPr>
          <w:ilvl w:val="1"/>
          <w:numId w:val="5"/>
        </w:numPr>
        <w:rPr>
          <w:szCs w:val="22"/>
        </w:rPr>
      </w:pPr>
      <w:r w:rsidRPr="00460BD0">
        <w:rPr>
          <w:szCs w:val="22"/>
        </w:rPr>
        <w:t xml:space="preserve">To address the risk of myocardial infarction and venous thromboembolism, the submission presented additional retrospective subgroup analyses </w:t>
      </w:r>
      <w:r w:rsidR="00A00F99">
        <w:rPr>
          <w:szCs w:val="22"/>
        </w:rPr>
        <w:t xml:space="preserve">(see Table 8) </w:t>
      </w:r>
      <w:r w:rsidRPr="00460BD0">
        <w:rPr>
          <w:szCs w:val="22"/>
        </w:rPr>
        <w:t>suggesting that these risks may be at least partially mitigated by restricting treatment to patients without cardiovascular complications</w:t>
      </w:r>
      <w:r w:rsidR="00DC0EA1" w:rsidRPr="00460BD0">
        <w:rPr>
          <w:szCs w:val="22"/>
        </w:rPr>
        <w:t xml:space="preserve"> (consistent with the current product information)</w:t>
      </w:r>
      <w:r w:rsidRPr="00460BD0">
        <w:rPr>
          <w:szCs w:val="22"/>
        </w:rPr>
        <w:t>.</w:t>
      </w:r>
      <w:r w:rsidR="00DC0EA1" w:rsidRPr="00460BD0">
        <w:rPr>
          <w:szCs w:val="22"/>
        </w:rPr>
        <w:t xml:space="preserve"> </w:t>
      </w:r>
      <w:r w:rsidR="00DC0EA1" w:rsidRPr="002B33AE">
        <w:rPr>
          <w:szCs w:val="22"/>
        </w:rPr>
        <w:t>The subgroup analyses may not have been adequately powered to detect a meaningful difference in risk between treatments.</w:t>
      </w:r>
    </w:p>
    <w:p w:rsidR="00C2658B" w:rsidRPr="00C2658B" w:rsidRDefault="00C2658B" w:rsidP="00C2658B">
      <w:pPr>
        <w:pStyle w:val="ListParagraph"/>
        <w:rPr>
          <w:szCs w:val="22"/>
        </w:rPr>
      </w:pPr>
    </w:p>
    <w:p w:rsidR="00C2658B" w:rsidRPr="00A00F99" w:rsidRDefault="00C2658B" w:rsidP="00A00F99">
      <w:pPr>
        <w:pStyle w:val="PBACHeading1"/>
        <w:keepNext/>
        <w:numPr>
          <w:ilvl w:val="0"/>
          <w:numId w:val="0"/>
        </w:numPr>
        <w:ind w:left="720"/>
        <w:rPr>
          <w:rFonts w:ascii="Arial Narrow" w:hAnsi="Arial Narrow"/>
          <w:sz w:val="20"/>
        </w:rPr>
      </w:pPr>
      <w:r w:rsidRPr="00A00F99">
        <w:rPr>
          <w:rFonts w:ascii="Arial Narrow" w:hAnsi="Arial Narrow"/>
          <w:sz w:val="20"/>
        </w:rPr>
        <w:t xml:space="preserve">Table </w:t>
      </w:r>
      <w:r w:rsidR="00A00F99" w:rsidRPr="00A00F99">
        <w:rPr>
          <w:rFonts w:ascii="Arial Narrow" w:hAnsi="Arial Narrow"/>
          <w:sz w:val="20"/>
        </w:rPr>
        <w:t>8</w:t>
      </w:r>
      <w:r w:rsidRPr="00A00F99">
        <w:rPr>
          <w:rFonts w:ascii="Arial Narrow" w:hAnsi="Arial Narrow"/>
          <w:sz w:val="20"/>
        </w:rPr>
        <w:t xml:space="preserve">: Risk of serious cardiac disorders and thromboembolism with strontium ranelate compared to placebo </w:t>
      </w:r>
    </w:p>
    <w:tbl>
      <w:tblPr>
        <w:tblW w:w="4596"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24"/>
        <w:gridCol w:w="1135"/>
        <w:gridCol w:w="142"/>
        <w:gridCol w:w="995"/>
        <w:gridCol w:w="992"/>
        <w:gridCol w:w="988"/>
        <w:gridCol w:w="7"/>
        <w:gridCol w:w="982"/>
        <w:gridCol w:w="152"/>
        <w:gridCol w:w="831"/>
      </w:tblGrid>
      <w:tr w:rsidR="00C2658B" w:rsidTr="001A42B2">
        <w:trPr>
          <w:trHeight w:val="86"/>
        </w:trPr>
        <w:tc>
          <w:tcPr>
            <w:tcW w:w="1272" w:type="pct"/>
            <w:vMerge w:val="restart"/>
            <w:vAlign w:val="center"/>
          </w:tcPr>
          <w:p w:rsidR="00C2658B" w:rsidRDefault="00C2658B" w:rsidP="00A00F99">
            <w:pPr>
              <w:pStyle w:val="COMtbl-HEADLeftAligned"/>
              <w:keepNext/>
              <w:widowControl/>
            </w:pPr>
          </w:p>
        </w:tc>
        <w:tc>
          <w:tcPr>
            <w:tcW w:w="1361" w:type="pct"/>
            <w:gridSpan w:val="3"/>
            <w:vAlign w:val="center"/>
          </w:tcPr>
          <w:p w:rsidR="00C2658B" w:rsidRPr="004A7518" w:rsidRDefault="00C2658B" w:rsidP="00A00F99">
            <w:pPr>
              <w:pStyle w:val="COMtbl-HEADCentred"/>
              <w:keepNext/>
              <w:widowControl/>
              <w:rPr>
                <w:vertAlign w:val="superscript"/>
              </w:rPr>
            </w:pPr>
            <w:r>
              <w:t>Serious cardiac events</w:t>
            </w:r>
          </w:p>
        </w:tc>
        <w:tc>
          <w:tcPr>
            <w:tcW w:w="1190" w:type="pct"/>
            <w:gridSpan w:val="3"/>
            <w:vAlign w:val="center"/>
          </w:tcPr>
          <w:p w:rsidR="00C2658B" w:rsidRDefault="00C2658B" w:rsidP="00A00F99">
            <w:pPr>
              <w:pStyle w:val="COMtbl-HEADCentred"/>
              <w:keepNext/>
              <w:widowControl/>
            </w:pPr>
            <w:r>
              <w:t>Myocardial infarction</w:t>
            </w:r>
          </w:p>
        </w:tc>
        <w:tc>
          <w:tcPr>
            <w:tcW w:w="1177" w:type="pct"/>
            <w:gridSpan w:val="3"/>
            <w:vAlign w:val="center"/>
          </w:tcPr>
          <w:p w:rsidR="00C2658B" w:rsidRPr="00B46698" w:rsidRDefault="00C2658B" w:rsidP="00A00F99">
            <w:pPr>
              <w:pStyle w:val="COMtbl-HEADCentred"/>
              <w:keepNext/>
              <w:widowControl/>
            </w:pPr>
            <w:r>
              <w:t>Thromboembolism</w:t>
            </w:r>
            <w:r>
              <w:rPr>
                <w:vertAlign w:val="superscript"/>
              </w:rPr>
              <w:t xml:space="preserve"> </w:t>
            </w:r>
          </w:p>
        </w:tc>
      </w:tr>
      <w:tr w:rsidR="00C2658B" w:rsidTr="001A42B2">
        <w:trPr>
          <w:trHeight w:val="64"/>
        </w:trPr>
        <w:tc>
          <w:tcPr>
            <w:tcW w:w="1272" w:type="pct"/>
            <w:vMerge/>
            <w:vAlign w:val="center"/>
          </w:tcPr>
          <w:p w:rsidR="00C2658B" w:rsidRDefault="00C2658B" w:rsidP="00A00F99">
            <w:pPr>
              <w:pStyle w:val="COMtbl-HEADLeftAligned"/>
              <w:keepNext/>
              <w:widowControl/>
            </w:pPr>
          </w:p>
        </w:tc>
        <w:tc>
          <w:tcPr>
            <w:tcW w:w="765" w:type="pct"/>
            <w:gridSpan w:val="2"/>
            <w:vAlign w:val="center"/>
          </w:tcPr>
          <w:p w:rsidR="00C2658B" w:rsidRDefault="00C2658B" w:rsidP="00A00F99">
            <w:pPr>
              <w:pStyle w:val="COMtbl-HEADCentred"/>
              <w:keepNext/>
              <w:widowControl/>
            </w:pPr>
            <w:r>
              <w:t>Strontium</w:t>
            </w:r>
          </w:p>
        </w:tc>
        <w:tc>
          <w:tcPr>
            <w:tcW w:w="596" w:type="pct"/>
            <w:vAlign w:val="center"/>
          </w:tcPr>
          <w:p w:rsidR="00C2658B" w:rsidRDefault="00C2658B" w:rsidP="00A00F99">
            <w:pPr>
              <w:pStyle w:val="COMtbl-HEADCentred"/>
              <w:keepNext/>
              <w:widowControl/>
            </w:pPr>
            <w:r>
              <w:t>Placebo</w:t>
            </w:r>
          </w:p>
        </w:tc>
        <w:tc>
          <w:tcPr>
            <w:tcW w:w="594" w:type="pct"/>
            <w:vAlign w:val="center"/>
          </w:tcPr>
          <w:p w:rsidR="00C2658B" w:rsidRDefault="00C2658B" w:rsidP="00A00F99">
            <w:pPr>
              <w:pStyle w:val="COMtbl-HEADCentred"/>
              <w:keepNext/>
              <w:widowControl/>
            </w:pPr>
            <w:r>
              <w:t>Strontium</w:t>
            </w:r>
          </w:p>
        </w:tc>
        <w:tc>
          <w:tcPr>
            <w:tcW w:w="596" w:type="pct"/>
            <w:gridSpan w:val="2"/>
            <w:vAlign w:val="center"/>
          </w:tcPr>
          <w:p w:rsidR="00C2658B" w:rsidRPr="009C778F" w:rsidRDefault="00C2658B" w:rsidP="00A00F99">
            <w:pPr>
              <w:pStyle w:val="COMtbl-HEADCentred"/>
              <w:keepNext/>
              <w:widowControl/>
            </w:pPr>
            <w:r>
              <w:t>Placebo</w:t>
            </w:r>
          </w:p>
        </w:tc>
        <w:tc>
          <w:tcPr>
            <w:tcW w:w="679" w:type="pct"/>
            <w:gridSpan w:val="2"/>
            <w:vAlign w:val="center"/>
          </w:tcPr>
          <w:p w:rsidR="00C2658B" w:rsidRPr="009C778F" w:rsidRDefault="00C2658B" w:rsidP="00A00F99">
            <w:pPr>
              <w:pStyle w:val="COMtbl-HEADCentred"/>
              <w:keepNext/>
              <w:widowControl/>
            </w:pPr>
            <w:r>
              <w:t>Strontium</w:t>
            </w:r>
          </w:p>
        </w:tc>
        <w:tc>
          <w:tcPr>
            <w:tcW w:w="498" w:type="pct"/>
            <w:vAlign w:val="center"/>
          </w:tcPr>
          <w:p w:rsidR="00C2658B" w:rsidRPr="009C778F" w:rsidRDefault="00C2658B" w:rsidP="00A00F99">
            <w:pPr>
              <w:pStyle w:val="COMtbl-HEADCentred"/>
              <w:keepNext/>
              <w:widowControl/>
            </w:pPr>
            <w:r>
              <w:t>Placebo</w:t>
            </w:r>
          </w:p>
        </w:tc>
      </w:tr>
      <w:tr w:rsidR="00C2658B" w:rsidTr="00C2658B">
        <w:tc>
          <w:tcPr>
            <w:tcW w:w="5000" w:type="pct"/>
            <w:gridSpan w:val="10"/>
            <w:tcBorders>
              <w:bottom w:val="single" w:sz="4" w:space="0" w:color="auto"/>
            </w:tcBorders>
            <w:vAlign w:val="center"/>
          </w:tcPr>
          <w:p w:rsidR="00C2658B" w:rsidRPr="00286235" w:rsidRDefault="00C2658B" w:rsidP="00A00F99">
            <w:pPr>
              <w:pStyle w:val="COMtbl-textCentred"/>
              <w:keepNext/>
              <w:widowControl/>
              <w:jc w:val="left"/>
              <w:rPr>
                <w:b/>
              </w:rPr>
            </w:pPr>
            <w:r>
              <w:rPr>
                <w:b/>
              </w:rPr>
              <w:t>Whole post-menopausal osteoporosis population</w:t>
            </w:r>
          </w:p>
        </w:tc>
      </w:tr>
      <w:tr w:rsidR="00C2658B" w:rsidTr="001A42B2">
        <w:tc>
          <w:tcPr>
            <w:tcW w:w="1272" w:type="pct"/>
            <w:tcBorders>
              <w:bottom w:val="single" w:sz="4" w:space="0" w:color="auto"/>
            </w:tcBorders>
            <w:vAlign w:val="center"/>
          </w:tcPr>
          <w:p w:rsidR="00C2658B" w:rsidRDefault="00C2658B" w:rsidP="00A00F99">
            <w:pPr>
              <w:pStyle w:val="COMtbl-textLeftAligned"/>
              <w:keepNext/>
              <w:widowControl/>
            </w:pPr>
            <w:r>
              <w:t>Number of patients</w:t>
            </w:r>
          </w:p>
        </w:tc>
        <w:tc>
          <w:tcPr>
            <w:tcW w:w="765" w:type="pct"/>
            <w:gridSpan w:val="2"/>
            <w:tcBorders>
              <w:bottom w:val="single" w:sz="4" w:space="0" w:color="auto"/>
            </w:tcBorders>
            <w:vAlign w:val="center"/>
          </w:tcPr>
          <w:p w:rsidR="00C2658B" w:rsidRPr="004A54DB" w:rsidRDefault="00C2658B" w:rsidP="00A00F99">
            <w:pPr>
              <w:pStyle w:val="COMtbl-textCentred"/>
              <w:keepNext/>
              <w:widowControl/>
            </w:pPr>
            <w:r>
              <w:t>3803</w:t>
            </w:r>
          </w:p>
        </w:tc>
        <w:tc>
          <w:tcPr>
            <w:tcW w:w="596" w:type="pct"/>
            <w:tcBorders>
              <w:bottom w:val="single" w:sz="4" w:space="0" w:color="auto"/>
            </w:tcBorders>
            <w:vAlign w:val="center"/>
          </w:tcPr>
          <w:p w:rsidR="00C2658B" w:rsidRPr="004A54DB" w:rsidRDefault="00C2658B" w:rsidP="00A00F99">
            <w:pPr>
              <w:pStyle w:val="COMtbl-textCentred"/>
              <w:keepNext/>
              <w:widowControl/>
            </w:pPr>
            <w:r>
              <w:t>3769</w:t>
            </w:r>
          </w:p>
        </w:tc>
        <w:tc>
          <w:tcPr>
            <w:tcW w:w="594" w:type="pct"/>
            <w:tcBorders>
              <w:bottom w:val="single" w:sz="4" w:space="0" w:color="auto"/>
            </w:tcBorders>
            <w:vAlign w:val="center"/>
          </w:tcPr>
          <w:p w:rsidR="00C2658B" w:rsidRPr="001D492A" w:rsidRDefault="00C2658B" w:rsidP="00A00F99">
            <w:pPr>
              <w:pStyle w:val="COMtbl-textCentred"/>
              <w:keepNext/>
              <w:widowControl/>
            </w:pPr>
            <w:r>
              <w:t>3803</w:t>
            </w:r>
          </w:p>
        </w:tc>
        <w:tc>
          <w:tcPr>
            <w:tcW w:w="596" w:type="pct"/>
            <w:gridSpan w:val="2"/>
            <w:tcBorders>
              <w:bottom w:val="single" w:sz="4" w:space="0" w:color="auto"/>
            </w:tcBorders>
            <w:vAlign w:val="center"/>
          </w:tcPr>
          <w:p w:rsidR="00C2658B" w:rsidRPr="001D492A" w:rsidRDefault="00C2658B" w:rsidP="00A00F99">
            <w:pPr>
              <w:pStyle w:val="COMtbl-textCentred"/>
              <w:keepNext/>
              <w:widowControl/>
            </w:pPr>
            <w:r>
              <w:t>3769</w:t>
            </w:r>
          </w:p>
        </w:tc>
        <w:tc>
          <w:tcPr>
            <w:tcW w:w="679" w:type="pct"/>
            <w:gridSpan w:val="2"/>
            <w:tcBorders>
              <w:bottom w:val="single" w:sz="4" w:space="0" w:color="auto"/>
            </w:tcBorders>
            <w:vAlign w:val="center"/>
          </w:tcPr>
          <w:p w:rsidR="00C2658B" w:rsidRPr="00D45DD2" w:rsidRDefault="00C2658B" w:rsidP="00A00F99">
            <w:pPr>
              <w:pStyle w:val="COMtbl-textCentred"/>
              <w:keepNext/>
              <w:widowControl/>
            </w:pPr>
            <w:r>
              <w:t>3803</w:t>
            </w:r>
          </w:p>
        </w:tc>
        <w:tc>
          <w:tcPr>
            <w:tcW w:w="498" w:type="pct"/>
            <w:tcBorders>
              <w:bottom w:val="single" w:sz="4" w:space="0" w:color="auto"/>
            </w:tcBorders>
            <w:vAlign w:val="center"/>
          </w:tcPr>
          <w:p w:rsidR="00C2658B" w:rsidRPr="00D45DD2" w:rsidRDefault="00C2658B" w:rsidP="00A00F99">
            <w:pPr>
              <w:pStyle w:val="COMtbl-textCentred"/>
              <w:keepNext/>
              <w:widowControl/>
            </w:pPr>
            <w:r>
              <w:t>3769</w:t>
            </w:r>
          </w:p>
        </w:tc>
      </w:tr>
      <w:tr w:rsidR="00C2658B" w:rsidTr="001A42B2">
        <w:tc>
          <w:tcPr>
            <w:tcW w:w="1272" w:type="pct"/>
            <w:tcBorders>
              <w:top w:val="single" w:sz="4" w:space="0" w:color="auto"/>
            </w:tcBorders>
            <w:vAlign w:val="center"/>
          </w:tcPr>
          <w:p w:rsidR="00C2658B" w:rsidRDefault="00C2658B" w:rsidP="00A00F99">
            <w:pPr>
              <w:pStyle w:val="COMtbl-textLeftAligned"/>
              <w:keepNext/>
              <w:widowControl/>
            </w:pPr>
            <w:r>
              <w:t>Incidence, n (%)</w:t>
            </w:r>
          </w:p>
        </w:tc>
        <w:tc>
          <w:tcPr>
            <w:tcW w:w="765" w:type="pct"/>
            <w:gridSpan w:val="2"/>
            <w:tcBorders>
              <w:top w:val="single" w:sz="4" w:space="0" w:color="auto"/>
            </w:tcBorders>
            <w:vAlign w:val="center"/>
          </w:tcPr>
          <w:p w:rsidR="00C2658B" w:rsidRDefault="00C2658B" w:rsidP="00A00F99">
            <w:pPr>
              <w:pStyle w:val="COMtbl-textCentred"/>
              <w:keepNext/>
              <w:widowControl/>
            </w:pPr>
            <w:r>
              <w:t>262 (6.9%)</w:t>
            </w:r>
          </w:p>
        </w:tc>
        <w:tc>
          <w:tcPr>
            <w:tcW w:w="596" w:type="pct"/>
            <w:tcBorders>
              <w:top w:val="single" w:sz="4" w:space="0" w:color="auto"/>
            </w:tcBorders>
            <w:vAlign w:val="center"/>
          </w:tcPr>
          <w:p w:rsidR="00C2658B" w:rsidRDefault="00C2658B" w:rsidP="00A00F99">
            <w:pPr>
              <w:pStyle w:val="COMtbl-textCentred"/>
              <w:keepNext/>
              <w:widowControl/>
            </w:pPr>
            <w:r>
              <w:t>215 (5.7%)</w:t>
            </w:r>
          </w:p>
        </w:tc>
        <w:tc>
          <w:tcPr>
            <w:tcW w:w="594" w:type="pct"/>
            <w:tcBorders>
              <w:top w:val="single" w:sz="4" w:space="0" w:color="auto"/>
            </w:tcBorders>
            <w:vAlign w:val="center"/>
          </w:tcPr>
          <w:p w:rsidR="00C2658B" w:rsidRDefault="00C2658B" w:rsidP="00A00F99">
            <w:pPr>
              <w:pStyle w:val="COMtbl-textCentred"/>
              <w:keepNext/>
              <w:widowControl/>
            </w:pPr>
            <w:r>
              <w:t>64 (1.7%)</w:t>
            </w:r>
          </w:p>
        </w:tc>
        <w:tc>
          <w:tcPr>
            <w:tcW w:w="596" w:type="pct"/>
            <w:gridSpan w:val="2"/>
            <w:tcBorders>
              <w:top w:val="single" w:sz="4" w:space="0" w:color="auto"/>
            </w:tcBorders>
            <w:vAlign w:val="center"/>
          </w:tcPr>
          <w:p w:rsidR="00C2658B" w:rsidRDefault="00C2658B" w:rsidP="00A00F99">
            <w:pPr>
              <w:pStyle w:val="COMtbl-textCentred"/>
              <w:keepNext/>
              <w:widowControl/>
            </w:pPr>
            <w:r>
              <w:t>40 (1.1%)</w:t>
            </w:r>
          </w:p>
        </w:tc>
        <w:tc>
          <w:tcPr>
            <w:tcW w:w="679" w:type="pct"/>
            <w:gridSpan w:val="2"/>
            <w:tcBorders>
              <w:top w:val="single" w:sz="4" w:space="0" w:color="auto"/>
            </w:tcBorders>
            <w:vAlign w:val="center"/>
          </w:tcPr>
          <w:p w:rsidR="00C2658B" w:rsidRPr="00D45DD2" w:rsidRDefault="00C2658B" w:rsidP="00A00F99">
            <w:pPr>
              <w:pStyle w:val="COMtbl-textCentred"/>
              <w:keepNext/>
              <w:widowControl/>
            </w:pPr>
            <w:r>
              <w:t>71 (1.9%)</w:t>
            </w:r>
          </w:p>
        </w:tc>
        <w:tc>
          <w:tcPr>
            <w:tcW w:w="498" w:type="pct"/>
            <w:tcBorders>
              <w:top w:val="single" w:sz="4" w:space="0" w:color="auto"/>
            </w:tcBorders>
            <w:vAlign w:val="center"/>
          </w:tcPr>
          <w:p w:rsidR="00C2658B" w:rsidRPr="00D45DD2" w:rsidRDefault="00C2658B" w:rsidP="00A00F99">
            <w:pPr>
              <w:pStyle w:val="COMtbl-textCentred"/>
              <w:keepNext/>
              <w:widowControl/>
            </w:pPr>
            <w:r>
              <w:t>47 (1.2%)</w:t>
            </w:r>
          </w:p>
        </w:tc>
      </w:tr>
      <w:tr w:rsidR="00C2658B" w:rsidTr="001A42B2">
        <w:tc>
          <w:tcPr>
            <w:tcW w:w="1272" w:type="pct"/>
            <w:vAlign w:val="center"/>
          </w:tcPr>
          <w:p w:rsidR="00C2658B" w:rsidRDefault="00C2658B" w:rsidP="00A00F99">
            <w:pPr>
              <w:pStyle w:val="COMtbl-textLeftAligned"/>
              <w:keepNext/>
              <w:widowControl/>
            </w:pPr>
            <w:r>
              <w:t>Rate per 1000 patient years</w:t>
            </w:r>
          </w:p>
        </w:tc>
        <w:tc>
          <w:tcPr>
            <w:tcW w:w="765" w:type="pct"/>
            <w:gridSpan w:val="2"/>
            <w:vAlign w:val="center"/>
          </w:tcPr>
          <w:p w:rsidR="00C2658B" w:rsidRDefault="00C2658B" w:rsidP="00A00F99">
            <w:pPr>
              <w:pStyle w:val="COMtbl-textCentred"/>
              <w:keepNext/>
              <w:widowControl/>
            </w:pPr>
            <w:r>
              <w:t>23.2</w:t>
            </w:r>
          </w:p>
        </w:tc>
        <w:tc>
          <w:tcPr>
            <w:tcW w:w="596" w:type="pct"/>
            <w:vAlign w:val="center"/>
          </w:tcPr>
          <w:p w:rsidR="00C2658B" w:rsidRDefault="00C2658B" w:rsidP="00A00F99">
            <w:pPr>
              <w:pStyle w:val="COMtbl-textCentred"/>
              <w:keepNext/>
              <w:widowControl/>
            </w:pPr>
            <w:r>
              <w:t>19.1</w:t>
            </w:r>
          </w:p>
        </w:tc>
        <w:tc>
          <w:tcPr>
            <w:tcW w:w="594" w:type="pct"/>
            <w:vAlign w:val="center"/>
          </w:tcPr>
          <w:p w:rsidR="00C2658B" w:rsidRDefault="00C2658B" w:rsidP="00A00F99">
            <w:pPr>
              <w:pStyle w:val="COMtbl-textCentred"/>
              <w:keepNext/>
              <w:widowControl/>
            </w:pPr>
            <w:r>
              <w:t>5.7</w:t>
            </w:r>
          </w:p>
        </w:tc>
        <w:tc>
          <w:tcPr>
            <w:tcW w:w="596" w:type="pct"/>
            <w:gridSpan w:val="2"/>
            <w:vAlign w:val="center"/>
          </w:tcPr>
          <w:p w:rsidR="00C2658B" w:rsidRDefault="00C2658B" w:rsidP="00A00F99">
            <w:pPr>
              <w:pStyle w:val="COMtbl-textCentred"/>
              <w:keepNext/>
              <w:widowControl/>
            </w:pPr>
            <w:r>
              <w:t>3.6</w:t>
            </w:r>
          </w:p>
        </w:tc>
        <w:tc>
          <w:tcPr>
            <w:tcW w:w="679" w:type="pct"/>
            <w:gridSpan w:val="2"/>
            <w:vAlign w:val="center"/>
          </w:tcPr>
          <w:p w:rsidR="00C2658B" w:rsidRPr="00D45DD2" w:rsidRDefault="00C2658B" w:rsidP="00A00F99">
            <w:pPr>
              <w:pStyle w:val="COMtbl-textCentred"/>
              <w:keepNext/>
              <w:widowControl/>
            </w:pPr>
            <w:r>
              <w:t>6.3</w:t>
            </w:r>
          </w:p>
        </w:tc>
        <w:tc>
          <w:tcPr>
            <w:tcW w:w="498" w:type="pct"/>
            <w:vAlign w:val="center"/>
          </w:tcPr>
          <w:p w:rsidR="00C2658B" w:rsidRPr="00D45DD2" w:rsidRDefault="00C2658B" w:rsidP="00A00F99">
            <w:pPr>
              <w:pStyle w:val="COMtbl-textCentred"/>
              <w:keepNext/>
              <w:widowControl/>
            </w:pPr>
            <w:r>
              <w:t>4.2</w:t>
            </w:r>
          </w:p>
        </w:tc>
      </w:tr>
      <w:tr w:rsidR="00C2658B" w:rsidTr="001A42B2">
        <w:tc>
          <w:tcPr>
            <w:tcW w:w="1272" w:type="pct"/>
            <w:vAlign w:val="center"/>
          </w:tcPr>
          <w:p w:rsidR="00C2658B" w:rsidRPr="00F945EB" w:rsidRDefault="00C2658B" w:rsidP="00A00F99">
            <w:pPr>
              <w:pStyle w:val="COMtbl-textLeftAligned"/>
              <w:keepNext/>
              <w:widowControl/>
              <w:rPr>
                <w:vertAlign w:val="superscript"/>
              </w:rPr>
            </w:pPr>
            <w:r>
              <w:t>Odds ratio (95% CI)</w:t>
            </w:r>
          </w:p>
        </w:tc>
        <w:tc>
          <w:tcPr>
            <w:tcW w:w="1361" w:type="pct"/>
            <w:gridSpan w:val="3"/>
            <w:vAlign w:val="center"/>
          </w:tcPr>
          <w:p w:rsidR="00C2658B" w:rsidRPr="00465D7A" w:rsidRDefault="00C2658B" w:rsidP="00A00F99">
            <w:pPr>
              <w:pStyle w:val="COMtbl-textCentred"/>
              <w:keepNext/>
              <w:widowControl/>
              <w:rPr>
                <w:b/>
              </w:rPr>
            </w:pPr>
            <w:r w:rsidRPr="00465D7A">
              <w:rPr>
                <w:b/>
              </w:rPr>
              <w:t>1.22 (1.02, 1.48)</w:t>
            </w:r>
          </w:p>
        </w:tc>
        <w:tc>
          <w:tcPr>
            <w:tcW w:w="1190" w:type="pct"/>
            <w:gridSpan w:val="3"/>
            <w:vAlign w:val="center"/>
          </w:tcPr>
          <w:p w:rsidR="00C2658B" w:rsidRPr="00A20113" w:rsidRDefault="00C2658B" w:rsidP="00A00F99">
            <w:pPr>
              <w:pStyle w:val="COMtbl-textCentred"/>
              <w:keepNext/>
              <w:widowControl/>
              <w:rPr>
                <w:b/>
              </w:rPr>
            </w:pPr>
            <w:r w:rsidRPr="00A20113">
              <w:rPr>
                <w:b/>
              </w:rPr>
              <w:t>1.60 (1.07, 2.38)</w:t>
            </w:r>
          </w:p>
        </w:tc>
        <w:tc>
          <w:tcPr>
            <w:tcW w:w="1177" w:type="pct"/>
            <w:gridSpan w:val="3"/>
            <w:vAlign w:val="center"/>
          </w:tcPr>
          <w:p w:rsidR="00C2658B" w:rsidRPr="00760114" w:rsidRDefault="00C2658B" w:rsidP="00A00F99">
            <w:pPr>
              <w:pStyle w:val="COMtbl-textCentred"/>
              <w:keepNext/>
              <w:widowControl/>
              <w:rPr>
                <w:b/>
              </w:rPr>
            </w:pPr>
            <w:r w:rsidRPr="00760114">
              <w:rPr>
                <w:b/>
              </w:rPr>
              <w:t>1.51 (1.04, 2.19)</w:t>
            </w:r>
          </w:p>
        </w:tc>
      </w:tr>
      <w:tr w:rsidR="00C2658B" w:rsidTr="00C2658B">
        <w:tc>
          <w:tcPr>
            <w:tcW w:w="5000" w:type="pct"/>
            <w:gridSpan w:val="10"/>
            <w:vAlign w:val="center"/>
          </w:tcPr>
          <w:p w:rsidR="00C2658B" w:rsidRDefault="00C2658B" w:rsidP="00A00F99">
            <w:pPr>
              <w:pStyle w:val="COMtbl-textCentred"/>
              <w:keepNext/>
              <w:widowControl/>
              <w:jc w:val="left"/>
            </w:pPr>
            <w:r>
              <w:rPr>
                <w:b/>
              </w:rPr>
              <w:t>Whole post-menopausal osteoporosis population without cardiovascular contraindications</w:t>
            </w:r>
          </w:p>
        </w:tc>
      </w:tr>
      <w:tr w:rsidR="00C2658B" w:rsidTr="001A42B2">
        <w:tc>
          <w:tcPr>
            <w:tcW w:w="1272" w:type="pct"/>
            <w:vAlign w:val="center"/>
          </w:tcPr>
          <w:p w:rsidR="00C2658B" w:rsidRDefault="00C2658B" w:rsidP="00A00F99">
            <w:pPr>
              <w:pStyle w:val="COMtbl-textLeftAligned"/>
              <w:keepNext/>
              <w:widowControl/>
            </w:pPr>
            <w:r>
              <w:t>Number of patients</w:t>
            </w:r>
          </w:p>
        </w:tc>
        <w:tc>
          <w:tcPr>
            <w:tcW w:w="765" w:type="pct"/>
            <w:gridSpan w:val="2"/>
            <w:vAlign w:val="center"/>
          </w:tcPr>
          <w:p w:rsidR="00C2658B" w:rsidRDefault="00C2658B" w:rsidP="00A00F99">
            <w:pPr>
              <w:pStyle w:val="COMtbl-textCentred"/>
              <w:keepNext/>
              <w:widowControl/>
            </w:pPr>
            <w:r>
              <w:t>2035</w:t>
            </w:r>
          </w:p>
        </w:tc>
        <w:tc>
          <w:tcPr>
            <w:tcW w:w="596" w:type="pct"/>
            <w:vAlign w:val="center"/>
          </w:tcPr>
          <w:p w:rsidR="00C2658B" w:rsidRDefault="00C2658B" w:rsidP="00A00F99">
            <w:pPr>
              <w:pStyle w:val="COMtbl-textCentred"/>
              <w:keepNext/>
              <w:widowControl/>
            </w:pPr>
            <w:r>
              <w:t>2005</w:t>
            </w:r>
          </w:p>
        </w:tc>
        <w:tc>
          <w:tcPr>
            <w:tcW w:w="594" w:type="pct"/>
            <w:vAlign w:val="center"/>
          </w:tcPr>
          <w:p w:rsidR="00C2658B" w:rsidRDefault="00C2658B" w:rsidP="00A00F99">
            <w:pPr>
              <w:pStyle w:val="COMtbl-textCentred"/>
              <w:keepNext/>
              <w:widowControl/>
            </w:pPr>
            <w:r>
              <w:t>2035</w:t>
            </w:r>
          </w:p>
        </w:tc>
        <w:tc>
          <w:tcPr>
            <w:tcW w:w="596" w:type="pct"/>
            <w:gridSpan w:val="2"/>
            <w:vAlign w:val="center"/>
          </w:tcPr>
          <w:p w:rsidR="00C2658B" w:rsidRDefault="00C2658B" w:rsidP="00A00F99">
            <w:pPr>
              <w:pStyle w:val="COMtbl-textCentred"/>
              <w:keepNext/>
              <w:widowControl/>
            </w:pPr>
            <w:r>
              <w:t>2005</w:t>
            </w:r>
          </w:p>
        </w:tc>
        <w:tc>
          <w:tcPr>
            <w:tcW w:w="679" w:type="pct"/>
            <w:gridSpan w:val="2"/>
            <w:vAlign w:val="center"/>
          </w:tcPr>
          <w:p w:rsidR="00C2658B" w:rsidRDefault="00C2658B" w:rsidP="00A00F99">
            <w:pPr>
              <w:pStyle w:val="COMtbl-textCentred"/>
              <w:keepNext/>
              <w:widowControl/>
            </w:pPr>
            <w:r>
              <w:t>2035</w:t>
            </w:r>
          </w:p>
        </w:tc>
        <w:tc>
          <w:tcPr>
            <w:tcW w:w="498" w:type="pct"/>
            <w:vAlign w:val="center"/>
          </w:tcPr>
          <w:p w:rsidR="00C2658B" w:rsidRDefault="00C2658B" w:rsidP="00A00F99">
            <w:pPr>
              <w:pStyle w:val="COMtbl-textCentred"/>
              <w:keepNext/>
              <w:widowControl/>
            </w:pPr>
            <w:r>
              <w:t>2005</w:t>
            </w:r>
          </w:p>
        </w:tc>
      </w:tr>
      <w:tr w:rsidR="00C2658B" w:rsidTr="001A42B2">
        <w:tc>
          <w:tcPr>
            <w:tcW w:w="1272" w:type="pct"/>
            <w:vAlign w:val="center"/>
          </w:tcPr>
          <w:p w:rsidR="00C2658B" w:rsidRPr="00570BF3" w:rsidRDefault="00C2658B" w:rsidP="00A00F99">
            <w:pPr>
              <w:pStyle w:val="COMtbl-textLeftAligned"/>
              <w:keepNext/>
              <w:widowControl/>
              <w:rPr>
                <w:vertAlign w:val="superscript"/>
              </w:rPr>
            </w:pPr>
            <w:r>
              <w:t>Incidence, n (%)</w:t>
            </w:r>
          </w:p>
        </w:tc>
        <w:tc>
          <w:tcPr>
            <w:tcW w:w="765" w:type="pct"/>
            <w:gridSpan w:val="2"/>
            <w:vAlign w:val="center"/>
          </w:tcPr>
          <w:p w:rsidR="00C2658B" w:rsidRDefault="00C2658B" w:rsidP="00A00F99">
            <w:pPr>
              <w:pStyle w:val="COMtbl-textCentred"/>
              <w:keepNext/>
              <w:widowControl/>
            </w:pPr>
            <w:r>
              <w:t>83 (4.1%)</w:t>
            </w:r>
          </w:p>
        </w:tc>
        <w:tc>
          <w:tcPr>
            <w:tcW w:w="596" w:type="pct"/>
            <w:vAlign w:val="center"/>
          </w:tcPr>
          <w:p w:rsidR="00C2658B" w:rsidRDefault="00C2658B" w:rsidP="00A00F99">
            <w:pPr>
              <w:pStyle w:val="COMtbl-textCentred"/>
              <w:keepNext/>
              <w:widowControl/>
            </w:pPr>
            <w:r>
              <w:t>73 (3.6%)</w:t>
            </w:r>
          </w:p>
        </w:tc>
        <w:tc>
          <w:tcPr>
            <w:tcW w:w="594" w:type="pct"/>
            <w:vAlign w:val="center"/>
          </w:tcPr>
          <w:p w:rsidR="00C2658B" w:rsidRDefault="00C2658B" w:rsidP="00A00F99">
            <w:pPr>
              <w:pStyle w:val="COMtbl-textCentred"/>
              <w:keepNext/>
              <w:widowControl/>
            </w:pPr>
            <w:r>
              <w:t>15 (0.7%)</w:t>
            </w:r>
          </w:p>
        </w:tc>
        <w:tc>
          <w:tcPr>
            <w:tcW w:w="596" w:type="pct"/>
            <w:gridSpan w:val="2"/>
            <w:vAlign w:val="center"/>
          </w:tcPr>
          <w:p w:rsidR="00C2658B" w:rsidRDefault="00C2658B" w:rsidP="00A00F99">
            <w:pPr>
              <w:pStyle w:val="COMtbl-textCentred"/>
              <w:keepNext/>
              <w:widowControl/>
            </w:pPr>
            <w:r>
              <w:t>15 (0.7%)</w:t>
            </w:r>
          </w:p>
        </w:tc>
        <w:tc>
          <w:tcPr>
            <w:tcW w:w="679" w:type="pct"/>
            <w:gridSpan w:val="2"/>
            <w:vAlign w:val="center"/>
          </w:tcPr>
          <w:p w:rsidR="00C2658B" w:rsidRPr="00D45DD2" w:rsidRDefault="00C2658B" w:rsidP="00A00F99">
            <w:pPr>
              <w:pStyle w:val="COMtbl-textCentred"/>
              <w:keepNext/>
              <w:widowControl/>
            </w:pPr>
            <w:r>
              <w:t>32 (1.6%)</w:t>
            </w:r>
          </w:p>
        </w:tc>
        <w:tc>
          <w:tcPr>
            <w:tcW w:w="498" w:type="pct"/>
            <w:vAlign w:val="center"/>
          </w:tcPr>
          <w:p w:rsidR="00C2658B" w:rsidRPr="00D45DD2" w:rsidRDefault="00C2658B" w:rsidP="00A00F99">
            <w:pPr>
              <w:pStyle w:val="COMtbl-textCentred"/>
              <w:keepNext/>
              <w:widowControl/>
            </w:pPr>
            <w:r>
              <w:t>26 (1.3%)</w:t>
            </w:r>
          </w:p>
        </w:tc>
      </w:tr>
      <w:tr w:rsidR="00C2658B" w:rsidTr="001A42B2">
        <w:tc>
          <w:tcPr>
            <w:tcW w:w="1272" w:type="pct"/>
            <w:vAlign w:val="center"/>
          </w:tcPr>
          <w:p w:rsidR="00C2658B" w:rsidRPr="00570BF3" w:rsidRDefault="00C2658B" w:rsidP="00A00F99">
            <w:pPr>
              <w:pStyle w:val="COMtbl-textLeftAligned"/>
              <w:keepNext/>
              <w:widowControl/>
              <w:rPr>
                <w:vertAlign w:val="superscript"/>
              </w:rPr>
            </w:pPr>
            <w:r>
              <w:t>Rate per 1000 patient years</w:t>
            </w:r>
          </w:p>
        </w:tc>
        <w:tc>
          <w:tcPr>
            <w:tcW w:w="765" w:type="pct"/>
            <w:gridSpan w:val="2"/>
            <w:vAlign w:val="center"/>
          </w:tcPr>
          <w:p w:rsidR="00C2658B" w:rsidRDefault="00C2658B" w:rsidP="00A00F99">
            <w:pPr>
              <w:pStyle w:val="COMtbl-textCentred"/>
              <w:keepNext/>
              <w:widowControl/>
            </w:pPr>
            <w:r>
              <w:t>14.2</w:t>
            </w:r>
          </w:p>
        </w:tc>
        <w:tc>
          <w:tcPr>
            <w:tcW w:w="596" w:type="pct"/>
            <w:vAlign w:val="center"/>
          </w:tcPr>
          <w:p w:rsidR="00C2658B" w:rsidRDefault="00C2658B" w:rsidP="00A00F99">
            <w:pPr>
              <w:pStyle w:val="COMtbl-textCentred"/>
              <w:keepNext/>
              <w:widowControl/>
            </w:pPr>
            <w:r>
              <w:t>12.5</w:t>
            </w:r>
          </w:p>
        </w:tc>
        <w:tc>
          <w:tcPr>
            <w:tcW w:w="594" w:type="pct"/>
            <w:vAlign w:val="center"/>
          </w:tcPr>
          <w:p w:rsidR="00C2658B" w:rsidRDefault="00C2658B" w:rsidP="00A00F99">
            <w:pPr>
              <w:pStyle w:val="COMtbl-textCentred"/>
              <w:keepNext/>
              <w:widowControl/>
            </w:pPr>
            <w:r>
              <w:t>2.6</w:t>
            </w:r>
          </w:p>
        </w:tc>
        <w:tc>
          <w:tcPr>
            <w:tcW w:w="596" w:type="pct"/>
            <w:gridSpan w:val="2"/>
            <w:vAlign w:val="center"/>
          </w:tcPr>
          <w:p w:rsidR="00C2658B" w:rsidRDefault="00C2658B" w:rsidP="00A00F99">
            <w:pPr>
              <w:pStyle w:val="COMtbl-textCentred"/>
              <w:keepNext/>
              <w:widowControl/>
            </w:pPr>
            <w:r>
              <w:t>2.6</w:t>
            </w:r>
          </w:p>
        </w:tc>
        <w:tc>
          <w:tcPr>
            <w:tcW w:w="679" w:type="pct"/>
            <w:gridSpan w:val="2"/>
            <w:vAlign w:val="center"/>
          </w:tcPr>
          <w:p w:rsidR="00C2658B" w:rsidRPr="00D45DD2" w:rsidRDefault="00C2658B" w:rsidP="00A00F99">
            <w:pPr>
              <w:pStyle w:val="COMtbl-textCentred"/>
              <w:keepNext/>
              <w:widowControl/>
            </w:pPr>
            <w:r>
              <w:t>5.5</w:t>
            </w:r>
          </w:p>
        </w:tc>
        <w:tc>
          <w:tcPr>
            <w:tcW w:w="498" w:type="pct"/>
            <w:vAlign w:val="center"/>
          </w:tcPr>
          <w:p w:rsidR="00C2658B" w:rsidRPr="00D45DD2" w:rsidRDefault="00C2658B" w:rsidP="00A00F99">
            <w:pPr>
              <w:pStyle w:val="COMtbl-textCentred"/>
              <w:keepNext/>
              <w:widowControl/>
            </w:pPr>
            <w:r>
              <w:t>4.5</w:t>
            </w:r>
          </w:p>
        </w:tc>
      </w:tr>
      <w:tr w:rsidR="00C2658B" w:rsidTr="001A42B2">
        <w:tc>
          <w:tcPr>
            <w:tcW w:w="1272" w:type="pct"/>
            <w:vAlign w:val="center"/>
          </w:tcPr>
          <w:p w:rsidR="00C2658B" w:rsidRPr="00570BF3" w:rsidRDefault="00C2658B" w:rsidP="00A00F99">
            <w:pPr>
              <w:pStyle w:val="COMtbl-textLeftAligned"/>
              <w:keepNext/>
              <w:widowControl/>
              <w:rPr>
                <w:vertAlign w:val="superscript"/>
              </w:rPr>
            </w:pPr>
            <w:r>
              <w:t>Odds ratio (95% CI)</w:t>
            </w:r>
          </w:p>
        </w:tc>
        <w:tc>
          <w:tcPr>
            <w:tcW w:w="1361" w:type="pct"/>
            <w:gridSpan w:val="3"/>
            <w:vAlign w:val="center"/>
          </w:tcPr>
          <w:p w:rsidR="00C2658B" w:rsidRDefault="00C2658B" w:rsidP="00A00F99">
            <w:pPr>
              <w:pStyle w:val="COMtbl-textCentred"/>
              <w:keepNext/>
              <w:widowControl/>
            </w:pPr>
            <w:r>
              <w:t>1.13 (0.82, 1.57)</w:t>
            </w:r>
          </w:p>
        </w:tc>
        <w:tc>
          <w:tcPr>
            <w:tcW w:w="1190" w:type="pct"/>
            <w:gridSpan w:val="3"/>
            <w:vAlign w:val="center"/>
          </w:tcPr>
          <w:p w:rsidR="00C2658B" w:rsidRDefault="00C2658B" w:rsidP="00A00F99">
            <w:pPr>
              <w:pStyle w:val="COMtbl-textCentred"/>
              <w:keepNext/>
              <w:widowControl/>
            </w:pPr>
            <w:r>
              <w:t>0.99 (0.48, 2.04)</w:t>
            </w:r>
          </w:p>
        </w:tc>
        <w:tc>
          <w:tcPr>
            <w:tcW w:w="1177" w:type="pct"/>
            <w:gridSpan w:val="3"/>
            <w:vAlign w:val="center"/>
          </w:tcPr>
          <w:p w:rsidR="00C2658B" w:rsidRPr="00D45DD2" w:rsidRDefault="00C2658B" w:rsidP="00A00F99">
            <w:pPr>
              <w:pStyle w:val="COMtbl-textCentred"/>
              <w:keepNext/>
              <w:widowControl/>
            </w:pPr>
            <w:r>
              <w:t>1.22 (0.73, 2.06)</w:t>
            </w:r>
          </w:p>
        </w:tc>
      </w:tr>
      <w:tr w:rsidR="00C2658B" w:rsidTr="00C2658B">
        <w:tc>
          <w:tcPr>
            <w:tcW w:w="5000" w:type="pct"/>
            <w:gridSpan w:val="10"/>
            <w:vAlign w:val="center"/>
          </w:tcPr>
          <w:p w:rsidR="00C2658B" w:rsidRDefault="00C2658B" w:rsidP="00A00F99">
            <w:pPr>
              <w:pStyle w:val="COMtbl-textCentred"/>
              <w:keepNext/>
              <w:widowControl/>
              <w:jc w:val="both"/>
            </w:pPr>
            <w:r>
              <w:rPr>
                <w:b/>
              </w:rPr>
              <w:t>Severe post-menopausal osteoporosis population without cardiovascular contraindications (WHO definition)</w:t>
            </w:r>
          </w:p>
        </w:tc>
      </w:tr>
      <w:tr w:rsidR="00C2658B" w:rsidTr="001A42B2">
        <w:tc>
          <w:tcPr>
            <w:tcW w:w="1272" w:type="pct"/>
            <w:vAlign w:val="center"/>
          </w:tcPr>
          <w:p w:rsidR="00C2658B" w:rsidRDefault="00C2658B" w:rsidP="00A00F99">
            <w:pPr>
              <w:pStyle w:val="COMtbl-textLeftAligned"/>
              <w:keepNext/>
              <w:widowControl/>
            </w:pPr>
            <w:r>
              <w:t>Number of patients</w:t>
            </w:r>
          </w:p>
        </w:tc>
        <w:tc>
          <w:tcPr>
            <w:tcW w:w="765" w:type="pct"/>
            <w:gridSpan w:val="2"/>
            <w:vAlign w:val="center"/>
          </w:tcPr>
          <w:p w:rsidR="00C2658B" w:rsidRDefault="00C2658B" w:rsidP="00A00F99">
            <w:pPr>
              <w:pStyle w:val="COMtbl-textCentred"/>
              <w:keepNext/>
              <w:widowControl/>
            </w:pPr>
            <w:r>
              <w:t>975</w:t>
            </w:r>
          </w:p>
        </w:tc>
        <w:tc>
          <w:tcPr>
            <w:tcW w:w="596" w:type="pct"/>
            <w:vAlign w:val="center"/>
          </w:tcPr>
          <w:p w:rsidR="00C2658B" w:rsidRDefault="00C2658B" w:rsidP="00A00F99">
            <w:pPr>
              <w:pStyle w:val="COMtbl-textCentred"/>
              <w:keepNext/>
              <w:widowControl/>
            </w:pPr>
            <w:r>
              <w:t>977</w:t>
            </w:r>
          </w:p>
        </w:tc>
        <w:tc>
          <w:tcPr>
            <w:tcW w:w="594" w:type="pct"/>
            <w:vAlign w:val="center"/>
          </w:tcPr>
          <w:p w:rsidR="00C2658B" w:rsidRDefault="00C2658B" w:rsidP="00A00F99">
            <w:pPr>
              <w:pStyle w:val="COMtbl-textCentred"/>
              <w:keepNext/>
              <w:widowControl/>
            </w:pPr>
            <w:r>
              <w:t>975</w:t>
            </w:r>
          </w:p>
        </w:tc>
        <w:tc>
          <w:tcPr>
            <w:tcW w:w="596" w:type="pct"/>
            <w:gridSpan w:val="2"/>
            <w:vAlign w:val="center"/>
          </w:tcPr>
          <w:p w:rsidR="00C2658B" w:rsidRDefault="00C2658B" w:rsidP="00A00F99">
            <w:pPr>
              <w:pStyle w:val="COMtbl-textCentred"/>
              <w:keepNext/>
              <w:widowControl/>
            </w:pPr>
            <w:r>
              <w:t>977</w:t>
            </w:r>
          </w:p>
        </w:tc>
        <w:tc>
          <w:tcPr>
            <w:tcW w:w="679" w:type="pct"/>
            <w:gridSpan w:val="2"/>
            <w:vAlign w:val="center"/>
          </w:tcPr>
          <w:p w:rsidR="00C2658B" w:rsidRDefault="00C2658B" w:rsidP="00A00F99">
            <w:pPr>
              <w:pStyle w:val="COMtbl-textCentred"/>
              <w:keepNext/>
              <w:widowControl/>
            </w:pPr>
            <w:r>
              <w:t>975</w:t>
            </w:r>
          </w:p>
        </w:tc>
        <w:tc>
          <w:tcPr>
            <w:tcW w:w="498" w:type="pct"/>
            <w:vAlign w:val="center"/>
          </w:tcPr>
          <w:p w:rsidR="00C2658B" w:rsidRDefault="00C2658B" w:rsidP="00A00F99">
            <w:pPr>
              <w:pStyle w:val="COMtbl-textCentred"/>
              <w:keepNext/>
              <w:widowControl/>
            </w:pPr>
            <w:r>
              <w:t>977</w:t>
            </w:r>
          </w:p>
        </w:tc>
      </w:tr>
      <w:tr w:rsidR="00C2658B" w:rsidTr="001A42B2">
        <w:tc>
          <w:tcPr>
            <w:tcW w:w="1272" w:type="pct"/>
            <w:vAlign w:val="center"/>
          </w:tcPr>
          <w:p w:rsidR="00C2658B" w:rsidRDefault="00C2658B" w:rsidP="00A00F99">
            <w:pPr>
              <w:pStyle w:val="COMtbl-textLeftAligned"/>
              <w:keepNext/>
              <w:widowControl/>
            </w:pPr>
            <w:r>
              <w:t>Incidence, n (%)</w:t>
            </w:r>
          </w:p>
        </w:tc>
        <w:tc>
          <w:tcPr>
            <w:tcW w:w="765" w:type="pct"/>
            <w:gridSpan w:val="2"/>
            <w:vAlign w:val="center"/>
          </w:tcPr>
          <w:p w:rsidR="00C2658B" w:rsidRDefault="00C2658B" w:rsidP="00A00F99">
            <w:pPr>
              <w:pStyle w:val="COMtbl-textCentred"/>
              <w:keepNext/>
              <w:widowControl/>
            </w:pPr>
            <w:r>
              <w:t>42 (4.3%)</w:t>
            </w:r>
          </w:p>
        </w:tc>
        <w:tc>
          <w:tcPr>
            <w:tcW w:w="596" w:type="pct"/>
            <w:vAlign w:val="center"/>
          </w:tcPr>
          <w:p w:rsidR="00C2658B" w:rsidRDefault="00C2658B" w:rsidP="00A00F99">
            <w:pPr>
              <w:pStyle w:val="COMtbl-textCentred"/>
              <w:keepNext/>
              <w:widowControl/>
            </w:pPr>
            <w:r>
              <w:t>40 (4.1%)</w:t>
            </w:r>
          </w:p>
        </w:tc>
        <w:tc>
          <w:tcPr>
            <w:tcW w:w="594" w:type="pct"/>
            <w:vAlign w:val="center"/>
          </w:tcPr>
          <w:p w:rsidR="00C2658B" w:rsidRDefault="00C2658B" w:rsidP="00A00F99">
            <w:pPr>
              <w:pStyle w:val="COMtbl-textCentred"/>
              <w:keepNext/>
              <w:widowControl/>
            </w:pPr>
            <w:r>
              <w:t>5 (0.5%)</w:t>
            </w:r>
          </w:p>
        </w:tc>
        <w:tc>
          <w:tcPr>
            <w:tcW w:w="596" w:type="pct"/>
            <w:gridSpan w:val="2"/>
            <w:vAlign w:val="center"/>
          </w:tcPr>
          <w:p w:rsidR="00C2658B" w:rsidRDefault="00C2658B" w:rsidP="00A00F99">
            <w:pPr>
              <w:pStyle w:val="COMtbl-textCentred"/>
              <w:keepNext/>
              <w:widowControl/>
            </w:pPr>
            <w:r>
              <w:t>6 (0.6%)</w:t>
            </w:r>
          </w:p>
        </w:tc>
        <w:tc>
          <w:tcPr>
            <w:tcW w:w="679" w:type="pct"/>
            <w:gridSpan w:val="2"/>
            <w:vAlign w:val="center"/>
          </w:tcPr>
          <w:p w:rsidR="00C2658B" w:rsidRDefault="00C2658B" w:rsidP="00A00F99">
            <w:pPr>
              <w:pStyle w:val="COMtbl-textCentred"/>
              <w:keepNext/>
              <w:widowControl/>
            </w:pPr>
            <w:r>
              <w:t>17 (1.7%)</w:t>
            </w:r>
          </w:p>
        </w:tc>
        <w:tc>
          <w:tcPr>
            <w:tcW w:w="498" w:type="pct"/>
            <w:vAlign w:val="center"/>
          </w:tcPr>
          <w:p w:rsidR="00C2658B" w:rsidRDefault="00C2658B" w:rsidP="00A00F99">
            <w:pPr>
              <w:pStyle w:val="COMtbl-textCentred"/>
              <w:keepNext/>
              <w:widowControl/>
            </w:pPr>
            <w:r>
              <w:t>16 (1.6%)</w:t>
            </w:r>
          </w:p>
        </w:tc>
      </w:tr>
      <w:tr w:rsidR="00C2658B" w:rsidTr="001A42B2">
        <w:tc>
          <w:tcPr>
            <w:tcW w:w="1272" w:type="pct"/>
            <w:vAlign w:val="center"/>
          </w:tcPr>
          <w:p w:rsidR="00C2658B" w:rsidRDefault="00C2658B" w:rsidP="00A00F99">
            <w:pPr>
              <w:pStyle w:val="COMtbl-textLeftAligned"/>
              <w:keepNext/>
              <w:widowControl/>
            </w:pPr>
            <w:r>
              <w:t>Rate per 1000 patient years</w:t>
            </w:r>
          </w:p>
        </w:tc>
        <w:tc>
          <w:tcPr>
            <w:tcW w:w="765" w:type="pct"/>
            <w:gridSpan w:val="2"/>
            <w:vAlign w:val="center"/>
          </w:tcPr>
          <w:p w:rsidR="00C2658B" w:rsidRDefault="00C2658B" w:rsidP="00A00F99">
            <w:pPr>
              <w:pStyle w:val="COMtbl-textCentred"/>
              <w:keepNext/>
              <w:widowControl/>
            </w:pPr>
            <w:r>
              <w:t>14.4</w:t>
            </w:r>
          </w:p>
        </w:tc>
        <w:tc>
          <w:tcPr>
            <w:tcW w:w="596" w:type="pct"/>
            <w:vAlign w:val="center"/>
          </w:tcPr>
          <w:p w:rsidR="00C2658B" w:rsidRDefault="00C2658B" w:rsidP="00A00F99">
            <w:pPr>
              <w:pStyle w:val="COMtbl-textCentred"/>
              <w:keepNext/>
              <w:widowControl/>
            </w:pPr>
            <w:r>
              <w:t>13.8</w:t>
            </w:r>
          </w:p>
        </w:tc>
        <w:tc>
          <w:tcPr>
            <w:tcW w:w="594" w:type="pct"/>
            <w:vAlign w:val="center"/>
          </w:tcPr>
          <w:p w:rsidR="00C2658B" w:rsidRDefault="00C2658B" w:rsidP="00A00F99">
            <w:pPr>
              <w:pStyle w:val="COMtbl-textCentred"/>
              <w:keepNext/>
              <w:widowControl/>
            </w:pPr>
            <w:r>
              <w:t>1.7</w:t>
            </w:r>
          </w:p>
        </w:tc>
        <w:tc>
          <w:tcPr>
            <w:tcW w:w="596" w:type="pct"/>
            <w:gridSpan w:val="2"/>
            <w:vAlign w:val="center"/>
          </w:tcPr>
          <w:p w:rsidR="00C2658B" w:rsidRDefault="00C2658B" w:rsidP="00A00F99">
            <w:pPr>
              <w:pStyle w:val="COMtbl-textCentred"/>
              <w:keepNext/>
              <w:widowControl/>
            </w:pPr>
            <w:r>
              <w:t>2.1</w:t>
            </w:r>
          </w:p>
        </w:tc>
        <w:tc>
          <w:tcPr>
            <w:tcW w:w="679" w:type="pct"/>
            <w:gridSpan w:val="2"/>
            <w:vAlign w:val="center"/>
          </w:tcPr>
          <w:p w:rsidR="00C2658B" w:rsidRDefault="00C2658B" w:rsidP="00A00F99">
            <w:pPr>
              <w:pStyle w:val="COMtbl-textCentred"/>
              <w:keepNext/>
              <w:widowControl/>
            </w:pPr>
            <w:r>
              <w:t>5.8</w:t>
            </w:r>
          </w:p>
        </w:tc>
        <w:tc>
          <w:tcPr>
            <w:tcW w:w="498" w:type="pct"/>
            <w:vAlign w:val="center"/>
          </w:tcPr>
          <w:p w:rsidR="00C2658B" w:rsidRDefault="00C2658B" w:rsidP="00A00F99">
            <w:pPr>
              <w:pStyle w:val="COMtbl-textCentred"/>
              <w:keepNext/>
              <w:widowControl/>
            </w:pPr>
            <w:r>
              <w:t>5.5</w:t>
            </w:r>
          </w:p>
        </w:tc>
      </w:tr>
      <w:tr w:rsidR="00C2658B" w:rsidTr="001A42B2">
        <w:tc>
          <w:tcPr>
            <w:tcW w:w="1272" w:type="pct"/>
            <w:vAlign w:val="center"/>
          </w:tcPr>
          <w:p w:rsidR="00C2658B" w:rsidRDefault="00C2658B" w:rsidP="00A00F99">
            <w:pPr>
              <w:pStyle w:val="COMtbl-textLeftAligned"/>
              <w:keepNext/>
              <w:widowControl/>
            </w:pPr>
            <w:r>
              <w:t>Odds ratio (95% CI)</w:t>
            </w:r>
          </w:p>
        </w:tc>
        <w:tc>
          <w:tcPr>
            <w:tcW w:w="1361" w:type="pct"/>
            <w:gridSpan w:val="3"/>
            <w:vAlign w:val="center"/>
          </w:tcPr>
          <w:p w:rsidR="00C2658B" w:rsidRDefault="00C2658B" w:rsidP="00A00F99">
            <w:pPr>
              <w:pStyle w:val="COMtbl-textCentred"/>
              <w:keepNext/>
              <w:widowControl/>
            </w:pPr>
            <w:r>
              <w:t>1.05 (0.67, 1.64)</w:t>
            </w:r>
          </w:p>
        </w:tc>
        <w:tc>
          <w:tcPr>
            <w:tcW w:w="1190" w:type="pct"/>
            <w:gridSpan w:val="3"/>
            <w:vAlign w:val="center"/>
          </w:tcPr>
          <w:p w:rsidR="00C2658B" w:rsidRDefault="00C2658B" w:rsidP="00A00F99">
            <w:pPr>
              <w:pStyle w:val="COMtbl-textCentred"/>
              <w:keepNext/>
              <w:widowControl/>
            </w:pPr>
            <w:r>
              <w:t>0.86 (0.26, 2.86)</w:t>
            </w:r>
          </w:p>
        </w:tc>
        <w:tc>
          <w:tcPr>
            <w:tcW w:w="1177" w:type="pct"/>
            <w:gridSpan w:val="3"/>
            <w:vAlign w:val="center"/>
          </w:tcPr>
          <w:p w:rsidR="00C2658B" w:rsidRDefault="00C2658B" w:rsidP="00A00F99">
            <w:pPr>
              <w:pStyle w:val="COMtbl-textCentred"/>
              <w:keepNext/>
              <w:widowControl/>
            </w:pPr>
            <w:r>
              <w:t>1.05 (0.53, 2.10)</w:t>
            </w:r>
          </w:p>
        </w:tc>
      </w:tr>
      <w:tr w:rsidR="00C2658B" w:rsidTr="00C2658B">
        <w:tc>
          <w:tcPr>
            <w:tcW w:w="5000" w:type="pct"/>
            <w:gridSpan w:val="10"/>
            <w:vAlign w:val="center"/>
          </w:tcPr>
          <w:p w:rsidR="00C2658B" w:rsidRDefault="00C2658B" w:rsidP="00A00F99">
            <w:pPr>
              <w:pStyle w:val="COMtbl-textCentred"/>
              <w:keepNext/>
              <w:widowControl/>
              <w:jc w:val="both"/>
            </w:pPr>
            <w:r>
              <w:rPr>
                <w:b/>
              </w:rPr>
              <w:t>Severe post-menopausal osteoporosis population without cardiovascular contraindications (FRAX definition)</w:t>
            </w:r>
          </w:p>
        </w:tc>
      </w:tr>
      <w:tr w:rsidR="00C2658B" w:rsidTr="001A42B2">
        <w:tc>
          <w:tcPr>
            <w:tcW w:w="1272" w:type="pct"/>
            <w:vAlign w:val="center"/>
          </w:tcPr>
          <w:p w:rsidR="00C2658B" w:rsidRDefault="00C2658B" w:rsidP="00A00F99">
            <w:pPr>
              <w:pStyle w:val="COMtbl-textLeftAligned"/>
              <w:keepNext/>
              <w:widowControl/>
            </w:pPr>
            <w:r>
              <w:t>Number of patients</w:t>
            </w:r>
          </w:p>
        </w:tc>
        <w:tc>
          <w:tcPr>
            <w:tcW w:w="765" w:type="pct"/>
            <w:gridSpan w:val="2"/>
            <w:vAlign w:val="center"/>
          </w:tcPr>
          <w:p w:rsidR="00C2658B" w:rsidRDefault="00C2658B" w:rsidP="00A00F99">
            <w:pPr>
              <w:pStyle w:val="COMtbl-textCentred"/>
              <w:keepNext/>
              <w:widowControl/>
            </w:pPr>
            <w:r>
              <w:t>1243</w:t>
            </w:r>
          </w:p>
        </w:tc>
        <w:tc>
          <w:tcPr>
            <w:tcW w:w="596" w:type="pct"/>
            <w:vAlign w:val="center"/>
          </w:tcPr>
          <w:p w:rsidR="00C2658B" w:rsidRDefault="00C2658B" w:rsidP="00A00F99">
            <w:pPr>
              <w:pStyle w:val="COMtbl-textCentred"/>
              <w:keepNext/>
              <w:widowControl/>
            </w:pPr>
            <w:r>
              <w:t>1259</w:t>
            </w:r>
          </w:p>
        </w:tc>
        <w:tc>
          <w:tcPr>
            <w:tcW w:w="594" w:type="pct"/>
            <w:vAlign w:val="center"/>
          </w:tcPr>
          <w:p w:rsidR="00C2658B" w:rsidRDefault="00C2658B" w:rsidP="00A00F99">
            <w:pPr>
              <w:pStyle w:val="COMtbl-textCentred"/>
              <w:keepNext/>
              <w:widowControl/>
            </w:pPr>
            <w:r>
              <w:t>1243</w:t>
            </w:r>
          </w:p>
        </w:tc>
        <w:tc>
          <w:tcPr>
            <w:tcW w:w="596" w:type="pct"/>
            <w:gridSpan w:val="2"/>
            <w:vAlign w:val="center"/>
          </w:tcPr>
          <w:p w:rsidR="00C2658B" w:rsidRDefault="00C2658B" w:rsidP="00A00F99">
            <w:pPr>
              <w:pStyle w:val="COMtbl-textCentred"/>
              <w:keepNext/>
              <w:widowControl/>
            </w:pPr>
            <w:r>
              <w:t>1259</w:t>
            </w:r>
          </w:p>
        </w:tc>
        <w:tc>
          <w:tcPr>
            <w:tcW w:w="679" w:type="pct"/>
            <w:gridSpan w:val="2"/>
            <w:vAlign w:val="center"/>
          </w:tcPr>
          <w:p w:rsidR="00C2658B" w:rsidRDefault="00C2658B" w:rsidP="00A00F99">
            <w:pPr>
              <w:pStyle w:val="COMtbl-textCentred"/>
              <w:keepNext/>
              <w:widowControl/>
            </w:pPr>
            <w:r>
              <w:t>1243</w:t>
            </w:r>
          </w:p>
        </w:tc>
        <w:tc>
          <w:tcPr>
            <w:tcW w:w="498" w:type="pct"/>
            <w:vAlign w:val="center"/>
          </w:tcPr>
          <w:p w:rsidR="00C2658B" w:rsidRDefault="00C2658B" w:rsidP="00A00F99">
            <w:pPr>
              <w:pStyle w:val="COMtbl-textCentred"/>
              <w:keepNext/>
              <w:widowControl/>
            </w:pPr>
            <w:r>
              <w:t>1259</w:t>
            </w:r>
          </w:p>
        </w:tc>
      </w:tr>
      <w:tr w:rsidR="00C2658B" w:rsidTr="001A42B2">
        <w:tc>
          <w:tcPr>
            <w:tcW w:w="1272" w:type="pct"/>
            <w:vAlign w:val="center"/>
          </w:tcPr>
          <w:p w:rsidR="00C2658B" w:rsidRDefault="00C2658B" w:rsidP="00476915">
            <w:pPr>
              <w:pStyle w:val="COMtbl-textLeftAligned"/>
              <w:keepNext/>
              <w:widowControl/>
            </w:pPr>
            <w:r>
              <w:t>Incidence, n (%)</w:t>
            </w:r>
          </w:p>
        </w:tc>
        <w:tc>
          <w:tcPr>
            <w:tcW w:w="765" w:type="pct"/>
            <w:gridSpan w:val="2"/>
            <w:vAlign w:val="center"/>
          </w:tcPr>
          <w:p w:rsidR="00C2658B" w:rsidRDefault="00C2658B" w:rsidP="00476915">
            <w:pPr>
              <w:pStyle w:val="COMtbl-textCentred"/>
              <w:keepNext/>
              <w:widowControl/>
            </w:pPr>
            <w:r>
              <w:t>59 (4.7%)</w:t>
            </w:r>
          </w:p>
        </w:tc>
        <w:tc>
          <w:tcPr>
            <w:tcW w:w="596" w:type="pct"/>
            <w:vAlign w:val="center"/>
          </w:tcPr>
          <w:p w:rsidR="00C2658B" w:rsidRDefault="00C2658B" w:rsidP="00476915">
            <w:pPr>
              <w:pStyle w:val="COMtbl-textCentred"/>
              <w:keepNext/>
              <w:widowControl/>
            </w:pPr>
            <w:r>
              <w:t>49 (3.9%)</w:t>
            </w:r>
          </w:p>
        </w:tc>
        <w:tc>
          <w:tcPr>
            <w:tcW w:w="594" w:type="pct"/>
            <w:vAlign w:val="center"/>
          </w:tcPr>
          <w:p w:rsidR="00C2658B" w:rsidRDefault="00C2658B" w:rsidP="00476915">
            <w:pPr>
              <w:pStyle w:val="COMtbl-textCentred"/>
              <w:keepNext/>
              <w:widowControl/>
            </w:pPr>
            <w:r>
              <w:t>12 (1.0%)</w:t>
            </w:r>
          </w:p>
        </w:tc>
        <w:tc>
          <w:tcPr>
            <w:tcW w:w="596" w:type="pct"/>
            <w:gridSpan w:val="2"/>
            <w:vAlign w:val="center"/>
          </w:tcPr>
          <w:p w:rsidR="00C2658B" w:rsidRDefault="00C2658B" w:rsidP="00476915">
            <w:pPr>
              <w:pStyle w:val="COMtbl-textCentred"/>
              <w:keepNext/>
              <w:widowControl/>
            </w:pPr>
            <w:r>
              <w:t>11 (0.9%)</w:t>
            </w:r>
          </w:p>
        </w:tc>
        <w:tc>
          <w:tcPr>
            <w:tcW w:w="679" w:type="pct"/>
            <w:gridSpan w:val="2"/>
            <w:vAlign w:val="center"/>
          </w:tcPr>
          <w:p w:rsidR="00C2658B" w:rsidRDefault="00C2658B" w:rsidP="00476915">
            <w:pPr>
              <w:pStyle w:val="COMtbl-textCentred"/>
              <w:keepNext/>
              <w:widowControl/>
            </w:pPr>
            <w:r>
              <w:t>19 (1.5%)</w:t>
            </w:r>
          </w:p>
        </w:tc>
        <w:tc>
          <w:tcPr>
            <w:tcW w:w="498" w:type="pct"/>
            <w:vAlign w:val="center"/>
          </w:tcPr>
          <w:p w:rsidR="00C2658B" w:rsidRDefault="00C2658B" w:rsidP="00476915">
            <w:pPr>
              <w:pStyle w:val="COMtbl-textCentred"/>
              <w:keepNext/>
              <w:widowControl/>
            </w:pPr>
            <w:r>
              <w:t>16 (1.3%)</w:t>
            </w:r>
          </w:p>
        </w:tc>
      </w:tr>
      <w:tr w:rsidR="00C2658B" w:rsidTr="001A42B2">
        <w:tc>
          <w:tcPr>
            <w:tcW w:w="1272" w:type="pct"/>
            <w:vAlign w:val="center"/>
          </w:tcPr>
          <w:p w:rsidR="00C2658B" w:rsidRDefault="00C2658B" w:rsidP="00476915">
            <w:pPr>
              <w:pStyle w:val="COMtbl-textLeftAligned"/>
              <w:keepNext/>
              <w:widowControl/>
            </w:pPr>
            <w:r>
              <w:t>Rate per 1000 patient years</w:t>
            </w:r>
          </w:p>
        </w:tc>
        <w:tc>
          <w:tcPr>
            <w:tcW w:w="765" w:type="pct"/>
            <w:gridSpan w:val="2"/>
            <w:vAlign w:val="center"/>
          </w:tcPr>
          <w:p w:rsidR="00C2658B" w:rsidRDefault="00C2658B" w:rsidP="00476915">
            <w:pPr>
              <w:pStyle w:val="COMtbl-textCentred"/>
              <w:keepNext/>
              <w:widowControl/>
            </w:pPr>
            <w:r>
              <w:t>16.5</w:t>
            </w:r>
          </w:p>
        </w:tc>
        <w:tc>
          <w:tcPr>
            <w:tcW w:w="596" w:type="pct"/>
            <w:vAlign w:val="center"/>
          </w:tcPr>
          <w:p w:rsidR="00C2658B" w:rsidRDefault="00C2658B" w:rsidP="00476915">
            <w:pPr>
              <w:pStyle w:val="COMtbl-textCentred"/>
              <w:keepNext/>
              <w:widowControl/>
            </w:pPr>
            <w:r>
              <w:t>13.7</w:t>
            </w:r>
          </w:p>
        </w:tc>
        <w:tc>
          <w:tcPr>
            <w:tcW w:w="594" w:type="pct"/>
            <w:vAlign w:val="center"/>
          </w:tcPr>
          <w:p w:rsidR="00C2658B" w:rsidRDefault="00C2658B" w:rsidP="00476915">
            <w:pPr>
              <w:pStyle w:val="COMtbl-textCentred"/>
              <w:keepNext/>
              <w:widowControl/>
            </w:pPr>
            <w:r>
              <w:t>3.4</w:t>
            </w:r>
          </w:p>
        </w:tc>
        <w:tc>
          <w:tcPr>
            <w:tcW w:w="596" w:type="pct"/>
            <w:gridSpan w:val="2"/>
            <w:vAlign w:val="center"/>
          </w:tcPr>
          <w:p w:rsidR="00C2658B" w:rsidRDefault="00C2658B" w:rsidP="00476915">
            <w:pPr>
              <w:pStyle w:val="COMtbl-textCentred"/>
              <w:keepNext/>
              <w:widowControl/>
            </w:pPr>
            <w:r>
              <w:t>3.1</w:t>
            </w:r>
          </w:p>
        </w:tc>
        <w:tc>
          <w:tcPr>
            <w:tcW w:w="679" w:type="pct"/>
            <w:gridSpan w:val="2"/>
            <w:vAlign w:val="center"/>
          </w:tcPr>
          <w:p w:rsidR="00C2658B" w:rsidRDefault="00C2658B" w:rsidP="00476915">
            <w:pPr>
              <w:pStyle w:val="COMtbl-textCentred"/>
              <w:keepNext/>
              <w:widowControl/>
            </w:pPr>
            <w:r>
              <w:t>5.3</w:t>
            </w:r>
          </w:p>
        </w:tc>
        <w:tc>
          <w:tcPr>
            <w:tcW w:w="498" w:type="pct"/>
            <w:vAlign w:val="center"/>
          </w:tcPr>
          <w:p w:rsidR="00C2658B" w:rsidRDefault="00C2658B" w:rsidP="00476915">
            <w:pPr>
              <w:pStyle w:val="COMtbl-textCentred"/>
              <w:keepNext/>
              <w:widowControl/>
            </w:pPr>
            <w:r>
              <w:t>4.5</w:t>
            </w:r>
          </w:p>
        </w:tc>
      </w:tr>
      <w:tr w:rsidR="00C2658B" w:rsidTr="001A42B2">
        <w:tc>
          <w:tcPr>
            <w:tcW w:w="1272" w:type="pct"/>
            <w:vAlign w:val="center"/>
          </w:tcPr>
          <w:p w:rsidR="00C2658B" w:rsidRDefault="00C2658B" w:rsidP="00476915">
            <w:pPr>
              <w:pStyle w:val="COMtbl-textLeftAligned"/>
              <w:keepNext/>
              <w:widowControl/>
            </w:pPr>
            <w:r>
              <w:t>Odds ratio (95% CI)</w:t>
            </w:r>
          </w:p>
        </w:tc>
        <w:tc>
          <w:tcPr>
            <w:tcW w:w="1361" w:type="pct"/>
            <w:gridSpan w:val="3"/>
            <w:vAlign w:val="center"/>
          </w:tcPr>
          <w:p w:rsidR="00C2658B" w:rsidRDefault="00C2658B" w:rsidP="00476915">
            <w:pPr>
              <w:pStyle w:val="COMtbl-textCentred"/>
              <w:keepNext/>
              <w:widowControl/>
            </w:pPr>
            <w:r>
              <w:t>1.22 (0.82, 1.79)</w:t>
            </w:r>
          </w:p>
        </w:tc>
        <w:tc>
          <w:tcPr>
            <w:tcW w:w="1190" w:type="pct"/>
            <w:gridSpan w:val="3"/>
            <w:vAlign w:val="center"/>
          </w:tcPr>
          <w:p w:rsidR="00C2658B" w:rsidRDefault="00C2658B" w:rsidP="00476915">
            <w:pPr>
              <w:pStyle w:val="COMtbl-textCentred"/>
              <w:keepNext/>
              <w:widowControl/>
            </w:pPr>
            <w:r>
              <w:t>1.10 (0.48, 2.52)</w:t>
            </w:r>
          </w:p>
        </w:tc>
        <w:tc>
          <w:tcPr>
            <w:tcW w:w="1177" w:type="pct"/>
            <w:gridSpan w:val="3"/>
            <w:vAlign w:val="center"/>
          </w:tcPr>
          <w:p w:rsidR="00C2658B" w:rsidRDefault="00C2658B" w:rsidP="00476915">
            <w:pPr>
              <w:pStyle w:val="COMtbl-textCentred"/>
              <w:keepNext/>
              <w:widowControl/>
            </w:pPr>
            <w:r>
              <w:t>1.18 (0.60, 2.31)</w:t>
            </w:r>
          </w:p>
        </w:tc>
      </w:tr>
      <w:tr w:rsidR="001A42B2" w:rsidTr="001A42B2">
        <w:tc>
          <w:tcPr>
            <w:tcW w:w="5000" w:type="pct"/>
            <w:gridSpan w:val="10"/>
            <w:vAlign w:val="center"/>
          </w:tcPr>
          <w:p w:rsidR="001A42B2" w:rsidRDefault="001A42B2" w:rsidP="001A42B2">
            <w:pPr>
              <w:pStyle w:val="COMtbl-textCentred"/>
              <w:keepNext/>
              <w:widowControl/>
              <w:jc w:val="left"/>
            </w:pPr>
            <w:r>
              <w:rPr>
                <w:b/>
              </w:rPr>
              <w:t>Severe post-menopausal osteoporosis population without cardiovascular contraindications (PSUR, definition unclear)</w:t>
            </w:r>
          </w:p>
        </w:tc>
      </w:tr>
      <w:tr w:rsidR="001A42B2" w:rsidTr="001A42B2">
        <w:tc>
          <w:tcPr>
            <w:tcW w:w="1272" w:type="pct"/>
            <w:vAlign w:val="center"/>
          </w:tcPr>
          <w:p w:rsidR="001A42B2" w:rsidRDefault="001A42B2" w:rsidP="00476915">
            <w:pPr>
              <w:pStyle w:val="COMtbl-textLeftAligned"/>
              <w:keepNext/>
              <w:widowControl/>
            </w:pPr>
            <w:r>
              <w:t>Number of patients</w:t>
            </w:r>
          </w:p>
        </w:tc>
        <w:tc>
          <w:tcPr>
            <w:tcW w:w="680" w:type="pct"/>
            <w:vAlign w:val="center"/>
          </w:tcPr>
          <w:p w:rsidR="001A42B2" w:rsidRDefault="001A42B2" w:rsidP="00476915">
            <w:pPr>
              <w:pStyle w:val="COMtbl-textCentred"/>
              <w:keepNext/>
              <w:widowControl/>
            </w:pPr>
            <w:r>
              <w:t>1237</w:t>
            </w:r>
          </w:p>
        </w:tc>
        <w:tc>
          <w:tcPr>
            <w:tcW w:w="681" w:type="pct"/>
            <w:gridSpan w:val="2"/>
            <w:vAlign w:val="center"/>
          </w:tcPr>
          <w:p w:rsidR="001A42B2" w:rsidRDefault="001A42B2" w:rsidP="00476915">
            <w:pPr>
              <w:pStyle w:val="COMtbl-textCentred"/>
              <w:keepNext/>
              <w:widowControl/>
            </w:pPr>
            <w:r>
              <w:t>1184</w:t>
            </w:r>
          </w:p>
        </w:tc>
        <w:tc>
          <w:tcPr>
            <w:tcW w:w="594" w:type="pct"/>
            <w:vAlign w:val="center"/>
          </w:tcPr>
          <w:p w:rsidR="001A42B2" w:rsidRDefault="001A42B2" w:rsidP="00476915">
            <w:pPr>
              <w:pStyle w:val="COMtbl-textCentred"/>
              <w:keepNext/>
              <w:widowControl/>
            </w:pPr>
            <w:r>
              <w:t>1237</w:t>
            </w:r>
          </w:p>
        </w:tc>
        <w:tc>
          <w:tcPr>
            <w:tcW w:w="592" w:type="pct"/>
            <w:vAlign w:val="center"/>
          </w:tcPr>
          <w:p w:rsidR="001A42B2" w:rsidRDefault="001A42B2" w:rsidP="00476915">
            <w:pPr>
              <w:pStyle w:val="COMtbl-textCentred"/>
              <w:keepNext/>
              <w:widowControl/>
            </w:pPr>
            <w:r>
              <w:t>1184</w:t>
            </w:r>
          </w:p>
        </w:tc>
        <w:tc>
          <w:tcPr>
            <w:tcW w:w="592" w:type="pct"/>
            <w:gridSpan w:val="2"/>
            <w:vAlign w:val="center"/>
          </w:tcPr>
          <w:p w:rsidR="001A42B2" w:rsidRDefault="001A42B2" w:rsidP="00476915">
            <w:pPr>
              <w:pStyle w:val="COMtbl-textCentred"/>
              <w:keepNext/>
              <w:widowControl/>
            </w:pPr>
            <w:r>
              <w:t>1237</w:t>
            </w:r>
          </w:p>
        </w:tc>
        <w:tc>
          <w:tcPr>
            <w:tcW w:w="589" w:type="pct"/>
            <w:gridSpan w:val="2"/>
            <w:vAlign w:val="center"/>
          </w:tcPr>
          <w:p w:rsidR="001A42B2" w:rsidRDefault="001A42B2" w:rsidP="00476915">
            <w:pPr>
              <w:pStyle w:val="COMtbl-textCentred"/>
              <w:keepNext/>
              <w:widowControl/>
            </w:pPr>
            <w:r>
              <w:t>1184</w:t>
            </w:r>
          </w:p>
        </w:tc>
      </w:tr>
      <w:tr w:rsidR="001A42B2" w:rsidTr="001A42B2">
        <w:tc>
          <w:tcPr>
            <w:tcW w:w="1272" w:type="pct"/>
            <w:vAlign w:val="center"/>
          </w:tcPr>
          <w:p w:rsidR="001A42B2" w:rsidRDefault="001A42B2" w:rsidP="00476915">
            <w:pPr>
              <w:pStyle w:val="COMtbl-textLeftAligned"/>
              <w:keepNext/>
              <w:widowControl/>
            </w:pPr>
            <w:r>
              <w:t>Incidence, n (%)</w:t>
            </w:r>
          </w:p>
        </w:tc>
        <w:tc>
          <w:tcPr>
            <w:tcW w:w="680" w:type="pct"/>
            <w:vAlign w:val="center"/>
          </w:tcPr>
          <w:p w:rsidR="001A42B2" w:rsidRDefault="001A42B2" w:rsidP="00476915">
            <w:pPr>
              <w:pStyle w:val="COMtbl-textCentred"/>
              <w:keepNext/>
              <w:widowControl/>
            </w:pPr>
            <w:r>
              <w:t>52 (4.2%)</w:t>
            </w:r>
          </w:p>
        </w:tc>
        <w:tc>
          <w:tcPr>
            <w:tcW w:w="681" w:type="pct"/>
            <w:gridSpan w:val="2"/>
            <w:vAlign w:val="center"/>
          </w:tcPr>
          <w:p w:rsidR="001A42B2" w:rsidRDefault="001A42B2" w:rsidP="00476915">
            <w:pPr>
              <w:pStyle w:val="COMtbl-textCentred"/>
              <w:keepNext/>
              <w:widowControl/>
            </w:pPr>
            <w:r>
              <w:t>46 (3.9%)</w:t>
            </w:r>
          </w:p>
        </w:tc>
        <w:tc>
          <w:tcPr>
            <w:tcW w:w="594" w:type="pct"/>
            <w:vAlign w:val="center"/>
          </w:tcPr>
          <w:p w:rsidR="001A42B2" w:rsidRDefault="001A42B2" w:rsidP="00476915">
            <w:pPr>
              <w:pStyle w:val="COMtbl-textCentred"/>
              <w:keepNext/>
              <w:widowControl/>
            </w:pPr>
            <w:r>
              <w:t>7 (0.6%)</w:t>
            </w:r>
          </w:p>
        </w:tc>
        <w:tc>
          <w:tcPr>
            <w:tcW w:w="592" w:type="pct"/>
            <w:vAlign w:val="center"/>
          </w:tcPr>
          <w:p w:rsidR="001A42B2" w:rsidRDefault="001A42B2" w:rsidP="00476915">
            <w:pPr>
              <w:pStyle w:val="COMtbl-textCentred"/>
              <w:keepNext/>
              <w:widowControl/>
            </w:pPr>
            <w:r>
              <w:t>8 (0.7%)</w:t>
            </w:r>
          </w:p>
        </w:tc>
        <w:tc>
          <w:tcPr>
            <w:tcW w:w="592" w:type="pct"/>
            <w:gridSpan w:val="2"/>
            <w:vAlign w:val="center"/>
          </w:tcPr>
          <w:p w:rsidR="001A42B2" w:rsidRDefault="001A42B2" w:rsidP="00476915">
            <w:pPr>
              <w:pStyle w:val="COMtbl-textCentred"/>
              <w:keepNext/>
              <w:widowControl/>
            </w:pPr>
            <w:r>
              <w:t>29 (2.3%)</w:t>
            </w:r>
          </w:p>
        </w:tc>
        <w:tc>
          <w:tcPr>
            <w:tcW w:w="589" w:type="pct"/>
            <w:gridSpan w:val="2"/>
            <w:vAlign w:val="center"/>
          </w:tcPr>
          <w:p w:rsidR="001A42B2" w:rsidRDefault="001A42B2" w:rsidP="00476915">
            <w:pPr>
              <w:pStyle w:val="COMtbl-textCentred"/>
              <w:keepNext/>
              <w:widowControl/>
            </w:pPr>
            <w:r>
              <w:t>22 (1.9%)</w:t>
            </w:r>
          </w:p>
        </w:tc>
      </w:tr>
      <w:tr w:rsidR="001A42B2" w:rsidTr="001A42B2">
        <w:tc>
          <w:tcPr>
            <w:tcW w:w="1272" w:type="pct"/>
            <w:vAlign w:val="center"/>
          </w:tcPr>
          <w:p w:rsidR="001A42B2" w:rsidRDefault="001A42B2" w:rsidP="00476915">
            <w:pPr>
              <w:pStyle w:val="COMtbl-textLeftAligned"/>
              <w:keepNext/>
              <w:widowControl/>
            </w:pPr>
            <w:r>
              <w:t>Rate per 1000 patient years</w:t>
            </w:r>
          </w:p>
        </w:tc>
        <w:tc>
          <w:tcPr>
            <w:tcW w:w="680" w:type="pct"/>
            <w:vAlign w:val="center"/>
          </w:tcPr>
          <w:p w:rsidR="001A42B2" w:rsidRDefault="001A42B2" w:rsidP="00476915">
            <w:pPr>
              <w:pStyle w:val="COMtbl-textCentred"/>
              <w:keepNext/>
              <w:widowControl/>
            </w:pPr>
            <w:r>
              <w:t>14.1</w:t>
            </w:r>
          </w:p>
        </w:tc>
        <w:tc>
          <w:tcPr>
            <w:tcW w:w="681" w:type="pct"/>
            <w:gridSpan w:val="2"/>
            <w:vAlign w:val="center"/>
          </w:tcPr>
          <w:p w:rsidR="001A42B2" w:rsidRDefault="001A42B2" w:rsidP="00476915">
            <w:pPr>
              <w:pStyle w:val="COMtbl-textCentred"/>
              <w:keepNext/>
              <w:widowControl/>
            </w:pPr>
            <w:r>
              <w:t>13.1</w:t>
            </w:r>
          </w:p>
        </w:tc>
        <w:tc>
          <w:tcPr>
            <w:tcW w:w="594" w:type="pct"/>
            <w:vAlign w:val="center"/>
          </w:tcPr>
          <w:p w:rsidR="001A42B2" w:rsidRDefault="001A42B2" w:rsidP="00476915">
            <w:pPr>
              <w:pStyle w:val="COMtbl-textCentred"/>
              <w:keepNext/>
              <w:widowControl/>
            </w:pPr>
            <w:r>
              <w:t>1.9</w:t>
            </w:r>
          </w:p>
        </w:tc>
        <w:tc>
          <w:tcPr>
            <w:tcW w:w="592" w:type="pct"/>
            <w:vAlign w:val="center"/>
          </w:tcPr>
          <w:p w:rsidR="001A42B2" w:rsidRDefault="001A42B2" w:rsidP="00476915">
            <w:pPr>
              <w:pStyle w:val="COMtbl-textCentred"/>
              <w:keepNext/>
              <w:widowControl/>
            </w:pPr>
            <w:r>
              <w:t>2.3</w:t>
            </w:r>
          </w:p>
        </w:tc>
        <w:tc>
          <w:tcPr>
            <w:tcW w:w="592" w:type="pct"/>
            <w:gridSpan w:val="2"/>
            <w:vAlign w:val="center"/>
          </w:tcPr>
          <w:p w:rsidR="001A42B2" w:rsidRDefault="001A42B2" w:rsidP="00476915">
            <w:pPr>
              <w:pStyle w:val="COMtbl-textCentred"/>
              <w:keepNext/>
              <w:widowControl/>
            </w:pPr>
            <w:r>
              <w:t>7.8</w:t>
            </w:r>
          </w:p>
        </w:tc>
        <w:tc>
          <w:tcPr>
            <w:tcW w:w="589" w:type="pct"/>
            <w:gridSpan w:val="2"/>
            <w:vAlign w:val="center"/>
          </w:tcPr>
          <w:p w:rsidR="001A42B2" w:rsidRDefault="001A42B2" w:rsidP="00476915">
            <w:pPr>
              <w:pStyle w:val="COMtbl-textCentred"/>
              <w:keepNext/>
              <w:widowControl/>
            </w:pPr>
            <w:r>
              <w:t>6.3</w:t>
            </w:r>
          </w:p>
        </w:tc>
      </w:tr>
      <w:tr w:rsidR="001A42B2" w:rsidTr="001A42B2">
        <w:tc>
          <w:tcPr>
            <w:tcW w:w="1272" w:type="pct"/>
            <w:vAlign w:val="center"/>
          </w:tcPr>
          <w:p w:rsidR="001A42B2" w:rsidRDefault="001A42B2" w:rsidP="00476915">
            <w:pPr>
              <w:pStyle w:val="COMtbl-textLeftAligned"/>
              <w:keepNext/>
              <w:widowControl/>
            </w:pPr>
            <w:r>
              <w:t>Odds ratio (95% CI)</w:t>
            </w:r>
          </w:p>
        </w:tc>
        <w:tc>
          <w:tcPr>
            <w:tcW w:w="1361" w:type="pct"/>
            <w:gridSpan w:val="3"/>
            <w:vAlign w:val="center"/>
          </w:tcPr>
          <w:p w:rsidR="001A42B2" w:rsidRDefault="001A42B2" w:rsidP="00476915">
            <w:pPr>
              <w:pStyle w:val="COMtbl-textCentred"/>
              <w:keepNext/>
              <w:widowControl/>
            </w:pPr>
            <w:r>
              <w:t>1.09 (0.73, 1.64)</w:t>
            </w:r>
          </w:p>
        </w:tc>
        <w:tc>
          <w:tcPr>
            <w:tcW w:w="1190" w:type="pct"/>
            <w:gridSpan w:val="3"/>
            <w:vAlign w:val="center"/>
          </w:tcPr>
          <w:p w:rsidR="001A42B2" w:rsidRDefault="001A42B2" w:rsidP="00476915">
            <w:pPr>
              <w:pStyle w:val="COMtbl-textCentred"/>
              <w:keepNext/>
              <w:widowControl/>
            </w:pPr>
            <w:r>
              <w:t>0.85 (0.31, 2.37)</w:t>
            </w:r>
          </w:p>
        </w:tc>
        <w:tc>
          <w:tcPr>
            <w:tcW w:w="1177" w:type="pct"/>
            <w:gridSpan w:val="3"/>
            <w:vAlign w:val="center"/>
          </w:tcPr>
          <w:p w:rsidR="001A42B2" w:rsidRDefault="001A42B2" w:rsidP="00476915">
            <w:pPr>
              <w:pStyle w:val="COMtbl-textCentred"/>
              <w:keepNext/>
              <w:widowControl/>
            </w:pPr>
            <w:r>
              <w:t>1.29 (0.74, 2.25)</w:t>
            </w:r>
          </w:p>
        </w:tc>
      </w:tr>
    </w:tbl>
    <w:p w:rsidR="00447A0C" w:rsidRDefault="00A00F99" w:rsidP="00447A0C">
      <w:pPr>
        <w:pStyle w:val="COMTbl-foot"/>
        <w:keepNext/>
        <w:widowControl/>
        <w:ind w:left="709"/>
        <w:rPr>
          <w:rFonts w:ascii="Arial Narrow" w:hAnsi="Arial Narrow"/>
        </w:rPr>
      </w:pPr>
      <w:r w:rsidRPr="00932394">
        <w:rPr>
          <w:rFonts w:ascii="Arial Narrow" w:hAnsi="Arial Narrow"/>
        </w:rPr>
        <w:t>Abbreviations: CI, confidence interval; NR, not reported</w:t>
      </w:r>
      <w:r w:rsidR="00447A0C">
        <w:rPr>
          <w:rFonts w:ascii="Arial Narrow" w:hAnsi="Arial Narrow"/>
        </w:rPr>
        <w:t xml:space="preserve">. </w:t>
      </w:r>
    </w:p>
    <w:p w:rsidR="00447A0C" w:rsidRDefault="00447A0C" w:rsidP="00447A0C">
      <w:pPr>
        <w:pStyle w:val="COMTbl-foot"/>
        <w:keepNext/>
        <w:widowControl/>
        <w:ind w:left="709"/>
        <w:rPr>
          <w:rStyle w:val="CommentReference"/>
          <w:i/>
          <w:sz w:val="18"/>
        </w:rPr>
      </w:pPr>
      <w:r w:rsidRPr="00CB3DAB">
        <w:rPr>
          <w:rStyle w:val="CommentReference"/>
          <w:i/>
          <w:sz w:val="18"/>
        </w:rPr>
        <w:t>Values in bold represent statistically significant differences observed between groups.</w:t>
      </w:r>
    </w:p>
    <w:p w:rsidR="00C2658B" w:rsidRPr="00A00F99" w:rsidRDefault="00A00F99" w:rsidP="00447A0C">
      <w:pPr>
        <w:pStyle w:val="COMTbl-foot"/>
        <w:keepNext/>
        <w:widowControl/>
        <w:ind w:left="709"/>
        <w:rPr>
          <w:rFonts w:ascii="Arial Narrow" w:hAnsi="Arial Narrow"/>
        </w:rPr>
      </w:pPr>
      <w:r w:rsidRPr="00932394">
        <w:rPr>
          <w:rFonts w:ascii="Arial Narrow" w:hAnsi="Arial Narrow"/>
        </w:rPr>
        <w:t xml:space="preserve">Source: Table C-7 (p 80) of the submission; Table 2 (p 21) and Table 3 (p 22) of the 2014 strontium ranelate EMA assessment report </w:t>
      </w:r>
    </w:p>
    <w:p w:rsidR="00610194" w:rsidRDefault="00610194" w:rsidP="00950DD9">
      <w:pPr>
        <w:pStyle w:val="ListParagraph"/>
        <w:widowControl/>
        <w:ind w:left="0"/>
        <w:rPr>
          <w:szCs w:val="22"/>
        </w:rPr>
      </w:pPr>
    </w:p>
    <w:p w:rsidR="00764176" w:rsidRDefault="00764176" w:rsidP="00950DD9">
      <w:pPr>
        <w:pStyle w:val="ListParagraph"/>
        <w:widowControl/>
        <w:ind w:left="709"/>
        <w:rPr>
          <w:i/>
          <w:szCs w:val="22"/>
        </w:rPr>
      </w:pPr>
      <w:r w:rsidRPr="00337E50">
        <w:rPr>
          <w:i/>
          <w:szCs w:val="22"/>
        </w:rPr>
        <w:t>For more detail on PBAC’s view, see section 7 “PBAC outcome”</w:t>
      </w:r>
    </w:p>
    <w:p w:rsidR="00764176" w:rsidRDefault="00764176" w:rsidP="00950DD9">
      <w:pPr>
        <w:pStyle w:val="ListParagraph"/>
        <w:widowControl/>
        <w:ind w:left="0"/>
        <w:rPr>
          <w:szCs w:val="22"/>
        </w:rPr>
      </w:pPr>
    </w:p>
    <w:p w:rsidR="007F1017" w:rsidRPr="002C2775" w:rsidRDefault="007F1017" w:rsidP="00950DD9">
      <w:pPr>
        <w:pStyle w:val="Heading2"/>
        <w:keepNext/>
        <w:widowControl/>
        <w:rPr>
          <w:i/>
          <w:szCs w:val="22"/>
        </w:rPr>
      </w:pPr>
      <w:bookmarkStart w:id="11" w:name="_Toc419206533"/>
      <w:r w:rsidRPr="002C2775">
        <w:rPr>
          <w:i/>
        </w:rPr>
        <w:t>Benefits/harms</w:t>
      </w:r>
      <w:bookmarkEnd w:id="11"/>
    </w:p>
    <w:p w:rsidR="00AA145D" w:rsidRPr="003B081B" w:rsidRDefault="00AA145D" w:rsidP="00950DD9">
      <w:pPr>
        <w:keepNext/>
        <w:widowControl/>
        <w:rPr>
          <w:szCs w:val="22"/>
        </w:rPr>
      </w:pPr>
    </w:p>
    <w:p w:rsidR="00EC00C9" w:rsidRPr="00B50DB8" w:rsidRDefault="00EC00C9" w:rsidP="00950DD9">
      <w:pPr>
        <w:pStyle w:val="ListParagraph"/>
        <w:widowControl/>
        <w:numPr>
          <w:ilvl w:val="1"/>
          <w:numId w:val="5"/>
        </w:numPr>
        <w:rPr>
          <w:szCs w:val="22"/>
        </w:rPr>
      </w:pPr>
      <w:r w:rsidRPr="00B50DB8">
        <w:rPr>
          <w:szCs w:val="22"/>
        </w:rPr>
        <w:t>A summary of the comparati</w:t>
      </w:r>
      <w:r w:rsidR="00AA145D">
        <w:rPr>
          <w:szCs w:val="22"/>
        </w:rPr>
        <w:t>ve benefits and harms for strontium ranelate versus placebo</w:t>
      </w:r>
      <w:r w:rsidRPr="00B50DB8">
        <w:rPr>
          <w:szCs w:val="22"/>
        </w:rPr>
        <w:t xml:space="preserve"> is presented in the table below</w:t>
      </w:r>
      <w:r w:rsidR="00AA145D">
        <w:rPr>
          <w:szCs w:val="22"/>
        </w:rPr>
        <w:t xml:space="preserve"> for the overall trial populations</w:t>
      </w:r>
      <w:r w:rsidRPr="00B50DB8">
        <w:rPr>
          <w:szCs w:val="22"/>
        </w:rPr>
        <w:t>.</w:t>
      </w:r>
      <w:r w:rsidR="00410708" w:rsidRPr="00B50DB8">
        <w:rPr>
          <w:szCs w:val="22"/>
        </w:rPr>
        <w:t xml:space="preserve"> </w:t>
      </w:r>
      <w:r w:rsidR="00AA145D" w:rsidRPr="00AA145D">
        <w:rPr>
          <w:szCs w:val="22"/>
        </w:rPr>
        <w:t>Absolute differences in fracture outcomes in the</w:t>
      </w:r>
      <w:r w:rsidR="00AA145D">
        <w:rPr>
          <w:szCs w:val="22"/>
        </w:rPr>
        <w:t xml:space="preserve"> more-relevant</w:t>
      </w:r>
      <w:r w:rsidR="00AA145D" w:rsidRPr="00AA145D">
        <w:rPr>
          <w:szCs w:val="22"/>
        </w:rPr>
        <w:t xml:space="preserve"> severe disease subgroup</w:t>
      </w:r>
      <w:r w:rsidR="00AA145D">
        <w:rPr>
          <w:szCs w:val="22"/>
        </w:rPr>
        <w:t>s</w:t>
      </w:r>
      <w:r w:rsidR="00AA145D" w:rsidRPr="00AA145D">
        <w:rPr>
          <w:szCs w:val="22"/>
        </w:rPr>
        <w:t xml:space="preserve"> could not be estimated from the limited information available</w:t>
      </w:r>
      <w:r w:rsidR="00AA145D">
        <w:rPr>
          <w:szCs w:val="22"/>
        </w:rPr>
        <w:t>.</w:t>
      </w:r>
    </w:p>
    <w:p w:rsidR="00162913" w:rsidRDefault="00162913" w:rsidP="00950DD9">
      <w:pPr>
        <w:widowControl/>
      </w:pPr>
    </w:p>
    <w:p w:rsidR="003B081B" w:rsidRPr="00A578DC" w:rsidRDefault="00337E50" w:rsidP="00950DD9">
      <w:pPr>
        <w:keepNext/>
        <w:widowControl/>
        <w:ind w:firstLine="720"/>
        <w:rPr>
          <w:rStyle w:val="CommentReference"/>
        </w:rPr>
      </w:pPr>
      <w:r>
        <w:rPr>
          <w:rStyle w:val="CommentReference"/>
        </w:rPr>
        <w:t>Table 9</w:t>
      </w:r>
      <w:r w:rsidR="003B081B">
        <w:rPr>
          <w:rStyle w:val="CommentReference"/>
        </w:rPr>
        <w:t xml:space="preserve">: </w:t>
      </w:r>
      <w:r w:rsidR="003B081B" w:rsidRPr="00A578DC">
        <w:rPr>
          <w:rStyle w:val="CommentReference"/>
        </w:rPr>
        <w:t xml:space="preserve">Summary of comparative benefits and harms for </w:t>
      </w:r>
      <w:r w:rsidR="003B081B">
        <w:rPr>
          <w:rStyle w:val="CommentReference"/>
        </w:rPr>
        <w:t>strontium ranelate and placebo</w:t>
      </w:r>
    </w:p>
    <w:tbl>
      <w:tblPr>
        <w:tblStyle w:val="TableGrid"/>
        <w:tblW w:w="0" w:type="auto"/>
        <w:tblInd w:w="720" w:type="dxa"/>
        <w:tblCellMar>
          <w:left w:w="28" w:type="dxa"/>
          <w:right w:w="28" w:type="dxa"/>
        </w:tblCellMar>
        <w:tblLook w:val="04A0" w:firstRow="1" w:lastRow="0" w:firstColumn="1" w:lastColumn="0" w:noHBand="0" w:noVBand="1"/>
        <w:tblCaption w:val="Table 9: Summary of comparative benefits and harms for strontium ranelate and placebo"/>
        <w:tblDescription w:val="The table shows the summary of comparative benefits and harms for strontium ranelate and placebo"/>
      </w:tblPr>
      <w:tblGrid>
        <w:gridCol w:w="1711"/>
        <w:gridCol w:w="989"/>
        <w:gridCol w:w="989"/>
        <w:gridCol w:w="1148"/>
        <w:gridCol w:w="1162"/>
        <w:gridCol w:w="62"/>
        <w:gridCol w:w="1100"/>
        <w:gridCol w:w="1201"/>
      </w:tblGrid>
      <w:tr w:rsidR="00343502" w:rsidRPr="00FC55FD" w:rsidTr="00C84650">
        <w:trPr>
          <w:tblHeader/>
        </w:trPr>
        <w:tc>
          <w:tcPr>
            <w:tcW w:w="8362" w:type="dxa"/>
            <w:gridSpan w:val="8"/>
            <w:vAlign w:val="center"/>
          </w:tcPr>
          <w:p w:rsidR="00343502" w:rsidRPr="009F3571" w:rsidRDefault="00343502" w:rsidP="00C84650">
            <w:pPr>
              <w:pStyle w:val="COMtbl-HEADLeftAligned"/>
              <w:keepNext/>
              <w:widowControl/>
              <w:rPr>
                <w:b w:val="0"/>
              </w:rPr>
            </w:pPr>
            <w:r w:rsidRPr="009F3571">
              <w:rPr>
                <w:u w:val="single"/>
              </w:rPr>
              <w:t>Benefits</w:t>
            </w:r>
          </w:p>
        </w:tc>
      </w:tr>
      <w:tr w:rsidR="003B081B" w:rsidRPr="00FC55FD" w:rsidTr="00343502">
        <w:tc>
          <w:tcPr>
            <w:tcW w:w="1711" w:type="dxa"/>
            <w:vMerge w:val="restart"/>
            <w:vAlign w:val="center"/>
          </w:tcPr>
          <w:p w:rsidR="003B081B" w:rsidRPr="00C84650" w:rsidRDefault="003B081B" w:rsidP="00C84650">
            <w:pPr>
              <w:pStyle w:val="COMtbl-HEADLeftAligned"/>
              <w:keepNext/>
              <w:widowControl/>
            </w:pPr>
            <w:r>
              <w:t>Outcome</w:t>
            </w:r>
          </w:p>
        </w:tc>
        <w:tc>
          <w:tcPr>
            <w:tcW w:w="989" w:type="dxa"/>
            <w:vMerge w:val="restart"/>
            <w:vAlign w:val="center"/>
          </w:tcPr>
          <w:p w:rsidR="003B081B" w:rsidRPr="00C84650" w:rsidRDefault="003B081B" w:rsidP="00C84650">
            <w:pPr>
              <w:pStyle w:val="COMtbl-HEADLeftAligned"/>
              <w:keepNext/>
              <w:widowControl/>
            </w:pPr>
            <w:r w:rsidRPr="009F3571">
              <w:t>Strontium</w:t>
            </w:r>
          </w:p>
        </w:tc>
        <w:tc>
          <w:tcPr>
            <w:tcW w:w="989" w:type="dxa"/>
            <w:vMerge w:val="restart"/>
            <w:vAlign w:val="center"/>
          </w:tcPr>
          <w:p w:rsidR="003B081B" w:rsidRPr="00C84650" w:rsidRDefault="003B081B" w:rsidP="00C84650">
            <w:pPr>
              <w:pStyle w:val="COMtbl-HEADLeftAligned"/>
              <w:keepNext/>
              <w:widowControl/>
            </w:pPr>
            <w:r w:rsidRPr="009F3571">
              <w:t>Placebo</w:t>
            </w:r>
          </w:p>
        </w:tc>
        <w:tc>
          <w:tcPr>
            <w:tcW w:w="1148" w:type="dxa"/>
            <w:vMerge w:val="restart"/>
            <w:vAlign w:val="center"/>
          </w:tcPr>
          <w:p w:rsidR="00343502" w:rsidRPr="00C84650" w:rsidRDefault="00343502" w:rsidP="00C84650">
            <w:pPr>
              <w:pStyle w:val="COMtbl-HEADLeftAligned"/>
              <w:keepNext/>
              <w:widowControl/>
            </w:pPr>
            <w:r>
              <w:t>H</w:t>
            </w:r>
            <w:r w:rsidR="003B081B" w:rsidRPr="009F3571">
              <w:t xml:space="preserve">R </w:t>
            </w:r>
          </w:p>
          <w:p w:rsidR="003B081B" w:rsidRPr="00C84650" w:rsidRDefault="003B081B" w:rsidP="00C84650">
            <w:pPr>
              <w:pStyle w:val="COMtbl-HEADLeftAligned"/>
              <w:keepNext/>
              <w:widowControl/>
            </w:pPr>
            <w:r w:rsidRPr="009F3571">
              <w:t>(95% CI)</w:t>
            </w:r>
          </w:p>
        </w:tc>
        <w:tc>
          <w:tcPr>
            <w:tcW w:w="2324" w:type="dxa"/>
            <w:gridSpan w:val="3"/>
            <w:vAlign w:val="center"/>
          </w:tcPr>
          <w:p w:rsidR="003B081B" w:rsidRPr="00C84650" w:rsidRDefault="003B081B" w:rsidP="00C84650">
            <w:pPr>
              <w:pStyle w:val="COMtbl-HEADLeftAligned"/>
              <w:keepNext/>
              <w:widowControl/>
            </w:pPr>
            <w:r>
              <w:t>Crude incidence</w:t>
            </w:r>
            <w:r w:rsidRPr="003B081B">
              <w:t xml:space="preserve"> per</w:t>
            </w:r>
          </w:p>
          <w:p w:rsidR="003B081B" w:rsidRPr="00C84650" w:rsidRDefault="003B081B" w:rsidP="00C84650">
            <w:pPr>
              <w:pStyle w:val="COMtbl-HEADLeftAligned"/>
              <w:keepNext/>
              <w:widowControl/>
            </w:pPr>
            <w:r w:rsidRPr="003B081B">
              <w:t>100 patients over 3 years</w:t>
            </w:r>
          </w:p>
        </w:tc>
        <w:tc>
          <w:tcPr>
            <w:tcW w:w="1201" w:type="dxa"/>
            <w:vMerge w:val="restart"/>
            <w:vAlign w:val="center"/>
          </w:tcPr>
          <w:p w:rsidR="00343502" w:rsidRDefault="003B081B" w:rsidP="00950DD9">
            <w:pPr>
              <w:keepNext/>
              <w:widowControl/>
              <w:jc w:val="center"/>
              <w:rPr>
                <w:rFonts w:ascii="Arial Narrow" w:hAnsi="Arial Narrow"/>
                <w:b/>
                <w:sz w:val="20"/>
              </w:rPr>
            </w:pPr>
            <w:r w:rsidRPr="009F3571">
              <w:rPr>
                <w:rFonts w:ascii="Arial Narrow" w:hAnsi="Arial Narrow"/>
                <w:b/>
                <w:sz w:val="20"/>
              </w:rPr>
              <w:t xml:space="preserve">RD </w:t>
            </w:r>
          </w:p>
          <w:p w:rsidR="003B081B" w:rsidRPr="009F3571" w:rsidRDefault="003B081B" w:rsidP="00950DD9">
            <w:pPr>
              <w:keepNext/>
              <w:widowControl/>
              <w:jc w:val="center"/>
              <w:rPr>
                <w:rFonts w:ascii="Arial Narrow" w:hAnsi="Arial Narrow"/>
                <w:b/>
                <w:sz w:val="20"/>
              </w:rPr>
            </w:pPr>
            <w:r w:rsidRPr="009F3571">
              <w:rPr>
                <w:rFonts w:ascii="Arial Narrow" w:hAnsi="Arial Narrow"/>
                <w:b/>
                <w:sz w:val="20"/>
              </w:rPr>
              <w:t>(95% CI)</w:t>
            </w:r>
          </w:p>
        </w:tc>
      </w:tr>
      <w:tr w:rsidR="003B081B" w:rsidRPr="00FC55FD" w:rsidTr="00343502">
        <w:tc>
          <w:tcPr>
            <w:tcW w:w="1711" w:type="dxa"/>
            <w:vMerge/>
            <w:vAlign w:val="center"/>
          </w:tcPr>
          <w:p w:rsidR="003B081B" w:rsidRPr="009F3571" w:rsidRDefault="003B081B" w:rsidP="00950DD9">
            <w:pPr>
              <w:keepNext/>
              <w:widowControl/>
              <w:jc w:val="left"/>
              <w:rPr>
                <w:rFonts w:ascii="Arial Narrow" w:hAnsi="Arial Narrow"/>
                <w:b/>
                <w:sz w:val="20"/>
              </w:rPr>
            </w:pPr>
          </w:p>
        </w:tc>
        <w:tc>
          <w:tcPr>
            <w:tcW w:w="989" w:type="dxa"/>
            <w:vMerge/>
            <w:vAlign w:val="center"/>
          </w:tcPr>
          <w:p w:rsidR="003B081B" w:rsidRPr="009F3571" w:rsidRDefault="003B081B" w:rsidP="00950DD9">
            <w:pPr>
              <w:keepNext/>
              <w:widowControl/>
              <w:jc w:val="center"/>
              <w:rPr>
                <w:rFonts w:ascii="Arial Narrow" w:hAnsi="Arial Narrow"/>
                <w:b/>
                <w:sz w:val="20"/>
              </w:rPr>
            </w:pPr>
          </w:p>
        </w:tc>
        <w:tc>
          <w:tcPr>
            <w:tcW w:w="989" w:type="dxa"/>
            <w:vMerge/>
            <w:vAlign w:val="center"/>
          </w:tcPr>
          <w:p w:rsidR="003B081B" w:rsidRPr="009F3571" w:rsidRDefault="003B081B" w:rsidP="00950DD9">
            <w:pPr>
              <w:keepNext/>
              <w:widowControl/>
              <w:jc w:val="center"/>
              <w:rPr>
                <w:rFonts w:ascii="Arial Narrow" w:hAnsi="Arial Narrow"/>
                <w:b/>
                <w:sz w:val="20"/>
              </w:rPr>
            </w:pPr>
          </w:p>
        </w:tc>
        <w:tc>
          <w:tcPr>
            <w:tcW w:w="1148" w:type="dxa"/>
            <w:vMerge/>
            <w:vAlign w:val="center"/>
          </w:tcPr>
          <w:p w:rsidR="003B081B" w:rsidRPr="009F3571" w:rsidRDefault="003B081B" w:rsidP="00950DD9">
            <w:pPr>
              <w:keepNext/>
              <w:widowControl/>
              <w:jc w:val="center"/>
              <w:rPr>
                <w:rFonts w:ascii="Arial Narrow" w:hAnsi="Arial Narrow"/>
                <w:b/>
                <w:sz w:val="20"/>
              </w:rPr>
            </w:pPr>
          </w:p>
        </w:tc>
        <w:tc>
          <w:tcPr>
            <w:tcW w:w="1224" w:type="dxa"/>
            <w:gridSpan w:val="2"/>
            <w:vAlign w:val="center"/>
          </w:tcPr>
          <w:p w:rsidR="003B081B" w:rsidRPr="009F3571" w:rsidRDefault="003B081B" w:rsidP="00950DD9">
            <w:pPr>
              <w:keepNext/>
              <w:widowControl/>
              <w:jc w:val="center"/>
              <w:rPr>
                <w:rFonts w:ascii="Arial Narrow" w:hAnsi="Arial Narrow"/>
                <w:b/>
                <w:sz w:val="20"/>
              </w:rPr>
            </w:pPr>
            <w:r w:rsidRPr="009F3571">
              <w:rPr>
                <w:rFonts w:ascii="Arial Narrow" w:hAnsi="Arial Narrow"/>
                <w:b/>
                <w:sz w:val="20"/>
              </w:rPr>
              <w:t>Strontium</w:t>
            </w:r>
          </w:p>
        </w:tc>
        <w:tc>
          <w:tcPr>
            <w:tcW w:w="1100" w:type="dxa"/>
            <w:vAlign w:val="center"/>
          </w:tcPr>
          <w:p w:rsidR="003B081B" w:rsidRPr="009F3571" w:rsidRDefault="003B081B" w:rsidP="00950DD9">
            <w:pPr>
              <w:keepNext/>
              <w:widowControl/>
              <w:jc w:val="center"/>
              <w:rPr>
                <w:rFonts w:ascii="Arial Narrow" w:hAnsi="Arial Narrow"/>
                <w:b/>
                <w:sz w:val="20"/>
              </w:rPr>
            </w:pPr>
            <w:r w:rsidRPr="009F3571">
              <w:rPr>
                <w:rFonts w:ascii="Arial Narrow" w:hAnsi="Arial Narrow"/>
                <w:b/>
                <w:sz w:val="20"/>
              </w:rPr>
              <w:t>Placebo</w:t>
            </w:r>
          </w:p>
        </w:tc>
        <w:tc>
          <w:tcPr>
            <w:tcW w:w="1201" w:type="dxa"/>
            <w:vMerge/>
            <w:vAlign w:val="center"/>
          </w:tcPr>
          <w:p w:rsidR="003B081B" w:rsidRPr="009F3571" w:rsidRDefault="003B081B" w:rsidP="00950DD9">
            <w:pPr>
              <w:keepNext/>
              <w:widowControl/>
              <w:jc w:val="center"/>
              <w:rPr>
                <w:rFonts w:ascii="Arial Narrow" w:hAnsi="Arial Narrow"/>
                <w:b/>
                <w:sz w:val="20"/>
              </w:rPr>
            </w:pPr>
          </w:p>
        </w:tc>
      </w:tr>
      <w:tr w:rsidR="003B081B" w:rsidRPr="00FC55FD" w:rsidTr="00B546D1">
        <w:tc>
          <w:tcPr>
            <w:tcW w:w="8362" w:type="dxa"/>
            <w:gridSpan w:val="8"/>
            <w:vAlign w:val="center"/>
          </w:tcPr>
          <w:p w:rsidR="003B081B" w:rsidRPr="00FC55FD" w:rsidRDefault="003B081B" w:rsidP="00950DD9">
            <w:pPr>
              <w:keepNext/>
              <w:widowControl/>
              <w:jc w:val="left"/>
              <w:rPr>
                <w:rFonts w:ascii="Arial Narrow" w:hAnsi="Arial Narrow"/>
                <w:sz w:val="20"/>
              </w:rPr>
            </w:pPr>
            <w:r>
              <w:rPr>
                <w:rFonts w:ascii="Arial Narrow" w:hAnsi="Arial Narrow"/>
                <w:b/>
                <w:sz w:val="20"/>
              </w:rPr>
              <w:t>N</w:t>
            </w:r>
            <w:r w:rsidRPr="00FC55FD">
              <w:rPr>
                <w:rFonts w:ascii="Arial Narrow" w:hAnsi="Arial Narrow"/>
                <w:b/>
                <w:sz w:val="20"/>
              </w:rPr>
              <w:t>ew morphometric vertebral fractures</w:t>
            </w:r>
          </w:p>
        </w:tc>
      </w:tr>
      <w:tr w:rsidR="003B081B" w:rsidRPr="00FC55FD" w:rsidTr="00343502">
        <w:tc>
          <w:tcPr>
            <w:tcW w:w="1711" w:type="dxa"/>
            <w:vAlign w:val="center"/>
          </w:tcPr>
          <w:p w:rsidR="003B081B" w:rsidRPr="00FC55FD" w:rsidRDefault="003B081B" w:rsidP="00950DD9">
            <w:pPr>
              <w:keepNext/>
              <w:widowControl/>
              <w:jc w:val="left"/>
              <w:rPr>
                <w:rFonts w:ascii="Arial Narrow" w:hAnsi="Arial Narrow"/>
                <w:sz w:val="20"/>
              </w:rPr>
            </w:pPr>
            <w:r>
              <w:rPr>
                <w:rFonts w:ascii="Arial Narrow" w:hAnsi="Arial Narrow"/>
                <w:sz w:val="20"/>
              </w:rPr>
              <w:t>Meta-analysis (SOTI/ TROPOS 3 yrs)</w:t>
            </w:r>
          </w:p>
        </w:tc>
        <w:tc>
          <w:tcPr>
            <w:tcW w:w="989" w:type="dxa"/>
            <w:vAlign w:val="center"/>
          </w:tcPr>
          <w:p w:rsidR="003B081B" w:rsidRPr="00FC55FD" w:rsidRDefault="003B081B" w:rsidP="00950DD9">
            <w:pPr>
              <w:keepNext/>
              <w:widowControl/>
              <w:jc w:val="center"/>
              <w:rPr>
                <w:rFonts w:ascii="Arial Narrow" w:hAnsi="Arial Narrow"/>
                <w:sz w:val="20"/>
              </w:rPr>
            </w:pPr>
            <w:r>
              <w:rPr>
                <w:rFonts w:ascii="Arial Narrow" w:hAnsi="Arial Narrow"/>
                <w:sz w:val="20"/>
              </w:rPr>
              <w:t>341/2536</w:t>
            </w:r>
          </w:p>
        </w:tc>
        <w:tc>
          <w:tcPr>
            <w:tcW w:w="989" w:type="dxa"/>
            <w:vAlign w:val="center"/>
          </w:tcPr>
          <w:p w:rsidR="003B081B" w:rsidRPr="00FC55FD" w:rsidRDefault="003B081B" w:rsidP="00950DD9">
            <w:pPr>
              <w:keepNext/>
              <w:widowControl/>
              <w:jc w:val="center"/>
              <w:rPr>
                <w:rFonts w:ascii="Arial Narrow" w:hAnsi="Arial Narrow"/>
                <w:sz w:val="20"/>
              </w:rPr>
            </w:pPr>
            <w:r>
              <w:rPr>
                <w:rFonts w:ascii="Arial Narrow" w:hAnsi="Arial Narrow"/>
                <w:sz w:val="20"/>
              </w:rPr>
              <w:t>543/2546</w:t>
            </w:r>
          </w:p>
        </w:tc>
        <w:tc>
          <w:tcPr>
            <w:tcW w:w="1148" w:type="dxa"/>
            <w:vAlign w:val="center"/>
          </w:tcPr>
          <w:p w:rsidR="00343502" w:rsidRPr="00420DB7" w:rsidRDefault="00343502" w:rsidP="00950DD9">
            <w:pPr>
              <w:keepNext/>
              <w:widowControl/>
              <w:jc w:val="center"/>
              <w:rPr>
                <w:rFonts w:ascii="Arial Narrow" w:hAnsi="Arial Narrow"/>
                <w:b/>
                <w:sz w:val="20"/>
              </w:rPr>
            </w:pPr>
            <w:r w:rsidRPr="00420DB7">
              <w:rPr>
                <w:rFonts w:ascii="Arial Narrow" w:hAnsi="Arial Narrow"/>
                <w:b/>
                <w:sz w:val="20"/>
              </w:rPr>
              <w:t xml:space="preserve">0.60 </w:t>
            </w:r>
          </w:p>
          <w:p w:rsidR="003B081B" w:rsidRPr="00FC55FD" w:rsidRDefault="00343502" w:rsidP="00950DD9">
            <w:pPr>
              <w:keepNext/>
              <w:widowControl/>
              <w:jc w:val="center"/>
              <w:rPr>
                <w:rFonts w:ascii="Arial Narrow" w:hAnsi="Arial Narrow"/>
                <w:sz w:val="20"/>
              </w:rPr>
            </w:pPr>
            <w:r w:rsidRPr="00420DB7">
              <w:rPr>
                <w:rFonts w:ascii="Arial Narrow" w:hAnsi="Arial Narrow"/>
                <w:b/>
                <w:sz w:val="20"/>
              </w:rPr>
              <w:t>(0.52, 0.69)</w:t>
            </w:r>
          </w:p>
        </w:tc>
        <w:tc>
          <w:tcPr>
            <w:tcW w:w="1224" w:type="dxa"/>
            <w:gridSpan w:val="2"/>
            <w:vAlign w:val="center"/>
          </w:tcPr>
          <w:p w:rsidR="003B081B" w:rsidRPr="00FC55FD" w:rsidRDefault="003B081B" w:rsidP="00950DD9">
            <w:pPr>
              <w:keepNext/>
              <w:widowControl/>
              <w:jc w:val="center"/>
              <w:rPr>
                <w:rFonts w:ascii="Arial Narrow" w:hAnsi="Arial Narrow"/>
                <w:sz w:val="20"/>
              </w:rPr>
            </w:pPr>
            <w:r>
              <w:rPr>
                <w:rFonts w:ascii="Arial Narrow" w:hAnsi="Arial Narrow"/>
                <w:sz w:val="20"/>
              </w:rPr>
              <w:t>13.4</w:t>
            </w:r>
          </w:p>
        </w:tc>
        <w:tc>
          <w:tcPr>
            <w:tcW w:w="1100" w:type="dxa"/>
            <w:vAlign w:val="center"/>
          </w:tcPr>
          <w:p w:rsidR="003B081B" w:rsidRPr="00FC55FD" w:rsidRDefault="003B081B" w:rsidP="00950DD9">
            <w:pPr>
              <w:keepNext/>
              <w:widowControl/>
              <w:jc w:val="center"/>
              <w:rPr>
                <w:rFonts w:ascii="Arial Narrow" w:hAnsi="Arial Narrow"/>
                <w:sz w:val="20"/>
              </w:rPr>
            </w:pPr>
            <w:r>
              <w:rPr>
                <w:rFonts w:ascii="Arial Narrow" w:hAnsi="Arial Narrow"/>
                <w:sz w:val="20"/>
              </w:rPr>
              <w:t>21.3</w:t>
            </w:r>
          </w:p>
        </w:tc>
        <w:tc>
          <w:tcPr>
            <w:tcW w:w="1201" w:type="dxa"/>
            <w:vAlign w:val="center"/>
          </w:tcPr>
          <w:p w:rsidR="00343502" w:rsidRDefault="003B081B" w:rsidP="00950DD9">
            <w:pPr>
              <w:keepNext/>
              <w:widowControl/>
              <w:jc w:val="center"/>
              <w:rPr>
                <w:rFonts w:ascii="Arial Narrow" w:hAnsi="Arial Narrow"/>
                <w:b/>
                <w:sz w:val="20"/>
              </w:rPr>
            </w:pPr>
            <w:r w:rsidRPr="00420DB7">
              <w:rPr>
                <w:rFonts w:ascii="Arial Narrow" w:hAnsi="Arial Narrow"/>
                <w:b/>
                <w:sz w:val="20"/>
              </w:rPr>
              <w:t>-0.09</w:t>
            </w:r>
            <w:r>
              <w:rPr>
                <w:rFonts w:ascii="Arial Narrow" w:hAnsi="Arial Narrow"/>
                <w:b/>
                <w:sz w:val="20"/>
              </w:rPr>
              <w:t xml:space="preserve"> </w:t>
            </w:r>
          </w:p>
          <w:p w:rsidR="003B081B" w:rsidRPr="00FC55FD" w:rsidRDefault="003B081B" w:rsidP="00950DD9">
            <w:pPr>
              <w:keepNext/>
              <w:widowControl/>
              <w:jc w:val="center"/>
              <w:rPr>
                <w:rFonts w:ascii="Arial Narrow" w:hAnsi="Arial Narrow"/>
                <w:sz w:val="20"/>
              </w:rPr>
            </w:pPr>
            <w:r w:rsidRPr="00420DB7">
              <w:rPr>
                <w:rFonts w:ascii="Arial Narrow" w:hAnsi="Arial Narrow"/>
                <w:b/>
                <w:sz w:val="20"/>
              </w:rPr>
              <w:t>(-0.13, -0.04)</w:t>
            </w:r>
          </w:p>
        </w:tc>
      </w:tr>
      <w:tr w:rsidR="003B081B" w:rsidRPr="00FC55FD" w:rsidTr="00B546D1">
        <w:tc>
          <w:tcPr>
            <w:tcW w:w="8362" w:type="dxa"/>
            <w:gridSpan w:val="8"/>
            <w:vAlign w:val="center"/>
          </w:tcPr>
          <w:p w:rsidR="003B081B" w:rsidRPr="00816351" w:rsidRDefault="003B081B" w:rsidP="00950DD9">
            <w:pPr>
              <w:keepNext/>
              <w:widowControl/>
              <w:jc w:val="left"/>
              <w:rPr>
                <w:rFonts w:ascii="Arial Narrow" w:hAnsi="Arial Narrow"/>
                <w:sz w:val="20"/>
              </w:rPr>
            </w:pPr>
            <w:r w:rsidRPr="00816351">
              <w:rPr>
                <w:rFonts w:ascii="Arial Narrow" w:hAnsi="Arial Narrow"/>
                <w:b/>
                <w:sz w:val="20"/>
              </w:rPr>
              <w:t>New clinical vertebral fractures</w:t>
            </w:r>
          </w:p>
        </w:tc>
      </w:tr>
      <w:tr w:rsidR="003B081B" w:rsidRPr="00FC55FD" w:rsidTr="00343502">
        <w:tc>
          <w:tcPr>
            <w:tcW w:w="1711" w:type="dxa"/>
            <w:vAlign w:val="center"/>
          </w:tcPr>
          <w:p w:rsidR="003B081B" w:rsidRPr="00816351" w:rsidRDefault="003B081B" w:rsidP="00950DD9">
            <w:pPr>
              <w:keepNext/>
              <w:widowControl/>
              <w:jc w:val="left"/>
              <w:rPr>
                <w:rFonts w:ascii="Arial Narrow" w:hAnsi="Arial Narrow"/>
                <w:sz w:val="20"/>
              </w:rPr>
            </w:pPr>
            <w:r w:rsidRPr="00816351">
              <w:rPr>
                <w:rFonts w:ascii="Arial Narrow" w:hAnsi="Arial Narrow"/>
                <w:sz w:val="20"/>
              </w:rPr>
              <w:t>Meta-analysis (SOTI/ TROPOS 3 years)</w:t>
            </w:r>
          </w:p>
        </w:tc>
        <w:tc>
          <w:tcPr>
            <w:tcW w:w="989" w:type="dxa"/>
            <w:vAlign w:val="center"/>
          </w:tcPr>
          <w:p w:rsidR="003B081B" w:rsidRPr="00816351" w:rsidRDefault="003B081B" w:rsidP="00950DD9">
            <w:pPr>
              <w:keepNext/>
              <w:widowControl/>
              <w:jc w:val="center"/>
              <w:rPr>
                <w:rFonts w:ascii="Arial Narrow" w:hAnsi="Arial Narrow"/>
                <w:sz w:val="20"/>
              </w:rPr>
            </w:pPr>
            <w:r w:rsidRPr="00816351">
              <w:rPr>
                <w:rFonts w:ascii="Arial Narrow" w:hAnsi="Arial Narrow"/>
                <w:sz w:val="20"/>
              </w:rPr>
              <w:t>194/2536</w:t>
            </w:r>
          </w:p>
        </w:tc>
        <w:tc>
          <w:tcPr>
            <w:tcW w:w="989" w:type="dxa"/>
            <w:vAlign w:val="center"/>
          </w:tcPr>
          <w:p w:rsidR="003B081B" w:rsidRPr="00816351" w:rsidRDefault="003B081B" w:rsidP="00950DD9">
            <w:pPr>
              <w:keepNext/>
              <w:widowControl/>
              <w:jc w:val="center"/>
              <w:rPr>
                <w:rFonts w:ascii="Arial Narrow" w:hAnsi="Arial Narrow"/>
                <w:sz w:val="20"/>
              </w:rPr>
            </w:pPr>
            <w:r w:rsidRPr="00816351">
              <w:rPr>
                <w:rFonts w:ascii="Arial Narrow" w:hAnsi="Arial Narrow"/>
                <w:sz w:val="20"/>
              </w:rPr>
              <w:t>255/2546</w:t>
            </w:r>
          </w:p>
        </w:tc>
        <w:tc>
          <w:tcPr>
            <w:tcW w:w="1148" w:type="dxa"/>
            <w:vAlign w:val="center"/>
          </w:tcPr>
          <w:p w:rsidR="00343502" w:rsidRPr="00816351" w:rsidRDefault="00343502" w:rsidP="00950DD9">
            <w:pPr>
              <w:keepNext/>
              <w:widowControl/>
              <w:jc w:val="center"/>
              <w:rPr>
                <w:rFonts w:ascii="Arial Narrow" w:hAnsi="Arial Narrow"/>
                <w:b/>
                <w:sz w:val="20"/>
              </w:rPr>
            </w:pPr>
            <w:r w:rsidRPr="00816351">
              <w:rPr>
                <w:rFonts w:ascii="Arial Narrow" w:hAnsi="Arial Narrow"/>
                <w:b/>
                <w:sz w:val="20"/>
              </w:rPr>
              <w:t xml:space="preserve">0.75 </w:t>
            </w:r>
          </w:p>
          <w:p w:rsidR="003B081B" w:rsidRPr="00816351" w:rsidRDefault="00343502" w:rsidP="00950DD9">
            <w:pPr>
              <w:keepNext/>
              <w:widowControl/>
              <w:jc w:val="center"/>
              <w:rPr>
                <w:rFonts w:ascii="Arial Narrow" w:hAnsi="Arial Narrow"/>
                <w:sz w:val="20"/>
              </w:rPr>
            </w:pPr>
            <w:r w:rsidRPr="00816351">
              <w:rPr>
                <w:rFonts w:ascii="Arial Narrow" w:hAnsi="Arial Narrow"/>
                <w:b/>
                <w:sz w:val="20"/>
              </w:rPr>
              <w:t>(0.62, 0.92)</w:t>
            </w:r>
          </w:p>
        </w:tc>
        <w:tc>
          <w:tcPr>
            <w:tcW w:w="1224" w:type="dxa"/>
            <w:gridSpan w:val="2"/>
            <w:vAlign w:val="center"/>
          </w:tcPr>
          <w:p w:rsidR="003B081B" w:rsidRPr="00816351" w:rsidRDefault="003B081B" w:rsidP="00950DD9">
            <w:pPr>
              <w:keepNext/>
              <w:widowControl/>
              <w:jc w:val="center"/>
              <w:rPr>
                <w:rFonts w:ascii="Arial Narrow" w:hAnsi="Arial Narrow"/>
                <w:sz w:val="20"/>
              </w:rPr>
            </w:pPr>
            <w:r w:rsidRPr="00816351">
              <w:rPr>
                <w:rFonts w:ascii="Arial Narrow" w:hAnsi="Arial Narrow"/>
                <w:sz w:val="20"/>
              </w:rPr>
              <w:t>7.6</w:t>
            </w:r>
          </w:p>
        </w:tc>
        <w:tc>
          <w:tcPr>
            <w:tcW w:w="1100" w:type="dxa"/>
            <w:vAlign w:val="center"/>
          </w:tcPr>
          <w:p w:rsidR="003B081B" w:rsidRPr="00816351" w:rsidRDefault="003B081B" w:rsidP="00950DD9">
            <w:pPr>
              <w:keepNext/>
              <w:widowControl/>
              <w:jc w:val="center"/>
              <w:rPr>
                <w:rFonts w:ascii="Arial Narrow" w:hAnsi="Arial Narrow"/>
                <w:sz w:val="20"/>
              </w:rPr>
            </w:pPr>
            <w:r w:rsidRPr="00816351">
              <w:rPr>
                <w:rFonts w:ascii="Arial Narrow" w:hAnsi="Arial Narrow"/>
                <w:sz w:val="20"/>
              </w:rPr>
              <w:t>10.0</w:t>
            </w:r>
          </w:p>
        </w:tc>
        <w:tc>
          <w:tcPr>
            <w:tcW w:w="1201" w:type="dxa"/>
            <w:vAlign w:val="center"/>
          </w:tcPr>
          <w:p w:rsidR="00343502" w:rsidRPr="00816351" w:rsidRDefault="003B081B" w:rsidP="00950DD9">
            <w:pPr>
              <w:keepNext/>
              <w:widowControl/>
              <w:jc w:val="center"/>
              <w:rPr>
                <w:rFonts w:ascii="Arial Narrow" w:hAnsi="Arial Narrow"/>
                <w:sz w:val="20"/>
              </w:rPr>
            </w:pPr>
            <w:r w:rsidRPr="00816351">
              <w:rPr>
                <w:rFonts w:ascii="Arial Narrow" w:hAnsi="Arial Narrow"/>
                <w:sz w:val="20"/>
              </w:rPr>
              <w:t xml:space="preserve">-0.03 </w:t>
            </w:r>
          </w:p>
          <w:p w:rsidR="003B081B" w:rsidRPr="00816351" w:rsidRDefault="003B081B" w:rsidP="00950DD9">
            <w:pPr>
              <w:keepNext/>
              <w:widowControl/>
              <w:jc w:val="center"/>
              <w:rPr>
                <w:rFonts w:ascii="Arial Narrow" w:hAnsi="Arial Narrow"/>
                <w:sz w:val="20"/>
              </w:rPr>
            </w:pPr>
            <w:r w:rsidRPr="00816351">
              <w:rPr>
                <w:rFonts w:ascii="Arial Narrow" w:hAnsi="Arial Narrow"/>
                <w:sz w:val="20"/>
              </w:rPr>
              <w:t>(-0.08, 0.02)</w:t>
            </w:r>
          </w:p>
        </w:tc>
      </w:tr>
      <w:tr w:rsidR="003B081B" w:rsidRPr="00FC55FD" w:rsidTr="00B546D1">
        <w:tc>
          <w:tcPr>
            <w:tcW w:w="8362" w:type="dxa"/>
            <w:gridSpan w:val="8"/>
            <w:vAlign w:val="center"/>
          </w:tcPr>
          <w:p w:rsidR="003B081B" w:rsidRPr="00FC55FD" w:rsidRDefault="003B081B" w:rsidP="00950DD9">
            <w:pPr>
              <w:keepNext/>
              <w:widowControl/>
              <w:jc w:val="left"/>
              <w:rPr>
                <w:rFonts w:ascii="Arial Narrow" w:hAnsi="Arial Narrow"/>
                <w:sz w:val="20"/>
              </w:rPr>
            </w:pPr>
            <w:r w:rsidRPr="00055A9F">
              <w:rPr>
                <w:rFonts w:ascii="Arial Narrow" w:hAnsi="Arial Narrow"/>
                <w:b/>
                <w:sz w:val="20"/>
              </w:rPr>
              <w:t>New clinical non-vertebral fractures</w:t>
            </w:r>
          </w:p>
        </w:tc>
      </w:tr>
      <w:tr w:rsidR="003B081B" w:rsidRPr="00FC55FD" w:rsidTr="00343502">
        <w:tc>
          <w:tcPr>
            <w:tcW w:w="1711" w:type="dxa"/>
            <w:vAlign w:val="center"/>
          </w:tcPr>
          <w:p w:rsidR="003B081B" w:rsidRPr="00FC55FD" w:rsidRDefault="003B081B" w:rsidP="00950DD9">
            <w:pPr>
              <w:keepNext/>
              <w:widowControl/>
              <w:jc w:val="left"/>
              <w:rPr>
                <w:rFonts w:ascii="Arial Narrow" w:hAnsi="Arial Narrow"/>
                <w:sz w:val="20"/>
              </w:rPr>
            </w:pPr>
            <w:r>
              <w:rPr>
                <w:rFonts w:ascii="Arial Narrow" w:hAnsi="Arial Narrow"/>
                <w:sz w:val="20"/>
              </w:rPr>
              <w:t>Meta-analysis (SOTI/ TROPOS 3 years)</w:t>
            </w:r>
          </w:p>
        </w:tc>
        <w:tc>
          <w:tcPr>
            <w:tcW w:w="989" w:type="dxa"/>
            <w:vAlign w:val="center"/>
          </w:tcPr>
          <w:p w:rsidR="003B081B" w:rsidRPr="00FC55FD" w:rsidRDefault="003B081B" w:rsidP="00950DD9">
            <w:pPr>
              <w:keepNext/>
              <w:widowControl/>
              <w:jc w:val="center"/>
              <w:rPr>
                <w:rFonts w:ascii="Arial Narrow" w:hAnsi="Arial Narrow"/>
                <w:sz w:val="20"/>
              </w:rPr>
            </w:pPr>
            <w:r>
              <w:rPr>
                <w:rFonts w:ascii="Arial Narrow" w:hAnsi="Arial Narrow"/>
                <w:sz w:val="20"/>
              </w:rPr>
              <w:t>345/3198</w:t>
            </w:r>
          </w:p>
        </w:tc>
        <w:tc>
          <w:tcPr>
            <w:tcW w:w="989" w:type="dxa"/>
            <w:vAlign w:val="center"/>
          </w:tcPr>
          <w:p w:rsidR="003B081B" w:rsidRPr="00FC55FD" w:rsidRDefault="003B081B" w:rsidP="00950DD9">
            <w:pPr>
              <w:keepNext/>
              <w:widowControl/>
              <w:jc w:val="center"/>
              <w:rPr>
                <w:rFonts w:ascii="Arial Narrow" w:hAnsi="Arial Narrow"/>
                <w:sz w:val="20"/>
              </w:rPr>
            </w:pPr>
            <w:r>
              <w:rPr>
                <w:rFonts w:ascii="Arial Narrow" w:hAnsi="Arial Narrow"/>
                <w:sz w:val="20"/>
              </w:rPr>
              <w:t>398/3176</w:t>
            </w:r>
          </w:p>
        </w:tc>
        <w:tc>
          <w:tcPr>
            <w:tcW w:w="1148" w:type="dxa"/>
            <w:vAlign w:val="center"/>
          </w:tcPr>
          <w:p w:rsidR="00343502" w:rsidRPr="00224999" w:rsidRDefault="00343502" w:rsidP="00950DD9">
            <w:pPr>
              <w:keepNext/>
              <w:widowControl/>
              <w:jc w:val="center"/>
              <w:rPr>
                <w:rFonts w:ascii="Arial Narrow" w:hAnsi="Arial Narrow"/>
                <w:b/>
                <w:sz w:val="20"/>
              </w:rPr>
            </w:pPr>
            <w:r w:rsidRPr="00224999">
              <w:rPr>
                <w:rFonts w:ascii="Arial Narrow" w:hAnsi="Arial Narrow"/>
                <w:b/>
                <w:sz w:val="20"/>
              </w:rPr>
              <w:t xml:space="preserve">0.84 </w:t>
            </w:r>
          </w:p>
          <w:p w:rsidR="003B081B" w:rsidRPr="00FC55FD" w:rsidRDefault="00343502" w:rsidP="00950DD9">
            <w:pPr>
              <w:keepNext/>
              <w:widowControl/>
              <w:jc w:val="center"/>
              <w:rPr>
                <w:rFonts w:ascii="Arial Narrow" w:hAnsi="Arial Narrow"/>
                <w:sz w:val="20"/>
              </w:rPr>
            </w:pPr>
            <w:r w:rsidRPr="00224999">
              <w:rPr>
                <w:rFonts w:ascii="Arial Narrow" w:hAnsi="Arial Narrow"/>
                <w:b/>
                <w:sz w:val="20"/>
              </w:rPr>
              <w:t>(0.72, 0.98)</w:t>
            </w:r>
          </w:p>
        </w:tc>
        <w:tc>
          <w:tcPr>
            <w:tcW w:w="1224" w:type="dxa"/>
            <w:gridSpan w:val="2"/>
            <w:vAlign w:val="center"/>
          </w:tcPr>
          <w:p w:rsidR="003B081B" w:rsidRPr="00FC55FD" w:rsidRDefault="003B081B" w:rsidP="00950DD9">
            <w:pPr>
              <w:keepNext/>
              <w:widowControl/>
              <w:jc w:val="center"/>
              <w:rPr>
                <w:rFonts w:ascii="Arial Narrow" w:hAnsi="Arial Narrow"/>
                <w:sz w:val="20"/>
              </w:rPr>
            </w:pPr>
            <w:r>
              <w:rPr>
                <w:rFonts w:ascii="Arial Narrow" w:hAnsi="Arial Narrow"/>
                <w:sz w:val="20"/>
              </w:rPr>
              <w:t>10.8</w:t>
            </w:r>
          </w:p>
        </w:tc>
        <w:tc>
          <w:tcPr>
            <w:tcW w:w="1100" w:type="dxa"/>
            <w:vAlign w:val="center"/>
          </w:tcPr>
          <w:p w:rsidR="003B081B" w:rsidRPr="00FC55FD" w:rsidRDefault="003B081B" w:rsidP="00950DD9">
            <w:pPr>
              <w:keepNext/>
              <w:widowControl/>
              <w:jc w:val="center"/>
              <w:rPr>
                <w:rFonts w:ascii="Arial Narrow" w:hAnsi="Arial Narrow"/>
                <w:sz w:val="20"/>
              </w:rPr>
            </w:pPr>
            <w:r>
              <w:rPr>
                <w:rFonts w:ascii="Arial Narrow" w:hAnsi="Arial Narrow"/>
                <w:sz w:val="20"/>
              </w:rPr>
              <w:t>12.5</w:t>
            </w:r>
          </w:p>
        </w:tc>
        <w:tc>
          <w:tcPr>
            <w:tcW w:w="1201" w:type="dxa"/>
            <w:vAlign w:val="center"/>
          </w:tcPr>
          <w:p w:rsidR="00343502" w:rsidRDefault="003B081B" w:rsidP="00950DD9">
            <w:pPr>
              <w:keepNext/>
              <w:widowControl/>
              <w:jc w:val="center"/>
              <w:rPr>
                <w:rFonts w:ascii="Arial Narrow" w:hAnsi="Arial Narrow"/>
                <w:b/>
                <w:sz w:val="20"/>
              </w:rPr>
            </w:pPr>
            <w:r w:rsidRPr="00055A9F">
              <w:rPr>
                <w:rFonts w:ascii="Arial Narrow" w:hAnsi="Arial Narrow"/>
                <w:b/>
                <w:sz w:val="20"/>
              </w:rPr>
              <w:t xml:space="preserve">-0.02 </w:t>
            </w:r>
          </w:p>
          <w:p w:rsidR="003B081B" w:rsidRPr="00FC55FD" w:rsidRDefault="003B081B" w:rsidP="00950DD9">
            <w:pPr>
              <w:keepNext/>
              <w:widowControl/>
              <w:jc w:val="center"/>
              <w:rPr>
                <w:rFonts w:ascii="Arial Narrow" w:hAnsi="Arial Narrow"/>
                <w:sz w:val="20"/>
              </w:rPr>
            </w:pPr>
            <w:r w:rsidRPr="00055A9F">
              <w:rPr>
                <w:rFonts w:ascii="Arial Narrow" w:hAnsi="Arial Narrow"/>
                <w:b/>
                <w:sz w:val="20"/>
              </w:rPr>
              <w:t>(-0.03, -0.00)</w:t>
            </w:r>
          </w:p>
        </w:tc>
      </w:tr>
      <w:tr w:rsidR="003B081B" w:rsidRPr="00FC55FD" w:rsidTr="00B546D1">
        <w:tc>
          <w:tcPr>
            <w:tcW w:w="8362" w:type="dxa"/>
            <w:gridSpan w:val="8"/>
            <w:vAlign w:val="center"/>
          </w:tcPr>
          <w:p w:rsidR="003B081B" w:rsidRPr="00FC55FD" w:rsidRDefault="003B081B" w:rsidP="00950DD9">
            <w:pPr>
              <w:keepNext/>
              <w:widowControl/>
              <w:jc w:val="left"/>
              <w:rPr>
                <w:rFonts w:ascii="Arial Narrow" w:hAnsi="Arial Narrow"/>
                <w:sz w:val="20"/>
              </w:rPr>
            </w:pPr>
            <w:r w:rsidRPr="00055A9F">
              <w:rPr>
                <w:rFonts w:ascii="Arial Narrow" w:hAnsi="Arial Narrow"/>
                <w:b/>
                <w:sz w:val="20"/>
              </w:rPr>
              <w:t xml:space="preserve">New </w:t>
            </w:r>
            <w:r>
              <w:rPr>
                <w:rFonts w:ascii="Arial Narrow" w:hAnsi="Arial Narrow"/>
                <w:b/>
                <w:sz w:val="20"/>
              </w:rPr>
              <w:t>clinical hip fractures (proximal femur fractures)</w:t>
            </w:r>
          </w:p>
        </w:tc>
      </w:tr>
      <w:tr w:rsidR="003B081B" w:rsidRPr="00FC55FD" w:rsidTr="00343502">
        <w:tc>
          <w:tcPr>
            <w:tcW w:w="1711" w:type="dxa"/>
            <w:vAlign w:val="center"/>
          </w:tcPr>
          <w:p w:rsidR="003B081B" w:rsidRPr="00FC55FD" w:rsidRDefault="003B081B" w:rsidP="00950DD9">
            <w:pPr>
              <w:keepNext/>
              <w:widowControl/>
              <w:jc w:val="left"/>
              <w:rPr>
                <w:rFonts w:ascii="Arial Narrow" w:hAnsi="Arial Narrow"/>
                <w:sz w:val="20"/>
              </w:rPr>
            </w:pPr>
            <w:r>
              <w:rPr>
                <w:rFonts w:ascii="Arial Narrow" w:hAnsi="Arial Narrow"/>
                <w:sz w:val="20"/>
              </w:rPr>
              <w:t>TROPOS (3 years)</w:t>
            </w:r>
          </w:p>
        </w:tc>
        <w:tc>
          <w:tcPr>
            <w:tcW w:w="989" w:type="dxa"/>
            <w:vAlign w:val="center"/>
          </w:tcPr>
          <w:p w:rsidR="003B081B" w:rsidRPr="00481114" w:rsidRDefault="003B081B" w:rsidP="00950DD9">
            <w:pPr>
              <w:keepNext/>
              <w:widowControl/>
              <w:jc w:val="center"/>
              <w:rPr>
                <w:rFonts w:ascii="Arial Narrow" w:hAnsi="Arial Narrow"/>
                <w:sz w:val="20"/>
              </w:rPr>
            </w:pPr>
            <w:r>
              <w:rPr>
                <w:rFonts w:ascii="Arial Narrow" w:hAnsi="Arial Narrow"/>
                <w:sz w:val="20"/>
              </w:rPr>
              <w:t>62/2479</w:t>
            </w:r>
          </w:p>
        </w:tc>
        <w:tc>
          <w:tcPr>
            <w:tcW w:w="989" w:type="dxa"/>
            <w:vAlign w:val="center"/>
          </w:tcPr>
          <w:p w:rsidR="003B081B" w:rsidRPr="00481114" w:rsidRDefault="003B081B" w:rsidP="00950DD9">
            <w:pPr>
              <w:keepNext/>
              <w:widowControl/>
              <w:jc w:val="center"/>
              <w:rPr>
                <w:rFonts w:ascii="Arial Narrow" w:hAnsi="Arial Narrow"/>
                <w:sz w:val="20"/>
              </w:rPr>
            </w:pPr>
            <w:r>
              <w:rPr>
                <w:rFonts w:ascii="Arial Narrow" w:hAnsi="Arial Narrow"/>
                <w:sz w:val="20"/>
              </w:rPr>
              <w:t>74/2453</w:t>
            </w:r>
          </w:p>
        </w:tc>
        <w:tc>
          <w:tcPr>
            <w:tcW w:w="1148" w:type="dxa"/>
            <w:vAlign w:val="center"/>
          </w:tcPr>
          <w:p w:rsidR="00343502" w:rsidRPr="004A509E" w:rsidRDefault="00343502" w:rsidP="00950DD9">
            <w:pPr>
              <w:keepNext/>
              <w:widowControl/>
              <w:jc w:val="center"/>
              <w:rPr>
                <w:rFonts w:ascii="Arial Narrow" w:hAnsi="Arial Narrow"/>
                <w:sz w:val="20"/>
              </w:rPr>
            </w:pPr>
            <w:r w:rsidRPr="004A509E">
              <w:rPr>
                <w:rFonts w:ascii="Arial Narrow" w:hAnsi="Arial Narrow"/>
                <w:sz w:val="20"/>
              </w:rPr>
              <w:t xml:space="preserve">0.85 </w:t>
            </w:r>
          </w:p>
          <w:p w:rsidR="003B081B" w:rsidRPr="00FC55FD" w:rsidRDefault="00343502" w:rsidP="00950DD9">
            <w:pPr>
              <w:keepNext/>
              <w:widowControl/>
              <w:jc w:val="center"/>
              <w:rPr>
                <w:rFonts w:ascii="Arial Narrow" w:hAnsi="Arial Narrow"/>
                <w:sz w:val="20"/>
              </w:rPr>
            </w:pPr>
            <w:r w:rsidRPr="004A509E">
              <w:rPr>
                <w:rFonts w:ascii="Arial Narrow" w:hAnsi="Arial Narrow"/>
                <w:sz w:val="20"/>
              </w:rPr>
              <w:t>(0.61, 1.19)</w:t>
            </w:r>
          </w:p>
        </w:tc>
        <w:tc>
          <w:tcPr>
            <w:tcW w:w="1224" w:type="dxa"/>
            <w:gridSpan w:val="2"/>
            <w:vAlign w:val="center"/>
          </w:tcPr>
          <w:p w:rsidR="003B081B" w:rsidRPr="00FC55FD" w:rsidRDefault="003B081B" w:rsidP="00950DD9">
            <w:pPr>
              <w:keepNext/>
              <w:widowControl/>
              <w:jc w:val="center"/>
              <w:rPr>
                <w:rFonts w:ascii="Arial Narrow" w:hAnsi="Arial Narrow"/>
                <w:sz w:val="20"/>
              </w:rPr>
            </w:pPr>
            <w:r>
              <w:rPr>
                <w:rFonts w:ascii="Arial Narrow" w:hAnsi="Arial Narrow"/>
                <w:sz w:val="20"/>
              </w:rPr>
              <w:t>2.5</w:t>
            </w:r>
          </w:p>
        </w:tc>
        <w:tc>
          <w:tcPr>
            <w:tcW w:w="1100" w:type="dxa"/>
            <w:vAlign w:val="center"/>
          </w:tcPr>
          <w:p w:rsidR="003B081B" w:rsidRPr="00FC55FD" w:rsidRDefault="003B081B" w:rsidP="00950DD9">
            <w:pPr>
              <w:keepNext/>
              <w:widowControl/>
              <w:jc w:val="center"/>
              <w:rPr>
                <w:rFonts w:ascii="Arial Narrow" w:hAnsi="Arial Narrow"/>
                <w:sz w:val="20"/>
              </w:rPr>
            </w:pPr>
            <w:r>
              <w:rPr>
                <w:rFonts w:ascii="Arial Narrow" w:hAnsi="Arial Narrow"/>
                <w:sz w:val="20"/>
              </w:rPr>
              <w:t>3.0</w:t>
            </w:r>
          </w:p>
        </w:tc>
        <w:tc>
          <w:tcPr>
            <w:tcW w:w="1201" w:type="dxa"/>
            <w:vAlign w:val="center"/>
          </w:tcPr>
          <w:p w:rsidR="00343502" w:rsidRDefault="003B081B" w:rsidP="00950DD9">
            <w:pPr>
              <w:keepNext/>
              <w:widowControl/>
              <w:jc w:val="center"/>
              <w:rPr>
                <w:rFonts w:ascii="Arial Narrow" w:hAnsi="Arial Narrow"/>
                <w:sz w:val="20"/>
              </w:rPr>
            </w:pPr>
            <w:r w:rsidRPr="004A509E">
              <w:rPr>
                <w:rFonts w:ascii="Arial Narrow" w:hAnsi="Arial Narrow"/>
                <w:sz w:val="20"/>
              </w:rPr>
              <w:t xml:space="preserve">-0.01 </w:t>
            </w:r>
          </w:p>
          <w:p w:rsidR="003B081B" w:rsidRPr="00FC55FD" w:rsidRDefault="003B081B" w:rsidP="00950DD9">
            <w:pPr>
              <w:keepNext/>
              <w:widowControl/>
              <w:jc w:val="center"/>
              <w:rPr>
                <w:rFonts w:ascii="Arial Narrow" w:hAnsi="Arial Narrow"/>
                <w:sz w:val="20"/>
              </w:rPr>
            </w:pPr>
            <w:r w:rsidRPr="004A509E">
              <w:rPr>
                <w:rFonts w:ascii="Arial Narrow" w:hAnsi="Arial Narrow"/>
                <w:sz w:val="20"/>
              </w:rPr>
              <w:t>(-0.01, 0.00)</w:t>
            </w:r>
          </w:p>
        </w:tc>
      </w:tr>
      <w:tr w:rsidR="00EC1574" w:rsidRPr="00FC55FD" w:rsidTr="00B546D1">
        <w:tc>
          <w:tcPr>
            <w:tcW w:w="8362" w:type="dxa"/>
            <w:gridSpan w:val="8"/>
            <w:vAlign w:val="center"/>
          </w:tcPr>
          <w:p w:rsidR="00EC1574" w:rsidRPr="004A509E" w:rsidRDefault="00EC1574" w:rsidP="00950DD9">
            <w:pPr>
              <w:keepNext/>
              <w:widowControl/>
              <w:jc w:val="left"/>
              <w:rPr>
                <w:rFonts w:ascii="Arial Narrow" w:hAnsi="Arial Narrow"/>
                <w:sz w:val="20"/>
              </w:rPr>
            </w:pPr>
            <w:r w:rsidRPr="009F3571">
              <w:rPr>
                <w:rFonts w:ascii="Arial Narrow" w:hAnsi="Arial Narrow"/>
                <w:b/>
                <w:sz w:val="20"/>
                <w:u w:val="single"/>
              </w:rPr>
              <w:t>Harms</w:t>
            </w:r>
          </w:p>
        </w:tc>
      </w:tr>
      <w:tr w:rsidR="00343502" w:rsidRPr="00FC55FD" w:rsidTr="00343502">
        <w:trPr>
          <w:trHeight w:val="228"/>
        </w:trPr>
        <w:tc>
          <w:tcPr>
            <w:tcW w:w="1711" w:type="dxa"/>
            <w:vMerge w:val="restart"/>
            <w:vAlign w:val="center"/>
          </w:tcPr>
          <w:p w:rsidR="00343502" w:rsidRDefault="00343502" w:rsidP="00950DD9">
            <w:pPr>
              <w:keepNext/>
              <w:widowControl/>
              <w:jc w:val="left"/>
              <w:rPr>
                <w:rFonts w:ascii="Arial Narrow" w:hAnsi="Arial Narrow"/>
                <w:sz w:val="20"/>
              </w:rPr>
            </w:pPr>
            <w:r>
              <w:rPr>
                <w:rFonts w:ascii="Arial Narrow" w:hAnsi="Arial Narrow"/>
                <w:b/>
                <w:sz w:val="20"/>
              </w:rPr>
              <w:t>Outcome</w:t>
            </w:r>
          </w:p>
        </w:tc>
        <w:tc>
          <w:tcPr>
            <w:tcW w:w="989" w:type="dxa"/>
            <w:vMerge w:val="restart"/>
            <w:vAlign w:val="center"/>
          </w:tcPr>
          <w:p w:rsidR="00343502" w:rsidRDefault="00343502" w:rsidP="00950DD9">
            <w:pPr>
              <w:keepNext/>
              <w:widowControl/>
              <w:jc w:val="center"/>
              <w:rPr>
                <w:rFonts w:ascii="Arial Narrow" w:hAnsi="Arial Narrow"/>
                <w:sz w:val="20"/>
              </w:rPr>
            </w:pPr>
            <w:r w:rsidRPr="009F3571">
              <w:rPr>
                <w:rFonts w:ascii="Arial Narrow" w:hAnsi="Arial Narrow"/>
                <w:b/>
                <w:sz w:val="20"/>
              </w:rPr>
              <w:t>Strontium</w:t>
            </w:r>
          </w:p>
        </w:tc>
        <w:tc>
          <w:tcPr>
            <w:tcW w:w="989" w:type="dxa"/>
            <w:vMerge w:val="restart"/>
            <w:vAlign w:val="center"/>
          </w:tcPr>
          <w:p w:rsidR="00343502" w:rsidRDefault="00343502" w:rsidP="00950DD9">
            <w:pPr>
              <w:keepNext/>
              <w:widowControl/>
              <w:jc w:val="center"/>
              <w:rPr>
                <w:rFonts w:ascii="Arial Narrow" w:hAnsi="Arial Narrow"/>
                <w:sz w:val="20"/>
              </w:rPr>
            </w:pPr>
            <w:r w:rsidRPr="009F3571">
              <w:rPr>
                <w:rFonts w:ascii="Arial Narrow" w:hAnsi="Arial Narrow"/>
                <w:b/>
                <w:sz w:val="20"/>
              </w:rPr>
              <w:t>Placebo</w:t>
            </w:r>
          </w:p>
        </w:tc>
        <w:tc>
          <w:tcPr>
            <w:tcW w:w="1148" w:type="dxa"/>
            <w:vMerge w:val="restart"/>
            <w:vAlign w:val="center"/>
          </w:tcPr>
          <w:p w:rsidR="00343502" w:rsidRDefault="00343502" w:rsidP="00950DD9">
            <w:pPr>
              <w:keepNext/>
              <w:widowControl/>
              <w:jc w:val="center"/>
              <w:rPr>
                <w:rFonts w:ascii="Arial Narrow" w:hAnsi="Arial Narrow"/>
                <w:b/>
                <w:sz w:val="20"/>
              </w:rPr>
            </w:pPr>
            <w:r>
              <w:rPr>
                <w:rFonts w:ascii="Arial Narrow" w:hAnsi="Arial Narrow"/>
                <w:b/>
                <w:sz w:val="20"/>
              </w:rPr>
              <w:t>RR</w:t>
            </w:r>
            <w:r w:rsidRPr="009F3571">
              <w:rPr>
                <w:rFonts w:ascii="Arial Narrow" w:hAnsi="Arial Narrow"/>
                <w:b/>
                <w:sz w:val="20"/>
              </w:rPr>
              <w:t xml:space="preserve"> </w:t>
            </w:r>
          </w:p>
          <w:p w:rsidR="00343502" w:rsidRPr="004A509E" w:rsidRDefault="00343502" w:rsidP="00950DD9">
            <w:pPr>
              <w:keepNext/>
              <w:widowControl/>
              <w:jc w:val="center"/>
              <w:rPr>
                <w:rFonts w:ascii="Arial Narrow" w:hAnsi="Arial Narrow"/>
                <w:sz w:val="20"/>
              </w:rPr>
            </w:pPr>
            <w:r w:rsidRPr="009F3571">
              <w:rPr>
                <w:rFonts w:ascii="Arial Narrow" w:hAnsi="Arial Narrow"/>
                <w:b/>
                <w:sz w:val="20"/>
              </w:rPr>
              <w:t>(95% CI)</w:t>
            </w:r>
          </w:p>
        </w:tc>
        <w:tc>
          <w:tcPr>
            <w:tcW w:w="2324" w:type="dxa"/>
            <w:gridSpan w:val="3"/>
            <w:vAlign w:val="center"/>
          </w:tcPr>
          <w:p w:rsidR="00343502" w:rsidRPr="003B081B" w:rsidRDefault="00343502" w:rsidP="00950DD9">
            <w:pPr>
              <w:keepNext/>
              <w:widowControl/>
              <w:jc w:val="center"/>
              <w:rPr>
                <w:rFonts w:ascii="Arial Narrow" w:hAnsi="Arial Narrow"/>
                <w:b/>
                <w:sz w:val="20"/>
              </w:rPr>
            </w:pPr>
            <w:r>
              <w:rPr>
                <w:rFonts w:ascii="Arial Narrow" w:hAnsi="Arial Narrow"/>
                <w:b/>
                <w:sz w:val="20"/>
              </w:rPr>
              <w:t>Crude incidence</w:t>
            </w:r>
            <w:r w:rsidRPr="003B081B">
              <w:rPr>
                <w:rFonts w:ascii="Arial Narrow" w:hAnsi="Arial Narrow"/>
                <w:b/>
                <w:sz w:val="20"/>
              </w:rPr>
              <w:t xml:space="preserve"> per</w:t>
            </w:r>
          </w:p>
          <w:p w:rsidR="00343502" w:rsidRDefault="00343502" w:rsidP="00950DD9">
            <w:pPr>
              <w:keepNext/>
              <w:widowControl/>
              <w:jc w:val="center"/>
              <w:rPr>
                <w:rFonts w:ascii="Arial Narrow" w:hAnsi="Arial Narrow"/>
                <w:sz w:val="20"/>
              </w:rPr>
            </w:pPr>
            <w:r w:rsidRPr="003B081B">
              <w:rPr>
                <w:rFonts w:ascii="Arial Narrow" w:hAnsi="Arial Narrow"/>
                <w:b/>
                <w:sz w:val="20"/>
              </w:rPr>
              <w:t>100 patients over 3 years</w:t>
            </w:r>
          </w:p>
        </w:tc>
        <w:tc>
          <w:tcPr>
            <w:tcW w:w="1201" w:type="dxa"/>
            <w:vMerge w:val="restart"/>
            <w:vAlign w:val="center"/>
          </w:tcPr>
          <w:p w:rsidR="00343502" w:rsidRDefault="00343502" w:rsidP="00950DD9">
            <w:pPr>
              <w:keepNext/>
              <w:widowControl/>
              <w:jc w:val="center"/>
              <w:rPr>
                <w:rFonts w:ascii="Arial Narrow" w:hAnsi="Arial Narrow"/>
                <w:b/>
                <w:sz w:val="20"/>
              </w:rPr>
            </w:pPr>
            <w:r w:rsidRPr="009F3571">
              <w:rPr>
                <w:rFonts w:ascii="Arial Narrow" w:hAnsi="Arial Narrow"/>
                <w:b/>
                <w:sz w:val="20"/>
              </w:rPr>
              <w:t xml:space="preserve">RD </w:t>
            </w:r>
          </w:p>
          <w:p w:rsidR="00343502" w:rsidRPr="004A509E" w:rsidRDefault="00343502" w:rsidP="00950DD9">
            <w:pPr>
              <w:keepNext/>
              <w:widowControl/>
              <w:jc w:val="center"/>
              <w:rPr>
                <w:rFonts w:ascii="Arial Narrow" w:hAnsi="Arial Narrow"/>
                <w:sz w:val="20"/>
              </w:rPr>
            </w:pPr>
            <w:r w:rsidRPr="009F3571">
              <w:rPr>
                <w:rFonts w:ascii="Arial Narrow" w:hAnsi="Arial Narrow"/>
                <w:b/>
                <w:sz w:val="20"/>
              </w:rPr>
              <w:t>(95% CI)</w:t>
            </w:r>
          </w:p>
        </w:tc>
      </w:tr>
      <w:tr w:rsidR="00343502" w:rsidRPr="00FC55FD" w:rsidTr="00B546D1">
        <w:trPr>
          <w:trHeight w:val="228"/>
        </w:trPr>
        <w:tc>
          <w:tcPr>
            <w:tcW w:w="1711" w:type="dxa"/>
            <w:vMerge/>
            <w:vAlign w:val="center"/>
          </w:tcPr>
          <w:p w:rsidR="00343502" w:rsidRDefault="00343502" w:rsidP="00950DD9">
            <w:pPr>
              <w:keepNext/>
              <w:widowControl/>
              <w:jc w:val="left"/>
              <w:rPr>
                <w:rFonts w:ascii="Arial Narrow" w:hAnsi="Arial Narrow"/>
                <w:b/>
                <w:sz w:val="20"/>
              </w:rPr>
            </w:pPr>
          </w:p>
        </w:tc>
        <w:tc>
          <w:tcPr>
            <w:tcW w:w="989" w:type="dxa"/>
            <w:vMerge/>
            <w:vAlign w:val="center"/>
          </w:tcPr>
          <w:p w:rsidR="00343502" w:rsidRPr="009F3571" w:rsidRDefault="00343502" w:rsidP="00950DD9">
            <w:pPr>
              <w:keepNext/>
              <w:widowControl/>
              <w:jc w:val="center"/>
              <w:rPr>
                <w:rFonts w:ascii="Arial Narrow" w:hAnsi="Arial Narrow"/>
                <w:b/>
                <w:sz w:val="20"/>
              </w:rPr>
            </w:pPr>
          </w:p>
        </w:tc>
        <w:tc>
          <w:tcPr>
            <w:tcW w:w="989" w:type="dxa"/>
            <w:vMerge/>
            <w:vAlign w:val="center"/>
          </w:tcPr>
          <w:p w:rsidR="00343502" w:rsidRPr="009F3571" w:rsidRDefault="00343502" w:rsidP="00950DD9">
            <w:pPr>
              <w:keepNext/>
              <w:widowControl/>
              <w:jc w:val="center"/>
              <w:rPr>
                <w:rFonts w:ascii="Arial Narrow" w:hAnsi="Arial Narrow"/>
                <w:b/>
                <w:sz w:val="20"/>
              </w:rPr>
            </w:pPr>
          </w:p>
        </w:tc>
        <w:tc>
          <w:tcPr>
            <w:tcW w:w="1148" w:type="dxa"/>
            <w:vMerge/>
            <w:vAlign w:val="center"/>
          </w:tcPr>
          <w:p w:rsidR="00343502" w:rsidRDefault="00343502" w:rsidP="00950DD9">
            <w:pPr>
              <w:keepNext/>
              <w:widowControl/>
              <w:jc w:val="center"/>
              <w:rPr>
                <w:rFonts w:ascii="Arial Narrow" w:hAnsi="Arial Narrow"/>
                <w:b/>
                <w:sz w:val="20"/>
              </w:rPr>
            </w:pPr>
          </w:p>
        </w:tc>
        <w:tc>
          <w:tcPr>
            <w:tcW w:w="1162" w:type="dxa"/>
            <w:vAlign w:val="center"/>
          </w:tcPr>
          <w:p w:rsidR="00343502" w:rsidRDefault="00343502" w:rsidP="00950DD9">
            <w:pPr>
              <w:keepNext/>
              <w:widowControl/>
              <w:jc w:val="center"/>
              <w:rPr>
                <w:rFonts w:ascii="Arial Narrow" w:hAnsi="Arial Narrow"/>
                <w:b/>
                <w:sz w:val="20"/>
              </w:rPr>
            </w:pPr>
            <w:r w:rsidRPr="009F3571">
              <w:rPr>
                <w:rFonts w:ascii="Arial Narrow" w:hAnsi="Arial Narrow"/>
                <w:b/>
                <w:sz w:val="20"/>
              </w:rPr>
              <w:t>Strontium</w:t>
            </w:r>
          </w:p>
        </w:tc>
        <w:tc>
          <w:tcPr>
            <w:tcW w:w="1162" w:type="dxa"/>
            <w:gridSpan w:val="2"/>
            <w:vAlign w:val="center"/>
          </w:tcPr>
          <w:p w:rsidR="00343502" w:rsidRDefault="00343502" w:rsidP="00950DD9">
            <w:pPr>
              <w:keepNext/>
              <w:widowControl/>
              <w:jc w:val="center"/>
              <w:rPr>
                <w:rFonts w:ascii="Arial Narrow" w:hAnsi="Arial Narrow"/>
                <w:b/>
                <w:sz w:val="20"/>
              </w:rPr>
            </w:pPr>
            <w:r w:rsidRPr="009F3571">
              <w:rPr>
                <w:rFonts w:ascii="Arial Narrow" w:hAnsi="Arial Narrow"/>
                <w:b/>
                <w:sz w:val="20"/>
              </w:rPr>
              <w:t>Placebo</w:t>
            </w:r>
          </w:p>
        </w:tc>
        <w:tc>
          <w:tcPr>
            <w:tcW w:w="1201" w:type="dxa"/>
            <w:vMerge/>
            <w:vAlign w:val="center"/>
          </w:tcPr>
          <w:p w:rsidR="00343502" w:rsidRPr="009F3571" w:rsidRDefault="00343502" w:rsidP="00950DD9">
            <w:pPr>
              <w:keepNext/>
              <w:widowControl/>
              <w:jc w:val="center"/>
              <w:rPr>
                <w:rFonts w:ascii="Arial Narrow" w:hAnsi="Arial Narrow"/>
                <w:b/>
                <w:sz w:val="20"/>
              </w:rPr>
            </w:pPr>
          </w:p>
        </w:tc>
      </w:tr>
      <w:tr w:rsidR="00343502" w:rsidRPr="00FC55FD" w:rsidTr="00B546D1">
        <w:tc>
          <w:tcPr>
            <w:tcW w:w="8362" w:type="dxa"/>
            <w:gridSpan w:val="8"/>
            <w:vAlign w:val="center"/>
          </w:tcPr>
          <w:p w:rsidR="00343502" w:rsidRPr="00FC55FD" w:rsidRDefault="00343502" w:rsidP="00950DD9">
            <w:pPr>
              <w:keepNext/>
              <w:widowControl/>
              <w:jc w:val="left"/>
              <w:rPr>
                <w:rFonts w:ascii="Arial Narrow" w:hAnsi="Arial Narrow"/>
                <w:sz w:val="20"/>
              </w:rPr>
            </w:pPr>
            <w:r w:rsidRPr="0098534E">
              <w:rPr>
                <w:rFonts w:ascii="Arial Narrow" w:hAnsi="Arial Narrow"/>
                <w:b/>
                <w:sz w:val="20"/>
              </w:rPr>
              <w:t>Treatment-related adverse event</w:t>
            </w:r>
          </w:p>
        </w:tc>
      </w:tr>
      <w:tr w:rsidR="00343502" w:rsidRPr="00FC55FD" w:rsidTr="00343502">
        <w:tc>
          <w:tcPr>
            <w:tcW w:w="1711" w:type="dxa"/>
            <w:vAlign w:val="center"/>
          </w:tcPr>
          <w:p w:rsidR="00343502" w:rsidRPr="00FC55FD" w:rsidRDefault="00343502" w:rsidP="00950DD9">
            <w:pPr>
              <w:keepNext/>
              <w:widowControl/>
              <w:jc w:val="left"/>
              <w:rPr>
                <w:rFonts w:ascii="Arial Narrow" w:hAnsi="Arial Narrow"/>
                <w:sz w:val="20"/>
              </w:rPr>
            </w:pPr>
            <w:r w:rsidRPr="009F3571">
              <w:rPr>
                <w:rFonts w:ascii="Arial Narrow" w:hAnsi="Arial Narrow"/>
                <w:sz w:val="20"/>
              </w:rPr>
              <w:t>Meta-analysis (SOTI/</w:t>
            </w:r>
            <w:r>
              <w:rPr>
                <w:rFonts w:ascii="Arial Narrow" w:hAnsi="Arial Narrow"/>
                <w:sz w:val="20"/>
              </w:rPr>
              <w:t xml:space="preserve"> </w:t>
            </w:r>
            <w:r w:rsidRPr="009F3571">
              <w:rPr>
                <w:rFonts w:ascii="Arial Narrow" w:hAnsi="Arial Narrow"/>
                <w:sz w:val="20"/>
              </w:rPr>
              <w:t>TROPOS 3 y</w:t>
            </w:r>
            <w:r>
              <w:rPr>
                <w:rFonts w:ascii="Arial Narrow" w:hAnsi="Arial Narrow"/>
                <w:sz w:val="20"/>
              </w:rPr>
              <w:t>ea</w:t>
            </w:r>
            <w:r w:rsidRPr="009F3571">
              <w:rPr>
                <w:rFonts w:ascii="Arial Narrow" w:hAnsi="Arial Narrow"/>
                <w:sz w:val="20"/>
              </w:rPr>
              <w:t>rs)</w:t>
            </w:r>
          </w:p>
        </w:tc>
        <w:tc>
          <w:tcPr>
            <w:tcW w:w="989" w:type="dxa"/>
            <w:vAlign w:val="center"/>
          </w:tcPr>
          <w:p w:rsidR="00343502" w:rsidRPr="00FC55FD" w:rsidRDefault="00343502" w:rsidP="00950DD9">
            <w:pPr>
              <w:keepNext/>
              <w:widowControl/>
              <w:jc w:val="center"/>
              <w:rPr>
                <w:rFonts w:ascii="Arial Narrow" w:hAnsi="Arial Narrow"/>
                <w:sz w:val="20"/>
              </w:rPr>
            </w:pPr>
            <w:r>
              <w:rPr>
                <w:rFonts w:ascii="Arial Narrow" w:hAnsi="Arial Narrow"/>
                <w:sz w:val="20"/>
              </w:rPr>
              <w:t>732/3352</w:t>
            </w:r>
          </w:p>
        </w:tc>
        <w:tc>
          <w:tcPr>
            <w:tcW w:w="989" w:type="dxa"/>
            <w:vAlign w:val="center"/>
          </w:tcPr>
          <w:p w:rsidR="00343502" w:rsidRPr="00FC55FD" w:rsidRDefault="00343502" w:rsidP="00950DD9">
            <w:pPr>
              <w:keepNext/>
              <w:widowControl/>
              <w:jc w:val="center"/>
              <w:rPr>
                <w:rFonts w:ascii="Arial Narrow" w:hAnsi="Arial Narrow"/>
                <w:sz w:val="20"/>
              </w:rPr>
            </w:pPr>
            <w:r>
              <w:rPr>
                <w:rFonts w:ascii="Arial Narrow" w:hAnsi="Arial Narrow"/>
                <w:sz w:val="20"/>
              </w:rPr>
              <w:t>575/3317</w:t>
            </w:r>
          </w:p>
        </w:tc>
        <w:tc>
          <w:tcPr>
            <w:tcW w:w="1148" w:type="dxa"/>
            <w:vAlign w:val="center"/>
          </w:tcPr>
          <w:p w:rsidR="00343502" w:rsidRDefault="00343502" w:rsidP="00950DD9">
            <w:pPr>
              <w:keepNext/>
              <w:widowControl/>
              <w:jc w:val="center"/>
              <w:rPr>
                <w:rFonts w:ascii="Arial Narrow" w:hAnsi="Arial Narrow"/>
                <w:sz w:val="20"/>
              </w:rPr>
            </w:pPr>
            <w:r>
              <w:rPr>
                <w:rFonts w:ascii="Arial Narrow" w:hAnsi="Arial Narrow"/>
                <w:sz w:val="20"/>
              </w:rPr>
              <w:t xml:space="preserve">1.27 </w:t>
            </w:r>
          </w:p>
          <w:p w:rsidR="00343502" w:rsidRPr="00FC55FD" w:rsidRDefault="00343502" w:rsidP="00950DD9">
            <w:pPr>
              <w:keepNext/>
              <w:widowControl/>
              <w:jc w:val="center"/>
              <w:rPr>
                <w:rFonts w:ascii="Arial Narrow" w:hAnsi="Arial Narrow"/>
                <w:sz w:val="20"/>
              </w:rPr>
            </w:pPr>
            <w:r>
              <w:rPr>
                <w:rFonts w:ascii="Arial Narrow" w:hAnsi="Arial Narrow"/>
                <w:sz w:val="20"/>
              </w:rPr>
              <w:t>(1.15, 1.40)</w:t>
            </w:r>
          </w:p>
        </w:tc>
        <w:tc>
          <w:tcPr>
            <w:tcW w:w="1224" w:type="dxa"/>
            <w:gridSpan w:val="2"/>
            <w:vAlign w:val="center"/>
          </w:tcPr>
          <w:p w:rsidR="00343502" w:rsidRPr="00FC55FD" w:rsidRDefault="00343502" w:rsidP="00950DD9">
            <w:pPr>
              <w:keepNext/>
              <w:widowControl/>
              <w:jc w:val="center"/>
              <w:rPr>
                <w:rFonts w:ascii="Arial Narrow" w:hAnsi="Arial Narrow"/>
                <w:sz w:val="20"/>
              </w:rPr>
            </w:pPr>
            <w:r>
              <w:rPr>
                <w:rFonts w:ascii="Arial Narrow" w:hAnsi="Arial Narrow"/>
                <w:sz w:val="20"/>
              </w:rPr>
              <w:t>21.8</w:t>
            </w:r>
          </w:p>
        </w:tc>
        <w:tc>
          <w:tcPr>
            <w:tcW w:w="1100" w:type="dxa"/>
            <w:vAlign w:val="center"/>
          </w:tcPr>
          <w:p w:rsidR="00343502" w:rsidRPr="00FC55FD" w:rsidRDefault="00343502" w:rsidP="00950DD9">
            <w:pPr>
              <w:keepNext/>
              <w:widowControl/>
              <w:jc w:val="center"/>
              <w:rPr>
                <w:rFonts w:ascii="Arial Narrow" w:hAnsi="Arial Narrow"/>
                <w:sz w:val="20"/>
              </w:rPr>
            </w:pPr>
            <w:r>
              <w:rPr>
                <w:rFonts w:ascii="Arial Narrow" w:hAnsi="Arial Narrow"/>
                <w:sz w:val="20"/>
              </w:rPr>
              <w:t>17.2</w:t>
            </w:r>
          </w:p>
        </w:tc>
        <w:tc>
          <w:tcPr>
            <w:tcW w:w="1201" w:type="dxa"/>
            <w:vAlign w:val="center"/>
          </w:tcPr>
          <w:p w:rsidR="00343502" w:rsidRDefault="00343502" w:rsidP="00950DD9">
            <w:pPr>
              <w:keepNext/>
              <w:widowControl/>
              <w:jc w:val="center"/>
              <w:rPr>
                <w:rFonts w:ascii="Arial Narrow" w:hAnsi="Arial Narrow"/>
                <w:sz w:val="20"/>
              </w:rPr>
            </w:pPr>
            <w:r>
              <w:rPr>
                <w:rFonts w:ascii="Arial Narrow" w:hAnsi="Arial Narrow"/>
                <w:sz w:val="20"/>
              </w:rPr>
              <w:t xml:space="preserve">0.05 </w:t>
            </w:r>
          </w:p>
          <w:p w:rsidR="00343502" w:rsidRPr="00FC55FD" w:rsidRDefault="00343502" w:rsidP="00950DD9">
            <w:pPr>
              <w:keepNext/>
              <w:widowControl/>
              <w:jc w:val="center"/>
              <w:rPr>
                <w:rFonts w:ascii="Arial Narrow" w:hAnsi="Arial Narrow"/>
                <w:sz w:val="20"/>
              </w:rPr>
            </w:pPr>
            <w:r>
              <w:rPr>
                <w:rFonts w:ascii="Arial Narrow" w:hAnsi="Arial Narrow"/>
                <w:sz w:val="20"/>
              </w:rPr>
              <w:t>(0.03, 0.07)</w:t>
            </w:r>
          </w:p>
        </w:tc>
      </w:tr>
    </w:tbl>
    <w:p w:rsidR="003B081B" w:rsidRDefault="00EC1574" w:rsidP="00950DD9">
      <w:pPr>
        <w:pStyle w:val="COMTbl-foot"/>
        <w:widowControl/>
        <w:rPr>
          <w:rFonts w:ascii="Arial Narrow" w:hAnsi="Arial Narrow"/>
        </w:rPr>
      </w:pPr>
      <w:r>
        <w:tab/>
      </w:r>
      <w:r w:rsidRPr="00EC1574">
        <w:rPr>
          <w:rFonts w:ascii="Arial Narrow" w:hAnsi="Arial Narrow"/>
        </w:rPr>
        <w:t xml:space="preserve">Abbreviations: </w:t>
      </w:r>
      <w:r>
        <w:rPr>
          <w:rFonts w:ascii="Arial Narrow" w:hAnsi="Arial Narrow"/>
        </w:rPr>
        <w:t>CI, confidence interval; HR, hazard ratio; RD, risk difference; RR, relative risk</w:t>
      </w:r>
    </w:p>
    <w:p w:rsidR="00FB7918" w:rsidRPr="00EC1574" w:rsidRDefault="00FB7918" w:rsidP="00950DD9">
      <w:pPr>
        <w:pStyle w:val="COMTbl-foot"/>
        <w:widowControl/>
        <w:ind w:firstLine="720"/>
        <w:rPr>
          <w:rFonts w:ascii="Arial Narrow" w:hAnsi="Arial Narrow"/>
        </w:rPr>
      </w:pPr>
      <w:r>
        <w:rPr>
          <w:rFonts w:ascii="Arial Narrow" w:hAnsi="Arial Narrow"/>
        </w:rPr>
        <w:t>Source:</w:t>
      </w:r>
      <w:r w:rsidR="00040CF1">
        <w:rPr>
          <w:rFonts w:ascii="Arial Narrow" w:hAnsi="Arial Narrow"/>
        </w:rPr>
        <w:t xml:space="preserve"> Constructed during the evaluation</w:t>
      </w:r>
    </w:p>
    <w:p w:rsidR="00B60939" w:rsidRPr="00882085" w:rsidRDefault="00B60939" w:rsidP="00950DD9">
      <w:pPr>
        <w:widowControl/>
      </w:pPr>
    </w:p>
    <w:p w:rsidR="00EC1574" w:rsidRPr="00EC1574" w:rsidRDefault="00EC1574" w:rsidP="00950DD9">
      <w:pPr>
        <w:pStyle w:val="ListParagraph"/>
        <w:widowControl/>
        <w:numPr>
          <w:ilvl w:val="1"/>
          <w:numId w:val="5"/>
        </w:numPr>
        <w:rPr>
          <w:szCs w:val="22"/>
        </w:rPr>
      </w:pPr>
      <w:r w:rsidRPr="00EC1574">
        <w:rPr>
          <w:szCs w:val="22"/>
        </w:rPr>
        <w:t xml:space="preserve">On the basis of meta-analysis presented </w:t>
      </w:r>
      <w:r w:rsidR="006450B1">
        <w:rPr>
          <w:szCs w:val="22"/>
        </w:rPr>
        <w:t>in</w:t>
      </w:r>
      <w:r w:rsidRPr="00EC1574">
        <w:rPr>
          <w:szCs w:val="22"/>
        </w:rPr>
        <w:t xml:space="preserve"> the submission, for every 100 patients treated with strontium ranelate in comparison to placebo:</w:t>
      </w:r>
    </w:p>
    <w:p w:rsidR="00EC1574" w:rsidRDefault="00EC1574" w:rsidP="00950DD9">
      <w:pPr>
        <w:pStyle w:val="ListParagraph"/>
        <w:widowControl/>
        <w:numPr>
          <w:ilvl w:val="0"/>
          <w:numId w:val="14"/>
        </w:numPr>
        <w:ind w:left="993" w:hanging="284"/>
        <w:rPr>
          <w:szCs w:val="22"/>
        </w:rPr>
      </w:pPr>
      <w:r w:rsidRPr="00EC1574">
        <w:rPr>
          <w:szCs w:val="22"/>
        </w:rPr>
        <w:t>Approximately 9 fewer patients would have a new morphometric</w:t>
      </w:r>
      <w:r w:rsidR="00C00A3F">
        <w:rPr>
          <w:szCs w:val="22"/>
        </w:rPr>
        <w:t xml:space="preserve"> </w:t>
      </w:r>
      <w:r w:rsidR="00AF4FDA">
        <w:rPr>
          <w:szCs w:val="22"/>
        </w:rPr>
        <w:t xml:space="preserve">vertebral </w:t>
      </w:r>
      <w:r w:rsidRPr="00EC1574">
        <w:rPr>
          <w:szCs w:val="22"/>
        </w:rPr>
        <w:t>fracture</w:t>
      </w:r>
      <w:r w:rsidR="00C00A3F">
        <w:rPr>
          <w:szCs w:val="22"/>
        </w:rPr>
        <w:t xml:space="preserve"> (i.e. </w:t>
      </w:r>
      <w:r w:rsidR="00C00A3F">
        <w:t>detectable on x</w:t>
      </w:r>
      <w:r w:rsidR="00C00A3F">
        <w:noBreakHyphen/>
        <w:t>ray or other imaging but not necessarily clinically apparent)</w:t>
      </w:r>
      <w:r w:rsidRPr="00EC1574">
        <w:rPr>
          <w:szCs w:val="22"/>
        </w:rPr>
        <w:t xml:space="preserve"> over 3</w:t>
      </w:r>
      <w:r w:rsidR="00FB7918">
        <w:rPr>
          <w:szCs w:val="22"/>
        </w:rPr>
        <w:t> </w:t>
      </w:r>
      <w:r w:rsidRPr="00EC1574">
        <w:rPr>
          <w:szCs w:val="22"/>
        </w:rPr>
        <w:t>years</w:t>
      </w:r>
    </w:p>
    <w:p w:rsidR="00816351" w:rsidRPr="00EC1574" w:rsidRDefault="00816351" w:rsidP="00950DD9">
      <w:pPr>
        <w:pStyle w:val="ListParagraph"/>
        <w:widowControl/>
        <w:numPr>
          <w:ilvl w:val="0"/>
          <w:numId w:val="14"/>
        </w:numPr>
        <w:ind w:left="993" w:hanging="284"/>
        <w:rPr>
          <w:szCs w:val="22"/>
        </w:rPr>
      </w:pPr>
      <w:r w:rsidRPr="00EC1574">
        <w:rPr>
          <w:szCs w:val="22"/>
        </w:rPr>
        <w:t>Approximately 3 fewer patients would have a new clinical vertebral fracture over 3</w:t>
      </w:r>
      <w:r>
        <w:rPr>
          <w:szCs w:val="22"/>
        </w:rPr>
        <w:t> </w:t>
      </w:r>
      <w:r w:rsidRPr="00EC1574">
        <w:rPr>
          <w:szCs w:val="22"/>
        </w:rPr>
        <w:t>years</w:t>
      </w:r>
      <w:r w:rsidRPr="00AF4FDA">
        <w:rPr>
          <w:szCs w:val="22"/>
        </w:rPr>
        <w:t xml:space="preserve"> (although the ESC noted that the statistical significance of this resu</w:t>
      </w:r>
      <w:r w:rsidR="00337E50">
        <w:rPr>
          <w:szCs w:val="22"/>
        </w:rPr>
        <w:t>lt was borderline)</w:t>
      </w:r>
    </w:p>
    <w:p w:rsidR="00EC1574" w:rsidRPr="00EC1574" w:rsidRDefault="00EC1574" w:rsidP="00950DD9">
      <w:pPr>
        <w:pStyle w:val="ListParagraph"/>
        <w:widowControl/>
        <w:numPr>
          <w:ilvl w:val="0"/>
          <w:numId w:val="14"/>
        </w:numPr>
        <w:ind w:left="993" w:hanging="284"/>
        <w:rPr>
          <w:szCs w:val="22"/>
        </w:rPr>
      </w:pPr>
      <w:r w:rsidRPr="00EC1574">
        <w:rPr>
          <w:szCs w:val="22"/>
        </w:rPr>
        <w:t>Approximately 2 fewer patients would have a new clinical non-vertebral fracture over 3 years</w:t>
      </w:r>
    </w:p>
    <w:p w:rsidR="00EC1574" w:rsidRPr="00EC1574" w:rsidRDefault="00EC1574" w:rsidP="00950DD9">
      <w:pPr>
        <w:pStyle w:val="ListParagraph"/>
        <w:widowControl/>
        <w:numPr>
          <w:ilvl w:val="0"/>
          <w:numId w:val="14"/>
        </w:numPr>
        <w:ind w:left="993" w:hanging="284"/>
        <w:rPr>
          <w:szCs w:val="22"/>
        </w:rPr>
      </w:pPr>
      <w:r w:rsidRPr="00EC1574">
        <w:rPr>
          <w:szCs w:val="22"/>
        </w:rPr>
        <w:t>There would be no difference in the number of patients with a new hip fracture over 3 years</w:t>
      </w:r>
    </w:p>
    <w:p w:rsidR="00EC1574" w:rsidRDefault="00EC1574" w:rsidP="00950DD9">
      <w:pPr>
        <w:pStyle w:val="ListParagraph"/>
        <w:widowControl/>
        <w:numPr>
          <w:ilvl w:val="0"/>
          <w:numId w:val="14"/>
        </w:numPr>
        <w:ind w:left="993" w:hanging="284"/>
        <w:rPr>
          <w:szCs w:val="22"/>
        </w:rPr>
      </w:pPr>
      <w:r w:rsidRPr="00EC1574">
        <w:rPr>
          <w:szCs w:val="22"/>
        </w:rPr>
        <w:t>Approximately 5 additional patients would experience a treatment-rela</w:t>
      </w:r>
      <w:r w:rsidR="0082768F">
        <w:rPr>
          <w:szCs w:val="22"/>
        </w:rPr>
        <w:t>ted adverse event over 3 years</w:t>
      </w:r>
    </w:p>
    <w:p w:rsidR="00EC1574" w:rsidRPr="00EC1574" w:rsidRDefault="00EC1574" w:rsidP="00950DD9">
      <w:pPr>
        <w:pStyle w:val="ListParagraph"/>
        <w:widowControl/>
        <w:ind w:left="1440"/>
        <w:rPr>
          <w:szCs w:val="22"/>
        </w:rPr>
      </w:pPr>
    </w:p>
    <w:p w:rsidR="00EC1574" w:rsidRDefault="00EC1574" w:rsidP="00950DD9">
      <w:pPr>
        <w:pStyle w:val="ListParagraph"/>
        <w:widowControl/>
        <w:numPr>
          <w:ilvl w:val="1"/>
          <w:numId w:val="5"/>
        </w:numPr>
        <w:rPr>
          <w:szCs w:val="22"/>
        </w:rPr>
      </w:pPr>
      <w:r w:rsidRPr="00EC1574">
        <w:rPr>
          <w:szCs w:val="22"/>
        </w:rPr>
        <w:t>No benefits and harms comparison was presented for strontium ranelate versus denosumab as clinical results indicate</w:t>
      </w:r>
      <w:r w:rsidR="000B4B14">
        <w:rPr>
          <w:szCs w:val="22"/>
        </w:rPr>
        <w:t>d</w:t>
      </w:r>
      <w:r w:rsidRPr="00EC1574">
        <w:rPr>
          <w:szCs w:val="22"/>
        </w:rPr>
        <w:t xml:space="preserve"> inferiority</w:t>
      </w:r>
      <w:r w:rsidR="006450B1">
        <w:rPr>
          <w:szCs w:val="22"/>
        </w:rPr>
        <w:t xml:space="preserve"> of strontium ranelate.</w:t>
      </w:r>
    </w:p>
    <w:p w:rsidR="00EC1574" w:rsidRDefault="00EC1574" w:rsidP="00950DD9">
      <w:pPr>
        <w:pStyle w:val="ListParagraph"/>
        <w:widowControl/>
        <w:rPr>
          <w:szCs w:val="22"/>
        </w:rPr>
      </w:pPr>
    </w:p>
    <w:p w:rsidR="00764176" w:rsidRDefault="00764176" w:rsidP="00950DD9">
      <w:pPr>
        <w:pStyle w:val="ListParagraph"/>
        <w:widowControl/>
        <w:ind w:left="709"/>
        <w:rPr>
          <w:i/>
          <w:szCs w:val="22"/>
        </w:rPr>
      </w:pPr>
      <w:r w:rsidRPr="00337E50">
        <w:rPr>
          <w:i/>
          <w:szCs w:val="22"/>
        </w:rPr>
        <w:t>For more detail on PBAC’s view, see section 7 “PBAC outcome”</w:t>
      </w:r>
    </w:p>
    <w:p w:rsidR="00764176" w:rsidRPr="00EC1574" w:rsidRDefault="00764176" w:rsidP="00950DD9">
      <w:pPr>
        <w:pStyle w:val="ListParagraph"/>
        <w:widowControl/>
        <w:rPr>
          <w:szCs w:val="22"/>
        </w:rPr>
      </w:pPr>
    </w:p>
    <w:p w:rsidR="00B60939" w:rsidRPr="002C2775" w:rsidRDefault="00B60939" w:rsidP="00950DD9">
      <w:pPr>
        <w:pStyle w:val="Heading2"/>
        <w:keepNext/>
        <w:widowControl/>
        <w:rPr>
          <w:i/>
        </w:rPr>
      </w:pPr>
      <w:bookmarkStart w:id="12" w:name="_Toc419206534"/>
      <w:r w:rsidRPr="002C2775">
        <w:rPr>
          <w:i/>
        </w:rPr>
        <w:t>Clinical claim</w:t>
      </w:r>
      <w:bookmarkEnd w:id="12"/>
    </w:p>
    <w:p w:rsidR="00B60939" w:rsidRPr="00882085" w:rsidRDefault="00B60939" w:rsidP="00950DD9">
      <w:pPr>
        <w:keepNext/>
        <w:widowControl/>
        <w:ind w:left="720" w:hanging="720"/>
        <w:rPr>
          <w:szCs w:val="22"/>
        </w:rPr>
      </w:pPr>
    </w:p>
    <w:p w:rsidR="006B3C84" w:rsidRPr="00764176" w:rsidRDefault="006B3C84" w:rsidP="00950DD9">
      <w:pPr>
        <w:pStyle w:val="ListParagraph"/>
        <w:widowControl/>
        <w:numPr>
          <w:ilvl w:val="1"/>
          <w:numId w:val="5"/>
        </w:numPr>
        <w:rPr>
          <w:szCs w:val="22"/>
        </w:rPr>
      </w:pPr>
      <w:r w:rsidRPr="00764176">
        <w:rPr>
          <w:szCs w:val="22"/>
        </w:rPr>
        <w:t>The submission described strontium ranelate as superior in terms of efficacy and inferior in terms of safety compared to placebo. This claim may be reasonable.</w:t>
      </w:r>
      <w:r w:rsidR="001448A6" w:rsidRPr="00764176">
        <w:rPr>
          <w:szCs w:val="22"/>
        </w:rPr>
        <w:t xml:space="preserve"> However, the ESC noted that strontium ranelate is associated with </w:t>
      </w:r>
      <w:r w:rsidR="00466291" w:rsidRPr="00764176">
        <w:rPr>
          <w:szCs w:val="22"/>
        </w:rPr>
        <w:t>relatively small</w:t>
      </w:r>
      <w:r w:rsidR="001448A6" w:rsidRPr="00764176">
        <w:rPr>
          <w:szCs w:val="22"/>
        </w:rPr>
        <w:t xml:space="preserve"> reductions in </w:t>
      </w:r>
      <w:r w:rsidR="00466291" w:rsidRPr="00764176">
        <w:rPr>
          <w:szCs w:val="22"/>
        </w:rPr>
        <w:t xml:space="preserve">morphometric and clinical vertebral and non-vertebral </w:t>
      </w:r>
      <w:r w:rsidR="001448A6" w:rsidRPr="00764176">
        <w:rPr>
          <w:szCs w:val="22"/>
        </w:rPr>
        <w:t>fractures and no reduction in hip fractures.</w:t>
      </w:r>
      <w:r w:rsidR="00953F49" w:rsidRPr="00764176">
        <w:rPr>
          <w:szCs w:val="22"/>
        </w:rPr>
        <w:t xml:space="preserve"> </w:t>
      </w:r>
      <w:r w:rsidR="00295211" w:rsidRPr="00764176">
        <w:rPr>
          <w:szCs w:val="22"/>
        </w:rPr>
        <w:t xml:space="preserve">Furthermore, the ESC considered that the submission did not demonstrate effectiveness in the </w:t>
      </w:r>
      <w:r w:rsidR="00466291" w:rsidRPr="00764176">
        <w:rPr>
          <w:szCs w:val="22"/>
        </w:rPr>
        <w:t xml:space="preserve">proposed </w:t>
      </w:r>
      <w:r w:rsidR="00295211" w:rsidRPr="00764176">
        <w:rPr>
          <w:szCs w:val="22"/>
        </w:rPr>
        <w:t>PBS population.</w:t>
      </w:r>
    </w:p>
    <w:p w:rsidR="00953F49" w:rsidRPr="00764176" w:rsidRDefault="00953F49" w:rsidP="00950DD9">
      <w:pPr>
        <w:pStyle w:val="ListParagraph"/>
        <w:widowControl/>
        <w:rPr>
          <w:szCs w:val="22"/>
        </w:rPr>
      </w:pPr>
    </w:p>
    <w:p w:rsidR="006B3C84" w:rsidRDefault="006B3C84" w:rsidP="00950DD9">
      <w:pPr>
        <w:pStyle w:val="ListParagraph"/>
        <w:widowControl/>
        <w:numPr>
          <w:ilvl w:val="1"/>
          <w:numId w:val="5"/>
        </w:numPr>
        <w:rPr>
          <w:szCs w:val="22"/>
        </w:rPr>
      </w:pPr>
      <w:r w:rsidRPr="00764176">
        <w:rPr>
          <w:szCs w:val="22"/>
        </w:rPr>
        <w:t xml:space="preserve">The submission described strontium ranelate as inferior in terms of efficacy and inferior in terms of safety compared </w:t>
      </w:r>
      <w:r w:rsidR="009A20AF">
        <w:rPr>
          <w:szCs w:val="22"/>
        </w:rPr>
        <w:t>with</w:t>
      </w:r>
      <w:r w:rsidRPr="00764176">
        <w:rPr>
          <w:szCs w:val="22"/>
        </w:rPr>
        <w:t xml:space="preserve"> denosumab. Th</w:t>
      </w:r>
      <w:r w:rsidR="001448A6" w:rsidRPr="00764176">
        <w:rPr>
          <w:szCs w:val="22"/>
        </w:rPr>
        <w:t>e</w:t>
      </w:r>
      <w:r w:rsidR="001F0BB5" w:rsidRPr="00764176">
        <w:rPr>
          <w:szCs w:val="22"/>
        </w:rPr>
        <w:t xml:space="preserve"> </w:t>
      </w:r>
      <w:r w:rsidR="001448A6" w:rsidRPr="00764176">
        <w:rPr>
          <w:szCs w:val="22"/>
        </w:rPr>
        <w:t>ESC considered this</w:t>
      </w:r>
      <w:r w:rsidRPr="00764176">
        <w:rPr>
          <w:szCs w:val="22"/>
        </w:rPr>
        <w:t xml:space="preserve"> claim </w:t>
      </w:r>
      <w:r w:rsidR="001448A6" w:rsidRPr="00764176">
        <w:rPr>
          <w:szCs w:val="22"/>
        </w:rPr>
        <w:t xml:space="preserve">was </w:t>
      </w:r>
      <w:r w:rsidRPr="00764176">
        <w:rPr>
          <w:szCs w:val="22"/>
        </w:rPr>
        <w:t>reasonable.</w:t>
      </w:r>
    </w:p>
    <w:p w:rsidR="00103E38" w:rsidRPr="00103E38" w:rsidRDefault="00103E38" w:rsidP="00950DD9">
      <w:pPr>
        <w:pStyle w:val="ListParagraph"/>
        <w:widowControl/>
        <w:rPr>
          <w:szCs w:val="22"/>
        </w:rPr>
      </w:pPr>
    </w:p>
    <w:p w:rsidR="00103E38" w:rsidRPr="00103E38" w:rsidRDefault="00103E38" w:rsidP="00950DD9">
      <w:pPr>
        <w:pStyle w:val="ListParagraph"/>
        <w:widowControl/>
        <w:numPr>
          <w:ilvl w:val="1"/>
          <w:numId w:val="5"/>
        </w:numPr>
        <w:jc w:val="left"/>
        <w:rPr>
          <w:bCs/>
          <w:szCs w:val="22"/>
        </w:rPr>
      </w:pPr>
      <w:r w:rsidRPr="00103E38">
        <w:rPr>
          <w:bCs/>
          <w:szCs w:val="22"/>
        </w:rPr>
        <w:t>The PBAC considered that the claim of superior comparative effectiveness</w:t>
      </w:r>
      <w:r w:rsidR="00337E50">
        <w:rPr>
          <w:bCs/>
          <w:szCs w:val="22"/>
        </w:rPr>
        <w:t xml:space="preserve"> </w:t>
      </w:r>
      <w:r w:rsidRPr="00103E38">
        <w:rPr>
          <w:bCs/>
          <w:szCs w:val="22"/>
        </w:rPr>
        <w:t>compar</w:t>
      </w:r>
      <w:r w:rsidR="009A20AF">
        <w:rPr>
          <w:bCs/>
          <w:szCs w:val="22"/>
        </w:rPr>
        <w:t>ed with placebo may be reasonable and that the claim of inferior comparative safety compared with placebo was reasonable.</w:t>
      </w:r>
    </w:p>
    <w:p w:rsidR="00103E38" w:rsidRPr="00103E38" w:rsidRDefault="00103E38" w:rsidP="00950DD9">
      <w:pPr>
        <w:widowControl/>
        <w:rPr>
          <w:szCs w:val="22"/>
        </w:rPr>
      </w:pPr>
    </w:p>
    <w:p w:rsidR="00103E38" w:rsidRPr="00103E38" w:rsidRDefault="00103E38" w:rsidP="00950DD9">
      <w:pPr>
        <w:pStyle w:val="ListParagraph"/>
        <w:widowControl/>
        <w:numPr>
          <w:ilvl w:val="1"/>
          <w:numId w:val="5"/>
        </w:numPr>
        <w:jc w:val="left"/>
        <w:rPr>
          <w:bCs/>
          <w:szCs w:val="22"/>
        </w:rPr>
      </w:pPr>
      <w:r w:rsidRPr="00103E38">
        <w:rPr>
          <w:bCs/>
          <w:szCs w:val="22"/>
        </w:rPr>
        <w:t>The PBAC considered that the claim of inferior comparative effectiveness</w:t>
      </w:r>
      <w:r w:rsidR="00337E50">
        <w:rPr>
          <w:bCs/>
          <w:szCs w:val="22"/>
        </w:rPr>
        <w:t xml:space="preserve"> and safety</w:t>
      </w:r>
      <w:r w:rsidRPr="00103E38">
        <w:rPr>
          <w:bCs/>
          <w:szCs w:val="22"/>
        </w:rPr>
        <w:t xml:space="preserve"> compared </w:t>
      </w:r>
      <w:r w:rsidR="009A20AF">
        <w:rPr>
          <w:bCs/>
          <w:szCs w:val="22"/>
        </w:rPr>
        <w:t>with</w:t>
      </w:r>
      <w:r w:rsidRPr="00103E38">
        <w:rPr>
          <w:bCs/>
          <w:szCs w:val="22"/>
        </w:rPr>
        <w:t xml:space="preserve"> denosumab was reasonable.</w:t>
      </w:r>
    </w:p>
    <w:p w:rsidR="00B60939" w:rsidRDefault="00B60939" w:rsidP="00950DD9">
      <w:pPr>
        <w:widowControl/>
        <w:rPr>
          <w:szCs w:val="22"/>
        </w:rPr>
      </w:pPr>
    </w:p>
    <w:p w:rsidR="00764176" w:rsidRDefault="00764176" w:rsidP="00950DD9">
      <w:pPr>
        <w:pStyle w:val="ListParagraph"/>
        <w:widowControl/>
        <w:ind w:left="709"/>
        <w:rPr>
          <w:i/>
          <w:szCs w:val="22"/>
        </w:rPr>
      </w:pPr>
      <w:r w:rsidRPr="00337E50">
        <w:rPr>
          <w:i/>
          <w:szCs w:val="22"/>
        </w:rPr>
        <w:t>For more detail on PBAC’s view, see section 7 “PBAC outcome”</w:t>
      </w:r>
    </w:p>
    <w:p w:rsidR="00764176" w:rsidRPr="00882085" w:rsidRDefault="00764176" w:rsidP="00950DD9">
      <w:pPr>
        <w:widowControl/>
        <w:rPr>
          <w:szCs w:val="22"/>
        </w:rPr>
      </w:pPr>
    </w:p>
    <w:p w:rsidR="00B60939" w:rsidRPr="002C2775" w:rsidRDefault="00B60939" w:rsidP="00950DD9">
      <w:pPr>
        <w:pStyle w:val="Heading2"/>
        <w:keepNext/>
        <w:widowControl/>
        <w:rPr>
          <w:i/>
        </w:rPr>
      </w:pPr>
      <w:bookmarkStart w:id="13" w:name="_Toc419206535"/>
      <w:r w:rsidRPr="002C2775">
        <w:rPr>
          <w:i/>
        </w:rPr>
        <w:t>Economic analysis</w:t>
      </w:r>
      <w:bookmarkEnd w:id="13"/>
    </w:p>
    <w:p w:rsidR="00B60939" w:rsidRPr="00882085" w:rsidRDefault="00B60939" w:rsidP="00950DD9">
      <w:pPr>
        <w:keepNext/>
        <w:widowControl/>
        <w:ind w:left="720" w:hanging="720"/>
        <w:rPr>
          <w:szCs w:val="22"/>
        </w:rPr>
      </w:pPr>
    </w:p>
    <w:p w:rsidR="00AB095A" w:rsidRPr="00764176" w:rsidRDefault="00AB095A" w:rsidP="00950DD9">
      <w:pPr>
        <w:pStyle w:val="ListParagraph"/>
        <w:widowControl/>
        <w:numPr>
          <w:ilvl w:val="1"/>
          <w:numId w:val="5"/>
        </w:numPr>
        <w:rPr>
          <w:szCs w:val="22"/>
        </w:rPr>
      </w:pPr>
      <w:r w:rsidRPr="00764176">
        <w:rPr>
          <w:szCs w:val="22"/>
        </w:rPr>
        <w:t>The submission presented a modelled economic analysis assessing the cost</w:t>
      </w:r>
      <w:r w:rsidR="00FB7918" w:rsidRPr="00764176">
        <w:rPr>
          <w:szCs w:val="22"/>
        </w:rPr>
        <w:noBreakHyphen/>
      </w:r>
      <w:r w:rsidRPr="00764176">
        <w:rPr>
          <w:szCs w:val="22"/>
        </w:rPr>
        <w:t xml:space="preserve">effectiveness of strontium versus best supportive care for patients with severe established osteoporosis at high risk of fracture who are unable to use other osteoporosis medications (i.e. last-line treatment). </w:t>
      </w:r>
      <w:r w:rsidR="00A26B01" w:rsidRPr="00764176">
        <w:rPr>
          <w:szCs w:val="22"/>
        </w:rPr>
        <w:t>The PSCR arg</w:t>
      </w:r>
      <w:r w:rsidR="004216E9" w:rsidRPr="00764176">
        <w:rPr>
          <w:szCs w:val="22"/>
        </w:rPr>
        <w:t>ued that the economic analysis wa</w:t>
      </w:r>
      <w:r w:rsidR="00A26B01" w:rsidRPr="00764176">
        <w:rPr>
          <w:szCs w:val="22"/>
        </w:rPr>
        <w:t>s clearly relevant for this subgroup of patients.</w:t>
      </w:r>
    </w:p>
    <w:p w:rsidR="00AB095A" w:rsidRPr="00764176" w:rsidRDefault="00AB095A" w:rsidP="00950DD9">
      <w:pPr>
        <w:pStyle w:val="ListParagraph"/>
        <w:widowControl/>
        <w:rPr>
          <w:szCs w:val="22"/>
        </w:rPr>
      </w:pPr>
    </w:p>
    <w:p w:rsidR="00A26B01" w:rsidRPr="00764176" w:rsidRDefault="00B250CB" w:rsidP="00950DD9">
      <w:pPr>
        <w:pStyle w:val="ListParagraph"/>
        <w:widowControl/>
        <w:numPr>
          <w:ilvl w:val="1"/>
          <w:numId w:val="5"/>
        </w:numPr>
        <w:rPr>
          <w:szCs w:val="22"/>
        </w:rPr>
      </w:pPr>
      <w:r w:rsidRPr="00764176">
        <w:rPr>
          <w:szCs w:val="22"/>
        </w:rPr>
        <w:t>No economic analysis was</w:t>
      </w:r>
      <w:r w:rsidR="002A5E40" w:rsidRPr="00764176">
        <w:rPr>
          <w:szCs w:val="22"/>
        </w:rPr>
        <w:t xml:space="preserve"> presented for patients using strontium ranelate as a ‘second-line’ treatment (i.e. patients with other treatment</w:t>
      </w:r>
      <w:r w:rsidRPr="00764176">
        <w:rPr>
          <w:szCs w:val="22"/>
        </w:rPr>
        <w:t xml:space="preserve"> options). The submission claimed</w:t>
      </w:r>
      <w:r w:rsidR="002A5E40" w:rsidRPr="00764176">
        <w:rPr>
          <w:szCs w:val="22"/>
        </w:rPr>
        <w:t xml:space="preserve"> that strontium ranelate is inferior to denosumab and patients </w:t>
      </w:r>
      <w:r w:rsidR="006450B1" w:rsidRPr="00764176">
        <w:rPr>
          <w:szCs w:val="22"/>
        </w:rPr>
        <w:t>w</w:t>
      </w:r>
      <w:r w:rsidR="002A5E40" w:rsidRPr="00764176">
        <w:rPr>
          <w:szCs w:val="22"/>
        </w:rPr>
        <w:t>h</w:t>
      </w:r>
      <w:r w:rsidR="006450B1" w:rsidRPr="00764176">
        <w:rPr>
          <w:szCs w:val="22"/>
        </w:rPr>
        <w:t>o</w:t>
      </w:r>
      <w:r w:rsidR="002A5E40" w:rsidRPr="00764176">
        <w:rPr>
          <w:szCs w:val="22"/>
        </w:rPr>
        <w:t xml:space="preserve"> can use denosumab should use denosumab in preference to strontium ranelate.</w:t>
      </w:r>
      <w:r w:rsidR="00A26B01" w:rsidRPr="00764176">
        <w:rPr>
          <w:szCs w:val="22"/>
        </w:rPr>
        <w:t xml:space="preserve"> </w:t>
      </w:r>
      <w:r w:rsidR="00E22864">
        <w:t>The PSCR</w:t>
      </w:r>
      <w:r w:rsidR="00A26B01" w:rsidRPr="00764176">
        <w:t xml:space="preserve"> agreed that the economic analysis </w:t>
      </w:r>
      <w:r w:rsidR="004216E9" w:rsidRPr="00764176">
        <w:t>wa</w:t>
      </w:r>
      <w:r w:rsidR="00A26B01" w:rsidRPr="00764176">
        <w:t>s probably not relevant to the sub-group of patients currently receiving strontium who could potentially switch to another therapy. In this regard, the ESC noted</w:t>
      </w:r>
      <w:r w:rsidR="004216E9" w:rsidRPr="00764176">
        <w:t xml:space="preserve"> that this subgroup wa</w:t>
      </w:r>
      <w:r w:rsidR="003907D3" w:rsidRPr="00764176">
        <w:t>s potentially a large proportion of the patients currently being treated with strontium.</w:t>
      </w:r>
      <w:r w:rsidR="00A26B01" w:rsidRPr="00764176">
        <w:t xml:space="preserve"> The PSCR argued that constructing an economic evaluation f</w:t>
      </w:r>
      <w:r w:rsidR="003A114D" w:rsidRPr="00764176">
        <w:t>or this sub</w:t>
      </w:r>
      <w:r w:rsidR="004707D8" w:rsidRPr="00764176">
        <w:t>group of patients would be</w:t>
      </w:r>
      <w:r w:rsidR="00A26B01" w:rsidRPr="00764176">
        <w:t xml:space="preserve"> inherently challenging given the available clinical data.</w:t>
      </w:r>
    </w:p>
    <w:p w:rsidR="002A5E40" w:rsidRPr="00AB095A" w:rsidRDefault="002A5E40" w:rsidP="00950DD9">
      <w:pPr>
        <w:pStyle w:val="ListParagraph"/>
        <w:widowControl/>
        <w:rPr>
          <w:szCs w:val="22"/>
        </w:rPr>
      </w:pPr>
    </w:p>
    <w:p w:rsidR="00AB095A" w:rsidRPr="001661FB" w:rsidRDefault="00337E50" w:rsidP="00950DD9">
      <w:pPr>
        <w:keepNext/>
        <w:widowControl/>
        <w:ind w:firstLine="720"/>
        <w:rPr>
          <w:rStyle w:val="CommentReference"/>
        </w:rPr>
      </w:pPr>
      <w:r>
        <w:rPr>
          <w:rStyle w:val="CommentReference"/>
        </w:rPr>
        <w:t>Table 10</w:t>
      </w:r>
      <w:r w:rsidR="00AB095A" w:rsidRPr="001661FB">
        <w:rPr>
          <w:rStyle w:val="CommentReference"/>
        </w:rPr>
        <w:t>: Summary of model structure and rationale</w:t>
      </w:r>
    </w:p>
    <w:tbl>
      <w:tblPr>
        <w:tblW w:w="8411"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59"/>
        <w:gridCol w:w="6852"/>
      </w:tblGrid>
      <w:tr w:rsidR="00AB095A" w:rsidRPr="004E2ADC" w:rsidTr="00210815">
        <w:tc>
          <w:tcPr>
            <w:tcW w:w="1559" w:type="dxa"/>
            <w:shd w:val="clear" w:color="auto" w:fill="auto"/>
            <w:vAlign w:val="center"/>
          </w:tcPr>
          <w:p w:rsidR="00AB095A" w:rsidRPr="004E2ADC" w:rsidRDefault="00AB095A" w:rsidP="00950DD9">
            <w:pPr>
              <w:keepNext/>
              <w:widowControl/>
              <w:jc w:val="left"/>
              <w:rPr>
                <w:rFonts w:ascii="Arial Narrow" w:hAnsi="Arial Narrow"/>
                <w:sz w:val="20"/>
              </w:rPr>
            </w:pPr>
            <w:r w:rsidRPr="004E2ADC">
              <w:rPr>
                <w:rFonts w:ascii="Arial Narrow" w:hAnsi="Arial Narrow"/>
                <w:sz w:val="20"/>
              </w:rPr>
              <w:t>Time horizon</w:t>
            </w:r>
          </w:p>
        </w:tc>
        <w:tc>
          <w:tcPr>
            <w:tcW w:w="6852" w:type="dxa"/>
            <w:shd w:val="clear" w:color="auto" w:fill="auto"/>
          </w:tcPr>
          <w:p w:rsidR="00AB095A" w:rsidRPr="00081224" w:rsidRDefault="00AB095A" w:rsidP="00950DD9">
            <w:pPr>
              <w:keepNext/>
              <w:widowControl/>
              <w:rPr>
                <w:rFonts w:ascii="Arial Narrow" w:hAnsi="Arial Narrow"/>
                <w:sz w:val="20"/>
              </w:rPr>
            </w:pPr>
            <w:r w:rsidRPr="00081224">
              <w:rPr>
                <w:rFonts w:ascii="Arial Narrow" w:hAnsi="Arial Narrow"/>
                <w:sz w:val="20"/>
              </w:rPr>
              <w:t>10 years</w:t>
            </w:r>
          </w:p>
        </w:tc>
      </w:tr>
      <w:tr w:rsidR="00AB095A" w:rsidRPr="004E2ADC" w:rsidTr="00210815">
        <w:tc>
          <w:tcPr>
            <w:tcW w:w="1559" w:type="dxa"/>
            <w:shd w:val="clear" w:color="auto" w:fill="auto"/>
            <w:vAlign w:val="center"/>
          </w:tcPr>
          <w:p w:rsidR="00AB095A" w:rsidRPr="004E2ADC" w:rsidRDefault="00AB095A" w:rsidP="00950DD9">
            <w:pPr>
              <w:keepNext/>
              <w:widowControl/>
              <w:jc w:val="left"/>
              <w:rPr>
                <w:rFonts w:ascii="Arial Narrow" w:hAnsi="Arial Narrow"/>
                <w:sz w:val="20"/>
              </w:rPr>
            </w:pPr>
            <w:r w:rsidRPr="004E2ADC">
              <w:rPr>
                <w:rFonts w:ascii="Arial Narrow" w:hAnsi="Arial Narrow"/>
                <w:sz w:val="20"/>
              </w:rPr>
              <w:t>Outcomes</w:t>
            </w:r>
          </w:p>
        </w:tc>
        <w:tc>
          <w:tcPr>
            <w:tcW w:w="6852" w:type="dxa"/>
            <w:shd w:val="clear" w:color="auto" w:fill="auto"/>
          </w:tcPr>
          <w:p w:rsidR="00AB095A" w:rsidRPr="00081224" w:rsidRDefault="00AB095A" w:rsidP="00950DD9">
            <w:pPr>
              <w:keepNext/>
              <w:widowControl/>
              <w:rPr>
                <w:rFonts w:ascii="Arial Narrow" w:hAnsi="Arial Narrow"/>
                <w:sz w:val="20"/>
              </w:rPr>
            </w:pPr>
            <w:r w:rsidRPr="00081224">
              <w:rPr>
                <w:rFonts w:ascii="Arial Narrow" w:hAnsi="Arial Narrow"/>
                <w:sz w:val="20"/>
              </w:rPr>
              <w:t>Quality-adjusted life years, fractures, life years</w:t>
            </w:r>
          </w:p>
        </w:tc>
      </w:tr>
      <w:tr w:rsidR="00AB095A" w:rsidRPr="004E2ADC" w:rsidTr="00210815">
        <w:tc>
          <w:tcPr>
            <w:tcW w:w="1559" w:type="dxa"/>
            <w:shd w:val="clear" w:color="auto" w:fill="auto"/>
            <w:vAlign w:val="center"/>
          </w:tcPr>
          <w:p w:rsidR="00AB095A" w:rsidRPr="004E2ADC" w:rsidRDefault="00AB095A" w:rsidP="00950DD9">
            <w:pPr>
              <w:keepNext/>
              <w:widowControl/>
              <w:jc w:val="left"/>
              <w:rPr>
                <w:rFonts w:ascii="Arial Narrow" w:hAnsi="Arial Narrow"/>
                <w:sz w:val="20"/>
              </w:rPr>
            </w:pPr>
            <w:r w:rsidRPr="004E2ADC">
              <w:rPr>
                <w:rFonts w:ascii="Arial Narrow" w:hAnsi="Arial Narrow"/>
                <w:sz w:val="20"/>
              </w:rPr>
              <w:t>Methods used to generate results</w:t>
            </w:r>
          </w:p>
        </w:tc>
        <w:tc>
          <w:tcPr>
            <w:tcW w:w="6852" w:type="dxa"/>
            <w:shd w:val="clear" w:color="auto" w:fill="auto"/>
          </w:tcPr>
          <w:p w:rsidR="00AB095A" w:rsidRPr="00081224" w:rsidRDefault="00AB095A" w:rsidP="00950DD9">
            <w:pPr>
              <w:keepNext/>
              <w:widowControl/>
              <w:rPr>
                <w:rFonts w:ascii="Arial Narrow" w:hAnsi="Arial Narrow"/>
                <w:sz w:val="20"/>
              </w:rPr>
            </w:pPr>
            <w:r w:rsidRPr="00081224">
              <w:rPr>
                <w:rFonts w:ascii="Arial Narrow" w:hAnsi="Arial Narrow"/>
                <w:sz w:val="20"/>
              </w:rPr>
              <w:t>Markov cohort expected value analysis</w:t>
            </w:r>
          </w:p>
        </w:tc>
      </w:tr>
      <w:tr w:rsidR="002A5E40" w:rsidRPr="004E2ADC" w:rsidTr="00210815">
        <w:tc>
          <w:tcPr>
            <w:tcW w:w="1559" w:type="dxa"/>
            <w:shd w:val="clear" w:color="auto" w:fill="auto"/>
            <w:vAlign w:val="center"/>
          </w:tcPr>
          <w:p w:rsidR="002A5E40" w:rsidRPr="004E2ADC" w:rsidRDefault="002A5E40" w:rsidP="00950DD9">
            <w:pPr>
              <w:keepNext/>
              <w:widowControl/>
              <w:jc w:val="left"/>
              <w:rPr>
                <w:rFonts w:ascii="Arial Narrow" w:hAnsi="Arial Narrow"/>
                <w:sz w:val="20"/>
              </w:rPr>
            </w:pPr>
            <w:r>
              <w:rPr>
                <w:rFonts w:ascii="Arial Narrow" w:hAnsi="Arial Narrow"/>
                <w:sz w:val="20"/>
              </w:rPr>
              <w:t>Health states</w:t>
            </w:r>
          </w:p>
        </w:tc>
        <w:tc>
          <w:tcPr>
            <w:tcW w:w="6852" w:type="dxa"/>
            <w:shd w:val="clear" w:color="auto" w:fill="auto"/>
          </w:tcPr>
          <w:p w:rsidR="002A5E40" w:rsidRPr="00081224" w:rsidRDefault="002A5E40" w:rsidP="00950DD9">
            <w:pPr>
              <w:keepNext/>
              <w:widowControl/>
              <w:rPr>
                <w:rFonts w:ascii="Arial Narrow" w:hAnsi="Arial Narrow"/>
                <w:sz w:val="20"/>
              </w:rPr>
            </w:pPr>
            <w:r>
              <w:rPr>
                <w:rFonts w:ascii="Arial Narrow" w:hAnsi="Arial Narrow"/>
                <w:sz w:val="20"/>
              </w:rPr>
              <w:t>P</w:t>
            </w:r>
            <w:r w:rsidRPr="002A5E40">
              <w:rPr>
                <w:rFonts w:ascii="Arial Narrow" w:hAnsi="Arial Narrow"/>
                <w:sz w:val="20"/>
              </w:rPr>
              <w:t>rior fracture</w:t>
            </w:r>
            <w:r>
              <w:rPr>
                <w:rFonts w:ascii="Arial Narrow" w:hAnsi="Arial Narrow"/>
                <w:sz w:val="20"/>
              </w:rPr>
              <w:t>, hip fracture (5-year tunnel state), vertebral fracture (5-year tunnel state), other non-vertebral fracture (5-year tunnel state), myocardial infarction (1-cycle transition state), venous thromboembolism (1-cycle transition state), death</w:t>
            </w:r>
          </w:p>
        </w:tc>
      </w:tr>
      <w:tr w:rsidR="00AB095A" w:rsidRPr="004E2ADC" w:rsidTr="00210815">
        <w:tc>
          <w:tcPr>
            <w:tcW w:w="1559" w:type="dxa"/>
            <w:shd w:val="clear" w:color="auto" w:fill="auto"/>
            <w:vAlign w:val="center"/>
          </w:tcPr>
          <w:p w:rsidR="00AB095A" w:rsidRPr="004E2ADC" w:rsidRDefault="00AB095A" w:rsidP="00950DD9">
            <w:pPr>
              <w:keepNext/>
              <w:widowControl/>
              <w:jc w:val="left"/>
              <w:rPr>
                <w:rFonts w:ascii="Arial Narrow" w:hAnsi="Arial Narrow"/>
                <w:sz w:val="20"/>
              </w:rPr>
            </w:pPr>
            <w:r w:rsidRPr="004E2ADC">
              <w:rPr>
                <w:rFonts w:ascii="Arial Narrow" w:hAnsi="Arial Narrow"/>
                <w:sz w:val="20"/>
              </w:rPr>
              <w:t>Cycle length</w:t>
            </w:r>
          </w:p>
        </w:tc>
        <w:tc>
          <w:tcPr>
            <w:tcW w:w="6852" w:type="dxa"/>
            <w:shd w:val="clear" w:color="auto" w:fill="auto"/>
          </w:tcPr>
          <w:p w:rsidR="00AB095A" w:rsidRPr="00081224" w:rsidRDefault="00AB095A" w:rsidP="00950DD9">
            <w:pPr>
              <w:keepNext/>
              <w:widowControl/>
              <w:rPr>
                <w:rFonts w:ascii="Arial Narrow" w:hAnsi="Arial Narrow"/>
                <w:sz w:val="20"/>
              </w:rPr>
            </w:pPr>
            <w:r w:rsidRPr="00081224">
              <w:rPr>
                <w:rFonts w:ascii="Arial Narrow" w:hAnsi="Arial Narrow"/>
                <w:sz w:val="20"/>
              </w:rPr>
              <w:t>6 months</w:t>
            </w:r>
            <w:r>
              <w:rPr>
                <w:rFonts w:ascii="Arial Narrow" w:hAnsi="Arial Narrow"/>
                <w:sz w:val="20"/>
              </w:rPr>
              <w:t>; half-cycle corrections applied</w:t>
            </w:r>
          </w:p>
        </w:tc>
      </w:tr>
      <w:tr w:rsidR="00AB095A" w:rsidRPr="004E2ADC" w:rsidTr="00210815">
        <w:tc>
          <w:tcPr>
            <w:tcW w:w="1559" w:type="dxa"/>
            <w:shd w:val="clear" w:color="auto" w:fill="auto"/>
            <w:vAlign w:val="center"/>
          </w:tcPr>
          <w:p w:rsidR="00AB095A" w:rsidRPr="004E2ADC" w:rsidRDefault="00AB095A" w:rsidP="00950DD9">
            <w:pPr>
              <w:keepNext/>
              <w:widowControl/>
              <w:jc w:val="left"/>
              <w:rPr>
                <w:rFonts w:ascii="Arial Narrow" w:hAnsi="Arial Narrow"/>
                <w:sz w:val="20"/>
              </w:rPr>
            </w:pPr>
            <w:r w:rsidRPr="004E2ADC">
              <w:rPr>
                <w:rFonts w:ascii="Arial Narrow" w:hAnsi="Arial Narrow"/>
                <w:sz w:val="20"/>
              </w:rPr>
              <w:t>Transition probabilities</w:t>
            </w:r>
          </w:p>
        </w:tc>
        <w:tc>
          <w:tcPr>
            <w:tcW w:w="6852" w:type="dxa"/>
            <w:shd w:val="clear" w:color="auto" w:fill="auto"/>
          </w:tcPr>
          <w:p w:rsidR="00AB095A" w:rsidRPr="00081224" w:rsidRDefault="00AB095A" w:rsidP="00950DD9">
            <w:pPr>
              <w:keepNext/>
              <w:widowControl/>
              <w:rPr>
                <w:rFonts w:ascii="Arial Narrow" w:hAnsi="Arial Narrow"/>
                <w:sz w:val="20"/>
              </w:rPr>
            </w:pPr>
            <w:r w:rsidRPr="00BB49EA">
              <w:rPr>
                <w:rFonts w:ascii="Arial Narrow" w:hAnsi="Arial Narrow"/>
                <w:sz w:val="20"/>
              </w:rPr>
              <w:t xml:space="preserve">Baseline fracture risks and </w:t>
            </w:r>
            <w:r>
              <w:rPr>
                <w:rFonts w:ascii="Arial Narrow" w:hAnsi="Arial Narrow"/>
                <w:sz w:val="20"/>
              </w:rPr>
              <w:t xml:space="preserve">standardised </w:t>
            </w:r>
            <w:r w:rsidRPr="00BB49EA">
              <w:rPr>
                <w:rFonts w:ascii="Arial Narrow" w:hAnsi="Arial Narrow"/>
                <w:sz w:val="20"/>
              </w:rPr>
              <w:t>mortality rates from the Dubbo Osteoporosis study</w:t>
            </w:r>
            <w:r w:rsidR="00086B51">
              <w:rPr>
                <w:rFonts w:ascii="Arial Narrow" w:hAnsi="Arial Narrow"/>
                <w:sz w:val="20"/>
              </w:rPr>
              <w:t xml:space="preserve">. Fractures risk </w:t>
            </w:r>
            <w:r w:rsidR="00086B51" w:rsidRPr="00086B51">
              <w:rPr>
                <w:rFonts w:ascii="Arial Narrow" w:hAnsi="Arial Narrow"/>
                <w:sz w:val="20"/>
              </w:rPr>
              <w:t xml:space="preserve">adjusted for treatment </w:t>
            </w:r>
            <w:r w:rsidR="00860926">
              <w:rPr>
                <w:rFonts w:ascii="Arial Narrow" w:hAnsi="Arial Narrow"/>
                <w:sz w:val="20"/>
              </w:rPr>
              <w:t>efficacy based on</w:t>
            </w:r>
            <w:r w:rsidR="00086B51" w:rsidRPr="00086B51">
              <w:rPr>
                <w:rFonts w:ascii="Arial Narrow" w:hAnsi="Arial Narrow"/>
                <w:sz w:val="20"/>
              </w:rPr>
              <w:t xml:space="preserve"> </w:t>
            </w:r>
            <w:r w:rsidR="00086B51">
              <w:rPr>
                <w:rFonts w:ascii="Arial Narrow" w:hAnsi="Arial Narrow"/>
                <w:sz w:val="20"/>
              </w:rPr>
              <w:t xml:space="preserve">subgroup </w:t>
            </w:r>
            <w:r w:rsidR="00086B51" w:rsidRPr="00086B51">
              <w:rPr>
                <w:rFonts w:ascii="Arial Narrow" w:hAnsi="Arial Narrow"/>
                <w:sz w:val="20"/>
              </w:rPr>
              <w:t>results</w:t>
            </w:r>
            <w:r w:rsidR="00610194">
              <w:rPr>
                <w:rFonts w:ascii="Arial Narrow" w:hAnsi="Arial Narrow"/>
                <w:sz w:val="20"/>
              </w:rPr>
              <w:t>. Adverse event risks based on subgroup results</w:t>
            </w:r>
            <w:r w:rsidR="002A2880">
              <w:rPr>
                <w:rFonts w:ascii="Arial Narrow" w:hAnsi="Arial Narrow"/>
                <w:sz w:val="20"/>
              </w:rPr>
              <w:t>.</w:t>
            </w:r>
          </w:p>
        </w:tc>
      </w:tr>
      <w:tr w:rsidR="00AB095A" w:rsidRPr="004E2ADC" w:rsidTr="00210815">
        <w:tc>
          <w:tcPr>
            <w:tcW w:w="1559" w:type="dxa"/>
            <w:shd w:val="clear" w:color="auto" w:fill="auto"/>
            <w:vAlign w:val="center"/>
          </w:tcPr>
          <w:p w:rsidR="00AB095A" w:rsidRPr="004E2ADC" w:rsidRDefault="00AB095A" w:rsidP="00950DD9">
            <w:pPr>
              <w:keepNext/>
              <w:widowControl/>
              <w:jc w:val="left"/>
              <w:rPr>
                <w:rFonts w:ascii="Arial Narrow" w:hAnsi="Arial Narrow"/>
                <w:sz w:val="20"/>
              </w:rPr>
            </w:pPr>
            <w:r w:rsidRPr="004E2ADC">
              <w:rPr>
                <w:rFonts w:ascii="Arial Narrow" w:hAnsi="Arial Narrow"/>
                <w:sz w:val="20"/>
              </w:rPr>
              <w:t>Discount rate</w:t>
            </w:r>
          </w:p>
        </w:tc>
        <w:tc>
          <w:tcPr>
            <w:tcW w:w="6852" w:type="dxa"/>
            <w:shd w:val="clear" w:color="auto" w:fill="auto"/>
          </w:tcPr>
          <w:p w:rsidR="00AB095A" w:rsidRPr="00081224" w:rsidRDefault="00AB095A" w:rsidP="00950DD9">
            <w:pPr>
              <w:keepNext/>
              <w:widowControl/>
              <w:rPr>
                <w:rFonts w:ascii="Arial Narrow" w:hAnsi="Arial Narrow"/>
                <w:sz w:val="20"/>
              </w:rPr>
            </w:pPr>
            <w:r w:rsidRPr="00081224">
              <w:rPr>
                <w:rFonts w:ascii="Arial Narrow" w:hAnsi="Arial Narrow"/>
                <w:sz w:val="20"/>
              </w:rPr>
              <w:t>5% for costs and outcomes</w:t>
            </w:r>
          </w:p>
        </w:tc>
      </w:tr>
      <w:tr w:rsidR="00AB095A" w:rsidRPr="004E2ADC" w:rsidTr="00210815">
        <w:tc>
          <w:tcPr>
            <w:tcW w:w="1559" w:type="dxa"/>
            <w:shd w:val="clear" w:color="auto" w:fill="auto"/>
            <w:vAlign w:val="center"/>
          </w:tcPr>
          <w:p w:rsidR="00AB095A" w:rsidRPr="004E2ADC" w:rsidRDefault="00AB095A" w:rsidP="00950DD9">
            <w:pPr>
              <w:keepNext/>
              <w:widowControl/>
              <w:jc w:val="left"/>
              <w:rPr>
                <w:rFonts w:ascii="Arial Narrow" w:hAnsi="Arial Narrow"/>
                <w:sz w:val="20"/>
              </w:rPr>
            </w:pPr>
            <w:r w:rsidRPr="004E2ADC">
              <w:rPr>
                <w:rFonts w:ascii="Arial Narrow" w:hAnsi="Arial Narrow"/>
                <w:sz w:val="20"/>
              </w:rPr>
              <w:t>Software package</w:t>
            </w:r>
          </w:p>
        </w:tc>
        <w:tc>
          <w:tcPr>
            <w:tcW w:w="6852" w:type="dxa"/>
            <w:shd w:val="clear" w:color="auto" w:fill="auto"/>
          </w:tcPr>
          <w:p w:rsidR="00AB095A" w:rsidRPr="00081224" w:rsidRDefault="00AB095A" w:rsidP="00950DD9">
            <w:pPr>
              <w:keepNext/>
              <w:widowControl/>
              <w:rPr>
                <w:rFonts w:ascii="Arial Narrow" w:hAnsi="Arial Narrow"/>
                <w:sz w:val="20"/>
              </w:rPr>
            </w:pPr>
            <w:r w:rsidRPr="00081224">
              <w:rPr>
                <w:rFonts w:ascii="Arial Narrow" w:hAnsi="Arial Narrow"/>
                <w:sz w:val="20"/>
              </w:rPr>
              <w:t>TreeAge Pro 2014</w:t>
            </w:r>
          </w:p>
        </w:tc>
      </w:tr>
    </w:tbl>
    <w:p w:rsidR="002A5E40" w:rsidRDefault="00AB095A" w:rsidP="00950DD9">
      <w:pPr>
        <w:pStyle w:val="TableFooter"/>
        <w:widowControl/>
        <w:ind w:firstLine="720"/>
      </w:pPr>
      <w:r w:rsidRPr="00D13A3E">
        <w:t>Source: constructed during the evaluation</w:t>
      </w:r>
    </w:p>
    <w:p w:rsidR="0000185D" w:rsidRDefault="0000185D" w:rsidP="00950DD9">
      <w:pPr>
        <w:pStyle w:val="TableFooter"/>
        <w:widowControl/>
        <w:ind w:firstLine="720"/>
      </w:pPr>
    </w:p>
    <w:p w:rsidR="00290C79" w:rsidRPr="00764176" w:rsidRDefault="00F01716" w:rsidP="00950DD9">
      <w:pPr>
        <w:pStyle w:val="ListParagraph"/>
        <w:widowControl/>
        <w:numPr>
          <w:ilvl w:val="1"/>
          <w:numId w:val="5"/>
        </w:numPr>
      </w:pPr>
      <w:r w:rsidRPr="00764176">
        <w:t>During the evaluation three</w:t>
      </w:r>
      <w:r w:rsidR="00290C79" w:rsidRPr="00764176">
        <w:t xml:space="preserve"> errors were identified in the TreeAge model relating to patient age</w:t>
      </w:r>
      <w:r w:rsidRPr="00764176">
        <w:t>, serious adverse event disutilities</w:t>
      </w:r>
      <w:r w:rsidR="00290C79" w:rsidRPr="00764176">
        <w:t xml:space="preserve"> and chronic fracture costs. Estimates </w:t>
      </w:r>
      <w:r w:rsidR="00DC3CD4" w:rsidRPr="00764176">
        <w:t xml:space="preserve">calculated during the evaluation </w:t>
      </w:r>
      <w:r w:rsidR="00290C79" w:rsidRPr="00764176">
        <w:t>were corrected for these errors</w:t>
      </w:r>
      <w:r w:rsidR="003A114D" w:rsidRPr="00764176">
        <w:t xml:space="preserve"> (see Table 10)</w:t>
      </w:r>
      <w:r w:rsidR="00290C79" w:rsidRPr="00764176">
        <w:t>. The errors had a substantial impact on the economic model.</w:t>
      </w:r>
      <w:r w:rsidR="00A26B01" w:rsidRPr="00764176">
        <w:t xml:space="preserve"> The PSCR</w:t>
      </w:r>
      <w:r w:rsidR="00DC3CD4" w:rsidRPr="00764176">
        <w:t xml:space="preserve"> acknowledged these errors and agreed with the corrections made during the evaluation.</w:t>
      </w:r>
    </w:p>
    <w:p w:rsidR="00275C5A" w:rsidRPr="00764176" w:rsidRDefault="00275C5A" w:rsidP="00950DD9">
      <w:pPr>
        <w:widowControl/>
        <w:rPr>
          <w:szCs w:val="22"/>
        </w:rPr>
      </w:pPr>
    </w:p>
    <w:p w:rsidR="006D2512" w:rsidRPr="00764176" w:rsidRDefault="00B772F6" w:rsidP="00950DD9">
      <w:pPr>
        <w:pStyle w:val="ListParagraph"/>
        <w:widowControl/>
        <w:numPr>
          <w:ilvl w:val="1"/>
          <w:numId w:val="5"/>
        </w:numPr>
        <w:rPr>
          <w:szCs w:val="22"/>
        </w:rPr>
      </w:pPr>
      <w:r w:rsidRPr="00764176">
        <w:t>T</w:t>
      </w:r>
      <w:r w:rsidR="00D110BD" w:rsidRPr="00764176">
        <w:t xml:space="preserve">he key drivers of the model </w:t>
      </w:r>
      <w:r w:rsidR="00775C00" w:rsidRPr="00764176">
        <w:t>were the treatment efficacy estimates and the assumption of a fixed recovery period of five years for all fractures (</w:t>
      </w:r>
      <w:r w:rsidR="00F60F05" w:rsidRPr="00764176">
        <w:t xml:space="preserve">which </w:t>
      </w:r>
      <w:r w:rsidR="008A2650" w:rsidRPr="00764176">
        <w:t>appear</w:t>
      </w:r>
      <w:r w:rsidR="00F60F05" w:rsidRPr="00764176">
        <w:t>ed</w:t>
      </w:r>
      <w:r w:rsidR="008A2650" w:rsidRPr="00764176">
        <w:t xml:space="preserve"> excessive for many osteoporotic fractures and </w:t>
      </w:r>
      <w:r w:rsidR="006D2512" w:rsidRPr="00764176">
        <w:t xml:space="preserve">strongly </w:t>
      </w:r>
      <w:r w:rsidR="00F01716" w:rsidRPr="00764176">
        <w:t>favoured</w:t>
      </w:r>
      <w:r w:rsidR="00775C00" w:rsidRPr="00764176">
        <w:t xml:space="preserve"> strontium). </w:t>
      </w:r>
      <w:r w:rsidR="001D4508" w:rsidRPr="00764176">
        <w:t xml:space="preserve">The PSCR acknowledged that five years may not </w:t>
      </w:r>
      <w:r w:rsidR="005D43EA" w:rsidRPr="00764176">
        <w:t xml:space="preserve">have </w:t>
      </w:r>
      <w:r w:rsidR="001D4508" w:rsidRPr="00764176">
        <w:t>be</w:t>
      </w:r>
      <w:r w:rsidR="005D43EA" w:rsidRPr="00764176">
        <w:t>en</w:t>
      </w:r>
      <w:r w:rsidR="001D4508" w:rsidRPr="00764176">
        <w:t xml:space="preserve"> </w:t>
      </w:r>
      <w:r w:rsidR="005D43EA" w:rsidRPr="00764176">
        <w:t>an appropriate</w:t>
      </w:r>
      <w:r w:rsidR="001D4508" w:rsidRPr="00764176">
        <w:t xml:space="preserve"> base case assumption and reduced this period to three years in a revised base case </w:t>
      </w:r>
      <w:r w:rsidR="005D43EA" w:rsidRPr="00764176">
        <w:t>(</w:t>
      </w:r>
      <w:r w:rsidR="001D4508" w:rsidRPr="00764176">
        <w:t xml:space="preserve">see </w:t>
      </w:r>
      <w:r w:rsidR="001D4508" w:rsidRPr="001B3E77">
        <w:t xml:space="preserve">paragraph </w:t>
      </w:r>
      <w:r w:rsidR="00D74E87" w:rsidRPr="001B3E77">
        <w:t>6.44</w:t>
      </w:r>
      <w:r w:rsidR="005D43EA" w:rsidRPr="001B3E77">
        <w:t>)</w:t>
      </w:r>
      <w:r w:rsidR="001D4508" w:rsidRPr="001B3E77">
        <w:rPr>
          <w:szCs w:val="22"/>
        </w:rPr>
        <w:t>.</w:t>
      </w:r>
    </w:p>
    <w:p w:rsidR="005E6656" w:rsidRPr="00764176" w:rsidRDefault="005E6656" w:rsidP="00950DD9">
      <w:pPr>
        <w:pStyle w:val="ListParagraph"/>
        <w:widowControl/>
        <w:rPr>
          <w:szCs w:val="22"/>
        </w:rPr>
      </w:pPr>
    </w:p>
    <w:p w:rsidR="00F01716" w:rsidRPr="00764176" w:rsidRDefault="006D2512" w:rsidP="00950DD9">
      <w:pPr>
        <w:pStyle w:val="ListParagraph"/>
        <w:widowControl/>
        <w:numPr>
          <w:ilvl w:val="1"/>
          <w:numId w:val="5"/>
        </w:numPr>
      </w:pPr>
      <w:r w:rsidRPr="00764176">
        <w:t>Other importan</w:t>
      </w:r>
      <w:r w:rsidR="00F01716" w:rsidRPr="00764176">
        <w:t>t issues with the model included:</w:t>
      </w:r>
    </w:p>
    <w:p w:rsidR="00F01716" w:rsidRPr="00764176" w:rsidRDefault="00F01716" w:rsidP="00950DD9">
      <w:pPr>
        <w:pStyle w:val="ListParagraph"/>
        <w:widowControl/>
        <w:numPr>
          <w:ilvl w:val="0"/>
          <w:numId w:val="15"/>
        </w:numPr>
        <w:ind w:left="993" w:hanging="284"/>
        <w:rPr>
          <w:szCs w:val="22"/>
        </w:rPr>
      </w:pPr>
      <w:r w:rsidRPr="00764176">
        <w:rPr>
          <w:szCs w:val="22"/>
        </w:rPr>
        <w:t>T</w:t>
      </w:r>
      <w:r w:rsidR="006D2512" w:rsidRPr="00764176">
        <w:rPr>
          <w:szCs w:val="22"/>
        </w:rPr>
        <w:t xml:space="preserve">he </w:t>
      </w:r>
      <w:r w:rsidR="005E7519" w:rsidRPr="00764176">
        <w:rPr>
          <w:szCs w:val="22"/>
        </w:rPr>
        <w:t xml:space="preserve">inappropriate </w:t>
      </w:r>
      <w:r w:rsidR="006D2512" w:rsidRPr="00764176">
        <w:rPr>
          <w:szCs w:val="22"/>
        </w:rPr>
        <w:t>use of non-statistically significant differences in hip fracture (favour</w:t>
      </w:r>
      <w:r w:rsidR="00D56168" w:rsidRPr="00764176">
        <w:rPr>
          <w:szCs w:val="22"/>
        </w:rPr>
        <w:t>ed</w:t>
      </w:r>
      <w:r w:rsidR="006D2512" w:rsidRPr="00764176">
        <w:rPr>
          <w:szCs w:val="22"/>
        </w:rPr>
        <w:t xml:space="preserve"> strontium)</w:t>
      </w:r>
      <w:r w:rsidRPr="00764176">
        <w:rPr>
          <w:szCs w:val="22"/>
        </w:rPr>
        <w:t>, myocardial infarction (favoured</w:t>
      </w:r>
      <w:r w:rsidR="006D2512" w:rsidRPr="00764176">
        <w:rPr>
          <w:szCs w:val="22"/>
        </w:rPr>
        <w:t xml:space="preserve"> strontium) and</w:t>
      </w:r>
      <w:r w:rsidRPr="00764176">
        <w:rPr>
          <w:szCs w:val="22"/>
        </w:rPr>
        <w:t xml:space="preserve"> venous thromboembolism (favoured</w:t>
      </w:r>
      <w:r w:rsidR="006D2512" w:rsidRPr="00764176">
        <w:rPr>
          <w:szCs w:val="22"/>
        </w:rPr>
        <w:t xml:space="preserve"> best supportive care). </w:t>
      </w:r>
      <w:r w:rsidR="00504567" w:rsidRPr="00764176">
        <w:rPr>
          <w:szCs w:val="22"/>
        </w:rPr>
        <w:t>The PSCR acknowledged</w:t>
      </w:r>
      <w:r w:rsidR="005D43EA" w:rsidRPr="00764176">
        <w:rPr>
          <w:szCs w:val="22"/>
        </w:rPr>
        <w:t xml:space="preserve"> the inclusion of these point estimates in the model was contestable but </w:t>
      </w:r>
      <w:r w:rsidR="00644116" w:rsidRPr="00764176">
        <w:rPr>
          <w:szCs w:val="22"/>
        </w:rPr>
        <w:t xml:space="preserve">argued </w:t>
      </w:r>
      <w:r w:rsidR="005D43EA" w:rsidRPr="00764176">
        <w:rPr>
          <w:szCs w:val="22"/>
        </w:rPr>
        <w:t xml:space="preserve">that </w:t>
      </w:r>
      <w:r w:rsidR="00504567" w:rsidRPr="00764176">
        <w:rPr>
          <w:szCs w:val="22"/>
        </w:rPr>
        <w:t xml:space="preserve">the lack of statistical significance </w:t>
      </w:r>
      <w:r w:rsidR="005D43EA" w:rsidRPr="00764176">
        <w:rPr>
          <w:szCs w:val="22"/>
        </w:rPr>
        <w:t xml:space="preserve">was </w:t>
      </w:r>
      <w:r w:rsidR="00504567" w:rsidRPr="00764176">
        <w:rPr>
          <w:szCs w:val="22"/>
        </w:rPr>
        <w:t>a reflection of the low power of the clinical trials for these particular outcomes, rather than absence of a true effect of t</w:t>
      </w:r>
      <w:r w:rsidR="005D43EA" w:rsidRPr="00764176">
        <w:rPr>
          <w:szCs w:val="22"/>
        </w:rPr>
        <w:t>herapy.</w:t>
      </w:r>
      <w:r w:rsidR="00504567" w:rsidRPr="00764176">
        <w:rPr>
          <w:szCs w:val="22"/>
        </w:rPr>
        <w:t xml:space="preserve"> </w:t>
      </w:r>
      <w:r w:rsidR="005D43EA" w:rsidRPr="00764176">
        <w:rPr>
          <w:szCs w:val="22"/>
        </w:rPr>
        <w:t xml:space="preserve">The ESC considered that the use of non-statistically significant different point estimates for these outcomes in the model was </w:t>
      </w:r>
      <w:r w:rsidR="00644116" w:rsidRPr="00764176">
        <w:rPr>
          <w:szCs w:val="22"/>
        </w:rPr>
        <w:t>inappropriate</w:t>
      </w:r>
      <w:r w:rsidR="005D43EA" w:rsidRPr="00764176">
        <w:rPr>
          <w:szCs w:val="22"/>
        </w:rPr>
        <w:t xml:space="preserve"> and noted that the PSCR presented a revised base case </w:t>
      </w:r>
      <w:r w:rsidR="00644116" w:rsidRPr="00764176">
        <w:rPr>
          <w:szCs w:val="22"/>
        </w:rPr>
        <w:t>that excluded</w:t>
      </w:r>
      <w:r w:rsidR="005D43EA" w:rsidRPr="00764176">
        <w:rPr>
          <w:szCs w:val="22"/>
        </w:rPr>
        <w:t xml:space="preserve"> </w:t>
      </w:r>
      <w:r w:rsidR="00644116" w:rsidRPr="00764176">
        <w:rPr>
          <w:szCs w:val="22"/>
        </w:rPr>
        <w:t xml:space="preserve">these non-significant treatment effects </w:t>
      </w:r>
      <w:r w:rsidR="005D43EA" w:rsidRPr="00764176">
        <w:rPr>
          <w:szCs w:val="22"/>
        </w:rPr>
        <w:t xml:space="preserve">(see </w:t>
      </w:r>
      <w:r w:rsidR="005D43EA" w:rsidRPr="001B3E77">
        <w:rPr>
          <w:szCs w:val="22"/>
        </w:rPr>
        <w:t xml:space="preserve">paragraph </w:t>
      </w:r>
      <w:r w:rsidR="00D74E87" w:rsidRPr="001B3E77">
        <w:rPr>
          <w:szCs w:val="22"/>
        </w:rPr>
        <w:t>6.44</w:t>
      </w:r>
      <w:r w:rsidR="005D43EA" w:rsidRPr="001B3E77">
        <w:rPr>
          <w:szCs w:val="22"/>
        </w:rPr>
        <w:t>)</w:t>
      </w:r>
    </w:p>
    <w:p w:rsidR="00D56168" w:rsidRPr="00764176" w:rsidRDefault="006D2512" w:rsidP="00950DD9">
      <w:pPr>
        <w:pStyle w:val="ListParagraph"/>
        <w:widowControl/>
        <w:numPr>
          <w:ilvl w:val="0"/>
          <w:numId w:val="15"/>
        </w:numPr>
        <w:ind w:left="993" w:hanging="284"/>
        <w:rPr>
          <w:szCs w:val="22"/>
        </w:rPr>
      </w:pPr>
      <w:r w:rsidRPr="00764176">
        <w:rPr>
          <w:szCs w:val="22"/>
        </w:rPr>
        <w:t>The use of ‘any clinical fracture’ (which include</w:t>
      </w:r>
      <w:r w:rsidR="00AE02F4" w:rsidRPr="00764176">
        <w:rPr>
          <w:szCs w:val="22"/>
        </w:rPr>
        <w:t>d</w:t>
      </w:r>
      <w:r w:rsidRPr="00764176">
        <w:rPr>
          <w:szCs w:val="22"/>
        </w:rPr>
        <w:t xml:space="preserve"> both vertebral and non-vertebral fractures) to proxy for non-vertebral fractures (which f</w:t>
      </w:r>
      <w:r w:rsidR="00F01716" w:rsidRPr="00764176">
        <w:rPr>
          <w:szCs w:val="22"/>
        </w:rPr>
        <w:t>avoured</w:t>
      </w:r>
      <w:r w:rsidRPr="00764176">
        <w:rPr>
          <w:szCs w:val="22"/>
        </w:rPr>
        <w:t xml:space="preserve"> strontium due to the larger treatment effect in vertebral fractures). </w:t>
      </w:r>
      <w:r w:rsidR="00736B82" w:rsidRPr="00764176">
        <w:rPr>
          <w:szCs w:val="22"/>
        </w:rPr>
        <w:t xml:space="preserve">The PSCR </w:t>
      </w:r>
      <w:r w:rsidR="00AE02F4" w:rsidRPr="00764176">
        <w:rPr>
          <w:szCs w:val="22"/>
        </w:rPr>
        <w:t xml:space="preserve">acknowledged that while this was less than ideal, </w:t>
      </w:r>
      <w:r w:rsidR="00736B82" w:rsidRPr="00764176">
        <w:rPr>
          <w:szCs w:val="22"/>
        </w:rPr>
        <w:t xml:space="preserve">the </w:t>
      </w:r>
      <w:r w:rsidR="00AE02F4" w:rsidRPr="00764176">
        <w:rPr>
          <w:szCs w:val="22"/>
        </w:rPr>
        <w:t xml:space="preserve">impact on the evaluation results was marginal because the </w:t>
      </w:r>
      <w:r w:rsidR="00736B82" w:rsidRPr="00764176">
        <w:rPr>
          <w:szCs w:val="22"/>
        </w:rPr>
        <w:t xml:space="preserve">relative risk estimate employed for the severe osteoporosis population (0.83: 0.72-0.96) </w:t>
      </w:r>
      <w:r w:rsidR="00AE02F4" w:rsidRPr="00764176">
        <w:rPr>
          <w:szCs w:val="22"/>
        </w:rPr>
        <w:t>wa</w:t>
      </w:r>
      <w:r w:rsidR="00736B82" w:rsidRPr="00764176">
        <w:rPr>
          <w:szCs w:val="22"/>
        </w:rPr>
        <w:t>s not significantly different from that reported specifically for non-vertebral osteoporotic fractures in the overall SOTI/TROPOS population (0.84: 0.72-0.98).</w:t>
      </w:r>
    </w:p>
    <w:p w:rsidR="005E7519" w:rsidRPr="00764176" w:rsidRDefault="00DB2B18" w:rsidP="00950DD9">
      <w:pPr>
        <w:pStyle w:val="ListParagraph"/>
        <w:widowControl/>
        <w:numPr>
          <w:ilvl w:val="0"/>
          <w:numId w:val="15"/>
        </w:numPr>
        <w:ind w:left="993" w:hanging="284"/>
        <w:rPr>
          <w:szCs w:val="22"/>
        </w:rPr>
      </w:pPr>
      <w:r w:rsidRPr="00764176">
        <w:rPr>
          <w:szCs w:val="22"/>
        </w:rPr>
        <w:t>The uncertainty associated with fracture utility values given the substantial heterogeneity in published values for different fracture health states.</w:t>
      </w:r>
      <w:r w:rsidR="004E566A" w:rsidRPr="00764176">
        <w:rPr>
          <w:szCs w:val="22"/>
        </w:rPr>
        <w:t xml:space="preserve"> The PSCR  argued that the uncertainty was an inherent prope</w:t>
      </w:r>
      <w:r w:rsidR="00D4135F" w:rsidRPr="00764176">
        <w:rPr>
          <w:szCs w:val="22"/>
        </w:rPr>
        <w:t xml:space="preserve">rty of the available literature, </w:t>
      </w:r>
      <w:r w:rsidR="004E566A" w:rsidRPr="00764176">
        <w:rPr>
          <w:szCs w:val="22"/>
        </w:rPr>
        <w:t xml:space="preserve">that the utility values </w:t>
      </w:r>
      <w:r w:rsidR="00AE02F4" w:rsidRPr="00764176">
        <w:rPr>
          <w:szCs w:val="22"/>
        </w:rPr>
        <w:t>were</w:t>
      </w:r>
      <w:r w:rsidR="004E566A" w:rsidRPr="00764176">
        <w:rPr>
          <w:szCs w:val="22"/>
        </w:rPr>
        <w:t xml:space="preserve"> not directly comparable</w:t>
      </w:r>
      <w:r w:rsidR="00D4135F" w:rsidRPr="00764176">
        <w:rPr>
          <w:szCs w:val="22"/>
        </w:rPr>
        <w:t>,</w:t>
      </w:r>
      <w:r w:rsidR="004E566A" w:rsidRPr="00764176">
        <w:rPr>
          <w:szCs w:val="22"/>
        </w:rPr>
        <w:t xml:space="preserve"> </w:t>
      </w:r>
      <w:r w:rsidR="00AE02F4" w:rsidRPr="00764176">
        <w:rPr>
          <w:szCs w:val="22"/>
        </w:rPr>
        <w:t>and</w:t>
      </w:r>
      <w:r w:rsidR="004E566A" w:rsidRPr="00764176">
        <w:rPr>
          <w:szCs w:val="22"/>
        </w:rPr>
        <w:t xml:space="preserve"> that the values were the best available </w:t>
      </w:r>
      <w:r w:rsidR="00AE02F4" w:rsidRPr="00764176">
        <w:rPr>
          <w:szCs w:val="22"/>
        </w:rPr>
        <w:t>estimates</w:t>
      </w:r>
      <w:r w:rsidR="004E566A" w:rsidRPr="00764176">
        <w:rPr>
          <w:szCs w:val="22"/>
        </w:rPr>
        <w:t xml:space="preserve"> of the health related quality of life impact of osteoporosis. </w:t>
      </w:r>
      <w:r w:rsidR="003A114D" w:rsidRPr="00764176">
        <w:rPr>
          <w:szCs w:val="22"/>
        </w:rPr>
        <w:t xml:space="preserve">The </w:t>
      </w:r>
      <w:r w:rsidR="004E566A" w:rsidRPr="00764176">
        <w:rPr>
          <w:szCs w:val="22"/>
        </w:rPr>
        <w:t xml:space="preserve">ESC noted that </w:t>
      </w:r>
      <w:r w:rsidR="003A114D" w:rsidRPr="00764176">
        <w:rPr>
          <w:szCs w:val="22"/>
        </w:rPr>
        <w:t>SF-36</w:t>
      </w:r>
      <w:r w:rsidR="00532DD8" w:rsidRPr="00764176">
        <w:rPr>
          <w:szCs w:val="22"/>
        </w:rPr>
        <w:t xml:space="preserve">, which </w:t>
      </w:r>
      <w:r w:rsidR="001B35DA" w:rsidRPr="00764176">
        <w:rPr>
          <w:szCs w:val="22"/>
        </w:rPr>
        <w:t>was administered</w:t>
      </w:r>
      <w:r w:rsidR="00532DD8" w:rsidRPr="00764176">
        <w:rPr>
          <w:szCs w:val="22"/>
        </w:rPr>
        <w:t xml:space="preserve"> every six months </w:t>
      </w:r>
      <w:r w:rsidR="005E7519" w:rsidRPr="00764176">
        <w:rPr>
          <w:szCs w:val="22"/>
        </w:rPr>
        <w:t xml:space="preserve">in </w:t>
      </w:r>
      <w:r w:rsidR="003A114D" w:rsidRPr="00764176">
        <w:rPr>
          <w:szCs w:val="22"/>
        </w:rPr>
        <w:t xml:space="preserve">the </w:t>
      </w:r>
      <w:r w:rsidR="005E7519" w:rsidRPr="00764176">
        <w:rPr>
          <w:szCs w:val="22"/>
        </w:rPr>
        <w:t xml:space="preserve">SOTI and TROPOS </w:t>
      </w:r>
      <w:r w:rsidR="004E566A" w:rsidRPr="00764176">
        <w:rPr>
          <w:szCs w:val="22"/>
        </w:rPr>
        <w:t>trials</w:t>
      </w:r>
      <w:r w:rsidR="00532DD8" w:rsidRPr="00764176">
        <w:rPr>
          <w:szCs w:val="22"/>
        </w:rPr>
        <w:t>,</w:t>
      </w:r>
      <w:r w:rsidR="004E566A" w:rsidRPr="00764176">
        <w:rPr>
          <w:szCs w:val="22"/>
        </w:rPr>
        <w:t xml:space="preserve"> </w:t>
      </w:r>
      <w:r w:rsidR="00316413" w:rsidRPr="00764176">
        <w:rPr>
          <w:szCs w:val="22"/>
        </w:rPr>
        <w:t>could have been</w:t>
      </w:r>
      <w:r w:rsidR="00D527FD" w:rsidRPr="00764176">
        <w:rPr>
          <w:szCs w:val="22"/>
        </w:rPr>
        <w:t xml:space="preserve"> used to derive trial based </w:t>
      </w:r>
      <w:r w:rsidR="001B35DA" w:rsidRPr="00764176">
        <w:rPr>
          <w:szCs w:val="22"/>
        </w:rPr>
        <w:t xml:space="preserve">SF-6D </w:t>
      </w:r>
      <w:r w:rsidR="00D527FD" w:rsidRPr="00764176">
        <w:rPr>
          <w:szCs w:val="22"/>
        </w:rPr>
        <w:t>utilit</w:t>
      </w:r>
      <w:r w:rsidR="001B35DA" w:rsidRPr="00764176">
        <w:rPr>
          <w:szCs w:val="22"/>
        </w:rPr>
        <w:t>i</w:t>
      </w:r>
      <w:r w:rsidR="00D527FD" w:rsidRPr="00764176">
        <w:rPr>
          <w:szCs w:val="22"/>
        </w:rPr>
        <w:t>es but was</w:t>
      </w:r>
      <w:r w:rsidR="004E566A" w:rsidRPr="00764176">
        <w:rPr>
          <w:szCs w:val="22"/>
        </w:rPr>
        <w:t xml:space="preserve"> not used in the submission</w:t>
      </w:r>
      <w:r w:rsidR="005E7519" w:rsidRPr="00764176">
        <w:rPr>
          <w:szCs w:val="22"/>
        </w:rPr>
        <w:t>.</w:t>
      </w:r>
    </w:p>
    <w:p w:rsidR="00F01716" w:rsidRPr="00764176" w:rsidRDefault="005C353D" w:rsidP="00950DD9">
      <w:pPr>
        <w:pStyle w:val="ListParagraph"/>
        <w:widowControl/>
        <w:numPr>
          <w:ilvl w:val="0"/>
          <w:numId w:val="15"/>
        </w:numPr>
        <w:ind w:left="993" w:hanging="284"/>
        <w:rPr>
          <w:szCs w:val="22"/>
        </w:rPr>
      </w:pPr>
      <w:r w:rsidRPr="00764176">
        <w:rPr>
          <w:szCs w:val="22"/>
        </w:rPr>
        <w:t>The uncertainty associated with baseline fracture risk which varie</w:t>
      </w:r>
      <w:r w:rsidR="00F60F05" w:rsidRPr="00764176">
        <w:rPr>
          <w:szCs w:val="22"/>
        </w:rPr>
        <w:t>d</w:t>
      </w:r>
      <w:r w:rsidRPr="00764176">
        <w:rPr>
          <w:szCs w:val="22"/>
        </w:rPr>
        <w:t xml:space="preserve"> substantially</w:t>
      </w:r>
      <w:r w:rsidR="00DB2B18" w:rsidRPr="00764176">
        <w:rPr>
          <w:szCs w:val="22"/>
        </w:rPr>
        <w:t xml:space="preserve"> </w:t>
      </w:r>
      <w:r w:rsidRPr="00764176">
        <w:rPr>
          <w:szCs w:val="22"/>
        </w:rPr>
        <w:t>based on BMD levels in patients with a prior fragility fracture.</w:t>
      </w:r>
    </w:p>
    <w:p w:rsidR="00775C00" w:rsidRPr="00764176" w:rsidRDefault="006D2512" w:rsidP="00950DD9">
      <w:pPr>
        <w:pStyle w:val="ListParagraph"/>
        <w:widowControl/>
        <w:numPr>
          <w:ilvl w:val="0"/>
          <w:numId w:val="15"/>
        </w:numPr>
        <w:ind w:left="993" w:hanging="284"/>
        <w:rPr>
          <w:szCs w:val="22"/>
        </w:rPr>
      </w:pPr>
      <w:r w:rsidRPr="00764176">
        <w:rPr>
          <w:szCs w:val="22"/>
        </w:rPr>
        <w:t>The assumption that all patients with acute fr</w:t>
      </w:r>
      <w:r w:rsidR="00F01716" w:rsidRPr="00764176">
        <w:rPr>
          <w:szCs w:val="22"/>
        </w:rPr>
        <w:t>acture are hospitalised</w:t>
      </w:r>
      <w:r w:rsidR="00761415" w:rsidRPr="00764176">
        <w:rPr>
          <w:szCs w:val="22"/>
        </w:rPr>
        <w:t xml:space="preserve"> was not consistent with available data and favoured strontium</w:t>
      </w:r>
      <w:r w:rsidR="005E2316" w:rsidRPr="00764176">
        <w:rPr>
          <w:szCs w:val="22"/>
        </w:rPr>
        <w:t>.</w:t>
      </w:r>
      <w:r w:rsidR="00F01716" w:rsidRPr="00764176">
        <w:rPr>
          <w:szCs w:val="22"/>
        </w:rPr>
        <w:t xml:space="preserve"> </w:t>
      </w:r>
      <w:r w:rsidR="00761415" w:rsidRPr="00764176">
        <w:t>Recent health resource data for Australian osteoporosis patients supported this assumption for hip fractures but indicated that only 67% of vertebral fractures, 63% of wrist fractures and 72% of other fractures in women 70 years of age or older required hospitalisation. The corresponding numbers for male patients were 50% for vertebral fractures, 50% for wrist fractures and 67% for other fractures (Osteoporosis Australia: Burden of Disease Analysis 2012-2022).</w:t>
      </w:r>
    </w:p>
    <w:p w:rsidR="005E7519" w:rsidRPr="00764176" w:rsidRDefault="005E7519" w:rsidP="00950DD9">
      <w:pPr>
        <w:pStyle w:val="ListParagraph"/>
        <w:widowControl/>
        <w:numPr>
          <w:ilvl w:val="0"/>
          <w:numId w:val="15"/>
        </w:numPr>
        <w:ind w:left="993" w:hanging="284"/>
        <w:rPr>
          <w:szCs w:val="22"/>
        </w:rPr>
      </w:pPr>
      <w:r w:rsidRPr="00764176">
        <w:rPr>
          <w:szCs w:val="22"/>
        </w:rPr>
        <w:t xml:space="preserve">The </w:t>
      </w:r>
      <w:r w:rsidR="00761415" w:rsidRPr="00764176">
        <w:rPr>
          <w:szCs w:val="22"/>
        </w:rPr>
        <w:t xml:space="preserve">ESC </w:t>
      </w:r>
      <w:r w:rsidR="00CA7C2C" w:rsidRPr="00764176">
        <w:rPr>
          <w:szCs w:val="22"/>
        </w:rPr>
        <w:t xml:space="preserve">considered that the clinical </w:t>
      </w:r>
      <w:r w:rsidR="001B35DA" w:rsidRPr="00764176">
        <w:rPr>
          <w:szCs w:val="22"/>
        </w:rPr>
        <w:t xml:space="preserve">validity </w:t>
      </w:r>
      <w:r w:rsidR="00CA7C2C" w:rsidRPr="00764176">
        <w:rPr>
          <w:szCs w:val="22"/>
        </w:rPr>
        <w:t>of</w:t>
      </w:r>
      <w:r w:rsidR="00761415" w:rsidRPr="00764176">
        <w:rPr>
          <w:szCs w:val="22"/>
        </w:rPr>
        <w:t xml:space="preserve"> the </w:t>
      </w:r>
      <w:r w:rsidRPr="00764176">
        <w:rPr>
          <w:szCs w:val="22"/>
        </w:rPr>
        <w:t xml:space="preserve">structural assumption that people return to baseline </w:t>
      </w:r>
      <w:r w:rsidR="00761415" w:rsidRPr="00764176">
        <w:rPr>
          <w:szCs w:val="22"/>
        </w:rPr>
        <w:t xml:space="preserve">risk of fracture </w:t>
      </w:r>
      <w:r w:rsidRPr="00764176">
        <w:rPr>
          <w:szCs w:val="22"/>
        </w:rPr>
        <w:t>after exiting fracture tunnel states</w:t>
      </w:r>
      <w:r w:rsidR="00CA7C2C" w:rsidRPr="00764176">
        <w:rPr>
          <w:szCs w:val="22"/>
        </w:rPr>
        <w:t xml:space="preserve"> was </w:t>
      </w:r>
      <w:r w:rsidR="001B35DA" w:rsidRPr="00764176">
        <w:rPr>
          <w:szCs w:val="22"/>
        </w:rPr>
        <w:t>unclear</w:t>
      </w:r>
      <w:r w:rsidRPr="00764176">
        <w:rPr>
          <w:szCs w:val="22"/>
        </w:rPr>
        <w:t>.</w:t>
      </w:r>
      <w:r w:rsidR="00761415" w:rsidRPr="00764176">
        <w:rPr>
          <w:szCs w:val="22"/>
        </w:rPr>
        <w:t xml:space="preserve"> </w:t>
      </w:r>
      <w:r w:rsidR="00CA7C2C" w:rsidRPr="00764176">
        <w:rPr>
          <w:szCs w:val="22"/>
        </w:rPr>
        <w:t>However, t</w:t>
      </w:r>
      <w:r w:rsidR="00761415" w:rsidRPr="00764176">
        <w:rPr>
          <w:szCs w:val="22"/>
        </w:rPr>
        <w:t>he ESC considered that this assumption was unlikely to favour strontium.</w:t>
      </w:r>
    </w:p>
    <w:p w:rsidR="00761415" w:rsidRPr="00764176" w:rsidRDefault="00761415" w:rsidP="00950DD9">
      <w:pPr>
        <w:pStyle w:val="ListParagraph"/>
        <w:widowControl/>
        <w:rPr>
          <w:szCs w:val="22"/>
        </w:rPr>
      </w:pPr>
    </w:p>
    <w:p w:rsidR="00DB2B18" w:rsidRPr="00764176" w:rsidRDefault="00DB2B18" w:rsidP="00950DD9">
      <w:pPr>
        <w:pStyle w:val="ListParagraph"/>
        <w:widowControl/>
        <w:numPr>
          <w:ilvl w:val="1"/>
          <w:numId w:val="5"/>
        </w:numPr>
      </w:pPr>
      <w:r w:rsidRPr="00764176">
        <w:t>The</w:t>
      </w:r>
      <w:r w:rsidR="00F003AF" w:rsidRPr="00764176">
        <w:t xml:space="preserve"> evaluation considered that real-world </w:t>
      </w:r>
      <w:r w:rsidRPr="00764176">
        <w:t xml:space="preserve">treatment adherence (both compliance and persistence) </w:t>
      </w:r>
      <w:r w:rsidR="00F003AF" w:rsidRPr="00764176">
        <w:t>was likely to be substantially lower than estimated in the mode</w:t>
      </w:r>
      <w:r w:rsidR="005C2E20">
        <w:t>l</w:t>
      </w:r>
      <w:r w:rsidR="00F003AF" w:rsidRPr="00764176">
        <w:t>l</w:t>
      </w:r>
      <w:r w:rsidR="005C2E20">
        <w:t>ed</w:t>
      </w:r>
      <w:r w:rsidR="00F003AF" w:rsidRPr="00764176">
        <w:t xml:space="preserve"> population but the impact </w:t>
      </w:r>
      <w:r w:rsidRPr="00764176">
        <w:t xml:space="preserve">on the economic </w:t>
      </w:r>
      <w:r w:rsidR="005E7519" w:rsidRPr="00764176">
        <w:t xml:space="preserve">analysis </w:t>
      </w:r>
      <w:r w:rsidRPr="00764176">
        <w:t>could not be adequately explored due to the structural limitations of the model design.</w:t>
      </w:r>
      <w:r w:rsidR="00F003AF" w:rsidRPr="00764176">
        <w:t xml:space="preserve"> </w:t>
      </w:r>
      <w:r w:rsidR="005C2E20">
        <w:t>T</w:t>
      </w:r>
      <w:r w:rsidR="0066282F" w:rsidRPr="00764176">
        <w:t xml:space="preserve">he submission and PSCR claimed that this was a conservative assumption as it did not account for the potential for residual treatment effects after therapy discontinuation (which would improve health outcomes without increasing costs); </w:t>
      </w:r>
      <w:r w:rsidR="0066282F" w:rsidRPr="00764176">
        <w:rPr>
          <w:iCs/>
        </w:rPr>
        <w:t>conversely, patients may discontinue therapy before gaining sufficient exposure to achieve claimed treatment effects (which would increase costs without improving outcomes).</w:t>
      </w:r>
    </w:p>
    <w:p w:rsidR="00775C00" w:rsidRPr="00275C5A" w:rsidRDefault="00775C00" w:rsidP="00950DD9">
      <w:pPr>
        <w:widowControl/>
        <w:rPr>
          <w:szCs w:val="22"/>
        </w:rPr>
      </w:pPr>
    </w:p>
    <w:p w:rsidR="00275C5A" w:rsidRPr="00B50DB8" w:rsidRDefault="00123DF5" w:rsidP="00950DD9">
      <w:pPr>
        <w:pStyle w:val="ListParagraph"/>
        <w:widowControl/>
        <w:numPr>
          <w:ilvl w:val="1"/>
          <w:numId w:val="5"/>
        </w:numPr>
        <w:rPr>
          <w:szCs w:val="22"/>
        </w:rPr>
      </w:pPr>
      <w:r>
        <w:rPr>
          <w:szCs w:val="22"/>
        </w:rPr>
        <w:t xml:space="preserve">The results of the modelled economic evaluation </w:t>
      </w:r>
      <w:r w:rsidR="00AD3D57">
        <w:rPr>
          <w:szCs w:val="22"/>
        </w:rPr>
        <w:t xml:space="preserve">in the submission </w:t>
      </w:r>
      <w:r>
        <w:rPr>
          <w:szCs w:val="22"/>
        </w:rPr>
        <w:t>are summarised in the table below</w:t>
      </w:r>
      <w:r w:rsidR="00944326">
        <w:rPr>
          <w:szCs w:val="22"/>
        </w:rPr>
        <w:t>.</w:t>
      </w:r>
    </w:p>
    <w:p w:rsidR="00D110BD" w:rsidRDefault="00D110BD" w:rsidP="00950DD9">
      <w:pPr>
        <w:widowControl/>
        <w:rPr>
          <w:szCs w:val="22"/>
        </w:rPr>
      </w:pPr>
    </w:p>
    <w:p w:rsidR="00123DF5" w:rsidRPr="00C6011D" w:rsidRDefault="00337E50" w:rsidP="00950DD9">
      <w:pPr>
        <w:widowControl/>
        <w:ind w:firstLine="720"/>
        <w:jc w:val="left"/>
        <w:rPr>
          <w:rFonts w:ascii="Arial Narrow" w:hAnsi="Arial Narrow"/>
          <w:b/>
          <w:sz w:val="20"/>
          <w:szCs w:val="16"/>
        </w:rPr>
      </w:pPr>
      <w:r>
        <w:rPr>
          <w:rStyle w:val="CommentReference"/>
        </w:rPr>
        <w:t>Table 11</w:t>
      </w:r>
      <w:r w:rsidR="00123DF5" w:rsidRPr="00315498">
        <w:rPr>
          <w:rStyle w:val="CommentReference"/>
        </w:rPr>
        <w:t xml:space="preserve">: Results of </w:t>
      </w:r>
      <w:r w:rsidR="00123DF5">
        <w:rPr>
          <w:rStyle w:val="CommentReference"/>
        </w:rPr>
        <w:t>the modelled economic evaluation</w:t>
      </w:r>
      <w:r w:rsidR="00E17CE2">
        <w:rPr>
          <w:rStyle w:val="CommentReference"/>
        </w:rPr>
        <w:t xml:space="preserve"> (assuming 5 year fracture recovery period)</w:t>
      </w:r>
    </w:p>
    <w:tbl>
      <w:tblPr>
        <w:tblW w:w="4522" w:type="pct"/>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9"/>
        <w:gridCol w:w="2311"/>
        <w:gridCol w:w="2291"/>
        <w:gridCol w:w="2267"/>
      </w:tblGrid>
      <w:tr w:rsidR="00123DF5" w:rsidRPr="00030712" w:rsidTr="00123DF5">
        <w:tc>
          <w:tcPr>
            <w:tcW w:w="1489" w:type="dxa"/>
            <w:shd w:val="clear" w:color="auto" w:fill="auto"/>
            <w:noWrap/>
            <w:vAlign w:val="center"/>
            <w:hideMark/>
          </w:tcPr>
          <w:p w:rsidR="00123DF5" w:rsidRPr="00030712" w:rsidRDefault="00123DF5" w:rsidP="00950DD9">
            <w:pPr>
              <w:widowControl/>
              <w:jc w:val="left"/>
              <w:rPr>
                <w:rFonts w:ascii="Arial Narrow" w:hAnsi="Arial Narrow"/>
                <w:snapToGrid/>
                <w:sz w:val="20"/>
                <w:lang w:eastAsia="en-AU"/>
              </w:rPr>
            </w:pPr>
          </w:p>
        </w:tc>
        <w:tc>
          <w:tcPr>
            <w:tcW w:w="2311" w:type="dxa"/>
            <w:shd w:val="clear" w:color="auto" w:fill="auto"/>
            <w:noWrap/>
            <w:vAlign w:val="center"/>
            <w:hideMark/>
          </w:tcPr>
          <w:p w:rsidR="00123DF5" w:rsidRPr="00030712" w:rsidRDefault="00123DF5" w:rsidP="00950DD9">
            <w:pPr>
              <w:widowControl/>
              <w:jc w:val="center"/>
              <w:rPr>
                <w:rFonts w:ascii="Arial Narrow" w:hAnsi="Arial Narrow"/>
                <w:b/>
                <w:snapToGrid/>
                <w:sz w:val="20"/>
                <w:lang w:eastAsia="en-AU"/>
              </w:rPr>
            </w:pPr>
            <w:r w:rsidRPr="00AD7071">
              <w:rPr>
                <w:rFonts w:ascii="Arial Narrow" w:hAnsi="Arial Narrow"/>
                <w:b/>
                <w:snapToGrid/>
                <w:sz w:val="20"/>
                <w:lang w:eastAsia="en-AU"/>
              </w:rPr>
              <w:t>Strontium</w:t>
            </w:r>
          </w:p>
        </w:tc>
        <w:tc>
          <w:tcPr>
            <w:tcW w:w="2291" w:type="dxa"/>
            <w:shd w:val="clear" w:color="auto" w:fill="auto"/>
            <w:noWrap/>
            <w:vAlign w:val="center"/>
            <w:hideMark/>
          </w:tcPr>
          <w:p w:rsidR="00123DF5" w:rsidRPr="00030712" w:rsidRDefault="00123DF5" w:rsidP="00950DD9">
            <w:pPr>
              <w:widowControl/>
              <w:jc w:val="center"/>
              <w:rPr>
                <w:rFonts w:ascii="Arial Narrow" w:hAnsi="Arial Narrow"/>
                <w:b/>
                <w:snapToGrid/>
                <w:sz w:val="20"/>
                <w:lang w:eastAsia="en-AU"/>
              </w:rPr>
            </w:pPr>
            <w:r w:rsidRPr="00AD7071">
              <w:rPr>
                <w:rFonts w:ascii="Arial Narrow" w:hAnsi="Arial Narrow"/>
                <w:b/>
                <w:snapToGrid/>
                <w:sz w:val="20"/>
                <w:lang w:eastAsia="en-AU"/>
              </w:rPr>
              <w:t>B</w:t>
            </w:r>
            <w:r>
              <w:rPr>
                <w:rFonts w:ascii="Arial Narrow" w:hAnsi="Arial Narrow"/>
                <w:b/>
                <w:snapToGrid/>
                <w:sz w:val="20"/>
                <w:lang w:eastAsia="en-AU"/>
              </w:rPr>
              <w:t>est supportive care</w:t>
            </w:r>
          </w:p>
        </w:tc>
        <w:tc>
          <w:tcPr>
            <w:tcW w:w="2267" w:type="dxa"/>
            <w:shd w:val="clear" w:color="auto" w:fill="auto"/>
            <w:noWrap/>
            <w:vAlign w:val="center"/>
            <w:hideMark/>
          </w:tcPr>
          <w:p w:rsidR="00123DF5" w:rsidRPr="00030712" w:rsidRDefault="00123DF5" w:rsidP="00950DD9">
            <w:pPr>
              <w:widowControl/>
              <w:jc w:val="center"/>
              <w:rPr>
                <w:rFonts w:ascii="Arial Narrow" w:hAnsi="Arial Narrow"/>
                <w:b/>
                <w:snapToGrid/>
                <w:sz w:val="20"/>
                <w:lang w:eastAsia="en-AU"/>
              </w:rPr>
            </w:pPr>
            <w:r w:rsidRPr="00AD7071">
              <w:rPr>
                <w:rFonts w:ascii="Arial Narrow" w:hAnsi="Arial Narrow"/>
                <w:b/>
                <w:snapToGrid/>
                <w:sz w:val="20"/>
                <w:lang w:eastAsia="en-AU"/>
              </w:rPr>
              <w:t>Increment</w:t>
            </w:r>
          </w:p>
        </w:tc>
      </w:tr>
      <w:tr w:rsidR="00123DF5" w:rsidRPr="00030712" w:rsidTr="00123DF5">
        <w:tc>
          <w:tcPr>
            <w:tcW w:w="1489" w:type="dxa"/>
            <w:shd w:val="clear" w:color="auto" w:fill="auto"/>
            <w:noWrap/>
            <w:vAlign w:val="center"/>
            <w:hideMark/>
          </w:tcPr>
          <w:p w:rsidR="00123DF5" w:rsidRPr="00030712" w:rsidRDefault="00123DF5" w:rsidP="00950DD9">
            <w:pPr>
              <w:widowControl/>
              <w:jc w:val="left"/>
              <w:rPr>
                <w:rFonts w:ascii="Arial Narrow" w:hAnsi="Arial Narrow"/>
                <w:snapToGrid/>
                <w:sz w:val="20"/>
                <w:lang w:eastAsia="en-AU"/>
              </w:rPr>
            </w:pPr>
            <w:r>
              <w:rPr>
                <w:rFonts w:ascii="Arial Narrow" w:hAnsi="Arial Narrow"/>
                <w:snapToGrid/>
                <w:sz w:val="20"/>
                <w:lang w:eastAsia="en-AU"/>
              </w:rPr>
              <w:t>Costs</w:t>
            </w:r>
          </w:p>
        </w:tc>
        <w:tc>
          <w:tcPr>
            <w:tcW w:w="2311" w:type="dxa"/>
            <w:shd w:val="clear" w:color="auto" w:fill="auto"/>
            <w:noWrap/>
            <w:vAlign w:val="center"/>
            <w:hideMark/>
          </w:tcPr>
          <w:p w:rsidR="00123DF5" w:rsidRPr="00040CF1" w:rsidRDefault="00123DF5" w:rsidP="00950DD9">
            <w:pPr>
              <w:widowControl/>
              <w:jc w:val="center"/>
              <w:rPr>
                <w:rFonts w:ascii="Arial Narrow" w:hAnsi="Arial Narrow"/>
                <w:i/>
                <w:snapToGrid/>
                <w:sz w:val="20"/>
                <w:lang w:eastAsia="en-AU"/>
              </w:rPr>
            </w:pPr>
            <w:r w:rsidRPr="00040CF1">
              <w:rPr>
                <w:rFonts w:ascii="Arial Narrow" w:hAnsi="Arial Narrow"/>
                <w:i/>
                <w:snapToGrid/>
                <w:sz w:val="20"/>
                <w:lang w:eastAsia="en-AU"/>
              </w:rPr>
              <w:t>$</w:t>
            </w:r>
            <w:r w:rsidR="00A83BF1">
              <w:rPr>
                <w:rFonts w:ascii="Arial Narrow" w:hAnsi="Arial Narrow"/>
                <w:i/>
                <w:noProof/>
                <w:snapToGrid/>
                <w:color w:val="000000"/>
                <w:sz w:val="20"/>
                <w:highlight w:val="black"/>
                <w:lang w:eastAsia="en-AU"/>
              </w:rPr>
              <w:t>''''''''''''''''</w:t>
            </w:r>
          </w:p>
        </w:tc>
        <w:tc>
          <w:tcPr>
            <w:tcW w:w="2291" w:type="dxa"/>
            <w:shd w:val="clear" w:color="auto" w:fill="auto"/>
            <w:noWrap/>
            <w:vAlign w:val="center"/>
            <w:hideMark/>
          </w:tcPr>
          <w:p w:rsidR="00123DF5" w:rsidRPr="00040CF1" w:rsidRDefault="00123DF5" w:rsidP="00950DD9">
            <w:pPr>
              <w:widowControl/>
              <w:jc w:val="center"/>
              <w:rPr>
                <w:rFonts w:ascii="Arial Narrow" w:hAnsi="Arial Narrow"/>
                <w:i/>
                <w:snapToGrid/>
                <w:sz w:val="20"/>
                <w:lang w:eastAsia="en-AU"/>
              </w:rPr>
            </w:pPr>
            <w:r w:rsidRPr="00040CF1">
              <w:rPr>
                <w:rFonts w:ascii="Arial Narrow" w:hAnsi="Arial Narrow"/>
                <w:i/>
                <w:snapToGrid/>
                <w:sz w:val="20"/>
                <w:lang w:eastAsia="en-AU"/>
              </w:rPr>
              <w:t>$</w:t>
            </w:r>
            <w:r w:rsidR="00A83BF1">
              <w:rPr>
                <w:rFonts w:ascii="Arial Narrow" w:hAnsi="Arial Narrow"/>
                <w:i/>
                <w:noProof/>
                <w:snapToGrid/>
                <w:color w:val="000000"/>
                <w:sz w:val="20"/>
                <w:highlight w:val="black"/>
                <w:lang w:eastAsia="en-AU"/>
              </w:rPr>
              <w:t>''''''''''''''''</w:t>
            </w:r>
          </w:p>
        </w:tc>
        <w:tc>
          <w:tcPr>
            <w:tcW w:w="2267" w:type="dxa"/>
            <w:shd w:val="clear" w:color="auto" w:fill="auto"/>
            <w:noWrap/>
            <w:vAlign w:val="center"/>
            <w:hideMark/>
          </w:tcPr>
          <w:p w:rsidR="00123DF5" w:rsidRPr="00040CF1" w:rsidRDefault="00123DF5" w:rsidP="00950DD9">
            <w:pPr>
              <w:widowControl/>
              <w:jc w:val="center"/>
              <w:rPr>
                <w:rFonts w:ascii="Arial Narrow" w:hAnsi="Arial Narrow"/>
                <w:i/>
                <w:snapToGrid/>
                <w:sz w:val="20"/>
                <w:lang w:eastAsia="en-AU"/>
              </w:rPr>
            </w:pPr>
            <w:r w:rsidRPr="00040CF1">
              <w:rPr>
                <w:rFonts w:ascii="Arial Narrow" w:hAnsi="Arial Narrow"/>
                <w:i/>
                <w:snapToGrid/>
                <w:sz w:val="20"/>
                <w:lang w:eastAsia="en-AU"/>
              </w:rPr>
              <w:t>$</w:t>
            </w:r>
            <w:r w:rsidR="00A83BF1">
              <w:rPr>
                <w:rFonts w:ascii="Arial Narrow" w:hAnsi="Arial Narrow"/>
                <w:i/>
                <w:noProof/>
                <w:snapToGrid/>
                <w:color w:val="000000"/>
                <w:sz w:val="20"/>
                <w:highlight w:val="black"/>
                <w:lang w:eastAsia="en-AU"/>
              </w:rPr>
              <w:t>''''''''''''''</w:t>
            </w:r>
          </w:p>
        </w:tc>
      </w:tr>
      <w:tr w:rsidR="00123DF5" w:rsidRPr="00030712" w:rsidTr="00123DF5">
        <w:tc>
          <w:tcPr>
            <w:tcW w:w="1489" w:type="dxa"/>
            <w:shd w:val="clear" w:color="auto" w:fill="auto"/>
            <w:noWrap/>
            <w:vAlign w:val="center"/>
            <w:hideMark/>
          </w:tcPr>
          <w:p w:rsidR="00123DF5" w:rsidRPr="00030712" w:rsidRDefault="00123DF5" w:rsidP="00950DD9">
            <w:pPr>
              <w:widowControl/>
              <w:jc w:val="left"/>
              <w:rPr>
                <w:rFonts w:ascii="Arial Narrow" w:hAnsi="Arial Narrow"/>
                <w:snapToGrid/>
                <w:sz w:val="20"/>
                <w:lang w:eastAsia="en-AU"/>
              </w:rPr>
            </w:pPr>
            <w:r>
              <w:rPr>
                <w:rFonts w:ascii="Arial Narrow" w:hAnsi="Arial Narrow"/>
                <w:snapToGrid/>
                <w:sz w:val="20"/>
                <w:lang w:eastAsia="en-AU"/>
              </w:rPr>
              <w:t>QALYs</w:t>
            </w:r>
          </w:p>
        </w:tc>
        <w:tc>
          <w:tcPr>
            <w:tcW w:w="2311" w:type="dxa"/>
            <w:shd w:val="clear" w:color="auto" w:fill="auto"/>
            <w:noWrap/>
            <w:vAlign w:val="center"/>
            <w:hideMark/>
          </w:tcPr>
          <w:p w:rsidR="00123DF5" w:rsidRPr="00040CF1" w:rsidRDefault="00123DF5" w:rsidP="00950DD9">
            <w:pPr>
              <w:widowControl/>
              <w:jc w:val="center"/>
              <w:rPr>
                <w:rFonts w:ascii="Arial Narrow" w:hAnsi="Arial Narrow"/>
                <w:i/>
                <w:snapToGrid/>
                <w:sz w:val="20"/>
                <w:lang w:eastAsia="en-AU"/>
              </w:rPr>
            </w:pPr>
            <w:r w:rsidRPr="00040CF1">
              <w:rPr>
                <w:rFonts w:ascii="Arial Narrow" w:hAnsi="Arial Narrow"/>
                <w:i/>
                <w:snapToGrid/>
                <w:sz w:val="20"/>
                <w:lang w:eastAsia="en-AU"/>
              </w:rPr>
              <w:t>5.3539</w:t>
            </w:r>
          </w:p>
        </w:tc>
        <w:tc>
          <w:tcPr>
            <w:tcW w:w="2291" w:type="dxa"/>
            <w:shd w:val="clear" w:color="auto" w:fill="auto"/>
            <w:noWrap/>
            <w:vAlign w:val="center"/>
            <w:hideMark/>
          </w:tcPr>
          <w:p w:rsidR="00123DF5" w:rsidRPr="00040CF1" w:rsidRDefault="00123DF5" w:rsidP="00950DD9">
            <w:pPr>
              <w:widowControl/>
              <w:jc w:val="center"/>
              <w:rPr>
                <w:rFonts w:ascii="Arial Narrow" w:hAnsi="Arial Narrow"/>
                <w:i/>
                <w:snapToGrid/>
                <w:sz w:val="20"/>
                <w:lang w:eastAsia="en-AU"/>
              </w:rPr>
            </w:pPr>
            <w:r w:rsidRPr="00040CF1">
              <w:rPr>
                <w:rFonts w:ascii="Arial Narrow" w:hAnsi="Arial Narrow"/>
                <w:i/>
                <w:snapToGrid/>
                <w:sz w:val="20"/>
                <w:lang w:eastAsia="en-AU"/>
              </w:rPr>
              <w:t>5.2985</w:t>
            </w:r>
          </w:p>
        </w:tc>
        <w:tc>
          <w:tcPr>
            <w:tcW w:w="2267" w:type="dxa"/>
            <w:shd w:val="clear" w:color="auto" w:fill="auto"/>
            <w:noWrap/>
            <w:vAlign w:val="center"/>
            <w:hideMark/>
          </w:tcPr>
          <w:p w:rsidR="00123DF5" w:rsidRPr="00040CF1" w:rsidRDefault="00123DF5" w:rsidP="00950DD9">
            <w:pPr>
              <w:widowControl/>
              <w:jc w:val="center"/>
              <w:rPr>
                <w:rFonts w:ascii="Arial Narrow" w:hAnsi="Arial Narrow"/>
                <w:i/>
                <w:snapToGrid/>
                <w:sz w:val="20"/>
                <w:lang w:eastAsia="en-AU"/>
              </w:rPr>
            </w:pPr>
            <w:r w:rsidRPr="00040CF1">
              <w:rPr>
                <w:rFonts w:ascii="Arial Narrow" w:hAnsi="Arial Narrow"/>
                <w:i/>
                <w:snapToGrid/>
                <w:sz w:val="20"/>
                <w:lang w:eastAsia="en-AU"/>
              </w:rPr>
              <w:t>0.0554</w:t>
            </w:r>
          </w:p>
        </w:tc>
      </w:tr>
      <w:tr w:rsidR="00123DF5" w:rsidRPr="00030712" w:rsidTr="00123DF5">
        <w:tc>
          <w:tcPr>
            <w:tcW w:w="6091" w:type="dxa"/>
            <w:gridSpan w:val="3"/>
            <w:shd w:val="clear" w:color="auto" w:fill="auto"/>
            <w:noWrap/>
            <w:vAlign w:val="center"/>
            <w:hideMark/>
          </w:tcPr>
          <w:p w:rsidR="00123DF5" w:rsidRPr="00030712" w:rsidRDefault="00123DF5" w:rsidP="00950DD9">
            <w:pPr>
              <w:widowControl/>
              <w:jc w:val="left"/>
              <w:rPr>
                <w:rFonts w:ascii="Arial Narrow" w:hAnsi="Arial Narrow"/>
                <w:b/>
                <w:snapToGrid/>
                <w:sz w:val="20"/>
                <w:lang w:eastAsia="en-AU"/>
              </w:rPr>
            </w:pPr>
            <w:r w:rsidRPr="00AD7071">
              <w:rPr>
                <w:rFonts w:ascii="Arial Narrow" w:hAnsi="Arial Narrow"/>
                <w:b/>
                <w:snapToGrid/>
                <w:sz w:val="20"/>
                <w:lang w:eastAsia="en-AU"/>
              </w:rPr>
              <w:t>Incremental cost per QALY gained</w:t>
            </w:r>
          </w:p>
        </w:tc>
        <w:tc>
          <w:tcPr>
            <w:tcW w:w="2267" w:type="dxa"/>
            <w:shd w:val="clear" w:color="auto" w:fill="auto"/>
            <w:noWrap/>
            <w:vAlign w:val="center"/>
            <w:hideMark/>
          </w:tcPr>
          <w:p w:rsidR="00123DF5" w:rsidRPr="00040CF1" w:rsidRDefault="00123DF5" w:rsidP="00950DD9">
            <w:pPr>
              <w:widowControl/>
              <w:jc w:val="center"/>
              <w:rPr>
                <w:rFonts w:ascii="Arial Narrow" w:hAnsi="Arial Narrow"/>
                <w:b/>
                <w:i/>
                <w:snapToGrid/>
                <w:sz w:val="20"/>
                <w:lang w:eastAsia="en-AU"/>
              </w:rPr>
            </w:pPr>
            <w:r w:rsidRPr="00040CF1">
              <w:rPr>
                <w:rFonts w:ascii="Arial Narrow" w:hAnsi="Arial Narrow"/>
                <w:b/>
                <w:i/>
                <w:snapToGrid/>
                <w:sz w:val="20"/>
                <w:lang w:eastAsia="en-AU"/>
              </w:rPr>
              <w:t>$</w:t>
            </w:r>
            <w:r w:rsidR="00A83BF1">
              <w:rPr>
                <w:rFonts w:ascii="Arial Narrow" w:hAnsi="Arial Narrow"/>
                <w:b/>
                <w:i/>
                <w:noProof/>
                <w:snapToGrid/>
                <w:color w:val="000000"/>
                <w:sz w:val="20"/>
                <w:highlight w:val="black"/>
                <w:lang w:eastAsia="en-AU"/>
              </w:rPr>
              <w:t>''''''''''''</w:t>
            </w:r>
          </w:p>
        </w:tc>
      </w:tr>
    </w:tbl>
    <w:p w:rsidR="00D110BD" w:rsidRPr="002B33AE" w:rsidRDefault="00D26253" w:rsidP="00950DD9">
      <w:pPr>
        <w:pStyle w:val="TableFooter"/>
        <w:widowControl/>
        <w:ind w:left="709" w:firstLine="11"/>
      </w:pPr>
      <w:r w:rsidRPr="0091775B">
        <w:t xml:space="preserve">Note: Figures in italics were corrected during the evaluation to account for the errors discussed in </w:t>
      </w:r>
      <w:r w:rsidRPr="001B3E77">
        <w:t>paragraph 6.</w:t>
      </w:r>
      <w:r w:rsidR="00447A0C" w:rsidRPr="001B3E77">
        <w:t>36</w:t>
      </w:r>
      <w:r w:rsidRPr="001B3E77">
        <w:t>.</w:t>
      </w:r>
    </w:p>
    <w:p w:rsidR="00D26253" w:rsidRDefault="00D26253" w:rsidP="00950DD9">
      <w:pPr>
        <w:pStyle w:val="ListParagraph"/>
        <w:widowControl/>
        <w:rPr>
          <w:i/>
          <w:szCs w:val="22"/>
        </w:rPr>
      </w:pPr>
    </w:p>
    <w:p w:rsidR="001B53AA" w:rsidRDefault="00040CF1" w:rsidP="00950DD9">
      <w:pPr>
        <w:pStyle w:val="ListParagraph"/>
        <w:widowControl/>
        <w:numPr>
          <w:ilvl w:val="1"/>
          <w:numId w:val="5"/>
        </w:numPr>
        <w:rPr>
          <w:szCs w:val="22"/>
        </w:rPr>
      </w:pPr>
      <w:r w:rsidRPr="002B33AE">
        <w:rPr>
          <w:szCs w:val="22"/>
        </w:rPr>
        <w:t>Based on the corrected economic model, treatment with strontium ranelate was associated with costs per QALY of $</w:t>
      </w:r>
      <w:r w:rsidR="00E22864">
        <w:rPr>
          <w:szCs w:val="22"/>
        </w:rPr>
        <w:t>45,000 – $75,000</w:t>
      </w:r>
      <w:r w:rsidRPr="002B33AE">
        <w:rPr>
          <w:szCs w:val="22"/>
        </w:rPr>
        <w:t xml:space="preserve"> compared to best supportive care (</w:t>
      </w:r>
      <w:r w:rsidR="0020754B">
        <w:rPr>
          <w:szCs w:val="22"/>
        </w:rPr>
        <w:t xml:space="preserve">the </w:t>
      </w:r>
      <w:r w:rsidRPr="002B33AE">
        <w:rPr>
          <w:szCs w:val="22"/>
        </w:rPr>
        <w:t>original uncorrected estimate was $</w:t>
      </w:r>
      <w:r w:rsidR="00E22864">
        <w:rPr>
          <w:szCs w:val="22"/>
        </w:rPr>
        <w:t>15,000 - $45,000</w:t>
      </w:r>
      <w:r w:rsidRPr="002B33AE">
        <w:rPr>
          <w:szCs w:val="22"/>
        </w:rPr>
        <w:t xml:space="preserve">). Alternatively, </w:t>
      </w:r>
      <w:r w:rsidR="00E47533">
        <w:rPr>
          <w:szCs w:val="22"/>
        </w:rPr>
        <w:t>the submission</w:t>
      </w:r>
      <w:r w:rsidR="00E47533" w:rsidRPr="002B33AE">
        <w:rPr>
          <w:szCs w:val="22"/>
        </w:rPr>
        <w:t xml:space="preserve"> </w:t>
      </w:r>
      <w:r w:rsidRPr="002B33AE">
        <w:rPr>
          <w:szCs w:val="22"/>
        </w:rPr>
        <w:t xml:space="preserve">expressed </w:t>
      </w:r>
      <w:r w:rsidR="00E47533">
        <w:rPr>
          <w:szCs w:val="22"/>
        </w:rPr>
        <w:t xml:space="preserve">the ICER </w:t>
      </w:r>
      <w:r w:rsidRPr="002B33AE">
        <w:rPr>
          <w:szCs w:val="22"/>
        </w:rPr>
        <w:t>as savings of $</w:t>
      </w:r>
      <w:r w:rsidR="00E22864">
        <w:rPr>
          <w:szCs w:val="22"/>
        </w:rPr>
        <w:t>45,000 – $75,000</w:t>
      </w:r>
      <w:r w:rsidRPr="002B33AE">
        <w:rPr>
          <w:szCs w:val="22"/>
        </w:rPr>
        <w:t xml:space="preserve"> per QALY foregone in the case that strontium ranelate is delisted from the PBS.</w:t>
      </w:r>
    </w:p>
    <w:p w:rsidR="00764176" w:rsidRPr="00287F4F" w:rsidRDefault="00764176" w:rsidP="00950DD9">
      <w:pPr>
        <w:pStyle w:val="ListParagraph"/>
        <w:widowControl/>
        <w:rPr>
          <w:szCs w:val="22"/>
        </w:rPr>
      </w:pPr>
    </w:p>
    <w:p w:rsidR="00CB2FF6" w:rsidRPr="00764176" w:rsidRDefault="00CB2FF6" w:rsidP="00950DD9">
      <w:pPr>
        <w:pStyle w:val="ListParagraph"/>
        <w:widowControl/>
        <w:numPr>
          <w:ilvl w:val="1"/>
          <w:numId w:val="5"/>
        </w:numPr>
        <w:rPr>
          <w:szCs w:val="22"/>
        </w:rPr>
      </w:pPr>
      <w:r w:rsidRPr="00764176">
        <w:rPr>
          <w:szCs w:val="22"/>
        </w:rPr>
        <w:t>The PSCR argued that it was inappropriate for the commentary to invert the economic evaluation to assess the cost-effectiveness of strontium ranelate for its current listing rather than the cost-e</w:t>
      </w:r>
      <w:r w:rsidR="00946662" w:rsidRPr="00764176">
        <w:rPr>
          <w:szCs w:val="22"/>
        </w:rPr>
        <w:t>ffectiveness of delisting.</w:t>
      </w:r>
      <w:r w:rsidRPr="00764176">
        <w:rPr>
          <w:szCs w:val="22"/>
        </w:rPr>
        <w:t xml:space="preserve"> The submission claimed that assessing the cost-effectiveness of delisting better reflects the current context for decision-making. However, the </w:t>
      </w:r>
      <w:r w:rsidR="0020754B" w:rsidRPr="00764176">
        <w:rPr>
          <w:szCs w:val="22"/>
        </w:rPr>
        <w:t xml:space="preserve">ESC considered that the </w:t>
      </w:r>
      <w:r w:rsidRPr="00764176">
        <w:rPr>
          <w:szCs w:val="22"/>
        </w:rPr>
        <w:t>economic evaluation did not account for the majority of patients currently treated with strontium ranelate and therefore did not adequately reflect the cost-effectiveness of delisting (which would affect all patients</w:t>
      </w:r>
      <w:r w:rsidR="00E47533" w:rsidRPr="00764176">
        <w:rPr>
          <w:szCs w:val="22"/>
        </w:rPr>
        <w:t>,</w:t>
      </w:r>
      <w:r w:rsidRPr="00764176">
        <w:rPr>
          <w:szCs w:val="22"/>
        </w:rPr>
        <w:t xml:space="preserve"> not just the subgroup of new initiating patients using strontium ranelate as last-line therapy). Therefore the analysis was inverted during the evaluation to assess the cost-effectiveness </w:t>
      </w:r>
      <w:r w:rsidR="00E47533" w:rsidRPr="00764176">
        <w:rPr>
          <w:szCs w:val="22"/>
        </w:rPr>
        <w:t xml:space="preserve">of the intent of the </w:t>
      </w:r>
      <w:r w:rsidRPr="00764176">
        <w:rPr>
          <w:szCs w:val="22"/>
        </w:rPr>
        <w:t>current listing which is more consistent with the presented data and is easier to interpret for decision-making purposes.</w:t>
      </w:r>
      <w:r w:rsidR="004C7BEC">
        <w:rPr>
          <w:szCs w:val="22"/>
        </w:rPr>
        <w:t xml:space="preserve"> </w:t>
      </w:r>
    </w:p>
    <w:p w:rsidR="001B53AA" w:rsidRPr="001B53AA" w:rsidRDefault="001B53AA" w:rsidP="00950DD9">
      <w:pPr>
        <w:widowControl/>
        <w:rPr>
          <w:szCs w:val="22"/>
        </w:rPr>
      </w:pPr>
    </w:p>
    <w:p w:rsidR="005C353D" w:rsidRPr="002B33AE" w:rsidRDefault="005C353D" w:rsidP="00950DD9">
      <w:pPr>
        <w:pStyle w:val="ListParagraph"/>
        <w:widowControl/>
        <w:numPr>
          <w:ilvl w:val="1"/>
          <w:numId w:val="5"/>
        </w:numPr>
        <w:rPr>
          <w:szCs w:val="22"/>
        </w:rPr>
      </w:pPr>
      <w:r w:rsidRPr="002B33AE">
        <w:rPr>
          <w:szCs w:val="22"/>
        </w:rPr>
        <w:t xml:space="preserve">The results of the univariate sensitivity analyses indicated that the economic model was most sensitive to treatment efficacy estimates for vertebral fracture, assumed duration of the recovery period and baseline fracture risk. Other sensitive variables included </w:t>
      </w:r>
      <w:r w:rsidR="00426130">
        <w:rPr>
          <w:szCs w:val="22"/>
        </w:rPr>
        <w:t xml:space="preserve">the </w:t>
      </w:r>
      <w:r w:rsidRPr="002B33AE">
        <w:rPr>
          <w:szCs w:val="22"/>
        </w:rPr>
        <w:t>time horizon, treatment efficacy estimates for other non</w:t>
      </w:r>
      <w:r w:rsidR="00426130">
        <w:rPr>
          <w:szCs w:val="22"/>
        </w:rPr>
        <w:noBreakHyphen/>
      </w:r>
      <w:r w:rsidRPr="002B33AE">
        <w:rPr>
          <w:szCs w:val="22"/>
        </w:rPr>
        <w:t>vertebral fracture, fracture utility values and acute fracture costs.</w:t>
      </w:r>
    </w:p>
    <w:p w:rsidR="00426130" w:rsidRPr="002B33AE" w:rsidRDefault="00426130" w:rsidP="00950DD9">
      <w:pPr>
        <w:pStyle w:val="ListParagraph"/>
        <w:widowControl/>
        <w:rPr>
          <w:szCs w:val="22"/>
        </w:rPr>
      </w:pPr>
    </w:p>
    <w:p w:rsidR="00426130" w:rsidRPr="005C2E20" w:rsidRDefault="00E22864" w:rsidP="00950DD9">
      <w:pPr>
        <w:pStyle w:val="ListParagraph"/>
        <w:widowControl/>
        <w:numPr>
          <w:ilvl w:val="1"/>
          <w:numId w:val="5"/>
        </w:numPr>
        <w:rPr>
          <w:szCs w:val="22"/>
        </w:rPr>
      </w:pPr>
      <w:r>
        <w:rPr>
          <w:szCs w:val="22"/>
        </w:rPr>
        <w:t>The PSCR</w:t>
      </w:r>
      <w:r w:rsidR="00426130" w:rsidRPr="00764176">
        <w:rPr>
          <w:szCs w:val="22"/>
        </w:rPr>
        <w:t xml:space="preserve"> proposed a revised base case which</w:t>
      </w:r>
      <w:r w:rsidR="00E47533" w:rsidRPr="00764176">
        <w:rPr>
          <w:szCs w:val="22"/>
        </w:rPr>
        <w:t>:</w:t>
      </w:r>
      <w:r w:rsidR="00426130" w:rsidRPr="00764176">
        <w:rPr>
          <w:szCs w:val="22"/>
        </w:rPr>
        <w:t xml:space="preserve"> corrected for the identified programming errors; excluded statistically non-significant treatment effects; decreased the assumed average fracture recovery period to three years; and reduced the dispensed price of strontium by </w:t>
      </w:r>
      <w:r w:rsidR="00A83BF1">
        <w:rPr>
          <w:noProof/>
          <w:color w:val="000000"/>
          <w:szCs w:val="22"/>
          <w:highlight w:val="black"/>
        </w:rPr>
        <w:t>''''''</w:t>
      </w:r>
      <w:r w:rsidR="00426130" w:rsidRPr="00764176">
        <w:rPr>
          <w:szCs w:val="22"/>
        </w:rPr>
        <w:t>%, to $</w:t>
      </w:r>
      <w:r w:rsidR="00A83BF1">
        <w:rPr>
          <w:noProof/>
          <w:color w:val="000000"/>
          <w:szCs w:val="22"/>
          <w:highlight w:val="black"/>
        </w:rPr>
        <w:t>''''''''''''</w:t>
      </w:r>
      <w:r w:rsidR="00426130" w:rsidRPr="00764176">
        <w:rPr>
          <w:szCs w:val="22"/>
        </w:rPr>
        <w:t xml:space="preserve">. The revised base case </w:t>
      </w:r>
      <w:r w:rsidR="00426130" w:rsidRPr="005C2E20">
        <w:rPr>
          <w:szCs w:val="22"/>
        </w:rPr>
        <w:t>ICER increased to $</w:t>
      </w:r>
      <w:r>
        <w:rPr>
          <w:szCs w:val="22"/>
        </w:rPr>
        <w:t>45,000 – $75,000</w:t>
      </w:r>
      <w:r w:rsidR="00426130" w:rsidRPr="005C2E20">
        <w:rPr>
          <w:szCs w:val="22"/>
        </w:rPr>
        <w:t xml:space="preserve"> per QALY.</w:t>
      </w:r>
    </w:p>
    <w:p w:rsidR="004C7BEC" w:rsidRPr="005C2E20" w:rsidRDefault="004C7BEC" w:rsidP="00950DD9">
      <w:pPr>
        <w:pStyle w:val="ListParagraph"/>
        <w:widowControl/>
        <w:rPr>
          <w:szCs w:val="22"/>
        </w:rPr>
      </w:pPr>
    </w:p>
    <w:p w:rsidR="004C7BEC" w:rsidRPr="005C2E20" w:rsidRDefault="00337E50" w:rsidP="00950DD9">
      <w:pPr>
        <w:pStyle w:val="ListParagraph"/>
        <w:widowControl/>
        <w:numPr>
          <w:ilvl w:val="1"/>
          <w:numId w:val="5"/>
        </w:numPr>
        <w:rPr>
          <w:szCs w:val="22"/>
        </w:rPr>
      </w:pPr>
      <w:r w:rsidRPr="005C2E20">
        <w:rPr>
          <w:szCs w:val="22"/>
        </w:rPr>
        <w:t>The pre-PBAC r</w:t>
      </w:r>
      <w:r w:rsidR="004C7BEC" w:rsidRPr="005C2E20">
        <w:rPr>
          <w:szCs w:val="22"/>
        </w:rPr>
        <w:t xml:space="preserve">esponse proposed a further revision to the base case, which included all </w:t>
      </w:r>
      <w:r w:rsidR="000764C3" w:rsidRPr="005C2E20">
        <w:rPr>
          <w:szCs w:val="22"/>
        </w:rPr>
        <w:t xml:space="preserve">the </w:t>
      </w:r>
      <w:r w:rsidR="004C7BEC" w:rsidRPr="005C2E20">
        <w:rPr>
          <w:szCs w:val="22"/>
        </w:rPr>
        <w:t>changes outlined above</w:t>
      </w:r>
      <w:r w:rsidR="000764C3" w:rsidRPr="005C2E20">
        <w:rPr>
          <w:szCs w:val="22"/>
        </w:rPr>
        <w:t xml:space="preserve"> and a </w:t>
      </w:r>
      <w:r w:rsidR="00A83BF1">
        <w:rPr>
          <w:noProof/>
          <w:color w:val="000000"/>
          <w:szCs w:val="22"/>
          <w:highlight w:val="black"/>
        </w:rPr>
        <w:t>'''''''''''</w:t>
      </w:r>
      <w:r w:rsidR="000764C3" w:rsidRPr="005C2E20">
        <w:rPr>
          <w:szCs w:val="22"/>
        </w:rPr>
        <w:t xml:space="preserve">% reduction in the </w:t>
      </w:r>
      <w:r w:rsidR="004C7BEC" w:rsidRPr="005C2E20">
        <w:rPr>
          <w:szCs w:val="22"/>
        </w:rPr>
        <w:t xml:space="preserve">dispensed price of strontium </w:t>
      </w:r>
      <w:r w:rsidR="000764C3" w:rsidRPr="005C2E20">
        <w:rPr>
          <w:szCs w:val="22"/>
        </w:rPr>
        <w:t>(</w:t>
      </w:r>
      <w:r w:rsidR="004C7BEC" w:rsidRPr="005C2E20">
        <w:rPr>
          <w:szCs w:val="22"/>
        </w:rPr>
        <w:t>to $</w:t>
      </w:r>
      <w:r w:rsidR="00A83BF1">
        <w:rPr>
          <w:noProof/>
          <w:color w:val="000000"/>
          <w:szCs w:val="22"/>
          <w:highlight w:val="black"/>
        </w:rPr>
        <w:t>''''''''''''</w:t>
      </w:r>
      <w:r w:rsidR="000764C3" w:rsidRPr="005C2E20">
        <w:rPr>
          <w:szCs w:val="22"/>
        </w:rPr>
        <w:t>)</w:t>
      </w:r>
      <w:r w:rsidR="004C7BEC" w:rsidRPr="005C2E20">
        <w:rPr>
          <w:szCs w:val="22"/>
        </w:rPr>
        <w:t>. The</w:t>
      </w:r>
      <w:r w:rsidR="000764C3" w:rsidRPr="005C2E20">
        <w:rPr>
          <w:szCs w:val="22"/>
        </w:rPr>
        <w:t>se changes resulted in a</w:t>
      </w:r>
      <w:r w:rsidR="004C7BEC" w:rsidRPr="005C2E20">
        <w:rPr>
          <w:szCs w:val="22"/>
        </w:rPr>
        <w:t xml:space="preserve"> revised base case ICER </w:t>
      </w:r>
      <w:r w:rsidR="000764C3" w:rsidRPr="005C2E20">
        <w:rPr>
          <w:szCs w:val="22"/>
        </w:rPr>
        <w:t>of</w:t>
      </w:r>
      <w:r w:rsidR="004C7BEC" w:rsidRPr="005C2E20">
        <w:rPr>
          <w:szCs w:val="22"/>
        </w:rPr>
        <w:t xml:space="preserve"> $</w:t>
      </w:r>
      <w:r w:rsidR="00E22864">
        <w:rPr>
          <w:szCs w:val="22"/>
        </w:rPr>
        <w:t>45,000 – $75,000</w:t>
      </w:r>
      <w:r w:rsidR="004C7BEC" w:rsidRPr="005C2E20">
        <w:rPr>
          <w:szCs w:val="22"/>
        </w:rPr>
        <w:t xml:space="preserve"> per QALY. </w:t>
      </w:r>
    </w:p>
    <w:p w:rsidR="00764176" w:rsidRPr="005C2E20" w:rsidRDefault="00764176" w:rsidP="00950DD9">
      <w:pPr>
        <w:pStyle w:val="ListParagraph"/>
        <w:widowControl/>
        <w:rPr>
          <w:szCs w:val="22"/>
        </w:rPr>
      </w:pPr>
    </w:p>
    <w:p w:rsidR="005151F9" w:rsidRPr="005C2E20" w:rsidRDefault="00337E50" w:rsidP="00950DD9">
      <w:pPr>
        <w:pStyle w:val="ListParagraph"/>
        <w:widowControl/>
        <w:rPr>
          <w:rFonts w:ascii="Arial Narrow" w:hAnsi="Arial Narrow"/>
          <w:b/>
          <w:sz w:val="20"/>
        </w:rPr>
      </w:pPr>
      <w:r w:rsidRPr="005C2E20">
        <w:rPr>
          <w:rFonts w:ascii="Arial Narrow" w:hAnsi="Arial Narrow"/>
          <w:b/>
          <w:sz w:val="20"/>
        </w:rPr>
        <w:t>Table 12</w:t>
      </w:r>
      <w:r w:rsidR="005151F9" w:rsidRPr="005C2E20">
        <w:rPr>
          <w:rFonts w:ascii="Arial Narrow" w:hAnsi="Arial Narrow"/>
          <w:b/>
          <w:sz w:val="20"/>
        </w:rPr>
        <w:t>: Revised base case economic analysis</w:t>
      </w:r>
    </w:p>
    <w:tbl>
      <w:tblPr>
        <w:tblStyle w:val="TableGrid"/>
        <w:tblW w:w="0" w:type="auto"/>
        <w:tblInd w:w="720" w:type="dxa"/>
        <w:tblLook w:val="04A0" w:firstRow="1" w:lastRow="0" w:firstColumn="1" w:lastColumn="0" w:noHBand="0" w:noVBand="1"/>
        <w:tblCaption w:val="Table 12: Revised base case economic analysis"/>
        <w:tblDescription w:val="The table shows the revised base case economic analysis"/>
      </w:tblPr>
      <w:tblGrid>
        <w:gridCol w:w="5625"/>
        <w:gridCol w:w="2835"/>
      </w:tblGrid>
      <w:tr w:rsidR="00DF4B73" w:rsidRPr="005C2E20" w:rsidTr="00C84650">
        <w:trPr>
          <w:tblHeader/>
        </w:trPr>
        <w:tc>
          <w:tcPr>
            <w:tcW w:w="5625" w:type="dxa"/>
            <w:vAlign w:val="center"/>
          </w:tcPr>
          <w:p w:rsidR="00DF4B73" w:rsidRPr="005C2E20" w:rsidRDefault="00DF4B73" w:rsidP="00950DD9">
            <w:pPr>
              <w:pStyle w:val="ListParagraph"/>
              <w:widowControl/>
              <w:ind w:left="0"/>
              <w:jc w:val="left"/>
              <w:rPr>
                <w:rFonts w:ascii="Arial Narrow" w:hAnsi="Arial Narrow"/>
                <w:b/>
                <w:sz w:val="20"/>
              </w:rPr>
            </w:pPr>
            <w:r w:rsidRPr="005C2E20">
              <w:rPr>
                <w:rFonts w:ascii="Arial Narrow" w:hAnsi="Arial Narrow"/>
                <w:b/>
                <w:sz w:val="20"/>
              </w:rPr>
              <w:t>Analysis</w:t>
            </w:r>
          </w:p>
        </w:tc>
        <w:tc>
          <w:tcPr>
            <w:tcW w:w="2835" w:type="dxa"/>
            <w:vAlign w:val="center"/>
          </w:tcPr>
          <w:p w:rsidR="00DF4B73" w:rsidRPr="005C2E20" w:rsidRDefault="00DF4B73" w:rsidP="00950DD9">
            <w:pPr>
              <w:pStyle w:val="ListParagraph"/>
              <w:widowControl/>
              <w:ind w:left="0"/>
              <w:jc w:val="center"/>
              <w:rPr>
                <w:rFonts w:ascii="Arial Narrow" w:hAnsi="Arial Narrow"/>
                <w:b/>
                <w:sz w:val="20"/>
              </w:rPr>
            </w:pPr>
            <w:r w:rsidRPr="005C2E20">
              <w:rPr>
                <w:rFonts w:ascii="Arial Narrow" w:hAnsi="Arial Narrow"/>
                <w:b/>
                <w:sz w:val="20"/>
              </w:rPr>
              <w:t>ICER</w:t>
            </w:r>
          </w:p>
        </w:tc>
      </w:tr>
      <w:tr w:rsidR="00DF4B73" w:rsidRPr="005C2E20" w:rsidTr="00DF4B73">
        <w:tc>
          <w:tcPr>
            <w:tcW w:w="5625" w:type="dxa"/>
          </w:tcPr>
          <w:p w:rsidR="00DF4B73" w:rsidRPr="005C2E20" w:rsidRDefault="00DF4B73" w:rsidP="00950DD9">
            <w:pPr>
              <w:pStyle w:val="ListParagraph"/>
              <w:widowControl/>
              <w:ind w:left="0"/>
              <w:rPr>
                <w:rFonts w:ascii="Arial Narrow" w:hAnsi="Arial Narrow"/>
                <w:sz w:val="20"/>
              </w:rPr>
            </w:pPr>
            <w:r w:rsidRPr="005C2E20">
              <w:rPr>
                <w:rFonts w:ascii="Arial Narrow" w:hAnsi="Arial Narrow"/>
                <w:sz w:val="20"/>
              </w:rPr>
              <w:t>Submission base case</w:t>
            </w:r>
          </w:p>
        </w:tc>
        <w:tc>
          <w:tcPr>
            <w:tcW w:w="2835" w:type="dxa"/>
            <w:vAlign w:val="center"/>
          </w:tcPr>
          <w:p w:rsidR="00DF4B73" w:rsidRPr="005C2E20" w:rsidRDefault="00DF4B73" w:rsidP="00950DD9">
            <w:pPr>
              <w:pStyle w:val="ListParagraph"/>
              <w:widowControl/>
              <w:ind w:left="0"/>
              <w:jc w:val="center"/>
              <w:rPr>
                <w:rFonts w:ascii="Arial Narrow" w:hAnsi="Arial Narrow"/>
                <w:sz w:val="20"/>
              </w:rPr>
            </w:pPr>
            <w:r w:rsidRPr="005C2E20">
              <w:rPr>
                <w:rFonts w:ascii="Arial Narrow" w:hAnsi="Arial Narrow"/>
                <w:sz w:val="20"/>
              </w:rPr>
              <w:t>$</w:t>
            </w:r>
            <w:r w:rsidR="00A83BF1">
              <w:rPr>
                <w:rFonts w:ascii="Arial Narrow" w:hAnsi="Arial Narrow"/>
                <w:noProof/>
                <w:color w:val="000000"/>
                <w:sz w:val="20"/>
                <w:highlight w:val="black"/>
              </w:rPr>
              <w:t>''''''''''''''''</w:t>
            </w:r>
          </w:p>
        </w:tc>
      </w:tr>
      <w:tr w:rsidR="00DF4B73" w:rsidRPr="005C2E20" w:rsidTr="00DF4B73">
        <w:tc>
          <w:tcPr>
            <w:tcW w:w="5625" w:type="dxa"/>
          </w:tcPr>
          <w:p w:rsidR="00DF4B73" w:rsidRPr="005C2E20" w:rsidRDefault="00DF4B73" w:rsidP="00950DD9">
            <w:pPr>
              <w:pStyle w:val="ListParagraph"/>
              <w:widowControl/>
              <w:ind w:left="0"/>
              <w:rPr>
                <w:rFonts w:ascii="Arial Narrow" w:hAnsi="Arial Narrow"/>
                <w:sz w:val="20"/>
              </w:rPr>
            </w:pPr>
            <w:r w:rsidRPr="005C2E20">
              <w:rPr>
                <w:rFonts w:ascii="Arial Narrow" w:hAnsi="Arial Narrow"/>
                <w:sz w:val="20"/>
              </w:rPr>
              <w:t>Corrected for programming errors</w:t>
            </w:r>
          </w:p>
        </w:tc>
        <w:tc>
          <w:tcPr>
            <w:tcW w:w="2835" w:type="dxa"/>
            <w:vAlign w:val="center"/>
          </w:tcPr>
          <w:p w:rsidR="00DF4B73" w:rsidRPr="005C2E20" w:rsidRDefault="00DF4B73" w:rsidP="00950DD9">
            <w:pPr>
              <w:pStyle w:val="ListParagraph"/>
              <w:widowControl/>
              <w:ind w:left="0"/>
              <w:jc w:val="center"/>
              <w:rPr>
                <w:rFonts w:ascii="Arial Narrow" w:hAnsi="Arial Narrow"/>
                <w:sz w:val="20"/>
              </w:rPr>
            </w:pPr>
            <w:r w:rsidRPr="005C2E20">
              <w:rPr>
                <w:rFonts w:ascii="Arial Narrow" w:hAnsi="Arial Narrow"/>
                <w:sz w:val="20"/>
              </w:rPr>
              <w:t>$</w:t>
            </w:r>
            <w:r w:rsidR="00A83BF1">
              <w:rPr>
                <w:rFonts w:ascii="Arial Narrow" w:hAnsi="Arial Narrow"/>
                <w:noProof/>
                <w:color w:val="000000"/>
                <w:sz w:val="20"/>
                <w:highlight w:val="black"/>
              </w:rPr>
              <w:t>'''''''''''''''''</w:t>
            </w:r>
          </w:p>
        </w:tc>
      </w:tr>
      <w:tr w:rsidR="00DF4B73" w:rsidRPr="005C2E20" w:rsidTr="00DF4B73">
        <w:tc>
          <w:tcPr>
            <w:tcW w:w="5625" w:type="dxa"/>
          </w:tcPr>
          <w:p w:rsidR="00DF4B73" w:rsidRPr="005C2E20" w:rsidRDefault="00DF4B73" w:rsidP="00950DD9">
            <w:pPr>
              <w:pStyle w:val="ListParagraph"/>
              <w:widowControl/>
              <w:ind w:left="0"/>
              <w:rPr>
                <w:rFonts w:ascii="Arial Narrow" w:hAnsi="Arial Narrow"/>
                <w:sz w:val="20"/>
              </w:rPr>
            </w:pPr>
            <w:r w:rsidRPr="005C2E20">
              <w:rPr>
                <w:rFonts w:ascii="Arial Narrow" w:hAnsi="Arial Narrow"/>
                <w:sz w:val="20"/>
              </w:rPr>
              <w:t>Excluding non-significant effects</w:t>
            </w:r>
          </w:p>
        </w:tc>
        <w:tc>
          <w:tcPr>
            <w:tcW w:w="2835" w:type="dxa"/>
            <w:vAlign w:val="center"/>
          </w:tcPr>
          <w:p w:rsidR="00DF4B73" w:rsidRPr="005C2E20" w:rsidRDefault="00DF4B73" w:rsidP="00950DD9">
            <w:pPr>
              <w:pStyle w:val="ListParagraph"/>
              <w:widowControl/>
              <w:ind w:left="0"/>
              <w:jc w:val="center"/>
              <w:rPr>
                <w:rFonts w:ascii="Arial Narrow" w:hAnsi="Arial Narrow"/>
                <w:sz w:val="20"/>
              </w:rPr>
            </w:pPr>
            <w:r w:rsidRPr="005C2E20">
              <w:rPr>
                <w:rFonts w:ascii="Arial Narrow" w:hAnsi="Arial Narrow"/>
                <w:sz w:val="20"/>
              </w:rPr>
              <w:t>$</w:t>
            </w:r>
            <w:r w:rsidR="00A83BF1">
              <w:rPr>
                <w:rFonts w:ascii="Arial Narrow" w:hAnsi="Arial Narrow"/>
                <w:noProof/>
                <w:color w:val="000000"/>
                <w:sz w:val="20"/>
                <w:highlight w:val="black"/>
              </w:rPr>
              <w:t>''''''''''''''''</w:t>
            </w:r>
          </w:p>
        </w:tc>
      </w:tr>
      <w:tr w:rsidR="00DF4B73" w:rsidRPr="005C2E20" w:rsidTr="00DF4B73">
        <w:tc>
          <w:tcPr>
            <w:tcW w:w="5625" w:type="dxa"/>
          </w:tcPr>
          <w:p w:rsidR="00DF4B73" w:rsidRPr="005C2E20" w:rsidRDefault="00DF4B73" w:rsidP="00950DD9">
            <w:pPr>
              <w:pStyle w:val="ListParagraph"/>
              <w:widowControl/>
              <w:ind w:left="0"/>
              <w:rPr>
                <w:rFonts w:ascii="Arial Narrow" w:hAnsi="Arial Narrow"/>
                <w:sz w:val="20"/>
              </w:rPr>
            </w:pPr>
            <w:r w:rsidRPr="005C2E20">
              <w:rPr>
                <w:rFonts w:ascii="Arial Narrow" w:hAnsi="Arial Narrow"/>
                <w:sz w:val="20"/>
              </w:rPr>
              <w:t>Fracture recovery period of 3 years</w:t>
            </w:r>
          </w:p>
        </w:tc>
        <w:tc>
          <w:tcPr>
            <w:tcW w:w="2835" w:type="dxa"/>
            <w:vAlign w:val="center"/>
          </w:tcPr>
          <w:p w:rsidR="00DF4B73" w:rsidRPr="005C2E20" w:rsidRDefault="00DF4B73" w:rsidP="00950DD9">
            <w:pPr>
              <w:pStyle w:val="ListParagraph"/>
              <w:widowControl/>
              <w:ind w:left="0"/>
              <w:jc w:val="center"/>
              <w:rPr>
                <w:rFonts w:ascii="Arial Narrow" w:hAnsi="Arial Narrow"/>
                <w:sz w:val="20"/>
              </w:rPr>
            </w:pPr>
            <w:r w:rsidRPr="005C2E20">
              <w:rPr>
                <w:rFonts w:ascii="Arial Narrow" w:hAnsi="Arial Narrow"/>
                <w:sz w:val="20"/>
              </w:rPr>
              <w:t>$</w:t>
            </w:r>
            <w:r w:rsidR="00A83BF1">
              <w:rPr>
                <w:rFonts w:ascii="Arial Narrow" w:hAnsi="Arial Narrow"/>
                <w:noProof/>
                <w:color w:val="000000"/>
                <w:sz w:val="20"/>
                <w:highlight w:val="black"/>
              </w:rPr>
              <w:t>''''''''''''''''</w:t>
            </w:r>
          </w:p>
        </w:tc>
      </w:tr>
      <w:tr w:rsidR="00DF4B73" w:rsidRPr="005C2E20" w:rsidTr="00DF4B73">
        <w:tc>
          <w:tcPr>
            <w:tcW w:w="5625" w:type="dxa"/>
          </w:tcPr>
          <w:p w:rsidR="00DF4B73" w:rsidRPr="005C2E20" w:rsidRDefault="00A83BF1" w:rsidP="00950DD9">
            <w:pPr>
              <w:pStyle w:val="ListParagraph"/>
              <w:widowControl/>
              <w:ind w:left="0"/>
              <w:rPr>
                <w:rFonts w:ascii="Arial Narrow" w:hAnsi="Arial Narrow"/>
                <w:sz w:val="20"/>
              </w:rPr>
            </w:pPr>
            <w:r>
              <w:rPr>
                <w:rFonts w:ascii="Arial Narrow" w:hAnsi="Arial Narrow"/>
                <w:noProof/>
                <w:color w:val="000000"/>
                <w:sz w:val="20"/>
                <w:highlight w:val="black"/>
              </w:rPr>
              <w:t>''''''</w:t>
            </w:r>
            <w:r w:rsidR="00DF4B73" w:rsidRPr="005C2E20">
              <w:rPr>
                <w:rFonts w:ascii="Arial Narrow" w:hAnsi="Arial Narrow"/>
                <w:sz w:val="20"/>
              </w:rPr>
              <w:t>% price reduction to $</w:t>
            </w:r>
            <w:r>
              <w:rPr>
                <w:rFonts w:ascii="Arial Narrow" w:hAnsi="Arial Narrow"/>
                <w:noProof/>
                <w:color w:val="000000"/>
                <w:sz w:val="20"/>
                <w:highlight w:val="black"/>
              </w:rPr>
              <w:t>''''''''''''''</w:t>
            </w:r>
            <w:r w:rsidR="00DF4B73" w:rsidRPr="005C2E20">
              <w:rPr>
                <w:rFonts w:ascii="Arial Narrow" w:hAnsi="Arial Narrow"/>
                <w:sz w:val="20"/>
              </w:rPr>
              <w:t xml:space="preserve"> DPMQ</w:t>
            </w:r>
          </w:p>
        </w:tc>
        <w:tc>
          <w:tcPr>
            <w:tcW w:w="2835" w:type="dxa"/>
            <w:vAlign w:val="center"/>
          </w:tcPr>
          <w:p w:rsidR="00DF4B73" w:rsidRPr="005C2E20" w:rsidRDefault="00DF4B73" w:rsidP="00950DD9">
            <w:pPr>
              <w:pStyle w:val="ListParagraph"/>
              <w:widowControl/>
              <w:ind w:left="0"/>
              <w:jc w:val="center"/>
              <w:rPr>
                <w:rFonts w:ascii="Arial Narrow" w:hAnsi="Arial Narrow"/>
                <w:sz w:val="20"/>
              </w:rPr>
            </w:pPr>
            <w:r w:rsidRPr="005C2E20">
              <w:rPr>
                <w:rFonts w:ascii="Arial Narrow" w:hAnsi="Arial Narrow"/>
                <w:sz w:val="20"/>
              </w:rPr>
              <w:t>$</w:t>
            </w:r>
            <w:r w:rsidR="00A83BF1">
              <w:rPr>
                <w:rFonts w:ascii="Arial Narrow" w:hAnsi="Arial Narrow"/>
                <w:noProof/>
                <w:color w:val="000000"/>
                <w:sz w:val="20"/>
                <w:highlight w:val="black"/>
              </w:rPr>
              <w:t>'''''''''''''''</w:t>
            </w:r>
          </w:p>
        </w:tc>
      </w:tr>
      <w:tr w:rsidR="00DF4B73" w:rsidRPr="005C2E20" w:rsidTr="00DF4B73">
        <w:tc>
          <w:tcPr>
            <w:tcW w:w="5625" w:type="dxa"/>
          </w:tcPr>
          <w:p w:rsidR="00DF4B73" w:rsidRPr="005C2E20" w:rsidRDefault="00DF4B73" w:rsidP="00950DD9">
            <w:pPr>
              <w:pStyle w:val="ListParagraph"/>
              <w:widowControl/>
              <w:ind w:left="0"/>
              <w:rPr>
                <w:rFonts w:ascii="Arial Narrow" w:hAnsi="Arial Narrow"/>
                <w:sz w:val="20"/>
              </w:rPr>
            </w:pPr>
            <w:r w:rsidRPr="005C2E20">
              <w:rPr>
                <w:rFonts w:ascii="Arial Narrow" w:hAnsi="Arial Narrow"/>
                <w:sz w:val="20"/>
              </w:rPr>
              <w:t xml:space="preserve">Further </w:t>
            </w:r>
            <w:r w:rsidR="00A83BF1">
              <w:rPr>
                <w:rFonts w:ascii="Arial Narrow" w:hAnsi="Arial Narrow"/>
                <w:noProof/>
                <w:color w:val="000000"/>
                <w:sz w:val="20"/>
                <w:highlight w:val="black"/>
              </w:rPr>
              <w:t>''''''''''</w:t>
            </w:r>
            <w:r w:rsidRPr="005C2E20">
              <w:rPr>
                <w:rFonts w:ascii="Arial Narrow" w:hAnsi="Arial Narrow"/>
                <w:sz w:val="20"/>
              </w:rPr>
              <w:t>% price reduction to $</w:t>
            </w:r>
            <w:r w:rsidR="00A83BF1">
              <w:rPr>
                <w:rFonts w:ascii="Arial Narrow" w:hAnsi="Arial Narrow"/>
                <w:noProof/>
                <w:color w:val="000000"/>
                <w:sz w:val="20"/>
                <w:highlight w:val="black"/>
              </w:rPr>
              <w:t>'''''''''''''</w:t>
            </w:r>
            <w:r w:rsidRPr="005C2E20">
              <w:rPr>
                <w:rFonts w:ascii="Arial Narrow" w:hAnsi="Arial Narrow"/>
                <w:sz w:val="20"/>
              </w:rPr>
              <w:t xml:space="preserve"> DPMQ</w:t>
            </w:r>
            <w:r w:rsidR="00F212DC" w:rsidRPr="005C2E20">
              <w:rPr>
                <w:rFonts w:ascii="Arial Narrow" w:hAnsi="Arial Narrow"/>
                <w:sz w:val="20"/>
              </w:rPr>
              <w:t xml:space="preserve"> (revised base case)</w:t>
            </w:r>
          </w:p>
        </w:tc>
        <w:tc>
          <w:tcPr>
            <w:tcW w:w="2835" w:type="dxa"/>
            <w:vAlign w:val="center"/>
          </w:tcPr>
          <w:p w:rsidR="00DF4B73" w:rsidRPr="005C2E20" w:rsidRDefault="00DF4B73" w:rsidP="00950DD9">
            <w:pPr>
              <w:pStyle w:val="ListParagraph"/>
              <w:widowControl/>
              <w:ind w:left="0"/>
              <w:jc w:val="center"/>
              <w:rPr>
                <w:rFonts w:ascii="Arial Narrow" w:hAnsi="Arial Narrow"/>
                <w:sz w:val="20"/>
              </w:rPr>
            </w:pPr>
            <w:r w:rsidRPr="005C2E20">
              <w:rPr>
                <w:rFonts w:ascii="Arial Narrow" w:hAnsi="Arial Narrow"/>
                <w:sz w:val="20"/>
              </w:rPr>
              <w:t>$</w:t>
            </w:r>
            <w:r w:rsidR="00A83BF1">
              <w:rPr>
                <w:rFonts w:ascii="Arial Narrow" w:hAnsi="Arial Narrow"/>
                <w:noProof/>
                <w:color w:val="000000"/>
                <w:sz w:val="20"/>
                <w:highlight w:val="black"/>
              </w:rPr>
              <w:t>'''''''''''''''''</w:t>
            </w:r>
          </w:p>
        </w:tc>
      </w:tr>
    </w:tbl>
    <w:p w:rsidR="005151F9" w:rsidRPr="005C2E20" w:rsidRDefault="005151F9" w:rsidP="00950DD9">
      <w:pPr>
        <w:pStyle w:val="ListParagraph"/>
        <w:widowControl/>
        <w:rPr>
          <w:rFonts w:ascii="Arial Narrow" w:hAnsi="Arial Narrow"/>
          <w:sz w:val="18"/>
        </w:rPr>
      </w:pPr>
      <w:r w:rsidRPr="005C2E20">
        <w:rPr>
          <w:rFonts w:ascii="Arial Narrow" w:hAnsi="Arial Narrow"/>
          <w:sz w:val="18"/>
        </w:rPr>
        <w:t>Source: Pre-PBAC Response (p.4)</w:t>
      </w:r>
    </w:p>
    <w:p w:rsidR="004C7BEC" w:rsidRPr="005C2E20" w:rsidRDefault="004C7BEC" w:rsidP="00950DD9">
      <w:pPr>
        <w:pStyle w:val="ListParagraph"/>
        <w:widowControl/>
        <w:rPr>
          <w:szCs w:val="22"/>
        </w:rPr>
      </w:pPr>
    </w:p>
    <w:p w:rsidR="00FA213F" w:rsidRPr="005C2E20" w:rsidRDefault="00FA213F" w:rsidP="00FA213F">
      <w:pPr>
        <w:widowControl/>
        <w:numPr>
          <w:ilvl w:val="1"/>
          <w:numId w:val="5"/>
        </w:numPr>
        <w:contextualSpacing/>
        <w:rPr>
          <w:szCs w:val="22"/>
          <w:lang w:val="en-GB"/>
        </w:rPr>
      </w:pPr>
      <w:r w:rsidRPr="005C2E20">
        <w:rPr>
          <w:szCs w:val="22"/>
          <w:lang w:val="en-GB"/>
        </w:rPr>
        <w:t>The PBAC considered that if the submission was seeking PBS-listing of strontium ranelate, it would not consider an ICER of around $</w:t>
      </w:r>
      <w:r w:rsidR="00E22864">
        <w:rPr>
          <w:szCs w:val="22"/>
        </w:rPr>
        <w:t>45,000 – $75,000</w:t>
      </w:r>
      <w:r w:rsidRPr="005C2E20">
        <w:rPr>
          <w:szCs w:val="22"/>
          <w:lang w:val="en-GB"/>
        </w:rPr>
        <w:t xml:space="preserve">per QALY sufficiently cost effective for this indication. Accordingly, as the submission is seeking continued listing of strontium ranelate, the PBAC considered that a pragmatic approach would be to recommend continued listing of strontium on the condition that the price of strontium is reduced such that the ICER would be </w:t>
      </w:r>
      <w:r w:rsidR="005C2E20" w:rsidRPr="005C2E20">
        <w:rPr>
          <w:szCs w:val="22"/>
          <w:lang w:val="en-GB"/>
        </w:rPr>
        <w:t>less than</w:t>
      </w:r>
      <w:r w:rsidRPr="005C2E20">
        <w:rPr>
          <w:szCs w:val="22"/>
          <w:lang w:val="en-GB"/>
        </w:rPr>
        <w:t xml:space="preserve"> $</w:t>
      </w:r>
      <w:r w:rsidR="00E22864">
        <w:rPr>
          <w:szCs w:val="22"/>
          <w:lang w:val="en-GB"/>
        </w:rPr>
        <w:t>15,000 - $45,000</w:t>
      </w:r>
      <w:r w:rsidRPr="005C2E20">
        <w:rPr>
          <w:szCs w:val="22"/>
          <w:lang w:val="en-GB"/>
        </w:rPr>
        <w:t xml:space="preserve"> per QALY.  An ICER of </w:t>
      </w:r>
      <w:r w:rsidR="005C2E20" w:rsidRPr="005C2E20">
        <w:rPr>
          <w:szCs w:val="22"/>
          <w:lang w:val="en-GB"/>
        </w:rPr>
        <w:t xml:space="preserve">less than </w:t>
      </w:r>
      <w:r w:rsidRPr="005C2E20">
        <w:rPr>
          <w:szCs w:val="22"/>
          <w:lang w:val="en-GB"/>
        </w:rPr>
        <w:t>$</w:t>
      </w:r>
      <w:r w:rsidR="00E22864">
        <w:rPr>
          <w:szCs w:val="22"/>
          <w:lang w:val="en-GB"/>
        </w:rPr>
        <w:t>15,000 - $45,000</w:t>
      </w:r>
      <w:r w:rsidRPr="005C2E20">
        <w:rPr>
          <w:szCs w:val="22"/>
          <w:lang w:val="en-GB"/>
        </w:rPr>
        <w:t xml:space="preserve"> per QALY would be broadly in line with previous PBAC considerations of drugs for this indication and in line with the ICER that the submission had initially proposed.</w:t>
      </w:r>
    </w:p>
    <w:p w:rsidR="00FA213F" w:rsidRPr="005C2E20" w:rsidRDefault="00FA213F" w:rsidP="00950DD9">
      <w:pPr>
        <w:pStyle w:val="ListParagraph"/>
        <w:widowControl/>
        <w:rPr>
          <w:szCs w:val="22"/>
        </w:rPr>
      </w:pPr>
    </w:p>
    <w:p w:rsidR="00123DF5" w:rsidRPr="005C2E20" w:rsidRDefault="00764176" w:rsidP="00FA213F">
      <w:pPr>
        <w:widowControl/>
        <w:ind w:firstLine="709"/>
        <w:rPr>
          <w:i/>
          <w:szCs w:val="22"/>
        </w:rPr>
      </w:pPr>
      <w:r w:rsidRPr="005C2E20">
        <w:rPr>
          <w:i/>
          <w:szCs w:val="22"/>
        </w:rPr>
        <w:t>For more detail on PBAC’s view, see section 7 “PBAC outcome</w:t>
      </w:r>
    </w:p>
    <w:p w:rsidR="00FA213F" w:rsidRPr="005C2E20" w:rsidRDefault="00FA213F" w:rsidP="00950DD9">
      <w:pPr>
        <w:widowControl/>
        <w:rPr>
          <w:szCs w:val="22"/>
        </w:rPr>
      </w:pPr>
    </w:p>
    <w:p w:rsidR="00C25D9C" w:rsidRPr="005C2E20" w:rsidRDefault="00A93264" w:rsidP="00950DD9">
      <w:pPr>
        <w:pStyle w:val="Heading2"/>
        <w:widowControl/>
        <w:rPr>
          <w:i/>
          <w:szCs w:val="22"/>
        </w:rPr>
      </w:pPr>
      <w:bookmarkStart w:id="14" w:name="_Toc419206536"/>
      <w:r w:rsidRPr="005C2E20">
        <w:rPr>
          <w:i/>
        </w:rPr>
        <w:t>Drug cost/patient/year</w:t>
      </w:r>
      <w:r w:rsidR="0008378D" w:rsidRPr="005C2E20">
        <w:rPr>
          <w:i/>
        </w:rPr>
        <w:t>: $</w:t>
      </w:r>
      <w:bookmarkEnd w:id="14"/>
      <w:r w:rsidR="00A83BF1">
        <w:rPr>
          <w:i/>
          <w:noProof/>
          <w:color w:val="000000"/>
          <w:highlight w:val="black"/>
        </w:rPr>
        <w:t>'''''''''''''</w:t>
      </w:r>
    </w:p>
    <w:p w:rsidR="00C25D9C" w:rsidRPr="005C2E20" w:rsidRDefault="00C25D9C" w:rsidP="00950DD9">
      <w:pPr>
        <w:widowControl/>
        <w:rPr>
          <w:szCs w:val="22"/>
        </w:rPr>
      </w:pPr>
    </w:p>
    <w:p w:rsidR="00A93264" w:rsidRPr="005C2E20" w:rsidRDefault="00A93264" w:rsidP="00950DD9">
      <w:pPr>
        <w:pStyle w:val="ListParagraph"/>
        <w:widowControl/>
        <w:numPr>
          <w:ilvl w:val="1"/>
          <w:numId w:val="5"/>
        </w:numPr>
        <w:rPr>
          <w:szCs w:val="22"/>
        </w:rPr>
      </w:pPr>
      <w:r w:rsidRPr="005C2E20">
        <w:rPr>
          <w:szCs w:val="22"/>
        </w:rPr>
        <w:t>The annual cost of strontium ranelate and other PBS-listed osteoporosis medications</w:t>
      </w:r>
      <w:r w:rsidR="00446E49" w:rsidRPr="005C2E20">
        <w:rPr>
          <w:szCs w:val="22"/>
        </w:rPr>
        <w:t>,</w:t>
      </w:r>
      <w:r w:rsidRPr="005C2E20">
        <w:rPr>
          <w:szCs w:val="22"/>
        </w:rPr>
        <w:t xml:space="preserve"> </w:t>
      </w:r>
      <w:r w:rsidR="00446E49" w:rsidRPr="005C2E20">
        <w:rPr>
          <w:szCs w:val="22"/>
        </w:rPr>
        <w:t xml:space="preserve">based on the indicated number of scripts per year, </w:t>
      </w:r>
      <w:r w:rsidRPr="005C2E20">
        <w:rPr>
          <w:szCs w:val="22"/>
        </w:rPr>
        <w:t>are summarised in the table below</w:t>
      </w:r>
      <w:r w:rsidR="00446E49" w:rsidRPr="005C2E20">
        <w:rPr>
          <w:szCs w:val="22"/>
        </w:rPr>
        <w:t xml:space="preserve">. With a </w:t>
      </w:r>
      <w:r w:rsidR="009E4798" w:rsidRPr="005C2E20">
        <w:rPr>
          <w:szCs w:val="22"/>
        </w:rPr>
        <w:t xml:space="preserve">reduced </w:t>
      </w:r>
      <w:r w:rsidR="00447A0C" w:rsidRPr="005C2E20">
        <w:rPr>
          <w:szCs w:val="22"/>
        </w:rPr>
        <w:t xml:space="preserve">requested </w:t>
      </w:r>
      <w:r w:rsidR="00446E49" w:rsidRPr="005C2E20">
        <w:rPr>
          <w:szCs w:val="22"/>
        </w:rPr>
        <w:t>DPMQ</w:t>
      </w:r>
      <w:r w:rsidR="00447A0C" w:rsidRPr="005C2E20">
        <w:rPr>
          <w:szCs w:val="22"/>
        </w:rPr>
        <w:t xml:space="preserve"> (from the pre-PBAC response)</w:t>
      </w:r>
      <w:r w:rsidR="00446E49" w:rsidRPr="005C2E20">
        <w:rPr>
          <w:szCs w:val="22"/>
        </w:rPr>
        <w:t xml:space="preserve"> of $</w:t>
      </w:r>
      <w:r w:rsidR="00A83BF1">
        <w:rPr>
          <w:noProof/>
          <w:color w:val="000000"/>
          <w:szCs w:val="22"/>
          <w:highlight w:val="black"/>
        </w:rPr>
        <w:t>''''''''''''''</w:t>
      </w:r>
      <w:r w:rsidR="00446E49" w:rsidRPr="005C2E20">
        <w:rPr>
          <w:szCs w:val="22"/>
        </w:rPr>
        <w:t xml:space="preserve"> and assuming 13 scripts per year, the annual cost of strontium ranelate is $</w:t>
      </w:r>
      <w:r w:rsidR="00A83BF1">
        <w:rPr>
          <w:noProof/>
          <w:color w:val="000000"/>
          <w:szCs w:val="22"/>
          <w:highlight w:val="black"/>
        </w:rPr>
        <w:t>'''''''''''''''</w:t>
      </w:r>
      <w:r w:rsidR="00446E49" w:rsidRPr="005C2E20">
        <w:rPr>
          <w:szCs w:val="22"/>
        </w:rPr>
        <w:t>.</w:t>
      </w:r>
      <w:r w:rsidR="009E4798" w:rsidRPr="005C2E20">
        <w:rPr>
          <w:szCs w:val="22"/>
        </w:rPr>
        <w:t xml:space="preserve"> By comparison, the annual cost of strontium at the current DPMQ of $52.00 was $676.</w:t>
      </w:r>
    </w:p>
    <w:p w:rsidR="00A93264" w:rsidRDefault="00A93264" w:rsidP="00950DD9">
      <w:pPr>
        <w:pStyle w:val="PBACHeading1"/>
        <w:numPr>
          <w:ilvl w:val="0"/>
          <w:numId w:val="0"/>
        </w:numPr>
        <w:ind w:left="720" w:hanging="720"/>
      </w:pPr>
    </w:p>
    <w:p w:rsidR="0070442D" w:rsidRPr="005C2E20" w:rsidRDefault="0070442D" w:rsidP="00447A0C">
      <w:pPr>
        <w:keepNext/>
        <w:widowControl/>
        <w:ind w:firstLine="720"/>
        <w:jc w:val="left"/>
        <w:rPr>
          <w:rFonts w:ascii="Arial Narrow" w:hAnsi="Arial Narrow"/>
          <w:b/>
          <w:sz w:val="20"/>
          <w:szCs w:val="16"/>
        </w:rPr>
      </w:pPr>
      <w:r w:rsidRPr="005C2E20">
        <w:rPr>
          <w:rStyle w:val="CommentReference"/>
        </w:rPr>
        <w:t xml:space="preserve">Table </w:t>
      </w:r>
      <w:r w:rsidR="00337E50" w:rsidRPr="005C2E20">
        <w:rPr>
          <w:rStyle w:val="CommentReference"/>
        </w:rPr>
        <w:t>13</w:t>
      </w:r>
      <w:r w:rsidRPr="005C2E20">
        <w:rPr>
          <w:rStyle w:val="CommentReference"/>
        </w:rPr>
        <w:t>: Annual drug costs for PBS-listed osteoporosis medications</w:t>
      </w:r>
    </w:p>
    <w:tbl>
      <w:tblPr>
        <w:tblW w:w="4522" w:type="pct"/>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0"/>
        <w:gridCol w:w="4158"/>
      </w:tblGrid>
      <w:tr w:rsidR="0070442D" w:rsidRPr="005C2E20" w:rsidTr="0070442D">
        <w:tc>
          <w:tcPr>
            <w:tcW w:w="4200" w:type="dxa"/>
            <w:shd w:val="clear" w:color="auto" w:fill="auto"/>
            <w:noWrap/>
            <w:vAlign w:val="center"/>
          </w:tcPr>
          <w:p w:rsidR="0070442D" w:rsidRPr="005C2E20" w:rsidRDefault="0070442D" w:rsidP="00447A0C">
            <w:pPr>
              <w:keepNext/>
              <w:widowControl/>
              <w:jc w:val="left"/>
              <w:rPr>
                <w:rFonts w:ascii="Arial Narrow" w:hAnsi="Arial Narrow"/>
                <w:b/>
                <w:snapToGrid/>
                <w:sz w:val="20"/>
                <w:lang w:eastAsia="en-AU"/>
              </w:rPr>
            </w:pPr>
            <w:r w:rsidRPr="005C2E20">
              <w:rPr>
                <w:rFonts w:ascii="Arial Narrow" w:hAnsi="Arial Narrow"/>
                <w:b/>
                <w:snapToGrid/>
                <w:sz w:val="20"/>
                <w:lang w:eastAsia="en-AU"/>
              </w:rPr>
              <w:t>Treatment</w:t>
            </w:r>
          </w:p>
        </w:tc>
        <w:tc>
          <w:tcPr>
            <w:tcW w:w="4158" w:type="dxa"/>
            <w:shd w:val="clear" w:color="auto" w:fill="auto"/>
            <w:noWrap/>
            <w:vAlign w:val="center"/>
            <w:hideMark/>
          </w:tcPr>
          <w:p w:rsidR="0070442D" w:rsidRPr="005C2E20" w:rsidRDefault="0070442D" w:rsidP="00447A0C">
            <w:pPr>
              <w:keepNext/>
              <w:widowControl/>
              <w:jc w:val="center"/>
              <w:rPr>
                <w:rFonts w:ascii="Arial Narrow" w:hAnsi="Arial Narrow"/>
                <w:b/>
                <w:snapToGrid/>
                <w:sz w:val="20"/>
                <w:lang w:eastAsia="en-AU"/>
              </w:rPr>
            </w:pPr>
            <w:r w:rsidRPr="005C2E20">
              <w:rPr>
                <w:rFonts w:ascii="Arial Narrow" w:hAnsi="Arial Narrow"/>
                <w:b/>
                <w:snapToGrid/>
                <w:sz w:val="20"/>
                <w:lang w:eastAsia="en-AU"/>
              </w:rPr>
              <w:t>Annual cost (DPMQ)</w:t>
            </w:r>
          </w:p>
        </w:tc>
      </w:tr>
      <w:tr w:rsidR="0070442D" w:rsidRPr="005C2E20" w:rsidTr="0070442D">
        <w:tc>
          <w:tcPr>
            <w:tcW w:w="4200" w:type="dxa"/>
            <w:shd w:val="clear" w:color="auto" w:fill="auto"/>
            <w:noWrap/>
            <w:vAlign w:val="center"/>
          </w:tcPr>
          <w:p w:rsidR="0070442D" w:rsidRPr="005C2E20" w:rsidRDefault="0070442D" w:rsidP="00447A0C">
            <w:pPr>
              <w:keepNext/>
              <w:widowControl/>
              <w:jc w:val="left"/>
              <w:rPr>
                <w:rFonts w:ascii="Arial Narrow" w:hAnsi="Arial Narrow"/>
                <w:snapToGrid/>
                <w:sz w:val="20"/>
                <w:lang w:eastAsia="en-AU"/>
              </w:rPr>
            </w:pPr>
            <w:r w:rsidRPr="005C2E20">
              <w:rPr>
                <w:rFonts w:ascii="Arial Narrow" w:hAnsi="Arial Narrow"/>
                <w:snapToGrid/>
                <w:sz w:val="20"/>
                <w:lang w:eastAsia="en-AU"/>
              </w:rPr>
              <w:t>Strontium ranelate</w:t>
            </w:r>
          </w:p>
        </w:tc>
        <w:tc>
          <w:tcPr>
            <w:tcW w:w="4158" w:type="dxa"/>
            <w:shd w:val="clear" w:color="auto" w:fill="auto"/>
            <w:noWrap/>
            <w:vAlign w:val="center"/>
          </w:tcPr>
          <w:p w:rsidR="0070442D" w:rsidRPr="005C2E20" w:rsidRDefault="0070442D" w:rsidP="00447A0C">
            <w:pPr>
              <w:keepNext/>
              <w:widowControl/>
              <w:jc w:val="center"/>
              <w:rPr>
                <w:rFonts w:ascii="Arial Narrow" w:hAnsi="Arial Narrow"/>
                <w:snapToGrid/>
                <w:sz w:val="20"/>
                <w:lang w:eastAsia="en-AU"/>
              </w:rPr>
            </w:pPr>
            <w:r w:rsidRPr="005C2E20">
              <w:rPr>
                <w:rFonts w:ascii="Arial Narrow" w:hAnsi="Arial Narrow"/>
                <w:snapToGrid/>
                <w:sz w:val="20"/>
                <w:lang w:eastAsia="en-AU"/>
              </w:rPr>
              <w:t>$</w:t>
            </w:r>
            <w:r w:rsidR="00A83BF1">
              <w:rPr>
                <w:rFonts w:ascii="Arial Narrow" w:hAnsi="Arial Narrow"/>
                <w:noProof/>
                <w:snapToGrid/>
                <w:color w:val="000000"/>
                <w:sz w:val="20"/>
                <w:highlight w:val="black"/>
                <w:lang w:eastAsia="en-AU"/>
              </w:rPr>
              <w:t>''''''''''''''''</w:t>
            </w:r>
            <w:r w:rsidR="009E4798" w:rsidRPr="005C2E20">
              <w:rPr>
                <w:rFonts w:ascii="Arial Narrow" w:hAnsi="Arial Narrow"/>
                <w:i/>
                <w:snapToGrid/>
                <w:sz w:val="20"/>
                <w:lang w:eastAsia="en-AU"/>
              </w:rPr>
              <w:t xml:space="preserve"> </w:t>
            </w:r>
            <w:r w:rsidRPr="005C2E20">
              <w:rPr>
                <w:rFonts w:ascii="Arial Narrow" w:hAnsi="Arial Narrow"/>
                <w:snapToGrid/>
                <w:sz w:val="20"/>
                <w:lang w:eastAsia="en-AU"/>
              </w:rPr>
              <w:t>(13 scripts)</w:t>
            </w:r>
          </w:p>
        </w:tc>
      </w:tr>
      <w:tr w:rsidR="0070442D" w:rsidRPr="005C2E20" w:rsidTr="0070442D">
        <w:tc>
          <w:tcPr>
            <w:tcW w:w="4200" w:type="dxa"/>
            <w:shd w:val="clear" w:color="auto" w:fill="auto"/>
            <w:noWrap/>
            <w:vAlign w:val="center"/>
          </w:tcPr>
          <w:p w:rsidR="0070442D" w:rsidRPr="005C2E20" w:rsidRDefault="0070442D" w:rsidP="00447A0C">
            <w:pPr>
              <w:keepNext/>
              <w:widowControl/>
              <w:jc w:val="left"/>
              <w:rPr>
                <w:rFonts w:ascii="Arial Narrow" w:hAnsi="Arial Narrow"/>
                <w:snapToGrid/>
                <w:sz w:val="20"/>
                <w:lang w:eastAsia="en-AU"/>
              </w:rPr>
            </w:pPr>
            <w:r w:rsidRPr="005C2E20">
              <w:rPr>
                <w:rFonts w:ascii="Arial Narrow" w:hAnsi="Arial Narrow"/>
                <w:snapToGrid/>
                <w:sz w:val="20"/>
                <w:lang w:eastAsia="en-AU"/>
              </w:rPr>
              <w:t>Alendronate monotherapy</w:t>
            </w:r>
          </w:p>
        </w:tc>
        <w:tc>
          <w:tcPr>
            <w:tcW w:w="4158" w:type="dxa"/>
            <w:shd w:val="clear" w:color="auto" w:fill="auto"/>
            <w:noWrap/>
            <w:vAlign w:val="center"/>
          </w:tcPr>
          <w:p w:rsidR="0070442D" w:rsidRPr="005C2E20" w:rsidRDefault="0070442D" w:rsidP="00447A0C">
            <w:pPr>
              <w:keepNext/>
              <w:widowControl/>
              <w:jc w:val="center"/>
              <w:rPr>
                <w:rFonts w:ascii="Arial Narrow" w:hAnsi="Arial Narrow"/>
                <w:snapToGrid/>
                <w:sz w:val="20"/>
                <w:lang w:eastAsia="en-AU"/>
              </w:rPr>
            </w:pPr>
            <w:r w:rsidRPr="005C2E20">
              <w:rPr>
                <w:rFonts w:ascii="Arial Narrow" w:hAnsi="Arial Narrow"/>
                <w:snapToGrid/>
                <w:sz w:val="20"/>
                <w:lang w:eastAsia="en-AU"/>
              </w:rPr>
              <w:t>$194 (13 scripts)</w:t>
            </w:r>
          </w:p>
        </w:tc>
      </w:tr>
      <w:tr w:rsidR="0070442D" w:rsidRPr="005C2E20" w:rsidTr="0070442D">
        <w:tc>
          <w:tcPr>
            <w:tcW w:w="4200" w:type="dxa"/>
            <w:shd w:val="clear" w:color="auto" w:fill="auto"/>
            <w:noWrap/>
            <w:vAlign w:val="center"/>
          </w:tcPr>
          <w:p w:rsidR="0070442D" w:rsidRPr="005C2E20" w:rsidRDefault="0070442D" w:rsidP="00447A0C">
            <w:pPr>
              <w:keepNext/>
              <w:widowControl/>
              <w:jc w:val="left"/>
              <w:rPr>
                <w:rFonts w:ascii="Arial Narrow" w:hAnsi="Arial Narrow"/>
                <w:snapToGrid/>
                <w:sz w:val="20"/>
                <w:lang w:eastAsia="en-AU"/>
              </w:rPr>
            </w:pPr>
            <w:r w:rsidRPr="005C2E20">
              <w:rPr>
                <w:rFonts w:ascii="Arial Narrow" w:hAnsi="Arial Narrow"/>
                <w:snapToGrid/>
                <w:sz w:val="20"/>
                <w:lang w:eastAsia="en-AU"/>
              </w:rPr>
              <w:t>Alendronate fixed dose combinations</w:t>
            </w:r>
          </w:p>
        </w:tc>
        <w:tc>
          <w:tcPr>
            <w:tcW w:w="4158" w:type="dxa"/>
            <w:shd w:val="clear" w:color="auto" w:fill="auto"/>
            <w:noWrap/>
            <w:vAlign w:val="center"/>
          </w:tcPr>
          <w:p w:rsidR="0070442D" w:rsidRPr="005C2E20" w:rsidRDefault="0070442D" w:rsidP="00447A0C">
            <w:pPr>
              <w:keepNext/>
              <w:widowControl/>
              <w:jc w:val="center"/>
              <w:rPr>
                <w:rFonts w:ascii="Arial Narrow" w:hAnsi="Arial Narrow"/>
                <w:snapToGrid/>
                <w:sz w:val="20"/>
                <w:lang w:eastAsia="en-AU"/>
              </w:rPr>
            </w:pPr>
            <w:r w:rsidRPr="005C2E20">
              <w:rPr>
                <w:rFonts w:ascii="Arial Narrow" w:hAnsi="Arial Narrow"/>
                <w:snapToGrid/>
                <w:sz w:val="20"/>
                <w:lang w:eastAsia="en-AU"/>
              </w:rPr>
              <w:t>$592 (13 scripts)</w:t>
            </w:r>
          </w:p>
        </w:tc>
      </w:tr>
      <w:tr w:rsidR="0070442D" w:rsidRPr="005C2E20" w:rsidTr="0070442D">
        <w:tc>
          <w:tcPr>
            <w:tcW w:w="4200" w:type="dxa"/>
            <w:shd w:val="clear" w:color="auto" w:fill="auto"/>
            <w:noWrap/>
            <w:vAlign w:val="center"/>
          </w:tcPr>
          <w:p w:rsidR="0070442D" w:rsidRPr="005C2E20" w:rsidRDefault="0070442D" w:rsidP="00447A0C">
            <w:pPr>
              <w:keepNext/>
              <w:widowControl/>
              <w:jc w:val="left"/>
              <w:rPr>
                <w:rFonts w:ascii="Arial Narrow" w:hAnsi="Arial Narrow"/>
                <w:snapToGrid/>
                <w:sz w:val="20"/>
                <w:lang w:eastAsia="en-AU"/>
              </w:rPr>
            </w:pPr>
            <w:r w:rsidRPr="005C2E20">
              <w:rPr>
                <w:rFonts w:ascii="Arial Narrow" w:hAnsi="Arial Narrow"/>
                <w:snapToGrid/>
                <w:sz w:val="20"/>
                <w:lang w:eastAsia="en-AU"/>
              </w:rPr>
              <w:t>Risedronate monotherapy</w:t>
            </w:r>
          </w:p>
        </w:tc>
        <w:tc>
          <w:tcPr>
            <w:tcW w:w="4158" w:type="dxa"/>
            <w:shd w:val="clear" w:color="auto" w:fill="auto"/>
            <w:noWrap/>
            <w:vAlign w:val="center"/>
          </w:tcPr>
          <w:p w:rsidR="0070442D" w:rsidRPr="005C2E20" w:rsidRDefault="0070442D" w:rsidP="00447A0C">
            <w:pPr>
              <w:keepNext/>
              <w:widowControl/>
              <w:jc w:val="center"/>
              <w:rPr>
                <w:rFonts w:ascii="Arial Narrow" w:hAnsi="Arial Narrow"/>
                <w:snapToGrid/>
                <w:sz w:val="20"/>
                <w:lang w:eastAsia="en-AU"/>
              </w:rPr>
            </w:pPr>
            <w:r w:rsidRPr="005C2E20">
              <w:rPr>
                <w:rFonts w:ascii="Arial Narrow" w:hAnsi="Arial Narrow"/>
                <w:snapToGrid/>
                <w:sz w:val="20"/>
                <w:lang w:eastAsia="en-AU"/>
              </w:rPr>
              <w:t>$536-$547, depending on formulation (13 scripts)</w:t>
            </w:r>
          </w:p>
        </w:tc>
      </w:tr>
      <w:tr w:rsidR="0070442D" w:rsidRPr="005C2E20" w:rsidTr="0070442D">
        <w:tc>
          <w:tcPr>
            <w:tcW w:w="4200" w:type="dxa"/>
            <w:shd w:val="clear" w:color="auto" w:fill="auto"/>
            <w:noWrap/>
            <w:vAlign w:val="center"/>
          </w:tcPr>
          <w:p w:rsidR="0070442D" w:rsidRPr="005C2E20" w:rsidRDefault="0070442D" w:rsidP="00447A0C">
            <w:pPr>
              <w:keepNext/>
              <w:widowControl/>
              <w:jc w:val="left"/>
              <w:rPr>
                <w:rFonts w:ascii="Arial Narrow" w:hAnsi="Arial Narrow"/>
                <w:snapToGrid/>
                <w:sz w:val="20"/>
                <w:lang w:eastAsia="en-AU"/>
              </w:rPr>
            </w:pPr>
            <w:r w:rsidRPr="005C2E20">
              <w:rPr>
                <w:rFonts w:ascii="Arial Narrow" w:hAnsi="Arial Narrow"/>
                <w:snapToGrid/>
                <w:sz w:val="20"/>
                <w:lang w:eastAsia="en-AU"/>
              </w:rPr>
              <w:t>Risedronate fixed dose combinations</w:t>
            </w:r>
          </w:p>
        </w:tc>
        <w:tc>
          <w:tcPr>
            <w:tcW w:w="4158" w:type="dxa"/>
            <w:shd w:val="clear" w:color="auto" w:fill="auto"/>
            <w:noWrap/>
            <w:vAlign w:val="center"/>
          </w:tcPr>
          <w:p w:rsidR="0070442D" w:rsidRPr="005C2E20" w:rsidRDefault="0070442D" w:rsidP="00447A0C">
            <w:pPr>
              <w:keepNext/>
              <w:widowControl/>
              <w:jc w:val="center"/>
              <w:rPr>
                <w:rFonts w:ascii="Arial Narrow" w:hAnsi="Arial Narrow"/>
                <w:snapToGrid/>
                <w:sz w:val="20"/>
                <w:lang w:eastAsia="en-AU"/>
              </w:rPr>
            </w:pPr>
            <w:r w:rsidRPr="005C2E20">
              <w:rPr>
                <w:rFonts w:ascii="Arial Narrow" w:hAnsi="Arial Narrow"/>
                <w:snapToGrid/>
                <w:sz w:val="20"/>
                <w:lang w:eastAsia="en-AU"/>
              </w:rPr>
              <w:t>$594 (13 scripts)</w:t>
            </w:r>
          </w:p>
        </w:tc>
      </w:tr>
      <w:tr w:rsidR="0070442D" w:rsidRPr="005C2E20" w:rsidTr="0070442D">
        <w:tc>
          <w:tcPr>
            <w:tcW w:w="4200" w:type="dxa"/>
            <w:shd w:val="clear" w:color="auto" w:fill="auto"/>
            <w:noWrap/>
            <w:vAlign w:val="center"/>
          </w:tcPr>
          <w:p w:rsidR="0070442D" w:rsidRPr="005C2E20" w:rsidRDefault="0070442D" w:rsidP="00447A0C">
            <w:pPr>
              <w:keepNext/>
              <w:widowControl/>
              <w:jc w:val="left"/>
              <w:rPr>
                <w:rFonts w:ascii="Arial Narrow" w:hAnsi="Arial Narrow"/>
                <w:snapToGrid/>
                <w:sz w:val="20"/>
                <w:lang w:eastAsia="en-AU"/>
              </w:rPr>
            </w:pPr>
            <w:r w:rsidRPr="005C2E20">
              <w:rPr>
                <w:rFonts w:ascii="Arial Narrow" w:hAnsi="Arial Narrow"/>
                <w:snapToGrid/>
                <w:sz w:val="20"/>
                <w:lang w:eastAsia="en-AU"/>
              </w:rPr>
              <w:t>Zoledronic acid</w:t>
            </w:r>
          </w:p>
        </w:tc>
        <w:tc>
          <w:tcPr>
            <w:tcW w:w="4158" w:type="dxa"/>
            <w:shd w:val="clear" w:color="auto" w:fill="auto"/>
            <w:noWrap/>
            <w:vAlign w:val="center"/>
          </w:tcPr>
          <w:p w:rsidR="0070442D" w:rsidRPr="005C2E20" w:rsidRDefault="0070442D" w:rsidP="00447A0C">
            <w:pPr>
              <w:keepNext/>
              <w:widowControl/>
              <w:jc w:val="center"/>
              <w:rPr>
                <w:rFonts w:ascii="Arial Narrow" w:hAnsi="Arial Narrow"/>
                <w:snapToGrid/>
                <w:sz w:val="20"/>
                <w:lang w:eastAsia="en-AU"/>
              </w:rPr>
            </w:pPr>
            <w:r w:rsidRPr="005C2E20">
              <w:rPr>
                <w:rFonts w:ascii="Arial Narrow" w:hAnsi="Arial Narrow"/>
                <w:snapToGrid/>
                <w:sz w:val="20"/>
                <w:lang w:eastAsia="en-AU"/>
              </w:rPr>
              <w:t>$590 (1 script)</w:t>
            </w:r>
          </w:p>
        </w:tc>
      </w:tr>
      <w:tr w:rsidR="0070442D" w:rsidRPr="005C2E20" w:rsidTr="0070442D">
        <w:tc>
          <w:tcPr>
            <w:tcW w:w="4200" w:type="dxa"/>
            <w:shd w:val="clear" w:color="auto" w:fill="auto"/>
            <w:noWrap/>
            <w:vAlign w:val="center"/>
          </w:tcPr>
          <w:p w:rsidR="0070442D" w:rsidRPr="005C2E20" w:rsidRDefault="0070442D" w:rsidP="00447A0C">
            <w:pPr>
              <w:keepNext/>
              <w:widowControl/>
              <w:jc w:val="left"/>
              <w:rPr>
                <w:rFonts w:ascii="Arial Narrow" w:hAnsi="Arial Narrow"/>
                <w:snapToGrid/>
                <w:sz w:val="20"/>
                <w:lang w:eastAsia="en-AU"/>
              </w:rPr>
            </w:pPr>
            <w:r w:rsidRPr="005C2E20">
              <w:rPr>
                <w:rFonts w:ascii="Arial Narrow" w:hAnsi="Arial Narrow"/>
                <w:snapToGrid/>
                <w:sz w:val="20"/>
                <w:lang w:eastAsia="en-AU"/>
              </w:rPr>
              <w:t>Denosumab</w:t>
            </w:r>
          </w:p>
        </w:tc>
        <w:tc>
          <w:tcPr>
            <w:tcW w:w="4158" w:type="dxa"/>
            <w:shd w:val="clear" w:color="auto" w:fill="auto"/>
            <w:noWrap/>
            <w:vAlign w:val="center"/>
          </w:tcPr>
          <w:p w:rsidR="0070442D" w:rsidRPr="005C2E20" w:rsidRDefault="0070442D" w:rsidP="00447A0C">
            <w:pPr>
              <w:keepNext/>
              <w:widowControl/>
              <w:jc w:val="center"/>
              <w:rPr>
                <w:rFonts w:ascii="Arial Narrow" w:hAnsi="Arial Narrow"/>
                <w:snapToGrid/>
                <w:sz w:val="20"/>
                <w:lang w:eastAsia="en-AU"/>
              </w:rPr>
            </w:pPr>
            <w:r w:rsidRPr="005C2E20">
              <w:rPr>
                <w:rFonts w:ascii="Arial Narrow" w:hAnsi="Arial Narrow"/>
                <w:snapToGrid/>
                <w:sz w:val="20"/>
                <w:lang w:eastAsia="en-AU"/>
              </w:rPr>
              <w:t>$592 (2 scripts)</w:t>
            </w:r>
          </w:p>
        </w:tc>
      </w:tr>
      <w:tr w:rsidR="0070442D" w:rsidRPr="005C2E20" w:rsidTr="0070442D">
        <w:tc>
          <w:tcPr>
            <w:tcW w:w="4200" w:type="dxa"/>
            <w:shd w:val="clear" w:color="auto" w:fill="auto"/>
            <w:noWrap/>
            <w:vAlign w:val="center"/>
          </w:tcPr>
          <w:p w:rsidR="0070442D" w:rsidRPr="005C2E20" w:rsidRDefault="0070442D" w:rsidP="00447A0C">
            <w:pPr>
              <w:keepNext/>
              <w:widowControl/>
              <w:jc w:val="left"/>
              <w:rPr>
                <w:rFonts w:ascii="Arial Narrow" w:hAnsi="Arial Narrow"/>
                <w:snapToGrid/>
                <w:sz w:val="20"/>
                <w:lang w:eastAsia="en-AU"/>
              </w:rPr>
            </w:pPr>
            <w:r w:rsidRPr="005C2E20">
              <w:rPr>
                <w:rFonts w:ascii="Arial Narrow" w:hAnsi="Arial Narrow"/>
                <w:snapToGrid/>
                <w:sz w:val="20"/>
                <w:lang w:eastAsia="en-AU"/>
              </w:rPr>
              <w:t>Raloxifene</w:t>
            </w:r>
          </w:p>
        </w:tc>
        <w:tc>
          <w:tcPr>
            <w:tcW w:w="4158" w:type="dxa"/>
            <w:shd w:val="clear" w:color="auto" w:fill="auto"/>
            <w:noWrap/>
            <w:vAlign w:val="center"/>
          </w:tcPr>
          <w:p w:rsidR="0070442D" w:rsidRPr="005C2E20" w:rsidRDefault="0070442D" w:rsidP="00447A0C">
            <w:pPr>
              <w:keepNext/>
              <w:widowControl/>
              <w:jc w:val="center"/>
              <w:rPr>
                <w:rFonts w:ascii="Arial Narrow" w:hAnsi="Arial Narrow"/>
                <w:snapToGrid/>
                <w:sz w:val="20"/>
                <w:lang w:eastAsia="en-AU"/>
              </w:rPr>
            </w:pPr>
            <w:r w:rsidRPr="005C2E20">
              <w:rPr>
                <w:rFonts w:ascii="Arial Narrow" w:hAnsi="Arial Narrow"/>
                <w:snapToGrid/>
                <w:sz w:val="20"/>
                <w:lang w:eastAsia="en-AU"/>
              </w:rPr>
              <w:t>$657 (13 scripts)</w:t>
            </w:r>
          </w:p>
        </w:tc>
      </w:tr>
      <w:tr w:rsidR="0070442D" w:rsidRPr="005C2E20" w:rsidTr="0070442D">
        <w:tc>
          <w:tcPr>
            <w:tcW w:w="4200" w:type="dxa"/>
            <w:shd w:val="clear" w:color="auto" w:fill="auto"/>
            <w:noWrap/>
            <w:vAlign w:val="center"/>
          </w:tcPr>
          <w:p w:rsidR="0070442D" w:rsidRPr="005C2E20" w:rsidRDefault="0070442D" w:rsidP="00950DD9">
            <w:pPr>
              <w:widowControl/>
              <w:jc w:val="left"/>
              <w:rPr>
                <w:rFonts w:ascii="Arial Narrow" w:hAnsi="Arial Narrow"/>
                <w:snapToGrid/>
                <w:sz w:val="20"/>
                <w:lang w:eastAsia="en-AU"/>
              </w:rPr>
            </w:pPr>
            <w:r w:rsidRPr="005C2E20">
              <w:rPr>
                <w:rFonts w:ascii="Arial Narrow" w:hAnsi="Arial Narrow"/>
                <w:snapToGrid/>
                <w:sz w:val="20"/>
                <w:lang w:eastAsia="en-AU"/>
              </w:rPr>
              <w:t>Teriparatide</w:t>
            </w:r>
          </w:p>
        </w:tc>
        <w:tc>
          <w:tcPr>
            <w:tcW w:w="4158" w:type="dxa"/>
            <w:shd w:val="clear" w:color="auto" w:fill="auto"/>
            <w:noWrap/>
            <w:vAlign w:val="center"/>
          </w:tcPr>
          <w:p w:rsidR="0070442D" w:rsidRPr="005C2E20" w:rsidRDefault="0070442D" w:rsidP="00950DD9">
            <w:pPr>
              <w:widowControl/>
              <w:jc w:val="center"/>
              <w:rPr>
                <w:rFonts w:ascii="Arial Narrow" w:hAnsi="Arial Narrow"/>
                <w:snapToGrid/>
                <w:sz w:val="20"/>
                <w:lang w:eastAsia="en-AU"/>
              </w:rPr>
            </w:pPr>
            <w:r w:rsidRPr="005C2E20">
              <w:rPr>
                <w:rFonts w:ascii="Arial Narrow" w:hAnsi="Arial Narrow"/>
                <w:snapToGrid/>
                <w:sz w:val="20"/>
                <w:lang w:eastAsia="en-AU"/>
              </w:rPr>
              <w:t>$5,703 (13 scripts)</w:t>
            </w:r>
          </w:p>
        </w:tc>
      </w:tr>
    </w:tbl>
    <w:p w:rsidR="00F6485B" w:rsidRPr="005C2E20" w:rsidRDefault="00F6485B" w:rsidP="00950DD9">
      <w:pPr>
        <w:widowControl/>
        <w:rPr>
          <w:szCs w:val="22"/>
        </w:rPr>
      </w:pPr>
    </w:p>
    <w:p w:rsidR="00B60939" w:rsidRPr="005C2E20" w:rsidRDefault="00B60939" w:rsidP="00950DD9">
      <w:pPr>
        <w:pStyle w:val="Heading2"/>
        <w:keepNext/>
        <w:widowControl/>
        <w:rPr>
          <w:i/>
        </w:rPr>
      </w:pPr>
      <w:bookmarkStart w:id="15" w:name="_Toc419206537"/>
      <w:r w:rsidRPr="005C2E20">
        <w:rPr>
          <w:i/>
        </w:rPr>
        <w:t>Estimated PBS usage &amp; financial implications</w:t>
      </w:r>
      <w:bookmarkEnd w:id="15"/>
    </w:p>
    <w:p w:rsidR="00B60939" w:rsidRPr="005C2E20" w:rsidRDefault="00B60939" w:rsidP="00950DD9">
      <w:pPr>
        <w:keepNext/>
        <w:widowControl/>
        <w:ind w:left="720" w:hanging="720"/>
        <w:rPr>
          <w:b/>
          <w:i/>
          <w:szCs w:val="22"/>
        </w:rPr>
      </w:pPr>
    </w:p>
    <w:p w:rsidR="00E15EDB" w:rsidRPr="005C2E20" w:rsidRDefault="00944326" w:rsidP="00EA3778">
      <w:pPr>
        <w:pStyle w:val="ListParagraph"/>
        <w:widowControl/>
        <w:numPr>
          <w:ilvl w:val="1"/>
          <w:numId w:val="5"/>
        </w:numPr>
        <w:rPr>
          <w:szCs w:val="22"/>
        </w:rPr>
      </w:pPr>
      <w:r w:rsidRPr="005C2E20">
        <w:t xml:space="preserve">This submission </w:t>
      </w:r>
      <w:r w:rsidR="002B33AE" w:rsidRPr="005C2E20">
        <w:t>was</w:t>
      </w:r>
      <w:r w:rsidR="00A3656C" w:rsidRPr="005C2E20">
        <w:t xml:space="preserve"> not </w:t>
      </w:r>
      <w:r w:rsidR="00C25D9C" w:rsidRPr="005C2E20">
        <w:t>considered by DUSC</w:t>
      </w:r>
      <w:r w:rsidR="00C25D9C" w:rsidRPr="005C2E20">
        <w:rPr>
          <w:color w:val="0070C0"/>
        </w:rPr>
        <w:t>.</w:t>
      </w:r>
      <w:r w:rsidR="00E15EDB" w:rsidRPr="005C2E20">
        <w:rPr>
          <w:color w:val="0070C0"/>
        </w:rPr>
        <w:t xml:space="preserve"> </w:t>
      </w:r>
      <w:r w:rsidR="00E15EDB" w:rsidRPr="005C2E20">
        <w:t xml:space="preserve">However, in response to a request from the PBAC, the DUSC Secretariat provided an analysis of dispensing data to assess the proportion of patients currently taking strontium who may have contraindications or precautions to use of strontium as inferred from co-administered medicines. The analysis concluded the following: </w:t>
      </w:r>
      <w:r w:rsidR="00E15EDB" w:rsidRPr="005C2E20">
        <w:rPr>
          <w:i/>
        </w:rPr>
        <w:t>Despite a declining trend in the number of prevalent and incident strontium patients, the extent of co-administration of medicines that may infer a contraindication or precaution to the use of strontium does not appear to have changed to any great extent based on the comparison of February 2014 and February 2015 PBS data. Caution is required in interpreting the result.</w:t>
      </w:r>
      <w:r w:rsidR="00EA3778" w:rsidRPr="005C2E20">
        <w:rPr>
          <w:i/>
        </w:rPr>
        <w:t xml:space="preserve"> </w:t>
      </w:r>
      <w:r w:rsidR="00E15EDB" w:rsidRPr="005C2E20">
        <w:rPr>
          <w:szCs w:val="22"/>
        </w:rPr>
        <w:t xml:space="preserve">The pre-PBAC response noted a number of serious limitations to the analysis which called into question both these results and the conclusions drawn from them. </w:t>
      </w:r>
    </w:p>
    <w:p w:rsidR="00E6708C" w:rsidRPr="00E6708C" w:rsidRDefault="00E6708C" w:rsidP="00950DD9">
      <w:pPr>
        <w:widowControl/>
        <w:rPr>
          <w:szCs w:val="22"/>
        </w:rPr>
      </w:pPr>
    </w:p>
    <w:p w:rsidR="00C25D9C" w:rsidRDefault="00E6708C" w:rsidP="00950DD9">
      <w:pPr>
        <w:pStyle w:val="ListParagraph"/>
        <w:widowControl/>
        <w:numPr>
          <w:ilvl w:val="1"/>
          <w:numId w:val="5"/>
        </w:numPr>
        <w:rPr>
          <w:szCs w:val="22"/>
        </w:rPr>
      </w:pPr>
      <w:r w:rsidRPr="00E6708C">
        <w:rPr>
          <w:szCs w:val="22"/>
        </w:rPr>
        <w:t>The submission used a market share approach to estimate the utilisation</w:t>
      </w:r>
      <w:r w:rsidR="006C4B3E">
        <w:rPr>
          <w:szCs w:val="22"/>
        </w:rPr>
        <w:t xml:space="preserve"> and </w:t>
      </w:r>
      <w:r w:rsidRPr="00E6708C">
        <w:rPr>
          <w:szCs w:val="22"/>
        </w:rPr>
        <w:t>financial implications associated with continued listing or delisting strontium ranelate from the PBS</w:t>
      </w:r>
      <w:r w:rsidR="006F6A73">
        <w:rPr>
          <w:szCs w:val="22"/>
        </w:rPr>
        <w:t>.</w:t>
      </w:r>
    </w:p>
    <w:p w:rsidR="006F6A73" w:rsidRPr="006F6A73" w:rsidRDefault="006F6A73" w:rsidP="00950DD9">
      <w:pPr>
        <w:pStyle w:val="ListParagraph"/>
        <w:widowControl/>
        <w:rPr>
          <w:szCs w:val="22"/>
        </w:rPr>
      </w:pPr>
    </w:p>
    <w:p w:rsidR="006F6A73" w:rsidRPr="00F851CE" w:rsidRDefault="006F6A73" w:rsidP="00950DD9">
      <w:pPr>
        <w:pStyle w:val="COMtbl-HEADLeftAligned"/>
        <w:keepNext/>
        <w:widowControl/>
      </w:pPr>
      <w:r>
        <w:tab/>
        <w:t>Tab</w:t>
      </w:r>
      <w:r w:rsidR="00337E50">
        <w:t>le 14</w:t>
      </w:r>
      <w:r>
        <w:t>:</w:t>
      </w:r>
      <w:r w:rsidRPr="004D60A2">
        <w:t xml:space="preserve"> </w:t>
      </w:r>
      <w:r w:rsidRPr="007F1500">
        <w:t xml:space="preserve">Estimated utilisation </w:t>
      </w:r>
      <w:r>
        <w:t xml:space="preserve">of strontium ranelate </w:t>
      </w:r>
      <w:r w:rsidRPr="007F1500">
        <w:t>and cost to the PBS</w:t>
      </w:r>
      <w:r>
        <w:t xml:space="preserve"> over the next</w:t>
      </w:r>
      <w:r w:rsidRPr="007F1500">
        <w:t xml:space="preserve"> five years of listing</w:t>
      </w:r>
    </w:p>
    <w:tbl>
      <w:tblPr>
        <w:tblW w:w="4594" w:type="pct"/>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85"/>
        <w:gridCol w:w="1111"/>
        <w:gridCol w:w="1112"/>
        <w:gridCol w:w="1112"/>
        <w:gridCol w:w="1112"/>
        <w:gridCol w:w="1113"/>
      </w:tblGrid>
      <w:tr w:rsidR="006F6A73" w:rsidTr="006F6A73">
        <w:trPr>
          <w:trHeight w:val="64"/>
        </w:trPr>
        <w:tc>
          <w:tcPr>
            <w:tcW w:w="1669" w:type="pct"/>
            <w:vAlign w:val="center"/>
          </w:tcPr>
          <w:p w:rsidR="006F6A73" w:rsidRPr="009C1C89" w:rsidRDefault="006F6A73" w:rsidP="00950DD9">
            <w:pPr>
              <w:pStyle w:val="COMtbl-HEADLeftAligned"/>
              <w:keepNext/>
              <w:widowControl/>
              <w:jc w:val="center"/>
            </w:pPr>
          </w:p>
        </w:tc>
        <w:tc>
          <w:tcPr>
            <w:tcW w:w="666" w:type="pct"/>
            <w:vAlign w:val="center"/>
          </w:tcPr>
          <w:p w:rsidR="006F6A73" w:rsidRDefault="006F6A73" w:rsidP="00950DD9">
            <w:pPr>
              <w:pStyle w:val="COMtbl-HEADCentred"/>
              <w:keepNext/>
              <w:widowControl/>
            </w:pPr>
            <w:r>
              <w:t xml:space="preserve">Year 1 </w:t>
            </w:r>
          </w:p>
          <w:p w:rsidR="006F6A73" w:rsidRDefault="006F6A73" w:rsidP="00950DD9">
            <w:pPr>
              <w:pStyle w:val="COMtbl-HEADCentred"/>
              <w:keepNext/>
              <w:widowControl/>
            </w:pPr>
            <w:r>
              <w:t>(2015)</w:t>
            </w:r>
          </w:p>
        </w:tc>
        <w:tc>
          <w:tcPr>
            <w:tcW w:w="666" w:type="pct"/>
            <w:vAlign w:val="center"/>
          </w:tcPr>
          <w:p w:rsidR="006F6A73" w:rsidRDefault="006F6A73" w:rsidP="00950DD9">
            <w:pPr>
              <w:pStyle w:val="COMtbl-HEADCentred"/>
              <w:keepNext/>
              <w:widowControl/>
            </w:pPr>
            <w:r>
              <w:t xml:space="preserve">Year 2 </w:t>
            </w:r>
          </w:p>
          <w:p w:rsidR="006F6A73" w:rsidRDefault="006F6A73" w:rsidP="00950DD9">
            <w:pPr>
              <w:pStyle w:val="COMtbl-HEADCentred"/>
              <w:keepNext/>
              <w:widowControl/>
            </w:pPr>
            <w:r>
              <w:t>(2016)</w:t>
            </w:r>
          </w:p>
        </w:tc>
        <w:tc>
          <w:tcPr>
            <w:tcW w:w="666" w:type="pct"/>
            <w:vAlign w:val="center"/>
          </w:tcPr>
          <w:p w:rsidR="006F6A73" w:rsidRDefault="006F6A73" w:rsidP="00950DD9">
            <w:pPr>
              <w:pStyle w:val="COMtbl-HEADCentred"/>
              <w:keepNext/>
              <w:widowControl/>
            </w:pPr>
            <w:r>
              <w:t xml:space="preserve">Year 3 </w:t>
            </w:r>
          </w:p>
          <w:p w:rsidR="006F6A73" w:rsidRPr="009C778F" w:rsidRDefault="006F6A73" w:rsidP="00950DD9">
            <w:pPr>
              <w:pStyle w:val="COMtbl-HEADCentred"/>
              <w:keepNext/>
              <w:widowControl/>
            </w:pPr>
            <w:r>
              <w:t>(2017)</w:t>
            </w:r>
          </w:p>
        </w:tc>
        <w:tc>
          <w:tcPr>
            <w:tcW w:w="666" w:type="pct"/>
            <w:vAlign w:val="center"/>
          </w:tcPr>
          <w:p w:rsidR="006F6A73" w:rsidRDefault="006F6A73" w:rsidP="00950DD9">
            <w:pPr>
              <w:pStyle w:val="COMtbl-HEADCentred"/>
              <w:keepNext/>
              <w:widowControl/>
            </w:pPr>
            <w:r>
              <w:t xml:space="preserve">Year 4 </w:t>
            </w:r>
          </w:p>
          <w:p w:rsidR="006F6A73" w:rsidRPr="009C778F" w:rsidRDefault="006F6A73" w:rsidP="00950DD9">
            <w:pPr>
              <w:pStyle w:val="COMtbl-HEADCentred"/>
              <w:keepNext/>
              <w:widowControl/>
            </w:pPr>
            <w:r>
              <w:t>(2018)</w:t>
            </w:r>
          </w:p>
        </w:tc>
        <w:tc>
          <w:tcPr>
            <w:tcW w:w="667" w:type="pct"/>
            <w:vAlign w:val="center"/>
          </w:tcPr>
          <w:p w:rsidR="006F6A73" w:rsidRDefault="006F6A73" w:rsidP="00950DD9">
            <w:pPr>
              <w:pStyle w:val="COMtbl-HEADCentred"/>
              <w:keepNext/>
              <w:widowControl/>
            </w:pPr>
            <w:r>
              <w:t xml:space="preserve">Year 5 </w:t>
            </w:r>
          </w:p>
          <w:p w:rsidR="006F6A73" w:rsidRPr="009C778F" w:rsidRDefault="006F6A73" w:rsidP="00950DD9">
            <w:pPr>
              <w:pStyle w:val="COMtbl-HEADCentred"/>
              <w:keepNext/>
              <w:widowControl/>
            </w:pPr>
            <w:r>
              <w:t>(2019)</w:t>
            </w:r>
          </w:p>
        </w:tc>
      </w:tr>
      <w:tr w:rsidR="006F6A73" w:rsidTr="006F6A73">
        <w:tc>
          <w:tcPr>
            <w:tcW w:w="5000" w:type="pct"/>
            <w:gridSpan w:val="6"/>
            <w:vAlign w:val="center"/>
          </w:tcPr>
          <w:p w:rsidR="006F6A73" w:rsidRPr="00F004ED" w:rsidRDefault="006F6A73" w:rsidP="00950DD9">
            <w:pPr>
              <w:pStyle w:val="COMtbl-textCentred"/>
              <w:keepNext/>
              <w:widowControl/>
              <w:jc w:val="left"/>
              <w:rPr>
                <w:b/>
              </w:rPr>
            </w:pPr>
            <w:r w:rsidRPr="00F004ED">
              <w:rPr>
                <w:b/>
              </w:rPr>
              <w:t>Continued listing scenario</w:t>
            </w:r>
          </w:p>
        </w:tc>
      </w:tr>
      <w:tr w:rsidR="006F6A73" w:rsidTr="006F6A73">
        <w:tc>
          <w:tcPr>
            <w:tcW w:w="1669" w:type="pct"/>
            <w:vAlign w:val="center"/>
          </w:tcPr>
          <w:p w:rsidR="006F6A73" w:rsidRDefault="006F6A73" w:rsidP="00950DD9">
            <w:pPr>
              <w:pStyle w:val="COMtbl-textLeftAligned"/>
              <w:keepNext/>
              <w:widowControl/>
            </w:pPr>
            <w:r>
              <w:t>Treated patients</w:t>
            </w:r>
          </w:p>
        </w:tc>
        <w:tc>
          <w:tcPr>
            <w:tcW w:w="666" w:type="pct"/>
            <w:vAlign w:val="center"/>
          </w:tcPr>
          <w:p w:rsidR="006F6A73" w:rsidRPr="00A83BF1" w:rsidRDefault="00A83BF1" w:rsidP="00950DD9">
            <w:pPr>
              <w:pStyle w:val="COMtbl-textCentred"/>
              <w:keepNext/>
              <w:widowControl/>
              <w:rPr>
                <w:highlight w:val="black"/>
              </w:rPr>
            </w:pPr>
            <w:r>
              <w:rPr>
                <w:noProof/>
                <w:color w:val="000000"/>
                <w:highlight w:val="black"/>
              </w:rPr>
              <w:t>''''''''''''</w:t>
            </w:r>
          </w:p>
        </w:tc>
        <w:tc>
          <w:tcPr>
            <w:tcW w:w="666" w:type="pct"/>
            <w:vAlign w:val="center"/>
          </w:tcPr>
          <w:p w:rsidR="006F6A73" w:rsidRPr="00A83BF1" w:rsidRDefault="00A83BF1" w:rsidP="00950DD9">
            <w:pPr>
              <w:pStyle w:val="COMtbl-textCentred"/>
              <w:keepNext/>
              <w:widowControl/>
              <w:rPr>
                <w:highlight w:val="black"/>
              </w:rPr>
            </w:pPr>
            <w:r>
              <w:rPr>
                <w:noProof/>
                <w:color w:val="000000"/>
                <w:highlight w:val="black"/>
              </w:rPr>
              <w:t>'''''''''''''</w:t>
            </w:r>
          </w:p>
        </w:tc>
        <w:tc>
          <w:tcPr>
            <w:tcW w:w="666" w:type="pct"/>
            <w:vAlign w:val="center"/>
          </w:tcPr>
          <w:p w:rsidR="006F6A73" w:rsidRPr="00A83BF1" w:rsidRDefault="00A83BF1" w:rsidP="00950DD9">
            <w:pPr>
              <w:pStyle w:val="COMtbl-textCentred"/>
              <w:keepNext/>
              <w:widowControl/>
              <w:rPr>
                <w:highlight w:val="black"/>
              </w:rPr>
            </w:pPr>
            <w:r>
              <w:rPr>
                <w:noProof/>
                <w:color w:val="000000"/>
                <w:highlight w:val="black"/>
              </w:rPr>
              <w:t>''''''''''''''</w:t>
            </w:r>
          </w:p>
        </w:tc>
        <w:tc>
          <w:tcPr>
            <w:tcW w:w="666" w:type="pct"/>
            <w:vAlign w:val="center"/>
          </w:tcPr>
          <w:p w:rsidR="006F6A73" w:rsidRPr="00A83BF1" w:rsidRDefault="00A83BF1" w:rsidP="00950DD9">
            <w:pPr>
              <w:pStyle w:val="COMtbl-textCentred"/>
              <w:keepNext/>
              <w:widowControl/>
              <w:rPr>
                <w:highlight w:val="black"/>
              </w:rPr>
            </w:pPr>
            <w:r>
              <w:rPr>
                <w:noProof/>
                <w:color w:val="000000"/>
                <w:highlight w:val="black"/>
              </w:rPr>
              <w:t>'''''''''''''</w:t>
            </w:r>
          </w:p>
        </w:tc>
        <w:tc>
          <w:tcPr>
            <w:tcW w:w="667" w:type="pct"/>
            <w:vAlign w:val="center"/>
          </w:tcPr>
          <w:p w:rsidR="006F6A73" w:rsidRPr="00A83BF1" w:rsidRDefault="00A83BF1" w:rsidP="00950DD9">
            <w:pPr>
              <w:pStyle w:val="COMtbl-textCentred"/>
              <w:keepNext/>
              <w:widowControl/>
              <w:rPr>
                <w:highlight w:val="black"/>
              </w:rPr>
            </w:pPr>
            <w:r>
              <w:rPr>
                <w:noProof/>
                <w:color w:val="000000"/>
                <w:highlight w:val="black"/>
              </w:rPr>
              <w:t>''''''''''''''</w:t>
            </w:r>
          </w:p>
        </w:tc>
      </w:tr>
      <w:tr w:rsidR="006F6A73" w:rsidTr="006F6A73">
        <w:tc>
          <w:tcPr>
            <w:tcW w:w="1669" w:type="pct"/>
            <w:vAlign w:val="center"/>
          </w:tcPr>
          <w:p w:rsidR="006F6A73" w:rsidRDefault="006F6A73" w:rsidP="00950DD9">
            <w:pPr>
              <w:pStyle w:val="COMtbl-textLeftAligned"/>
              <w:keepNext/>
              <w:widowControl/>
            </w:pPr>
            <w:r>
              <w:t>E</w:t>
            </w:r>
            <w:r w:rsidRPr="00404FAF">
              <w:t xml:space="preserve">stimated </w:t>
            </w:r>
            <w:r>
              <w:t xml:space="preserve">strontium </w:t>
            </w:r>
            <w:r w:rsidRPr="00404FAF">
              <w:t>scripts</w:t>
            </w:r>
          </w:p>
        </w:tc>
        <w:tc>
          <w:tcPr>
            <w:tcW w:w="666" w:type="pct"/>
            <w:vAlign w:val="center"/>
          </w:tcPr>
          <w:p w:rsidR="006F6A73" w:rsidRPr="00A83BF1" w:rsidRDefault="00A83BF1" w:rsidP="00950DD9">
            <w:pPr>
              <w:pStyle w:val="COMtbl-textCentred"/>
              <w:keepNext/>
              <w:widowControl/>
              <w:rPr>
                <w:highlight w:val="black"/>
              </w:rPr>
            </w:pPr>
            <w:r>
              <w:rPr>
                <w:noProof/>
                <w:color w:val="000000"/>
                <w:highlight w:val="black"/>
              </w:rPr>
              <w:t>''''''''''''''''''</w:t>
            </w:r>
          </w:p>
        </w:tc>
        <w:tc>
          <w:tcPr>
            <w:tcW w:w="666" w:type="pct"/>
            <w:vAlign w:val="center"/>
          </w:tcPr>
          <w:p w:rsidR="006F6A73" w:rsidRPr="00A83BF1" w:rsidRDefault="00A83BF1" w:rsidP="00950DD9">
            <w:pPr>
              <w:pStyle w:val="COMtbl-textCentred"/>
              <w:keepNext/>
              <w:widowControl/>
              <w:rPr>
                <w:highlight w:val="black"/>
              </w:rPr>
            </w:pPr>
            <w:r>
              <w:rPr>
                <w:noProof/>
                <w:color w:val="000000"/>
                <w:highlight w:val="black"/>
              </w:rPr>
              <w:t>'''''''''''''''''</w:t>
            </w:r>
          </w:p>
        </w:tc>
        <w:tc>
          <w:tcPr>
            <w:tcW w:w="666" w:type="pct"/>
            <w:vAlign w:val="center"/>
          </w:tcPr>
          <w:p w:rsidR="006F6A73" w:rsidRPr="00A83BF1" w:rsidRDefault="00A83BF1" w:rsidP="00950DD9">
            <w:pPr>
              <w:pStyle w:val="COMtbl-textCentred"/>
              <w:keepNext/>
              <w:widowControl/>
              <w:rPr>
                <w:highlight w:val="black"/>
              </w:rPr>
            </w:pPr>
            <w:r>
              <w:rPr>
                <w:noProof/>
                <w:color w:val="000000"/>
                <w:highlight w:val="black"/>
              </w:rPr>
              <w:t>'''''''''''''''</w:t>
            </w:r>
          </w:p>
        </w:tc>
        <w:tc>
          <w:tcPr>
            <w:tcW w:w="666" w:type="pct"/>
            <w:vAlign w:val="center"/>
          </w:tcPr>
          <w:p w:rsidR="006F6A73" w:rsidRPr="00A83BF1" w:rsidRDefault="00A83BF1" w:rsidP="00950DD9">
            <w:pPr>
              <w:pStyle w:val="COMtbl-textCentred"/>
              <w:keepNext/>
              <w:widowControl/>
              <w:rPr>
                <w:highlight w:val="black"/>
              </w:rPr>
            </w:pPr>
            <w:r>
              <w:rPr>
                <w:noProof/>
                <w:color w:val="000000"/>
                <w:highlight w:val="black"/>
              </w:rPr>
              <w:t>''''''''''''''''</w:t>
            </w:r>
          </w:p>
        </w:tc>
        <w:tc>
          <w:tcPr>
            <w:tcW w:w="667" w:type="pct"/>
            <w:vAlign w:val="center"/>
          </w:tcPr>
          <w:p w:rsidR="006F6A73" w:rsidRPr="00A83BF1" w:rsidRDefault="00A83BF1" w:rsidP="00950DD9">
            <w:pPr>
              <w:pStyle w:val="COMtbl-textCentred"/>
              <w:keepNext/>
              <w:widowControl/>
              <w:rPr>
                <w:highlight w:val="black"/>
              </w:rPr>
            </w:pPr>
            <w:r>
              <w:rPr>
                <w:noProof/>
                <w:color w:val="000000"/>
                <w:highlight w:val="black"/>
              </w:rPr>
              <w:t>'''''''''''''''''</w:t>
            </w:r>
          </w:p>
        </w:tc>
      </w:tr>
      <w:tr w:rsidR="006F6A73" w:rsidTr="006F6A73">
        <w:tc>
          <w:tcPr>
            <w:tcW w:w="1669" w:type="pct"/>
            <w:vAlign w:val="center"/>
          </w:tcPr>
          <w:p w:rsidR="006F6A73" w:rsidRPr="00567BF8" w:rsidRDefault="006F6A73" w:rsidP="00950DD9">
            <w:pPr>
              <w:pStyle w:val="COMtbl-textLeftAligned"/>
              <w:keepNext/>
              <w:widowControl/>
            </w:pPr>
            <w:r w:rsidRPr="00567BF8">
              <w:t>Total cost less co-payments</w:t>
            </w:r>
          </w:p>
        </w:tc>
        <w:tc>
          <w:tcPr>
            <w:tcW w:w="666" w:type="pct"/>
            <w:vAlign w:val="center"/>
          </w:tcPr>
          <w:p w:rsidR="006F6A73" w:rsidRPr="00567BF8" w:rsidRDefault="006F6A73" w:rsidP="00950DD9">
            <w:pPr>
              <w:pStyle w:val="COMtbl-textCentred"/>
              <w:keepNext/>
              <w:widowControl/>
            </w:pPr>
            <w:r w:rsidRPr="00567BF8">
              <w:t>$</w:t>
            </w:r>
            <w:r w:rsidR="00A83BF1">
              <w:rPr>
                <w:noProof/>
                <w:color w:val="000000"/>
                <w:highlight w:val="black"/>
              </w:rPr>
              <w:t>''''''''''''''''''''''''</w:t>
            </w:r>
          </w:p>
        </w:tc>
        <w:tc>
          <w:tcPr>
            <w:tcW w:w="666" w:type="pct"/>
            <w:vAlign w:val="center"/>
          </w:tcPr>
          <w:p w:rsidR="006F6A73" w:rsidRPr="00567BF8" w:rsidRDefault="006F6A73" w:rsidP="00950DD9">
            <w:pPr>
              <w:pStyle w:val="COMtbl-textCentred"/>
              <w:keepNext/>
              <w:widowControl/>
            </w:pPr>
            <w:r w:rsidRPr="00567BF8">
              <w:t>$</w:t>
            </w:r>
            <w:r w:rsidR="00A83BF1">
              <w:rPr>
                <w:noProof/>
                <w:color w:val="000000"/>
                <w:highlight w:val="black"/>
              </w:rPr>
              <w:t>''''''''''''''''''''''''''</w:t>
            </w:r>
          </w:p>
        </w:tc>
        <w:tc>
          <w:tcPr>
            <w:tcW w:w="666" w:type="pct"/>
            <w:vAlign w:val="center"/>
          </w:tcPr>
          <w:p w:rsidR="006F6A73" w:rsidRPr="00567BF8" w:rsidRDefault="006F6A73" w:rsidP="00950DD9">
            <w:pPr>
              <w:pStyle w:val="COMtbl-textCentred"/>
              <w:keepNext/>
              <w:widowControl/>
            </w:pPr>
            <w:r w:rsidRPr="00567BF8">
              <w:t>$</w:t>
            </w:r>
            <w:r w:rsidR="00A83BF1">
              <w:rPr>
                <w:noProof/>
                <w:color w:val="000000"/>
                <w:highlight w:val="black"/>
              </w:rPr>
              <w:t>'''''''''''''''''''''''</w:t>
            </w:r>
          </w:p>
        </w:tc>
        <w:tc>
          <w:tcPr>
            <w:tcW w:w="666" w:type="pct"/>
            <w:vAlign w:val="center"/>
          </w:tcPr>
          <w:p w:rsidR="006F6A73" w:rsidRPr="00567BF8" w:rsidRDefault="006F6A73" w:rsidP="00950DD9">
            <w:pPr>
              <w:pStyle w:val="COMtbl-textCentred"/>
              <w:keepNext/>
              <w:widowControl/>
            </w:pPr>
            <w:r w:rsidRPr="00567BF8">
              <w:t>$</w:t>
            </w:r>
            <w:r w:rsidR="00A83BF1">
              <w:rPr>
                <w:noProof/>
                <w:color w:val="000000"/>
                <w:highlight w:val="black"/>
              </w:rPr>
              <w:t>''''''''''''''''''''''''''</w:t>
            </w:r>
          </w:p>
        </w:tc>
        <w:tc>
          <w:tcPr>
            <w:tcW w:w="667" w:type="pct"/>
            <w:vAlign w:val="center"/>
          </w:tcPr>
          <w:p w:rsidR="006F6A73" w:rsidRPr="00567BF8" w:rsidRDefault="006F6A73" w:rsidP="00950DD9">
            <w:pPr>
              <w:pStyle w:val="COMtbl-textCentred"/>
              <w:keepNext/>
              <w:widowControl/>
            </w:pPr>
            <w:r w:rsidRPr="00567BF8">
              <w:t>$</w:t>
            </w:r>
            <w:r w:rsidR="00A83BF1">
              <w:rPr>
                <w:noProof/>
                <w:color w:val="000000"/>
                <w:highlight w:val="black"/>
              </w:rPr>
              <w:t>'''''''''''''''''''''''''</w:t>
            </w:r>
          </w:p>
        </w:tc>
      </w:tr>
      <w:tr w:rsidR="006F6A73" w:rsidTr="006F6A73">
        <w:tc>
          <w:tcPr>
            <w:tcW w:w="5000" w:type="pct"/>
            <w:gridSpan w:val="6"/>
            <w:vAlign w:val="center"/>
          </w:tcPr>
          <w:p w:rsidR="006F6A73" w:rsidRPr="00F004ED" w:rsidRDefault="006F6A73" w:rsidP="00950DD9">
            <w:pPr>
              <w:pStyle w:val="COMtbl-textCentred"/>
              <w:keepNext/>
              <w:widowControl/>
              <w:jc w:val="left"/>
              <w:rPr>
                <w:b/>
              </w:rPr>
            </w:pPr>
            <w:r w:rsidRPr="00F004ED">
              <w:rPr>
                <w:b/>
              </w:rPr>
              <w:t>Delisting scenario</w:t>
            </w:r>
          </w:p>
        </w:tc>
      </w:tr>
      <w:tr w:rsidR="006F6A73" w:rsidTr="006F6A73">
        <w:tc>
          <w:tcPr>
            <w:tcW w:w="1669" w:type="pct"/>
            <w:shd w:val="clear" w:color="auto" w:fill="auto"/>
            <w:vAlign w:val="center"/>
          </w:tcPr>
          <w:p w:rsidR="006F6A73" w:rsidRDefault="006F6A73" w:rsidP="00950DD9">
            <w:pPr>
              <w:pStyle w:val="COMtbl-textLeftAligned"/>
              <w:keepNext/>
              <w:widowControl/>
            </w:pPr>
            <w:r>
              <w:t>Patients previously treated with strontium</w:t>
            </w:r>
          </w:p>
        </w:tc>
        <w:tc>
          <w:tcPr>
            <w:tcW w:w="666" w:type="pct"/>
            <w:shd w:val="clear" w:color="auto" w:fill="auto"/>
            <w:vAlign w:val="center"/>
          </w:tcPr>
          <w:p w:rsidR="006F6A73" w:rsidRPr="00A83BF1" w:rsidRDefault="00A83BF1" w:rsidP="00950DD9">
            <w:pPr>
              <w:pStyle w:val="COMtbl-textCentred"/>
              <w:keepNext/>
              <w:widowControl/>
              <w:rPr>
                <w:highlight w:val="black"/>
              </w:rPr>
            </w:pPr>
            <w:r>
              <w:rPr>
                <w:noProof/>
                <w:color w:val="000000"/>
                <w:highlight w:val="black"/>
              </w:rPr>
              <w:t>''''''''''''''</w:t>
            </w:r>
          </w:p>
        </w:tc>
        <w:tc>
          <w:tcPr>
            <w:tcW w:w="666" w:type="pct"/>
            <w:shd w:val="clear" w:color="auto" w:fill="auto"/>
            <w:vAlign w:val="center"/>
          </w:tcPr>
          <w:p w:rsidR="006F6A73" w:rsidRPr="00A83BF1" w:rsidRDefault="00A83BF1" w:rsidP="00950DD9">
            <w:pPr>
              <w:pStyle w:val="COMtbl-textCentred"/>
              <w:keepNext/>
              <w:widowControl/>
              <w:rPr>
                <w:highlight w:val="black"/>
              </w:rPr>
            </w:pPr>
            <w:r>
              <w:rPr>
                <w:noProof/>
                <w:color w:val="000000"/>
                <w:highlight w:val="black"/>
              </w:rPr>
              <w:t>''''''''''''</w:t>
            </w:r>
          </w:p>
        </w:tc>
        <w:tc>
          <w:tcPr>
            <w:tcW w:w="666" w:type="pct"/>
            <w:shd w:val="clear" w:color="auto" w:fill="auto"/>
            <w:vAlign w:val="center"/>
          </w:tcPr>
          <w:p w:rsidR="006F6A73" w:rsidRPr="00A83BF1" w:rsidRDefault="00A83BF1" w:rsidP="00950DD9">
            <w:pPr>
              <w:pStyle w:val="COMtbl-textCentred"/>
              <w:keepNext/>
              <w:widowControl/>
              <w:rPr>
                <w:highlight w:val="black"/>
              </w:rPr>
            </w:pPr>
            <w:r>
              <w:rPr>
                <w:noProof/>
                <w:color w:val="000000"/>
                <w:highlight w:val="black"/>
              </w:rPr>
              <w:t>'''''''''''''</w:t>
            </w:r>
          </w:p>
        </w:tc>
        <w:tc>
          <w:tcPr>
            <w:tcW w:w="666" w:type="pct"/>
            <w:shd w:val="clear" w:color="auto" w:fill="auto"/>
            <w:vAlign w:val="center"/>
          </w:tcPr>
          <w:p w:rsidR="006F6A73" w:rsidRPr="00A83BF1" w:rsidRDefault="00A83BF1" w:rsidP="00950DD9">
            <w:pPr>
              <w:pStyle w:val="COMtbl-textCentred"/>
              <w:keepNext/>
              <w:widowControl/>
              <w:rPr>
                <w:highlight w:val="black"/>
              </w:rPr>
            </w:pPr>
            <w:r>
              <w:rPr>
                <w:noProof/>
                <w:color w:val="000000"/>
                <w:highlight w:val="black"/>
              </w:rPr>
              <w:t>''''''''''''''</w:t>
            </w:r>
          </w:p>
        </w:tc>
        <w:tc>
          <w:tcPr>
            <w:tcW w:w="667" w:type="pct"/>
            <w:shd w:val="clear" w:color="auto" w:fill="auto"/>
            <w:vAlign w:val="center"/>
          </w:tcPr>
          <w:p w:rsidR="006F6A73" w:rsidRPr="00A83BF1" w:rsidRDefault="00A83BF1" w:rsidP="00950DD9">
            <w:pPr>
              <w:pStyle w:val="COMtbl-textCentred"/>
              <w:keepNext/>
              <w:widowControl/>
              <w:rPr>
                <w:highlight w:val="black"/>
              </w:rPr>
            </w:pPr>
            <w:r>
              <w:rPr>
                <w:noProof/>
                <w:color w:val="000000"/>
                <w:highlight w:val="black"/>
              </w:rPr>
              <w:t>'''''''''''''</w:t>
            </w:r>
          </w:p>
        </w:tc>
      </w:tr>
      <w:tr w:rsidR="006F6A73" w:rsidTr="006F6A73">
        <w:tc>
          <w:tcPr>
            <w:tcW w:w="1669" w:type="pct"/>
            <w:vAlign w:val="center"/>
          </w:tcPr>
          <w:p w:rsidR="006F6A73" w:rsidRDefault="006F6A73" w:rsidP="00950DD9">
            <w:pPr>
              <w:pStyle w:val="COMtbl-textLeftAligned"/>
              <w:keepNext/>
              <w:widowControl/>
            </w:pPr>
            <w:r>
              <w:t>- Discontinuing therapy (65.7%)</w:t>
            </w:r>
          </w:p>
        </w:tc>
        <w:tc>
          <w:tcPr>
            <w:tcW w:w="666" w:type="pct"/>
            <w:vAlign w:val="center"/>
          </w:tcPr>
          <w:p w:rsidR="006F6A73" w:rsidRPr="00A83BF1" w:rsidRDefault="00A83BF1" w:rsidP="00950DD9">
            <w:pPr>
              <w:pStyle w:val="COMtbl-textCentred"/>
              <w:keepNext/>
              <w:widowControl/>
              <w:rPr>
                <w:highlight w:val="black"/>
              </w:rPr>
            </w:pPr>
            <w:r>
              <w:rPr>
                <w:noProof/>
                <w:color w:val="000000"/>
                <w:highlight w:val="black"/>
              </w:rPr>
              <w:t>'''''''''''''</w:t>
            </w:r>
          </w:p>
        </w:tc>
        <w:tc>
          <w:tcPr>
            <w:tcW w:w="666" w:type="pct"/>
            <w:vAlign w:val="center"/>
          </w:tcPr>
          <w:p w:rsidR="006F6A73" w:rsidRPr="00A83BF1" w:rsidRDefault="00A83BF1" w:rsidP="00950DD9">
            <w:pPr>
              <w:pStyle w:val="COMtbl-textCentred"/>
              <w:keepNext/>
              <w:widowControl/>
              <w:rPr>
                <w:highlight w:val="black"/>
              </w:rPr>
            </w:pPr>
            <w:r>
              <w:rPr>
                <w:noProof/>
                <w:color w:val="000000"/>
                <w:highlight w:val="black"/>
              </w:rPr>
              <w:t>''''''''''''''</w:t>
            </w:r>
          </w:p>
        </w:tc>
        <w:tc>
          <w:tcPr>
            <w:tcW w:w="666" w:type="pct"/>
            <w:vAlign w:val="center"/>
          </w:tcPr>
          <w:p w:rsidR="006F6A73" w:rsidRPr="00A83BF1" w:rsidRDefault="00A83BF1" w:rsidP="00950DD9">
            <w:pPr>
              <w:pStyle w:val="COMtbl-textCentred"/>
              <w:keepNext/>
              <w:widowControl/>
              <w:rPr>
                <w:highlight w:val="black"/>
              </w:rPr>
            </w:pPr>
            <w:r>
              <w:rPr>
                <w:noProof/>
                <w:color w:val="000000"/>
                <w:highlight w:val="black"/>
              </w:rPr>
              <w:t>'''''''''''''</w:t>
            </w:r>
          </w:p>
        </w:tc>
        <w:tc>
          <w:tcPr>
            <w:tcW w:w="666" w:type="pct"/>
            <w:vAlign w:val="center"/>
          </w:tcPr>
          <w:p w:rsidR="006F6A73" w:rsidRPr="00A83BF1" w:rsidRDefault="00A83BF1" w:rsidP="00950DD9">
            <w:pPr>
              <w:pStyle w:val="COMtbl-textCentred"/>
              <w:keepNext/>
              <w:widowControl/>
              <w:rPr>
                <w:highlight w:val="black"/>
              </w:rPr>
            </w:pPr>
            <w:r>
              <w:rPr>
                <w:noProof/>
                <w:color w:val="000000"/>
                <w:highlight w:val="black"/>
              </w:rPr>
              <w:t>''''''''''''''</w:t>
            </w:r>
          </w:p>
        </w:tc>
        <w:tc>
          <w:tcPr>
            <w:tcW w:w="667" w:type="pct"/>
            <w:vAlign w:val="center"/>
          </w:tcPr>
          <w:p w:rsidR="006F6A73" w:rsidRPr="00A83BF1" w:rsidRDefault="00A83BF1" w:rsidP="00950DD9">
            <w:pPr>
              <w:pStyle w:val="COMtbl-textCentred"/>
              <w:keepNext/>
              <w:widowControl/>
              <w:rPr>
                <w:highlight w:val="black"/>
              </w:rPr>
            </w:pPr>
            <w:r>
              <w:rPr>
                <w:noProof/>
                <w:color w:val="000000"/>
                <w:highlight w:val="black"/>
              </w:rPr>
              <w:t>'''''''''''''''</w:t>
            </w:r>
          </w:p>
        </w:tc>
      </w:tr>
      <w:tr w:rsidR="006F6A73" w:rsidTr="006F6A73">
        <w:tc>
          <w:tcPr>
            <w:tcW w:w="1669" w:type="pct"/>
            <w:vAlign w:val="center"/>
          </w:tcPr>
          <w:p w:rsidR="006F6A73" w:rsidRDefault="006F6A73" w:rsidP="00950DD9">
            <w:pPr>
              <w:pStyle w:val="COMtbl-textLeftAligned"/>
              <w:keepNext/>
              <w:widowControl/>
            </w:pPr>
            <w:r>
              <w:t>- Treated with alendronate (4.5%)</w:t>
            </w:r>
          </w:p>
        </w:tc>
        <w:tc>
          <w:tcPr>
            <w:tcW w:w="666" w:type="pct"/>
            <w:vAlign w:val="center"/>
          </w:tcPr>
          <w:p w:rsidR="006F6A73" w:rsidRPr="00A83BF1" w:rsidRDefault="00A83BF1" w:rsidP="00950DD9">
            <w:pPr>
              <w:pStyle w:val="COMtbl-textCentred"/>
              <w:keepNext/>
              <w:widowControl/>
              <w:rPr>
                <w:highlight w:val="black"/>
              </w:rPr>
            </w:pPr>
            <w:r>
              <w:rPr>
                <w:noProof/>
                <w:color w:val="000000"/>
                <w:highlight w:val="black"/>
              </w:rPr>
              <w:t>'''''''''</w:t>
            </w:r>
          </w:p>
        </w:tc>
        <w:tc>
          <w:tcPr>
            <w:tcW w:w="666" w:type="pct"/>
            <w:vAlign w:val="center"/>
          </w:tcPr>
          <w:p w:rsidR="006F6A73" w:rsidRPr="00A83BF1" w:rsidRDefault="00A83BF1" w:rsidP="00950DD9">
            <w:pPr>
              <w:pStyle w:val="COMtbl-textCentred"/>
              <w:keepNext/>
              <w:widowControl/>
              <w:rPr>
                <w:highlight w:val="black"/>
              </w:rPr>
            </w:pPr>
            <w:r>
              <w:rPr>
                <w:noProof/>
                <w:color w:val="000000"/>
                <w:highlight w:val="black"/>
              </w:rPr>
              <w:t>'''''''''</w:t>
            </w:r>
          </w:p>
        </w:tc>
        <w:tc>
          <w:tcPr>
            <w:tcW w:w="666" w:type="pct"/>
            <w:vAlign w:val="center"/>
          </w:tcPr>
          <w:p w:rsidR="006F6A73" w:rsidRPr="00A83BF1" w:rsidRDefault="00A83BF1" w:rsidP="00950DD9">
            <w:pPr>
              <w:pStyle w:val="COMtbl-textCentred"/>
              <w:keepNext/>
              <w:widowControl/>
              <w:rPr>
                <w:highlight w:val="black"/>
              </w:rPr>
            </w:pPr>
            <w:r>
              <w:rPr>
                <w:noProof/>
                <w:color w:val="000000"/>
                <w:highlight w:val="black"/>
              </w:rPr>
              <w:t>'''''''''</w:t>
            </w:r>
          </w:p>
        </w:tc>
        <w:tc>
          <w:tcPr>
            <w:tcW w:w="666" w:type="pct"/>
            <w:vAlign w:val="center"/>
          </w:tcPr>
          <w:p w:rsidR="006F6A73" w:rsidRPr="00A83BF1" w:rsidRDefault="00A83BF1" w:rsidP="00950DD9">
            <w:pPr>
              <w:pStyle w:val="COMtbl-textCentred"/>
              <w:keepNext/>
              <w:widowControl/>
              <w:rPr>
                <w:highlight w:val="black"/>
              </w:rPr>
            </w:pPr>
            <w:r>
              <w:rPr>
                <w:noProof/>
                <w:color w:val="000000"/>
                <w:highlight w:val="black"/>
              </w:rPr>
              <w:t>'''''''''</w:t>
            </w:r>
          </w:p>
        </w:tc>
        <w:tc>
          <w:tcPr>
            <w:tcW w:w="667" w:type="pct"/>
            <w:vAlign w:val="center"/>
          </w:tcPr>
          <w:p w:rsidR="006F6A73" w:rsidRPr="00A83BF1" w:rsidRDefault="00A83BF1" w:rsidP="00950DD9">
            <w:pPr>
              <w:pStyle w:val="COMtbl-textCentred"/>
              <w:keepNext/>
              <w:widowControl/>
              <w:rPr>
                <w:highlight w:val="black"/>
              </w:rPr>
            </w:pPr>
            <w:r>
              <w:rPr>
                <w:noProof/>
                <w:color w:val="000000"/>
                <w:highlight w:val="black"/>
              </w:rPr>
              <w:t>'''''''''</w:t>
            </w:r>
          </w:p>
        </w:tc>
      </w:tr>
      <w:tr w:rsidR="006F6A73" w:rsidTr="006F6A73">
        <w:tc>
          <w:tcPr>
            <w:tcW w:w="1669" w:type="pct"/>
            <w:vAlign w:val="center"/>
          </w:tcPr>
          <w:p w:rsidR="006F6A73" w:rsidRDefault="006F6A73" w:rsidP="00950DD9">
            <w:pPr>
              <w:pStyle w:val="COMtbl-textLeftAligned"/>
              <w:keepNext/>
              <w:widowControl/>
            </w:pPr>
            <w:r>
              <w:t>- Treated with risedronate (5.9%)</w:t>
            </w:r>
          </w:p>
        </w:tc>
        <w:tc>
          <w:tcPr>
            <w:tcW w:w="666" w:type="pct"/>
            <w:vAlign w:val="center"/>
          </w:tcPr>
          <w:p w:rsidR="006F6A73" w:rsidRPr="00A83BF1" w:rsidRDefault="00A83BF1" w:rsidP="00950DD9">
            <w:pPr>
              <w:pStyle w:val="COMtbl-textCentred"/>
              <w:keepNext/>
              <w:widowControl/>
              <w:rPr>
                <w:highlight w:val="black"/>
              </w:rPr>
            </w:pPr>
            <w:r>
              <w:rPr>
                <w:noProof/>
                <w:color w:val="000000"/>
                <w:highlight w:val="black"/>
              </w:rPr>
              <w:t>''''''''''</w:t>
            </w:r>
          </w:p>
        </w:tc>
        <w:tc>
          <w:tcPr>
            <w:tcW w:w="666" w:type="pct"/>
            <w:vAlign w:val="center"/>
          </w:tcPr>
          <w:p w:rsidR="006F6A73" w:rsidRPr="00A83BF1" w:rsidRDefault="00A83BF1" w:rsidP="00950DD9">
            <w:pPr>
              <w:pStyle w:val="COMtbl-textCentred"/>
              <w:keepNext/>
              <w:widowControl/>
              <w:rPr>
                <w:highlight w:val="black"/>
              </w:rPr>
            </w:pPr>
            <w:r>
              <w:rPr>
                <w:noProof/>
                <w:color w:val="000000"/>
                <w:highlight w:val="black"/>
              </w:rPr>
              <w:t>''''''''''</w:t>
            </w:r>
          </w:p>
        </w:tc>
        <w:tc>
          <w:tcPr>
            <w:tcW w:w="666" w:type="pct"/>
            <w:vAlign w:val="center"/>
          </w:tcPr>
          <w:p w:rsidR="006F6A73" w:rsidRPr="00A83BF1" w:rsidRDefault="00A83BF1" w:rsidP="00950DD9">
            <w:pPr>
              <w:pStyle w:val="COMtbl-textCentred"/>
              <w:keepNext/>
              <w:widowControl/>
              <w:rPr>
                <w:highlight w:val="black"/>
              </w:rPr>
            </w:pPr>
            <w:r>
              <w:rPr>
                <w:noProof/>
                <w:color w:val="000000"/>
                <w:highlight w:val="black"/>
              </w:rPr>
              <w:t>''''''''''</w:t>
            </w:r>
          </w:p>
        </w:tc>
        <w:tc>
          <w:tcPr>
            <w:tcW w:w="666" w:type="pct"/>
            <w:vAlign w:val="center"/>
          </w:tcPr>
          <w:p w:rsidR="006F6A73" w:rsidRPr="00A83BF1" w:rsidRDefault="00A83BF1" w:rsidP="00950DD9">
            <w:pPr>
              <w:pStyle w:val="COMtbl-textCentred"/>
              <w:keepNext/>
              <w:widowControl/>
              <w:rPr>
                <w:highlight w:val="black"/>
              </w:rPr>
            </w:pPr>
            <w:r>
              <w:rPr>
                <w:noProof/>
                <w:color w:val="000000"/>
                <w:highlight w:val="black"/>
              </w:rPr>
              <w:t>'''''''''</w:t>
            </w:r>
          </w:p>
        </w:tc>
        <w:tc>
          <w:tcPr>
            <w:tcW w:w="667" w:type="pct"/>
            <w:vAlign w:val="center"/>
          </w:tcPr>
          <w:p w:rsidR="006F6A73" w:rsidRPr="00A83BF1" w:rsidRDefault="00A83BF1" w:rsidP="00950DD9">
            <w:pPr>
              <w:pStyle w:val="COMtbl-textCentred"/>
              <w:keepNext/>
              <w:widowControl/>
              <w:rPr>
                <w:highlight w:val="black"/>
              </w:rPr>
            </w:pPr>
            <w:r>
              <w:rPr>
                <w:noProof/>
                <w:color w:val="000000"/>
                <w:highlight w:val="black"/>
              </w:rPr>
              <w:t>''''''''''</w:t>
            </w:r>
          </w:p>
        </w:tc>
      </w:tr>
      <w:tr w:rsidR="006F6A73" w:rsidTr="006F6A73">
        <w:tc>
          <w:tcPr>
            <w:tcW w:w="1669" w:type="pct"/>
            <w:vAlign w:val="center"/>
          </w:tcPr>
          <w:p w:rsidR="006F6A73" w:rsidRDefault="006F6A73" w:rsidP="00950DD9">
            <w:pPr>
              <w:pStyle w:val="COMtbl-textLeftAligned"/>
              <w:keepNext/>
              <w:widowControl/>
            </w:pPr>
            <w:r>
              <w:t>- Treated with zoledronic acid (0.7%)</w:t>
            </w:r>
          </w:p>
        </w:tc>
        <w:tc>
          <w:tcPr>
            <w:tcW w:w="666" w:type="pct"/>
            <w:vAlign w:val="center"/>
          </w:tcPr>
          <w:p w:rsidR="006F6A73" w:rsidRPr="00A83BF1" w:rsidRDefault="00A83BF1" w:rsidP="00950DD9">
            <w:pPr>
              <w:pStyle w:val="COMtbl-textCentred"/>
              <w:keepNext/>
              <w:widowControl/>
              <w:rPr>
                <w:highlight w:val="black"/>
              </w:rPr>
            </w:pPr>
            <w:r>
              <w:rPr>
                <w:noProof/>
                <w:color w:val="000000"/>
                <w:highlight w:val="black"/>
              </w:rPr>
              <w:t>''''''</w:t>
            </w:r>
          </w:p>
        </w:tc>
        <w:tc>
          <w:tcPr>
            <w:tcW w:w="666" w:type="pct"/>
            <w:vAlign w:val="center"/>
          </w:tcPr>
          <w:p w:rsidR="006F6A73" w:rsidRPr="00A83BF1" w:rsidRDefault="00A83BF1" w:rsidP="00950DD9">
            <w:pPr>
              <w:pStyle w:val="COMtbl-textCentred"/>
              <w:keepNext/>
              <w:widowControl/>
              <w:rPr>
                <w:highlight w:val="black"/>
              </w:rPr>
            </w:pPr>
            <w:r>
              <w:rPr>
                <w:noProof/>
                <w:color w:val="000000"/>
                <w:highlight w:val="black"/>
              </w:rPr>
              <w:t>''''''</w:t>
            </w:r>
          </w:p>
        </w:tc>
        <w:tc>
          <w:tcPr>
            <w:tcW w:w="666" w:type="pct"/>
            <w:vAlign w:val="center"/>
          </w:tcPr>
          <w:p w:rsidR="006F6A73" w:rsidRPr="00A83BF1" w:rsidRDefault="00A83BF1" w:rsidP="00950DD9">
            <w:pPr>
              <w:pStyle w:val="COMtbl-textCentred"/>
              <w:keepNext/>
              <w:widowControl/>
              <w:rPr>
                <w:highlight w:val="black"/>
              </w:rPr>
            </w:pPr>
            <w:r>
              <w:rPr>
                <w:noProof/>
                <w:color w:val="000000"/>
                <w:highlight w:val="black"/>
              </w:rPr>
              <w:t>'''''''</w:t>
            </w:r>
          </w:p>
        </w:tc>
        <w:tc>
          <w:tcPr>
            <w:tcW w:w="666" w:type="pct"/>
            <w:vAlign w:val="center"/>
          </w:tcPr>
          <w:p w:rsidR="006F6A73" w:rsidRPr="00A83BF1" w:rsidRDefault="00A83BF1" w:rsidP="00950DD9">
            <w:pPr>
              <w:pStyle w:val="COMtbl-textCentred"/>
              <w:keepNext/>
              <w:widowControl/>
              <w:rPr>
                <w:highlight w:val="black"/>
              </w:rPr>
            </w:pPr>
            <w:r>
              <w:rPr>
                <w:noProof/>
                <w:color w:val="000000"/>
                <w:highlight w:val="black"/>
              </w:rPr>
              <w:t>''''''</w:t>
            </w:r>
          </w:p>
        </w:tc>
        <w:tc>
          <w:tcPr>
            <w:tcW w:w="667" w:type="pct"/>
            <w:vAlign w:val="center"/>
          </w:tcPr>
          <w:p w:rsidR="006F6A73" w:rsidRPr="00A83BF1" w:rsidRDefault="00A83BF1" w:rsidP="00950DD9">
            <w:pPr>
              <w:pStyle w:val="COMtbl-textCentred"/>
              <w:keepNext/>
              <w:widowControl/>
              <w:rPr>
                <w:highlight w:val="black"/>
              </w:rPr>
            </w:pPr>
            <w:r>
              <w:rPr>
                <w:noProof/>
                <w:color w:val="000000"/>
                <w:highlight w:val="black"/>
              </w:rPr>
              <w:t>''''''</w:t>
            </w:r>
          </w:p>
        </w:tc>
      </w:tr>
      <w:tr w:rsidR="006F6A73" w:rsidTr="006F6A73">
        <w:tc>
          <w:tcPr>
            <w:tcW w:w="1669" w:type="pct"/>
            <w:vAlign w:val="center"/>
          </w:tcPr>
          <w:p w:rsidR="006F6A73" w:rsidRDefault="006F6A73" w:rsidP="00950DD9">
            <w:pPr>
              <w:pStyle w:val="COMtbl-textLeftAligned"/>
              <w:keepNext/>
              <w:widowControl/>
            </w:pPr>
            <w:r>
              <w:t>- Treated with denosumab (22.3%)</w:t>
            </w:r>
          </w:p>
        </w:tc>
        <w:tc>
          <w:tcPr>
            <w:tcW w:w="666" w:type="pct"/>
            <w:vAlign w:val="center"/>
          </w:tcPr>
          <w:p w:rsidR="006F6A73" w:rsidRPr="00A83BF1" w:rsidRDefault="00A83BF1" w:rsidP="00950DD9">
            <w:pPr>
              <w:pStyle w:val="COMtbl-textCentred"/>
              <w:keepNext/>
              <w:widowControl/>
              <w:rPr>
                <w:highlight w:val="black"/>
              </w:rPr>
            </w:pPr>
            <w:r>
              <w:rPr>
                <w:noProof/>
                <w:color w:val="000000"/>
                <w:highlight w:val="black"/>
              </w:rPr>
              <w:t>'''''''''''''''</w:t>
            </w:r>
          </w:p>
        </w:tc>
        <w:tc>
          <w:tcPr>
            <w:tcW w:w="666" w:type="pct"/>
            <w:vAlign w:val="center"/>
          </w:tcPr>
          <w:p w:rsidR="006F6A73" w:rsidRPr="00A83BF1" w:rsidRDefault="00A83BF1" w:rsidP="00950DD9">
            <w:pPr>
              <w:pStyle w:val="COMtbl-textCentred"/>
              <w:keepNext/>
              <w:widowControl/>
              <w:rPr>
                <w:highlight w:val="black"/>
              </w:rPr>
            </w:pPr>
            <w:r>
              <w:rPr>
                <w:noProof/>
                <w:color w:val="000000"/>
                <w:highlight w:val="black"/>
              </w:rPr>
              <w:t>'''''''''''''</w:t>
            </w:r>
          </w:p>
        </w:tc>
        <w:tc>
          <w:tcPr>
            <w:tcW w:w="666" w:type="pct"/>
            <w:vAlign w:val="center"/>
          </w:tcPr>
          <w:p w:rsidR="006F6A73" w:rsidRPr="00A83BF1" w:rsidRDefault="00A83BF1" w:rsidP="00950DD9">
            <w:pPr>
              <w:pStyle w:val="COMtbl-textCentred"/>
              <w:keepNext/>
              <w:widowControl/>
              <w:rPr>
                <w:highlight w:val="black"/>
              </w:rPr>
            </w:pPr>
            <w:r>
              <w:rPr>
                <w:noProof/>
                <w:color w:val="000000"/>
                <w:highlight w:val="black"/>
              </w:rPr>
              <w:t>''''''''''''''</w:t>
            </w:r>
          </w:p>
        </w:tc>
        <w:tc>
          <w:tcPr>
            <w:tcW w:w="666" w:type="pct"/>
            <w:vAlign w:val="center"/>
          </w:tcPr>
          <w:p w:rsidR="006F6A73" w:rsidRPr="00A83BF1" w:rsidRDefault="00A83BF1" w:rsidP="00950DD9">
            <w:pPr>
              <w:pStyle w:val="COMtbl-textCentred"/>
              <w:keepNext/>
              <w:widowControl/>
              <w:rPr>
                <w:highlight w:val="black"/>
              </w:rPr>
            </w:pPr>
            <w:r>
              <w:rPr>
                <w:noProof/>
                <w:color w:val="000000"/>
                <w:highlight w:val="black"/>
              </w:rPr>
              <w:t>'''''''''''''</w:t>
            </w:r>
          </w:p>
        </w:tc>
        <w:tc>
          <w:tcPr>
            <w:tcW w:w="667" w:type="pct"/>
            <w:vAlign w:val="center"/>
          </w:tcPr>
          <w:p w:rsidR="006F6A73" w:rsidRPr="00A83BF1" w:rsidRDefault="00A83BF1" w:rsidP="00950DD9">
            <w:pPr>
              <w:pStyle w:val="COMtbl-textCentred"/>
              <w:keepNext/>
              <w:widowControl/>
              <w:rPr>
                <w:highlight w:val="black"/>
              </w:rPr>
            </w:pPr>
            <w:r>
              <w:rPr>
                <w:noProof/>
                <w:color w:val="000000"/>
                <w:highlight w:val="black"/>
              </w:rPr>
              <w:t>''''''''''</w:t>
            </w:r>
          </w:p>
        </w:tc>
      </w:tr>
      <w:tr w:rsidR="006F6A73" w:rsidTr="006F6A73">
        <w:tc>
          <w:tcPr>
            <w:tcW w:w="1669" w:type="pct"/>
            <w:vAlign w:val="center"/>
          </w:tcPr>
          <w:p w:rsidR="006F6A73" w:rsidRDefault="006F6A73" w:rsidP="00950DD9">
            <w:pPr>
              <w:pStyle w:val="COMtbl-textLeftAligned"/>
              <w:keepNext/>
              <w:widowControl/>
            </w:pPr>
            <w:r>
              <w:t>- Treated with raloxifene (0.8%)</w:t>
            </w:r>
          </w:p>
        </w:tc>
        <w:tc>
          <w:tcPr>
            <w:tcW w:w="666" w:type="pct"/>
            <w:vAlign w:val="center"/>
          </w:tcPr>
          <w:p w:rsidR="006F6A73" w:rsidRPr="00A83BF1" w:rsidRDefault="00A83BF1" w:rsidP="00950DD9">
            <w:pPr>
              <w:pStyle w:val="COMtbl-textCentred"/>
              <w:keepNext/>
              <w:widowControl/>
              <w:rPr>
                <w:highlight w:val="black"/>
              </w:rPr>
            </w:pPr>
            <w:r>
              <w:rPr>
                <w:noProof/>
                <w:color w:val="000000"/>
                <w:highlight w:val="black"/>
              </w:rPr>
              <w:t>''''''</w:t>
            </w:r>
          </w:p>
        </w:tc>
        <w:tc>
          <w:tcPr>
            <w:tcW w:w="666" w:type="pct"/>
            <w:vAlign w:val="center"/>
          </w:tcPr>
          <w:p w:rsidR="006F6A73" w:rsidRPr="00A83BF1" w:rsidRDefault="00A83BF1" w:rsidP="00950DD9">
            <w:pPr>
              <w:pStyle w:val="COMtbl-textCentred"/>
              <w:keepNext/>
              <w:widowControl/>
              <w:rPr>
                <w:highlight w:val="black"/>
              </w:rPr>
            </w:pPr>
            <w:r>
              <w:rPr>
                <w:noProof/>
                <w:color w:val="000000"/>
                <w:highlight w:val="black"/>
              </w:rPr>
              <w:t>''''''</w:t>
            </w:r>
          </w:p>
        </w:tc>
        <w:tc>
          <w:tcPr>
            <w:tcW w:w="666" w:type="pct"/>
            <w:vAlign w:val="center"/>
          </w:tcPr>
          <w:p w:rsidR="006F6A73" w:rsidRPr="00A83BF1" w:rsidRDefault="00A83BF1" w:rsidP="00950DD9">
            <w:pPr>
              <w:pStyle w:val="COMtbl-textCentred"/>
              <w:keepNext/>
              <w:widowControl/>
              <w:rPr>
                <w:highlight w:val="black"/>
              </w:rPr>
            </w:pPr>
            <w:r>
              <w:rPr>
                <w:noProof/>
                <w:color w:val="000000"/>
                <w:highlight w:val="black"/>
              </w:rPr>
              <w:t>'''''</w:t>
            </w:r>
          </w:p>
        </w:tc>
        <w:tc>
          <w:tcPr>
            <w:tcW w:w="666" w:type="pct"/>
            <w:vAlign w:val="center"/>
          </w:tcPr>
          <w:p w:rsidR="006F6A73" w:rsidRPr="00A83BF1" w:rsidRDefault="00A83BF1" w:rsidP="00950DD9">
            <w:pPr>
              <w:pStyle w:val="COMtbl-textCentred"/>
              <w:keepNext/>
              <w:widowControl/>
              <w:rPr>
                <w:highlight w:val="black"/>
              </w:rPr>
            </w:pPr>
            <w:r>
              <w:rPr>
                <w:noProof/>
                <w:color w:val="000000"/>
                <w:highlight w:val="black"/>
              </w:rPr>
              <w:t>'''''''</w:t>
            </w:r>
          </w:p>
        </w:tc>
        <w:tc>
          <w:tcPr>
            <w:tcW w:w="667" w:type="pct"/>
            <w:vAlign w:val="center"/>
          </w:tcPr>
          <w:p w:rsidR="006F6A73" w:rsidRPr="00A83BF1" w:rsidRDefault="00A83BF1" w:rsidP="00950DD9">
            <w:pPr>
              <w:pStyle w:val="COMtbl-textCentred"/>
              <w:keepNext/>
              <w:widowControl/>
              <w:rPr>
                <w:highlight w:val="black"/>
              </w:rPr>
            </w:pPr>
            <w:r>
              <w:rPr>
                <w:noProof/>
                <w:color w:val="000000"/>
                <w:highlight w:val="black"/>
              </w:rPr>
              <w:t>'''''''</w:t>
            </w:r>
          </w:p>
        </w:tc>
      </w:tr>
      <w:tr w:rsidR="006F6A73" w:rsidTr="006F6A73">
        <w:tc>
          <w:tcPr>
            <w:tcW w:w="1669" w:type="pct"/>
            <w:vAlign w:val="center"/>
          </w:tcPr>
          <w:p w:rsidR="006F6A73" w:rsidRDefault="006F6A73" w:rsidP="00950DD9">
            <w:pPr>
              <w:pStyle w:val="COMtbl-textLeftAligned"/>
              <w:keepNext/>
              <w:widowControl/>
            </w:pPr>
            <w:r>
              <w:t>- Treated with teriparatide (0.2%)</w:t>
            </w:r>
          </w:p>
        </w:tc>
        <w:tc>
          <w:tcPr>
            <w:tcW w:w="666" w:type="pct"/>
            <w:vAlign w:val="center"/>
          </w:tcPr>
          <w:p w:rsidR="006F6A73" w:rsidRPr="00A83BF1" w:rsidRDefault="00A83BF1" w:rsidP="00950DD9">
            <w:pPr>
              <w:pStyle w:val="COMtbl-textCentred"/>
              <w:keepNext/>
              <w:widowControl/>
              <w:rPr>
                <w:highlight w:val="black"/>
              </w:rPr>
            </w:pPr>
            <w:r>
              <w:rPr>
                <w:noProof/>
                <w:color w:val="000000"/>
                <w:highlight w:val="black"/>
              </w:rPr>
              <w:t>'''''</w:t>
            </w:r>
          </w:p>
        </w:tc>
        <w:tc>
          <w:tcPr>
            <w:tcW w:w="666" w:type="pct"/>
            <w:vAlign w:val="center"/>
          </w:tcPr>
          <w:p w:rsidR="006F6A73" w:rsidRPr="00A83BF1" w:rsidRDefault="00A83BF1" w:rsidP="00950DD9">
            <w:pPr>
              <w:pStyle w:val="COMtbl-textCentred"/>
              <w:keepNext/>
              <w:widowControl/>
              <w:rPr>
                <w:highlight w:val="black"/>
              </w:rPr>
            </w:pPr>
            <w:r>
              <w:rPr>
                <w:noProof/>
                <w:color w:val="000000"/>
                <w:highlight w:val="black"/>
              </w:rPr>
              <w:t>''''''</w:t>
            </w:r>
          </w:p>
        </w:tc>
        <w:tc>
          <w:tcPr>
            <w:tcW w:w="666" w:type="pct"/>
            <w:vAlign w:val="center"/>
          </w:tcPr>
          <w:p w:rsidR="006F6A73" w:rsidRPr="00A83BF1" w:rsidRDefault="00A83BF1" w:rsidP="00950DD9">
            <w:pPr>
              <w:pStyle w:val="COMtbl-textCentred"/>
              <w:keepNext/>
              <w:widowControl/>
              <w:rPr>
                <w:highlight w:val="black"/>
              </w:rPr>
            </w:pPr>
            <w:r>
              <w:rPr>
                <w:noProof/>
                <w:color w:val="000000"/>
                <w:highlight w:val="black"/>
              </w:rPr>
              <w:t>''''''</w:t>
            </w:r>
          </w:p>
        </w:tc>
        <w:tc>
          <w:tcPr>
            <w:tcW w:w="666" w:type="pct"/>
            <w:vAlign w:val="center"/>
          </w:tcPr>
          <w:p w:rsidR="006F6A73" w:rsidRPr="00A83BF1" w:rsidRDefault="00A83BF1" w:rsidP="00950DD9">
            <w:pPr>
              <w:pStyle w:val="COMtbl-textCentred"/>
              <w:keepNext/>
              <w:widowControl/>
              <w:rPr>
                <w:highlight w:val="black"/>
              </w:rPr>
            </w:pPr>
            <w:r>
              <w:rPr>
                <w:noProof/>
                <w:color w:val="000000"/>
                <w:highlight w:val="black"/>
              </w:rPr>
              <w:t>'''</w:t>
            </w:r>
          </w:p>
        </w:tc>
        <w:tc>
          <w:tcPr>
            <w:tcW w:w="667" w:type="pct"/>
            <w:vAlign w:val="center"/>
          </w:tcPr>
          <w:p w:rsidR="006F6A73" w:rsidRPr="00A83BF1" w:rsidRDefault="00A83BF1" w:rsidP="00950DD9">
            <w:pPr>
              <w:pStyle w:val="COMtbl-textCentred"/>
              <w:keepNext/>
              <w:widowControl/>
              <w:rPr>
                <w:highlight w:val="black"/>
              </w:rPr>
            </w:pPr>
            <w:r>
              <w:rPr>
                <w:noProof/>
                <w:color w:val="000000"/>
                <w:highlight w:val="black"/>
              </w:rPr>
              <w:t>'''</w:t>
            </w:r>
          </w:p>
        </w:tc>
      </w:tr>
      <w:tr w:rsidR="006F6A73" w:rsidTr="006F6A73">
        <w:tc>
          <w:tcPr>
            <w:tcW w:w="1669" w:type="pct"/>
            <w:tcBorders>
              <w:top w:val="single" w:sz="4" w:space="0" w:color="auto"/>
              <w:left w:val="single" w:sz="4" w:space="0" w:color="auto"/>
              <w:bottom w:val="single" w:sz="4" w:space="0" w:color="auto"/>
              <w:right w:val="single" w:sz="4" w:space="0" w:color="auto"/>
            </w:tcBorders>
            <w:shd w:val="clear" w:color="auto" w:fill="auto"/>
            <w:vAlign w:val="center"/>
          </w:tcPr>
          <w:p w:rsidR="006F6A73" w:rsidRPr="00567BF8" w:rsidRDefault="006F6A73" w:rsidP="00950DD9">
            <w:pPr>
              <w:pStyle w:val="COMtbl-textLeftAligned"/>
              <w:keepNext/>
              <w:widowControl/>
            </w:pPr>
            <w:r w:rsidRPr="00567BF8">
              <w:t>Total cost</w:t>
            </w:r>
            <w:r>
              <w:t xml:space="preserve"> (DPMQ)</w:t>
            </w:r>
            <w:r w:rsidRPr="00567BF8">
              <w:t xml:space="preserve"> less co-payments</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6F6A73" w:rsidRPr="00567BF8" w:rsidRDefault="006F6A73" w:rsidP="00950DD9">
            <w:pPr>
              <w:pStyle w:val="COMtbl-textCentred"/>
              <w:keepNext/>
              <w:widowControl/>
            </w:pPr>
            <w:r w:rsidRPr="003610D5">
              <w:t>$</w:t>
            </w:r>
            <w:r w:rsidR="00A83BF1">
              <w:rPr>
                <w:noProof/>
                <w:color w:val="000000"/>
                <w:highlight w:val="black"/>
              </w:rPr>
              <w:t>'''''''''''''''''''''</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6F6A73" w:rsidRPr="00567BF8" w:rsidRDefault="006F6A73" w:rsidP="00950DD9">
            <w:pPr>
              <w:pStyle w:val="COMtbl-textCentred"/>
              <w:keepNext/>
              <w:widowControl/>
            </w:pPr>
            <w:r w:rsidRPr="003610D5">
              <w:t>$</w:t>
            </w:r>
            <w:r w:rsidR="00A83BF1">
              <w:rPr>
                <w:noProof/>
                <w:color w:val="000000"/>
                <w:highlight w:val="black"/>
              </w:rPr>
              <w:t>'''''''''''''''''''''''</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6F6A73" w:rsidRPr="00567BF8" w:rsidRDefault="006F6A73" w:rsidP="00950DD9">
            <w:pPr>
              <w:pStyle w:val="COMtbl-textCentred"/>
              <w:keepNext/>
              <w:widowControl/>
            </w:pPr>
            <w:r w:rsidRPr="002D11BE">
              <w:t>$</w:t>
            </w:r>
            <w:r w:rsidR="00A83BF1">
              <w:rPr>
                <w:noProof/>
                <w:color w:val="000000"/>
                <w:highlight w:val="black"/>
              </w:rPr>
              <w:t>'''''''''''''''''''''''</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6F6A73" w:rsidRPr="00567BF8" w:rsidRDefault="006F6A73" w:rsidP="00950DD9">
            <w:pPr>
              <w:pStyle w:val="COMtbl-textCentred"/>
              <w:keepNext/>
              <w:widowControl/>
            </w:pPr>
            <w:r w:rsidRPr="00E22204">
              <w:t>$</w:t>
            </w:r>
            <w:r w:rsidR="00A83BF1">
              <w:rPr>
                <w:noProof/>
                <w:color w:val="000000"/>
                <w:highlight w:val="black"/>
              </w:rPr>
              <w:t>''''''''''''''''''''''</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6F6A73" w:rsidRPr="00567BF8" w:rsidRDefault="006F6A73" w:rsidP="00950DD9">
            <w:pPr>
              <w:pStyle w:val="COMtbl-textCentred"/>
              <w:keepNext/>
              <w:widowControl/>
            </w:pPr>
            <w:r w:rsidRPr="00E22204">
              <w:t>$</w:t>
            </w:r>
            <w:r w:rsidR="00A83BF1">
              <w:rPr>
                <w:noProof/>
                <w:color w:val="000000"/>
                <w:highlight w:val="black"/>
              </w:rPr>
              <w:t>''''''''''''''''''''</w:t>
            </w:r>
          </w:p>
        </w:tc>
      </w:tr>
      <w:tr w:rsidR="006F6A73" w:rsidTr="006F6A73">
        <w:tc>
          <w:tcPr>
            <w:tcW w:w="5000" w:type="pct"/>
            <w:gridSpan w:val="6"/>
            <w:tcBorders>
              <w:top w:val="single" w:sz="4" w:space="0" w:color="auto"/>
              <w:left w:val="single" w:sz="4" w:space="0" w:color="auto"/>
              <w:bottom w:val="single" w:sz="4" w:space="0" w:color="auto"/>
              <w:right w:val="single" w:sz="4" w:space="0" w:color="auto"/>
            </w:tcBorders>
            <w:vAlign w:val="center"/>
          </w:tcPr>
          <w:p w:rsidR="006F6A73" w:rsidRPr="00AE6BFC" w:rsidRDefault="006F6A73" w:rsidP="00950DD9">
            <w:pPr>
              <w:pStyle w:val="COMtbl-textCentred"/>
              <w:keepNext/>
              <w:widowControl/>
              <w:jc w:val="left"/>
              <w:rPr>
                <w:b/>
              </w:rPr>
            </w:pPr>
            <w:r>
              <w:rPr>
                <w:b/>
              </w:rPr>
              <w:t>Difference between scenarios</w:t>
            </w:r>
          </w:p>
        </w:tc>
      </w:tr>
      <w:tr w:rsidR="006F6A73" w:rsidTr="006F6A73">
        <w:tc>
          <w:tcPr>
            <w:tcW w:w="1669" w:type="pct"/>
            <w:tcBorders>
              <w:top w:val="single" w:sz="4" w:space="0" w:color="auto"/>
              <w:left w:val="single" w:sz="4" w:space="0" w:color="auto"/>
              <w:bottom w:val="single" w:sz="4" w:space="0" w:color="auto"/>
              <w:right w:val="single" w:sz="4" w:space="0" w:color="auto"/>
            </w:tcBorders>
            <w:vAlign w:val="center"/>
          </w:tcPr>
          <w:p w:rsidR="006F6A73" w:rsidRDefault="006F6A73" w:rsidP="00950DD9">
            <w:pPr>
              <w:pStyle w:val="COMtbl-textLeftAligned"/>
              <w:keepNext/>
              <w:widowControl/>
            </w:pPr>
            <w:r>
              <w:t>Total cost of strontium ranelate</w:t>
            </w:r>
          </w:p>
        </w:tc>
        <w:tc>
          <w:tcPr>
            <w:tcW w:w="666" w:type="pct"/>
            <w:tcBorders>
              <w:top w:val="single" w:sz="4" w:space="0" w:color="auto"/>
              <w:left w:val="single" w:sz="4" w:space="0" w:color="auto"/>
              <w:bottom w:val="single" w:sz="4" w:space="0" w:color="auto"/>
              <w:right w:val="single" w:sz="4" w:space="0" w:color="auto"/>
            </w:tcBorders>
            <w:vAlign w:val="center"/>
          </w:tcPr>
          <w:p w:rsidR="006F6A73" w:rsidRDefault="006F6A73" w:rsidP="00950DD9">
            <w:pPr>
              <w:pStyle w:val="COMtbl-textCentred"/>
              <w:keepNext/>
              <w:widowControl/>
            </w:pPr>
            <w:r w:rsidRPr="00567BF8">
              <w:t>$</w:t>
            </w:r>
            <w:r w:rsidR="00A83BF1">
              <w:rPr>
                <w:noProof/>
                <w:color w:val="000000"/>
                <w:highlight w:val="black"/>
              </w:rPr>
              <w:t>'''''''''''''''''''''''</w:t>
            </w:r>
          </w:p>
        </w:tc>
        <w:tc>
          <w:tcPr>
            <w:tcW w:w="666" w:type="pct"/>
            <w:tcBorders>
              <w:top w:val="single" w:sz="4" w:space="0" w:color="auto"/>
              <w:left w:val="single" w:sz="4" w:space="0" w:color="auto"/>
              <w:bottom w:val="single" w:sz="4" w:space="0" w:color="auto"/>
              <w:right w:val="single" w:sz="4" w:space="0" w:color="auto"/>
            </w:tcBorders>
            <w:vAlign w:val="center"/>
          </w:tcPr>
          <w:p w:rsidR="006F6A73" w:rsidRDefault="006F6A73" w:rsidP="00950DD9">
            <w:pPr>
              <w:pStyle w:val="COMtbl-textCentred"/>
              <w:keepNext/>
              <w:widowControl/>
            </w:pPr>
            <w:r w:rsidRPr="00567BF8">
              <w:t>$</w:t>
            </w:r>
            <w:r w:rsidR="00A83BF1">
              <w:rPr>
                <w:noProof/>
                <w:color w:val="000000"/>
                <w:highlight w:val="black"/>
              </w:rPr>
              <w:t>'''''''''''''''''''''''</w:t>
            </w:r>
          </w:p>
        </w:tc>
        <w:tc>
          <w:tcPr>
            <w:tcW w:w="666" w:type="pct"/>
            <w:tcBorders>
              <w:top w:val="single" w:sz="4" w:space="0" w:color="auto"/>
              <w:left w:val="single" w:sz="4" w:space="0" w:color="auto"/>
              <w:bottom w:val="single" w:sz="4" w:space="0" w:color="auto"/>
              <w:right w:val="single" w:sz="4" w:space="0" w:color="auto"/>
            </w:tcBorders>
            <w:vAlign w:val="center"/>
          </w:tcPr>
          <w:p w:rsidR="006F6A73" w:rsidRDefault="006F6A73" w:rsidP="00950DD9">
            <w:pPr>
              <w:pStyle w:val="COMtbl-textCentred"/>
              <w:keepNext/>
              <w:widowControl/>
            </w:pPr>
            <w:r w:rsidRPr="00567BF8">
              <w:t>$</w:t>
            </w:r>
            <w:r w:rsidR="00A83BF1">
              <w:rPr>
                <w:noProof/>
                <w:color w:val="000000"/>
                <w:highlight w:val="black"/>
              </w:rPr>
              <w:t>'''''''''''''''''''''''''</w:t>
            </w:r>
          </w:p>
        </w:tc>
        <w:tc>
          <w:tcPr>
            <w:tcW w:w="666" w:type="pct"/>
            <w:tcBorders>
              <w:top w:val="single" w:sz="4" w:space="0" w:color="auto"/>
              <w:left w:val="single" w:sz="4" w:space="0" w:color="auto"/>
              <w:bottom w:val="single" w:sz="4" w:space="0" w:color="auto"/>
              <w:right w:val="single" w:sz="4" w:space="0" w:color="auto"/>
            </w:tcBorders>
            <w:vAlign w:val="center"/>
          </w:tcPr>
          <w:p w:rsidR="006F6A73" w:rsidRDefault="006F6A73" w:rsidP="00950DD9">
            <w:pPr>
              <w:pStyle w:val="COMtbl-textCentred"/>
              <w:keepNext/>
              <w:widowControl/>
            </w:pPr>
            <w:r w:rsidRPr="00567BF8">
              <w:t>$</w:t>
            </w:r>
            <w:r w:rsidR="00A83BF1">
              <w:rPr>
                <w:noProof/>
                <w:color w:val="000000"/>
                <w:highlight w:val="black"/>
              </w:rPr>
              <w:t>'''''''''''''''''''''''''</w:t>
            </w:r>
          </w:p>
        </w:tc>
        <w:tc>
          <w:tcPr>
            <w:tcW w:w="666" w:type="pct"/>
            <w:tcBorders>
              <w:top w:val="single" w:sz="4" w:space="0" w:color="auto"/>
              <w:left w:val="single" w:sz="4" w:space="0" w:color="auto"/>
              <w:bottom w:val="single" w:sz="4" w:space="0" w:color="auto"/>
              <w:right w:val="single" w:sz="4" w:space="0" w:color="auto"/>
            </w:tcBorders>
            <w:vAlign w:val="center"/>
          </w:tcPr>
          <w:p w:rsidR="006F6A73" w:rsidRDefault="006F6A73" w:rsidP="00950DD9">
            <w:pPr>
              <w:pStyle w:val="COMtbl-textCentred"/>
              <w:keepNext/>
              <w:widowControl/>
            </w:pPr>
            <w:r w:rsidRPr="00567BF8">
              <w:t>$</w:t>
            </w:r>
            <w:r w:rsidR="00A83BF1">
              <w:rPr>
                <w:noProof/>
                <w:color w:val="000000"/>
                <w:highlight w:val="black"/>
              </w:rPr>
              <w:t>'''''''''''''''''''''''</w:t>
            </w:r>
          </w:p>
        </w:tc>
      </w:tr>
      <w:tr w:rsidR="006F6A73" w:rsidTr="006F6A73">
        <w:tc>
          <w:tcPr>
            <w:tcW w:w="1669" w:type="pct"/>
            <w:tcBorders>
              <w:top w:val="single" w:sz="4" w:space="0" w:color="auto"/>
              <w:left w:val="single" w:sz="4" w:space="0" w:color="auto"/>
              <w:bottom w:val="single" w:sz="4" w:space="0" w:color="auto"/>
              <w:right w:val="single" w:sz="4" w:space="0" w:color="auto"/>
            </w:tcBorders>
            <w:vAlign w:val="center"/>
          </w:tcPr>
          <w:p w:rsidR="006F6A73" w:rsidRDefault="006F6A73" w:rsidP="00950DD9">
            <w:pPr>
              <w:pStyle w:val="COMtbl-textLeftAligned"/>
              <w:keepNext/>
              <w:widowControl/>
            </w:pPr>
            <w:r>
              <w:t>Total cost other therapies</w:t>
            </w:r>
          </w:p>
        </w:tc>
        <w:tc>
          <w:tcPr>
            <w:tcW w:w="666" w:type="pct"/>
            <w:tcBorders>
              <w:top w:val="single" w:sz="4" w:space="0" w:color="auto"/>
              <w:left w:val="single" w:sz="4" w:space="0" w:color="auto"/>
              <w:bottom w:val="single" w:sz="4" w:space="0" w:color="auto"/>
              <w:right w:val="single" w:sz="4" w:space="0" w:color="auto"/>
            </w:tcBorders>
            <w:vAlign w:val="center"/>
          </w:tcPr>
          <w:p w:rsidR="006F6A73" w:rsidRDefault="006F6A73" w:rsidP="00950DD9">
            <w:pPr>
              <w:pStyle w:val="COMtbl-textCentred"/>
              <w:keepNext/>
              <w:widowControl/>
            </w:pPr>
            <w:r w:rsidRPr="003610D5">
              <w:t>$</w:t>
            </w:r>
            <w:r w:rsidR="00A83BF1">
              <w:rPr>
                <w:noProof/>
                <w:color w:val="000000"/>
                <w:highlight w:val="black"/>
              </w:rPr>
              <w:t>''''''''''''''''''''''</w:t>
            </w:r>
          </w:p>
        </w:tc>
        <w:tc>
          <w:tcPr>
            <w:tcW w:w="666" w:type="pct"/>
            <w:tcBorders>
              <w:top w:val="single" w:sz="4" w:space="0" w:color="auto"/>
              <w:left w:val="single" w:sz="4" w:space="0" w:color="auto"/>
              <w:bottom w:val="single" w:sz="4" w:space="0" w:color="auto"/>
              <w:right w:val="single" w:sz="4" w:space="0" w:color="auto"/>
            </w:tcBorders>
            <w:vAlign w:val="center"/>
          </w:tcPr>
          <w:p w:rsidR="006F6A73" w:rsidRDefault="006F6A73" w:rsidP="00950DD9">
            <w:pPr>
              <w:pStyle w:val="COMtbl-textCentred"/>
              <w:keepNext/>
              <w:widowControl/>
            </w:pPr>
            <w:r w:rsidRPr="003610D5">
              <w:t>$</w:t>
            </w:r>
            <w:r w:rsidR="00A83BF1">
              <w:rPr>
                <w:noProof/>
                <w:color w:val="000000"/>
                <w:highlight w:val="black"/>
              </w:rPr>
              <w:t>'''''''''''''''''''''''</w:t>
            </w:r>
          </w:p>
        </w:tc>
        <w:tc>
          <w:tcPr>
            <w:tcW w:w="666" w:type="pct"/>
            <w:tcBorders>
              <w:top w:val="single" w:sz="4" w:space="0" w:color="auto"/>
              <w:left w:val="single" w:sz="4" w:space="0" w:color="auto"/>
              <w:bottom w:val="single" w:sz="4" w:space="0" w:color="auto"/>
              <w:right w:val="single" w:sz="4" w:space="0" w:color="auto"/>
            </w:tcBorders>
            <w:vAlign w:val="center"/>
          </w:tcPr>
          <w:p w:rsidR="006F6A73" w:rsidRDefault="006F6A73" w:rsidP="00950DD9">
            <w:pPr>
              <w:pStyle w:val="COMtbl-textCentred"/>
              <w:keepNext/>
              <w:widowControl/>
            </w:pPr>
            <w:r w:rsidRPr="002D11BE">
              <w:t>$</w:t>
            </w:r>
            <w:r w:rsidR="00A83BF1">
              <w:rPr>
                <w:noProof/>
                <w:color w:val="000000"/>
                <w:highlight w:val="black"/>
              </w:rPr>
              <w:t>''''''''''''''''''''''''''</w:t>
            </w:r>
          </w:p>
        </w:tc>
        <w:tc>
          <w:tcPr>
            <w:tcW w:w="666" w:type="pct"/>
            <w:tcBorders>
              <w:top w:val="single" w:sz="4" w:space="0" w:color="auto"/>
              <w:left w:val="single" w:sz="4" w:space="0" w:color="auto"/>
              <w:bottom w:val="single" w:sz="4" w:space="0" w:color="auto"/>
              <w:right w:val="single" w:sz="4" w:space="0" w:color="auto"/>
            </w:tcBorders>
            <w:vAlign w:val="center"/>
          </w:tcPr>
          <w:p w:rsidR="006F6A73" w:rsidRDefault="006F6A73" w:rsidP="00950DD9">
            <w:pPr>
              <w:pStyle w:val="COMtbl-textCentred"/>
              <w:keepNext/>
              <w:widowControl/>
            </w:pPr>
            <w:r w:rsidRPr="00E22204">
              <w:t>$</w:t>
            </w:r>
            <w:r w:rsidR="00A83BF1">
              <w:rPr>
                <w:noProof/>
                <w:color w:val="000000"/>
                <w:highlight w:val="black"/>
              </w:rPr>
              <w:t>'''''''''''''''''''</w:t>
            </w:r>
          </w:p>
        </w:tc>
        <w:tc>
          <w:tcPr>
            <w:tcW w:w="666" w:type="pct"/>
            <w:tcBorders>
              <w:top w:val="single" w:sz="4" w:space="0" w:color="auto"/>
              <w:left w:val="single" w:sz="4" w:space="0" w:color="auto"/>
              <w:bottom w:val="single" w:sz="4" w:space="0" w:color="auto"/>
              <w:right w:val="single" w:sz="4" w:space="0" w:color="auto"/>
            </w:tcBorders>
            <w:vAlign w:val="center"/>
          </w:tcPr>
          <w:p w:rsidR="006F6A73" w:rsidRDefault="006F6A73" w:rsidP="00950DD9">
            <w:pPr>
              <w:pStyle w:val="COMtbl-textCentred"/>
              <w:keepNext/>
              <w:widowControl/>
            </w:pPr>
            <w:r w:rsidRPr="00E22204">
              <w:t>$</w:t>
            </w:r>
            <w:r w:rsidR="00A83BF1">
              <w:rPr>
                <w:noProof/>
                <w:color w:val="000000"/>
                <w:highlight w:val="black"/>
              </w:rPr>
              <w:t>''''''''''''''''''''''</w:t>
            </w:r>
          </w:p>
        </w:tc>
      </w:tr>
      <w:tr w:rsidR="006F6A73" w:rsidTr="006F6A73">
        <w:tc>
          <w:tcPr>
            <w:tcW w:w="1669" w:type="pct"/>
            <w:tcBorders>
              <w:top w:val="single" w:sz="4" w:space="0" w:color="auto"/>
              <w:left w:val="single" w:sz="4" w:space="0" w:color="auto"/>
              <w:bottom w:val="single" w:sz="4" w:space="0" w:color="auto"/>
              <w:right w:val="single" w:sz="4" w:space="0" w:color="auto"/>
            </w:tcBorders>
            <w:vAlign w:val="center"/>
          </w:tcPr>
          <w:p w:rsidR="006F6A73" w:rsidRPr="00AE6BFC" w:rsidRDefault="006F6A73" w:rsidP="00950DD9">
            <w:pPr>
              <w:pStyle w:val="COMtbl-textLeftAligned"/>
              <w:keepNext/>
              <w:widowControl/>
              <w:rPr>
                <w:b/>
              </w:rPr>
            </w:pPr>
            <w:r w:rsidRPr="00AE6BFC">
              <w:rPr>
                <w:b/>
              </w:rPr>
              <w:t>Net cost to the PBS</w:t>
            </w:r>
          </w:p>
        </w:tc>
        <w:tc>
          <w:tcPr>
            <w:tcW w:w="666" w:type="pct"/>
            <w:tcBorders>
              <w:top w:val="single" w:sz="4" w:space="0" w:color="auto"/>
              <w:left w:val="single" w:sz="4" w:space="0" w:color="auto"/>
              <w:bottom w:val="single" w:sz="4" w:space="0" w:color="auto"/>
              <w:right w:val="single" w:sz="4" w:space="0" w:color="auto"/>
            </w:tcBorders>
            <w:vAlign w:val="center"/>
          </w:tcPr>
          <w:p w:rsidR="006F6A73" w:rsidRDefault="006F6A73" w:rsidP="00950DD9">
            <w:pPr>
              <w:pStyle w:val="COMtbl-textCentred"/>
              <w:keepNext/>
              <w:widowControl/>
            </w:pPr>
            <w:r w:rsidRPr="00E22204">
              <w:t>-$</w:t>
            </w:r>
            <w:r w:rsidR="00A83BF1">
              <w:rPr>
                <w:noProof/>
                <w:color w:val="000000"/>
                <w:highlight w:val="black"/>
              </w:rPr>
              <w:t>'''''''''''''''''''''</w:t>
            </w:r>
          </w:p>
        </w:tc>
        <w:tc>
          <w:tcPr>
            <w:tcW w:w="666" w:type="pct"/>
            <w:tcBorders>
              <w:top w:val="single" w:sz="4" w:space="0" w:color="auto"/>
              <w:left w:val="single" w:sz="4" w:space="0" w:color="auto"/>
              <w:bottom w:val="single" w:sz="4" w:space="0" w:color="auto"/>
              <w:right w:val="single" w:sz="4" w:space="0" w:color="auto"/>
            </w:tcBorders>
            <w:vAlign w:val="center"/>
          </w:tcPr>
          <w:p w:rsidR="006F6A73" w:rsidRDefault="006F6A73" w:rsidP="00950DD9">
            <w:pPr>
              <w:pStyle w:val="COMtbl-textCentred"/>
              <w:keepNext/>
              <w:widowControl/>
            </w:pPr>
            <w:r w:rsidRPr="00E22204">
              <w:t>-$</w:t>
            </w:r>
            <w:r w:rsidR="00A83BF1">
              <w:rPr>
                <w:noProof/>
                <w:color w:val="000000"/>
                <w:highlight w:val="black"/>
              </w:rPr>
              <w:t>''''''''''''''''''''''''</w:t>
            </w:r>
          </w:p>
        </w:tc>
        <w:tc>
          <w:tcPr>
            <w:tcW w:w="666" w:type="pct"/>
            <w:tcBorders>
              <w:top w:val="single" w:sz="4" w:space="0" w:color="auto"/>
              <w:left w:val="single" w:sz="4" w:space="0" w:color="auto"/>
              <w:bottom w:val="single" w:sz="4" w:space="0" w:color="auto"/>
              <w:right w:val="single" w:sz="4" w:space="0" w:color="auto"/>
            </w:tcBorders>
            <w:vAlign w:val="center"/>
          </w:tcPr>
          <w:p w:rsidR="006F6A73" w:rsidRDefault="006F6A73" w:rsidP="00950DD9">
            <w:pPr>
              <w:pStyle w:val="COMtbl-textCentred"/>
              <w:keepNext/>
              <w:widowControl/>
            </w:pPr>
            <w:r w:rsidRPr="00E22204">
              <w:t>-$</w:t>
            </w:r>
            <w:r w:rsidR="00A83BF1">
              <w:rPr>
                <w:noProof/>
                <w:color w:val="000000"/>
                <w:highlight w:val="black"/>
              </w:rPr>
              <w:t>'''''''''''''''''''''''''</w:t>
            </w:r>
          </w:p>
        </w:tc>
        <w:tc>
          <w:tcPr>
            <w:tcW w:w="666" w:type="pct"/>
            <w:tcBorders>
              <w:top w:val="single" w:sz="4" w:space="0" w:color="auto"/>
              <w:left w:val="single" w:sz="4" w:space="0" w:color="auto"/>
              <w:bottom w:val="single" w:sz="4" w:space="0" w:color="auto"/>
              <w:right w:val="single" w:sz="4" w:space="0" w:color="auto"/>
            </w:tcBorders>
            <w:vAlign w:val="center"/>
          </w:tcPr>
          <w:p w:rsidR="006F6A73" w:rsidRDefault="006F6A73" w:rsidP="00950DD9">
            <w:pPr>
              <w:pStyle w:val="COMtbl-textCentred"/>
              <w:keepNext/>
              <w:widowControl/>
            </w:pPr>
            <w:r w:rsidRPr="00E22204">
              <w:t>-$</w:t>
            </w:r>
            <w:r w:rsidR="00A83BF1">
              <w:rPr>
                <w:noProof/>
                <w:color w:val="000000"/>
                <w:highlight w:val="black"/>
              </w:rPr>
              <w:t>'''''''''''''''''''''''</w:t>
            </w:r>
          </w:p>
        </w:tc>
        <w:tc>
          <w:tcPr>
            <w:tcW w:w="666" w:type="pct"/>
            <w:tcBorders>
              <w:top w:val="single" w:sz="4" w:space="0" w:color="auto"/>
              <w:left w:val="single" w:sz="4" w:space="0" w:color="auto"/>
              <w:bottom w:val="single" w:sz="4" w:space="0" w:color="auto"/>
              <w:right w:val="single" w:sz="4" w:space="0" w:color="auto"/>
            </w:tcBorders>
            <w:vAlign w:val="center"/>
          </w:tcPr>
          <w:p w:rsidR="006F6A73" w:rsidRDefault="006F6A73" w:rsidP="00950DD9">
            <w:pPr>
              <w:pStyle w:val="COMtbl-textCentred"/>
              <w:keepNext/>
              <w:widowControl/>
            </w:pPr>
            <w:r w:rsidRPr="00E22204">
              <w:t>-$</w:t>
            </w:r>
            <w:r w:rsidR="00A83BF1">
              <w:rPr>
                <w:noProof/>
                <w:color w:val="000000"/>
                <w:highlight w:val="black"/>
              </w:rPr>
              <w:t>'''''''''''''''''''''''''</w:t>
            </w:r>
          </w:p>
        </w:tc>
      </w:tr>
    </w:tbl>
    <w:p w:rsidR="006F6A73" w:rsidRPr="002B33AE" w:rsidRDefault="006F6A73" w:rsidP="00950DD9">
      <w:pPr>
        <w:pStyle w:val="COMTbl-foot"/>
        <w:widowControl/>
        <w:ind w:firstLine="709"/>
        <w:rPr>
          <w:rFonts w:ascii="Arial Narrow" w:hAnsi="Arial Narrow"/>
        </w:rPr>
      </w:pPr>
      <w:r w:rsidRPr="002B33AE">
        <w:rPr>
          <w:rFonts w:ascii="Arial Narrow" w:hAnsi="Arial Narrow"/>
        </w:rPr>
        <w:t>Abbreviations: DPMQ, dispensed price per maximum quantity; PBS, Pharmaceutical Benefits Scheme</w:t>
      </w:r>
    </w:p>
    <w:p w:rsidR="00C25D9C" w:rsidRPr="00C25D9C" w:rsidRDefault="00C25D9C" w:rsidP="00950DD9">
      <w:pPr>
        <w:widowControl/>
        <w:rPr>
          <w:szCs w:val="22"/>
        </w:rPr>
      </w:pPr>
    </w:p>
    <w:p w:rsidR="000E6232" w:rsidRDefault="00DF60AE" w:rsidP="00950DD9">
      <w:pPr>
        <w:pStyle w:val="ListParagraph"/>
        <w:widowControl/>
        <w:numPr>
          <w:ilvl w:val="1"/>
          <w:numId w:val="5"/>
        </w:numPr>
        <w:rPr>
          <w:szCs w:val="22"/>
        </w:rPr>
      </w:pPr>
      <w:r>
        <w:rPr>
          <w:szCs w:val="22"/>
        </w:rPr>
        <w:t>The above redacted table shows that i</w:t>
      </w:r>
      <w:r w:rsidR="000E6232">
        <w:rPr>
          <w:szCs w:val="22"/>
        </w:rPr>
        <w:t>f strontium ranelate continued to be listed on the PBS, at year 5 the estimated number of patients w</w:t>
      </w:r>
      <w:r>
        <w:rPr>
          <w:szCs w:val="22"/>
        </w:rPr>
        <w:t>ould be</w:t>
      </w:r>
      <w:r w:rsidR="000E6232">
        <w:rPr>
          <w:szCs w:val="22"/>
        </w:rPr>
        <w:t xml:space="preserve"> </w:t>
      </w:r>
      <w:r>
        <w:rPr>
          <w:szCs w:val="22"/>
        </w:rPr>
        <w:t>less than 10,000</w:t>
      </w:r>
      <w:r w:rsidR="000E6232">
        <w:rPr>
          <w:szCs w:val="22"/>
        </w:rPr>
        <w:t xml:space="preserve"> (down from </w:t>
      </w:r>
      <w:r>
        <w:rPr>
          <w:szCs w:val="22"/>
        </w:rPr>
        <w:t>less than 10,000</w:t>
      </w:r>
      <w:r w:rsidR="000E6232">
        <w:rPr>
          <w:szCs w:val="22"/>
        </w:rPr>
        <w:t xml:space="preserve"> in year 1) and the cost to the PBS would be </w:t>
      </w:r>
      <w:r>
        <w:rPr>
          <w:szCs w:val="22"/>
        </w:rPr>
        <w:t xml:space="preserve">less than </w:t>
      </w:r>
      <w:r w:rsidR="000E6232">
        <w:rPr>
          <w:szCs w:val="22"/>
        </w:rPr>
        <w:t>$</w:t>
      </w:r>
      <w:r>
        <w:rPr>
          <w:szCs w:val="22"/>
        </w:rPr>
        <w:t>10</w:t>
      </w:r>
      <w:r w:rsidR="000E6232">
        <w:rPr>
          <w:szCs w:val="22"/>
        </w:rPr>
        <w:t xml:space="preserve"> million (down from </w:t>
      </w:r>
      <w:r>
        <w:rPr>
          <w:szCs w:val="22"/>
        </w:rPr>
        <w:t xml:space="preserve">less than </w:t>
      </w:r>
      <w:r w:rsidR="000E6232">
        <w:rPr>
          <w:szCs w:val="22"/>
        </w:rPr>
        <w:t>$</w:t>
      </w:r>
      <w:r>
        <w:rPr>
          <w:szCs w:val="22"/>
        </w:rPr>
        <w:t xml:space="preserve">10 </w:t>
      </w:r>
      <w:r w:rsidR="000E6232">
        <w:rPr>
          <w:szCs w:val="22"/>
        </w:rPr>
        <w:t>million in year 1).</w:t>
      </w:r>
    </w:p>
    <w:p w:rsidR="000E6232" w:rsidRDefault="000E6232" w:rsidP="000E6232">
      <w:pPr>
        <w:pStyle w:val="ListParagraph"/>
        <w:widowControl/>
        <w:rPr>
          <w:szCs w:val="22"/>
        </w:rPr>
      </w:pPr>
    </w:p>
    <w:p w:rsidR="00AA7CEE" w:rsidRDefault="00D740BB" w:rsidP="00950DD9">
      <w:pPr>
        <w:pStyle w:val="ListParagraph"/>
        <w:widowControl/>
        <w:numPr>
          <w:ilvl w:val="1"/>
          <w:numId w:val="5"/>
        </w:numPr>
        <w:rPr>
          <w:szCs w:val="22"/>
        </w:rPr>
      </w:pPr>
      <w:r w:rsidRPr="002B33AE">
        <w:rPr>
          <w:szCs w:val="22"/>
        </w:rPr>
        <w:t>The estimated financial implications of either co</w:t>
      </w:r>
      <w:r w:rsidR="00421739" w:rsidRPr="002B33AE">
        <w:rPr>
          <w:szCs w:val="22"/>
        </w:rPr>
        <w:t>ntinued listing or delisting were</w:t>
      </w:r>
      <w:r w:rsidRPr="002B33AE">
        <w:rPr>
          <w:szCs w:val="22"/>
        </w:rPr>
        <w:t xml:space="preserve"> highly uncertain due to</w:t>
      </w:r>
      <w:r w:rsidR="00AA7CEE" w:rsidRPr="002B33AE">
        <w:rPr>
          <w:szCs w:val="22"/>
        </w:rPr>
        <w:t xml:space="preserve"> </w:t>
      </w:r>
      <w:r w:rsidR="00A34343" w:rsidRPr="002B33AE">
        <w:rPr>
          <w:szCs w:val="22"/>
        </w:rPr>
        <w:t xml:space="preserve">methodological </w:t>
      </w:r>
      <w:r w:rsidR="00AA7CEE" w:rsidRPr="002B33AE">
        <w:rPr>
          <w:szCs w:val="22"/>
        </w:rPr>
        <w:t>issues with calculating patient numbers from scripts, limited current data to inform discontinuation rates</w:t>
      </w:r>
      <w:r w:rsidR="009C5865">
        <w:rPr>
          <w:szCs w:val="22"/>
        </w:rPr>
        <w:t>,</w:t>
      </w:r>
      <w:r w:rsidR="00AA7CEE" w:rsidRPr="002B33AE">
        <w:rPr>
          <w:szCs w:val="22"/>
        </w:rPr>
        <w:t xml:space="preserve"> and the assumption that discontinuation patterns observed with strontium ranelate available on the PBS would be reflective of switching patterns if strontium ranelate was removed from the PBS</w:t>
      </w:r>
      <w:r w:rsidR="00A34343" w:rsidRPr="002B33AE">
        <w:rPr>
          <w:szCs w:val="22"/>
        </w:rPr>
        <w:t>.</w:t>
      </w:r>
    </w:p>
    <w:p w:rsidR="001B53AA" w:rsidRDefault="001B53AA" w:rsidP="00950DD9">
      <w:pPr>
        <w:pStyle w:val="ListParagraph"/>
        <w:widowControl/>
        <w:rPr>
          <w:szCs w:val="22"/>
        </w:rPr>
      </w:pPr>
    </w:p>
    <w:p w:rsidR="001B53AA" w:rsidRPr="00764176" w:rsidRDefault="001B53AA" w:rsidP="00950DD9">
      <w:pPr>
        <w:pStyle w:val="ListParagraph"/>
        <w:widowControl/>
        <w:numPr>
          <w:ilvl w:val="1"/>
          <w:numId w:val="5"/>
        </w:numPr>
        <w:rPr>
          <w:szCs w:val="22"/>
        </w:rPr>
      </w:pPr>
      <w:r w:rsidRPr="00764176">
        <w:rPr>
          <w:szCs w:val="22"/>
        </w:rPr>
        <w:t>The PSCR stated that the sponsor did not necessarily agree with the issues</w:t>
      </w:r>
      <w:r w:rsidR="006C1809" w:rsidRPr="00764176">
        <w:rPr>
          <w:szCs w:val="22"/>
        </w:rPr>
        <w:t xml:space="preserve"> raised during the evaluation regarding </w:t>
      </w:r>
      <w:r w:rsidRPr="00764176">
        <w:rPr>
          <w:szCs w:val="22"/>
        </w:rPr>
        <w:t xml:space="preserve">the utilisation and financial estimates, but was generally prepared to </w:t>
      </w:r>
      <w:r w:rsidRPr="00764176">
        <w:rPr>
          <w:bCs/>
          <w:szCs w:val="22"/>
        </w:rPr>
        <w:t>concede</w:t>
      </w:r>
      <w:r w:rsidRPr="00764176">
        <w:rPr>
          <w:b/>
          <w:bCs/>
          <w:szCs w:val="22"/>
        </w:rPr>
        <w:t xml:space="preserve"> </w:t>
      </w:r>
      <w:r w:rsidRPr="00764176">
        <w:rPr>
          <w:szCs w:val="22"/>
        </w:rPr>
        <w:t>given their likely marginal impact on the decision context.</w:t>
      </w:r>
    </w:p>
    <w:p w:rsidR="00576972" w:rsidRDefault="00576972" w:rsidP="00950DD9">
      <w:pPr>
        <w:widowControl/>
        <w:rPr>
          <w:szCs w:val="22"/>
        </w:rPr>
      </w:pPr>
    </w:p>
    <w:p w:rsidR="00764176" w:rsidRPr="000764C3" w:rsidRDefault="00764176" w:rsidP="00950DD9">
      <w:pPr>
        <w:pStyle w:val="ListParagraph"/>
        <w:widowControl/>
        <w:ind w:left="709"/>
        <w:rPr>
          <w:i/>
          <w:szCs w:val="22"/>
        </w:rPr>
      </w:pPr>
      <w:r w:rsidRPr="000764C3">
        <w:rPr>
          <w:i/>
          <w:szCs w:val="22"/>
        </w:rPr>
        <w:t>For more detail on PBAC’s view, see section 7 “PBAC outcome”</w:t>
      </w:r>
    </w:p>
    <w:p w:rsidR="00764176" w:rsidRPr="000764C3" w:rsidRDefault="00764176" w:rsidP="00950DD9">
      <w:pPr>
        <w:widowControl/>
        <w:rPr>
          <w:szCs w:val="22"/>
        </w:rPr>
      </w:pPr>
    </w:p>
    <w:p w:rsidR="0070164E" w:rsidRPr="000764C3" w:rsidRDefault="0070164E" w:rsidP="00950DD9">
      <w:pPr>
        <w:widowControl/>
        <w:rPr>
          <w:szCs w:val="22"/>
        </w:rPr>
      </w:pPr>
    </w:p>
    <w:p w:rsidR="006361B0" w:rsidRPr="000764C3" w:rsidRDefault="006361B0" w:rsidP="00950DD9">
      <w:pPr>
        <w:widowControl/>
        <w:numPr>
          <w:ilvl w:val="0"/>
          <w:numId w:val="5"/>
        </w:numPr>
        <w:rPr>
          <w:b/>
          <w:bCs/>
          <w:szCs w:val="22"/>
        </w:rPr>
      </w:pPr>
      <w:r w:rsidRPr="000764C3">
        <w:rPr>
          <w:b/>
          <w:bCs/>
          <w:szCs w:val="22"/>
        </w:rPr>
        <w:t>PBAC Outcome</w:t>
      </w:r>
    </w:p>
    <w:p w:rsidR="006361B0" w:rsidRPr="000764C3" w:rsidRDefault="006361B0" w:rsidP="00950DD9">
      <w:pPr>
        <w:widowControl/>
        <w:contextualSpacing/>
        <w:rPr>
          <w:b/>
          <w:bCs/>
          <w:szCs w:val="22"/>
          <w:lang w:val="en-GB"/>
        </w:rPr>
      </w:pPr>
    </w:p>
    <w:p w:rsidR="00E65F64" w:rsidRPr="00E720FE" w:rsidRDefault="00E720FE" w:rsidP="00950DD9">
      <w:pPr>
        <w:widowControl/>
        <w:numPr>
          <w:ilvl w:val="1"/>
          <w:numId w:val="5"/>
        </w:numPr>
        <w:contextualSpacing/>
        <w:rPr>
          <w:szCs w:val="22"/>
          <w:lang w:val="en-GB"/>
        </w:rPr>
      </w:pPr>
      <w:r>
        <w:rPr>
          <w:szCs w:val="22"/>
          <w:lang w:val="en-GB"/>
        </w:rPr>
        <w:t xml:space="preserve">The PBAC recommended that strontium ranelate should remain listed on the PBS for the treatment of </w:t>
      </w:r>
      <w:r>
        <w:rPr>
          <w:szCs w:val="22"/>
        </w:rPr>
        <w:t>severe established osteoporosis in patients unable to use other osteoporosis medication</w:t>
      </w:r>
      <w:r w:rsidR="002D051D">
        <w:rPr>
          <w:szCs w:val="22"/>
        </w:rPr>
        <w:t>s and without cardiovascular contraindications</w:t>
      </w:r>
      <w:r>
        <w:rPr>
          <w:szCs w:val="22"/>
        </w:rPr>
        <w:t>.</w:t>
      </w:r>
    </w:p>
    <w:p w:rsidR="00E65F64" w:rsidRPr="00E65F64" w:rsidRDefault="00E65F64" w:rsidP="00950DD9">
      <w:pPr>
        <w:widowControl/>
        <w:ind w:left="720"/>
        <w:contextualSpacing/>
        <w:rPr>
          <w:szCs w:val="22"/>
          <w:lang w:val="en-GB"/>
        </w:rPr>
      </w:pPr>
    </w:p>
    <w:p w:rsidR="000075BA" w:rsidRPr="000075BA" w:rsidRDefault="000075BA" w:rsidP="00C81DFB">
      <w:pPr>
        <w:widowControl/>
        <w:numPr>
          <w:ilvl w:val="1"/>
          <w:numId w:val="5"/>
        </w:numPr>
        <w:contextualSpacing/>
        <w:rPr>
          <w:szCs w:val="22"/>
          <w:lang w:val="en-GB"/>
        </w:rPr>
      </w:pPr>
      <w:r>
        <w:rPr>
          <w:szCs w:val="22"/>
          <w:lang w:val="en-GB"/>
        </w:rPr>
        <w:t xml:space="preserve">The PBAC recalled that </w:t>
      </w:r>
      <w:r w:rsidR="00C81DFB">
        <w:rPr>
          <w:szCs w:val="22"/>
          <w:lang w:val="en-GB"/>
        </w:rPr>
        <w:t xml:space="preserve">in April 2014, the TGA issued an alert warning against use of the drug in patients with cardiovascular contraindications and restricting use to patients unable to take other osteoporosis medications. As a result, the PBAC recommended changes to the strontium ranelate restriction at its July 2014 meeting and noted that it was of a mind to recommend delisting of strontium from the PBS. </w:t>
      </w:r>
      <w:r w:rsidR="00C81DFB" w:rsidRPr="00C81DFB">
        <w:rPr>
          <w:szCs w:val="22"/>
          <w:lang w:val="en-GB"/>
        </w:rPr>
        <w:t xml:space="preserve">However, the PBAC considered that it would be appropriate for the sponsor to have the opportunity to establish the cost-effectiveness of strontium ranelate in patients with severe established osteoporosis unable to use other treatments due to </w:t>
      </w:r>
      <w:r w:rsidR="00C81DFB">
        <w:rPr>
          <w:szCs w:val="22"/>
          <w:lang w:val="en-GB"/>
        </w:rPr>
        <w:t>contraindication or intolerance.</w:t>
      </w:r>
    </w:p>
    <w:p w:rsidR="000075BA" w:rsidRDefault="000075BA" w:rsidP="000075BA">
      <w:pPr>
        <w:pStyle w:val="ListParagraph"/>
        <w:rPr>
          <w:bCs/>
          <w:szCs w:val="22"/>
          <w:lang w:val="en-GB"/>
        </w:rPr>
      </w:pPr>
    </w:p>
    <w:p w:rsidR="00B21195" w:rsidRPr="00E65F64" w:rsidRDefault="00B21195" w:rsidP="00950DD9">
      <w:pPr>
        <w:widowControl/>
        <w:numPr>
          <w:ilvl w:val="1"/>
          <w:numId w:val="5"/>
        </w:numPr>
        <w:contextualSpacing/>
        <w:rPr>
          <w:szCs w:val="22"/>
          <w:lang w:val="en-GB"/>
        </w:rPr>
      </w:pPr>
      <w:r w:rsidRPr="00E65F64">
        <w:rPr>
          <w:bCs/>
          <w:szCs w:val="22"/>
          <w:lang w:val="en-GB"/>
        </w:rPr>
        <w:t>The PBAC n</w:t>
      </w:r>
      <w:r w:rsidR="00F844AD" w:rsidRPr="00E65F64">
        <w:rPr>
          <w:bCs/>
          <w:szCs w:val="22"/>
          <w:lang w:val="en-GB"/>
        </w:rPr>
        <w:t xml:space="preserve">oted </w:t>
      </w:r>
      <w:r w:rsidRPr="00E65F64">
        <w:rPr>
          <w:bCs/>
          <w:szCs w:val="22"/>
          <w:lang w:val="en-GB"/>
        </w:rPr>
        <w:t>advice from Osteoporosis Australia and expert advice provided</w:t>
      </w:r>
      <w:r w:rsidR="00F844AD" w:rsidRPr="00E65F64">
        <w:rPr>
          <w:bCs/>
          <w:szCs w:val="22"/>
          <w:lang w:val="en-GB"/>
        </w:rPr>
        <w:t xml:space="preserve"> with submission </w:t>
      </w:r>
      <w:r w:rsidRPr="00E65F64">
        <w:rPr>
          <w:bCs/>
          <w:szCs w:val="22"/>
          <w:lang w:val="en-GB"/>
        </w:rPr>
        <w:t>(</w:t>
      </w:r>
      <w:r w:rsidR="00F844AD" w:rsidRPr="00E65F64">
        <w:rPr>
          <w:bCs/>
          <w:szCs w:val="22"/>
          <w:lang w:val="en-GB"/>
        </w:rPr>
        <w:t>from</w:t>
      </w:r>
      <w:r w:rsidR="00F844AD" w:rsidRPr="00E65F64">
        <w:rPr>
          <w:szCs w:val="22"/>
          <w:lang w:val="en-GB"/>
        </w:rPr>
        <w:t xml:space="preserve"> </w:t>
      </w:r>
      <w:r w:rsidRPr="00E65F64">
        <w:rPr>
          <w:szCs w:val="22"/>
        </w:rPr>
        <w:t xml:space="preserve">the Institute of Bone and Joint Research and Menzies Research Institute) which indicated that strontium ranelate has a </w:t>
      </w:r>
      <w:r w:rsidR="00E65F64">
        <w:rPr>
          <w:szCs w:val="22"/>
        </w:rPr>
        <w:t xml:space="preserve">clinical </w:t>
      </w:r>
      <w:r w:rsidRPr="00E65F64">
        <w:rPr>
          <w:szCs w:val="22"/>
        </w:rPr>
        <w:t>role in the treatment of osteoporosis in patients intolerant to other osteoporosis drugs</w:t>
      </w:r>
      <w:r w:rsidR="005E0B57">
        <w:rPr>
          <w:szCs w:val="22"/>
        </w:rPr>
        <w:t xml:space="preserve"> and without cardiovascular contraindications</w:t>
      </w:r>
      <w:r w:rsidRPr="00E65F64">
        <w:rPr>
          <w:szCs w:val="22"/>
        </w:rPr>
        <w:t>.</w:t>
      </w:r>
      <w:r w:rsidR="0046686B">
        <w:rPr>
          <w:szCs w:val="22"/>
        </w:rPr>
        <w:t xml:space="preserve"> The PBAC accepted this clinical place for strontium ranelate and </w:t>
      </w:r>
      <w:r w:rsidR="00E76F76">
        <w:rPr>
          <w:szCs w:val="22"/>
        </w:rPr>
        <w:t>considered</w:t>
      </w:r>
      <w:r w:rsidR="0046686B">
        <w:rPr>
          <w:szCs w:val="22"/>
        </w:rPr>
        <w:t xml:space="preserve"> that the number of patients currently taking strontium ranelate </w:t>
      </w:r>
      <w:r w:rsidR="00E76F76">
        <w:rPr>
          <w:szCs w:val="22"/>
        </w:rPr>
        <w:t>who</w:t>
      </w:r>
      <w:r w:rsidR="0046686B">
        <w:rPr>
          <w:szCs w:val="22"/>
        </w:rPr>
        <w:t xml:space="preserve"> could potentially use another agent will decline over time.</w:t>
      </w:r>
    </w:p>
    <w:p w:rsidR="00E65F64" w:rsidRPr="00E65F64" w:rsidRDefault="00E65F64" w:rsidP="00950DD9">
      <w:pPr>
        <w:widowControl/>
        <w:ind w:left="720"/>
        <w:contextualSpacing/>
        <w:rPr>
          <w:szCs w:val="22"/>
          <w:lang w:val="en-GB"/>
        </w:rPr>
      </w:pPr>
    </w:p>
    <w:p w:rsidR="005E0B57" w:rsidRPr="005E0B57" w:rsidRDefault="00E15EDB" w:rsidP="00950DD9">
      <w:pPr>
        <w:widowControl/>
        <w:numPr>
          <w:ilvl w:val="1"/>
          <w:numId w:val="5"/>
        </w:numPr>
        <w:contextualSpacing/>
        <w:rPr>
          <w:szCs w:val="22"/>
          <w:lang w:val="en-GB"/>
        </w:rPr>
      </w:pPr>
      <w:r>
        <w:rPr>
          <w:szCs w:val="22"/>
          <w:lang w:val="en-GB"/>
        </w:rPr>
        <w:t xml:space="preserve">The PBAC agreed with the additional clinical criterion </w:t>
      </w:r>
      <w:r w:rsidRPr="00F74A78">
        <w:rPr>
          <w:szCs w:val="22"/>
          <w:lang w:val="en-GB"/>
        </w:rPr>
        <w:t xml:space="preserve">to </w:t>
      </w:r>
      <w:r w:rsidR="00F74A78" w:rsidRPr="00F74A78">
        <w:rPr>
          <w:szCs w:val="22"/>
          <w:lang w:val="en-GB"/>
        </w:rPr>
        <w:t>be included in</w:t>
      </w:r>
      <w:r w:rsidR="00F74A78">
        <w:rPr>
          <w:szCs w:val="22"/>
          <w:lang w:val="en-GB"/>
        </w:rPr>
        <w:t xml:space="preserve"> </w:t>
      </w:r>
      <w:r>
        <w:rPr>
          <w:szCs w:val="22"/>
          <w:lang w:val="en-GB"/>
        </w:rPr>
        <w:t xml:space="preserve">the restriction suggested in the PSCR: </w:t>
      </w:r>
      <w:r w:rsidRPr="00E15EDB">
        <w:rPr>
          <w:i/>
          <w:szCs w:val="22"/>
        </w:rPr>
        <w:t>Patient must have BMD T-score ≤ -2.5</w:t>
      </w:r>
      <w:r>
        <w:rPr>
          <w:szCs w:val="22"/>
        </w:rPr>
        <w:t xml:space="preserve">. The PBAC also </w:t>
      </w:r>
      <w:r w:rsidR="009C1ED6">
        <w:rPr>
          <w:szCs w:val="22"/>
        </w:rPr>
        <w:t>recommended</w:t>
      </w:r>
      <w:r>
        <w:rPr>
          <w:szCs w:val="22"/>
        </w:rPr>
        <w:t xml:space="preserve"> that the note suggested in the pre-PBAC response be included in the prescriber instructions:</w:t>
      </w:r>
      <w:r>
        <w:t xml:space="preserve"> </w:t>
      </w:r>
      <w:r w:rsidRPr="00E15EDB">
        <w:rPr>
          <w:i/>
          <w:szCs w:val="22"/>
        </w:rPr>
        <w:t xml:space="preserve">Patients should be evaluated for cardiovascular risk prior to commencement of strontium ranelate and during ongoing treatment on a </w:t>
      </w:r>
      <w:r w:rsidR="00DE6D9C">
        <w:rPr>
          <w:i/>
          <w:szCs w:val="22"/>
        </w:rPr>
        <w:t>regular basis generally every 6 </w:t>
      </w:r>
      <w:r w:rsidRPr="00E15EDB">
        <w:rPr>
          <w:i/>
          <w:szCs w:val="22"/>
        </w:rPr>
        <w:t>months. See Product Information for further details.</w:t>
      </w:r>
      <w:r>
        <w:rPr>
          <w:szCs w:val="22"/>
        </w:rPr>
        <w:t xml:space="preserve"> </w:t>
      </w:r>
    </w:p>
    <w:p w:rsidR="005E0B57" w:rsidRDefault="005E0B57" w:rsidP="00950DD9">
      <w:pPr>
        <w:pStyle w:val="ListParagraph"/>
        <w:widowControl/>
        <w:rPr>
          <w:szCs w:val="22"/>
        </w:rPr>
      </w:pPr>
    </w:p>
    <w:p w:rsidR="00E65F64" w:rsidRPr="000764C3" w:rsidRDefault="00E65F64" w:rsidP="0046686B">
      <w:pPr>
        <w:widowControl/>
        <w:numPr>
          <w:ilvl w:val="1"/>
          <w:numId w:val="5"/>
        </w:numPr>
        <w:contextualSpacing/>
        <w:rPr>
          <w:szCs w:val="22"/>
          <w:lang w:val="en-GB"/>
        </w:rPr>
      </w:pPr>
      <w:r>
        <w:rPr>
          <w:szCs w:val="22"/>
        </w:rPr>
        <w:t xml:space="preserve">The PBAC considered that </w:t>
      </w:r>
      <w:r w:rsidR="00E720FE">
        <w:rPr>
          <w:szCs w:val="22"/>
        </w:rPr>
        <w:t>best supportive care</w:t>
      </w:r>
      <w:r>
        <w:rPr>
          <w:szCs w:val="22"/>
        </w:rPr>
        <w:t xml:space="preserve"> was the appropriate comparator for last line use of strontium ranelate</w:t>
      </w:r>
      <w:r w:rsidR="0046686B">
        <w:rPr>
          <w:szCs w:val="22"/>
        </w:rPr>
        <w:t xml:space="preserve"> (i.e. for patients that are intolerant or contraindicated </w:t>
      </w:r>
      <w:r w:rsidR="0046686B" w:rsidRPr="0046686B">
        <w:rPr>
          <w:szCs w:val="22"/>
        </w:rPr>
        <w:t xml:space="preserve">to other </w:t>
      </w:r>
      <w:r w:rsidR="0046686B">
        <w:rPr>
          <w:szCs w:val="22"/>
        </w:rPr>
        <w:t>osteoporosis</w:t>
      </w:r>
      <w:r w:rsidR="0046686B" w:rsidRPr="0046686B">
        <w:rPr>
          <w:szCs w:val="22"/>
        </w:rPr>
        <w:t xml:space="preserve"> medications</w:t>
      </w:r>
      <w:r w:rsidR="0046686B">
        <w:rPr>
          <w:szCs w:val="22"/>
        </w:rPr>
        <w:t>).</w:t>
      </w:r>
    </w:p>
    <w:p w:rsidR="000764C3" w:rsidRDefault="000764C3" w:rsidP="00950DD9">
      <w:pPr>
        <w:pStyle w:val="ListParagraph"/>
        <w:widowControl/>
        <w:rPr>
          <w:szCs w:val="22"/>
          <w:lang w:val="en-GB"/>
        </w:rPr>
      </w:pPr>
    </w:p>
    <w:p w:rsidR="000764C3" w:rsidRPr="00C2658B" w:rsidRDefault="0046686B" w:rsidP="00C2658B">
      <w:pPr>
        <w:pStyle w:val="ListParagraph"/>
        <w:numPr>
          <w:ilvl w:val="1"/>
          <w:numId w:val="5"/>
        </w:numPr>
        <w:rPr>
          <w:szCs w:val="22"/>
          <w:lang w:val="en-GB"/>
        </w:rPr>
      </w:pPr>
      <w:r w:rsidRPr="00C2658B">
        <w:rPr>
          <w:szCs w:val="22"/>
          <w:lang w:val="en-GB"/>
        </w:rPr>
        <w:t>The PBAC noted the statistically significant difference in morphometric vertebral fractures in both the SOTI and TROPOS trials between strontium ranelate and placebo</w:t>
      </w:r>
      <w:r w:rsidR="00E76F76">
        <w:rPr>
          <w:szCs w:val="22"/>
          <w:lang w:val="en-GB"/>
        </w:rPr>
        <w:t xml:space="preserve"> while questioning</w:t>
      </w:r>
      <w:r w:rsidR="00C2658B" w:rsidRPr="00C2658B">
        <w:rPr>
          <w:szCs w:val="22"/>
          <w:lang w:val="en-GB"/>
        </w:rPr>
        <w:t xml:space="preserve"> the clinical significance of the outcome. </w:t>
      </w:r>
      <w:r w:rsidR="00C2658B">
        <w:rPr>
          <w:szCs w:val="22"/>
          <w:lang w:val="en-GB"/>
        </w:rPr>
        <w:t>The PBAC also noted that s</w:t>
      </w:r>
      <w:r w:rsidR="00C2658B" w:rsidRPr="00C2658B">
        <w:rPr>
          <w:szCs w:val="22"/>
          <w:lang w:val="en-GB"/>
        </w:rPr>
        <w:t>trontium ranelate was associated with reductions in clinical vertebral fractures and non-vertebral fractures compared with placebo</w:t>
      </w:r>
      <w:r w:rsidR="00E75684">
        <w:rPr>
          <w:szCs w:val="22"/>
          <w:lang w:val="en-GB"/>
        </w:rPr>
        <w:t>,</w:t>
      </w:r>
      <w:r w:rsidR="00C2658B" w:rsidRPr="00C2658B">
        <w:rPr>
          <w:szCs w:val="22"/>
          <w:lang w:val="en-GB"/>
        </w:rPr>
        <w:t xml:space="preserve"> although these est</w:t>
      </w:r>
      <w:r w:rsidR="00C2658B">
        <w:rPr>
          <w:szCs w:val="22"/>
          <w:lang w:val="en-GB"/>
        </w:rPr>
        <w:t xml:space="preserve">imates appeared more uncertain due to inconsistency between trials and </w:t>
      </w:r>
      <w:r w:rsidR="00C2658B" w:rsidRPr="00C2658B">
        <w:rPr>
          <w:szCs w:val="22"/>
          <w:lang w:val="en-GB"/>
        </w:rPr>
        <w:t>bord</w:t>
      </w:r>
      <w:r w:rsidR="00C2658B">
        <w:rPr>
          <w:szCs w:val="22"/>
          <w:lang w:val="en-GB"/>
        </w:rPr>
        <w:t xml:space="preserve">erline statistical significance of some results. While noting the lack of a statistically significant difference in clinical hip fractures between placebo and strontium ranelate, the PBAC noted that a very large study would be required to demonstrate a significant difference in some fractures. Overall, the </w:t>
      </w:r>
      <w:r w:rsidR="00C2658B" w:rsidRPr="00103E38">
        <w:rPr>
          <w:bCs/>
          <w:szCs w:val="22"/>
        </w:rPr>
        <w:t>PBAC considered that the claim of superior comparative ef</w:t>
      </w:r>
      <w:r w:rsidR="00476915">
        <w:rPr>
          <w:bCs/>
          <w:szCs w:val="22"/>
        </w:rPr>
        <w:t>fectiveness compared with</w:t>
      </w:r>
      <w:r w:rsidR="00C2658B" w:rsidRPr="00103E38">
        <w:rPr>
          <w:bCs/>
          <w:szCs w:val="22"/>
        </w:rPr>
        <w:t xml:space="preserve"> placebo may be reasonable</w:t>
      </w:r>
      <w:r w:rsidR="00C2658B">
        <w:rPr>
          <w:bCs/>
          <w:szCs w:val="22"/>
        </w:rPr>
        <w:t xml:space="preserve">. </w:t>
      </w:r>
    </w:p>
    <w:p w:rsidR="005E0B57" w:rsidRDefault="005E0B57" w:rsidP="00950DD9">
      <w:pPr>
        <w:pStyle w:val="ListParagraph"/>
        <w:widowControl/>
        <w:rPr>
          <w:szCs w:val="22"/>
          <w:lang w:val="en-GB"/>
        </w:rPr>
      </w:pPr>
    </w:p>
    <w:p w:rsidR="00950DD9" w:rsidRDefault="00C2658B" w:rsidP="00950DD9">
      <w:pPr>
        <w:widowControl/>
        <w:numPr>
          <w:ilvl w:val="1"/>
          <w:numId w:val="5"/>
        </w:numPr>
        <w:contextualSpacing/>
        <w:rPr>
          <w:szCs w:val="22"/>
          <w:lang w:val="en-GB"/>
        </w:rPr>
      </w:pPr>
      <w:r>
        <w:rPr>
          <w:szCs w:val="22"/>
          <w:lang w:val="en-GB"/>
        </w:rPr>
        <w:t xml:space="preserve">The PBAC </w:t>
      </w:r>
      <w:r w:rsidR="00A00F99">
        <w:rPr>
          <w:szCs w:val="22"/>
          <w:lang w:val="en-GB"/>
        </w:rPr>
        <w:t>noted</w:t>
      </w:r>
      <w:r>
        <w:rPr>
          <w:szCs w:val="22"/>
          <w:lang w:val="en-GB"/>
        </w:rPr>
        <w:t xml:space="preserve"> that the </w:t>
      </w:r>
      <w:r w:rsidR="00A00F99">
        <w:rPr>
          <w:szCs w:val="22"/>
          <w:lang w:val="en-GB"/>
        </w:rPr>
        <w:t xml:space="preserve">retrospective subgroup analyses presented in the submission suggested that the </w:t>
      </w:r>
      <w:r>
        <w:rPr>
          <w:szCs w:val="22"/>
          <w:lang w:val="en-GB"/>
        </w:rPr>
        <w:t xml:space="preserve">risk of </w:t>
      </w:r>
      <w:r w:rsidR="00A00F99">
        <w:rPr>
          <w:szCs w:val="22"/>
          <w:lang w:val="en-GB"/>
        </w:rPr>
        <w:t xml:space="preserve">serious cardiac events, </w:t>
      </w:r>
      <w:r>
        <w:rPr>
          <w:szCs w:val="22"/>
          <w:lang w:val="en-GB"/>
        </w:rPr>
        <w:t xml:space="preserve">myocardial infarction </w:t>
      </w:r>
      <w:r w:rsidR="00A00F99">
        <w:rPr>
          <w:szCs w:val="22"/>
          <w:lang w:val="en-GB"/>
        </w:rPr>
        <w:t xml:space="preserve">and thromboembolism could be at least partly mitigated by </w:t>
      </w:r>
      <w:r w:rsidR="00E75684">
        <w:rPr>
          <w:szCs w:val="22"/>
          <w:lang w:val="en-GB"/>
        </w:rPr>
        <w:t>restricting</w:t>
      </w:r>
      <w:r w:rsidR="00A00F99">
        <w:rPr>
          <w:szCs w:val="22"/>
          <w:lang w:val="en-GB"/>
        </w:rPr>
        <w:t xml:space="preserve"> treatment to patients without cardiovascular complications (consistent with the current restriction and product information). However, the PBAC noted that these analyses may not have been adequately powered to detect a meaningful difference between treatments.</w:t>
      </w:r>
      <w:r w:rsidR="00476915">
        <w:rPr>
          <w:szCs w:val="22"/>
          <w:lang w:val="en-GB"/>
        </w:rPr>
        <w:t xml:space="preserve"> Overall, the PBAC considered that the claim of inferior comparative safety compared with placebo was reasonable</w:t>
      </w:r>
      <w:r w:rsidR="00D502F8">
        <w:rPr>
          <w:szCs w:val="22"/>
          <w:lang w:val="en-GB"/>
        </w:rPr>
        <w:t xml:space="preserve">. </w:t>
      </w:r>
      <w:r w:rsidR="005C2E20">
        <w:rPr>
          <w:szCs w:val="22"/>
          <w:lang w:val="en-GB"/>
        </w:rPr>
        <w:t>T</w:t>
      </w:r>
      <w:r w:rsidR="00D502F8">
        <w:rPr>
          <w:szCs w:val="22"/>
          <w:lang w:val="en-GB"/>
        </w:rPr>
        <w:t>he PBAC</w:t>
      </w:r>
      <w:r w:rsidR="00476915">
        <w:rPr>
          <w:szCs w:val="22"/>
          <w:lang w:val="en-GB"/>
        </w:rPr>
        <w:t xml:space="preserve"> considered that </w:t>
      </w:r>
      <w:r w:rsidR="0013563A">
        <w:rPr>
          <w:szCs w:val="22"/>
          <w:lang w:val="en-GB"/>
        </w:rPr>
        <w:t xml:space="preserve">the risk of cardiovascular related adverse events would be reduced if </w:t>
      </w:r>
      <w:r w:rsidR="007D3B79">
        <w:rPr>
          <w:szCs w:val="22"/>
          <w:lang w:val="en-GB"/>
        </w:rPr>
        <w:t>strontium ranelate were only used to treat</w:t>
      </w:r>
      <w:r w:rsidR="0013563A">
        <w:rPr>
          <w:szCs w:val="22"/>
          <w:lang w:val="en-GB"/>
        </w:rPr>
        <w:t xml:space="preserve"> patients with no other options and without cardiovascular contraindications</w:t>
      </w:r>
      <w:r w:rsidR="00476915">
        <w:rPr>
          <w:szCs w:val="22"/>
          <w:lang w:val="en-GB"/>
        </w:rPr>
        <w:t>.</w:t>
      </w:r>
    </w:p>
    <w:p w:rsidR="005E0B57" w:rsidRDefault="005E0B57" w:rsidP="00950DD9">
      <w:pPr>
        <w:pStyle w:val="ListParagraph"/>
        <w:widowControl/>
        <w:rPr>
          <w:szCs w:val="22"/>
          <w:lang w:val="en-GB"/>
        </w:rPr>
      </w:pPr>
    </w:p>
    <w:p w:rsidR="00597470" w:rsidRDefault="0013563A" w:rsidP="00950DD9">
      <w:pPr>
        <w:widowControl/>
        <w:numPr>
          <w:ilvl w:val="1"/>
          <w:numId w:val="5"/>
        </w:numPr>
        <w:contextualSpacing/>
        <w:rPr>
          <w:szCs w:val="22"/>
          <w:lang w:val="en-GB"/>
        </w:rPr>
      </w:pPr>
      <w:r w:rsidRPr="00F212DC">
        <w:rPr>
          <w:szCs w:val="22"/>
          <w:lang w:val="en-GB"/>
        </w:rPr>
        <w:t xml:space="preserve">The PBAC noted </w:t>
      </w:r>
      <w:r>
        <w:rPr>
          <w:szCs w:val="22"/>
          <w:lang w:val="en-GB"/>
        </w:rPr>
        <w:t xml:space="preserve">that the model provided in the submission </w:t>
      </w:r>
      <w:r w:rsidR="00EE4B40">
        <w:rPr>
          <w:szCs w:val="22"/>
          <w:lang w:val="en-GB"/>
        </w:rPr>
        <w:t>included a number of errors and inappropriate assumptions</w:t>
      </w:r>
      <w:r w:rsidR="007D3B79">
        <w:rPr>
          <w:szCs w:val="22"/>
          <w:lang w:val="en-GB"/>
        </w:rPr>
        <w:t>,</w:t>
      </w:r>
      <w:r w:rsidR="00EE4B40">
        <w:rPr>
          <w:szCs w:val="22"/>
          <w:lang w:val="en-GB"/>
        </w:rPr>
        <w:t xml:space="preserve"> as identified by the ESC (</w:t>
      </w:r>
      <w:r w:rsidR="00D74E87" w:rsidRPr="001B3E77">
        <w:rPr>
          <w:szCs w:val="22"/>
          <w:lang w:val="en-GB"/>
        </w:rPr>
        <w:t>see paragraphs 6.36</w:t>
      </w:r>
      <w:r w:rsidR="00D74E87" w:rsidRPr="001B3E77">
        <w:rPr>
          <w:szCs w:val="22"/>
          <w:lang w:val="en-GB"/>
        </w:rPr>
        <w:noBreakHyphen/>
        <w:t>6.38</w:t>
      </w:r>
      <w:r w:rsidR="00EE4B40" w:rsidRPr="001B3E77">
        <w:rPr>
          <w:szCs w:val="22"/>
          <w:lang w:val="en-GB"/>
        </w:rPr>
        <w:t>).</w:t>
      </w:r>
      <w:r w:rsidR="00EE4B40">
        <w:rPr>
          <w:szCs w:val="22"/>
          <w:lang w:val="en-GB"/>
        </w:rPr>
        <w:t xml:space="preserve"> A revised model was presented in the PSCR that </w:t>
      </w:r>
      <w:r w:rsidR="00B348A5">
        <w:rPr>
          <w:szCs w:val="22"/>
          <w:lang w:val="en-GB"/>
        </w:rPr>
        <w:t xml:space="preserve">resulted in a </w:t>
      </w:r>
      <w:r w:rsidR="00EE4B40">
        <w:rPr>
          <w:szCs w:val="22"/>
          <w:lang w:val="en-GB"/>
        </w:rPr>
        <w:t xml:space="preserve">significantly </w:t>
      </w:r>
      <w:r w:rsidR="00B348A5">
        <w:rPr>
          <w:szCs w:val="22"/>
          <w:lang w:val="en-GB"/>
        </w:rPr>
        <w:t xml:space="preserve">higher </w:t>
      </w:r>
      <w:r w:rsidR="007D3B79">
        <w:rPr>
          <w:szCs w:val="22"/>
          <w:lang w:val="en-GB"/>
        </w:rPr>
        <w:t>ICER per QALY.</w:t>
      </w:r>
      <w:r w:rsidR="00597470">
        <w:rPr>
          <w:szCs w:val="22"/>
          <w:lang w:val="en-GB"/>
        </w:rPr>
        <w:t xml:space="preserve"> Following a subsequent reduction in the price, the ICER presented in the pre-PBAC response was around $</w:t>
      </w:r>
      <w:r w:rsidR="00DF60AE">
        <w:rPr>
          <w:szCs w:val="22"/>
          <w:lang w:val="en-GB"/>
        </w:rPr>
        <w:t>45,000 - $75,000</w:t>
      </w:r>
      <w:r w:rsidR="00597470">
        <w:rPr>
          <w:szCs w:val="22"/>
          <w:lang w:val="en-GB"/>
        </w:rPr>
        <w:t xml:space="preserve"> per QALY.</w:t>
      </w:r>
      <w:r w:rsidR="00B348A5">
        <w:rPr>
          <w:szCs w:val="22"/>
          <w:lang w:val="en-GB"/>
        </w:rPr>
        <w:t xml:space="preserve"> </w:t>
      </w:r>
    </w:p>
    <w:p w:rsidR="00887FBF" w:rsidRDefault="00887FBF" w:rsidP="00950DD9">
      <w:pPr>
        <w:pStyle w:val="ListParagraph"/>
        <w:widowControl/>
        <w:rPr>
          <w:szCs w:val="22"/>
          <w:lang w:val="en-GB"/>
        </w:rPr>
      </w:pPr>
    </w:p>
    <w:p w:rsidR="00EA3778" w:rsidRPr="00AB5048" w:rsidRDefault="00EA3778" w:rsidP="00AB5048">
      <w:pPr>
        <w:widowControl/>
        <w:numPr>
          <w:ilvl w:val="1"/>
          <w:numId w:val="5"/>
        </w:numPr>
        <w:contextualSpacing/>
        <w:rPr>
          <w:szCs w:val="22"/>
          <w:lang w:val="en-GB"/>
        </w:rPr>
      </w:pPr>
      <w:r>
        <w:rPr>
          <w:szCs w:val="22"/>
        </w:rPr>
        <w:t xml:space="preserve">The PBAC </w:t>
      </w:r>
      <w:r w:rsidR="004B548C">
        <w:rPr>
          <w:szCs w:val="22"/>
        </w:rPr>
        <w:t xml:space="preserve">noted </w:t>
      </w:r>
      <w:r>
        <w:rPr>
          <w:szCs w:val="22"/>
        </w:rPr>
        <w:t xml:space="preserve">the additional analysis from the DUSC Secretariat </w:t>
      </w:r>
      <w:r w:rsidR="004B548C">
        <w:rPr>
          <w:szCs w:val="22"/>
        </w:rPr>
        <w:t>of the number and proportion of patients with cardiovascular contraindications who are continuing to ta</w:t>
      </w:r>
      <w:r w:rsidR="004B548C" w:rsidRPr="00B43354">
        <w:rPr>
          <w:szCs w:val="22"/>
        </w:rPr>
        <w:t xml:space="preserve">ke strontium ranelate.  The PBAC considered this analysis </w:t>
      </w:r>
      <w:r w:rsidRPr="00B43354">
        <w:rPr>
          <w:szCs w:val="22"/>
        </w:rPr>
        <w:t xml:space="preserve">had a number of </w:t>
      </w:r>
      <w:r w:rsidR="00B43354" w:rsidRPr="00B43354">
        <w:t>caveats</w:t>
      </w:r>
      <w:r w:rsidR="00E0154F">
        <w:t>,</w:t>
      </w:r>
      <w:r w:rsidR="00B43354" w:rsidRPr="00B43354">
        <w:t xml:space="preserve"> as outlined in the </w:t>
      </w:r>
      <w:r w:rsidR="00E0154F" w:rsidRPr="00B43354">
        <w:t>analysis</w:t>
      </w:r>
      <w:r w:rsidR="00E0154F">
        <w:t>,</w:t>
      </w:r>
      <w:r w:rsidR="00E0154F" w:rsidRPr="00B43354">
        <w:t xml:space="preserve"> which</w:t>
      </w:r>
      <w:r w:rsidR="00B43354" w:rsidRPr="00B43354">
        <w:t xml:space="preserve"> limit</w:t>
      </w:r>
      <w:r w:rsidR="00E0154F">
        <w:t>ed</w:t>
      </w:r>
      <w:r w:rsidRPr="00B43354">
        <w:rPr>
          <w:szCs w:val="22"/>
        </w:rPr>
        <w:t xml:space="preserve"> th</w:t>
      </w:r>
      <w:r>
        <w:rPr>
          <w:szCs w:val="22"/>
        </w:rPr>
        <w:t>e interpretation of the results</w:t>
      </w:r>
      <w:r w:rsidR="00B90644">
        <w:rPr>
          <w:szCs w:val="22"/>
        </w:rPr>
        <w:t>.</w:t>
      </w:r>
      <w:r>
        <w:rPr>
          <w:szCs w:val="22"/>
        </w:rPr>
        <w:t xml:space="preserve"> The PBAC noted that the analysis demonstrated the declining trend in the number of incident and prevalent patients taking strontium </w:t>
      </w:r>
      <w:r w:rsidR="00AB5048">
        <w:rPr>
          <w:szCs w:val="22"/>
        </w:rPr>
        <w:t xml:space="preserve">ranelate </w:t>
      </w:r>
      <w:r>
        <w:rPr>
          <w:szCs w:val="22"/>
        </w:rPr>
        <w:t xml:space="preserve">and that the current market share is lower than </w:t>
      </w:r>
      <w:r w:rsidR="00A83BF1">
        <w:rPr>
          <w:noProof/>
          <w:color w:val="000000"/>
          <w:szCs w:val="22"/>
          <w:highlight w:val="black"/>
        </w:rPr>
        <w:t>'''''''''</w:t>
      </w:r>
      <w:r>
        <w:rPr>
          <w:szCs w:val="22"/>
        </w:rPr>
        <w:t xml:space="preserve">%. </w:t>
      </w:r>
      <w:r w:rsidR="00AB5048" w:rsidRPr="00AB5048">
        <w:rPr>
          <w:szCs w:val="22"/>
          <w:lang w:val="en-GB"/>
        </w:rPr>
        <w:t>In this regard, t</w:t>
      </w:r>
      <w:r w:rsidRPr="00AB5048">
        <w:rPr>
          <w:szCs w:val="22"/>
          <w:lang w:val="en-GB"/>
        </w:rPr>
        <w:t>he PBAC considered that current utilisation of stronti</w:t>
      </w:r>
      <w:r w:rsidR="00401E7E">
        <w:rPr>
          <w:szCs w:val="22"/>
          <w:lang w:val="en-GB"/>
        </w:rPr>
        <w:t>um ranelate is relatively small</w:t>
      </w:r>
      <w:r w:rsidRPr="00AB5048">
        <w:rPr>
          <w:szCs w:val="22"/>
          <w:lang w:val="en-GB"/>
        </w:rPr>
        <w:t xml:space="preserve"> compared with the overall osteoporosis </w:t>
      </w:r>
      <w:r w:rsidR="00401E7E">
        <w:rPr>
          <w:szCs w:val="22"/>
          <w:lang w:val="en-GB"/>
        </w:rPr>
        <w:t>drug market</w:t>
      </w:r>
      <w:r w:rsidRPr="00AB5048">
        <w:rPr>
          <w:szCs w:val="22"/>
          <w:lang w:val="en-GB"/>
        </w:rPr>
        <w:t xml:space="preserve"> and will continue to decline over time.</w:t>
      </w:r>
    </w:p>
    <w:p w:rsidR="00EA3778" w:rsidRDefault="00EA3778" w:rsidP="00EA3778">
      <w:pPr>
        <w:widowControl/>
        <w:ind w:left="720"/>
        <w:contextualSpacing/>
        <w:rPr>
          <w:szCs w:val="22"/>
          <w:lang w:val="en-GB"/>
        </w:rPr>
      </w:pPr>
    </w:p>
    <w:p w:rsidR="005E0B57" w:rsidRDefault="004964A3" w:rsidP="00950DD9">
      <w:pPr>
        <w:widowControl/>
        <w:numPr>
          <w:ilvl w:val="1"/>
          <w:numId w:val="5"/>
        </w:numPr>
        <w:contextualSpacing/>
        <w:rPr>
          <w:szCs w:val="22"/>
          <w:lang w:val="en-GB"/>
        </w:rPr>
      </w:pPr>
      <w:r>
        <w:rPr>
          <w:szCs w:val="22"/>
          <w:lang w:val="en-GB"/>
        </w:rPr>
        <w:t>The PBAC noted that strontium ranelate is currently not available to be prescribed by nurse practitioners and advised that this was appropriate.</w:t>
      </w:r>
    </w:p>
    <w:p w:rsidR="005E0B57" w:rsidRDefault="005E0B57" w:rsidP="00950DD9">
      <w:pPr>
        <w:pStyle w:val="ListParagraph"/>
        <w:widowControl/>
        <w:rPr>
          <w:szCs w:val="22"/>
          <w:lang w:val="en-GB"/>
        </w:rPr>
      </w:pPr>
    </w:p>
    <w:p w:rsidR="005E0B57" w:rsidRPr="00E15EDB" w:rsidRDefault="004964A3" w:rsidP="00950DD9">
      <w:pPr>
        <w:widowControl/>
        <w:numPr>
          <w:ilvl w:val="1"/>
          <w:numId w:val="5"/>
        </w:numPr>
        <w:contextualSpacing/>
        <w:rPr>
          <w:szCs w:val="22"/>
          <w:lang w:val="en-GB"/>
        </w:rPr>
      </w:pPr>
      <w:r>
        <w:rPr>
          <w:szCs w:val="22"/>
          <w:lang w:val="en-GB"/>
        </w:rPr>
        <w:t>The PBAC noted that the Safety Net 20 Day Rule currently applies to this listing.</w:t>
      </w:r>
    </w:p>
    <w:p w:rsidR="006361B0" w:rsidRPr="006C307E" w:rsidRDefault="006361B0" w:rsidP="00950DD9">
      <w:pPr>
        <w:widowControl/>
        <w:rPr>
          <w:b/>
          <w:szCs w:val="22"/>
          <w:highlight w:val="yellow"/>
          <w:lang w:val="en-GB"/>
        </w:rPr>
      </w:pPr>
    </w:p>
    <w:p w:rsidR="006361B0" w:rsidRPr="006C307E" w:rsidRDefault="006361B0" w:rsidP="00950DD9">
      <w:pPr>
        <w:widowControl/>
        <w:rPr>
          <w:b/>
          <w:bCs/>
          <w:szCs w:val="22"/>
          <w:highlight w:val="yellow"/>
          <w:lang w:val="en-GB"/>
        </w:rPr>
      </w:pPr>
    </w:p>
    <w:p w:rsidR="006361B0" w:rsidRPr="0070164E" w:rsidRDefault="006361B0" w:rsidP="00950DD9">
      <w:pPr>
        <w:widowControl/>
        <w:rPr>
          <w:b/>
          <w:bCs/>
          <w:szCs w:val="22"/>
          <w:lang w:val="en-GB"/>
        </w:rPr>
      </w:pPr>
      <w:r w:rsidRPr="0070164E">
        <w:rPr>
          <w:b/>
          <w:bCs/>
          <w:szCs w:val="22"/>
          <w:lang w:val="en-GB"/>
        </w:rPr>
        <w:t>Outcome:</w:t>
      </w:r>
    </w:p>
    <w:p w:rsidR="006361B0" w:rsidRPr="0070164E" w:rsidRDefault="006361B0" w:rsidP="00950DD9">
      <w:pPr>
        <w:widowControl/>
        <w:rPr>
          <w:bCs/>
          <w:szCs w:val="22"/>
          <w:lang w:val="en-GB"/>
        </w:rPr>
      </w:pPr>
      <w:r w:rsidRPr="0070164E">
        <w:rPr>
          <w:bCs/>
          <w:szCs w:val="22"/>
          <w:lang w:val="en-GB"/>
        </w:rPr>
        <w:t>Recommended</w:t>
      </w:r>
    </w:p>
    <w:p w:rsidR="00B1286B" w:rsidRPr="00B1286B" w:rsidRDefault="00B1286B" w:rsidP="009A20AF">
      <w:pPr>
        <w:widowControl/>
        <w:rPr>
          <w:bCs/>
          <w:szCs w:val="22"/>
          <w:highlight w:val="yellow"/>
        </w:rPr>
      </w:pPr>
    </w:p>
    <w:p w:rsidR="0093364C" w:rsidRPr="0093364C" w:rsidRDefault="0093364C" w:rsidP="0093364C">
      <w:pPr>
        <w:widowControl/>
        <w:ind w:left="720"/>
        <w:rPr>
          <w:b/>
          <w:bCs/>
          <w:i/>
          <w:szCs w:val="22"/>
          <w:lang w:val="en-GB"/>
        </w:rPr>
      </w:pPr>
    </w:p>
    <w:p w:rsidR="006361B0" w:rsidRPr="0070164E" w:rsidRDefault="006361B0" w:rsidP="00950DD9">
      <w:pPr>
        <w:widowControl/>
        <w:numPr>
          <w:ilvl w:val="0"/>
          <w:numId w:val="5"/>
        </w:numPr>
        <w:rPr>
          <w:b/>
          <w:bCs/>
          <w:i/>
          <w:szCs w:val="22"/>
          <w:lang w:val="en-GB"/>
        </w:rPr>
      </w:pPr>
      <w:r w:rsidRPr="0070164E">
        <w:rPr>
          <w:b/>
          <w:bCs/>
          <w:szCs w:val="22"/>
          <w:lang w:val="en-GB"/>
        </w:rPr>
        <w:t>Recommended listing</w:t>
      </w:r>
    </w:p>
    <w:p w:rsidR="006361B0" w:rsidRPr="0070164E" w:rsidRDefault="006361B0" w:rsidP="00950DD9">
      <w:pPr>
        <w:widowControl/>
        <w:rPr>
          <w:b/>
          <w:bCs/>
          <w:i/>
          <w:szCs w:val="22"/>
          <w:lang w:val="en-GB"/>
        </w:rPr>
      </w:pPr>
    </w:p>
    <w:p w:rsidR="006361B0" w:rsidRPr="0070164E" w:rsidRDefault="0070164E" w:rsidP="00950DD9">
      <w:pPr>
        <w:widowControl/>
        <w:numPr>
          <w:ilvl w:val="1"/>
          <w:numId w:val="5"/>
        </w:numPr>
        <w:contextualSpacing/>
        <w:rPr>
          <w:bCs/>
          <w:szCs w:val="22"/>
        </w:rPr>
      </w:pPr>
      <w:r w:rsidRPr="0070164E">
        <w:rPr>
          <w:bCs/>
          <w:szCs w:val="22"/>
        </w:rPr>
        <w:t>Amend existing</w:t>
      </w:r>
      <w:r w:rsidR="006361B0" w:rsidRPr="0070164E">
        <w:rPr>
          <w:bCs/>
          <w:szCs w:val="22"/>
        </w:rPr>
        <w:t xml:space="preserve"> listing as follows:</w:t>
      </w:r>
    </w:p>
    <w:p w:rsidR="006361B0" w:rsidRPr="006C307E" w:rsidRDefault="006361B0" w:rsidP="00950DD9">
      <w:pPr>
        <w:widowControl/>
        <w:ind w:firstLine="709"/>
        <w:rPr>
          <w:bCs/>
          <w:szCs w:val="22"/>
          <w:highlight w:val="yellow"/>
        </w:rPr>
      </w:pPr>
    </w:p>
    <w:tbl>
      <w:tblPr>
        <w:tblW w:w="4604" w:type="pct"/>
        <w:tblInd w:w="737" w:type="dxa"/>
        <w:tblCellMar>
          <w:left w:w="28" w:type="dxa"/>
          <w:right w:w="28" w:type="dxa"/>
        </w:tblCellMar>
        <w:tblLook w:val="0000" w:firstRow="0" w:lastRow="0" w:firstColumn="0" w:lastColumn="0" w:noHBand="0" w:noVBand="0"/>
      </w:tblPr>
      <w:tblGrid>
        <w:gridCol w:w="1276"/>
        <w:gridCol w:w="1798"/>
        <w:gridCol w:w="412"/>
        <w:gridCol w:w="1475"/>
        <w:gridCol w:w="2061"/>
        <w:gridCol w:w="1341"/>
      </w:tblGrid>
      <w:tr w:rsidR="00DF60AE" w:rsidRPr="00A939CD" w:rsidTr="00DF60AE">
        <w:trPr>
          <w:cantSplit/>
          <w:trHeight w:val="471"/>
        </w:trPr>
        <w:tc>
          <w:tcPr>
            <w:tcW w:w="1838" w:type="pct"/>
            <w:gridSpan w:val="2"/>
            <w:tcBorders>
              <w:bottom w:val="single" w:sz="4" w:space="0" w:color="auto"/>
            </w:tcBorders>
          </w:tcPr>
          <w:p w:rsidR="00DF60AE" w:rsidRPr="00AE28FE" w:rsidRDefault="00DF60AE" w:rsidP="00950DD9">
            <w:pPr>
              <w:keepNext/>
              <w:widowControl/>
              <w:rPr>
                <w:rFonts w:ascii="Arial Narrow" w:hAnsi="Arial Narrow"/>
                <w:sz w:val="20"/>
              </w:rPr>
            </w:pPr>
            <w:r w:rsidRPr="00AE28FE">
              <w:rPr>
                <w:rFonts w:ascii="Arial Narrow" w:hAnsi="Arial Narrow"/>
                <w:sz w:val="20"/>
              </w:rPr>
              <w:t>Name, Restriction,</w:t>
            </w:r>
          </w:p>
          <w:p w:rsidR="00DF60AE" w:rsidRPr="00AE28FE" w:rsidRDefault="00DF60AE" w:rsidP="00950DD9">
            <w:pPr>
              <w:keepNext/>
              <w:widowControl/>
              <w:rPr>
                <w:rFonts w:ascii="Arial Narrow" w:hAnsi="Arial Narrow"/>
                <w:sz w:val="20"/>
              </w:rPr>
            </w:pPr>
            <w:r w:rsidRPr="00AE28FE">
              <w:rPr>
                <w:rFonts w:ascii="Arial Narrow" w:hAnsi="Arial Narrow"/>
                <w:sz w:val="20"/>
              </w:rPr>
              <w:t>Manner of administration and form</w:t>
            </w:r>
          </w:p>
        </w:tc>
        <w:tc>
          <w:tcPr>
            <w:tcW w:w="246" w:type="pct"/>
            <w:tcBorders>
              <w:bottom w:val="single" w:sz="4" w:space="0" w:color="auto"/>
            </w:tcBorders>
          </w:tcPr>
          <w:p w:rsidR="00DF60AE" w:rsidRPr="00AE28FE" w:rsidRDefault="00DF60AE" w:rsidP="00950DD9">
            <w:pPr>
              <w:keepNext/>
              <w:widowControl/>
              <w:jc w:val="center"/>
              <w:rPr>
                <w:rFonts w:ascii="Arial Narrow" w:hAnsi="Arial Narrow"/>
                <w:sz w:val="20"/>
              </w:rPr>
            </w:pPr>
            <w:r w:rsidRPr="00AE28FE">
              <w:rPr>
                <w:rFonts w:ascii="Arial Narrow" w:hAnsi="Arial Narrow"/>
                <w:sz w:val="20"/>
              </w:rPr>
              <w:t>Max.</w:t>
            </w:r>
          </w:p>
          <w:p w:rsidR="00DF60AE" w:rsidRPr="00AE28FE" w:rsidRDefault="00DF60AE" w:rsidP="00950DD9">
            <w:pPr>
              <w:keepNext/>
              <w:widowControl/>
              <w:jc w:val="center"/>
              <w:rPr>
                <w:rFonts w:ascii="Arial Narrow" w:hAnsi="Arial Narrow"/>
                <w:sz w:val="20"/>
              </w:rPr>
            </w:pPr>
            <w:r w:rsidRPr="00AE28FE">
              <w:rPr>
                <w:rFonts w:ascii="Arial Narrow" w:hAnsi="Arial Narrow"/>
                <w:sz w:val="20"/>
              </w:rPr>
              <w:t>Qty</w:t>
            </w:r>
          </w:p>
        </w:tc>
        <w:tc>
          <w:tcPr>
            <w:tcW w:w="882" w:type="pct"/>
            <w:tcBorders>
              <w:bottom w:val="single" w:sz="4" w:space="0" w:color="auto"/>
            </w:tcBorders>
          </w:tcPr>
          <w:p w:rsidR="00DF60AE" w:rsidRPr="00AE28FE" w:rsidRDefault="00DF60AE" w:rsidP="00950DD9">
            <w:pPr>
              <w:keepNext/>
              <w:widowControl/>
              <w:jc w:val="center"/>
              <w:rPr>
                <w:rFonts w:ascii="Arial Narrow" w:hAnsi="Arial Narrow"/>
                <w:sz w:val="20"/>
              </w:rPr>
            </w:pPr>
            <w:r w:rsidRPr="00AE28FE">
              <w:rPr>
                <w:rFonts w:ascii="Arial Narrow" w:hAnsi="Arial Narrow"/>
                <w:sz w:val="20"/>
              </w:rPr>
              <w:t>№.of</w:t>
            </w:r>
          </w:p>
          <w:p w:rsidR="00DF60AE" w:rsidRPr="00AE28FE" w:rsidRDefault="00DF60AE" w:rsidP="00950DD9">
            <w:pPr>
              <w:keepNext/>
              <w:widowControl/>
              <w:jc w:val="center"/>
              <w:rPr>
                <w:rFonts w:ascii="Arial Narrow" w:hAnsi="Arial Narrow"/>
                <w:sz w:val="20"/>
              </w:rPr>
            </w:pPr>
            <w:r w:rsidRPr="00AE28FE">
              <w:rPr>
                <w:rFonts w:ascii="Arial Narrow" w:hAnsi="Arial Narrow"/>
                <w:sz w:val="20"/>
              </w:rPr>
              <w:t>Rpts</w:t>
            </w:r>
          </w:p>
        </w:tc>
        <w:tc>
          <w:tcPr>
            <w:tcW w:w="2034" w:type="pct"/>
            <w:gridSpan w:val="2"/>
            <w:tcBorders>
              <w:bottom w:val="single" w:sz="4" w:space="0" w:color="auto"/>
            </w:tcBorders>
          </w:tcPr>
          <w:p w:rsidR="00DF60AE" w:rsidRPr="00AE28FE" w:rsidRDefault="00DF60AE" w:rsidP="00950DD9">
            <w:pPr>
              <w:keepNext/>
              <w:widowControl/>
              <w:jc w:val="center"/>
              <w:rPr>
                <w:rFonts w:ascii="Arial Narrow" w:hAnsi="Arial Narrow"/>
                <w:sz w:val="20"/>
                <w:lang w:val="fr-FR"/>
              </w:rPr>
            </w:pPr>
            <w:r w:rsidRPr="00AE28FE">
              <w:rPr>
                <w:rFonts w:ascii="Arial Narrow" w:hAnsi="Arial Narrow"/>
                <w:sz w:val="20"/>
              </w:rPr>
              <w:t>Proprietary Name and Manufacturer</w:t>
            </w:r>
          </w:p>
        </w:tc>
      </w:tr>
      <w:tr w:rsidR="00DF60AE" w:rsidRPr="00A939CD" w:rsidTr="00DF60AE">
        <w:trPr>
          <w:cantSplit/>
          <w:trHeight w:val="577"/>
        </w:trPr>
        <w:tc>
          <w:tcPr>
            <w:tcW w:w="1838" w:type="pct"/>
            <w:gridSpan w:val="2"/>
            <w:tcBorders>
              <w:bottom w:val="single" w:sz="4" w:space="0" w:color="auto"/>
            </w:tcBorders>
            <w:vAlign w:val="center"/>
          </w:tcPr>
          <w:p w:rsidR="00DF60AE" w:rsidRPr="00AE28FE" w:rsidRDefault="00DF60AE" w:rsidP="00950DD9">
            <w:pPr>
              <w:keepNext/>
              <w:widowControl/>
              <w:jc w:val="left"/>
              <w:rPr>
                <w:rFonts w:ascii="Arial Narrow" w:hAnsi="Arial Narrow"/>
                <w:sz w:val="20"/>
              </w:rPr>
            </w:pPr>
            <w:r w:rsidRPr="00AE28FE">
              <w:rPr>
                <w:rFonts w:ascii="Arial Narrow" w:hAnsi="Arial Narrow"/>
                <w:smallCaps/>
                <w:sz w:val="20"/>
              </w:rPr>
              <w:t>strontium ranelate</w:t>
            </w:r>
          </w:p>
          <w:p w:rsidR="00DF60AE" w:rsidRPr="00AE28FE" w:rsidRDefault="00DF60AE" w:rsidP="00950DD9">
            <w:pPr>
              <w:keepNext/>
              <w:widowControl/>
              <w:jc w:val="left"/>
              <w:rPr>
                <w:rFonts w:ascii="Arial Narrow" w:hAnsi="Arial Narrow"/>
                <w:sz w:val="20"/>
              </w:rPr>
            </w:pPr>
            <w:r w:rsidRPr="00AE28FE">
              <w:rPr>
                <w:rFonts w:ascii="Arial Narrow" w:hAnsi="Arial Narrow"/>
                <w:sz w:val="20"/>
              </w:rPr>
              <w:t>2g granules</w:t>
            </w:r>
          </w:p>
        </w:tc>
        <w:tc>
          <w:tcPr>
            <w:tcW w:w="246" w:type="pct"/>
            <w:tcBorders>
              <w:bottom w:val="single" w:sz="4" w:space="0" w:color="auto"/>
            </w:tcBorders>
            <w:vAlign w:val="center"/>
          </w:tcPr>
          <w:p w:rsidR="00DF60AE" w:rsidRPr="00AE28FE" w:rsidRDefault="00DF60AE" w:rsidP="00950DD9">
            <w:pPr>
              <w:keepNext/>
              <w:widowControl/>
              <w:jc w:val="center"/>
              <w:rPr>
                <w:rFonts w:ascii="Arial Narrow" w:hAnsi="Arial Narrow"/>
                <w:sz w:val="20"/>
              </w:rPr>
            </w:pPr>
            <w:r w:rsidRPr="00AE28FE">
              <w:rPr>
                <w:rFonts w:ascii="Arial Narrow" w:hAnsi="Arial Narrow"/>
                <w:sz w:val="20"/>
              </w:rPr>
              <w:t>28</w:t>
            </w:r>
          </w:p>
        </w:tc>
        <w:tc>
          <w:tcPr>
            <w:tcW w:w="882" w:type="pct"/>
            <w:tcBorders>
              <w:bottom w:val="single" w:sz="4" w:space="0" w:color="auto"/>
            </w:tcBorders>
            <w:vAlign w:val="center"/>
          </w:tcPr>
          <w:p w:rsidR="00DF60AE" w:rsidRPr="00AE28FE" w:rsidRDefault="00DF60AE" w:rsidP="00950DD9">
            <w:pPr>
              <w:keepNext/>
              <w:widowControl/>
              <w:jc w:val="center"/>
              <w:rPr>
                <w:rFonts w:ascii="Arial Narrow" w:hAnsi="Arial Narrow"/>
                <w:sz w:val="20"/>
              </w:rPr>
            </w:pPr>
            <w:r w:rsidRPr="00AE28FE">
              <w:rPr>
                <w:rFonts w:ascii="Arial Narrow" w:hAnsi="Arial Narrow"/>
                <w:sz w:val="20"/>
              </w:rPr>
              <w:t>5</w:t>
            </w:r>
          </w:p>
        </w:tc>
        <w:tc>
          <w:tcPr>
            <w:tcW w:w="1232" w:type="pct"/>
            <w:tcBorders>
              <w:bottom w:val="single" w:sz="4" w:space="0" w:color="auto"/>
            </w:tcBorders>
            <w:vAlign w:val="center"/>
          </w:tcPr>
          <w:p w:rsidR="00DF60AE" w:rsidRPr="00AE28FE" w:rsidRDefault="00DF60AE" w:rsidP="00950DD9">
            <w:pPr>
              <w:keepNext/>
              <w:widowControl/>
              <w:jc w:val="center"/>
              <w:rPr>
                <w:rFonts w:ascii="Arial Narrow" w:hAnsi="Arial Narrow"/>
                <w:sz w:val="20"/>
              </w:rPr>
            </w:pPr>
            <w:r w:rsidRPr="00AE28FE">
              <w:rPr>
                <w:rFonts w:ascii="Arial Narrow" w:hAnsi="Arial Narrow"/>
                <w:sz w:val="20"/>
              </w:rPr>
              <w:t>Protos</w:t>
            </w:r>
            <w:r w:rsidRPr="00AE28FE">
              <w:rPr>
                <w:rFonts w:ascii="Arial Narrow" w:hAnsi="Arial Narrow"/>
                <w:sz w:val="20"/>
                <w:vertAlign w:val="superscript"/>
              </w:rPr>
              <w:t>®</w:t>
            </w:r>
          </w:p>
        </w:tc>
        <w:tc>
          <w:tcPr>
            <w:tcW w:w="802" w:type="pct"/>
            <w:tcBorders>
              <w:bottom w:val="single" w:sz="4" w:space="0" w:color="auto"/>
            </w:tcBorders>
            <w:vAlign w:val="center"/>
          </w:tcPr>
          <w:p w:rsidR="00DF60AE" w:rsidRPr="00AE28FE" w:rsidRDefault="00DF60AE" w:rsidP="00950DD9">
            <w:pPr>
              <w:keepNext/>
              <w:widowControl/>
              <w:jc w:val="center"/>
              <w:rPr>
                <w:rFonts w:ascii="Arial Narrow" w:hAnsi="Arial Narrow"/>
                <w:sz w:val="20"/>
              </w:rPr>
            </w:pPr>
            <w:r w:rsidRPr="00AE28FE">
              <w:rPr>
                <w:rFonts w:ascii="Arial Narrow" w:hAnsi="Arial Narrow"/>
                <w:sz w:val="20"/>
              </w:rPr>
              <w:t>Servier Laboratories</w:t>
            </w:r>
          </w:p>
        </w:tc>
      </w:tr>
      <w:tr w:rsidR="0070164E" w:rsidRPr="00A939CD" w:rsidTr="00E842BC">
        <w:trPr>
          <w:cantSplit/>
          <w:trHeight w:val="50"/>
        </w:trPr>
        <w:tc>
          <w:tcPr>
            <w:tcW w:w="763" w:type="pct"/>
            <w:tcBorders>
              <w:top w:val="single" w:sz="4" w:space="0" w:color="auto"/>
              <w:left w:val="single" w:sz="4" w:space="0" w:color="auto"/>
              <w:bottom w:val="single" w:sz="4" w:space="0" w:color="auto"/>
              <w:right w:val="single" w:sz="4" w:space="0" w:color="auto"/>
            </w:tcBorders>
            <w:vAlign w:val="center"/>
          </w:tcPr>
          <w:p w:rsidR="0070164E" w:rsidRPr="00AE28FE" w:rsidRDefault="0070164E" w:rsidP="00950DD9">
            <w:pPr>
              <w:widowControl/>
              <w:jc w:val="left"/>
              <w:rPr>
                <w:rFonts w:ascii="Arial Narrow" w:hAnsi="Arial Narrow"/>
                <w:sz w:val="20"/>
              </w:rPr>
            </w:pPr>
            <w:r w:rsidRPr="00AE28FE">
              <w:rPr>
                <w:rFonts w:ascii="Arial Narrow" w:hAnsi="Arial Narrow"/>
                <w:sz w:val="20"/>
              </w:rPr>
              <w:t>Restriction</w:t>
            </w:r>
          </w:p>
        </w:tc>
        <w:tc>
          <w:tcPr>
            <w:tcW w:w="4237" w:type="pct"/>
            <w:gridSpan w:val="5"/>
            <w:tcBorders>
              <w:top w:val="single" w:sz="4" w:space="0" w:color="auto"/>
              <w:left w:val="single" w:sz="4" w:space="0" w:color="auto"/>
              <w:bottom w:val="single" w:sz="4" w:space="0" w:color="auto"/>
              <w:right w:val="single" w:sz="4" w:space="0" w:color="auto"/>
            </w:tcBorders>
          </w:tcPr>
          <w:p w:rsidR="0070164E" w:rsidRPr="00AE28FE" w:rsidRDefault="0070164E" w:rsidP="00950DD9">
            <w:pPr>
              <w:widowControl/>
              <w:rPr>
                <w:rFonts w:ascii="Arial Narrow" w:hAnsi="Arial Narrow"/>
                <w:sz w:val="20"/>
              </w:rPr>
            </w:pPr>
            <w:r w:rsidRPr="00AE28FE">
              <w:rPr>
                <w:rFonts w:ascii="Arial Narrow" w:hAnsi="Arial Narrow"/>
                <w:sz w:val="20"/>
              </w:rPr>
              <w:t>Section 85 (General Schedule)</w:t>
            </w:r>
          </w:p>
          <w:p w:rsidR="0070164E" w:rsidRPr="00AE28FE" w:rsidRDefault="0070164E" w:rsidP="00950DD9">
            <w:pPr>
              <w:widowControl/>
              <w:rPr>
                <w:rFonts w:ascii="Arial Narrow" w:hAnsi="Arial Narrow"/>
                <w:sz w:val="20"/>
              </w:rPr>
            </w:pPr>
            <w:r w:rsidRPr="00AE28FE">
              <w:rPr>
                <w:rFonts w:ascii="Arial Narrow" w:hAnsi="Arial Narrow"/>
                <w:sz w:val="20"/>
              </w:rPr>
              <w:t>Authority Required</w:t>
            </w:r>
          </w:p>
        </w:tc>
      </w:tr>
      <w:tr w:rsidR="0070164E" w:rsidRPr="00A939CD" w:rsidTr="00E842BC">
        <w:trPr>
          <w:cantSplit/>
          <w:trHeight w:val="50"/>
        </w:trPr>
        <w:tc>
          <w:tcPr>
            <w:tcW w:w="763" w:type="pct"/>
            <w:tcBorders>
              <w:top w:val="single" w:sz="4" w:space="0" w:color="auto"/>
              <w:left w:val="single" w:sz="4" w:space="0" w:color="auto"/>
              <w:bottom w:val="single" w:sz="4" w:space="0" w:color="auto"/>
              <w:right w:val="single" w:sz="4" w:space="0" w:color="auto"/>
            </w:tcBorders>
            <w:vAlign w:val="center"/>
          </w:tcPr>
          <w:p w:rsidR="0070164E" w:rsidRDefault="0070164E" w:rsidP="00950DD9">
            <w:pPr>
              <w:widowControl/>
              <w:jc w:val="left"/>
              <w:rPr>
                <w:rFonts w:ascii="Arial Narrow" w:hAnsi="Arial Narrow"/>
                <w:sz w:val="20"/>
              </w:rPr>
            </w:pPr>
            <w:r w:rsidRPr="00AE28FE">
              <w:rPr>
                <w:rFonts w:ascii="Arial Narrow" w:hAnsi="Arial Narrow"/>
                <w:sz w:val="20"/>
              </w:rPr>
              <w:t>Condition</w:t>
            </w:r>
          </w:p>
        </w:tc>
        <w:tc>
          <w:tcPr>
            <w:tcW w:w="4237" w:type="pct"/>
            <w:gridSpan w:val="5"/>
            <w:tcBorders>
              <w:top w:val="single" w:sz="4" w:space="0" w:color="auto"/>
              <w:left w:val="single" w:sz="4" w:space="0" w:color="auto"/>
              <w:bottom w:val="single" w:sz="4" w:space="0" w:color="auto"/>
              <w:right w:val="single" w:sz="4" w:space="0" w:color="auto"/>
            </w:tcBorders>
          </w:tcPr>
          <w:p w:rsidR="0070164E" w:rsidRDefault="0070164E" w:rsidP="00950DD9">
            <w:pPr>
              <w:widowControl/>
              <w:tabs>
                <w:tab w:val="center" w:pos="3515"/>
              </w:tabs>
              <w:rPr>
                <w:rFonts w:ascii="Arial Narrow" w:hAnsi="Arial Narrow"/>
                <w:sz w:val="20"/>
              </w:rPr>
            </w:pPr>
            <w:r w:rsidRPr="00AE28FE">
              <w:rPr>
                <w:rFonts w:ascii="Arial Narrow" w:hAnsi="Arial Narrow"/>
                <w:sz w:val="20"/>
              </w:rPr>
              <w:t>Severe established osteoporosis</w:t>
            </w:r>
            <w:r>
              <w:rPr>
                <w:rFonts w:ascii="Arial Narrow" w:hAnsi="Arial Narrow"/>
                <w:sz w:val="20"/>
              </w:rPr>
              <w:tab/>
            </w:r>
          </w:p>
        </w:tc>
      </w:tr>
      <w:tr w:rsidR="0070164E" w:rsidRPr="00A939CD" w:rsidTr="00E842BC">
        <w:trPr>
          <w:cantSplit/>
          <w:trHeight w:val="50"/>
        </w:trPr>
        <w:tc>
          <w:tcPr>
            <w:tcW w:w="763" w:type="pct"/>
            <w:tcBorders>
              <w:top w:val="single" w:sz="4" w:space="0" w:color="auto"/>
              <w:left w:val="single" w:sz="4" w:space="0" w:color="auto"/>
              <w:bottom w:val="single" w:sz="4" w:space="0" w:color="auto"/>
              <w:right w:val="single" w:sz="4" w:space="0" w:color="auto"/>
            </w:tcBorders>
            <w:vAlign w:val="center"/>
          </w:tcPr>
          <w:p w:rsidR="0070164E" w:rsidRPr="00AE28FE" w:rsidRDefault="0070164E" w:rsidP="00950DD9">
            <w:pPr>
              <w:widowControl/>
              <w:jc w:val="left"/>
              <w:rPr>
                <w:rFonts w:ascii="Arial Narrow" w:hAnsi="Arial Narrow"/>
                <w:sz w:val="20"/>
              </w:rPr>
            </w:pPr>
            <w:r w:rsidRPr="00AE28FE">
              <w:rPr>
                <w:rFonts w:ascii="Arial Narrow" w:hAnsi="Arial Narrow"/>
                <w:sz w:val="20"/>
              </w:rPr>
              <w:t>Clinical criteria</w:t>
            </w:r>
          </w:p>
        </w:tc>
        <w:tc>
          <w:tcPr>
            <w:tcW w:w="4237" w:type="pct"/>
            <w:gridSpan w:val="5"/>
            <w:tcBorders>
              <w:top w:val="single" w:sz="4" w:space="0" w:color="auto"/>
              <w:left w:val="single" w:sz="4" w:space="0" w:color="auto"/>
              <w:bottom w:val="single" w:sz="4" w:space="0" w:color="auto"/>
              <w:right w:val="single" w:sz="4" w:space="0" w:color="auto"/>
            </w:tcBorders>
          </w:tcPr>
          <w:p w:rsidR="0070164E" w:rsidRPr="00AE28FE" w:rsidRDefault="0070164E" w:rsidP="00950DD9">
            <w:pPr>
              <w:widowControl/>
              <w:rPr>
                <w:rFonts w:ascii="Arial Narrow" w:hAnsi="Arial Narrow"/>
                <w:sz w:val="20"/>
              </w:rPr>
            </w:pPr>
            <w:r w:rsidRPr="00AE28FE">
              <w:rPr>
                <w:rFonts w:ascii="Arial Narrow" w:hAnsi="Arial Narrow"/>
                <w:sz w:val="20"/>
              </w:rPr>
              <w:t>Patient must have fracture due to minimal trauma,</w:t>
            </w:r>
          </w:p>
          <w:p w:rsidR="0070164E" w:rsidRPr="00AE28FE" w:rsidRDefault="0070164E" w:rsidP="00950DD9">
            <w:pPr>
              <w:widowControl/>
              <w:rPr>
                <w:rFonts w:ascii="Arial Narrow" w:hAnsi="Arial Narrow"/>
                <w:sz w:val="20"/>
              </w:rPr>
            </w:pPr>
            <w:r w:rsidRPr="00AE28FE">
              <w:rPr>
                <w:rFonts w:ascii="Arial Narrow" w:hAnsi="Arial Narrow"/>
                <w:sz w:val="20"/>
              </w:rPr>
              <w:t>AND</w:t>
            </w:r>
          </w:p>
          <w:p w:rsidR="0070164E" w:rsidRPr="00AE28FE" w:rsidRDefault="0070164E" w:rsidP="00950DD9">
            <w:pPr>
              <w:widowControl/>
              <w:rPr>
                <w:rFonts w:ascii="Arial Narrow" w:hAnsi="Arial Narrow"/>
                <w:sz w:val="20"/>
              </w:rPr>
            </w:pPr>
            <w:r w:rsidRPr="00AE28FE">
              <w:rPr>
                <w:rFonts w:ascii="Arial Narrow" w:hAnsi="Arial Narrow"/>
                <w:sz w:val="20"/>
              </w:rPr>
              <w:t>Patient must not receive concomitant treatment with any other PBS-subsidised anti-resorptive agent for this condition,</w:t>
            </w:r>
          </w:p>
          <w:p w:rsidR="0070164E" w:rsidRPr="00AE28FE" w:rsidRDefault="0070164E" w:rsidP="00950DD9">
            <w:pPr>
              <w:widowControl/>
              <w:rPr>
                <w:rFonts w:ascii="Arial Narrow" w:hAnsi="Arial Narrow"/>
                <w:sz w:val="20"/>
              </w:rPr>
            </w:pPr>
            <w:r w:rsidRPr="00AE28FE">
              <w:rPr>
                <w:rFonts w:ascii="Arial Narrow" w:hAnsi="Arial Narrow"/>
                <w:sz w:val="20"/>
              </w:rPr>
              <w:t>AND</w:t>
            </w:r>
          </w:p>
          <w:p w:rsidR="0070164E" w:rsidRDefault="0070164E" w:rsidP="00950DD9">
            <w:pPr>
              <w:widowControl/>
              <w:rPr>
                <w:rFonts w:ascii="Arial Narrow" w:hAnsi="Arial Narrow"/>
                <w:sz w:val="20"/>
              </w:rPr>
            </w:pPr>
            <w:r w:rsidRPr="00AE28FE">
              <w:rPr>
                <w:rFonts w:ascii="Arial Narrow" w:hAnsi="Arial Narrow"/>
                <w:sz w:val="20"/>
              </w:rPr>
              <w:t>Patient must be at high risk of fracture,</w:t>
            </w:r>
          </w:p>
          <w:p w:rsidR="0070164E" w:rsidRDefault="0070164E" w:rsidP="00950DD9">
            <w:pPr>
              <w:widowControl/>
              <w:rPr>
                <w:rFonts w:ascii="Arial Narrow" w:hAnsi="Arial Narrow"/>
                <w:sz w:val="20"/>
              </w:rPr>
            </w:pPr>
            <w:r>
              <w:rPr>
                <w:rFonts w:ascii="Arial Narrow" w:hAnsi="Arial Narrow"/>
                <w:sz w:val="20"/>
              </w:rPr>
              <w:t>AND</w:t>
            </w:r>
          </w:p>
          <w:p w:rsidR="0070164E" w:rsidRPr="00AE28FE" w:rsidRDefault="0070164E" w:rsidP="00950DD9">
            <w:pPr>
              <w:widowControl/>
              <w:rPr>
                <w:rFonts w:ascii="Arial Narrow" w:hAnsi="Arial Narrow"/>
                <w:sz w:val="20"/>
              </w:rPr>
            </w:pPr>
            <w:r w:rsidRPr="0070164E">
              <w:rPr>
                <w:rFonts w:ascii="Arial Narrow" w:hAnsi="Arial Narrow"/>
                <w:sz w:val="20"/>
              </w:rPr>
              <w:t xml:space="preserve">Patient must have </w:t>
            </w:r>
            <w:r>
              <w:rPr>
                <w:rFonts w:ascii="Arial Narrow" w:hAnsi="Arial Narrow"/>
                <w:sz w:val="20"/>
              </w:rPr>
              <w:t>bone mineral density T-score less than or equal to</w:t>
            </w:r>
            <w:r w:rsidRPr="0070164E">
              <w:rPr>
                <w:rFonts w:ascii="Arial Narrow" w:hAnsi="Arial Narrow"/>
                <w:sz w:val="20"/>
              </w:rPr>
              <w:t xml:space="preserve"> -2.5</w:t>
            </w:r>
            <w:r>
              <w:rPr>
                <w:rFonts w:ascii="Arial Narrow" w:hAnsi="Arial Narrow"/>
                <w:sz w:val="20"/>
              </w:rPr>
              <w:t>,</w:t>
            </w:r>
          </w:p>
          <w:p w:rsidR="0070164E" w:rsidRPr="00AE28FE" w:rsidRDefault="0070164E" w:rsidP="00950DD9">
            <w:pPr>
              <w:widowControl/>
              <w:rPr>
                <w:rFonts w:ascii="Arial Narrow" w:hAnsi="Arial Narrow"/>
                <w:sz w:val="20"/>
              </w:rPr>
            </w:pPr>
            <w:r w:rsidRPr="00AE28FE">
              <w:rPr>
                <w:rFonts w:ascii="Arial Narrow" w:hAnsi="Arial Narrow"/>
                <w:sz w:val="20"/>
              </w:rPr>
              <w:t>AND</w:t>
            </w:r>
          </w:p>
          <w:p w:rsidR="0070164E" w:rsidRPr="00AE28FE" w:rsidRDefault="0070164E" w:rsidP="00950DD9">
            <w:pPr>
              <w:widowControl/>
              <w:rPr>
                <w:rFonts w:ascii="Arial Narrow" w:hAnsi="Arial Narrow"/>
                <w:sz w:val="20"/>
              </w:rPr>
            </w:pPr>
            <w:r w:rsidRPr="00AE28FE">
              <w:rPr>
                <w:rFonts w:ascii="Arial Narrow" w:hAnsi="Arial Narrow"/>
                <w:sz w:val="20"/>
              </w:rPr>
              <w:t>Patient must be unable to use other medications for the treatment of osteoporosis due to contraindications or intolerance.</w:t>
            </w:r>
          </w:p>
        </w:tc>
      </w:tr>
      <w:tr w:rsidR="00E842BC" w:rsidRPr="00A939CD" w:rsidTr="00E842BC">
        <w:trPr>
          <w:cantSplit/>
          <w:trHeight w:val="50"/>
        </w:trPr>
        <w:tc>
          <w:tcPr>
            <w:tcW w:w="763" w:type="pct"/>
            <w:vMerge w:val="restart"/>
            <w:tcBorders>
              <w:top w:val="single" w:sz="4" w:space="0" w:color="auto"/>
              <w:left w:val="single" w:sz="4" w:space="0" w:color="auto"/>
              <w:right w:val="single" w:sz="4" w:space="0" w:color="auto"/>
            </w:tcBorders>
            <w:vAlign w:val="center"/>
          </w:tcPr>
          <w:p w:rsidR="00E842BC" w:rsidRPr="00AE28FE" w:rsidRDefault="00E842BC" w:rsidP="00950DD9">
            <w:pPr>
              <w:widowControl/>
              <w:jc w:val="left"/>
              <w:rPr>
                <w:rFonts w:ascii="Arial Narrow" w:hAnsi="Arial Narrow"/>
                <w:sz w:val="20"/>
              </w:rPr>
            </w:pPr>
            <w:r w:rsidRPr="00AE28FE">
              <w:rPr>
                <w:rFonts w:ascii="Arial Narrow" w:hAnsi="Arial Narrow"/>
                <w:sz w:val="20"/>
              </w:rPr>
              <w:t>Prescriber instructions</w:t>
            </w:r>
          </w:p>
        </w:tc>
        <w:tc>
          <w:tcPr>
            <w:tcW w:w="4237" w:type="pct"/>
            <w:gridSpan w:val="5"/>
            <w:tcBorders>
              <w:top w:val="single" w:sz="4" w:space="0" w:color="auto"/>
              <w:left w:val="single" w:sz="4" w:space="0" w:color="auto"/>
              <w:bottom w:val="single" w:sz="4" w:space="0" w:color="auto"/>
              <w:right w:val="single" w:sz="4" w:space="0" w:color="auto"/>
            </w:tcBorders>
          </w:tcPr>
          <w:p w:rsidR="00E842BC" w:rsidRPr="00AE28FE" w:rsidRDefault="00E842BC" w:rsidP="00950DD9">
            <w:pPr>
              <w:widowControl/>
              <w:rPr>
                <w:rFonts w:ascii="Arial Narrow" w:hAnsi="Arial Narrow"/>
                <w:sz w:val="20"/>
              </w:rPr>
            </w:pPr>
            <w:r w:rsidRPr="00AE28FE">
              <w:rPr>
                <w:rFonts w:ascii="Arial Narrow" w:hAnsi="Arial Narrow"/>
                <w:sz w:val="20"/>
              </w:rPr>
              <w:t>The fracture must have been demonstrated radiologically and the year of plain x-ray or computed tomography (CT) scan or magnetic resonance imaging (MRI) scan must be documented in the patient's medical records when treatment is initiated.</w:t>
            </w:r>
          </w:p>
        </w:tc>
      </w:tr>
      <w:tr w:rsidR="00E842BC" w:rsidRPr="00A939CD" w:rsidTr="00E842BC">
        <w:trPr>
          <w:cantSplit/>
          <w:trHeight w:val="50"/>
        </w:trPr>
        <w:tc>
          <w:tcPr>
            <w:tcW w:w="763" w:type="pct"/>
            <w:vMerge/>
            <w:tcBorders>
              <w:left w:val="single" w:sz="4" w:space="0" w:color="auto"/>
              <w:right w:val="single" w:sz="4" w:space="0" w:color="auto"/>
            </w:tcBorders>
            <w:vAlign w:val="center"/>
          </w:tcPr>
          <w:p w:rsidR="00E842BC" w:rsidRPr="00AE28FE" w:rsidRDefault="00E842BC" w:rsidP="00950DD9">
            <w:pPr>
              <w:widowControl/>
              <w:jc w:val="left"/>
              <w:rPr>
                <w:rFonts w:ascii="Arial Narrow" w:hAnsi="Arial Narrow"/>
                <w:sz w:val="20"/>
              </w:rPr>
            </w:pPr>
          </w:p>
        </w:tc>
        <w:tc>
          <w:tcPr>
            <w:tcW w:w="4237" w:type="pct"/>
            <w:gridSpan w:val="5"/>
            <w:tcBorders>
              <w:top w:val="single" w:sz="4" w:space="0" w:color="auto"/>
              <w:left w:val="single" w:sz="4" w:space="0" w:color="auto"/>
              <w:bottom w:val="single" w:sz="4" w:space="0" w:color="auto"/>
              <w:right w:val="single" w:sz="4" w:space="0" w:color="auto"/>
            </w:tcBorders>
          </w:tcPr>
          <w:p w:rsidR="00E842BC" w:rsidRPr="00AE28FE" w:rsidRDefault="00E842BC" w:rsidP="00950DD9">
            <w:pPr>
              <w:widowControl/>
              <w:rPr>
                <w:rFonts w:ascii="Arial Narrow" w:hAnsi="Arial Narrow"/>
                <w:sz w:val="20"/>
              </w:rPr>
            </w:pPr>
            <w:r w:rsidRPr="00AE28FE">
              <w:rPr>
                <w:rFonts w:ascii="Arial Narrow" w:hAnsi="Arial Narrow"/>
                <w:sz w:val="20"/>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r>
      <w:tr w:rsidR="00E842BC" w:rsidRPr="00A939CD" w:rsidTr="00E842BC">
        <w:trPr>
          <w:cantSplit/>
          <w:trHeight w:val="50"/>
        </w:trPr>
        <w:tc>
          <w:tcPr>
            <w:tcW w:w="763" w:type="pct"/>
            <w:vMerge/>
            <w:tcBorders>
              <w:left w:val="single" w:sz="4" w:space="0" w:color="auto"/>
              <w:bottom w:val="single" w:sz="4" w:space="0" w:color="auto"/>
              <w:right w:val="single" w:sz="4" w:space="0" w:color="auto"/>
            </w:tcBorders>
            <w:vAlign w:val="center"/>
          </w:tcPr>
          <w:p w:rsidR="00E842BC" w:rsidRPr="00AE28FE" w:rsidRDefault="00E842BC" w:rsidP="00950DD9">
            <w:pPr>
              <w:widowControl/>
              <w:jc w:val="left"/>
              <w:rPr>
                <w:rFonts w:ascii="Arial Narrow" w:hAnsi="Arial Narrow"/>
                <w:sz w:val="20"/>
              </w:rPr>
            </w:pPr>
          </w:p>
        </w:tc>
        <w:tc>
          <w:tcPr>
            <w:tcW w:w="4237" w:type="pct"/>
            <w:gridSpan w:val="5"/>
            <w:tcBorders>
              <w:top w:val="single" w:sz="4" w:space="0" w:color="auto"/>
              <w:left w:val="single" w:sz="4" w:space="0" w:color="auto"/>
              <w:bottom w:val="single" w:sz="4" w:space="0" w:color="auto"/>
              <w:right w:val="single" w:sz="4" w:space="0" w:color="auto"/>
            </w:tcBorders>
          </w:tcPr>
          <w:p w:rsidR="00E842BC" w:rsidRPr="00AE28FE" w:rsidRDefault="0045449F" w:rsidP="00950DD9">
            <w:pPr>
              <w:widowControl/>
              <w:rPr>
                <w:rFonts w:ascii="Arial Narrow" w:hAnsi="Arial Narrow"/>
                <w:sz w:val="20"/>
              </w:rPr>
            </w:pPr>
            <w:r w:rsidRPr="00E842BC">
              <w:rPr>
                <w:rFonts w:ascii="Arial Narrow" w:hAnsi="Arial Narrow"/>
                <w:sz w:val="20"/>
              </w:rPr>
              <w:t>Patients should be evaluated for cardiovascular risk prior to commencement of strontium ranelate and during ongoing treatment on a regular basis generally every 6 months. See Product Information for further details.</w:t>
            </w:r>
          </w:p>
        </w:tc>
      </w:tr>
      <w:tr w:rsidR="0070164E" w:rsidRPr="00A939CD" w:rsidTr="00E842BC">
        <w:trPr>
          <w:cantSplit/>
          <w:trHeight w:val="50"/>
        </w:trPr>
        <w:tc>
          <w:tcPr>
            <w:tcW w:w="763" w:type="pct"/>
            <w:tcBorders>
              <w:top w:val="single" w:sz="4" w:space="0" w:color="auto"/>
              <w:left w:val="single" w:sz="4" w:space="0" w:color="auto"/>
              <w:bottom w:val="single" w:sz="4" w:space="0" w:color="auto"/>
              <w:right w:val="single" w:sz="4" w:space="0" w:color="auto"/>
            </w:tcBorders>
            <w:vAlign w:val="center"/>
          </w:tcPr>
          <w:p w:rsidR="0070164E" w:rsidRPr="00AE28FE" w:rsidRDefault="0070164E" w:rsidP="00950DD9">
            <w:pPr>
              <w:widowControl/>
              <w:jc w:val="left"/>
              <w:rPr>
                <w:rFonts w:ascii="Arial Narrow" w:hAnsi="Arial Narrow"/>
                <w:sz w:val="20"/>
              </w:rPr>
            </w:pPr>
            <w:r w:rsidRPr="00AE28FE">
              <w:rPr>
                <w:rFonts w:ascii="Arial Narrow" w:hAnsi="Arial Narrow"/>
                <w:sz w:val="20"/>
              </w:rPr>
              <w:t>Administrative advice</w:t>
            </w:r>
          </w:p>
        </w:tc>
        <w:tc>
          <w:tcPr>
            <w:tcW w:w="4237" w:type="pct"/>
            <w:gridSpan w:val="5"/>
            <w:tcBorders>
              <w:top w:val="single" w:sz="4" w:space="0" w:color="auto"/>
              <w:left w:val="single" w:sz="4" w:space="0" w:color="auto"/>
              <w:bottom w:val="single" w:sz="4" w:space="0" w:color="auto"/>
              <w:right w:val="single" w:sz="4" w:space="0" w:color="auto"/>
            </w:tcBorders>
          </w:tcPr>
          <w:p w:rsidR="0070164E" w:rsidRPr="00AE28FE" w:rsidRDefault="0070164E" w:rsidP="00950DD9">
            <w:pPr>
              <w:widowControl/>
              <w:rPr>
                <w:rFonts w:ascii="Arial Narrow" w:hAnsi="Arial Narrow"/>
                <w:sz w:val="20"/>
                <w:u w:val="single"/>
              </w:rPr>
            </w:pPr>
            <w:r w:rsidRPr="00AE28FE">
              <w:rPr>
                <w:rFonts w:ascii="Arial Narrow" w:hAnsi="Arial Narrow"/>
                <w:sz w:val="20"/>
                <w:u w:val="single"/>
              </w:rPr>
              <w:t>Note</w:t>
            </w:r>
          </w:p>
          <w:p w:rsidR="00E842BC" w:rsidRPr="00E842BC" w:rsidRDefault="0070164E" w:rsidP="00950DD9">
            <w:pPr>
              <w:widowControl/>
              <w:rPr>
                <w:rFonts w:ascii="Arial Narrow" w:hAnsi="Arial Narrow"/>
                <w:sz w:val="20"/>
              </w:rPr>
            </w:pPr>
            <w:r w:rsidRPr="00AE28FE">
              <w:rPr>
                <w:rFonts w:ascii="Arial Narrow" w:hAnsi="Arial Narrow"/>
                <w:sz w:val="20"/>
              </w:rPr>
              <w:t>Anti-resorptive agents in established osteoporosis include alendronate sodium, risedronate sodium, denosumab, raloxifene hydrochloride, strontium ranelate and zoledronic acid.</w:t>
            </w:r>
          </w:p>
        </w:tc>
      </w:tr>
    </w:tbl>
    <w:p w:rsidR="002A2880" w:rsidRDefault="002A2880" w:rsidP="00950DD9">
      <w:pPr>
        <w:widowControl/>
        <w:rPr>
          <w:szCs w:val="22"/>
        </w:rPr>
      </w:pPr>
    </w:p>
    <w:p w:rsidR="00DF60AE" w:rsidRDefault="00DF60AE" w:rsidP="00950DD9">
      <w:pPr>
        <w:widowControl/>
        <w:rPr>
          <w:szCs w:val="22"/>
        </w:rPr>
      </w:pPr>
    </w:p>
    <w:p w:rsidR="00DF60AE" w:rsidRPr="00C45157" w:rsidRDefault="00DF60AE" w:rsidP="00DF60AE">
      <w:pPr>
        <w:pStyle w:val="PBACHeading1"/>
        <w:rPr>
          <w:snapToGrid/>
        </w:rPr>
      </w:pPr>
      <w:r w:rsidRPr="00C45157">
        <w:rPr>
          <w:snapToGrid/>
        </w:rPr>
        <w:t>Context for Decision</w:t>
      </w:r>
    </w:p>
    <w:p w:rsidR="00DF60AE" w:rsidRPr="00C45157" w:rsidRDefault="00DF60AE" w:rsidP="00DF60AE">
      <w:pPr>
        <w:widowControl/>
        <w:ind w:left="720"/>
        <w:contextualSpacing/>
        <w:jc w:val="left"/>
        <w:rPr>
          <w:rFonts w:ascii="Times New Roman" w:hAnsi="Times New Roman" w:cs="Times New Roman"/>
          <w:b/>
          <w:snapToGrid/>
          <w:sz w:val="24"/>
          <w:szCs w:val="24"/>
          <w:lang w:eastAsia="en-AU"/>
        </w:rPr>
      </w:pPr>
    </w:p>
    <w:p w:rsidR="00DF60AE" w:rsidRPr="00844503" w:rsidRDefault="00DF60AE" w:rsidP="00844503">
      <w:pPr>
        <w:widowControl/>
        <w:ind w:left="720"/>
        <w:jc w:val="left"/>
        <w:rPr>
          <w:bCs/>
          <w:szCs w:val="22"/>
          <w:lang w:eastAsia="en-AU"/>
        </w:rPr>
      </w:pPr>
      <w:r w:rsidRPr="00C45157">
        <w:rPr>
          <w:bCs/>
          <w:szCs w:val="22"/>
          <w:lang w:eastAsia="en-AU"/>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DF60AE" w:rsidRPr="00C45157" w:rsidRDefault="00DF60AE" w:rsidP="00DF60AE">
      <w:pPr>
        <w:widowControl/>
        <w:jc w:val="left"/>
        <w:rPr>
          <w:rFonts w:ascii="Times New Roman" w:hAnsi="Times New Roman" w:cs="Times New Roman"/>
          <w:snapToGrid/>
          <w:sz w:val="24"/>
          <w:szCs w:val="24"/>
          <w:lang w:eastAsia="en-AU"/>
        </w:rPr>
      </w:pPr>
    </w:p>
    <w:p w:rsidR="00DF60AE" w:rsidRDefault="00DF60AE" w:rsidP="00DF60AE">
      <w:pPr>
        <w:pStyle w:val="PBACHeading1"/>
        <w:rPr>
          <w:snapToGrid/>
        </w:rPr>
      </w:pPr>
      <w:r w:rsidRPr="00C45157">
        <w:rPr>
          <w:snapToGrid/>
        </w:rPr>
        <w:t>Sponsor’s Comment</w:t>
      </w:r>
    </w:p>
    <w:p w:rsidR="00844503" w:rsidRDefault="00844503" w:rsidP="00844503">
      <w:pPr>
        <w:pStyle w:val="PBACHeading1"/>
        <w:numPr>
          <w:ilvl w:val="0"/>
          <w:numId w:val="0"/>
        </w:numPr>
        <w:ind w:left="720"/>
        <w:rPr>
          <w:snapToGrid/>
        </w:rPr>
      </w:pPr>
    </w:p>
    <w:p w:rsidR="00DF60AE" w:rsidRPr="005110A4" w:rsidRDefault="00844503" w:rsidP="005110A4">
      <w:pPr>
        <w:pStyle w:val="PBACHeading1"/>
        <w:numPr>
          <w:ilvl w:val="0"/>
          <w:numId w:val="0"/>
        </w:numPr>
        <w:ind w:left="720"/>
        <w:rPr>
          <w:b w:val="0"/>
          <w:snapToGrid/>
        </w:rPr>
      </w:pPr>
      <w:r w:rsidRPr="00844503">
        <w:rPr>
          <w:b w:val="0"/>
          <w:snapToGrid/>
        </w:rPr>
        <w:t xml:space="preserve">The Sponsor had no comment. </w:t>
      </w:r>
    </w:p>
    <w:sectPr w:rsidR="00DF60AE" w:rsidRPr="005110A4" w:rsidSect="003F41F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13324A" w15:done="0"/>
  <w15:commentEx w15:paraId="01D061C1" w15:done="0"/>
  <w15:commentEx w15:paraId="21DED10F" w15:done="0"/>
  <w15:commentEx w15:paraId="19295519" w15:done="0"/>
  <w15:commentEx w15:paraId="167FE8E6" w15:done="0"/>
  <w15:commentEx w15:paraId="774F8E26" w15:done="0"/>
  <w15:commentEx w15:paraId="58F2AF5A" w15:done="0"/>
  <w15:commentEx w15:paraId="06E84A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BF1" w:rsidRDefault="00A83BF1" w:rsidP="00124A51">
      <w:r>
        <w:separator/>
      </w:r>
    </w:p>
  </w:endnote>
  <w:endnote w:type="continuationSeparator" w:id="0">
    <w:p w:rsidR="00A83BF1" w:rsidRDefault="00A83BF1" w:rsidP="00124A51">
      <w:r>
        <w:continuationSeparator/>
      </w:r>
    </w:p>
  </w:endnote>
  <w:endnote w:type="continuationNotice" w:id="1">
    <w:p w:rsidR="00A83BF1" w:rsidRDefault="00A83B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BF1" w:rsidRDefault="00A83B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C5B" w:rsidRDefault="002D0C5B" w:rsidP="003F41FD">
    <w:pPr>
      <w:ind w:right="360"/>
      <w:jc w:val="center"/>
      <w:rPr>
        <w:b/>
        <w:sz w:val="20"/>
      </w:rPr>
    </w:pPr>
  </w:p>
  <w:p w:rsidR="002D0C5B" w:rsidRDefault="002D0C5B" w:rsidP="00764176">
    <w:pPr>
      <w:pStyle w:val="Footer"/>
      <w:jc w:val="center"/>
    </w:pPr>
    <w:r w:rsidRPr="00651169">
      <w:rPr>
        <w:sz w:val="20"/>
      </w:rPr>
      <w:fldChar w:fldCharType="begin"/>
    </w:r>
    <w:r w:rsidRPr="00651169">
      <w:rPr>
        <w:sz w:val="20"/>
      </w:rPr>
      <w:instrText xml:space="preserve"> PAGE   \* MERGEFORMAT </w:instrText>
    </w:r>
    <w:r w:rsidRPr="00651169">
      <w:rPr>
        <w:sz w:val="20"/>
      </w:rPr>
      <w:fldChar w:fldCharType="separate"/>
    </w:r>
    <w:r w:rsidR="00242561">
      <w:rPr>
        <w:noProof/>
        <w:sz w:val="20"/>
      </w:rPr>
      <w:t>1</w:t>
    </w:r>
    <w:r w:rsidRPr="00651169">
      <w:rPr>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BF1" w:rsidRDefault="00A83B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BF1" w:rsidRDefault="00A83BF1" w:rsidP="00124A51">
      <w:r>
        <w:separator/>
      </w:r>
    </w:p>
  </w:footnote>
  <w:footnote w:type="continuationSeparator" w:id="0">
    <w:p w:rsidR="00A83BF1" w:rsidRDefault="00A83BF1" w:rsidP="00124A51">
      <w:r>
        <w:continuationSeparator/>
      </w:r>
    </w:p>
  </w:footnote>
  <w:footnote w:type="continuationNotice" w:id="1">
    <w:p w:rsidR="00A83BF1" w:rsidRDefault="00A83BF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C5B" w:rsidRDefault="002D0C5B">
    <w:pPr>
      <w:pStyle w:val="Header"/>
    </w:pPr>
  </w:p>
  <w:p w:rsidR="002D0C5B" w:rsidRDefault="002D0C5B"/>
  <w:p w:rsidR="002D0C5B" w:rsidRDefault="002D0C5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C5B" w:rsidRPr="00DF217D" w:rsidRDefault="002D0C5B" w:rsidP="00764176">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July 2015 </w:t>
    </w:r>
    <w:r w:rsidRPr="00DF217D">
      <w:rPr>
        <w:i/>
        <w:color w:val="808080"/>
      </w:rPr>
      <w:t>PBAC</w:t>
    </w:r>
    <w:r>
      <w:rPr>
        <w:i/>
        <w:color w:val="808080"/>
      </w:rPr>
      <w:t xml:space="preserve"> </w:t>
    </w:r>
    <w:r w:rsidRPr="00DF217D">
      <w:rPr>
        <w:i/>
        <w:color w:val="808080"/>
      </w:rPr>
      <w:t>Meeting</w:t>
    </w:r>
  </w:p>
  <w:p w:rsidR="002D0C5B" w:rsidRPr="00764176" w:rsidRDefault="002D0C5B" w:rsidP="00764176">
    <w:pPr>
      <w:pStyle w:val="Header"/>
      <w:ind w:left="360"/>
      <w:jc w:val="center"/>
      <w:rPr>
        <w:i/>
        <w:color w:val="8080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BF1" w:rsidRDefault="00A83B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4642"/>
    <w:multiLevelType w:val="hybridMultilevel"/>
    <w:tmpl w:val="3DECF3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EF3EC3"/>
    <w:multiLevelType w:val="hybridMultilevel"/>
    <w:tmpl w:val="EB98A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E47C25"/>
    <w:multiLevelType w:val="hybridMultilevel"/>
    <w:tmpl w:val="EC9CB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22E1AEC"/>
    <w:multiLevelType w:val="multilevel"/>
    <w:tmpl w:val="F478353A"/>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32A5985"/>
    <w:multiLevelType w:val="hybridMultilevel"/>
    <w:tmpl w:val="FD7C49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136E2267"/>
    <w:multiLevelType w:val="hybridMultilevel"/>
    <w:tmpl w:val="3FD07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37A6A09"/>
    <w:multiLevelType w:val="hybridMultilevel"/>
    <w:tmpl w:val="706A2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CA40690"/>
    <w:multiLevelType w:val="singleLevel"/>
    <w:tmpl w:val="E5988BCE"/>
    <w:lvl w:ilvl="0">
      <w:start w:val="1"/>
      <w:numFmt w:val="bullet"/>
      <w:pStyle w:val="TableBullet"/>
      <w:lvlText w:val=""/>
      <w:lvlJc w:val="left"/>
      <w:pPr>
        <w:tabs>
          <w:tab w:val="num" w:pos="360"/>
        </w:tabs>
        <w:ind w:left="216" w:hanging="216"/>
      </w:pPr>
      <w:rPr>
        <w:rFonts w:ascii="Symbol" w:hAnsi="Symbol" w:cs="Symbol" w:hint="default"/>
        <w:sz w:val="16"/>
        <w:szCs w:val="16"/>
      </w:rPr>
    </w:lvl>
  </w:abstractNum>
  <w:abstractNum w:abstractNumId="9">
    <w:nsid w:val="20AA47E2"/>
    <w:multiLevelType w:val="hybridMultilevel"/>
    <w:tmpl w:val="02501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258329E"/>
    <w:multiLevelType w:val="hybridMultilevel"/>
    <w:tmpl w:val="858E2C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89A6837"/>
    <w:multiLevelType w:val="hybridMultilevel"/>
    <w:tmpl w:val="9852F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B477C45"/>
    <w:multiLevelType w:val="hybridMultilevel"/>
    <w:tmpl w:val="6B061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850093F"/>
    <w:multiLevelType w:val="hybridMultilevel"/>
    <w:tmpl w:val="ED9C34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3B7C34E2"/>
    <w:multiLevelType w:val="hybridMultilevel"/>
    <w:tmpl w:val="92566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6">
    <w:nsid w:val="466857CD"/>
    <w:multiLevelType w:val="multilevel"/>
    <w:tmpl w:val="1884C808"/>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6AB40B1"/>
    <w:multiLevelType w:val="hybridMultilevel"/>
    <w:tmpl w:val="CC103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9">
    <w:nsid w:val="4D416C32"/>
    <w:multiLevelType w:val="multilevel"/>
    <w:tmpl w:val="34A63744"/>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1">
    <w:nsid w:val="68512A0F"/>
    <w:multiLevelType w:val="hybridMultilevel"/>
    <w:tmpl w:val="3A3CA0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74605030"/>
    <w:multiLevelType w:val="multilevel"/>
    <w:tmpl w:val="EAA2050A"/>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784D033C"/>
    <w:multiLevelType w:val="multilevel"/>
    <w:tmpl w:val="CE98210A"/>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9213313"/>
    <w:multiLevelType w:val="hybridMultilevel"/>
    <w:tmpl w:val="2BCA3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14"/>
  </w:num>
  <w:num w:numId="4">
    <w:abstractNumId w:val="1"/>
  </w:num>
  <w:num w:numId="5">
    <w:abstractNumId w:val="23"/>
  </w:num>
  <w:num w:numId="6">
    <w:abstractNumId w:val="17"/>
  </w:num>
  <w:num w:numId="7">
    <w:abstractNumId w:val="7"/>
  </w:num>
  <w:num w:numId="8">
    <w:abstractNumId w:val="5"/>
  </w:num>
  <w:num w:numId="9">
    <w:abstractNumId w:val="2"/>
  </w:num>
  <w:num w:numId="10">
    <w:abstractNumId w:val="9"/>
  </w:num>
  <w:num w:numId="11">
    <w:abstractNumId w:val="12"/>
  </w:num>
  <w:num w:numId="12">
    <w:abstractNumId w:val="10"/>
  </w:num>
  <w:num w:numId="13">
    <w:abstractNumId w:val="6"/>
  </w:num>
  <w:num w:numId="14">
    <w:abstractNumId w:val="21"/>
  </w:num>
  <w:num w:numId="15">
    <w:abstractNumId w:val="13"/>
  </w:num>
  <w:num w:numId="16">
    <w:abstractNumId w:val="0"/>
  </w:num>
  <w:num w:numId="17">
    <w:abstractNumId w:val="24"/>
  </w:num>
  <w:num w:numId="18">
    <w:abstractNumId w:val="23"/>
  </w:num>
  <w:num w:numId="19">
    <w:abstractNumId w:val="16"/>
  </w:num>
  <w:num w:numId="20">
    <w:abstractNumId w:val="4"/>
  </w:num>
  <w:num w:numId="21">
    <w:abstractNumId w:val="3"/>
  </w:num>
  <w:num w:numId="22">
    <w:abstractNumId w:val="23"/>
  </w:num>
  <w:num w:numId="23">
    <w:abstractNumId w:val="20"/>
  </w:num>
  <w:num w:numId="24">
    <w:abstractNumId w:val="22"/>
  </w:num>
  <w:num w:numId="25">
    <w:abstractNumId w:val="19"/>
  </w:num>
  <w:num w:numId="26">
    <w:abstractNumId w:val="11"/>
  </w:num>
  <w:num w:numId="27">
    <w:abstractNumId w:val="8"/>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llie Gavin">
    <w15:presenceInfo w15:providerId="Windows Live" w15:userId="76b95a7c3d3d5b03"/>
  </w15:person>
  <w15:person w15:author="Cathy Mihalopoulos">
    <w15:presenceInfo w15:providerId="AD" w15:userId="S-1-5-21-248963057-614103661-3067232799-24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0A0"/>
    <w:rsid w:val="00000790"/>
    <w:rsid w:val="0000110B"/>
    <w:rsid w:val="00001292"/>
    <w:rsid w:val="00001851"/>
    <w:rsid w:val="0000185D"/>
    <w:rsid w:val="00001C30"/>
    <w:rsid w:val="00002FA1"/>
    <w:rsid w:val="00003499"/>
    <w:rsid w:val="00003850"/>
    <w:rsid w:val="00004F9A"/>
    <w:rsid w:val="00005163"/>
    <w:rsid w:val="00005895"/>
    <w:rsid w:val="000063A4"/>
    <w:rsid w:val="00006AF3"/>
    <w:rsid w:val="000074ED"/>
    <w:rsid w:val="000075BA"/>
    <w:rsid w:val="00007C2D"/>
    <w:rsid w:val="00007FEE"/>
    <w:rsid w:val="00011BE4"/>
    <w:rsid w:val="000130CC"/>
    <w:rsid w:val="00013247"/>
    <w:rsid w:val="0001381D"/>
    <w:rsid w:val="00014F94"/>
    <w:rsid w:val="00015886"/>
    <w:rsid w:val="000162EF"/>
    <w:rsid w:val="00017345"/>
    <w:rsid w:val="00020B55"/>
    <w:rsid w:val="00020F53"/>
    <w:rsid w:val="000211C4"/>
    <w:rsid w:val="000215FD"/>
    <w:rsid w:val="00021A98"/>
    <w:rsid w:val="0002225F"/>
    <w:rsid w:val="000227AC"/>
    <w:rsid w:val="000230FA"/>
    <w:rsid w:val="000232A4"/>
    <w:rsid w:val="00023763"/>
    <w:rsid w:val="00024641"/>
    <w:rsid w:val="0002630F"/>
    <w:rsid w:val="00027827"/>
    <w:rsid w:val="00027E4C"/>
    <w:rsid w:val="00032288"/>
    <w:rsid w:val="00032CE1"/>
    <w:rsid w:val="000342B7"/>
    <w:rsid w:val="00034AF8"/>
    <w:rsid w:val="000360E1"/>
    <w:rsid w:val="00036CB4"/>
    <w:rsid w:val="00037285"/>
    <w:rsid w:val="00040895"/>
    <w:rsid w:val="00040CF1"/>
    <w:rsid w:val="00041601"/>
    <w:rsid w:val="000428D7"/>
    <w:rsid w:val="00043262"/>
    <w:rsid w:val="000439A6"/>
    <w:rsid w:val="00043C37"/>
    <w:rsid w:val="0004436F"/>
    <w:rsid w:val="00045B56"/>
    <w:rsid w:val="00047321"/>
    <w:rsid w:val="00047B22"/>
    <w:rsid w:val="0005074A"/>
    <w:rsid w:val="00052247"/>
    <w:rsid w:val="000524D1"/>
    <w:rsid w:val="000524F3"/>
    <w:rsid w:val="000525F0"/>
    <w:rsid w:val="000546D7"/>
    <w:rsid w:val="00054AE3"/>
    <w:rsid w:val="000555C3"/>
    <w:rsid w:val="00055B76"/>
    <w:rsid w:val="00056802"/>
    <w:rsid w:val="00056F5F"/>
    <w:rsid w:val="0005755E"/>
    <w:rsid w:val="00057649"/>
    <w:rsid w:val="00057B39"/>
    <w:rsid w:val="0006046B"/>
    <w:rsid w:val="000612CA"/>
    <w:rsid w:val="00063422"/>
    <w:rsid w:val="00063ED2"/>
    <w:rsid w:val="00064845"/>
    <w:rsid w:val="00064F6A"/>
    <w:rsid w:val="000710CC"/>
    <w:rsid w:val="000711A5"/>
    <w:rsid w:val="00071248"/>
    <w:rsid w:val="000715C7"/>
    <w:rsid w:val="00071988"/>
    <w:rsid w:val="0007202F"/>
    <w:rsid w:val="000720B9"/>
    <w:rsid w:val="00072B44"/>
    <w:rsid w:val="000736DD"/>
    <w:rsid w:val="00074585"/>
    <w:rsid w:val="00074B38"/>
    <w:rsid w:val="000764C3"/>
    <w:rsid w:val="000774C2"/>
    <w:rsid w:val="00077C5D"/>
    <w:rsid w:val="000812CA"/>
    <w:rsid w:val="00082681"/>
    <w:rsid w:val="0008378D"/>
    <w:rsid w:val="000845C3"/>
    <w:rsid w:val="00086B51"/>
    <w:rsid w:val="000908B6"/>
    <w:rsid w:val="00090C7E"/>
    <w:rsid w:val="00090D4F"/>
    <w:rsid w:val="00091308"/>
    <w:rsid w:val="00091E64"/>
    <w:rsid w:val="000932CB"/>
    <w:rsid w:val="00093E5E"/>
    <w:rsid w:val="000957A8"/>
    <w:rsid w:val="000979D1"/>
    <w:rsid w:val="000A0DFF"/>
    <w:rsid w:val="000A0FC3"/>
    <w:rsid w:val="000A3A04"/>
    <w:rsid w:val="000A417D"/>
    <w:rsid w:val="000A7AA1"/>
    <w:rsid w:val="000A7E78"/>
    <w:rsid w:val="000B00BC"/>
    <w:rsid w:val="000B01BF"/>
    <w:rsid w:val="000B07B9"/>
    <w:rsid w:val="000B373F"/>
    <w:rsid w:val="000B381F"/>
    <w:rsid w:val="000B3869"/>
    <w:rsid w:val="000B3E10"/>
    <w:rsid w:val="000B3FFD"/>
    <w:rsid w:val="000B4B14"/>
    <w:rsid w:val="000B4CA5"/>
    <w:rsid w:val="000B528C"/>
    <w:rsid w:val="000B6853"/>
    <w:rsid w:val="000B6EC2"/>
    <w:rsid w:val="000B751D"/>
    <w:rsid w:val="000B7B15"/>
    <w:rsid w:val="000C0185"/>
    <w:rsid w:val="000C4F98"/>
    <w:rsid w:val="000C52C7"/>
    <w:rsid w:val="000C5B82"/>
    <w:rsid w:val="000C67E5"/>
    <w:rsid w:val="000C7F67"/>
    <w:rsid w:val="000D089A"/>
    <w:rsid w:val="000D1199"/>
    <w:rsid w:val="000D11B2"/>
    <w:rsid w:val="000D12A4"/>
    <w:rsid w:val="000D1387"/>
    <w:rsid w:val="000D1BFC"/>
    <w:rsid w:val="000D1C7A"/>
    <w:rsid w:val="000D23D2"/>
    <w:rsid w:val="000D23D8"/>
    <w:rsid w:val="000D2892"/>
    <w:rsid w:val="000D2D5C"/>
    <w:rsid w:val="000D4513"/>
    <w:rsid w:val="000D46BB"/>
    <w:rsid w:val="000D4C57"/>
    <w:rsid w:val="000D4FA4"/>
    <w:rsid w:val="000D5FA4"/>
    <w:rsid w:val="000D6D03"/>
    <w:rsid w:val="000E01E7"/>
    <w:rsid w:val="000E054C"/>
    <w:rsid w:val="000E09DA"/>
    <w:rsid w:val="000E2576"/>
    <w:rsid w:val="000E2B09"/>
    <w:rsid w:val="000E4987"/>
    <w:rsid w:val="000E4A75"/>
    <w:rsid w:val="000E4DC8"/>
    <w:rsid w:val="000E5826"/>
    <w:rsid w:val="000E61D1"/>
    <w:rsid w:val="000E6232"/>
    <w:rsid w:val="000F1C4C"/>
    <w:rsid w:val="000F2470"/>
    <w:rsid w:val="000F3099"/>
    <w:rsid w:val="000F4BB8"/>
    <w:rsid w:val="000F4E19"/>
    <w:rsid w:val="000F555A"/>
    <w:rsid w:val="000F7127"/>
    <w:rsid w:val="000F774C"/>
    <w:rsid w:val="00100F8A"/>
    <w:rsid w:val="001010C4"/>
    <w:rsid w:val="00102D8F"/>
    <w:rsid w:val="00102ECD"/>
    <w:rsid w:val="00103187"/>
    <w:rsid w:val="00103E38"/>
    <w:rsid w:val="00103FEB"/>
    <w:rsid w:val="00105867"/>
    <w:rsid w:val="00106FC5"/>
    <w:rsid w:val="00107A0C"/>
    <w:rsid w:val="00107D33"/>
    <w:rsid w:val="0011032E"/>
    <w:rsid w:val="0011138A"/>
    <w:rsid w:val="001131F4"/>
    <w:rsid w:val="0011348B"/>
    <w:rsid w:val="00114184"/>
    <w:rsid w:val="0011594F"/>
    <w:rsid w:val="00115AFA"/>
    <w:rsid w:val="001178CD"/>
    <w:rsid w:val="00120D41"/>
    <w:rsid w:val="001215A6"/>
    <w:rsid w:val="00121799"/>
    <w:rsid w:val="00122142"/>
    <w:rsid w:val="001222FC"/>
    <w:rsid w:val="00122927"/>
    <w:rsid w:val="00123DF5"/>
    <w:rsid w:val="0012480B"/>
    <w:rsid w:val="00124A51"/>
    <w:rsid w:val="001259E3"/>
    <w:rsid w:val="00126621"/>
    <w:rsid w:val="001267B9"/>
    <w:rsid w:val="00126842"/>
    <w:rsid w:val="00126A39"/>
    <w:rsid w:val="001301E9"/>
    <w:rsid w:val="00130304"/>
    <w:rsid w:val="00132372"/>
    <w:rsid w:val="00133020"/>
    <w:rsid w:val="0013442F"/>
    <w:rsid w:val="0013563A"/>
    <w:rsid w:val="001359C6"/>
    <w:rsid w:val="00136799"/>
    <w:rsid w:val="001372B9"/>
    <w:rsid w:val="00137645"/>
    <w:rsid w:val="001376D0"/>
    <w:rsid w:val="0014015A"/>
    <w:rsid w:val="00140E99"/>
    <w:rsid w:val="00140ED0"/>
    <w:rsid w:val="00141080"/>
    <w:rsid w:val="001418BF"/>
    <w:rsid w:val="00142A8C"/>
    <w:rsid w:val="00142BFC"/>
    <w:rsid w:val="00143617"/>
    <w:rsid w:val="00143941"/>
    <w:rsid w:val="0014406A"/>
    <w:rsid w:val="001448A6"/>
    <w:rsid w:val="00144E49"/>
    <w:rsid w:val="00144FB5"/>
    <w:rsid w:val="00145540"/>
    <w:rsid w:val="001456B0"/>
    <w:rsid w:val="00145CB2"/>
    <w:rsid w:val="001461D8"/>
    <w:rsid w:val="00146A3D"/>
    <w:rsid w:val="001505FF"/>
    <w:rsid w:val="001517DD"/>
    <w:rsid w:val="00152ADD"/>
    <w:rsid w:val="00157130"/>
    <w:rsid w:val="001572A9"/>
    <w:rsid w:val="0016198F"/>
    <w:rsid w:val="00162751"/>
    <w:rsid w:val="00162913"/>
    <w:rsid w:val="00162A35"/>
    <w:rsid w:val="00163AAE"/>
    <w:rsid w:val="00163EFF"/>
    <w:rsid w:val="001640C5"/>
    <w:rsid w:val="0016548C"/>
    <w:rsid w:val="00165581"/>
    <w:rsid w:val="00166000"/>
    <w:rsid w:val="001661FB"/>
    <w:rsid w:val="001727ED"/>
    <w:rsid w:val="00172A43"/>
    <w:rsid w:val="001760B0"/>
    <w:rsid w:val="00177E95"/>
    <w:rsid w:val="0018095F"/>
    <w:rsid w:val="0018150A"/>
    <w:rsid w:val="00181C0A"/>
    <w:rsid w:val="00182AD5"/>
    <w:rsid w:val="00183210"/>
    <w:rsid w:val="0018392E"/>
    <w:rsid w:val="00184C20"/>
    <w:rsid w:val="00185C72"/>
    <w:rsid w:val="00186BBB"/>
    <w:rsid w:val="0018752F"/>
    <w:rsid w:val="0019126D"/>
    <w:rsid w:val="00195222"/>
    <w:rsid w:val="001967BD"/>
    <w:rsid w:val="00197137"/>
    <w:rsid w:val="001971C3"/>
    <w:rsid w:val="001975D8"/>
    <w:rsid w:val="001A0F0B"/>
    <w:rsid w:val="001A35A7"/>
    <w:rsid w:val="001A42B2"/>
    <w:rsid w:val="001A4BFB"/>
    <w:rsid w:val="001A60E7"/>
    <w:rsid w:val="001A6221"/>
    <w:rsid w:val="001A66E0"/>
    <w:rsid w:val="001A6FA0"/>
    <w:rsid w:val="001B2EF4"/>
    <w:rsid w:val="001B3276"/>
    <w:rsid w:val="001B330E"/>
    <w:rsid w:val="001B3443"/>
    <w:rsid w:val="001B35DA"/>
    <w:rsid w:val="001B3E77"/>
    <w:rsid w:val="001B4091"/>
    <w:rsid w:val="001B53AA"/>
    <w:rsid w:val="001B7C68"/>
    <w:rsid w:val="001C13B4"/>
    <w:rsid w:val="001C155B"/>
    <w:rsid w:val="001C1854"/>
    <w:rsid w:val="001C2461"/>
    <w:rsid w:val="001C2578"/>
    <w:rsid w:val="001C50D7"/>
    <w:rsid w:val="001C5D3A"/>
    <w:rsid w:val="001C5FB3"/>
    <w:rsid w:val="001C62B6"/>
    <w:rsid w:val="001C646A"/>
    <w:rsid w:val="001C65DC"/>
    <w:rsid w:val="001C6DF1"/>
    <w:rsid w:val="001C6E66"/>
    <w:rsid w:val="001C7468"/>
    <w:rsid w:val="001C774B"/>
    <w:rsid w:val="001C7D30"/>
    <w:rsid w:val="001D0946"/>
    <w:rsid w:val="001D1483"/>
    <w:rsid w:val="001D29EF"/>
    <w:rsid w:val="001D2F75"/>
    <w:rsid w:val="001D4508"/>
    <w:rsid w:val="001E0647"/>
    <w:rsid w:val="001E0866"/>
    <w:rsid w:val="001E0F2B"/>
    <w:rsid w:val="001E18C0"/>
    <w:rsid w:val="001E238E"/>
    <w:rsid w:val="001E2740"/>
    <w:rsid w:val="001E2B1E"/>
    <w:rsid w:val="001E388C"/>
    <w:rsid w:val="001E3C12"/>
    <w:rsid w:val="001E52EB"/>
    <w:rsid w:val="001E55C9"/>
    <w:rsid w:val="001E6801"/>
    <w:rsid w:val="001E68D2"/>
    <w:rsid w:val="001E740C"/>
    <w:rsid w:val="001E7C2F"/>
    <w:rsid w:val="001F01BA"/>
    <w:rsid w:val="001F0BB5"/>
    <w:rsid w:val="001F1235"/>
    <w:rsid w:val="001F1CB3"/>
    <w:rsid w:val="001F1E04"/>
    <w:rsid w:val="001F3A31"/>
    <w:rsid w:val="001F4B72"/>
    <w:rsid w:val="001F4C66"/>
    <w:rsid w:val="001F5374"/>
    <w:rsid w:val="001F5DD9"/>
    <w:rsid w:val="001F7361"/>
    <w:rsid w:val="001F7818"/>
    <w:rsid w:val="001F7BF1"/>
    <w:rsid w:val="00200144"/>
    <w:rsid w:val="00201591"/>
    <w:rsid w:val="00202987"/>
    <w:rsid w:val="002030E4"/>
    <w:rsid w:val="002031E5"/>
    <w:rsid w:val="0020385F"/>
    <w:rsid w:val="00203EB5"/>
    <w:rsid w:val="00204AA7"/>
    <w:rsid w:val="002050F5"/>
    <w:rsid w:val="002063F5"/>
    <w:rsid w:val="002066A5"/>
    <w:rsid w:val="00206ED9"/>
    <w:rsid w:val="00207021"/>
    <w:rsid w:val="00207474"/>
    <w:rsid w:val="0020754B"/>
    <w:rsid w:val="00207D00"/>
    <w:rsid w:val="002105C1"/>
    <w:rsid w:val="00210815"/>
    <w:rsid w:val="00210CF8"/>
    <w:rsid w:val="00210FE8"/>
    <w:rsid w:val="0021230E"/>
    <w:rsid w:val="002130EE"/>
    <w:rsid w:val="00214041"/>
    <w:rsid w:val="002140CD"/>
    <w:rsid w:val="00216960"/>
    <w:rsid w:val="00216E37"/>
    <w:rsid w:val="0022091B"/>
    <w:rsid w:val="002211A7"/>
    <w:rsid w:val="00221C52"/>
    <w:rsid w:val="00222BED"/>
    <w:rsid w:val="0022302D"/>
    <w:rsid w:val="00223B49"/>
    <w:rsid w:val="00223E95"/>
    <w:rsid w:val="00224999"/>
    <w:rsid w:val="00224DD4"/>
    <w:rsid w:val="00225827"/>
    <w:rsid w:val="002309CC"/>
    <w:rsid w:val="00233665"/>
    <w:rsid w:val="00236D5C"/>
    <w:rsid w:val="00241AD3"/>
    <w:rsid w:val="00241E2D"/>
    <w:rsid w:val="00242561"/>
    <w:rsid w:val="00242676"/>
    <w:rsid w:val="0024310D"/>
    <w:rsid w:val="002454DB"/>
    <w:rsid w:val="002458D5"/>
    <w:rsid w:val="0024632D"/>
    <w:rsid w:val="00246D3C"/>
    <w:rsid w:val="00252B05"/>
    <w:rsid w:val="002541A0"/>
    <w:rsid w:val="00254DCF"/>
    <w:rsid w:val="0025534B"/>
    <w:rsid w:val="002559F0"/>
    <w:rsid w:val="00255BB7"/>
    <w:rsid w:val="002569B1"/>
    <w:rsid w:val="002569F8"/>
    <w:rsid w:val="002571FF"/>
    <w:rsid w:val="00260396"/>
    <w:rsid w:val="0026045E"/>
    <w:rsid w:val="00260540"/>
    <w:rsid w:val="002613E1"/>
    <w:rsid w:val="00262191"/>
    <w:rsid w:val="00262A87"/>
    <w:rsid w:val="0026487A"/>
    <w:rsid w:val="00264AB9"/>
    <w:rsid w:val="002655EE"/>
    <w:rsid w:val="00265676"/>
    <w:rsid w:val="00266ED7"/>
    <w:rsid w:val="00267C3F"/>
    <w:rsid w:val="002706DD"/>
    <w:rsid w:val="00270A4F"/>
    <w:rsid w:val="00271AB2"/>
    <w:rsid w:val="00272193"/>
    <w:rsid w:val="002736E4"/>
    <w:rsid w:val="002739E9"/>
    <w:rsid w:val="00274023"/>
    <w:rsid w:val="002743D1"/>
    <w:rsid w:val="00274CA6"/>
    <w:rsid w:val="00275C5A"/>
    <w:rsid w:val="00275E8B"/>
    <w:rsid w:val="002761D7"/>
    <w:rsid w:val="0027638F"/>
    <w:rsid w:val="00277BC3"/>
    <w:rsid w:val="002808A8"/>
    <w:rsid w:val="00281014"/>
    <w:rsid w:val="0028322D"/>
    <w:rsid w:val="00283C95"/>
    <w:rsid w:val="00284F81"/>
    <w:rsid w:val="00286235"/>
    <w:rsid w:val="002864A1"/>
    <w:rsid w:val="00286CC0"/>
    <w:rsid w:val="00287865"/>
    <w:rsid w:val="00287F4F"/>
    <w:rsid w:val="00290C79"/>
    <w:rsid w:val="002913A7"/>
    <w:rsid w:val="002916B1"/>
    <w:rsid w:val="0029349A"/>
    <w:rsid w:val="00294CE4"/>
    <w:rsid w:val="00294D27"/>
    <w:rsid w:val="00295211"/>
    <w:rsid w:val="00295F9F"/>
    <w:rsid w:val="00296117"/>
    <w:rsid w:val="00296293"/>
    <w:rsid w:val="002968FC"/>
    <w:rsid w:val="002A05C6"/>
    <w:rsid w:val="002A14AB"/>
    <w:rsid w:val="002A2880"/>
    <w:rsid w:val="002A2F99"/>
    <w:rsid w:val="002A4FA1"/>
    <w:rsid w:val="002A5E40"/>
    <w:rsid w:val="002A5E54"/>
    <w:rsid w:val="002A7772"/>
    <w:rsid w:val="002B0508"/>
    <w:rsid w:val="002B0802"/>
    <w:rsid w:val="002B1C1F"/>
    <w:rsid w:val="002B33AE"/>
    <w:rsid w:val="002B432F"/>
    <w:rsid w:val="002B46CB"/>
    <w:rsid w:val="002B5C53"/>
    <w:rsid w:val="002B6465"/>
    <w:rsid w:val="002B69B1"/>
    <w:rsid w:val="002B6CCE"/>
    <w:rsid w:val="002B6EB8"/>
    <w:rsid w:val="002B7513"/>
    <w:rsid w:val="002B7536"/>
    <w:rsid w:val="002B75AB"/>
    <w:rsid w:val="002B7C2E"/>
    <w:rsid w:val="002C1160"/>
    <w:rsid w:val="002C15A8"/>
    <w:rsid w:val="002C2775"/>
    <w:rsid w:val="002C27C1"/>
    <w:rsid w:val="002C3CCD"/>
    <w:rsid w:val="002C4C6C"/>
    <w:rsid w:val="002C504B"/>
    <w:rsid w:val="002C781E"/>
    <w:rsid w:val="002D051D"/>
    <w:rsid w:val="002D0ABC"/>
    <w:rsid w:val="002D0C5B"/>
    <w:rsid w:val="002D11BE"/>
    <w:rsid w:val="002D2DFE"/>
    <w:rsid w:val="002D44A5"/>
    <w:rsid w:val="002D4B64"/>
    <w:rsid w:val="002D6646"/>
    <w:rsid w:val="002D7B0A"/>
    <w:rsid w:val="002E04E6"/>
    <w:rsid w:val="002E2704"/>
    <w:rsid w:val="002E2A5C"/>
    <w:rsid w:val="002E4711"/>
    <w:rsid w:val="002E49BE"/>
    <w:rsid w:val="002E5710"/>
    <w:rsid w:val="002F26A8"/>
    <w:rsid w:val="002F2734"/>
    <w:rsid w:val="002F3E96"/>
    <w:rsid w:val="002F461A"/>
    <w:rsid w:val="002F7F55"/>
    <w:rsid w:val="0030063F"/>
    <w:rsid w:val="00301017"/>
    <w:rsid w:val="00303229"/>
    <w:rsid w:val="00303CD5"/>
    <w:rsid w:val="00303EBB"/>
    <w:rsid w:val="00304AF6"/>
    <w:rsid w:val="0030587D"/>
    <w:rsid w:val="00306C18"/>
    <w:rsid w:val="00306D94"/>
    <w:rsid w:val="00307291"/>
    <w:rsid w:val="00307486"/>
    <w:rsid w:val="0030786C"/>
    <w:rsid w:val="00310319"/>
    <w:rsid w:val="0031031A"/>
    <w:rsid w:val="00310981"/>
    <w:rsid w:val="00311CA0"/>
    <w:rsid w:val="0031331A"/>
    <w:rsid w:val="00313D0D"/>
    <w:rsid w:val="00313E2D"/>
    <w:rsid w:val="00314C9A"/>
    <w:rsid w:val="00315498"/>
    <w:rsid w:val="00315881"/>
    <w:rsid w:val="00316413"/>
    <w:rsid w:val="0031658E"/>
    <w:rsid w:val="00321309"/>
    <w:rsid w:val="0032269A"/>
    <w:rsid w:val="00323375"/>
    <w:rsid w:val="0032499C"/>
    <w:rsid w:val="0032564B"/>
    <w:rsid w:val="003262B3"/>
    <w:rsid w:val="003262FE"/>
    <w:rsid w:val="00326F2F"/>
    <w:rsid w:val="00330273"/>
    <w:rsid w:val="003315A5"/>
    <w:rsid w:val="0033293F"/>
    <w:rsid w:val="00333DE0"/>
    <w:rsid w:val="00334EA2"/>
    <w:rsid w:val="00335096"/>
    <w:rsid w:val="0033573C"/>
    <w:rsid w:val="003359BC"/>
    <w:rsid w:val="00336298"/>
    <w:rsid w:val="003366C9"/>
    <w:rsid w:val="00336C1E"/>
    <w:rsid w:val="003371B0"/>
    <w:rsid w:val="003376DB"/>
    <w:rsid w:val="00337E50"/>
    <w:rsid w:val="0034128F"/>
    <w:rsid w:val="00342C86"/>
    <w:rsid w:val="00343502"/>
    <w:rsid w:val="00344736"/>
    <w:rsid w:val="00344BF9"/>
    <w:rsid w:val="0034580A"/>
    <w:rsid w:val="003467A7"/>
    <w:rsid w:val="00350062"/>
    <w:rsid w:val="0035049B"/>
    <w:rsid w:val="0035109D"/>
    <w:rsid w:val="003517FC"/>
    <w:rsid w:val="003534C6"/>
    <w:rsid w:val="00354CF9"/>
    <w:rsid w:val="00355C2A"/>
    <w:rsid w:val="00355FC2"/>
    <w:rsid w:val="0035620E"/>
    <w:rsid w:val="003610D5"/>
    <w:rsid w:val="0036185C"/>
    <w:rsid w:val="00361FF0"/>
    <w:rsid w:val="0036281D"/>
    <w:rsid w:val="00362A53"/>
    <w:rsid w:val="00365439"/>
    <w:rsid w:val="00366866"/>
    <w:rsid w:val="00366E12"/>
    <w:rsid w:val="003670B4"/>
    <w:rsid w:val="003671D3"/>
    <w:rsid w:val="003672F2"/>
    <w:rsid w:val="00372162"/>
    <w:rsid w:val="0037227E"/>
    <w:rsid w:val="00374A0D"/>
    <w:rsid w:val="003751DC"/>
    <w:rsid w:val="0037532A"/>
    <w:rsid w:val="00376559"/>
    <w:rsid w:val="00376C64"/>
    <w:rsid w:val="00381B2B"/>
    <w:rsid w:val="003835FF"/>
    <w:rsid w:val="0038365C"/>
    <w:rsid w:val="003868D6"/>
    <w:rsid w:val="00387103"/>
    <w:rsid w:val="00387204"/>
    <w:rsid w:val="00387620"/>
    <w:rsid w:val="00390062"/>
    <w:rsid w:val="003907D3"/>
    <w:rsid w:val="00391EA9"/>
    <w:rsid w:val="00393EDF"/>
    <w:rsid w:val="00395F09"/>
    <w:rsid w:val="003965C4"/>
    <w:rsid w:val="00396BD5"/>
    <w:rsid w:val="00396FD0"/>
    <w:rsid w:val="003A0539"/>
    <w:rsid w:val="003A114D"/>
    <w:rsid w:val="003A11AF"/>
    <w:rsid w:val="003A1A7A"/>
    <w:rsid w:val="003A282B"/>
    <w:rsid w:val="003A355A"/>
    <w:rsid w:val="003A3E3C"/>
    <w:rsid w:val="003A3FED"/>
    <w:rsid w:val="003A5CE7"/>
    <w:rsid w:val="003A7908"/>
    <w:rsid w:val="003B081B"/>
    <w:rsid w:val="003B2C45"/>
    <w:rsid w:val="003B3455"/>
    <w:rsid w:val="003B41D0"/>
    <w:rsid w:val="003B4AA2"/>
    <w:rsid w:val="003B526D"/>
    <w:rsid w:val="003B5A37"/>
    <w:rsid w:val="003C0762"/>
    <w:rsid w:val="003C1704"/>
    <w:rsid w:val="003C2095"/>
    <w:rsid w:val="003C2E22"/>
    <w:rsid w:val="003C462E"/>
    <w:rsid w:val="003C6198"/>
    <w:rsid w:val="003C72AE"/>
    <w:rsid w:val="003C797F"/>
    <w:rsid w:val="003D084B"/>
    <w:rsid w:val="003D0FA8"/>
    <w:rsid w:val="003D150E"/>
    <w:rsid w:val="003D1828"/>
    <w:rsid w:val="003D1F3D"/>
    <w:rsid w:val="003D2422"/>
    <w:rsid w:val="003D25DF"/>
    <w:rsid w:val="003D2E57"/>
    <w:rsid w:val="003D32CD"/>
    <w:rsid w:val="003D521D"/>
    <w:rsid w:val="003D547E"/>
    <w:rsid w:val="003D6117"/>
    <w:rsid w:val="003D66AD"/>
    <w:rsid w:val="003E2736"/>
    <w:rsid w:val="003E5587"/>
    <w:rsid w:val="003E6C24"/>
    <w:rsid w:val="003E6D56"/>
    <w:rsid w:val="003E6FA0"/>
    <w:rsid w:val="003F1050"/>
    <w:rsid w:val="003F1ADA"/>
    <w:rsid w:val="003F1D6B"/>
    <w:rsid w:val="003F272D"/>
    <w:rsid w:val="003F2E78"/>
    <w:rsid w:val="003F39BE"/>
    <w:rsid w:val="003F3EC2"/>
    <w:rsid w:val="003F4156"/>
    <w:rsid w:val="003F41FD"/>
    <w:rsid w:val="003F42BF"/>
    <w:rsid w:val="003F4A47"/>
    <w:rsid w:val="003F58DE"/>
    <w:rsid w:val="003F6093"/>
    <w:rsid w:val="00401106"/>
    <w:rsid w:val="00401AF3"/>
    <w:rsid w:val="00401E7E"/>
    <w:rsid w:val="004023F5"/>
    <w:rsid w:val="0040251E"/>
    <w:rsid w:val="00402608"/>
    <w:rsid w:val="00403310"/>
    <w:rsid w:val="00403D19"/>
    <w:rsid w:val="00404FAF"/>
    <w:rsid w:val="00405304"/>
    <w:rsid w:val="00406681"/>
    <w:rsid w:val="00406CC6"/>
    <w:rsid w:val="00406E32"/>
    <w:rsid w:val="00407827"/>
    <w:rsid w:val="00410708"/>
    <w:rsid w:val="00410EC7"/>
    <w:rsid w:val="00411C9E"/>
    <w:rsid w:val="00413660"/>
    <w:rsid w:val="00413A1E"/>
    <w:rsid w:val="00414476"/>
    <w:rsid w:val="0041544B"/>
    <w:rsid w:val="00417009"/>
    <w:rsid w:val="004172A1"/>
    <w:rsid w:val="00420139"/>
    <w:rsid w:val="004202D1"/>
    <w:rsid w:val="004209F2"/>
    <w:rsid w:val="00420B9F"/>
    <w:rsid w:val="00420DB7"/>
    <w:rsid w:val="004216E9"/>
    <w:rsid w:val="00421739"/>
    <w:rsid w:val="00423DF0"/>
    <w:rsid w:val="004252A3"/>
    <w:rsid w:val="00425CA5"/>
    <w:rsid w:val="00426130"/>
    <w:rsid w:val="00427A24"/>
    <w:rsid w:val="0043017A"/>
    <w:rsid w:val="0043033D"/>
    <w:rsid w:val="00430736"/>
    <w:rsid w:val="00431366"/>
    <w:rsid w:val="0043143A"/>
    <w:rsid w:val="00431558"/>
    <w:rsid w:val="004316D8"/>
    <w:rsid w:val="004319F8"/>
    <w:rsid w:val="00433044"/>
    <w:rsid w:val="0043389E"/>
    <w:rsid w:val="004340B1"/>
    <w:rsid w:val="00435690"/>
    <w:rsid w:val="00436FDC"/>
    <w:rsid w:val="00437F2F"/>
    <w:rsid w:val="00441785"/>
    <w:rsid w:val="00441C17"/>
    <w:rsid w:val="00443440"/>
    <w:rsid w:val="00443F24"/>
    <w:rsid w:val="004443A7"/>
    <w:rsid w:val="004444FB"/>
    <w:rsid w:val="00444763"/>
    <w:rsid w:val="0044630F"/>
    <w:rsid w:val="004464EB"/>
    <w:rsid w:val="004465D1"/>
    <w:rsid w:val="00446616"/>
    <w:rsid w:val="00446E49"/>
    <w:rsid w:val="00446F8F"/>
    <w:rsid w:val="0044786D"/>
    <w:rsid w:val="004479C4"/>
    <w:rsid w:val="00447A0C"/>
    <w:rsid w:val="00450BAB"/>
    <w:rsid w:val="00452D38"/>
    <w:rsid w:val="00453004"/>
    <w:rsid w:val="0045380A"/>
    <w:rsid w:val="0045449F"/>
    <w:rsid w:val="0045480A"/>
    <w:rsid w:val="00455D45"/>
    <w:rsid w:val="0045653C"/>
    <w:rsid w:val="00457396"/>
    <w:rsid w:val="004576F6"/>
    <w:rsid w:val="00460BD0"/>
    <w:rsid w:val="00461B49"/>
    <w:rsid w:val="00462FAE"/>
    <w:rsid w:val="00464283"/>
    <w:rsid w:val="00464595"/>
    <w:rsid w:val="00464DD8"/>
    <w:rsid w:val="00465A11"/>
    <w:rsid w:val="00465D7A"/>
    <w:rsid w:val="00465F02"/>
    <w:rsid w:val="00465FC1"/>
    <w:rsid w:val="004661D3"/>
    <w:rsid w:val="00466291"/>
    <w:rsid w:val="00466744"/>
    <w:rsid w:val="0046686B"/>
    <w:rsid w:val="004707D8"/>
    <w:rsid w:val="0047187F"/>
    <w:rsid w:val="00472609"/>
    <w:rsid w:val="00472D93"/>
    <w:rsid w:val="004763DB"/>
    <w:rsid w:val="0047655B"/>
    <w:rsid w:val="00476915"/>
    <w:rsid w:val="004770E8"/>
    <w:rsid w:val="004803C9"/>
    <w:rsid w:val="0048052D"/>
    <w:rsid w:val="00480A75"/>
    <w:rsid w:val="00480ABA"/>
    <w:rsid w:val="004825F0"/>
    <w:rsid w:val="0048317D"/>
    <w:rsid w:val="00483D0C"/>
    <w:rsid w:val="0048432C"/>
    <w:rsid w:val="00485F62"/>
    <w:rsid w:val="004867E2"/>
    <w:rsid w:val="0048725B"/>
    <w:rsid w:val="00491B3A"/>
    <w:rsid w:val="00492CFD"/>
    <w:rsid w:val="00494327"/>
    <w:rsid w:val="0049558F"/>
    <w:rsid w:val="00496144"/>
    <w:rsid w:val="004962D2"/>
    <w:rsid w:val="004964A3"/>
    <w:rsid w:val="004A0942"/>
    <w:rsid w:val="004A0DA1"/>
    <w:rsid w:val="004A1489"/>
    <w:rsid w:val="004A1954"/>
    <w:rsid w:val="004A41C3"/>
    <w:rsid w:val="004A509E"/>
    <w:rsid w:val="004A5788"/>
    <w:rsid w:val="004A582F"/>
    <w:rsid w:val="004A59D5"/>
    <w:rsid w:val="004A6597"/>
    <w:rsid w:val="004A71BA"/>
    <w:rsid w:val="004A7518"/>
    <w:rsid w:val="004A782A"/>
    <w:rsid w:val="004A79C7"/>
    <w:rsid w:val="004B0350"/>
    <w:rsid w:val="004B12D8"/>
    <w:rsid w:val="004B1CB4"/>
    <w:rsid w:val="004B278C"/>
    <w:rsid w:val="004B2F18"/>
    <w:rsid w:val="004B38F0"/>
    <w:rsid w:val="004B3DDB"/>
    <w:rsid w:val="004B44FD"/>
    <w:rsid w:val="004B548C"/>
    <w:rsid w:val="004B5963"/>
    <w:rsid w:val="004B5CFC"/>
    <w:rsid w:val="004B76AF"/>
    <w:rsid w:val="004C001D"/>
    <w:rsid w:val="004C0B4F"/>
    <w:rsid w:val="004C0D91"/>
    <w:rsid w:val="004C1EC4"/>
    <w:rsid w:val="004C23A7"/>
    <w:rsid w:val="004C264B"/>
    <w:rsid w:val="004C2CAC"/>
    <w:rsid w:val="004C415F"/>
    <w:rsid w:val="004C4A31"/>
    <w:rsid w:val="004C4AED"/>
    <w:rsid w:val="004C4CE7"/>
    <w:rsid w:val="004C5CC7"/>
    <w:rsid w:val="004C5F8F"/>
    <w:rsid w:val="004C6581"/>
    <w:rsid w:val="004C6C96"/>
    <w:rsid w:val="004C6F66"/>
    <w:rsid w:val="004C7BEC"/>
    <w:rsid w:val="004D0D5D"/>
    <w:rsid w:val="004D1D36"/>
    <w:rsid w:val="004D29DA"/>
    <w:rsid w:val="004D5DF9"/>
    <w:rsid w:val="004D6803"/>
    <w:rsid w:val="004D6BF9"/>
    <w:rsid w:val="004D709D"/>
    <w:rsid w:val="004E0349"/>
    <w:rsid w:val="004E0EB8"/>
    <w:rsid w:val="004E10B2"/>
    <w:rsid w:val="004E262B"/>
    <w:rsid w:val="004E2ADC"/>
    <w:rsid w:val="004E43B2"/>
    <w:rsid w:val="004E566A"/>
    <w:rsid w:val="004E70A8"/>
    <w:rsid w:val="004E7DA3"/>
    <w:rsid w:val="004F0085"/>
    <w:rsid w:val="004F03DC"/>
    <w:rsid w:val="004F0821"/>
    <w:rsid w:val="004F0C18"/>
    <w:rsid w:val="004F1D02"/>
    <w:rsid w:val="004F2679"/>
    <w:rsid w:val="004F35A2"/>
    <w:rsid w:val="004F37EB"/>
    <w:rsid w:val="004F3FFC"/>
    <w:rsid w:val="004F416B"/>
    <w:rsid w:val="004F6450"/>
    <w:rsid w:val="004F7865"/>
    <w:rsid w:val="004F7E37"/>
    <w:rsid w:val="0050137F"/>
    <w:rsid w:val="00503060"/>
    <w:rsid w:val="005041C6"/>
    <w:rsid w:val="0050446B"/>
    <w:rsid w:val="00504567"/>
    <w:rsid w:val="00504757"/>
    <w:rsid w:val="005047B8"/>
    <w:rsid w:val="00504E37"/>
    <w:rsid w:val="00505422"/>
    <w:rsid w:val="00505553"/>
    <w:rsid w:val="005064BE"/>
    <w:rsid w:val="00506928"/>
    <w:rsid w:val="00507E73"/>
    <w:rsid w:val="005110A4"/>
    <w:rsid w:val="005124FA"/>
    <w:rsid w:val="005145A7"/>
    <w:rsid w:val="005151F9"/>
    <w:rsid w:val="005152B5"/>
    <w:rsid w:val="00515F34"/>
    <w:rsid w:val="005169C2"/>
    <w:rsid w:val="0052056D"/>
    <w:rsid w:val="00521319"/>
    <w:rsid w:val="00521A34"/>
    <w:rsid w:val="00521D9E"/>
    <w:rsid w:val="005226DA"/>
    <w:rsid w:val="00523C28"/>
    <w:rsid w:val="005245A2"/>
    <w:rsid w:val="0052584C"/>
    <w:rsid w:val="00527163"/>
    <w:rsid w:val="005312CD"/>
    <w:rsid w:val="00531386"/>
    <w:rsid w:val="00531D08"/>
    <w:rsid w:val="00532848"/>
    <w:rsid w:val="00532949"/>
    <w:rsid w:val="00532DD8"/>
    <w:rsid w:val="00535EDF"/>
    <w:rsid w:val="0053750B"/>
    <w:rsid w:val="00537629"/>
    <w:rsid w:val="005400FB"/>
    <w:rsid w:val="005411D5"/>
    <w:rsid w:val="00541331"/>
    <w:rsid w:val="005415D0"/>
    <w:rsid w:val="00541C92"/>
    <w:rsid w:val="0054429A"/>
    <w:rsid w:val="00544BDC"/>
    <w:rsid w:val="00544CDA"/>
    <w:rsid w:val="00545C84"/>
    <w:rsid w:val="00545FF2"/>
    <w:rsid w:val="005465A4"/>
    <w:rsid w:val="0054781B"/>
    <w:rsid w:val="0054786F"/>
    <w:rsid w:val="0055054E"/>
    <w:rsid w:val="00550595"/>
    <w:rsid w:val="00552BD3"/>
    <w:rsid w:val="00552E31"/>
    <w:rsid w:val="00553475"/>
    <w:rsid w:val="00554802"/>
    <w:rsid w:val="00555109"/>
    <w:rsid w:val="00555216"/>
    <w:rsid w:val="00555860"/>
    <w:rsid w:val="00555AE8"/>
    <w:rsid w:val="00556E96"/>
    <w:rsid w:val="00557E98"/>
    <w:rsid w:val="005601AD"/>
    <w:rsid w:val="005618FE"/>
    <w:rsid w:val="00561DAA"/>
    <w:rsid w:val="00562394"/>
    <w:rsid w:val="00563010"/>
    <w:rsid w:val="0056399F"/>
    <w:rsid w:val="00564157"/>
    <w:rsid w:val="005642B6"/>
    <w:rsid w:val="00564493"/>
    <w:rsid w:val="00565218"/>
    <w:rsid w:val="0056696F"/>
    <w:rsid w:val="00567133"/>
    <w:rsid w:val="00567BF8"/>
    <w:rsid w:val="00570BF3"/>
    <w:rsid w:val="005713FC"/>
    <w:rsid w:val="00573CB7"/>
    <w:rsid w:val="00574605"/>
    <w:rsid w:val="005751A8"/>
    <w:rsid w:val="00575D8D"/>
    <w:rsid w:val="00576045"/>
    <w:rsid w:val="00576972"/>
    <w:rsid w:val="00577D73"/>
    <w:rsid w:val="00580211"/>
    <w:rsid w:val="00580315"/>
    <w:rsid w:val="00581DB6"/>
    <w:rsid w:val="00583699"/>
    <w:rsid w:val="00583763"/>
    <w:rsid w:val="00586605"/>
    <w:rsid w:val="00586CCB"/>
    <w:rsid w:val="00587BB9"/>
    <w:rsid w:val="00587F25"/>
    <w:rsid w:val="00590D2C"/>
    <w:rsid w:val="00591075"/>
    <w:rsid w:val="00592AB8"/>
    <w:rsid w:val="00594422"/>
    <w:rsid w:val="00594A1E"/>
    <w:rsid w:val="00594BF6"/>
    <w:rsid w:val="00594CA0"/>
    <w:rsid w:val="00594D31"/>
    <w:rsid w:val="00595E1C"/>
    <w:rsid w:val="00597470"/>
    <w:rsid w:val="005A2519"/>
    <w:rsid w:val="005A25C2"/>
    <w:rsid w:val="005A3730"/>
    <w:rsid w:val="005B11B5"/>
    <w:rsid w:val="005B1357"/>
    <w:rsid w:val="005B1846"/>
    <w:rsid w:val="005B2169"/>
    <w:rsid w:val="005B35F5"/>
    <w:rsid w:val="005B4A16"/>
    <w:rsid w:val="005B5857"/>
    <w:rsid w:val="005B61DA"/>
    <w:rsid w:val="005B67A3"/>
    <w:rsid w:val="005B7257"/>
    <w:rsid w:val="005C0F04"/>
    <w:rsid w:val="005C1502"/>
    <w:rsid w:val="005C1981"/>
    <w:rsid w:val="005C1B83"/>
    <w:rsid w:val="005C25B1"/>
    <w:rsid w:val="005C2AE2"/>
    <w:rsid w:val="005C2E20"/>
    <w:rsid w:val="005C3195"/>
    <w:rsid w:val="005C346B"/>
    <w:rsid w:val="005C353D"/>
    <w:rsid w:val="005C5555"/>
    <w:rsid w:val="005C58E5"/>
    <w:rsid w:val="005C5EE7"/>
    <w:rsid w:val="005C6022"/>
    <w:rsid w:val="005C653C"/>
    <w:rsid w:val="005C6762"/>
    <w:rsid w:val="005C708F"/>
    <w:rsid w:val="005D044D"/>
    <w:rsid w:val="005D05C1"/>
    <w:rsid w:val="005D137F"/>
    <w:rsid w:val="005D18AD"/>
    <w:rsid w:val="005D23E0"/>
    <w:rsid w:val="005D27B4"/>
    <w:rsid w:val="005D43EA"/>
    <w:rsid w:val="005D5721"/>
    <w:rsid w:val="005D5A08"/>
    <w:rsid w:val="005D6561"/>
    <w:rsid w:val="005D69FE"/>
    <w:rsid w:val="005D6D7D"/>
    <w:rsid w:val="005D7094"/>
    <w:rsid w:val="005E0B57"/>
    <w:rsid w:val="005E2316"/>
    <w:rsid w:val="005E249D"/>
    <w:rsid w:val="005E2C8E"/>
    <w:rsid w:val="005E3558"/>
    <w:rsid w:val="005E3563"/>
    <w:rsid w:val="005E4565"/>
    <w:rsid w:val="005E47D9"/>
    <w:rsid w:val="005E5404"/>
    <w:rsid w:val="005E6656"/>
    <w:rsid w:val="005E68B7"/>
    <w:rsid w:val="005E73C0"/>
    <w:rsid w:val="005E7519"/>
    <w:rsid w:val="005F004C"/>
    <w:rsid w:val="005F1E88"/>
    <w:rsid w:val="005F1F86"/>
    <w:rsid w:val="005F234A"/>
    <w:rsid w:val="005F2706"/>
    <w:rsid w:val="005F275D"/>
    <w:rsid w:val="005F2A96"/>
    <w:rsid w:val="005F2C03"/>
    <w:rsid w:val="005F2C43"/>
    <w:rsid w:val="005F30D7"/>
    <w:rsid w:val="005F4948"/>
    <w:rsid w:val="005F6475"/>
    <w:rsid w:val="005F65AA"/>
    <w:rsid w:val="005F6A8F"/>
    <w:rsid w:val="00600DC9"/>
    <w:rsid w:val="00602AF8"/>
    <w:rsid w:val="006039D3"/>
    <w:rsid w:val="00604210"/>
    <w:rsid w:val="006048A7"/>
    <w:rsid w:val="00606101"/>
    <w:rsid w:val="0060622F"/>
    <w:rsid w:val="00607102"/>
    <w:rsid w:val="00607669"/>
    <w:rsid w:val="00610194"/>
    <w:rsid w:val="00610C8D"/>
    <w:rsid w:val="00611943"/>
    <w:rsid w:val="0061247F"/>
    <w:rsid w:val="00612F97"/>
    <w:rsid w:val="0061363B"/>
    <w:rsid w:val="00613852"/>
    <w:rsid w:val="00613CA9"/>
    <w:rsid w:val="00614400"/>
    <w:rsid w:val="0061501B"/>
    <w:rsid w:val="006159B1"/>
    <w:rsid w:val="00616049"/>
    <w:rsid w:val="00616802"/>
    <w:rsid w:val="006176BB"/>
    <w:rsid w:val="00617E12"/>
    <w:rsid w:val="0062079F"/>
    <w:rsid w:val="00620AAC"/>
    <w:rsid w:val="00620F83"/>
    <w:rsid w:val="00621180"/>
    <w:rsid w:val="00621477"/>
    <w:rsid w:val="00622D34"/>
    <w:rsid w:val="006236B1"/>
    <w:rsid w:val="006239D6"/>
    <w:rsid w:val="00623DFA"/>
    <w:rsid w:val="00623EE9"/>
    <w:rsid w:val="006243E9"/>
    <w:rsid w:val="006254BE"/>
    <w:rsid w:val="006261A1"/>
    <w:rsid w:val="0062783D"/>
    <w:rsid w:val="00630091"/>
    <w:rsid w:val="006301F0"/>
    <w:rsid w:val="00630B4F"/>
    <w:rsid w:val="00631D6B"/>
    <w:rsid w:val="006332FE"/>
    <w:rsid w:val="0063479F"/>
    <w:rsid w:val="0063552C"/>
    <w:rsid w:val="006361B0"/>
    <w:rsid w:val="006364A1"/>
    <w:rsid w:val="00637BFD"/>
    <w:rsid w:val="006400BA"/>
    <w:rsid w:val="00640CC6"/>
    <w:rsid w:val="006419A6"/>
    <w:rsid w:val="00641DDB"/>
    <w:rsid w:val="00641F68"/>
    <w:rsid w:val="00642BB1"/>
    <w:rsid w:val="0064309F"/>
    <w:rsid w:val="00643604"/>
    <w:rsid w:val="00643FCE"/>
    <w:rsid w:val="00644019"/>
    <w:rsid w:val="00644116"/>
    <w:rsid w:val="006450B1"/>
    <w:rsid w:val="0064661A"/>
    <w:rsid w:val="0064674B"/>
    <w:rsid w:val="006471CC"/>
    <w:rsid w:val="00647A83"/>
    <w:rsid w:val="0065079F"/>
    <w:rsid w:val="00650821"/>
    <w:rsid w:val="006508D0"/>
    <w:rsid w:val="00650CE3"/>
    <w:rsid w:val="006512CA"/>
    <w:rsid w:val="00651D75"/>
    <w:rsid w:val="00654CD8"/>
    <w:rsid w:val="00655D88"/>
    <w:rsid w:val="0065600E"/>
    <w:rsid w:val="0066171A"/>
    <w:rsid w:val="0066282F"/>
    <w:rsid w:val="00662C37"/>
    <w:rsid w:val="006650DD"/>
    <w:rsid w:val="00665B49"/>
    <w:rsid w:val="00665C7E"/>
    <w:rsid w:val="006700B3"/>
    <w:rsid w:val="0067180D"/>
    <w:rsid w:val="00671C8D"/>
    <w:rsid w:val="006728E5"/>
    <w:rsid w:val="00672AA9"/>
    <w:rsid w:val="0067441C"/>
    <w:rsid w:val="00674E42"/>
    <w:rsid w:val="00677019"/>
    <w:rsid w:val="0067709E"/>
    <w:rsid w:val="00677963"/>
    <w:rsid w:val="00681073"/>
    <w:rsid w:val="0068107F"/>
    <w:rsid w:val="00682112"/>
    <w:rsid w:val="006838B6"/>
    <w:rsid w:val="006840F6"/>
    <w:rsid w:val="006841AF"/>
    <w:rsid w:val="00684C1D"/>
    <w:rsid w:val="00685788"/>
    <w:rsid w:val="006860B5"/>
    <w:rsid w:val="00686524"/>
    <w:rsid w:val="006872BA"/>
    <w:rsid w:val="00687587"/>
    <w:rsid w:val="00691674"/>
    <w:rsid w:val="006917D7"/>
    <w:rsid w:val="00691C34"/>
    <w:rsid w:val="00693270"/>
    <w:rsid w:val="00694466"/>
    <w:rsid w:val="00694F44"/>
    <w:rsid w:val="006967E6"/>
    <w:rsid w:val="00697571"/>
    <w:rsid w:val="006A00F8"/>
    <w:rsid w:val="006A0167"/>
    <w:rsid w:val="006A01EF"/>
    <w:rsid w:val="006A0C7D"/>
    <w:rsid w:val="006A1BE3"/>
    <w:rsid w:val="006A3F26"/>
    <w:rsid w:val="006A439B"/>
    <w:rsid w:val="006A5D36"/>
    <w:rsid w:val="006A65A3"/>
    <w:rsid w:val="006A6A03"/>
    <w:rsid w:val="006A6F35"/>
    <w:rsid w:val="006A76BD"/>
    <w:rsid w:val="006A7DA7"/>
    <w:rsid w:val="006B05D8"/>
    <w:rsid w:val="006B2C14"/>
    <w:rsid w:val="006B3A57"/>
    <w:rsid w:val="006B3C84"/>
    <w:rsid w:val="006B5016"/>
    <w:rsid w:val="006B527B"/>
    <w:rsid w:val="006B5CC7"/>
    <w:rsid w:val="006B77EE"/>
    <w:rsid w:val="006C0001"/>
    <w:rsid w:val="006C08ED"/>
    <w:rsid w:val="006C1809"/>
    <w:rsid w:val="006C25C1"/>
    <w:rsid w:val="006C261A"/>
    <w:rsid w:val="006C2794"/>
    <w:rsid w:val="006C2A8E"/>
    <w:rsid w:val="006C4B3E"/>
    <w:rsid w:val="006C7A11"/>
    <w:rsid w:val="006C7F70"/>
    <w:rsid w:val="006D220C"/>
    <w:rsid w:val="006D2512"/>
    <w:rsid w:val="006D30FC"/>
    <w:rsid w:val="006D328C"/>
    <w:rsid w:val="006D3C0C"/>
    <w:rsid w:val="006D3C7D"/>
    <w:rsid w:val="006D4CA5"/>
    <w:rsid w:val="006D4E40"/>
    <w:rsid w:val="006D5D5F"/>
    <w:rsid w:val="006E2F09"/>
    <w:rsid w:val="006E3081"/>
    <w:rsid w:val="006E3FAB"/>
    <w:rsid w:val="006E6308"/>
    <w:rsid w:val="006E67FC"/>
    <w:rsid w:val="006E7579"/>
    <w:rsid w:val="006F072A"/>
    <w:rsid w:val="006F0FF4"/>
    <w:rsid w:val="006F15BF"/>
    <w:rsid w:val="006F1AD5"/>
    <w:rsid w:val="006F2159"/>
    <w:rsid w:val="006F2496"/>
    <w:rsid w:val="006F28A9"/>
    <w:rsid w:val="006F2AD2"/>
    <w:rsid w:val="006F4847"/>
    <w:rsid w:val="006F586C"/>
    <w:rsid w:val="006F59A2"/>
    <w:rsid w:val="006F5A76"/>
    <w:rsid w:val="006F63A5"/>
    <w:rsid w:val="006F6A73"/>
    <w:rsid w:val="006F7750"/>
    <w:rsid w:val="007010EF"/>
    <w:rsid w:val="007015D4"/>
    <w:rsid w:val="0070164E"/>
    <w:rsid w:val="0070276E"/>
    <w:rsid w:val="00702F8F"/>
    <w:rsid w:val="007043E8"/>
    <w:rsid w:val="0070442D"/>
    <w:rsid w:val="00705BCF"/>
    <w:rsid w:val="007067D7"/>
    <w:rsid w:val="007076F1"/>
    <w:rsid w:val="00710675"/>
    <w:rsid w:val="00710AE4"/>
    <w:rsid w:val="00710D42"/>
    <w:rsid w:val="00711A36"/>
    <w:rsid w:val="00711AB0"/>
    <w:rsid w:val="00713B4A"/>
    <w:rsid w:val="00713F0B"/>
    <w:rsid w:val="007154B8"/>
    <w:rsid w:val="007172AD"/>
    <w:rsid w:val="00720707"/>
    <w:rsid w:val="007208B3"/>
    <w:rsid w:val="0072185E"/>
    <w:rsid w:val="0072236F"/>
    <w:rsid w:val="0072383C"/>
    <w:rsid w:val="007240FF"/>
    <w:rsid w:val="0072416F"/>
    <w:rsid w:val="007246AC"/>
    <w:rsid w:val="0072739D"/>
    <w:rsid w:val="00727BA1"/>
    <w:rsid w:val="0073326D"/>
    <w:rsid w:val="007348D3"/>
    <w:rsid w:val="00735328"/>
    <w:rsid w:val="0073685B"/>
    <w:rsid w:val="007368DA"/>
    <w:rsid w:val="00736B82"/>
    <w:rsid w:val="00737B20"/>
    <w:rsid w:val="00737FB4"/>
    <w:rsid w:val="00741DE1"/>
    <w:rsid w:val="00742858"/>
    <w:rsid w:val="00743ED9"/>
    <w:rsid w:val="0074551D"/>
    <w:rsid w:val="00745832"/>
    <w:rsid w:val="00746B49"/>
    <w:rsid w:val="00747A4D"/>
    <w:rsid w:val="007500FA"/>
    <w:rsid w:val="0075034D"/>
    <w:rsid w:val="00750607"/>
    <w:rsid w:val="007506D8"/>
    <w:rsid w:val="00750FC7"/>
    <w:rsid w:val="00751ADC"/>
    <w:rsid w:val="007520DB"/>
    <w:rsid w:val="007544BA"/>
    <w:rsid w:val="00754FC2"/>
    <w:rsid w:val="00755045"/>
    <w:rsid w:val="00756346"/>
    <w:rsid w:val="00756BA3"/>
    <w:rsid w:val="00757049"/>
    <w:rsid w:val="00757345"/>
    <w:rsid w:val="00757B4C"/>
    <w:rsid w:val="00757E29"/>
    <w:rsid w:val="00760008"/>
    <w:rsid w:val="00760114"/>
    <w:rsid w:val="00761415"/>
    <w:rsid w:val="00761EEB"/>
    <w:rsid w:val="00762753"/>
    <w:rsid w:val="00762AF3"/>
    <w:rsid w:val="00764176"/>
    <w:rsid w:val="007641ED"/>
    <w:rsid w:val="00764E9D"/>
    <w:rsid w:val="00766621"/>
    <w:rsid w:val="007673F6"/>
    <w:rsid w:val="00770FBC"/>
    <w:rsid w:val="00771775"/>
    <w:rsid w:val="00774FCD"/>
    <w:rsid w:val="007752CF"/>
    <w:rsid w:val="00775C00"/>
    <w:rsid w:val="00775D06"/>
    <w:rsid w:val="007821B9"/>
    <w:rsid w:val="0078269B"/>
    <w:rsid w:val="00782A42"/>
    <w:rsid w:val="00783A83"/>
    <w:rsid w:val="0078488C"/>
    <w:rsid w:val="00785360"/>
    <w:rsid w:val="007856E8"/>
    <w:rsid w:val="00785BFB"/>
    <w:rsid w:val="007871E2"/>
    <w:rsid w:val="00787531"/>
    <w:rsid w:val="007876F3"/>
    <w:rsid w:val="00787B8E"/>
    <w:rsid w:val="0079004E"/>
    <w:rsid w:val="00791789"/>
    <w:rsid w:val="00791A22"/>
    <w:rsid w:val="00791F7F"/>
    <w:rsid w:val="0079269A"/>
    <w:rsid w:val="0079398B"/>
    <w:rsid w:val="00795278"/>
    <w:rsid w:val="00796A06"/>
    <w:rsid w:val="007A0A12"/>
    <w:rsid w:val="007A0F4A"/>
    <w:rsid w:val="007A10E9"/>
    <w:rsid w:val="007A1509"/>
    <w:rsid w:val="007A2920"/>
    <w:rsid w:val="007A345A"/>
    <w:rsid w:val="007A55CA"/>
    <w:rsid w:val="007A5915"/>
    <w:rsid w:val="007A5B06"/>
    <w:rsid w:val="007A5B0F"/>
    <w:rsid w:val="007A68FA"/>
    <w:rsid w:val="007A71CE"/>
    <w:rsid w:val="007B0284"/>
    <w:rsid w:val="007B246F"/>
    <w:rsid w:val="007B251D"/>
    <w:rsid w:val="007B2559"/>
    <w:rsid w:val="007B2F33"/>
    <w:rsid w:val="007B65B4"/>
    <w:rsid w:val="007B77D1"/>
    <w:rsid w:val="007B79EB"/>
    <w:rsid w:val="007C02C8"/>
    <w:rsid w:val="007C062B"/>
    <w:rsid w:val="007C0E28"/>
    <w:rsid w:val="007C27A9"/>
    <w:rsid w:val="007C3174"/>
    <w:rsid w:val="007C35DE"/>
    <w:rsid w:val="007C361D"/>
    <w:rsid w:val="007C57AC"/>
    <w:rsid w:val="007C7092"/>
    <w:rsid w:val="007D0B38"/>
    <w:rsid w:val="007D1968"/>
    <w:rsid w:val="007D22CF"/>
    <w:rsid w:val="007D2B1E"/>
    <w:rsid w:val="007D3A50"/>
    <w:rsid w:val="007D3B79"/>
    <w:rsid w:val="007D5080"/>
    <w:rsid w:val="007D5AA5"/>
    <w:rsid w:val="007D70CD"/>
    <w:rsid w:val="007E06D5"/>
    <w:rsid w:val="007E1EBF"/>
    <w:rsid w:val="007E20A9"/>
    <w:rsid w:val="007E2B14"/>
    <w:rsid w:val="007E619C"/>
    <w:rsid w:val="007E6F89"/>
    <w:rsid w:val="007E751A"/>
    <w:rsid w:val="007F097C"/>
    <w:rsid w:val="007F1017"/>
    <w:rsid w:val="007F1245"/>
    <w:rsid w:val="007F1500"/>
    <w:rsid w:val="007F1E6F"/>
    <w:rsid w:val="007F215C"/>
    <w:rsid w:val="007F22EC"/>
    <w:rsid w:val="007F278A"/>
    <w:rsid w:val="007F3BF3"/>
    <w:rsid w:val="007F4004"/>
    <w:rsid w:val="007F42D5"/>
    <w:rsid w:val="007F4A3F"/>
    <w:rsid w:val="007F5392"/>
    <w:rsid w:val="007F670B"/>
    <w:rsid w:val="0080168A"/>
    <w:rsid w:val="00804843"/>
    <w:rsid w:val="00805142"/>
    <w:rsid w:val="008056AB"/>
    <w:rsid w:val="00807A8B"/>
    <w:rsid w:val="00811E20"/>
    <w:rsid w:val="00812149"/>
    <w:rsid w:val="00813994"/>
    <w:rsid w:val="0081418C"/>
    <w:rsid w:val="00816351"/>
    <w:rsid w:val="008166EF"/>
    <w:rsid w:val="00817495"/>
    <w:rsid w:val="00821654"/>
    <w:rsid w:val="00822FD3"/>
    <w:rsid w:val="00823FF1"/>
    <w:rsid w:val="008253FD"/>
    <w:rsid w:val="008264EB"/>
    <w:rsid w:val="0082768F"/>
    <w:rsid w:val="00831417"/>
    <w:rsid w:val="00831E78"/>
    <w:rsid w:val="0083277B"/>
    <w:rsid w:val="00833B05"/>
    <w:rsid w:val="00833D26"/>
    <w:rsid w:val="00833EEA"/>
    <w:rsid w:val="00834482"/>
    <w:rsid w:val="00834DC8"/>
    <w:rsid w:val="0083685C"/>
    <w:rsid w:val="00837718"/>
    <w:rsid w:val="00837F01"/>
    <w:rsid w:val="0084090A"/>
    <w:rsid w:val="00840CA2"/>
    <w:rsid w:val="008410CD"/>
    <w:rsid w:val="00842232"/>
    <w:rsid w:val="00842EDA"/>
    <w:rsid w:val="00843F22"/>
    <w:rsid w:val="00844490"/>
    <w:rsid w:val="00844503"/>
    <w:rsid w:val="0084452E"/>
    <w:rsid w:val="008448D4"/>
    <w:rsid w:val="008465B7"/>
    <w:rsid w:val="0085092D"/>
    <w:rsid w:val="00853E4D"/>
    <w:rsid w:val="0085488F"/>
    <w:rsid w:val="00854CD9"/>
    <w:rsid w:val="008555E3"/>
    <w:rsid w:val="00856E9A"/>
    <w:rsid w:val="00857276"/>
    <w:rsid w:val="00860926"/>
    <w:rsid w:val="008609C1"/>
    <w:rsid w:val="00860C72"/>
    <w:rsid w:val="00862502"/>
    <w:rsid w:val="00866021"/>
    <w:rsid w:val="00866945"/>
    <w:rsid w:val="00866D24"/>
    <w:rsid w:val="00867770"/>
    <w:rsid w:val="008679C8"/>
    <w:rsid w:val="00867D46"/>
    <w:rsid w:val="008706E9"/>
    <w:rsid w:val="00870795"/>
    <w:rsid w:val="00871167"/>
    <w:rsid w:val="00871C51"/>
    <w:rsid w:val="00871CBD"/>
    <w:rsid w:val="008734A6"/>
    <w:rsid w:val="00873888"/>
    <w:rsid w:val="00873E76"/>
    <w:rsid w:val="00874C38"/>
    <w:rsid w:val="00877270"/>
    <w:rsid w:val="00877C89"/>
    <w:rsid w:val="008812B7"/>
    <w:rsid w:val="008818EE"/>
    <w:rsid w:val="00881BDD"/>
    <w:rsid w:val="00881DD3"/>
    <w:rsid w:val="008821A9"/>
    <w:rsid w:val="00882874"/>
    <w:rsid w:val="00882E3C"/>
    <w:rsid w:val="00883787"/>
    <w:rsid w:val="0088451A"/>
    <w:rsid w:val="0088597B"/>
    <w:rsid w:val="00887FBF"/>
    <w:rsid w:val="00890632"/>
    <w:rsid w:val="00891122"/>
    <w:rsid w:val="00891F71"/>
    <w:rsid w:val="00894489"/>
    <w:rsid w:val="008963A5"/>
    <w:rsid w:val="00896663"/>
    <w:rsid w:val="00896861"/>
    <w:rsid w:val="008A0B65"/>
    <w:rsid w:val="008A0EF1"/>
    <w:rsid w:val="008A0FF8"/>
    <w:rsid w:val="008A10DC"/>
    <w:rsid w:val="008A1EC6"/>
    <w:rsid w:val="008A22B8"/>
    <w:rsid w:val="008A2650"/>
    <w:rsid w:val="008A2C62"/>
    <w:rsid w:val="008A3C3E"/>
    <w:rsid w:val="008A5962"/>
    <w:rsid w:val="008A63F3"/>
    <w:rsid w:val="008A79DE"/>
    <w:rsid w:val="008A7C4F"/>
    <w:rsid w:val="008B13DF"/>
    <w:rsid w:val="008B22C1"/>
    <w:rsid w:val="008B2A7F"/>
    <w:rsid w:val="008B2DE7"/>
    <w:rsid w:val="008B3F46"/>
    <w:rsid w:val="008B5E1F"/>
    <w:rsid w:val="008B65FC"/>
    <w:rsid w:val="008B6C44"/>
    <w:rsid w:val="008B70CF"/>
    <w:rsid w:val="008B7D7E"/>
    <w:rsid w:val="008C1CAF"/>
    <w:rsid w:val="008C4FD7"/>
    <w:rsid w:val="008C642B"/>
    <w:rsid w:val="008C7065"/>
    <w:rsid w:val="008C736E"/>
    <w:rsid w:val="008C781D"/>
    <w:rsid w:val="008C7923"/>
    <w:rsid w:val="008C7ECB"/>
    <w:rsid w:val="008D0509"/>
    <w:rsid w:val="008D09F0"/>
    <w:rsid w:val="008D1847"/>
    <w:rsid w:val="008D20DC"/>
    <w:rsid w:val="008D2463"/>
    <w:rsid w:val="008D2F7F"/>
    <w:rsid w:val="008D32CD"/>
    <w:rsid w:val="008D3432"/>
    <w:rsid w:val="008D36DD"/>
    <w:rsid w:val="008D37DC"/>
    <w:rsid w:val="008D53B0"/>
    <w:rsid w:val="008D5860"/>
    <w:rsid w:val="008D6386"/>
    <w:rsid w:val="008D7A02"/>
    <w:rsid w:val="008D7CFF"/>
    <w:rsid w:val="008E0463"/>
    <w:rsid w:val="008E1B9E"/>
    <w:rsid w:val="008E2BED"/>
    <w:rsid w:val="008E3D2A"/>
    <w:rsid w:val="008E4DBA"/>
    <w:rsid w:val="008E6964"/>
    <w:rsid w:val="008E7474"/>
    <w:rsid w:val="008F0A1A"/>
    <w:rsid w:val="008F0CAB"/>
    <w:rsid w:val="008F0E26"/>
    <w:rsid w:val="008F120A"/>
    <w:rsid w:val="008F17C9"/>
    <w:rsid w:val="008F23FD"/>
    <w:rsid w:val="008F2509"/>
    <w:rsid w:val="008F2555"/>
    <w:rsid w:val="008F25B0"/>
    <w:rsid w:val="008F305C"/>
    <w:rsid w:val="008F338A"/>
    <w:rsid w:val="008F48EB"/>
    <w:rsid w:val="008F4A17"/>
    <w:rsid w:val="008F4F0B"/>
    <w:rsid w:val="008F4FF5"/>
    <w:rsid w:val="008F6416"/>
    <w:rsid w:val="008F64DC"/>
    <w:rsid w:val="008F7096"/>
    <w:rsid w:val="008F71A5"/>
    <w:rsid w:val="00900D74"/>
    <w:rsid w:val="00901CE2"/>
    <w:rsid w:val="009027A8"/>
    <w:rsid w:val="009044ED"/>
    <w:rsid w:val="00905D20"/>
    <w:rsid w:val="009062A5"/>
    <w:rsid w:val="0090677B"/>
    <w:rsid w:val="0090680F"/>
    <w:rsid w:val="00906864"/>
    <w:rsid w:val="00906AD9"/>
    <w:rsid w:val="00906C2E"/>
    <w:rsid w:val="00907A14"/>
    <w:rsid w:val="0091105E"/>
    <w:rsid w:val="00911272"/>
    <w:rsid w:val="00911B81"/>
    <w:rsid w:val="00912ED0"/>
    <w:rsid w:val="00914B27"/>
    <w:rsid w:val="00914D66"/>
    <w:rsid w:val="0091775B"/>
    <w:rsid w:val="00920254"/>
    <w:rsid w:val="009207D4"/>
    <w:rsid w:val="0092098C"/>
    <w:rsid w:val="00921333"/>
    <w:rsid w:val="00921751"/>
    <w:rsid w:val="009230DA"/>
    <w:rsid w:val="00923603"/>
    <w:rsid w:val="009249D4"/>
    <w:rsid w:val="0092584C"/>
    <w:rsid w:val="00925ED5"/>
    <w:rsid w:val="0092763D"/>
    <w:rsid w:val="00927968"/>
    <w:rsid w:val="009279BD"/>
    <w:rsid w:val="00930CD3"/>
    <w:rsid w:val="00932394"/>
    <w:rsid w:val="009325CA"/>
    <w:rsid w:val="0093364C"/>
    <w:rsid w:val="00934D19"/>
    <w:rsid w:val="00934E40"/>
    <w:rsid w:val="00935F2D"/>
    <w:rsid w:val="0093693B"/>
    <w:rsid w:val="00936A09"/>
    <w:rsid w:val="00937246"/>
    <w:rsid w:val="00937690"/>
    <w:rsid w:val="00941489"/>
    <w:rsid w:val="00944326"/>
    <w:rsid w:val="0094480F"/>
    <w:rsid w:val="00944A43"/>
    <w:rsid w:val="00945147"/>
    <w:rsid w:val="00945FBB"/>
    <w:rsid w:val="00946662"/>
    <w:rsid w:val="00950DD9"/>
    <w:rsid w:val="00953F49"/>
    <w:rsid w:val="00955D67"/>
    <w:rsid w:val="009566D3"/>
    <w:rsid w:val="00956A5B"/>
    <w:rsid w:val="009601C2"/>
    <w:rsid w:val="00960F2C"/>
    <w:rsid w:val="009614AE"/>
    <w:rsid w:val="0096197D"/>
    <w:rsid w:val="00962754"/>
    <w:rsid w:val="00962CB9"/>
    <w:rsid w:val="009632BB"/>
    <w:rsid w:val="00963BDF"/>
    <w:rsid w:val="00964312"/>
    <w:rsid w:val="0096452C"/>
    <w:rsid w:val="00965D64"/>
    <w:rsid w:val="00966C4E"/>
    <w:rsid w:val="0096751C"/>
    <w:rsid w:val="00970082"/>
    <w:rsid w:val="00970894"/>
    <w:rsid w:val="00971B61"/>
    <w:rsid w:val="0097353D"/>
    <w:rsid w:val="009739D7"/>
    <w:rsid w:val="00974036"/>
    <w:rsid w:val="00975EB1"/>
    <w:rsid w:val="0097662F"/>
    <w:rsid w:val="00976678"/>
    <w:rsid w:val="0097785B"/>
    <w:rsid w:val="009800CE"/>
    <w:rsid w:val="00980333"/>
    <w:rsid w:val="00980AA0"/>
    <w:rsid w:val="009811E9"/>
    <w:rsid w:val="009823E7"/>
    <w:rsid w:val="00982C9A"/>
    <w:rsid w:val="00982D14"/>
    <w:rsid w:val="00982EAF"/>
    <w:rsid w:val="00983E57"/>
    <w:rsid w:val="00985033"/>
    <w:rsid w:val="0098764C"/>
    <w:rsid w:val="009902F1"/>
    <w:rsid w:val="00990B51"/>
    <w:rsid w:val="00990E02"/>
    <w:rsid w:val="00992D2C"/>
    <w:rsid w:val="009933DA"/>
    <w:rsid w:val="00993591"/>
    <w:rsid w:val="00994FD7"/>
    <w:rsid w:val="00995A80"/>
    <w:rsid w:val="00995DCD"/>
    <w:rsid w:val="00995E04"/>
    <w:rsid w:val="00995F1A"/>
    <w:rsid w:val="00996241"/>
    <w:rsid w:val="00996B1A"/>
    <w:rsid w:val="00996C9A"/>
    <w:rsid w:val="00997977"/>
    <w:rsid w:val="009A1FD3"/>
    <w:rsid w:val="009A20AF"/>
    <w:rsid w:val="009A2EC9"/>
    <w:rsid w:val="009A351C"/>
    <w:rsid w:val="009A4779"/>
    <w:rsid w:val="009A4E92"/>
    <w:rsid w:val="009A5450"/>
    <w:rsid w:val="009A7ADE"/>
    <w:rsid w:val="009B04DC"/>
    <w:rsid w:val="009B0D22"/>
    <w:rsid w:val="009B0F56"/>
    <w:rsid w:val="009B2ABE"/>
    <w:rsid w:val="009B3C88"/>
    <w:rsid w:val="009B3E26"/>
    <w:rsid w:val="009B45BE"/>
    <w:rsid w:val="009B4F98"/>
    <w:rsid w:val="009B53A9"/>
    <w:rsid w:val="009B6335"/>
    <w:rsid w:val="009B660F"/>
    <w:rsid w:val="009B705A"/>
    <w:rsid w:val="009B7FE8"/>
    <w:rsid w:val="009C02AC"/>
    <w:rsid w:val="009C1ED6"/>
    <w:rsid w:val="009C34B3"/>
    <w:rsid w:val="009C50CD"/>
    <w:rsid w:val="009C55F7"/>
    <w:rsid w:val="009C5865"/>
    <w:rsid w:val="009C5925"/>
    <w:rsid w:val="009C5FDD"/>
    <w:rsid w:val="009C7317"/>
    <w:rsid w:val="009C7401"/>
    <w:rsid w:val="009D081D"/>
    <w:rsid w:val="009D2207"/>
    <w:rsid w:val="009D226D"/>
    <w:rsid w:val="009D2693"/>
    <w:rsid w:val="009D27DF"/>
    <w:rsid w:val="009D2A9C"/>
    <w:rsid w:val="009D3919"/>
    <w:rsid w:val="009D3C38"/>
    <w:rsid w:val="009D4FDF"/>
    <w:rsid w:val="009D5B91"/>
    <w:rsid w:val="009D7A87"/>
    <w:rsid w:val="009E0E05"/>
    <w:rsid w:val="009E4798"/>
    <w:rsid w:val="009E4C07"/>
    <w:rsid w:val="009E7710"/>
    <w:rsid w:val="009F1BB5"/>
    <w:rsid w:val="009F1C4F"/>
    <w:rsid w:val="009F2AAE"/>
    <w:rsid w:val="009F4E85"/>
    <w:rsid w:val="009F545E"/>
    <w:rsid w:val="009F60B5"/>
    <w:rsid w:val="009F68C6"/>
    <w:rsid w:val="00A00F99"/>
    <w:rsid w:val="00A01A77"/>
    <w:rsid w:val="00A02231"/>
    <w:rsid w:val="00A03AB0"/>
    <w:rsid w:val="00A03D43"/>
    <w:rsid w:val="00A04380"/>
    <w:rsid w:val="00A04786"/>
    <w:rsid w:val="00A06390"/>
    <w:rsid w:val="00A11C1A"/>
    <w:rsid w:val="00A13948"/>
    <w:rsid w:val="00A140EB"/>
    <w:rsid w:val="00A14112"/>
    <w:rsid w:val="00A1526F"/>
    <w:rsid w:val="00A1540E"/>
    <w:rsid w:val="00A1595C"/>
    <w:rsid w:val="00A1629C"/>
    <w:rsid w:val="00A20113"/>
    <w:rsid w:val="00A203DA"/>
    <w:rsid w:val="00A20FF9"/>
    <w:rsid w:val="00A24673"/>
    <w:rsid w:val="00A25671"/>
    <w:rsid w:val="00A26B01"/>
    <w:rsid w:val="00A27AEC"/>
    <w:rsid w:val="00A306D2"/>
    <w:rsid w:val="00A3089C"/>
    <w:rsid w:val="00A315BF"/>
    <w:rsid w:val="00A31B1D"/>
    <w:rsid w:val="00A3242B"/>
    <w:rsid w:val="00A33D75"/>
    <w:rsid w:val="00A34343"/>
    <w:rsid w:val="00A349D2"/>
    <w:rsid w:val="00A34B70"/>
    <w:rsid w:val="00A3598D"/>
    <w:rsid w:val="00A35D16"/>
    <w:rsid w:val="00A3656C"/>
    <w:rsid w:val="00A36BFD"/>
    <w:rsid w:val="00A37D3E"/>
    <w:rsid w:val="00A40A0F"/>
    <w:rsid w:val="00A41642"/>
    <w:rsid w:val="00A41750"/>
    <w:rsid w:val="00A41AFD"/>
    <w:rsid w:val="00A435AC"/>
    <w:rsid w:val="00A43A4D"/>
    <w:rsid w:val="00A43C59"/>
    <w:rsid w:val="00A45FA9"/>
    <w:rsid w:val="00A460F7"/>
    <w:rsid w:val="00A5042D"/>
    <w:rsid w:val="00A50BFD"/>
    <w:rsid w:val="00A50ECD"/>
    <w:rsid w:val="00A51127"/>
    <w:rsid w:val="00A51A6B"/>
    <w:rsid w:val="00A51BD4"/>
    <w:rsid w:val="00A51F56"/>
    <w:rsid w:val="00A52729"/>
    <w:rsid w:val="00A53675"/>
    <w:rsid w:val="00A542CB"/>
    <w:rsid w:val="00A54872"/>
    <w:rsid w:val="00A55183"/>
    <w:rsid w:val="00A55D02"/>
    <w:rsid w:val="00A55D57"/>
    <w:rsid w:val="00A562B8"/>
    <w:rsid w:val="00A56B6A"/>
    <w:rsid w:val="00A5783D"/>
    <w:rsid w:val="00A578DC"/>
    <w:rsid w:val="00A6114D"/>
    <w:rsid w:val="00A6163D"/>
    <w:rsid w:val="00A63446"/>
    <w:rsid w:val="00A638B6"/>
    <w:rsid w:val="00A65519"/>
    <w:rsid w:val="00A660BE"/>
    <w:rsid w:val="00A66DE4"/>
    <w:rsid w:val="00A6725B"/>
    <w:rsid w:val="00A67298"/>
    <w:rsid w:val="00A70929"/>
    <w:rsid w:val="00A7224C"/>
    <w:rsid w:val="00A72D09"/>
    <w:rsid w:val="00A74A0B"/>
    <w:rsid w:val="00A772D2"/>
    <w:rsid w:val="00A77A31"/>
    <w:rsid w:val="00A77C30"/>
    <w:rsid w:val="00A80B3D"/>
    <w:rsid w:val="00A82F25"/>
    <w:rsid w:val="00A830EA"/>
    <w:rsid w:val="00A83BF1"/>
    <w:rsid w:val="00A84232"/>
    <w:rsid w:val="00A86567"/>
    <w:rsid w:val="00A86E8B"/>
    <w:rsid w:val="00A91435"/>
    <w:rsid w:val="00A93072"/>
    <w:rsid w:val="00A93264"/>
    <w:rsid w:val="00A9440F"/>
    <w:rsid w:val="00A94D7C"/>
    <w:rsid w:val="00A959D8"/>
    <w:rsid w:val="00A9768B"/>
    <w:rsid w:val="00AA145D"/>
    <w:rsid w:val="00AA3436"/>
    <w:rsid w:val="00AA3F57"/>
    <w:rsid w:val="00AA589E"/>
    <w:rsid w:val="00AA6AAC"/>
    <w:rsid w:val="00AA70AC"/>
    <w:rsid w:val="00AA70AD"/>
    <w:rsid w:val="00AA7B5D"/>
    <w:rsid w:val="00AA7CEE"/>
    <w:rsid w:val="00AB042A"/>
    <w:rsid w:val="00AB04D2"/>
    <w:rsid w:val="00AB095A"/>
    <w:rsid w:val="00AB0E61"/>
    <w:rsid w:val="00AB16BF"/>
    <w:rsid w:val="00AB1B24"/>
    <w:rsid w:val="00AB2D34"/>
    <w:rsid w:val="00AB2ED8"/>
    <w:rsid w:val="00AB3430"/>
    <w:rsid w:val="00AB377D"/>
    <w:rsid w:val="00AB4978"/>
    <w:rsid w:val="00AB5048"/>
    <w:rsid w:val="00AB55BC"/>
    <w:rsid w:val="00AB5A1A"/>
    <w:rsid w:val="00AB645E"/>
    <w:rsid w:val="00AB7174"/>
    <w:rsid w:val="00AB7C74"/>
    <w:rsid w:val="00AB7CFA"/>
    <w:rsid w:val="00AC2DCF"/>
    <w:rsid w:val="00AC3C86"/>
    <w:rsid w:val="00AC565B"/>
    <w:rsid w:val="00AC610F"/>
    <w:rsid w:val="00AC6B5C"/>
    <w:rsid w:val="00AC7CDF"/>
    <w:rsid w:val="00AD0B4A"/>
    <w:rsid w:val="00AD154D"/>
    <w:rsid w:val="00AD3D57"/>
    <w:rsid w:val="00AD631C"/>
    <w:rsid w:val="00AD6491"/>
    <w:rsid w:val="00AD6B53"/>
    <w:rsid w:val="00AD6EF4"/>
    <w:rsid w:val="00AE02F4"/>
    <w:rsid w:val="00AE18E1"/>
    <w:rsid w:val="00AE28FE"/>
    <w:rsid w:val="00AE2FE0"/>
    <w:rsid w:val="00AE3607"/>
    <w:rsid w:val="00AE455F"/>
    <w:rsid w:val="00AE5313"/>
    <w:rsid w:val="00AE556D"/>
    <w:rsid w:val="00AE6057"/>
    <w:rsid w:val="00AE696A"/>
    <w:rsid w:val="00AE6BFC"/>
    <w:rsid w:val="00AE6CBA"/>
    <w:rsid w:val="00AE716E"/>
    <w:rsid w:val="00AF05F2"/>
    <w:rsid w:val="00AF07C3"/>
    <w:rsid w:val="00AF0EBA"/>
    <w:rsid w:val="00AF1BC5"/>
    <w:rsid w:val="00AF21DA"/>
    <w:rsid w:val="00AF3D53"/>
    <w:rsid w:val="00AF4FDA"/>
    <w:rsid w:val="00AF53B6"/>
    <w:rsid w:val="00AF548E"/>
    <w:rsid w:val="00B03168"/>
    <w:rsid w:val="00B03440"/>
    <w:rsid w:val="00B04E9D"/>
    <w:rsid w:val="00B05027"/>
    <w:rsid w:val="00B05633"/>
    <w:rsid w:val="00B05757"/>
    <w:rsid w:val="00B06185"/>
    <w:rsid w:val="00B06AB6"/>
    <w:rsid w:val="00B06B0E"/>
    <w:rsid w:val="00B10AB8"/>
    <w:rsid w:val="00B1286B"/>
    <w:rsid w:val="00B12DC1"/>
    <w:rsid w:val="00B140B1"/>
    <w:rsid w:val="00B148F5"/>
    <w:rsid w:val="00B15672"/>
    <w:rsid w:val="00B168F2"/>
    <w:rsid w:val="00B169AE"/>
    <w:rsid w:val="00B21195"/>
    <w:rsid w:val="00B21753"/>
    <w:rsid w:val="00B22C46"/>
    <w:rsid w:val="00B248E3"/>
    <w:rsid w:val="00B249DE"/>
    <w:rsid w:val="00B250CB"/>
    <w:rsid w:val="00B25362"/>
    <w:rsid w:val="00B25DEB"/>
    <w:rsid w:val="00B2631B"/>
    <w:rsid w:val="00B26FAF"/>
    <w:rsid w:val="00B27840"/>
    <w:rsid w:val="00B27BDA"/>
    <w:rsid w:val="00B3015B"/>
    <w:rsid w:val="00B32880"/>
    <w:rsid w:val="00B32BDF"/>
    <w:rsid w:val="00B32F45"/>
    <w:rsid w:val="00B33293"/>
    <w:rsid w:val="00B33B9B"/>
    <w:rsid w:val="00B348A5"/>
    <w:rsid w:val="00B351CD"/>
    <w:rsid w:val="00B35D57"/>
    <w:rsid w:val="00B36248"/>
    <w:rsid w:val="00B36470"/>
    <w:rsid w:val="00B372A1"/>
    <w:rsid w:val="00B3752D"/>
    <w:rsid w:val="00B37E14"/>
    <w:rsid w:val="00B408B0"/>
    <w:rsid w:val="00B40AB9"/>
    <w:rsid w:val="00B410B6"/>
    <w:rsid w:val="00B42851"/>
    <w:rsid w:val="00B43354"/>
    <w:rsid w:val="00B44DB1"/>
    <w:rsid w:val="00B45DD8"/>
    <w:rsid w:val="00B46698"/>
    <w:rsid w:val="00B47040"/>
    <w:rsid w:val="00B47F31"/>
    <w:rsid w:val="00B5063B"/>
    <w:rsid w:val="00B50DB8"/>
    <w:rsid w:val="00B51688"/>
    <w:rsid w:val="00B5195A"/>
    <w:rsid w:val="00B51D46"/>
    <w:rsid w:val="00B5252C"/>
    <w:rsid w:val="00B52835"/>
    <w:rsid w:val="00B53905"/>
    <w:rsid w:val="00B546D1"/>
    <w:rsid w:val="00B54B5B"/>
    <w:rsid w:val="00B5562E"/>
    <w:rsid w:val="00B5627D"/>
    <w:rsid w:val="00B5669E"/>
    <w:rsid w:val="00B56892"/>
    <w:rsid w:val="00B56D76"/>
    <w:rsid w:val="00B57000"/>
    <w:rsid w:val="00B57595"/>
    <w:rsid w:val="00B60939"/>
    <w:rsid w:val="00B60AFD"/>
    <w:rsid w:val="00B60FD7"/>
    <w:rsid w:val="00B620B9"/>
    <w:rsid w:val="00B62715"/>
    <w:rsid w:val="00B62BE7"/>
    <w:rsid w:val="00B6424B"/>
    <w:rsid w:val="00B642AD"/>
    <w:rsid w:val="00B6561D"/>
    <w:rsid w:val="00B665F2"/>
    <w:rsid w:val="00B66C40"/>
    <w:rsid w:val="00B67D91"/>
    <w:rsid w:val="00B7042F"/>
    <w:rsid w:val="00B7050B"/>
    <w:rsid w:val="00B705DC"/>
    <w:rsid w:val="00B70C6F"/>
    <w:rsid w:val="00B73F84"/>
    <w:rsid w:val="00B74102"/>
    <w:rsid w:val="00B74D8D"/>
    <w:rsid w:val="00B76EAE"/>
    <w:rsid w:val="00B772F6"/>
    <w:rsid w:val="00B77543"/>
    <w:rsid w:val="00B77E48"/>
    <w:rsid w:val="00B80250"/>
    <w:rsid w:val="00B816FA"/>
    <w:rsid w:val="00B818A4"/>
    <w:rsid w:val="00B82758"/>
    <w:rsid w:val="00B82D11"/>
    <w:rsid w:val="00B83052"/>
    <w:rsid w:val="00B83F35"/>
    <w:rsid w:val="00B841AE"/>
    <w:rsid w:val="00B8649C"/>
    <w:rsid w:val="00B87DBD"/>
    <w:rsid w:val="00B90644"/>
    <w:rsid w:val="00B9076E"/>
    <w:rsid w:val="00B9175E"/>
    <w:rsid w:val="00B92222"/>
    <w:rsid w:val="00B9263B"/>
    <w:rsid w:val="00B92D0B"/>
    <w:rsid w:val="00B93D6D"/>
    <w:rsid w:val="00B94051"/>
    <w:rsid w:val="00B943D3"/>
    <w:rsid w:val="00B94945"/>
    <w:rsid w:val="00B95787"/>
    <w:rsid w:val="00B95FDB"/>
    <w:rsid w:val="00BA1219"/>
    <w:rsid w:val="00BA2AFE"/>
    <w:rsid w:val="00BA323E"/>
    <w:rsid w:val="00BA3296"/>
    <w:rsid w:val="00BA4450"/>
    <w:rsid w:val="00BA498A"/>
    <w:rsid w:val="00BA4F6B"/>
    <w:rsid w:val="00BA6F82"/>
    <w:rsid w:val="00BA7800"/>
    <w:rsid w:val="00BA7AA8"/>
    <w:rsid w:val="00BB2707"/>
    <w:rsid w:val="00BB49EA"/>
    <w:rsid w:val="00BB59D6"/>
    <w:rsid w:val="00BB6156"/>
    <w:rsid w:val="00BB66B8"/>
    <w:rsid w:val="00BB6BEA"/>
    <w:rsid w:val="00BB7405"/>
    <w:rsid w:val="00BB776F"/>
    <w:rsid w:val="00BB7877"/>
    <w:rsid w:val="00BC1E18"/>
    <w:rsid w:val="00BC21AF"/>
    <w:rsid w:val="00BC41A1"/>
    <w:rsid w:val="00BC55BA"/>
    <w:rsid w:val="00BC6C72"/>
    <w:rsid w:val="00BC7BBD"/>
    <w:rsid w:val="00BD0B0A"/>
    <w:rsid w:val="00BD18D3"/>
    <w:rsid w:val="00BD2C00"/>
    <w:rsid w:val="00BD3EE2"/>
    <w:rsid w:val="00BD3FB1"/>
    <w:rsid w:val="00BD58BC"/>
    <w:rsid w:val="00BD5B8A"/>
    <w:rsid w:val="00BD5C8E"/>
    <w:rsid w:val="00BD689A"/>
    <w:rsid w:val="00BD6CF3"/>
    <w:rsid w:val="00BE2180"/>
    <w:rsid w:val="00BE38E0"/>
    <w:rsid w:val="00BE3BFC"/>
    <w:rsid w:val="00BE4275"/>
    <w:rsid w:val="00BE4667"/>
    <w:rsid w:val="00BE6339"/>
    <w:rsid w:val="00BF0103"/>
    <w:rsid w:val="00BF2384"/>
    <w:rsid w:val="00BF2433"/>
    <w:rsid w:val="00BF2459"/>
    <w:rsid w:val="00BF38AC"/>
    <w:rsid w:val="00BF3D6E"/>
    <w:rsid w:val="00BF5EFC"/>
    <w:rsid w:val="00BF61C9"/>
    <w:rsid w:val="00C00A3F"/>
    <w:rsid w:val="00C0122E"/>
    <w:rsid w:val="00C025F5"/>
    <w:rsid w:val="00C033ED"/>
    <w:rsid w:val="00C06473"/>
    <w:rsid w:val="00C06D4F"/>
    <w:rsid w:val="00C0725A"/>
    <w:rsid w:val="00C07D1F"/>
    <w:rsid w:val="00C10C0B"/>
    <w:rsid w:val="00C13E39"/>
    <w:rsid w:val="00C15F6B"/>
    <w:rsid w:val="00C1623E"/>
    <w:rsid w:val="00C17838"/>
    <w:rsid w:val="00C21B6E"/>
    <w:rsid w:val="00C22236"/>
    <w:rsid w:val="00C2268E"/>
    <w:rsid w:val="00C22D12"/>
    <w:rsid w:val="00C236CF"/>
    <w:rsid w:val="00C23CD5"/>
    <w:rsid w:val="00C24542"/>
    <w:rsid w:val="00C25418"/>
    <w:rsid w:val="00C2554D"/>
    <w:rsid w:val="00C255DA"/>
    <w:rsid w:val="00C2582C"/>
    <w:rsid w:val="00C25D9C"/>
    <w:rsid w:val="00C2658B"/>
    <w:rsid w:val="00C26F02"/>
    <w:rsid w:val="00C3071E"/>
    <w:rsid w:val="00C3163A"/>
    <w:rsid w:val="00C31649"/>
    <w:rsid w:val="00C31921"/>
    <w:rsid w:val="00C32B9A"/>
    <w:rsid w:val="00C33101"/>
    <w:rsid w:val="00C36334"/>
    <w:rsid w:val="00C3675E"/>
    <w:rsid w:val="00C40184"/>
    <w:rsid w:val="00C40385"/>
    <w:rsid w:val="00C41332"/>
    <w:rsid w:val="00C42C05"/>
    <w:rsid w:val="00C42CE2"/>
    <w:rsid w:val="00C42D26"/>
    <w:rsid w:val="00C43CB3"/>
    <w:rsid w:val="00C44B5A"/>
    <w:rsid w:val="00C4710B"/>
    <w:rsid w:val="00C5277A"/>
    <w:rsid w:val="00C52DFC"/>
    <w:rsid w:val="00C54003"/>
    <w:rsid w:val="00C54790"/>
    <w:rsid w:val="00C5535E"/>
    <w:rsid w:val="00C6011D"/>
    <w:rsid w:val="00C6170D"/>
    <w:rsid w:val="00C620FB"/>
    <w:rsid w:val="00C62268"/>
    <w:rsid w:val="00C64F07"/>
    <w:rsid w:val="00C65576"/>
    <w:rsid w:val="00C66165"/>
    <w:rsid w:val="00C66335"/>
    <w:rsid w:val="00C6758B"/>
    <w:rsid w:val="00C702A2"/>
    <w:rsid w:val="00C702AB"/>
    <w:rsid w:val="00C711E2"/>
    <w:rsid w:val="00C71A98"/>
    <w:rsid w:val="00C73718"/>
    <w:rsid w:val="00C750C8"/>
    <w:rsid w:val="00C76E91"/>
    <w:rsid w:val="00C816B3"/>
    <w:rsid w:val="00C81A32"/>
    <w:rsid w:val="00C81DFB"/>
    <w:rsid w:val="00C8213F"/>
    <w:rsid w:val="00C84650"/>
    <w:rsid w:val="00C849D5"/>
    <w:rsid w:val="00C84B99"/>
    <w:rsid w:val="00C84BA7"/>
    <w:rsid w:val="00C87769"/>
    <w:rsid w:val="00C8797A"/>
    <w:rsid w:val="00C9035B"/>
    <w:rsid w:val="00C9043F"/>
    <w:rsid w:val="00C91544"/>
    <w:rsid w:val="00C9308B"/>
    <w:rsid w:val="00C938CF"/>
    <w:rsid w:val="00C93FA9"/>
    <w:rsid w:val="00C9603F"/>
    <w:rsid w:val="00C971CD"/>
    <w:rsid w:val="00C97AE1"/>
    <w:rsid w:val="00CA0B8C"/>
    <w:rsid w:val="00CA1861"/>
    <w:rsid w:val="00CA3AFE"/>
    <w:rsid w:val="00CA4036"/>
    <w:rsid w:val="00CA4095"/>
    <w:rsid w:val="00CA5245"/>
    <w:rsid w:val="00CA65CB"/>
    <w:rsid w:val="00CA7B09"/>
    <w:rsid w:val="00CA7B9E"/>
    <w:rsid w:val="00CA7C2C"/>
    <w:rsid w:val="00CB05E9"/>
    <w:rsid w:val="00CB0C36"/>
    <w:rsid w:val="00CB0D25"/>
    <w:rsid w:val="00CB1C16"/>
    <w:rsid w:val="00CB2BB4"/>
    <w:rsid w:val="00CB2FF6"/>
    <w:rsid w:val="00CB5B1A"/>
    <w:rsid w:val="00CB5EEC"/>
    <w:rsid w:val="00CB6BC8"/>
    <w:rsid w:val="00CC1ED0"/>
    <w:rsid w:val="00CC281D"/>
    <w:rsid w:val="00CC3285"/>
    <w:rsid w:val="00CC5960"/>
    <w:rsid w:val="00CC59BC"/>
    <w:rsid w:val="00CD0410"/>
    <w:rsid w:val="00CD19CD"/>
    <w:rsid w:val="00CD2E9E"/>
    <w:rsid w:val="00CD311F"/>
    <w:rsid w:val="00CD3347"/>
    <w:rsid w:val="00CD422D"/>
    <w:rsid w:val="00CD512D"/>
    <w:rsid w:val="00CD62B6"/>
    <w:rsid w:val="00CD6486"/>
    <w:rsid w:val="00CD6520"/>
    <w:rsid w:val="00CD6ADC"/>
    <w:rsid w:val="00CD74D9"/>
    <w:rsid w:val="00CE252F"/>
    <w:rsid w:val="00CE3D79"/>
    <w:rsid w:val="00CE486F"/>
    <w:rsid w:val="00CE5B20"/>
    <w:rsid w:val="00CE6147"/>
    <w:rsid w:val="00CE6274"/>
    <w:rsid w:val="00CE64E6"/>
    <w:rsid w:val="00CE6F86"/>
    <w:rsid w:val="00CF18B8"/>
    <w:rsid w:val="00CF23B0"/>
    <w:rsid w:val="00CF39B4"/>
    <w:rsid w:val="00CF3E5A"/>
    <w:rsid w:val="00CF3FEB"/>
    <w:rsid w:val="00CF402D"/>
    <w:rsid w:val="00CF456B"/>
    <w:rsid w:val="00CF5A22"/>
    <w:rsid w:val="00CF5C46"/>
    <w:rsid w:val="00CF6913"/>
    <w:rsid w:val="00CF7355"/>
    <w:rsid w:val="00D008F9"/>
    <w:rsid w:val="00D00BD2"/>
    <w:rsid w:val="00D00EF9"/>
    <w:rsid w:val="00D0262E"/>
    <w:rsid w:val="00D02C5A"/>
    <w:rsid w:val="00D0357F"/>
    <w:rsid w:val="00D040F2"/>
    <w:rsid w:val="00D044E5"/>
    <w:rsid w:val="00D064CB"/>
    <w:rsid w:val="00D065E4"/>
    <w:rsid w:val="00D0694A"/>
    <w:rsid w:val="00D07D8C"/>
    <w:rsid w:val="00D110BD"/>
    <w:rsid w:val="00D11251"/>
    <w:rsid w:val="00D116E5"/>
    <w:rsid w:val="00D12B0E"/>
    <w:rsid w:val="00D1570F"/>
    <w:rsid w:val="00D166C9"/>
    <w:rsid w:val="00D17211"/>
    <w:rsid w:val="00D173C3"/>
    <w:rsid w:val="00D17D6C"/>
    <w:rsid w:val="00D2038E"/>
    <w:rsid w:val="00D20AE4"/>
    <w:rsid w:val="00D21A67"/>
    <w:rsid w:val="00D22A99"/>
    <w:rsid w:val="00D239F0"/>
    <w:rsid w:val="00D26253"/>
    <w:rsid w:val="00D26816"/>
    <w:rsid w:val="00D27100"/>
    <w:rsid w:val="00D27DEB"/>
    <w:rsid w:val="00D31461"/>
    <w:rsid w:val="00D322FF"/>
    <w:rsid w:val="00D33719"/>
    <w:rsid w:val="00D33C7F"/>
    <w:rsid w:val="00D34205"/>
    <w:rsid w:val="00D347A6"/>
    <w:rsid w:val="00D357FF"/>
    <w:rsid w:val="00D35FB3"/>
    <w:rsid w:val="00D36C4C"/>
    <w:rsid w:val="00D36CDB"/>
    <w:rsid w:val="00D37174"/>
    <w:rsid w:val="00D37BF9"/>
    <w:rsid w:val="00D406A2"/>
    <w:rsid w:val="00D40CBC"/>
    <w:rsid w:val="00D41056"/>
    <w:rsid w:val="00D4135F"/>
    <w:rsid w:val="00D41A7F"/>
    <w:rsid w:val="00D428DC"/>
    <w:rsid w:val="00D4307B"/>
    <w:rsid w:val="00D45F73"/>
    <w:rsid w:val="00D4644F"/>
    <w:rsid w:val="00D500FA"/>
    <w:rsid w:val="00D502F8"/>
    <w:rsid w:val="00D52187"/>
    <w:rsid w:val="00D527FD"/>
    <w:rsid w:val="00D52E0B"/>
    <w:rsid w:val="00D54320"/>
    <w:rsid w:val="00D559E1"/>
    <w:rsid w:val="00D56168"/>
    <w:rsid w:val="00D567EB"/>
    <w:rsid w:val="00D5699F"/>
    <w:rsid w:val="00D56DB7"/>
    <w:rsid w:val="00D60257"/>
    <w:rsid w:val="00D64664"/>
    <w:rsid w:val="00D65883"/>
    <w:rsid w:val="00D71C6D"/>
    <w:rsid w:val="00D71CF4"/>
    <w:rsid w:val="00D72767"/>
    <w:rsid w:val="00D73451"/>
    <w:rsid w:val="00D73C3B"/>
    <w:rsid w:val="00D740BB"/>
    <w:rsid w:val="00D74CFF"/>
    <w:rsid w:val="00D74E87"/>
    <w:rsid w:val="00D753E2"/>
    <w:rsid w:val="00D75D5D"/>
    <w:rsid w:val="00D76A0D"/>
    <w:rsid w:val="00D76A44"/>
    <w:rsid w:val="00D77473"/>
    <w:rsid w:val="00D808A3"/>
    <w:rsid w:val="00D83604"/>
    <w:rsid w:val="00D84237"/>
    <w:rsid w:val="00D84608"/>
    <w:rsid w:val="00D85816"/>
    <w:rsid w:val="00D866D1"/>
    <w:rsid w:val="00D86B6A"/>
    <w:rsid w:val="00D86D93"/>
    <w:rsid w:val="00D87FCE"/>
    <w:rsid w:val="00D90947"/>
    <w:rsid w:val="00D909B5"/>
    <w:rsid w:val="00D90D6E"/>
    <w:rsid w:val="00D92822"/>
    <w:rsid w:val="00D93753"/>
    <w:rsid w:val="00D94114"/>
    <w:rsid w:val="00D953A1"/>
    <w:rsid w:val="00D97336"/>
    <w:rsid w:val="00DA1567"/>
    <w:rsid w:val="00DA1BEB"/>
    <w:rsid w:val="00DA4659"/>
    <w:rsid w:val="00DA4DB1"/>
    <w:rsid w:val="00DA6D12"/>
    <w:rsid w:val="00DA6EC3"/>
    <w:rsid w:val="00DA77A5"/>
    <w:rsid w:val="00DA7D51"/>
    <w:rsid w:val="00DA7E58"/>
    <w:rsid w:val="00DB0CA6"/>
    <w:rsid w:val="00DB2B18"/>
    <w:rsid w:val="00DB41E3"/>
    <w:rsid w:val="00DB4B6A"/>
    <w:rsid w:val="00DB7675"/>
    <w:rsid w:val="00DC04A3"/>
    <w:rsid w:val="00DC0EA1"/>
    <w:rsid w:val="00DC14BE"/>
    <w:rsid w:val="00DC189E"/>
    <w:rsid w:val="00DC3254"/>
    <w:rsid w:val="00DC3CD4"/>
    <w:rsid w:val="00DC4ABD"/>
    <w:rsid w:val="00DC5206"/>
    <w:rsid w:val="00DC5501"/>
    <w:rsid w:val="00DC7129"/>
    <w:rsid w:val="00DC742B"/>
    <w:rsid w:val="00DD164E"/>
    <w:rsid w:val="00DD2160"/>
    <w:rsid w:val="00DD282E"/>
    <w:rsid w:val="00DD2970"/>
    <w:rsid w:val="00DD3AC7"/>
    <w:rsid w:val="00DD3F28"/>
    <w:rsid w:val="00DD4369"/>
    <w:rsid w:val="00DD4537"/>
    <w:rsid w:val="00DD47EC"/>
    <w:rsid w:val="00DD4E15"/>
    <w:rsid w:val="00DD5300"/>
    <w:rsid w:val="00DD7D56"/>
    <w:rsid w:val="00DE0D67"/>
    <w:rsid w:val="00DE1170"/>
    <w:rsid w:val="00DE13F6"/>
    <w:rsid w:val="00DE1DFE"/>
    <w:rsid w:val="00DE1E98"/>
    <w:rsid w:val="00DE2625"/>
    <w:rsid w:val="00DE2B93"/>
    <w:rsid w:val="00DE34C9"/>
    <w:rsid w:val="00DE389D"/>
    <w:rsid w:val="00DE41D0"/>
    <w:rsid w:val="00DE4893"/>
    <w:rsid w:val="00DE4FCB"/>
    <w:rsid w:val="00DE6D9C"/>
    <w:rsid w:val="00DE7464"/>
    <w:rsid w:val="00DF0B3A"/>
    <w:rsid w:val="00DF2E76"/>
    <w:rsid w:val="00DF2EF7"/>
    <w:rsid w:val="00DF30AB"/>
    <w:rsid w:val="00DF4046"/>
    <w:rsid w:val="00DF4B73"/>
    <w:rsid w:val="00DF5034"/>
    <w:rsid w:val="00DF5923"/>
    <w:rsid w:val="00DF5D2B"/>
    <w:rsid w:val="00DF60AE"/>
    <w:rsid w:val="00DF6B5E"/>
    <w:rsid w:val="00E0004A"/>
    <w:rsid w:val="00E0014C"/>
    <w:rsid w:val="00E0132E"/>
    <w:rsid w:val="00E0154F"/>
    <w:rsid w:val="00E01AAF"/>
    <w:rsid w:val="00E01C61"/>
    <w:rsid w:val="00E04710"/>
    <w:rsid w:val="00E04758"/>
    <w:rsid w:val="00E047E0"/>
    <w:rsid w:val="00E0487F"/>
    <w:rsid w:val="00E05822"/>
    <w:rsid w:val="00E05C5A"/>
    <w:rsid w:val="00E05E7A"/>
    <w:rsid w:val="00E05EF3"/>
    <w:rsid w:val="00E06B4F"/>
    <w:rsid w:val="00E10149"/>
    <w:rsid w:val="00E12129"/>
    <w:rsid w:val="00E12A30"/>
    <w:rsid w:val="00E12FBF"/>
    <w:rsid w:val="00E13083"/>
    <w:rsid w:val="00E15B38"/>
    <w:rsid w:val="00E15EDB"/>
    <w:rsid w:val="00E16372"/>
    <w:rsid w:val="00E17CE2"/>
    <w:rsid w:val="00E17F72"/>
    <w:rsid w:val="00E20739"/>
    <w:rsid w:val="00E20E92"/>
    <w:rsid w:val="00E20ED6"/>
    <w:rsid w:val="00E21358"/>
    <w:rsid w:val="00E218D3"/>
    <w:rsid w:val="00E21A89"/>
    <w:rsid w:val="00E22204"/>
    <w:rsid w:val="00E2249B"/>
    <w:rsid w:val="00E22864"/>
    <w:rsid w:val="00E229B9"/>
    <w:rsid w:val="00E22A0D"/>
    <w:rsid w:val="00E22A74"/>
    <w:rsid w:val="00E24A6E"/>
    <w:rsid w:val="00E2771E"/>
    <w:rsid w:val="00E27FF3"/>
    <w:rsid w:val="00E30264"/>
    <w:rsid w:val="00E315F3"/>
    <w:rsid w:val="00E31E45"/>
    <w:rsid w:val="00E32531"/>
    <w:rsid w:val="00E32D3E"/>
    <w:rsid w:val="00E33A9F"/>
    <w:rsid w:val="00E33EDA"/>
    <w:rsid w:val="00E33FD2"/>
    <w:rsid w:val="00E34C22"/>
    <w:rsid w:val="00E35CCE"/>
    <w:rsid w:val="00E3657F"/>
    <w:rsid w:val="00E37569"/>
    <w:rsid w:val="00E40C70"/>
    <w:rsid w:val="00E4108E"/>
    <w:rsid w:val="00E417DE"/>
    <w:rsid w:val="00E41E30"/>
    <w:rsid w:val="00E43D70"/>
    <w:rsid w:val="00E443F8"/>
    <w:rsid w:val="00E45786"/>
    <w:rsid w:val="00E4682E"/>
    <w:rsid w:val="00E46D69"/>
    <w:rsid w:val="00E47533"/>
    <w:rsid w:val="00E47B2C"/>
    <w:rsid w:val="00E504DE"/>
    <w:rsid w:val="00E51560"/>
    <w:rsid w:val="00E52561"/>
    <w:rsid w:val="00E5375A"/>
    <w:rsid w:val="00E551AC"/>
    <w:rsid w:val="00E55424"/>
    <w:rsid w:val="00E5542D"/>
    <w:rsid w:val="00E55573"/>
    <w:rsid w:val="00E55BB5"/>
    <w:rsid w:val="00E56BFD"/>
    <w:rsid w:val="00E603A2"/>
    <w:rsid w:val="00E61E0B"/>
    <w:rsid w:val="00E61F8A"/>
    <w:rsid w:val="00E64950"/>
    <w:rsid w:val="00E659CD"/>
    <w:rsid w:val="00E65CCE"/>
    <w:rsid w:val="00E65E79"/>
    <w:rsid w:val="00E65F64"/>
    <w:rsid w:val="00E66026"/>
    <w:rsid w:val="00E6708C"/>
    <w:rsid w:val="00E67416"/>
    <w:rsid w:val="00E706CF"/>
    <w:rsid w:val="00E715BE"/>
    <w:rsid w:val="00E71768"/>
    <w:rsid w:val="00E718B6"/>
    <w:rsid w:val="00E720FE"/>
    <w:rsid w:val="00E7347B"/>
    <w:rsid w:val="00E73581"/>
    <w:rsid w:val="00E73EA0"/>
    <w:rsid w:val="00E753B2"/>
    <w:rsid w:val="00E75684"/>
    <w:rsid w:val="00E75CE7"/>
    <w:rsid w:val="00E76F76"/>
    <w:rsid w:val="00E8236F"/>
    <w:rsid w:val="00E82445"/>
    <w:rsid w:val="00E8255C"/>
    <w:rsid w:val="00E826CA"/>
    <w:rsid w:val="00E83BDF"/>
    <w:rsid w:val="00E842BC"/>
    <w:rsid w:val="00E86571"/>
    <w:rsid w:val="00E86D5A"/>
    <w:rsid w:val="00E87624"/>
    <w:rsid w:val="00E87945"/>
    <w:rsid w:val="00E87CEB"/>
    <w:rsid w:val="00E904AD"/>
    <w:rsid w:val="00E90BF0"/>
    <w:rsid w:val="00E914F9"/>
    <w:rsid w:val="00E92ACF"/>
    <w:rsid w:val="00E94CAE"/>
    <w:rsid w:val="00E954D4"/>
    <w:rsid w:val="00E9560A"/>
    <w:rsid w:val="00E95C32"/>
    <w:rsid w:val="00E96D29"/>
    <w:rsid w:val="00EA0626"/>
    <w:rsid w:val="00EA0F3B"/>
    <w:rsid w:val="00EA15A2"/>
    <w:rsid w:val="00EA1C19"/>
    <w:rsid w:val="00EA1D94"/>
    <w:rsid w:val="00EA3778"/>
    <w:rsid w:val="00EA3864"/>
    <w:rsid w:val="00EA5CFE"/>
    <w:rsid w:val="00EB15B6"/>
    <w:rsid w:val="00EB334E"/>
    <w:rsid w:val="00EB3498"/>
    <w:rsid w:val="00EB3B2D"/>
    <w:rsid w:val="00EB4916"/>
    <w:rsid w:val="00EB5802"/>
    <w:rsid w:val="00EB7877"/>
    <w:rsid w:val="00EB7DA1"/>
    <w:rsid w:val="00EC00C9"/>
    <w:rsid w:val="00EC1504"/>
    <w:rsid w:val="00EC1574"/>
    <w:rsid w:val="00EC1A40"/>
    <w:rsid w:val="00EC1CC7"/>
    <w:rsid w:val="00EC3847"/>
    <w:rsid w:val="00EC5DD6"/>
    <w:rsid w:val="00EC670F"/>
    <w:rsid w:val="00EC6A68"/>
    <w:rsid w:val="00EC7B20"/>
    <w:rsid w:val="00ED0086"/>
    <w:rsid w:val="00ED22AF"/>
    <w:rsid w:val="00ED4F8E"/>
    <w:rsid w:val="00ED5CFC"/>
    <w:rsid w:val="00ED7A9A"/>
    <w:rsid w:val="00EE07D3"/>
    <w:rsid w:val="00EE17D4"/>
    <w:rsid w:val="00EE3122"/>
    <w:rsid w:val="00EE3B04"/>
    <w:rsid w:val="00EE419F"/>
    <w:rsid w:val="00EE4B40"/>
    <w:rsid w:val="00EE4DB9"/>
    <w:rsid w:val="00EE5C38"/>
    <w:rsid w:val="00EE6D50"/>
    <w:rsid w:val="00EE7488"/>
    <w:rsid w:val="00EF18D3"/>
    <w:rsid w:val="00EF1D6E"/>
    <w:rsid w:val="00EF1E9C"/>
    <w:rsid w:val="00EF4D14"/>
    <w:rsid w:val="00EF5A7C"/>
    <w:rsid w:val="00EF5AD6"/>
    <w:rsid w:val="00EF5B00"/>
    <w:rsid w:val="00EF5E50"/>
    <w:rsid w:val="00EF6246"/>
    <w:rsid w:val="00EF67BF"/>
    <w:rsid w:val="00EF6A64"/>
    <w:rsid w:val="00F003AF"/>
    <w:rsid w:val="00F00418"/>
    <w:rsid w:val="00F004ED"/>
    <w:rsid w:val="00F01716"/>
    <w:rsid w:val="00F01CC4"/>
    <w:rsid w:val="00F022A9"/>
    <w:rsid w:val="00F04716"/>
    <w:rsid w:val="00F04B0F"/>
    <w:rsid w:val="00F04EAA"/>
    <w:rsid w:val="00F0621E"/>
    <w:rsid w:val="00F067A2"/>
    <w:rsid w:val="00F11A72"/>
    <w:rsid w:val="00F13738"/>
    <w:rsid w:val="00F14E12"/>
    <w:rsid w:val="00F15160"/>
    <w:rsid w:val="00F16446"/>
    <w:rsid w:val="00F1769E"/>
    <w:rsid w:val="00F212DC"/>
    <w:rsid w:val="00F227F5"/>
    <w:rsid w:val="00F23B4B"/>
    <w:rsid w:val="00F2444C"/>
    <w:rsid w:val="00F24817"/>
    <w:rsid w:val="00F24837"/>
    <w:rsid w:val="00F2575F"/>
    <w:rsid w:val="00F25B5F"/>
    <w:rsid w:val="00F275E5"/>
    <w:rsid w:val="00F311ED"/>
    <w:rsid w:val="00F31581"/>
    <w:rsid w:val="00F315CA"/>
    <w:rsid w:val="00F31A5A"/>
    <w:rsid w:val="00F32561"/>
    <w:rsid w:val="00F330B5"/>
    <w:rsid w:val="00F33DE9"/>
    <w:rsid w:val="00F34E26"/>
    <w:rsid w:val="00F35ED5"/>
    <w:rsid w:val="00F3619A"/>
    <w:rsid w:val="00F36346"/>
    <w:rsid w:val="00F37887"/>
    <w:rsid w:val="00F4134F"/>
    <w:rsid w:val="00F42BC6"/>
    <w:rsid w:val="00F44810"/>
    <w:rsid w:val="00F450FE"/>
    <w:rsid w:val="00F45979"/>
    <w:rsid w:val="00F45FB6"/>
    <w:rsid w:val="00F46CB6"/>
    <w:rsid w:val="00F47D7F"/>
    <w:rsid w:val="00F5167D"/>
    <w:rsid w:val="00F52411"/>
    <w:rsid w:val="00F52C32"/>
    <w:rsid w:val="00F5431B"/>
    <w:rsid w:val="00F5584B"/>
    <w:rsid w:val="00F55E73"/>
    <w:rsid w:val="00F56A4F"/>
    <w:rsid w:val="00F56F73"/>
    <w:rsid w:val="00F60092"/>
    <w:rsid w:val="00F602A5"/>
    <w:rsid w:val="00F60F05"/>
    <w:rsid w:val="00F610EA"/>
    <w:rsid w:val="00F61367"/>
    <w:rsid w:val="00F61D45"/>
    <w:rsid w:val="00F6385E"/>
    <w:rsid w:val="00F6485B"/>
    <w:rsid w:val="00F64BD9"/>
    <w:rsid w:val="00F651A9"/>
    <w:rsid w:val="00F6789E"/>
    <w:rsid w:val="00F67B35"/>
    <w:rsid w:val="00F67D1D"/>
    <w:rsid w:val="00F70EA5"/>
    <w:rsid w:val="00F714CD"/>
    <w:rsid w:val="00F71F34"/>
    <w:rsid w:val="00F72888"/>
    <w:rsid w:val="00F72F1D"/>
    <w:rsid w:val="00F72FC0"/>
    <w:rsid w:val="00F732DC"/>
    <w:rsid w:val="00F73747"/>
    <w:rsid w:val="00F74A78"/>
    <w:rsid w:val="00F76BB7"/>
    <w:rsid w:val="00F76E25"/>
    <w:rsid w:val="00F770D2"/>
    <w:rsid w:val="00F7745B"/>
    <w:rsid w:val="00F80E5D"/>
    <w:rsid w:val="00F83DA4"/>
    <w:rsid w:val="00F844AD"/>
    <w:rsid w:val="00F851CE"/>
    <w:rsid w:val="00F85534"/>
    <w:rsid w:val="00F902F7"/>
    <w:rsid w:val="00F9084B"/>
    <w:rsid w:val="00F93074"/>
    <w:rsid w:val="00F93E80"/>
    <w:rsid w:val="00F942D8"/>
    <w:rsid w:val="00F945EB"/>
    <w:rsid w:val="00F9547F"/>
    <w:rsid w:val="00F96D02"/>
    <w:rsid w:val="00F978FC"/>
    <w:rsid w:val="00F97A78"/>
    <w:rsid w:val="00F97BB7"/>
    <w:rsid w:val="00F97E3E"/>
    <w:rsid w:val="00FA0B5F"/>
    <w:rsid w:val="00FA17DE"/>
    <w:rsid w:val="00FA1FAE"/>
    <w:rsid w:val="00FA213F"/>
    <w:rsid w:val="00FA24E7"/>
    <w:rsid w:val="00FA46B2"/>
    <w:rsid w:val="00FA6EE9"/>
    <w:rsid w:val="00FB236D"/>
    <w:rsid w:val="00FB2FCB"/>
    <w:rsid w:val="00FB3328"/>
    <w:rsid w:val="00FB4AAE"/>
    <w:rsid w:val="00FB5101"/>
    <w:rsid w:val="00FB52EC"/>
    <w:rsid w:val="00FB6EF6"/>
    <w:rsid w:val="00FB7198"/>
    <w:rsid w:val="00FB7918"/>
    <w:rsid w:val="00FB7F21"/>
    <w:rsid w:val="00FC00CD"/>
    <w:rsid w:val="00FC1074"/>
    <w:rsid w:val="00FC154E"/>
    <w:rsid w:val="00FC1884"/>
    <w:rsid w:val="00FC1C4F"/>
    <w:rsid w:val="00FC2298"/>
    <w:rsid w:val="00FC44B8"/>
    <w:rsid w:val="00FC46E1"/>
    <w:rsid w:val="00FC6082"/>
    <w:rsid w:val="00FC621D"/>
    <w:rsid w:val="00FD071D"/>
    <w:rsid w:val="00FD1692"/>
    <w:rsid w:val="00FD2100"/>
    <w:rsid w:val="00FD4140"/>
    <w:rsid w:val="00FD446D"/>
    <w:rsid w:val="00FD6024"/>
    <w:rsid w:val="00FD774C"/>
    <w:rsid w:val="00FE1893"/>
    <w:rsid w:val="00FE1EB9"/>
    <w:rsid w:val="00FE2D60"/>
    <w:rsid w:val="00FE3D2F"/>
    <w:rsid w:val="00FE4883"/>
    <w:rsid w:val="00FE4C0D"/>
    <w:rsid w:val="00FE5414"/>
    <w:rsid w:val="00FE56A2"/>
    <w:rsid w:val="00FE5C9E"/>
    <w:rsid w:val="00FE5E7F"/>
    <w:rsid w:val="00FE78F4"/>
    <w:rsid w:val="00FE7CFD"/>
    <w:rsid w:val="00FE7EF0"/>
    <w:rsid w:val="00FF059D"/>
    <w:rsid w:val="00FF0A3D"/>
    <w:rsid w:val="00FF0A8F"/>
    <w:rsid w:val="00FF0D76"/>
    <w:rsid w:val="00FF185C"/>
    <w:rsid w:val="00FF1D65"/>
    <w:rsid w:val="00FF2079"/>
    <w:rsid w:val="00FF23FA"/>
    <w:rsid w:val="00FF3DCF"/>
    <w:rsid w:val="00FF479A"/>
    <w:rsid w:val="00FF5AA3"/>
    <w:rsid w:val="00FF5C10"/>
    <w:rsid w:val="00FF5C96"/>
    <w:rsid w:val="00FF6A6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link w:val="TableHeadingChar"/>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5"/>
      </w:numPr>
    </w:pPr>
    <w:rPr>
      <w:rFonts w:ascii="Arial" w:hAnsi="Arial" w:cs="Arial"/>
      <w:b/>
      <w:snapToGrid w:val="0"/>
      <w:sz w:val="22"/>
      <w:szCs w:val="22"/>
      <w:lang w:eastAsia="en-US"/>
    </w:rPr>
  </w:style>
  <w:style w:type="paragraph" w:customStyle="1" w:styleId="COMBody">
    <w:name w:val="COMBody"/>
    <w:basedOn w:val="Normal"/>
    <w:link w:val="COMBodyChar"/>
    <w:qFormat/>
    <w:rsid w:val="009D2207"/>
  </w:style>
  <w:style w:type="character" w:customStyle="1" w:styleId="COMBodyChar">
    <w:name w:val="COMBody Char"/>
    <w:basedOn w:val="DefaultParagraphFont"/>
    <w:link w:val="COMBody"/>
    <w:rsid w:val="009D2207"/>
    <w:rPr>
      <w:rFonts w:ascii="Arial" w:hAnsi="Arial" w:cs="Arial"/>
      <w:snapToGrid w:val="0"/>
      <w:sz w:val="22"/>
      <w:lang w:eastAsia="en-US"/>
    </w:rPr>
  </w:style>
  <w:style w:type="paragraph" w:customStyle="1" w:styleId="COMtbl-HEADLeftAligned">
    <w:name w:val="COMtbl-HEAD Left Aligned"/>
    <w:basedOn w:val="Normal"/>
    <w:qFormat/>
    <w:rsid w:val="00594BF6"/>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594BF6"/>
    <w:pPr>
      <w:jc w:val="center"/>
    </w:pPr>
  </w:style>
  <w:style w:type="paragraph" w:customStyle="1" w:styleId="COMTbl-foot">
    <w:name w:val="COMTbl-foot"/>
    <w:basedOn w:val="TableFooter"/>
    <w:link w:val="COMTbl-footChar"/>
    <w:qFormat/>
    <w:rsid w:val="00594BF6"/>
    <w:rPr>
      <w:rFonts w:ascii="Arial" w:hAnsi="Arial"/>
    </w:rPr>
  </w:style>
  <w:style w:type="character" w:customStyle="1" w:styleId="COMTbl-footChar">
    <w:name w:val="COMTbl-foot Char"/>
    <w:basedOn w:val="DefaultParagraphFont"/>
    <w:link w:val="COMTbl-foot"/>
    <w:rsid w:val="00594BF6"/>
    <w:rPr>
      <w:rFonts w:ascii="Arial" w:hAnsi="Arial" w:cs="Arial"/>
      <w:snapToGrid w:val="0"/>
      <w:sz w:val="18"/>
      <w:lang w:eastAsia="en-US"/>
    </w:rPr>
  </w:style>
  <w:style w:type="paragraph" w:customStyle="1" w:styleId="COMtbl-textLeftAligned">
    <w:name w:val="COMtbl-text Left Aligned"/>
    <w:basedOn w:val="COMtbl-HEADLeftAligned"/>
    <w:qFormat/>
    <w:rsid w:val="00594BF6"/>
    <w:rPr>
      <w:b w:val="0"/>
    </w:rPr>
  </w:style>
  <w:style w:type="character" w:customStyle="1" w:styleId="TableHeadingChar">
    <w:name w:val="TableHeading Char"/>
    <w:link w:val="TableHeading"/>
    <w:rsid w:val="00E86571"/>
    <w:rPr>
      <w:rFonts w:ascii="Arial Narrow" w:hAnsi="Arial Narrow" w:cs="Arial Narrow"/>
      <w:b/>
      <w:bCs/>
      <w:lang w:eastAsia="en-US"/>
    </w:rPr>
  </w:style>
  <w:style w:type="character" w:customStyle="1" w:styleId="TableTextChar0">
    <w:name w:val="TableText Char"/>
    <w:link w:val="TableText0"/>
    <w:rsid w:val="00E86571"/>
    <w:rPr>
      <w:rFonts w:ascii="Arial Narrow" w:hAnsi="Arial Narrow" w:cs="Arial Narrow"/>
      <w:lang w:eastAsia="en-US"/>
    </w:rPr>
  </w:style>
  <w:style w:type="paragraph" w:customStyle="1" w:styleId="COMtbl-textCentred">
    <w:name w:val="COMtbl-text Centred"/>
    <w:basedOn w:val="COMtbl-HEADCentred"/>
    <w:qFormat/>
    <w:rsid w:val="007544BA"/>
    <w:rPr>
      <w:b w:val="0"/>
    </w:rPr>
  </w:style>
  <w:style w:type="character" w:customStyle="1" w:styleId="Font">
    <w:name w:val="Font"/>
    <w:basedOn w:val="DefaultParagraphFont"/>
    <w:uiPriority w:val="1"/>
    <w:qFormat/>
    <w:rsid w:val="00CD0410"/>
    <w:rPr>
      <w:rFonts w:ascii="Candara" w:hAnsi="Candara"/>
      <w:sz w:val="24"/>
    </w:rPr>
  </w:style>
  <w:style w:type="paragraph" w:customStyle="1" w:styleId="Default">
    <w:name w:val="Default"/>
    <w:rsid w:val="00A26B01"/>
    <w:pPr>
      <w:autoSpaceDE w:val="0"/>
      <w:autoSpaceDN w:val="0"/>
      <w:adjustRightInd w:val="0"/>
    </w:pPr>
    <w:rPr>
      <w:rFonts w:ascii="Candara" w:hAnsi="Candara" w:cs="Candara"/>
      <w:color w:val="000000"/>
      <w:sz w:val="24"/>
      <w:szCs w:val="24"/>
    </w:rPr>
  </w:style>
  <w:style w:type="paragraph" w:customStyle="1" w:styleId="TableBullet">
    <w:name w:val="TableBullet"/>
    <w:basedOn w:val="TableText0"/>
    <w:rsid w:val="00DF60AE"/>
    <w:pPr>
      <w:numPr>
        <w:numId w:val="27"/>
      </w:numPr>
      <w:tabs>
        <w:tab w:val="left" w:pos="216"/>
      </w:tabs>
      <w:spacing w:line="276" w:lineRule="auto"/>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link w:val="TableHeadingChar"/>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5"/>
      </w:numPr>
    </w:pPr>
    <w:rPr>
      <w:rFonts w:ascii="Arial" w:hAnsi="Arial" w:cs="Arial"/>
      <w:b/>
      <w:snapToGrid w:val="0"/>
      <w:sz w:val="22"/>
      <w:szCs w:val="22"/>
      <w:lang w:eastAsia="en-US"/>
    </w:rPr>
  </w:style>
  <w:style w:type="paragraph" w:customStyle="1" w:styleId="COMBody">
    <w:name w:val="COMBody"/>
    <w:basedOn w:val="Normal"/>
    <w:link w:val="COMBodyChar"/>
    <w:qFormat/>
    <w:rsid w:val="009D2207"/>
  </w:style>
  <w:style w:type="character" w:customStyle="1" w:styleId="COMBodyChar">
    <w:name w:val="COMBody Char"/>
    <w:basedOn w:val="DefaultParagraphFont"/>
    <w:link w:val="COMBody"/>
    <w:rsid w:val="009D2207"/>
    <w:rPr>
      <w:rFonts w:ascii="Arial" w:hAnsi="Arial" w:cs="Arial"/>
      <w:snapToGrid w:val="0"/>
      <w:sz w:val="22"/>
      <w:lang w:eastAsia="en-US"/>
    </w:rPr>
  </w:style>
  <w:style w:type="paragraph" w:customStyle="1" w:styleId="COMtbl-HEADLeftAligned">
    <w:name w:val="COMtbl-HEAD Left Aligned"/>
    <w:basedOn w:val="Normal"/>
    <w:qFormat/>
    <w:rsid w:val="00594BF6"/>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594BF6"/>
    <w:pPr>
      <w:jc w:val="center"/>
    </w:pPr>
  </w:style>
  <w:style w:type="paragraph" w:customStyle="1" w:styleId="COMTbl-foot">
    <w:name w:val="COMTbl-foot"/>
    <w:basedOn w:val="TableFooter"/>
    <w:link w:val="COMTbl-footChar"/>
    <w:qFormat/>
    <w:rsid w:val="00594BF6"/>
    <w:rPr>
      <w:rFonts w:ascii="Arial" w:hAnsi="Arial"/>
    </w:rPr>
  </w:style>
  <w:style w:type="character" w:customStyle="1" w:styleId="COMTbl-footChar">
    <w:name w:val="COMTbl-foot Char"/>
    <w:basedOn w:val="DefaultParagraphFont"/>
    <w:link w:val="COMTbl-foot"/>
    <w:rsid w:val="00594BF6"/>
    <w:rPr>
      <w:rFonts w:ascii="Arial" w:hAnsi="Arial" w:cs="Arial"/>
      <w:snapToGrid w:val="0"/>
      <w:sz w:val="18"/>
      <w:lang w:eastAsia="en-US"/>
    </w:rPr>
  </w:style>
  <w:style w:type="paragraph" w:customStyle="1" w:styleId="COMtbl-textLeftAligned">
    <w:name w:val="COMtbl-text Left Aligned"/>
    <w:basedOn w:val="COMtbl-HEADLeftAligned"/>
    <w:qFormat/>
    <w:rsid w:val="00594BF6"/>
    <w:rPr>
      <w:b w:val="0"/>
    </w:rPr>
  </w:style>
  <w:style w:type="character" w:customStyle="1" w:styleId="TableHeadingChar">
    <w:name w:val="TableHeading Char"/>
    <w:link w:val="TableHeading"/>
    <w:rsid w:val="00E86571"/>
    <w:rPr>
      <w:rFonts w:ascii="Arial Narrow" w:hAnsi="Arial Narrow" w:cs="Arial Narrow"/>
      <w:b/>
      <w:bCs/>
      <w:lang w:eastAsia="en-US"/>
    </w:rPr>
  </w:style>
  <w:style w:type="character" w:customStyle="1" w:styleId="TableTextChar0">
    <w:name w:val="TableText Char"/>
    <w:link w:val="TableText0"/>
    <w:rsid w:val="00E86571"/>
    <w:rPr>
      <w:rFonts w:ascii="Arial Narrow" w:hAnsi="Arial Narrow" w:cs="Arial Narrow"/>
      <w:lang w:eastAsia="en-US"/>
    </w:rPr>
  </w:style>
  <w:style w:type="paragraph" w:customStyle="1" w:styleId="COMtbl-textCentred">
    <w:name w:val="COMtbl-text Centred"/>
    <w:basedOn w:val="COMtbl-HEADCentred"/>
    <w:qFormat/>
    <w:rsid w:val="007544BA"/>
    <w:rPr>
      <w:b w:val="0"/>
    </w:rPr>
  </w:style>
  <w:style w:type="character" w:customStyle="1" w:styleId="Font">
    <w:name w:val="Font"/>
    <w:basedOn w:val="DefaultParagraphFont"/>
    <w:uiPriority w:val="1"/>
    <w:qFormat/>
    <w:rsid w:val="00CD0410"/>
    <w:rPr>
      <w:rFonts w:ascii="Candara" w:hAnsi="Candara"/>
      <w:sz w:val="24"/>
    </w:rPr>
  </w:style>
  <w:style w:type="paragraph" w:customStyle="1" w:styleId="Default">
    <w:name w:val="Default"/>
    <w:rsid w:val="00A26B01"/>
    <w:pPr>
      <w:autoSpaceDE w:val="0"/>
      <w:autoSpaceDN w:val="0"/>
      <w:adjustRightInd w:val="0"/>
    </w:pPr>
    <w:rPr>
      <w:rFonts w:ascii="Candara" w:hAnsi="Candara" w:cs="Candara"/>
      <w:color w:val="000000"/>
      <w:sz w:val="24"/>
      <w:szCs w:val="24"/>
    </w:rPr>
  </w:style>
  <w:style w:type="paragraph" w:customStyle="1" w:styleId="TableBullet">
    <w:name w:val="TableBullet"/>
    <w:basedOn w:val="TableText0"/>
    <w:rsid w:val="00DF60AE"/>
    <w:pPr>
      <w:numPr>
        <w:numId w:val="27"/>
      </w:numPr>
      <w:tabs>
        <w:tab w:val="left" w:pos="216"/>
      </w:tabs>
      <w:spacing w:line="276"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73899">
      <w:bodyDiv w:val="1"/>
      <w:marLeft w:val="0"/>
      <w:marRight w:val="0"/>
      <w:marTop w:val="0"/>
      <w:marBottom w:val="0"/>
      <w:divBdr>
        <w:top w:val="none" w:sz="0" w:space="0" w:color="auto"/>
        <w:left w:val="none" w:sz="0" w:space="0" w:color="auto"/>
        <w:bottom w:val="none" w:sz="0" w:space="0" w:color="auto"/>
        <w:right w:val="none" w:sz="0" w:space="0" w:color="auto"/>
      </w:divBdr>
      <w:divsChild>
        <w:div w:id="97144549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1BC95-BEDE-4AD4-AF03-C9A3C2040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8948</Words>
  <Characters>52449</Characters>
  <Application>Microsoft Office Word</Application>
  <DocSecurity>0</DocSecurity>
  <Lines>437</Lines>
  <Paragraphs>122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2015-10-16T05:06:00Z</dcterms:created>
  <dcterms:modified xsi:type="dcterms:W3CDTF">2015-10-16T05:08:00Z</dcterms:modified>
</cp:coreProperties>
</file>