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E71825" w:rsidP="007C0F57">
      <w:pPr>
        <w:ind w:left="720" w:hanging="720"/>
        <w:rPr>
          <w:rFonts w:ascii="Arial" w:hAnsi="Arial"/>
          <w:b/>
          <w:sz w:val="28"/>
          <w:szCs w:val="28"/>
        </w:rPr>
      </w:pPr>
      <w:r>
        <w:rPr>
          <w:rFonts w:ascii="Arial" w:hAnsi="Arial"/>
          <w:b/>
          <w:sz w:val="28"/>
          <w:szCs w:val="28"/>
        </w:rPr>
        <w:t>6.14</w:t>
      </w:r>
      <w:r w:rsidR="007C0F57" w:rsidRPr="006D6EC7">
        <w:rPr>
          <w:rFonts w:ascii="Arial" w:hAnsi="Arial"/>
          <w:b/>
          <w:sz w:val="28"/>
          <w:szCs w:val="28"/>
        </w:rPr>
        <w:tab/>
      </w:r>
      <w:r w:rsidR="00853571" w:rsidRPr="00853571">
        <w:rPr>
          <w:rFonts w:ascii="Arial" w:hAnsi="Arial"/>
          <w:b/>
          <w:sz w:val="28"/>
          <w:szCs w:val="28"/>
        </w:rPr>
        <w:t>TESTOSTERONE</w:t>
      </w:r>
    </w:p>
    <w:p w:rsidR="00D3280C" w:rsidRPr="006D6EC7" w:rsidRDefault="000F6186" w:rsidP="00C27B58">
      <w:pPr>
        <w:ind w:left="720"/>
        <w:rPr>
          <w:rFonts w:ascii="Arial" w:hAnsi="Arial"/>
          <w:b/>
          <w:sz w:val="28"/>
          <w:szCs w:val="28"/>
        </w:rPr>
      </w:pPr>
      <w:r>
        <w:rPr>
          <w:rFonts w:ascii="Arial" w:hAnsi="Arial"/>
          <w:b/>
          <w:sz w:val="28"/>
          <w:szCs w:val="28"/>
        </w:rPr>
        <w:t>National LGBTI Health Alliance</w:t>
      </w:r>
    </w:p>
    <w:p w:rsidR="00CE10C4" w:rsidRDefault="00CE10C4" w:rsidP="00C27B58">
      <w:pPr>
        <w:pStyle w:val="NoSpacing"/>
      </w:pPr>
    </w:p>
    <w:p w:rsidR="00646483" w:rsidRDefault="00646483" w:rsidP="00C27B58">
      <w:pPr>
        <w:pStyle w:val="NoSpacing"/>
      </w:pPr>
    </w:p>
    <w:p w:rsidR="00CE10C4" w:rsidRPr="00882085"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BB4DB8" w:rsidRPr="00DB3E0F" w:rsidRDefault="00EF44A0" w:rsidP="004C4781">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853571">
        <w:rPr>
          <w:rFonts w:ascii="Arial" w:hAnsi="Arial"/>
          <w:sz w:val="22"/>
          <w:szCs w:val="22"/>
        </w:rPr>
        <w:t xml:space="preserve">requested </w:t>
      </w:r>
      <w:r w:rsidR="00DF53DD">
        <w:rPr>
          <w:rFonts w:ascii="Arial" w:hAnsi="Arial"/>
          <w:sz w:val="22"/>
          <w:szCs w:val="22"/>
        </w:rPr>
        <w:t>c</w:t>
      </w:r>
      <w:r w:rsidR="00853571">
        <w:rPr>
          <w:rFonts w:ascii="Arial" w:hAnsi="Arial"/>
          <w:sz w:val="22"/>
          <w:szCs w:val="22"/>
        </w:rPr>
        <w:t xml:space="preserve">hanges to the </w:t>
      </w:r>
      <w:r w:rsidR="00542FD1">
        <w:rPr>
          <w:rFonts w:ascii="Arial" w:hAnsi="Arial"/>
          <w:sz w:val="22"/>
          <w:szCs w:val="22"/>
        </w:rPr>
        <w:t xml:space="preserve">restrictions that are applied to </w:t>
      </w:r>
      <w:r w:rsidR="00853571">
        <w:rPr>
          <w:rFonts w:ascii="Arial" w:hAnsi="Arial"/>
          <w:sz w:val="22"/>
          <w:szCs w:val="22"/>
        </w:rPr>
        <w:t>testosterone for the treatment of androgen deficiency</w:t>
      </w:r>
      <w:r w:rsidR="00DF53DD">
        <w:rPr>
          <w:rFonts w:ascii="Arial" w:hAnsi="Arial"/>
          <w:sz w:val="22"/>
          <w:szCs w:val="22"/>
        </w:rPr>
        <w:t xml:space="preserve"> to enable access by transgender and intersex patients.</w:t>
      </w:r>
    </w:p>
    <w:p w:rsidR="00EF44A0" w:rsidRDefault="00EF44A0" w:rsidP="00C27B58">
      <w:pPr>
        <w:pStyle w:val="NoSpacing"/>
      </w:pPr>
    </w:p>
    <w:p w:rsidR="00646483" w:rsidRPr="00C27B58" w:rsidRDefault="00646483"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646483" w:rsidRDefault="00BB4DB8">
      <w:pPr>
        <w:pStyle w:val="ListParagraph"/>
        <w:numPr>
          <w:ilvl w:val="1"/>
          <w:numId w:val="25"/>
        </w:numPr>
        <w:jc w:val="both"/>
        <w:rPr>
          <w:rFonts w:ascii="Arial" w:hAnsi="Arial"/>
          <w:sz w:val="22"/>
          <w:szCs w:val="22"/>
        </w:rPr>
      </w:pPr>
      <w:r w:rsidRPr="00BB4DB8">
        <w:rPr>
          <w:rFonts w:ascii="Arial" w:hAnsi="Arial"/>
          <w:sz w:val="22"/>
          <w:szCs w:val="22"/>
        </w:rPr>
        <w:t xml:space="preserve">The submission requested changes to the revised restrictions </w:t>
      </w:r>
      <w:r w:rsidR="00646483">
        <w:rPr>
          <w:rFonts w:ascii="Arial" w:hAnsi="Arial"/>
          <w:sz w:val="22"/>
          <w:szCs w:val="22"/>
        </w:rPr>
        <w:t xml:space="preserve">for </w:t>
      </w:r>
      <w:r w:rsidR="00646483" w:rsidRPr="00A03363">
        <w:rPr>
          <w:rFonts w:ascii="Arial" w:hAnsi="Arial"/>
          <w:sz w:val="22"/>
          <w:szCs w:val="22"/>
        </w:rPr>
        <w:t xml:space="preserve">testosterone </w:t>
      </w:r>
      <w:r w:rsidRPr="00BB4DB8">
        <w:rPr>
          <w:rFonts w:ascii="Arial" w:hAnsi="Arial"/>
          <w:sz w:val="22"/>
          <w:szCs w:val="22"/>
        </w:rPr>
        <w:t xml:space="preserve">which came into effect </w:t>
      </w:r>
      <w:r w:rsidR="00646483">
        <w:rPr>
          <w:rFonts w:ascii="Arial" w:hAnsi="Arial"/>
          <w:sz w:val="22"/>
          <w:szCs w:val="22"/>
        </w:rPr>
        <w:t>on</w:t>
      </w:r>
      <w:r w:rsidRPr="00BB4DB8">
        <w:rPr>
          <w:rFonts w:ascii="Arial" w:hAnsi="Arial"/>
          <w:sz w:val="22"/>
          <w:szCs w:val="22"/>
        </w:rPr>
        <w:t xml:space="preserve"> 1 April 2015</w:t>
      </w:r>
      <w:r>
        <w:rPr>
          <w:rFonts w:ascii="Arial" w:hAnsi="Arial"/>
          <w:sz w:val="22"/>
          <w:szCs w:val="22"/>
        </w:rPr>
        <w:t>.</w:t>
      </w:r>
      <w:r w:rsidDel="00BB4DB8">
        <w:rPr>
          <w:rFonts w:ascii="Arial" w:hAnsi="Arial"/>
          <w:sz w:val="22"/>
          <w:szCs w:val="22"/>
        </w:rPr>
        <w:t xml:space="preserve"> </w:t>
      </w:r>
    </w:p>
    <w:p w:rsidR="00BB4DB8" w:rsidRPr="00646483" w:rsidRDefault="00BB4DB8" w:rsidP="004C4781">
      <w:pPr>
        <w:pStyle w:val="ListParagraph"/>
        <w:jc w:val="both"/>
        <w:rPr>
          <w:rFonts w:ascii="Arial" w:hAnsi="Arial"/>
          <w:sz w:val="22"/>
          <w:szCs w:val="22"/>
        </w:rPr>
      </w:pPr>
    </w:p>
    <w:p w:rsidR="00BB4DB8" w:rsidRPr="00DF53DD" w:rsidRDefault="00BB4DB8" w:rsidP="00BB4DB8">
      <w:pPr>
        <w:pStyle w:val="ListParagraph"/>
        <w:numPr>
          <w:ilvl w:val="1"/>
          <w:numId w:val="25"/>
        </w:numPr>
        <w:jc w:val="both"/>
        <w:rPr>
          <w:rFonts w:ascii="Arial" w:hAnsi="Arial"/>
          <w:b/>
          <w:sz w:val="22"/>
          <w:szCs w:val="22"/>
        </w:rPr>
      </w:pPr>
      <w:r>
        <w:rPr>
          <w:rFonts w:ascii="Arial" w:hAnsi="Arial"/>
          <w:sz w:val="22"/>
          <w:szCs w:val="22"/>
        </w:rPr>
        <w:t>The submission requested restoring the ability of General Practitioners (GP) to prescribe testosterone without consultation with a specialist when treating androgen deficiency in patients:</w:t>
      </w:r>
    </w:p>
    <w:p w:rsidR="00BB4DB8" w:rsidRPr="003F3DAC" w:rsidRDefault="00BB4DB8" w:rsidP="00BB4DB8">
      <w:pPr>
        <w:pStyle w:val="ListParagraph"/>
        <w:numPr>
          <w:ilvl w:val="0"/>
          <w:numId w:val="45"/>
        </w:numPr>
        <w:ind w:left="1134" w:hanging="425"/>
        <w:jc w:val="both"/>
        <w:rPr>
          <w:rFonts w:ascii="Arial" w:hAnsi="Arial"/>
          <w:sz w:val="22"/>
          <w:szCs w:val="22"/>
        </w:rPr>
      </w:pPr>
      <w:r>
        <w:rPr>
          <w:rFonts w:ascii="Arial" w:hAnsi="Arial"/>
          <w:sz w:val="22"/>
          <w:szCs w:val="22"/>
        </w:rPr>
        <w:t xml:space="preserve">who cannot produce testosterone within the normal male range due to absent or non-functioning testes (including trans patients and patients with intersex characteristics </w:t>
      </w:r>
      <w:r w:rsidRPr="003F3DAC">
        <w:rPr>
          <w:rFonts w:ascii="Arial" w:hAnsi="Arial"/>
          <w:sz w:val="22"/>
          <w:szCs w:val="22"/>
        </w:rPr>
        <w:t>with</w:t>
      </w:r>
      <w:r>
        <w:rPr>
          <w:rFonts w:ascii="Arial" w:hAnsi="Arial"/>
          <w:sz w:val="22"/>
          <w:szCs w:val="22"/>
        </w:rPr>
        <w:t xml:space="preserve"> </w:t>
      </w:r>
      <w:r w:rsidRPr="003F3DAC">
        <w:rPr>
          <w:rFonts w:ascii="Arial" w:hAnsi="Arial"/>
          <w:sz w:val="22"/>
          <w:szCs w:val="22"/>
        </w:rPr>
        <w:t>a</w:t>
      </w:r>
      <w:r>
        <w:rPr>
          <w:rFonts w:ascii="Arial" w:hAnsi="Arial"/>
          <w:sz w:val="22"/>
          <w:szCs w:val="22"/>
        </w:rPr>
        <w:t xml:space="preserve"> </w:t>
      </w:r>
      <w:r w:rsidRPr="003F3DAC">
        <w:rPr>
          <w:rFonts w:ascii="Arial" w:hAnsi="Arial"/>
          <w:sz w:val="22"/>
          <w:szCs w:val="22"/>
        </w:rPr>
        <w:t>current</w:t>
      </w:r>
      <w:r>
        <w:rPr>
          <w:rFonts w:ascii="Arial" w:hAnsi="Arial"/>
          <w:sz w:val="22"/>
          <w:szCs w:val="22"/>
        </w:rPr>
        <w:t xml:space="preserve"> </w:t>
      </w:r>
      <w:r w:rsidRPr="003F3DAC">
        <w:rPr>
          <w:rFonts w:ascii="Arial" w:hAnsi="Arial"/>
          <w:sz w:val="22"/>
          <w:szCs w:val="22"/>
        </w:rPr>
        <w:t>testosterone</w:t>
      </w:r>
      <w:r>
        <w:rPr>
          <w:rFonts w:ascii="Arial" w:hAnsi="Arial"/>
          <w:sz w:val="22"/>
          <w:szCs w:val="22"/>
        </w:rPr>
        <w:t xml:space="preserve"> </w:t>
      </w:r>
      <w:r w:rsidRPr="003F3DAC">
        <w:rPr>
          <w:rFonts w:ascii="Arial" w:hAnsi="Arial"/>
          <w:sz w:val="22"/>
          <w:szCs w:val="22"/>
        </w:rPr>
        <w:t>prescription</w:t>
      </w:r>
      <w:r>
        <w:rPr>
          <w:rFonts w:ascii="Arial" w:hAnsi="Arial"/>
          <w:sz w:val="22"/>
          <w:szCs w:val="22"/>
        </w:rPr>
        <w:t xml:space="preserve"> </w:t>
      </w:r>
      <w:r w:rsidRPr="003F3DAC">
        <w:rPr>
          <w:rFonts w:ascii="Arial" w:hAnsi="Arial"/>
          <w:sz w:val="22"/>
          <w:szCs w:val="22"/>
        </w:rPr>
        <w:t>who</w:t>
      </w:r>
      <w:r>
        <w:rPr>
          <w:rFonts w:ascii="Arial" w:hAnsi="Arial"/>
          <w:sz w:val="22"/>
          <w:szCs w:val="22"/>
        </w:rPr>
        <w:t xml:space="preserve"> </w:t>
      </w:r>
      <w:r w:rsidRPr="003F3DAC">
        <w:rPr>
          <w:rFonts w:ascii="Arial" w:hAnsi="Arial"/>
          <w:sz w:val="22"/>
          <w:szCs w:val="22"/>
        </w:rPr>
        <w:t>are</w:t>
      </w:r>
      <w:r>
        <w:rPr>
          <w:rFonts w:ascii="Arial" w:hAnsi="Arial"/>
          <w:sz w:val="22"/>
          <w:szCs w:val="22"/>
        </w:rPr>
        <w:t xml:space="preserve"> </w:t>
      </w:r>
      <w:r w:rsidRPr="003F3DAC">
        <w:rPr>
          <w:rFonts w:ascii="Arial" w:hAnsi="Arial"/>
          <w:sz w:val="22"/>
          <w:szCs w:val="22"/>
        </w:rPr>
        <w:t>thus</w:t>
      </w:r>
      <w:r>
        <w:rPr>
          <w:rFonts w:ascii="Arial" w:hAnsi="Arial"/>
          <w:sz w:val="22"/>
          <w:szCs w:val="22"/>
        </w:rPr>
        <w:t xml:space="preserve"> </w:t>
      </w:r>
      <w:r w:rsidRPr="003F3DAC">
        <w:rPr>
          <w:rFonts w:ascii="Arial" w:hAnsi="Arial"/>
          <w:sz w:val="22"/>
          <w:szCs w:val="22"/>
        </w:rPr>
        <w:t>unable</w:t>
      </w:r>
      <w:r>
        <w:rPr>
          <w:rFonts w:ascii="Arial" w:hAnsi="Arial"/>
          <w:sz w:val="22"/>
          <w:szCs w:val="22"/>
        </w:rPr>
        <w:t xml:space="preserve"> </w:t>
      </w:r>
      <w:r w:rsidRPr="003F3DAC">
        <w:rPr>
          <w:rFonts w:ascii="Arial" w:hAnsi="Arial"/>
          <w:sz w:val="22"/>
          <w:szCs w:val="22"/>
        </w:rPr>
        <w:t>to</w:t>
      </w:r>
      <w:r>
        <w:rPr>
          <w:rFonts w:ascii="Arial" w:hAnsi="Arial"/>
          <w:sz w:val="22"/>
          <w:szCs w:val="22"/>
        </w:rPr>
        <w:t xml:space="preserve"> </w:t>
      </w:r>
      <w:r w:rsidRPr="003F3DAC">
        <w:rPr>
          <w:rFonts w:ascii="Arial" w:hAnsi="Arial"/>
          <w:sz w:val="22"/>
          <w:szCs w:val="22"/>
        </w:rPr>
        <w:t>document</w:t>
      </w:r>
      <w:r>
        <w:rPr>
          <w:rFonts w:ascii="Arial" w:hAnsi="Arial"/>
          <w:sz w:val="22"/>
          <w:szCs w:val="22"/>
        </w:rPr>
        <w:t xml:space="preserve"> </w:t>
      </w:r>
      <w:r w:rsidRPr="003F3DAC">
        <w:rPr>
          <w:rFonts w:ascii="Arial" w:hAnsi="Arial"/>
          <w:sz w:val="22"/>
          <w:szCs w:val="22"/>
        </w:rPr>
        <w:t>low</w:t>
      </w:r>
      <w:r>
        <w:rPr>
          <w:rFonts w:ascii="Arial" w:hAnsi="Arial"/>
          <w:sz w:val="22"/>
          <w:szCs w:val="22"/>
        </w:rPr>
        <w:t xml:space="preserve"> </w:t>
      </w:r>
      <w:r w:rsidRPr="003F3DAC">
        <w:rPr>
          <w:rFonts w:ascii="Arial" w:hAnsi="Arial"/>
          <w:sz w:val="22"/>
          <w:szCs w:val="22"/>
        </w:rPr>
        <w:t>testosterone</w:t>
      </w:r>
      <w:r>
        <w:rPr>
          <w:rFonts w:ascii="Arial" w:hAnsi="Arial"/>
          <w:sz w:val="22"/>
          <w:szCs w:val="22"/>
        </w:rPr>
        <w:t xml:space="preserve"> </w:t>
      </w:r>
      <w:r w:rsidRPr="003F3DAC">
        <w:rPr>
          <w:rFonts w:ascii="Arial" w:hAnsi="Arial"/>
          <w:sz w:val="22"/>
          <w:szCs w:val="22"/>
        </w:rPr>
        <w:t>despite</w:t>
      </w:r>
      <w:r>
        <w:rPr>
          <w:rFonts w:ascii="Arial" w:hAnsi="Arial"/>
          <w:sz w:val="22"/>
          <w:szCs w:val="22"/>
        </w:rPr>
        <w:t xml:space="preserve"> </w:t>
      </w:r>
      <w:r w:rsidRPr="003F3DAC">
        <w:rPr>
          <w:rFonts w:ascii="Arial" w:hAnsi="Arial"/>
          <w:sz w:val="22"/>
          <w:szCs w:val="22"/>
        </w:rPr>
        <w:t>requiring</w:t>
      </w:r>
      <w:r>
        <w:rPr>
          <w:rFonts w:ascii="Arial" w:hAnsi="Arial"/>
          <w:sz w:val="22"/>
          <w:szCs w:val="22"/>
        </w:rPr>
        <w:t xml:space="preserve"> </w:t>
      </w:r>
      <w:r w:rsidRPr="003F3DAC">
        <w:rPr>
          <w:rFonts w:ascii="Arial" w:hAnsi="Arial"/>
          <w:sz w:val="22"/>
          <w:szCs w:val="22"/>
        </w:rPr>
        <w:t>ongoing,</w:t>
      </w:r>
      <w:r>
        <w:rPr>
          <w:rFonts w:ascii="Arial" w:hAnsi="Arial"/>
          <w:sz w:val="22"/>
          <w:szCs w:val="22"/>
        </w:rPr>
        <w:t xml:space="preserve"> </w:t>
      </w:r>
      <w:r w:rsidRPr="003F3DAC">
        <w:rPr>
          <w:rFonts w:ascii="Arial" w:hAnsi="Arial"/>
          <w:sz w:val="22"/>
          <w:szCs w:val="22"/>
        </w:rPr>
        <w:t>lifelong</w:t>
      </w:r>
      <w:r>
        <w:rPr>
          <w:rFonts w:ascii="Arial" w:hAnsi="Arial"/>
          <w:sz w:val="22"/>
          <w:szCs w:val="22"/>
        </w:rPr>
        <w:t xml:space="preserve"> </w:t>
      </w:r>
      <w:r w:rsidRPr="003F3DAC">
        <w:rPr>
          <w:rFonts w:ascii="Arial" w:hAnsi="Arial"/>
          <w:sz w:val="22"/>
          <w:szCs w:val="22"/>
        </w:rPr>
        <w:t>administration</w:t>
      </w:r>
      <w:r>
        <w:rPr>
          <w:rFonts w:ascii="Arial" w:hAnsi="Arial"/>
          <w:sz w:val="22"/>
          <w:szCs w:val="22"/>
        </w:rPr>
        <w:t xml:space="preserve"> </w:t>
      </w:r>
      <w:r w:rsidRPr="003F3DAC">
        <w:rPr>
          <w:rFonts w:ascii="Arial" w:hAnsi="Arial"/>
          <w:sz w:val="22"/>
          <w:szCs w:val="22"/>
        </w:rPr>
        <w:t>of</w:t>
      </w:r>
      <w:r>
        <w:rPr>
          <w:rFonts w:ascii="Arial" w:hAnsi="Arial"/>
          <w:sz w:val="22"/>
          <w:szCs w:val="22"/>
        </w:rPr>
        <w:t xml:space="preserve"> </w:t>
      </w:r>
      <w:r w:rsidR="008B7D88">
        <w:rPr>
          <w:rFonts w:ascii="Arial" w:hAnsi="Arial"/>
          <w:sz w:val="22"/>
          <w:szCs w:val="22"/>
        </w:rPr>
        <w:t>testosterone)</w:t>
      </w:r>
      <w:r w:rsidRPr="003F3DAC">
        <w:rPr>
          <w:rFonts w:ascii="Arial" w:hAnsi="Arial"/>
          <w:sz w:val="22"/>
          <w:szCs w:val="22"/>
        </w:rPr>
        <w:t>;</w:t>
      </w:r>
    </w:p>
    <w:p w:rsidR="00BB4DB8" w:rsidRPr="00DF53DD" w:rsidRDefault="00BB4DB8" w:rsidP="00BB4DB8">
      <w:pPr>
        <w:pStyle w:val="ListParagraph"/>
        <w:numPr>
          <w:ilvl w:val="0"/>
          <w:numId w:val="45"/>
        </w:numPr>
        <w:ind w:left="1134" w:hanging="425"/>
        <w:jc w:val="both"/>
        <w:rPr>
          <w:rFonts w:ascii="Arial" w:hAnsi="Arial"/>
          <w:b/>
          <w:sz w:val="22"/>
          <w:szCs w:val="22"/>
        </w:rPr>
      </w:pPr>
      <w:r>
        <w:rPr>
          <w:rFonts w:ascii="Arial" w:hAnsi="Arial"/>
          <w:sz w:val="22"/>
          <w:szCs w:val="22"/>
        </w:rPr>
        <w:t xml:space="preserve">undergoing gender affirmation; and  </w:t>
      </w:r>
    </w:p>
    <w:p w:rsidR="00BB4DB8" w:rsidRPr="002223CA" w:rsidRDefault="00BB4DB8" w:rsidP="00BB4DB8">
      <w:pPr>
        <w:pStyle w:val="ListParagraph"/>
        <w:numPr>
          <w:ilvl w:val="0"/>
          <w:numId w:val="45"/>
        </w:numPr>
        <w:ind w:left="1134" w:hanging="425"/>
        <w:jc w:val="both"/>
        <w:rPr>
          <w:rFonts w:ascii="Arial" w:hAnsi="Arial"/>
          <w:b/>
          <w:sz w:val="22"/>
          <w:szCs w:val="22"/>
        </w:rPr>
      </w:pPr>
      <w:r w:rsidRPr="00DB3E0F">
        <w:rPr>
          <w:rFonts w:ascii="Arial" w:hAnsi="Arial"/>
          <w:sz w:val="22"/>
          <w:szCs w:val="22"/>
        </w:rPr>
        <w:t>with intersex characteristics who give informed consent on their own behalf</w:t>
      </w:r>
      <w:r>
        <w:rPr>
          <w:rFonts w:ascii="Arial" w:hAnsi="Arial"/>
          <w:sz w:val="22"/>
          <w:szCs w:val="22"/>
        </w:rPr>
        <w:t xml:space="preserve"> (excluding involuntary and coerced treatment of patients with intersex variations).</w:t>
      </w:r>
    </w:p>
    <w:p w:rsidR="00BB4DB8" w:rsidRPr="002223CA" w:rsidRDefault="00BB4DB8" w:rsidP="00BB4DB8">
      <w:pPr>
        <w:jc w:val="both"/>
        <w:rPr>
          <w:rFonts w:ascii="Arial" w:hAnsi="Arial"/>
          <w:b/>
          <w:sz w:val="22"/>
          <w:szCs w:val="22"/>
        </w:rPr>
      </w:pPr>
    </w:p>
    <w:p w:rsidR="00BB4DB8" w:rsidRPr="002223CA" w:rsidRDefault="00BB4DB8" w:rsidP="00BB4DB8">
      <w:pPr>
        <w:pStyle w:val="ListParagraph"/>
        <w:numPr>
          <w:ilvl w:val="1"/>
          <w:numId w:val="25"/>
        </w:numPr>
        <w:jc w:val="both"/>
        <w:rPr>
          <w:rFonts w:ascii="Arial" w:hAnsi="Arial"/>
          <w:sz w:val="22"/>
          <w:szCs w:val="22"/>
        </w:rPr>
      </w:pPr>
      <w:r>
        <w:rPr>
          <w:rFonts w:ascii="Arial" w:hAnsi="Arial"/>
          <w:sz w:val="22"/>
          <w:szCs w:val="22"/>
        </w:rPr>
        <w:t xml:space="preserve">The submission requested that </w:t>
      </w:r>
      <w:r w:rsidRPr="002223CA">
        <w:rPr>
          <w:rFonts w:ascii="Arial" w:hAnsi="Arial"/>
          <w:sz w:val="22"/>
          <w:szCs w:val="22"/>
        </w:rPr>
        <w:t>GP consultation with a (non</w:t>
      </w:r>
      <w:r>
        <w:rPr>
          <w:rFonts w:ascii="Arial" w:hAnsi="Arial"/>
          <w:sz w:val="22"/>
          <w:szCs w:val="22"/>
        </w:rPr>
        <w:t>-</w:t>
      </w:r>
      <w:r w:rsidRPr="002223CA">
        <w:rPr>
          <w:rFonts w:ascii="Arial" w:hAnsi="Arial"/>
          <w:sz w:val="22"/>
          <w:szCs w:val="22"/>
        </w:rPr>
        <w:t>GP) specialist for populations a, b, and c (above) should only be required where BOTH of the following two criteria are met:</w:t>
      </w:r>
    </w:p>
    <w:p w:rsidR="00BB4DB8" w:rsidRPr="002223CA" w:rsidRDefault="00BB4DB8" w:rsidP="00BB4DB8">
      <w:pPr>
        <w:pStyle w:val="ListParagraph"/>
        <w:numPr>
          <w:ilvl w:val="0"/>
          <w:numId w:val="49"/>
        </w:numPr>
        <w:ind w:left="1134" w:hanging="425"/>
        <w:jc w:val="both"/>
        <w:rPr>
          <w:rFonts w:ascii="Arial" w:hAnsi="Arial"/>
          <w:sz w:val="22"/>
          <w:szCs w:val="22"/>
        </w:rPr>
      </w:pPr>
      <w:r w:rsidRPr="002223CA">
        <w:rPr>
          <w:rFonts w:ascii="Arial" w:hAnsi="Arial"/>
          <w:sz w:val="22"/>
          <w:szCs w:val="22"/>
        </w:rPr>
        <w:t>routine monitoring or indicated assessment identifies a medical need beyond the individual</w:t>
      </w:r>
      <w:r>
        <w:rPr>
          <w:rFonts w:ascii="Arial" w:hAnsi="Arial"/>
          <w:sz w:val="22"/>
          <w:szCs w:val="22"/>
        </w:rPr>
        <w:t xml:space="preserve"> </w:t>
      </w:r>
      <w:r w:rsidRPr="002223CA">
        <w:rPr>
          <w:rFonts w:ascii="Arial" w:hAnsi="Arial"/>
          <w:sz w:val="22"/>
          <w:szCs w:val="22"/>
        </w:rPr>
        <w:t>GPs scope of practice and experience, as determined on a case-by-case basis; and</w:t>
      </w:r>
    </w:p>
    <w:p w:rsidR="00BB4DB8" w:rsidRPr="002223CA" w:rsidRDefault="00BB4DB8" w:rsidP="00BB4DB8">
      <w:pPr>
        <w:pStyle w:val="ListParagraph"/>
        <w:numPr>
          <w:ilvl w:val="0"/>
          <w:numId w:val="49"/>
        </w:numPr>
        <w:ind w:left="1134" w:hanging="425"/>
        <w:jc w:val="both"/>
        <w:rPr>
          <w:rFonts w:ascii="Arial" w:hAnsi="Arial"/>
          <w:sz w:val="22"/>
          <w:szCs w:val="22"/>
        </w:rPr>
      </w:pPr>
      <w:r w:rsidRPr="002223CA">
        <w:rPr>
          <w:rFonts w:ascii="Arial" w:hAnsi="Arial"/>
          <w:sz w:val="22"/>
          <w:szCs w:val="22"/>
        </w:rPr>
        <w:t>the consultation is with a specialist endocrinologist with specific expertise in testosterone therapy for the specific patient population (e.g., an endocrinologist with specific expertise in testosterone therapy for trans men will be consulted in the case of a trans man patient).</w:t>
      </w:r>
    </w:p>
    <w:p w:rsidR="00BB4DB8" w:rsidRDefault="00BB4DB8" w:rsidP="00BB4DB8">
      <w:pPr>
        <w:pStyle w:val="NoSpacing"/>
      </w:pPr>
    </w:p>
    <w:p w:rsidR="00BB4DB8" w:rsidRDefault="00BB4DB8" w:rsidP="00BB4DB8">
      <w:pPr>
        <w:pStyle w:val="ListParagraph"/>
        <w:numPr>
          <w:ilvl w:val="1"/>
          <w:numId w:val="25"/>
        </w:numPr>
        <w:jc w:val="both"/>
        <w:rPr>
          <w:rFonts w:ascii="Arial" w:hAnsi="Arial"/>
          <w:sz w:val="22"/>
          <w:szCs w:val="22"/>
        </w:rPr>
      </w:pPr>
      <w:r w:rsidRPr="002223CA">
        <w:rPr>
          <w:rFonts w:ascii="Arial" w:hAnsi="Arial"/>
          <w:sz w:val="22"/>
          <w:szCs w:val="22"/>
        </w:rPr>
        <w:t xml:space="preserve">In addition, the </w:t>
      </w:r>
      <w:r>
        <w:rPr>
          <w:rFonts w:ascii="Arial" w:hAnsi="Arial"/>
          <w:sz w:val="22"/>
          <w:szCs w:val="22"/>
        </w:rPr>
        <w:t>submission requested changes to the restriction to comply with federal anti-discrimination legislation:</w:t>
      </w:r>
    </w:p>
    <w:p w:rsidR="00BB4DB8" w:rsidRDefault="00BB4DB8" w:rsidP="004C4781">
      <w:pPr>
        <w:pStyle w:val="ListParagraph"/>
        <w:numPr>
          <w:ilvl w:val="0"/>
          <w:numId w:val="51"/>
        </w:numPr>
        <w:ind w:left="1134" w:hanging="425"/>
        <w:jc w:val="both"/>
        <w:rPr>
          <w:rFonts w:ascii="Arial" w:hAnsi="Arial"/>
          <w:sz w:val="22"/>
          <w:szCs w:val="22"/>
        </w:rPr>
      </w:pPr>
      <w:r>
        <w:rPr>
          <w:rFonts w:ascii="Arial" w:hAnsi="Arial"/>
          <w:sz w:val="22"/>
          <w:szCs w:val="22"/>
        </w:rPr>
        <w:t>the removal of the requirement for patients prescribed testosterone to be “male”;</w:t>
      </w:r>
    </w:p>
    <w:p w:rsidR="00646483" w:rsidRDefault="00BB4DB8" w:rsidP="004C4781">
      <w:pPr>
        <w:pStyle w:val="ListParagraph"/>
        <w:numPr>
          <w:ilvl w:val="0"/>
          <w:numId w:val="51"/>
        </w:numPr>
        <w:ind w:left="1134" w:hanging="425"/>
        <w:jc w:val="both"/>
        <w:rPr>
          <w:rFonts w:ascii="Arial" w:hAnsi="Arial"/>
          <w:sz w:val="22"/>
          <w:szCs w:val="22"/>
        </w:rPr>
      </w:pPr>
      <w:r>
        <w:rPr>
          <w:rFonts w:ascii="Arial" w:hAnsi="Arial"/>
          <w:sz w:val="22"/>
          <w:szCs w:val="22"/>
        </w:rPr>
        <w:t xml:space="preserve">restrict testosterone prescribing on the PBS by endocrinologists, urologists, and sexual health </w:t>
      </w:r>
      <w:r w:rsidRPr="00DB3E0F">
        <w:rPr>
          <w:rFonts w:ascii="Arial" w:hAnsi="Arial"/>
          <w:sz w:val="22"/>
          <w:szCs w:val="22"/>
        </w:rPr>
        <w:t>physicians for patients with intersex characteristics to only those who have given informed consent on their own behalf, inclu</w:t>
      </w:r>
      <w:r>
        <w:rPr>
          <w:rFonts w:ascii="Arial" w:hAnsi="Arial"/>
          <w:sz w:val="22"/>
          <w:szCs w:val="22"/>
        </w:rPr>
        <w:t>ding paediatric puberty induction and micropenis; and</w:t>
      </w:r>
    </w:p>
    <w:p w:rsidR="00BB4DB8" w:rsidRPr="004C4781" w:rsidRDefault="00BB4DB8" w:rsidP="004C4781">
      <w:pPr>
        <w:pStyle w:val="ListParagraph"/>
        <w:numPr>
          <w:ilvl w:val="0"/>
          <w:numId w:val="51"/>
        </w:numPr>
        <w:ind w:left="1134" w:hanging="425"/>
        <w:jc w:val="both"/>
        <w:rPr>
          <w:rFonts w:ascii="Arial" w:hAnsi="Arial"/>
          <w:sz w:val="22"/>
          <w:szCs w:val="22"/>
        </w:rPr>
      </w:pPr>
      <w:r w:rsidRPr="004C4781">
        <w:rPr>
          <w:rFonts w:ascii="Arial" w:hAnsi="Arial"/>
          <w:sz w:val="22"/>
          <w:szCs w:val="22"/>
        </w:rPr>
        <w:t>permit testosterone prescribing on the PBS for puberty induction and micropenis for patients with intersex variations who are over 18 years of age and can give informed consent on their own behalf.</w:t>
      </w:r>
    </w:p>
    <w:p w:rsidR="00D1455A" w:rsidRDefault="00D1455A" w:rsidP="00D1455A">
      <w:pPr>
        <w:pStyle w:val="ListParagraph"/>
        <w:jc w:val="both"/>
        <w:rPr>
          <w:rFonts w:ascii="Arial" w:hAnsi="Arial"/>
          <w:b/>
          <w:i/>
          <w:sz w:val="22"/>
          <w:szCs w:val="22"/>
        </w:rPr>
      </w:pPr>
    </w:p>
    <w:p w:rsidR="00BB7EC3" w:rsidRPr="00882085" w:rsidRDefault="00BB7EC3" w:rsidP="00882085">
      <w:pPr>
        <w:jc w:val="both"/>
        <w:rPr>
          <w:rFonts w:ascii="Arial" w:hAnsi="Arial"/>
          <w:b/>
          <w:sz w:val="22"/>
          <w:szCs w:val="22"/>
        </w:rPr>
      </w:pPr>
    </w:p>
    <w:p w:rsidR="00CE10C4" w:rsidRPr="00882085" w:rsidRDefault="00CE10C4" w:rsidP="00D960CB">
      <w:pPr>
        <w:pStyle w:val="ListParagraph"/>
        <w:keepNext/>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D960CB">
      <w:pPr>
        <w:keepNext/>
        <w:jc w:val="both"/>
        <w:rPr>
          <w:rFonts w:ascii="Arial" w:hAnsi="Arial"/>
          <w:sz w:val="22"/>
          <w:szCs w:val="22"/>
        </w:rPr>
      </w:pPr>
    </w:p>
    <w:p w:rsidR="00A624A4" w:rsidRPr="009F0E90" w:rsidRDefault="00A624A4" w:rsidP="00A624A4">
      <w:pPr>
        <w:pStyle w:val="ListParagraph"/>
        <w:numPr>
          <w:ilvl w:val="1"/>
          <w:numId w:val="25"/>
        </w:numPr>
        <w:jc w:val="both"/>
        <w:rPr>
          <w:rFonts w:ascii="Arial" w:hAnsi="Arial" w:cs="Arial"/>
          <w:sz w:val="22"/>
          <w:szCs w:val="22"/>
        </w:rPr>
      </w:pPr>
      <w:r w:rsidRPr="009F0E90">
        <w:rPr>
          <w:rFonts w:ascii="Arial" w:hAnsi="Arial" w:cs="Arial"/>
          <w:b/>
          <w:sz w:val="22"/>
          <w:szCs w:val="22"/>
        </w:rPr>
        <w:t>TGA status at the time of PBAC consideration</w:t>
      </w:r>
      <w:r w:rsidRPr="009F0E90">
        <w:rPr>
          <w:rFonts w:ascii="Arial" w:hAnsi="Arial" w:cs="Arial"/>
          <w:sz w:val="22"/>
          <w:szCs w:val="22"/>
        </w:rPr>
        <w:t>: Testosterone in various forms has been approved by the TGA for the following indications:</w:t>
      </w:r>
    </w:p>
    <w:p w:rsidR="00A624A4" w:rsidRPr="009F0E90" w:rsidRDefault="00A624A4" w:rsidP="009F0E90">
      <w:pPr>
        <w:numPr>
          <w:ilvl w:val="0"/>
          <w:numId w:val="53"/>
        </w:numPr>
        <w:ind w:left="1134" w:hanging="425"/>
        <w:contextualSpacing/>
        <w:jc w:val="both"/>
        <w:rPr>
          <w:rFonts w:ascii="Arial" w:hAnsi="Arial" w:cs="Arial"/>
          <w:sz w:val="22"/>
          <w:szCs w:val="22"/>
        </w:rPr>
      </w:pPr>
      <w:r w:rsidRPr="009F0E90">
        <w:rPr>
          <w:rFonts w:ascii="Arial" w:hAnsi="Arial" w:cs="Arial"/>
          <w:sz w:val="22"/>
          <w:szCs w:val="22"/>
        </w:rPr>
        <w:t>androgen replacement therapy for confirmed testosterone deficiency in males;</w:t>
      </w:r>
    </w:p>
    <w:p w:rsidR="00A624A4" w:rsidRPr="009F0E90" w:rsidRDefault="00A624A4" w:rsidP="009F0E90">
      <w:pPr>
        <w:numPr>
          <w:ilvl w:val="0"/>
          <w:numId w:val="53"/>
        </w:numPr>
        <w:ind w:left="1134" w:hanging="425"/>
        <w:contextualSpacing/>
        <w:jc w:val="both"/>
        <w:rPr>
          <w:rFonts w:ascii="Arial" w:hAnsi="Arial" w:cs="Arial"/>
          <w:sz w:val="22"/>
          <w:szCs w:val="22"/>
        </w:rPr>
      </w:pPr>
      <w:r w:rsidRPr="009F0E90">
        <w:rPr>
          <w:rFonts w:ascii="Arial" w:hAnsi="Arial" w:cs="Arial"/>
          <w:sz w:val="22"/>
          <w:szCs w:val="22"/>
        </w:rPr>
        <w:t>testosterone replacement therapy for confirmed testosterone deficiency in males;</w:t>
      </w:r>
    </w:p>
    <w:p w:rsidR="00A624A4" w:rsidRPr="009F0E90" w:rsidRDefault="00A624A4" w:rsidP="009F0E90">
      <w:pPr>
        <w:numPr>
          <w:ilvl w:val="0"/>
          <w:numId w:val="53"/>
        </w:numPr>
        <w:ind w:left="1134" w:hanging="425"/>
        <w:contextualSpacing/>
        <w:jc w:val="both"/>
        <w:rPr>
          <w:rFonts w:ascii="Arial" w:hAnsi="Arial" w:cs="Arial"/>
          <w:sz w:val="22"/>
          <w:szCs w:val="22"/>
        </w:rPr>
      </w:pPr>
      <w:r w:rsidRPr="009F0E90">
        <w:rPr>
          <w:rFonts w:ascii="Arial" w:hAnsi="Arial" w:cs="Arial"/>
          <w:sz w:val="22"/>
          <w:szCs w:val="22"/>
        </w:rPr>
        <w:t>testosterone replacement therapy for male hypogonadism when testosterone deficiency has been confirmed by clinical features and biochemical tests; and</w:t>
      </w:r>
    </w:p>
    <w:p w:rsidR="00A624A4" w:rsidRPr="000165C5" w:rsidRDefault="00A624A4" w:rsidP="009F0E90">
      <w:pPr>
        <w:numPr>
          <w:ilvl w:val="0"/>
          <w:numId w:val="53"/>
        </w:numPr>
        <w:ind w:left="1134" w:hanging="425"/>
        <w:contextualSpacing/>
        <w:jc w:val="both"/>
        <w:rPr>
          <w:rFonts w:ascii="Arial" w:hAnsi="Arial" w:cs="Arial"/>
          <w:sz w:val="22"/>
          <w:szCs w:val="22"/>
        </w:rPr>
      </w:pPr>
      <w:r w:rsidRPr="009F0E90">
        <w:rPr>
          <w:rFonts w:ascii="Arial" w:hAnsi="Arial" w:cs="Arial"/>
          <w:sz w:val="22"/>
          <w:szCs w:val="22"/>
        </w:rPr>
        <w:t>testosterone replacement in primary and secondary male hypogonadism;</w:t>
      </w:r>
    </w:p>
    <w:p w:rsidR="00A624A4" w:rsidRDefault="00A624A4" w:rsidP="00A624A4">
      <w:pPr>
        <w:pStyle w:val="ListParagraph"/>
        <w:ind w:left="1440"/>
        <w:jc w:val="both"/>
        <w:rPr>
          <w:rFonts w:ascii="Arial" w:hAnsi="Arial" w:cs="Arial"/>
          <w:sz w:val="22"/>
          <w:szCs w:val="22"/>
        </w:rPr>
      </w:pPr>
    </w:p>
    <w:p w:rsidR="007461AA" w:rsidRPr="00305A54" w:rsidRDefault="007461AA" w:rsidP="007461AA">
      <w:pPr>
        <w:pStyle w:val="ListParagraph"/>
        <w:numPr>
          <w:ilvl w:val="1"/>
          <w:numId w:val="25"/>
        </w:numPr>
        <w:jc w:val="both"/>
        <w:rPr>
          <w:rFonts w:ascii="Arial" w:hAnsi="Arial" w:cs="Arial"/>
          <w:sz w:val="22"/>
          <w:szCs w:val="22"/>
        </w:rPr>
      </w:pPr>
      <w:r w:rsidRPr="00305A54">
        <w:rPr>
          <w:rFonts w:ascii="Arial" w:hAnsi="Arial" w:cs="Arial"/>
          <w:sz w:val="22"/>
          <w:szCs w:val="22"/>
        </w:rPr>
        <w:t xml:space="preserve">In its August 2013 </w:t>
      </w:r>
      <w:r w:rsidR="007E37D0" w:rsidRPr="007E37D0">
        <w:rPr>
          <w:rFonts w:ascii="Arial" w:hAnsi="Arial" w:cs="Arial"/>
          <w:sz w:val="22"/>
          <w:szCs w:val="22"/>
        </w:rPr>
        <w:t>S</w:t>
      </w:r>
      <w:r w:rsidR="00EF2A4E" w:rsidRPr="007E37D0">
        <w:rPr>
          <w:rFonts w:ascii="Arial" w:hAnsi="Arial" w:cs="Arial"/>
          <w:sz w:val="22"/>
          <w:szCs w:val="22"/>
        </w:rPr>
        <w:t xml:space="preserve">pecial meeting </w:t>
      </w:r>
      <w:r w:rsidRPr="007E37D0">
        <w:rPr>
          <w:rFonts w:ascii="Arial" w:hAnsi="Arial" w:cs="Arial"/>
          <w:sz w:val="22"/>
          <w:szCs w:val="22"/>
        </w:rPr>
        <w:t>consideration</w:t>
      </w:r>
      <w:r w:rsidRPr="00305A54">
        <w:rPr>
          <w:rFonts w:ascii="Arial" w:hAnsi="Arial" w:cs="Arial"/>
          <w:sz w:val="22"/>
          <w:szCs w:val="22"/>
        </w:rPr>
        <w:t xml:space="preserve"> of the DUSC analysis, the PBAC noted the following recent utilisation and expenditure trends regarding testosterone products:</w:t>
      </w:r>
    </w:p>
    <w:p w:rsidR="007461AA" w:rsidRPr="00305A54" w:rsidRDefault="007461AA" w:rsidP="007461AA">
      <w:pPr>
        <w:numPr>
          <w:ilvl w:val="0"/>
          <w:numId w:val="53"/>
        </w:numPr>
        <w:ind w:left="1134" w:hanging="425"/>
        <w:contextualSpacing/>
        <w:jc w:val="both"/>
        <w:rPr>
          <w:rFonts w:ascii="Arial" w:hAnsi="Arial" w:cs="Arial"/>
          <w:sz w:val="22"/>
          <w:szCs w:val="22"/>
        </w:rPr>
      </w:pPr>
      <w:r w:rsidRPr="00305A54">
        <w:rPr>
          <w:rFonts w:ascii="Arial" w:hAnsi="Arial" w:cs="Arial"/>
          <w:sz w:val="22"/>
          <w:szCs w:val="22"/>
        </w:rPr>
        <w:t xml:space="preserve">Increased expenditure in the last five years coincided with the PBS-listing of the transdermal gel and the long-acting intramuscular injection 1000mg. </w:t>
      </w:r>
    </w:p>
    <w:p w:rsidR="007461AA" w:rsidRPr="00305A54" w:rsidRDefault="007461AA" w:rsidP="007461AA">
      <w:pPr>
        <w:numPr>
          <w:ilvl w:val="0"/>
          <w:numId w:val="53"/>
        </w:numPr>
        <w:ind w:left="1134" w:hanging="425"/>
        <w:contextualSpacing/>
        <w:jc w:val="both"/>
        <w:rPr>
          <w:rFonts w:ascii="Arial" w:hAnsi="Arial" w:cs="Arial"/>
          <w:sz w:val="22"/>
          <w:szCs w:val="22"/>
        </w:rPr>
      </w:pPr>
      <w:r w:rsidRPr="00305A54">
        <w:rPr>
          <w:rFonts w:ascii="Arial" w:hAnsi="Arial" w:cs="Arial"/>
          <w:sz w:val="22"/>
          <w:szCs w:val="22"/>
        </w:rPr>
        <w:t xml:space="preserve">The number of PBS/RPBS-prescriptions increased, while non-PBS prescriptions remained stable and low. </w:t>
      </w:r>
    </w:p>
    <w:p w:rsidR="007461AA" w:rsidRPr="00305A54" w:rsidRDefault="007461AA" w:rsidP="007461AA">
      <w:pPr>
        <w:numPr>
          <w:ilvl w:val="0"/>
          <w:numId w:val="53"/>
        </w:numPr>
        <w:ind w:left="1134" w:hanging="425"/>
        <w:contextualSpacing/>
        <w:jc w:val="both"/>
        <w:rPr>
          <w:rFonts w:ascii="Arial" w:hAnsi="Arial" w:cs="Arial"/>
          <w:sz w:val="22"/>
          <w:szCs w:val="22"/>
        </w:rPr>
      </w:pPr>
      <w:r w:rsidRPr="00305A54">
        <w:rPr>
          <w:rFonts w:ascii="Arial" w:hAnsi="Arial" w:cs="Arial"/>
          <w:sz w:val="22"/>
          <w:szCs w:val="22"/>
        </w:rPr>
        <w:t xml:space="preserve">Though the proportion of GPs writing the first testosterone prescription for a patient has increased only slightly (62% in 2005 to 68% in 2011), almost all of the growth in new patients treated in the most recent year of analysis (2011) was due to initiations by GPs (84%), rather than by specialists. </w:t>
      </w:r>
    </w:p>
    <w:p w:rsidR="007461AA" w:rsidRPr="00305A54" w:rsidRDefault="007461AA" w:rsidP="007461AA">
      <w:pPr>
        <w:numPr>
          <w:ilvl w:val="0"/>
          <w:numId w:val="53"/>
        </w:numPr>
        <w:ind w:left="1134" w:hanging="425"/>
        <w:contextualSpacing/>
        <w:jc w:val="both"/>
        <w:rPr>
          <w:rFonts w:ascii="Arial" w:hAnsi="Arial" w:cs="Arial"/>
          <w:sz w:val="22"/>
          <w:szCs w:val="22"/>
        </w:rPr>
      </w:pPr>
      <w:r w:rsidRPr="00305A54">
        <w:rPr>
          <w:rFonts w:ascii="Arial" w:hAnsi="Arial" w:cs="Arial"/>
          <w:sz w:val="22"/>
          <w:szCs w:val="22"/>
        </w:rPr>
        <w:t>Utilisation in the younger age groups remained constant, while initiations for patients aged 40-79 years had increased over time. The PBAC considered that the growth in initiations for patients in the 40-79 aged cohorts may be due to the increase in diagnosis and treatment of PBS listed indications, however may also include inappropriate use outside the PBS restrictions, such as patients without a pathologically-based androgen deficiency.</w:t>
      </w:r>
    </w:p>
    <w:p w:rsidR="007461AA" w:rsidRPr="00305A54" w:rsidRDefault="007461AA" w:rsidP="007461AA">
      <w:pPr>
        <w:jc w:val="both"/>
        <w:rPr>
          <w:rFonts w:ascii="Arial" w:hAnsi="Arial" w:cs="Arial"/>
          <w:sz w:val="22"/>
          <w:szCs w:val="22"/>
        </w:rPr>
      </w:pPr>
    </w:p>
    <w:p w:rsidR="007461AA" w:rsidRPr="00305A54" w:rsidRDefault="007461AA" w:rsidP="007461AA">
      <w:pPr>
        <w:pStyle w:val="ListParagraph"/>
        <w:numPr>
          <w:ilvl w:val="1"/>
          <w:numId w:val="25"/>
        </w:numPr>
        <w:jc w:val="both"/>
        <w:rPr>
          <w:rFonts w:ascii="Arial" w:hAnsi="Arial" w:cs="Arial"/>
          <w:sz w:val="22"/>
          <w:szCs w:val="22"/>
        </w:rPr>
      </w:pPr>
      <w:r w:rsidRPr="00305A54">
        <w:rPr>
          <w:rFonts w:ascii="Arial" w:hAnsi="Arial" w:cs="Arial"/>
          <w:sz w:val="22"/>
          <w:szCs w:val="22"/>
        </w:rPr>
        <w:t>The PBAC made the following recommendations regarding the PBS restrictions for testosterone products:</w:t>
      </w:r>
    </w:p>
    <w:p w:rsidR="007461AA" w:rsidRPr="00305A54" w:rsidRDefault="007461AA" w:rsidP="007461AA">
      <w:pPr>
        <w:numPr>
          <w:ilvl w:val="0"/>
          <w:numId w:val="53"/>
        </w:numPr>
        <w:ind w:left="1134" w:hanging="425"/>
        <w:contextualSpacing/>
        <w:jc w:val="both"/>
        <w:rPr>
          <w:rFonts w:ascii="Arial" w:hAnsi="Arial" w:cs="Arial"/>
          <w:sz w:val="22"/>
          <w:szCs w:val="22"/>
        </w:rPr>
      </w:pPr>
      <w:r w:rsidRPr="00305A54">
        <w:rPr>
          <w:rFonts w:ascii="Arial" w:hAnsi="Arial" w:cs="Arial"/>
          <w:sz w:val="22"/>
          <w:szCs w:val="22"/>
        </w:rPr>
        <w:t xml:space="preserve">Amending the serum testosterone threshold for men aged 40 years or older who do not have established pituitary disorders to 6-15nmol/L in combination with a high LH (greater than 1.5 times the upper limit of the eugonadal reference range for young men, or greater than 14 IU/L, whichever is higher). Confirmation of androgen deficiency should include measurement of serum testosterone, LH and FSH to allow for the appropriate diagnosis of primary androgen deficiency. </w:t>
      </w:r>
    </w:p>
    <w:p w:rsidR="007461AA" w:rsidRDefault="007461AA" w:rsidP="007461AA">
      <w:pPr>
        <w:numPr>
          <w:ilvl w:val="0"/>
          <w:numId w:val="53"/>
        </w:numPr>
        <w:ind w:left="1134" w:hanging="425"/>
        <w:contextualSpacing/>
        <w:jc w:val="both"/>
        <w:rPr>
          <w:rFonts w:ascii="Arial" w:hAnsi="Arial" w:cs="Arial"/>
          <w:sz w:val="22"/>
          <w:szCs w:val="22"/>
        </w:rPr>
      </w:pPr>
      <w:r w:rsidRPr="00305A54">
        <w:rPr>
          <w:rFonts w:ascii="Arial" w:hAnsi="Arial" w:cs="Arial"/>
          <w:sz w:val="22"/>
          <w:szCs w:val="22"/>
        </w:rPr>
        <w:t xml:space="preserve">Patients prescribed testosterone must be treated by a specialist paediatric endocrinologist, specialist paediatrician, specialist endocrinologist, specialist urologist, or a general practitioner in consultation with one of the above specialists listed or to have an appointment to be assessed by one of these specialists.  </w:t>
      </w:r>
    </w:p>
    <w:p w:rsidR="000F6186" w:rsidRPr="00E0617D" w:rsidRDefault="007461AA" w:rsidP="00E0617D">
      <w:pPr>
        <w:numPr>
          <w:ilvl w:val="0"/>
          <w:numId w:val="53"/>
        </w:numPr>
        <w:ind w:left="1134" w:hanging="425"/>
        <w:contextualSpacing/>
        <w:jc w:val="both"/>
        <w:rPr>
          <w:rFonts w:ascii="Arial" w:hAnsi="Arial"/>
          <w:sz w:val="22"/>
          <w:szCs w:val="22"/>
        </w:rPr>
      </w:pPr>
      <w:r w:rsidRPr="00E0617D">
        <w:rPr>
          <w:rFonts w:ascii="Arial" w:hAnsi="Arial" w:cs="Arial"/>
          <w:sz w:val="22"/>
          <w:szCs w:val="22"/>
        </w:rPr>
        <w:t>Excluding treatment for low serum testosterone due primarily to age, obesity, cardiovascular diseases, infertility or drugs. These indications have not been assessed for efficacy and cost-effectiveness by the PBAC</w:t>
      </w:r>
      <w:r w:rsidR="00E0617D">
        <w:rPr>
          <w:rFonts w:ascii="Arial" w:hAnsi="Arial" w:cs="Arial"/>
          <w:sz w:val="22"/>
          <w:szCs w:val="22"/>
        </w:rPr>
        <w:t xml:space="preserve"> </w:t>
      </w:r>
      <w:r w:rsidR="00E0617D" w:rsidRPr="00E0617D">
        <w:rPr>
          <w:rFonts w:ascii="Arial" w:hAnsi="Arial" w:cs="Arial"/>
          <w:i/>
          <w:sz w:val="22"/>
          <w:szCs w:val="22"/>
        </w:rPr>
        <w:t>(See Public Summary Document on testosterone – August 2013 PBAC Meeting)</w:t>
      </w:r>
      <w:r w:rsidR="00E0617D">
        <w:rPr>
          <w:rFonts w:ascii="Arial" w:hAnsi="Arial" w:cs="Arial"/>
          <w:i/>
          <w:sz w:val="22"/>
          <w:szCs w:val="22"/>
        </w:rPr>
        <w:t>.</w:t>
      </w:r>
      <w:r w:rsidR="00EF2A4E" w:rsidRPr="00E0617D">
        <w:rPr>
          <w:rFonts w:ascii="Arial" w:hAnsi="Arial" w:cs="Arial"/>
          <w:sz w:val="22"/>
          <w:szCs w:val="22"/>
        </w:rPr>
        <w:t xml:space="preserve"> </w:t>
      </w:r>
    </w:p>
    <w:p w:rsidR="000F6186" w:rsidRDefault="000F6186" w:rsidP="000F6186">
      <w:pPr>
        <w:pStyle w:val="ListParagraph"/>
        <w:jc w:val="both"/>
        <w:rPr>
          <w:rFonts w:ascii="Arial" w:hAnsi="Arial"/>
          <w:sz w:val="22"/>
          <w:szCs w:val="22"/>
        </w:rPr>
      </w:pPr>
    </w:p>
    <w:p w:rsidR="006B0D94" w:rsidRDefault="004D62C7" w:rsidP="004D62C7">
      <w:pPr>
        <w:pStyle w:val="ListParagraph"/>
        <w:numPr>
          <w:ilvl w:val="1"/>
          <w:numId w:val="25"/>
        </w:numPr>
        <w:jc w:val="both"/>
        <w:rPr>
          <w:rFonts w:ascii="Arial" w:hAnsi="Arial"/>
          <w:sz w:val="22"/>
          <w:szCs w:val="22"/>
        </w:rPr>
      </w:pPr>
      <w:r w:rsidRPr="004D62C7">
        <w:rPr>
          <w:rFonts w:ascii="Arial" w:hAnsi="Arial"/>
          <w:sz w:val="22"/>
          <w:szCs w:val="22"/>
        </w:rPr>
        <w:t xml:space="preserve">At its July 2014 meeting, the PBAC recommended amendments to the restrictions for testosterone products. The revised restrictions </w:t>
      </w:r>
      <w:r w:rsidR="00DB3E0F">
        <w:rPr>
          <w:rFonts w:ascii="Arial" w:hAnsi="Arial"/>
          <w:sz w:val="22"/>
          <w:szCs w:val="22"/>
        </w:rPr>
        <w:t xml:space="preserve">which </w:t>
      </w:r>
      <w:r w:rsidRPr="004D62C7">
        <w:rPr>
          <w:rFonts w:ascii="Arial" w:hAnsi="Arial"/>
          <w:sz w:val="22"/>
          <w:szCs w:val="22"/>
        </w:rPr>
        <w:t>came into effect for all PBS-</w:t>
      </w:r>
      <w:r w:rsidRPr="004D62C7">
        <w:rPr>
          <w:rFonts w:ascii="Arial" w:hAnsi="Arial"/>
          <w:sz w:val="22"/>
          <w:szCs w:val="22"/>
        </w:rPr>
        <w:lastRenderedPageBreak/>
        <w:t>listed testosterone products on 1 April 201</w:t>
      </w:r>
      <w:r w:rsidR="0018738F">
        <w:rPr>
          <w:rFonts w:ascii="Arial" w:hAnsi="Arial"/>
          <w:sz w:val="22"/>
          <w:szCs w:val="22"/>
        </w:rPr>
        <w:t>5</w:t>
      </w:r>
      <w:r w:rsidR="001A6354">
        <w:rPr>
          <w:rFonts w:ascii="Arial" w:hAnsi="Arial"/>
          <w:sz w:val="22"/>
          <w:szCs w:val="22"/>
        </w:rPr>
        <w:t xml:space="preserve"> </w:t>
      </w:r>
      <w:r w:rsidR="00DB3E0F">
        <w:rPr>
          <w:rFonts w:ascii="Arial" w:hAnsi="Arial"/>
          <w:sz w:val="22"/>
          <w:szCs w:val="22"/>
        </w:rPr>
        <w:t>are</w:t>
      </w:r>
      <w:r w:rsidR="001A6354">
        <w:rPr>
          <w:rFonts w:ascii="Arial" w:hAnsi="Arial"/>
          <w:sz w:val="22"/>
          <w:szCs w:val="22"/>
        </w:rPr>
        <w:t xml:space="preserve"> provided </w:t>
      </w:r>
      <w:r w:rsidR="00DB3E0F">
        <w:rPr>
          <w:rFonts w:ascii="Arial" w:hAnsi="Arial"/>
          <w:sz w:val="22"/>
          <w:szCs w:val="22"/>
        </w:rPr>
        <w:t>at</w:t>
      </w:r>
      <w:r w:rsidR="001A6354">
        <w:rPr>
          <w:rFonts w:ascii="Arial" w:hAnsi="Arial"/>
          <w:sz w:val="22"/>
          <w:szCs w:val="22"/>
        </w:rPr>
        <w:t xml:space="preserve"> attachment </w:t>
      </w:r>
      <w:r w:rsidR="00DB3E0F">
        <w:rPr>
          <w:rFonts w:ascii="Arial" w:hAnsi="Arial"/>
          <w:sz w:val="22"/>
          <w:szCs w:val="22"/>
        </w:rPr>
        <w:t xml:space="preserve">A </w:t>
      </w:r>
      <w:r w:rsidR="004C0E70">
        <w:rPr>
          <w:rFonts w:ascii="Arial" w:hAnsi="Arial"/>
          <w:i/>
          <w:sz w:val="22"/>
          <w:szCs w:val="22"/>
        </w:rPr>
        <w:t xml:space="preserve">(See </w:t>
      </w:r>
      <w:r w:rsidR="00E0617D" w:rsidRPr="00E0617D">
        <w:rPr>
          <w:rFonts w:ascii="Arial" w:hAnsi="Arial"/>
          <w:i/>
          <w:sz w:val="22"/>
          <w:szCs w:val="22"/>
        </w:rPr>
        <w:t>Public Summary Document on review of proposed amendments to PBS restrictions for testosterone products - July 2014</w:t>
      </w:r>
      <w:r w:rsidR="00E0617D" w:rsidRPr="00E0617D">
        <w:rPr>
          <w:rFonts w:ascii="Arial" w:hAnsi="Arial"/>
          <w:sz w:val="22"/>
          <w:szCs w:val="22"/>
        </w:rPr>
        <w:t>).</w:t>
      </w:r>
    </w:p>
    <w:p w:rsidR="004D62C7" w:rsidRPr="00882085" w:rsidRDefault="004D62C7" w:rsidP="00882085">
      <w:pPr>
        <w:pStyle w:val="ListParagraph"/>
        <w:jc w:val="both"/>
        <w:rPr>
          <w:rFonts w:ascii="Arial" w:hAnsi="Arial"/>
          <w:sz w:val="22"/>
          <w:szCs w:val="22"/>
        </w:rPr>
      </w:pPr>
    </w:p>
    <w:p w:rsidR="00B641AB" w:rsidRDefault="00B641AB" w:rsidP="00B641AB">
      <w:pPr>
        <w:pStyle w:val="ListParagraph"/>
        <w:jc w:val="both"/>
        <w:rPr>
          <w:rFonts w:ascii="Arial" w:hAnsi="Arial"/>
          <w:sz w:val="22"/>
          <w:szCs w:val="22"/>
        </w:rPr>
      </w:pPr>
    </w:p>
    <w:p w:rsidR="00B641AB" w:rsidRPr="00B641AB" w:rsidRDefault="00B641AB" w:rsidP="00B641AB">
      <w:pPr>
        <w:pStyle w:val="ListParagraph"/>
        <w:numPr>
          <w:ilvl w:val="0"/>
          <w:numId w:val="25"/>
        </w:numPr>
        <w:jc w:val="both"/>
        <w:rPr>
          <w:rFonts w:ascii="Arial" w:hAnsi="Arial"/>
          <w:sz w:val="22"/>
          <w:szCs w:val="22"/>
        </w:rPr>
      </w:pPr>
      <w:r w:rsidRPr="00B641AB">
        <w:rPr>
          <w:rFonts w:ascii="Arial" w:hAnsi="Arial"/>
          <w:b/>
          <w:sz w:val="22"/>
          <w:szCs w:val="22"/>
        </w:rPr>
        <w:t>Clinical place for the proposed therapy</w:t>
      </w:r>
    </w:p>
    <w:p w:rsidR="00B641AB" w:rsidRPr="00B641AB" w:rsidRDefault="00B641AB" w:rsidP="00B641AB">
      <w:pPr>
        <w:pStyle w:val="ListParagraph"/>
        <w:jc w:val="both"/>
        <w:rPr>
          <w:rFonts w:ascii="Arial" w:hAnsi="Arial"/>
          <w:sz w:val="22"/>
          <w:szCs w:val="22"/>
        </w:rPr>
      </w:pPr>
    </w:p>
    <w:p w:rsidR="007E37D0" w:rsidRDefault="000F6186" w:rsidP="007E37D0">
      <w:pPr>
        <w:pStyle w:val="ListParagraph"/>
        <w:numPr>
          <w:ilvl w:val="1"/>
          <w:numId w:val="25"/>
        </w:numPr>
        <w:jc w:val="both"/>
        <w:rPr>
          <w:rFonts w:ascii="Arial" w:hAnsi="Arial"/>
          <w:sz w:val="22"/>
          <w:szCs w:val="22"/>
        </w:rPr>
      </w:pPr>
      <w:r w:rsidRPr="000F6186">
        <w:rPr>
          <w:rFonts w:ascii="Arial" w:hAnsi="Arial"/>
          <w:sz w:val="22"/>
          <w:szCs w:val="22"/>
        </w:rPr>
        <w:t>Androgen deficiency is treated with androgen replacement therapy most often in the form of testosterone therapy. Restoring testosterone levels to within the normal range can result in improvements over time in muscle mass, mood, sexual desire, libido and sexual function.</w:t>
      </w:r>
    </w:p>
    <w:p w:rsidR="007E37D0" w:rsidRDefault="007E37D0" w:rsidP="007E37D0">
      <w:pPr>
        <w:pStyle w:val="ListParagraph"/>
        <w:jc w:val="both"/>
        <w:rPr>
          <w:rFonts w:ascii="Arial" w:hAnsi="Arial"/>
          <w:sz w:val="22"/>
          <w:szCs w:val="22"/>
        </w:rPr>
      </w:pPr>
    </w:p>
    <w:p w:rsidR="009278C3" w:rsidRPr="007E37D0" w:rsidRDefault="00053357" w:rsidP="007E37D0">
      <w:pPr>
        <w:pStyle w:val="ListParagraph"/>
        <w:numPr>
          <w:ilvl w:val="1"/>
          <w:numId w:val="25"/>
        </w:numPr>
        <w:jc w:val="both"/>
        <w:rPr>
          <w:rFonts w:ascii="Arial" w:hAnsi="Arial"/>
          <w:sz w:val="22"/>
          <w:szCs w:val="22"/>
        </w:rPr>
      </w:pPr>
      <w:r w:rsidRPr="007E37D0">
        <w:rPr>
          <w:rFonts w:ascii="Arial" w:hAnsi="Arial"/>
          <w:sz w:val="22"/>
          <w:szCs w:val="22"/>
        </w:rPr>
        <w:t xml:space="preserve">The changes requested by the </w:t>
      </w:r>
      <w:r w:rsidR="007E37D0">
        <w:rPr>
          <w:rFonts w:ascii="Arial" w:hAnsi="Arial"/>
          <w:sz w:val="22"/>
          <w:szCs w:val="22"/>
        </w:rPr>
        <w:t xml:space="preserve">National </w:t>
      </w:r>
      <w:r w:rsidRPr="007E37D0">
        <w:rPr>
          <w:rFonts w:ascii="Arial" w:hAnsi="Arial"/>
          <w:sz w:val="22"/>
          <w:szCs w:val="22"/>
        </w:rPr>
        <w:t xml:space="preserve">LGBTI </w:t>
      </w:r>
      <w:r w:rsidR="007E37D0">
        <w:rPr>
          <w:rFonts w:ascii="Arial" w:hAnsi="Arial"/>
          <w:sz w:val="22"/>
          <w:szCs w:val="22"/>
        </w:rPr>
        <w:t xml:space="preserve">Health </w:t>
      </w:r>
      <w:r w:rsidRPr="007E37D0">
        <w:rPr>
          <w:rFonts w:ascii="Arial" w:hAnsi="Arial"/>
          <w:sz w:val="22"/>
          <w:szCs w:val="22"/>
        </w:rPr>
        <w:t xml:space="preserve">Alliance are intended to ensure initial and continuing access to testosterone on the </w:t>
      </w:r>
      <w:r w:rsidR="0018738F" w:rsidRPr="007E37D0">
        <w:rPr>
          <w:rFonts w:ascii="Arial" w:hAnsi="Arial"/>
          <w:sz w:val="22"/>
          <w:szCs w:val="22"/>
        </w:rPr>
        <w:t xml:space="preserve">PBS for consenting intersex and </w:t>
      </w:r>
      <w:r w:rsidRPr="007E37D0">
        <w:rPr>
          <w:rFonts w:ascii="Arial" w:hAnsi="Arial"/>
          <w:sz w:val="22"/>
          <w:szCs w:val="22"/>
        </w:rPr>
        <w:t>transgender patients within a primary care setting.</w:t>
      </w:r>
    </w:p>
    <w:p w:rsidR="004C4D8A" w:rsidRDefault="004C4D8A" w:rsidP="004C4D8A">
      <w:pPr>
        <w:pStyle w:val="ListParagraph"/>
        <w:jc w:val="both"/>
        <w:rPr>
          <w:rFonts w:ascii="Arial" w:hAnsi="Arial"/>
          <w:sz w:val="22"/>
          <w:szCs w:val="22"/>
        </w:rPr>
      </w:pPr>
    </w:p>
    <w:p w:rsidR="000165C5" w:rsidRDefault="000165C5" w:rsidP="004C4D8A">
      <w:pPr>
        <w:pStyle w:val="ListParagraph"/>
        <w:jc w:val="both"/>
        <w:rPr>
          <w:rFonts w:ascii="Arial" w:hAnsi="Arial"/>
          <w:sz w:val="22"/>
          <w:szCs w:val="22"/>
        </w:rPr>
      </w:pPr>
    </w:p>
    <w:p w:rsidR="00053357" w:rsidRDefault="00053357" w:rsidP="009278C3">
      <w:pPr>
        <w:pStyle w:val="ListParagraph"/>
        <w:numPr>
          <w:ilvl w:val="0"/>
          <w:numId w:val="25"/>
        </w:numPr>
        <w:jc w:val="both"/>
        <w:rPr>
          <w:rFonts w:ascii="Arial" w:hAnsi="Arial"/>
          <w:b/>
          <w:sz w:val="22"/>
          <w:szCs w:val="22"/>
        </w:rPr>
      </w:pPr>
      <w:r>
        <w:rPr>
          <w:rFonts w:ascii="Arial" w:hAnsi="Arial"/>
          <w:b/>
          <w:sz w:val="22"/>
          <w:szCs w:val="22"/>
        </w:rPr>
        <w:t>Comparator</w:t>
      </w:r>
    </w:p>
    <w:p w:rsidR="00053357" w:rsidRDefault="00053357" w:rsidP="00245DA6">
      <w:pPr>
        <w:pStyle w:val="ListParagraph"/>
        <w:jc w:val="both"/>
        <w:rPr>
          <w:rFonts w:ascii="Arial" w:hAnsi="Arial"/>
          <w:b/>
          <w:sz w:val="22"/>
          <w:szCs w:val="22"/>
        </w:rPr>
      </w:pPr>
    </w:p>
    <w:p w:rsidR="00053357" w:rsidRDefault="00053357" w:rsidP="00245DA6">
      <w:pPr>
        <w:pStyle w:val="ListParagraph"/>
        <w:numPr>
          <w:ilvl w:val="1"/>
          <w:numId w:val="25"/>
        </w:numPr>
        <w:jc w:val="both"/>
        <w:rPr>
          <w:rFonts w:ascii="Arial" w:hAnsi="Arial"/>
          <w:sz w:val="22"/>
          <w:szCs w:val="22"/>
        </w:rPr>
      </w:pPr>
      <w:r>
        <w:rPr>
          <w:rFonts w:ascii="Arial" w:hAnsi="Arial"/>
          <w:sz w:val="22"/>
          <w:szCs w:val="22"/>
        </w:rPr>
        <w:t>As a minor submission, there was no economic comparison</w:t>
      </w:r>
      <w:r w:rsidR="00BF3664">
        <w:rPr>
          <w:rFonts w:ascii="Arial" w:hAnsi="Arial"/>
          <w:sz w:val="22"/>
          <w:szCs w:val="22"/>
        </w:rPr>
        <w:t xml:space="preserve"> presented</w:t>
      </w:r>
      <w:r>
        <w:rPr>
          <w:rFonts w:ascii="Arial" w:hAnsi="Arial"/>
          <w:sz w:val="22"/>
          <w:szCs w:val="22"/>
        </w:rPr>
        <w:t>.</w:t>
      </w:r>
    </w:p>
    <w:p w:rsidR="00053357" w:rsidRDefault="00053357" w:rsidP="00245DA6">
      <w:pPr>
        <w:pStyle w:val="ListParagraph"/>
        <w:jc w:val="both"/>
        <w:rPr>
          <w:rFonts w:ascii="Arial" w:hAnsi="Arial"/>
          <w:b/>
          <w:sz w:val="22"/>
          <w:szCs w:val="22"/>
        </w:rPr>
      </w:pPr>
    </w:p>
    <w:p w:rsidR="000165C5" w:rsidRDefault="000165C5" w:rsidP="00245DA6">
      <w:pPr>
        <w:pStyle w:val="ListParagraph"/>
        <w:jc w:val="both"/>
        <w:rPr>
          <w:rFonts w:ascii="Arial" w:hAnsi="Arial"/>
          <w:b/>
          <w:sz w:val="22"/>
          <w:szCs w:val="22"/>
        </w:rPr>
      </w:pPr>
    </w:p>
    <w:p w:rsidR="009278C3" w:rsidRPr="004C4D8A" w:rsidRDefault="004C4D8A" w:rsidP="009278C3">
      <w:pPr>
        <w:pStyle w:val="ListParagraph"/>
        <w:numPr>
          <w:ilvl w:val="0"/>
          <w:numId w:val="25"/>
        </w:numPr>
        <w:jc w:val="both"/>
        <w:rPr>
          <w:rFonts w:ascii="Arial" w:hAnsi="Arial"/>
          <w:b/>
          <w:sz w:val="22"/>
          <w:szCs w:val="22"/>
        </w:rPr>
      </w:pPr>
      <w:r w:rsidRPr="004C4D8A">
        <w:rPr>
          <w:rFonts w:ascii="Arial" w:hAnsi="Arial"/>
          <w:b/>
          <w:sz w:val="22"/>
          <w:szCs w:val="22"/>
        </w:rPr>
        <w:t>Consideration of the evidence</w:t>
      </w:r>
    </w:p>
    <w:p w:rsidR="009278C3" w:rsidRDefault="009278C3" w:rsidP="009278C3">
      <w:pPr>
        <w:pStyle w:val="ListParagraph"/>
        <w:jc w:val="both"/>
        <w:rPr>
          <w:rFonts w:ascii="Arial" w:hAnsi="Arial"/>
          <w:sz w:val="22"/>
          <w:szCs w:val="22"/>
        </w:rPr>
      </w:pPr>
    </w:p>
    <w:p w:rsidR="00A6086F" w:rsidRPr="00F022A2" w:rsidRDefault="00A6086F" w:rsidP="00245DA6">
      <w:pPr>
        <w:jc w:val="both"/>
        <w:rPr>
          <w:rFonts w:ascii="Arial" w:hAnsi="Arial"/>
          <w:b/>
          <w:i/>
          <w:sz w:val="22"/>
          <w:szCs w:val="22"/>
        </w:rPr>
      </w:pPr>
      <w:r w:rsidRPr="00F022A2">
        <w:rPr>
          <w:rFonts w:ascii="Arial" w:hAnsi="Arial"/>
          <w:b/>
          <w:i/>
          <w:sz w:val="22"/>
          <w:szCs w:val="22"/>
        </w:rPr>
        <w:t>Sponsor hearing</w:t>
      </w:r>
    </w:p>
    <w:p w:rsidR="00A6086F" w:rsidRPr="00A6086F" w:rsidRDefault="00A6086F" w:rsidP="00245DA6">
      <w:pPr>
        <w:jc w:val="both"/>
        <w:rPr>
          <w:rFonts w:ascii="Arial" w:hAnsi="Arial"/>
          <w:b/>
          <w:sz w:val="22"/>
          <w:szCs w:val="22"/>
        </w:rPr>
      </w:pPr>
    </w:p>
    <w:p w:rsidR="009F0E90" w:rsidRPr="00B15E6A" w:rsidRDefault="009F0E90" w:rsidP="009F0E90">
      <w:pPr>
        <w:pStyle w:val="ListParagraph"/>
        <w:numPr>
          <w:ilvl w:val="1"/>
          <w:numId w:val="25"/>
        </w:numPr>
        <w:jc w:val="both"/>
        <w:rPr>
          <w:rFonts w:ascii="Arial" w:hAnsi="Arial"/>
          <w:b/>
          <w:sz w:val="22"/>
          <w:szCs w:val="22"/>
        </w:rPr>
      </w:pPr>
      <w:r w:rsidRPr="009F0E90">
        <w:rPr>
          <w:rFonts w:ascii="Arial" w:hAnsi="Arial"/>
          <w:sz w:val="22"/>
          <w:szCs w:val="22"/>
        </w:rPr>
        <w:t>There was no hearing for this item as it was a minor submission.</w:t>
      </w:r>
    </w:p>
    <w:p w:rsidR="00A6086F" w:rsidRPr="000D228A" w:rsidRDefault="00A6086F" w:rsidP="00245DA6">
      <w:pPr>
        <w:jc w:val="both"/>
        <w:rPr>
          <w:rFonts w:ascii="Arial" w:hAnsi="Arial"/>
          <w:b/>
          <w:sz w:val="22"/>
          <w:szCs w:val="22"/>
        </w:rPr>
      </w:pPr>
    </w:p>
    <w:p w:rsidR="00A6086F" w:rsidRPr="00F022A2" w:rsidRDefault="00A6086F" w:rsidP="009F0E90">
      <w:pPr>
        <w:keepNext/>
        <w:jc w:val="both"/>
        <w:rPr>
          <w:rFonts w:ascii="Arial" w:hAnsi="Arial"/>
          <w:b/>
          <w:i/>
          <w:sz w:val="22"/>
          <w:szCs w:val="22"/>
        </w:rPr>
      </w:pPr>
      <w:r w:rsidRPr="00F022A2">
        <w:rPr>
          <w:rFonts w:ascii="Arial" w:hAnsi="Arial"/>
          <w:b/>
          <w:i/>
          <w:sz w:val="22"/>
          <w:szCs w:val="22"/>
        </w:rPr>
        <w:t>Consumer comments</w:t>
      </w:r>
    </w:p>
    <w:p w:rsidR="00A6086F" w:rsidRPr="009F0E90" w:rsidRDefault="00A6086F" w:rsidP="009F0E90">
      <w:pPr>
        <w:keepNext/>
        <w:jc w:val="both"/>
        <w:rPr>
          <w:rFonts w:ascii="Arial" w:hAnsi="Arial"/>
          <w:b/>
          <w:sz w:val="22"/>
          <w:szCs w:val="22"/>
        </w:rPr>
      </w:pPr>
    </w:p>
    <w:p w:rsidR="009F0E90" w:rsidRPr="00B15E6A" w:rsidRDefault="009F0E90" w:rsidP="009F0E90">
      <w:pPr>
        <w:pStyle w:val="ListParagraph"/>
        <w:numPr>
          <w:ilvl w:val="1"/>
          <w:numId w:val="25"/>
        </w:numPr>
        <w:jc w:val="both"/>
        <w:rPr>
          <w:rFonts w:ascii="Arial" w:hAnsi="Arial"/>
          <w:b/>
          <w:sz w:val="22"/>
          <w:szCs w:val="22"/>
        </w:rPr>
      </w:pPr>
      <w:r w:rsidRPr="009F0E90">
        <w:rPr>
          <w:rFonts w:ascii="Arial" w:hAnsi="Arial"/>
          <w:sz w:val="22"/>
          <w:szCs w:val="22"/>
        </w:rPr>
        <w:t>The PBAC noted and welcomed the input from individuals (</w:t>
      </w:r>
      <w:r>
        <w:rPr>
          <w:rFonts w:ascii="Arial" w:hAnsi="Arial"/>
          <w:sz w:val="22"/>
          <w:szCs w:val="22"/>
        </w:rPr>
        <w:t>7</w:t>
      </w:r>
      <w:r w:rsidRPr="009F0E90">
        <w:rPr>
          <w:rFonts w:ascii="Arial" w:hAnsi="Arial"/>
          <w:sz w:val="22"/>
          <w:szCs w:val="22"/>
        </w:rPr>
        <w:t>), health care professionals (</w:t>
      </w:r>
      <w:r>
        <w:rPr>
          <w:rFonts w:ascii="Arial" w:hAnsi="Arial"/>
          <w:sz w:val="22"/>
          <w:szCs w:val="22"/>
        </w:rPr>
        <w:t>6</w:t>
      </w:r>
      <w:r w:rsidRPr="009F0E90">
        <w:rPr>
          <w:rFonts w:ascii="Arial" w:hAnsi="Arial"/>
          <w:sz w:val="22"/>
          <w:szCs w:val="22"/>
        </w:rPr>
        <w:t>) and organisations (</w:t>
      </w:r>
      <w:r>
        <w:rPr>
          <w:rFonts w:ascii="Arial" w:hAnsi="Arial"/>
          <w:sz w:val="22"/>
          <w:szCs w:val="22"/>
        </w:rPr>
        <w:t>4</w:t>
      </w:r>
      <w:r w:rsidRPr="009F0E90">
        <w:rPr>
          <w:rFonts w:ascii="Arial" w:hAnsi="Arial"/>
          <w:sz w:val="22"/>
          <w:szCs w:val="22"/>
        </w:rPr>
        <w:t>) via the Consumer Comments facility on the PBS website. The comments described a range of concerns and difficulties with access</w:t>
      </w:r>
      <w:r>
        <w:rPr>
          <w:rFonts w:ascii="Arial" w:hAnsi="Arial"/>
          <w:sz w:val="22"/>
          <w:szCs w:val="22"/>
        </w:rPr>
        <w:t>ing</w:t>
      </w:r>
      <w:r w:rsidRPr="009F0E90">
        <w:rPr>
          <w:rFonts w:ascii="Arial" w:hAnsi="Arial"/>
          <w:sz w:val="22"/>
          <w:szCs w:val="22"/>
        </w:rPr>
        <w:t xml:space="preserve"> </w:t>
      </w:r>
      <w:r>
        <w:rPr>
          <w:rFonts w:ascii="Arial" w:hAnsi="Arial"/>
          <w:sz w:val="22"/>
          <w:szCs w:val="22"/>
        </w:rPr>
        <w:t>testosterone</w:t>
      </w:r>
      <w:r w:rsidRPr="009F0E90">
        <w:rPr>
          <w:rFonts w:ascii="Arial" w:hAnsi="Arial"/>
          <w:sz w:val="22"/>
          <w:szCs w:val="22"/>
        </w:rPr>
        <w:t xml:space="preserve"> arising from the changes to </w:t>
      </w:r>
      <w:r>
        <w:rPr>
          <w:rFonts w:ascii="Arial" w:hAnsi="Arial"/>
          <w:sz w:val="22"/>
          <w:szCs w:val="22"/>
        </w:rPr>
        <w:t xml:space="preserve">the </w:t>
      </w:r>
      <w:r w:rsidRPr="009F0E90">
        <w:rPr>
          <w:rFonts w:ascii="Arial" w:hAnsi="Arial"/>
          <w:sz w:val="22"/>
          <w:szCs w:val="22"/>
        </w:rPr>
        <w:t>prescribing rules that came into effect on 1 April 2015.</w:t>
      </w:r>
    </w:p>
    <w:p w:rsidR="009F0E90" w:rsidRPr="000D228A" w:rsidRDefault="009F0E90" w:rsidP="009F0E90">
      <w:pPr>
        <w:pStyle w:val="ListParagraph"/>
        <w:jc w:val="both"/>
        <w:rPr>
          <w:rFonts w:ascii="Arial" w:hAnsi="Arial"/>
          <w:b/>
          <w:sz w:val="22"/>
          <w:szCs w:val="22"/>
        </w:rPr>
      </w:pPr>
    </w:p>
    <w:p w:rsidR="009F0E90" w:rsidRPr="00B15E6A" w:rsidRDefault="009F0E90" w:rsidP="009F0E90">
      <w:pPr>
        <w:pStyle w:val="ListParagraph"/>
        <w:numPr>
          <w:ilvl w:val="1"/>
          <w:numId w:val="25"/>
        </w:numPr>
        <w:jc w:val="both"/>
        <w:rPr>
          <w:rFonts w:ascii="Arial" w:hAnsi="Arial"/>
          <w:b/>
          <w:sz w:val="22"/>
          <w:szCs w:val="22"/>
        </w:rPr>
      </w:pPr>
      <w:r w:rsidRPr="009F0E90">
        <w:rPr>
          <w:rFonts w:ascii="Arial" w:hAnsi="Arial"/>
          <w:sz w:val="22"/>
          <w:szCs w:val="22"/>
        </w:rPr>
        <w:t>The PBAC noted the advice received from organisations including the Western Sydney Transgender Support Group; Australian and New Zealand Professional Association for Transgender Health; Public Health Association Australia</w:t>
      </w:r>
      <w:r>
        <w:rPr>
          <w:rFonts w:ascii="Arial" w:hAnsi="Arial"/>
          <w:sz w:val="22"/>
          <w:szCs w:val="22"/>
        </w:rPr>
        <w:t>;</w:t>
      </w:r>
      <w:r w:rsidRPr="009F0E90">
        <w:rPr>
          <w:rFonts w:ascii="Arial" w:hAnsi="Arial"/>
          <w:sz w:val="22"/>
          <w:szCs w:val="22"/>
        </w:rPr>
        <w:t xml:space="preserve"> and A Gender Agenda. The advice highlighted concerns regarding the recent changes to testosterone prescribing rule</w:t>
      </w:r>
      <w:r>
        <w:rPr>
          <w:rFonts w:ascii="Arial" w:hAnsi="Arial"/>
          <w:sz w:val="22"/>
          <w:szCs w:val="22"/>
        </w:rPr>
        <w:t>s</w:t>
      </w:r>
      <w:r w:rsidRPr="009F0E90">
        <w:rPr>
          <w:rFonts w:ascii="Arial" w:hAnsi="Arial"/>
          <w:sz w:val="22"/>
          <w:szCs w:val="22"/>
        </w:rPr>
        <w:t xml:space="preserve"> and the implications for delays and barriers to accessing treatment and</w:t>
      </w:r>
      <w:r>
        <w:rPr>
          <w:rFonts w:ascii="Arial" w:hAnsi="Arial"/>
          <w:sz w:val="22"/>
          <w:szCs w:val="22"/>
        </w:rPr>
        <w:t xml:space="preserve"> the disruption to continuity of care.</w:t>
      </w:r>
      <w:r w:rsidRPr="009F0E90">
        <w:rPr>
          <w:rFonts w:ascii="Arial" w:hAnsi="Arial"/>
          <w:sz w:val="22"/>
          <w:szCs w:val="22"/>
        </w:rPr>
        <w:t xml:space="preserve"> The </w:t>
      </w:r>
      <w:r>
        <w:rPr>
          <w:rFonts w:ascii="Arial" w:hAnsi="Arial"/>
          <w:sz w:val="22"/>
          <w:szCs w:val="22"/>
        </w:rPr>
        <w:t>organisations</w:t>
      </w:r>
      <w:r w:rsidRPr="009F0E90">
        <w:rPr>
          <w:rFonts w:ascii="Arial" w:hAnsi="Arial"/>
          <w:sz w:val="22"/>
          <w:szCs w:val="22"/>
        </w:rPr>
        <w:t xml:space="preserve"> requested </w:t>
      </w:r>
      <w:r>
        <w:rPr>
          <w:rFonts w:ascii="Arial" w:hAnsi="Arial"/>
          <w:sz w:val="22"/>
          <w:szCs w:val="22"/>
        </w:rPr>
        <w:t xml:space="preserve">that the PBAC </w:t>
      </w:r>
      <w:r w:rsidRPr="009F0E90">
        <w:rPr>
          <w:rFonts w:ascii="Arial" w:hAnsi="Arial"/>
          <w:sz w:val="22"/>
          <w:szCs w:val="22"/>
        </w:rPr>
        <w:t xml:space="preserve">reconsider the </w:t>
      </w:r>
      <w:r>
        <w:rPr>
          <w:rFonts w:ascii="Arial" w:hAnsi="Arial"/>
          <w:sz w:val="22"/>
          <w:szCs w:val="22"/>
        </w:rPr>
        <w:t xml:space="preserve">changes to the </w:t>
      </w:r>
      <w:r w:rsidRPr="009F0E90">
        <w:rPr>
          <w:rFonts w:ascii="Arial" w:hAnsi="Arial"/>
          <w:sz w:val="22"/>
          <w:szCs w:val="22"/>
        </w:rPr>
        <w:t xml:space="preserve">restrictions </w:t>
      </w:r>
      <w:r>
        <w:rPr>
          <w:rFonts w:ascii="Arial" w:hAnsi="Arial"/>
          <w:sz w:val="22"/>
          <w:szCs w:val="22"/>
        </w:rPr>
        <w:t>in light of the negative implications for trans</w:t>
      </w:r>
      <w:r w:rsidR="005A07BB">
        <w:rPr>
          <w:rFonts w:ascii="Arial" w:hAnsi="Arial"/>
          <w:sz w:val="22"/>
          <w:szCs w:val="22"/>
        </w:rPr>
        <w:t xml:space="preserve"> people</w:t>
      </w:r>
      <w:r>
        <w:rPr>
          <w:rFonts w:ascii="Arial" w:hAnsi="Arial"/>
          <w:sz w:val="22"/>
          <w:szCs w:val="22"/>
        </w:rPr>
        <w:t xml:space="preserve"> and </w:t>
      </w:r>
      <w:r w:rsidR="005A07BB">
        <w:rPr>
          <w:rFonts w:ascii="Arial" w:hAnsi="Arial"/>
          <w:sz w:val="22"/>
          <w:szCs w:val="22"/>
        </w:rPr>
        <w:t xml:space="preserve">people with </w:t>
      </w:r>
      <w:r>
        <w:rPr>
          <w:rFonts w:ascii="Arial" w:hAnsi="Arial"/>
          <w:sz w:val="22"/>
          <w:szCs w:val="22"/>
        </w:rPr>
        <w:t xml:space="preserve">intersex </w:t>
      </w:r>
      <w:r w:rsidR="005A07BB">
        <w:rPr>
          <w:rFonts w:ascii="Arial" w:hAnsi="Arial"/>
          <w:sz w:val="22"/>
          <w:szCs w:val="22"/>
        </w:rPr>
        <w:t>variations</w:t>
      </w:r>
      <w:r w:rsidRPr="009F0E90">
        <w:rPr>
          <w:rFonts w:ascii="Arial" w:hAnsi="Arial"/>
          <w:sz w:val="22"/>
          <w:szCs w:val="22"/>
        </w:rPr>
        <w:t>.</w:t>
      </w:r>
      <w:r>
        <w:rPr>
          <w:rFonts w:ascii="Arial" w:hAnsi="Arial"/>
          <w:sz w:val="22"/>
          <w:szCs w:val="22"/>
        </w:rPr>
        <w:t xml:space="preserve"> </w:t>
      </w:r>
      <w:r w:rsidRPr="009F0E90">
        <w:rPr>
          <w:rFonts w:ascii="Arial" w:hAnsi="Arial"/>
          <w:sz w:val="22"/>
          <w:szCs w:val="22"/>
        </w:rPr>
        <w:t>The PBAC noted that this advice was supportive of the submission.</w:t>
      </w:r>
    </w:p>
    <w:p w:rsidR="0038754C" w:rsidRDefault="0038754C" w:rsidP="00245DA6">
      <w:pPr>
        <w:jc w:val="both"/>
        <w:rPr>
          <w:rFonts w:ascii="Arial" w:hAnsi="Arial"/>
          <w:b/>
          <w:sz w:val="22"/>
          <w:szCs w:val="22"/>
        </w:rPr>
      </w:pPr>
    </w:p>
    <w:p w:rsidR="00A8629E" w:rsidRDefault="00A8629E">
      <w:pPr>
        <w:rPr>
          <w:rFonts w:ascii="Arial" w:hAnsi="Arial"/>
          <w:b/>
          <w:sz w:val="22"/>
          <w:szCs w:val="22"/>
        </w:rPr>
      </w:pPr>
      <w:r>
        <w:rPr>
          <w:rFonts w:ascii="Arial" w:hAnsi="Arial"/>
          <w:b/>
          <w:sz w:val="22"/>
          <w:szCs w:val="22"/>
        </w:rPr>
        <w:br w:type="page"/>
      </w:r>
    </w:p>
    <w:p w:rsidR="00CE10C4" w:rsidRPr="00F022A2" w:rsidRDefault="00CE10C4" w:rsidP="00245DA6">
      <w:pPr>
        <w:jc w:val="both"/>
        <w:rPr>
          <w:rFonts w:ascii="Arial" w:hAnsi="Arial"/>
          <w:b/>
          <w:i/>
          <w:sz w:val="22"/>
          <w:szCs w:val="22"/>
        </w:rPr>
      </w:pPr>
      <w:r w:rsidRPr="00F022A2">
        <w:rPr>
          <w:rFonts w:ascii="Arial" w:hAnsi="Arial"/>
          <w:b/>
          <w:i/>
          <w:sz w:val="22"/>
          <w:szCs w:val="22"/>
        </w:rPr>
        <w:lastRenderedPageBreak/>
        <w:t xml:space="preserve">Clinical </w:t>
      </w:r>
      <w:r w:rsidR="003E2F6D" w:rsidRPr="00F022A2">
        <w:rPr>
          <w:rFonts w:ascii="Arial" w:hAnsi="Arial"/>
          <w:b/>
          <w:i/>
          <w:sz w:val="22"/>
          <w:szCs w:val="22"/>
        </w:rPr>
        <w:t>trials</w:t>
      </w:r>
    </w:p>
    <w:p w:rsidR="00CE10C4" w:rsidRPr="00882085" w:rsidRDefault="00CE10C4" w:rsidP="00882085">
      <w:pPr>
        <w:jc w:val="both"/>
        <w:rPr>
          <w:rFonts w:ascii="Arial" w:hAnsi="Arial"/>
          <w:sz w:val="22"/>
          <w:szCs w:val="22"/>
        </w:rPr>
      </w:pPr>
    </w:p>
    <w:p w:rsidR="006A12A5" w:rsidRPr="00882085" w:rsidRDefault="003E2F6D" w:rsidP="00826F6D">
      <w:pPr>
        <w:pStyle w:val="ListParagraph"/>
        <w:numPr>
          <w:ilvl w:val="1"/>
          <w:numId w:val="25"/>
        </w:numPr>
        <w:jc w:val="both"/>
        <w:rPr>
          <w:rFonts w:ascii="Arial" w:hAnsi="Arial"/>
          <w:sz w:val="22"/>
          <w:szCs w:val="22"/>
        </w:rPr>
      </w:pPr>
      <w:r>
        <w:rPr>
          <w:rFonts w:ascii="Arial" w:hAnsi="Arial"/>
          <w:sz w:val="22"/>
          <w:szCs w:val="22"/>
        </w:rPr>
        <w:t xml:space="preserve">As a minor submission, no clinical trials </w:t>
      </w:r>
      <w:r w:rsidR="00B641AB">
        <w:rPr>
          <w:rFonts w:ascii="Arial" w:hAnsi="Arial"/>
          <w:sz w:val="22"/>
          <w:szCs w:val="22"/>
        </w:rPr>
        <w:t>we</w:t>
      </w:r>
      <w:r>
        <w:rPr>
          <w:rFonts w:ascii="Arial" w:hAnsi="Arial"/>
          <w:sz w:val="22"/>
          <w:szCs w:val="22"/>
        </w:rPr>
        <w:t>re presented in the submission.</w:t>
      </w:r>
    </w:p>
    <w:p w:rsidR="00C35996" w:rsidRPr="00882085" w:rsidRDefault="00C35996" w:rsidP="00882085">
      <w:pPr>
        <w:pStyle w:val="ListParagraph"/>
        <w:jc w:val="both"/>
        <w:rPr>
          <w:rFonts w:ascii="Arial" w:hAnsi="Arial"/>
          <w:sz w:val="22"/>
          <w:szCs w:val="22"/>
        </w:rPr>
      </w:pPr>
    </w:p>
    <w:p w:rsidR="003350DD" w:rsidRPr="00245DA6" w:rsidRDefault="003E2F6D">
      <w:pPr>
        <w:pStyle w:val="ListParagraph"/>
        <w:numPr>
          <w:ilvl w:val="1"/>
          <w:numId w:val="25"/>
        </w:numPr>
        <w:jc w:val="both"/>
        <w:rPr>
          <w:rFonts w:ascii="Arial" w:hAnsi="Arial"/>
          <w:b/>
          <w:sz w:val="22"/>
          <w:szCs w:val="22"/>
        </w:rPr>
      </w:pPr>
      <w:r>
        <w:rPr>
          <w:rFonts w:ascii="Arial" w:hAnsi="Arial"/>
          <w:sz w:val="22"/>
          <w:szCs w:val="22"/>
        </w:rPr>
        <w:t>The basis of the minor submission’s request</w:t>
      </w:r>
      <w:r w:rsidR="00053357">
        <w:rPr>
          <w:rFonts w:ascii="Arial" w:hAnsi="Arial"/>
          <w:sz w:val="22"/>
          <w:szCs w:val="22"/>
        </w:rPr>
        <w:t xml:space="preserve"> was that the recent changes to testosterone restrictions have </w:t>
      </w:r>
      <w:r w:rsidR="003350DD">
        <w:rPr>
          <w:rFonts w:ascii="Arial" w:hAnsi="Arial"/>
          <w:sz w:val="22"/>
          <w:szCs w:val="22"/>
        </w:rPr>
        <w:t xml:space="preserve">resulted in restricted access for intersex and trans patients. </w:t>
      </w:r>
      <w:r w:rsidR="007628A1">
        <w:rPr>
          <w:rFonts w:ascii="Arial" w:hAnsi="Arial"/>
          <w:sz w:val="22"/>
          <w:szCs w:val="22"/>
        </w:rPr>
        <w:t>The submission claimed that:</w:t>
      </w:r>
    </w:p>
    <w:p w:rsidR="007628A1" w:rsidRDefault="007628A1" w:rsidP="00245DA6">
      <w:pPr>
        <w:pStyle w:val="ListParagraph"/>
        <w:numPr>
          <w:ilvl w:val="0"/>
          <w:numId w:val="52"/>
        </w:numPr>
        <w:ind w:left="993" w:hanging="284"/>
        <w:jc w:val="both"/>
        <w:rPr>
          <w:rFonts w:ascii="Arial" w:hAnsi="Arial"/>
          <w:sz w:val="22"/>
          <w:szCs w:val="22"/>
        </w:rPr>
      </w:pPr>
      <w:r>
        <w:rPr>
          <w:rFonts w:ascii="Arial" w:hAnsi="Arial"/>
          <w:sz w:val="22"/>
          <w:szCs w:val="22"/>
        </w:rPr>
        <w:t>l</w:t>
      </w:r>
      <w:r w:rsidRPr="00245DA6">
        <w:rPr>
          <w:rFonts w:ascii="Arial" w:hAnsi="Arial"/>
          <w:sz w:val="22"/>
          <w:szCs w:val="22"/>
        </w:rPr>
        <w:t xml:space="preserve">ifelong testosterone administration </w:t>
      </w:r>
      <w:r>
        <w:rPr>
          <w:rFonts w:ascii="Arial" w:hAnsi="Arial"/>
          <w:sz w:val="22"/>
          <w:szCs w:val="22"/>
        </w:rPr>
        <w:t xml:space="preserve">is medically necessary for trans patients seeking this medication as part of </w:t>
      </w:r>
      <w:r w:rsidRPr="007628A1">
        <w:rPr>
          <w:rFonts w:ascii="Arial" w:hAnsi="Arial"/>
          <w:sz w:val="22"/>
          <w:szCs w:val="22"/>
        </w:rPr>
        <w:t>medical gender affirmation</w:t>
      </w:r>
      <w:r>
        <w:rPr>
          <w:rFonts w:ascii="Arial" w:hAnsi="Arial"/>
          <w:sz w:val="22"/>
          <w:szCs w:val="22"/>
        </w:rPr>
        <w:t>;</w:t>
      </w:r>
    </w:p>
    <w:p w:rsidR="007628A1" w:rsidRDefault="007628A1" w:rsidP="00245DA6">
      <w:pPr>
        <w:pStyle w:val="ListParagraph"/>
        <w:numPr>
          <w:ilvl w:val="0"/>
          <w:numId w:val="52"/>
        </w:numPr>
        <w:ind w:left="993" w:hanging="284"/>
        <w:jc w:val="both"/>
        <w:rPr>
          <w:rFonts w:ascii="Arial" w:hAnsi="Arial"/>
          <w:sz w:val="22"/>
          <w:szCs w:val="22"/>
        </w:rPr>
      </w:pPr>
      <w:r w:rsidRPr="007628A1">
        <w:rPr>
          <w:rFonts w:ascii="Arial" w:hAnsi="Arial"/>
          <w:sz w:val="22"/>
          <w:szCs w:val="22"/>
        </w:rPr>
        <w:t>restricted access to testosterone results in harmful mental health outcomes for trans patients</w:t>
      </w:r>
      <w:r>
        <w:rPr>
          <w:rFonts w:ascii="Arial" w:hAnsi="Arial"/>
          <w:sz w:val="22"/>
          <w:szCs w:val="22"/>
        </w:rPr>
        <w:t>;</w:t>
      </w:r>
    </w:p>
    <w:p w:rsidR="007628A1" w:rsidRPr="007628A1" w:rsidRDefault="007628A1" w:rsidP="00245DA6">
      <w:pPr>
        <w:pStyle w:val="ListParagraph"/>
        <w:numPr>
          <w:ilvl w:val="0"/>
          <w:numId w:val="52"/>
        </w:numPr>
        <w:ind w:left="993" w:hanging="284"/>
        <w:jc w:val="both"/>
        <w:rPr>
          <w:rFonts w:ascii="Arial" w:hAnsi="Arial"/>
          <w:sz w:val="22"/>
          <w:szCs w:val="22"/>
        </w:rPr>
      </w:pPr>
      <w:r w:rsidRPr="00245DA6">
        <w:rPr>
          <w:rFonts w:ascii="Arial" w:hAnsi="Arial"/>
          <w:sz w:val="22"/>
          <w:szCs w:val="22"/>
        </w:rPr>
        <w:t>people</w:t>
      </w:r>
      <w:r>
        <w:rPr>
          <w:rFonts w:ascii="Arial" w:hAnsi="Arial"/>
          <w:sz w:val="22"/>
          <w:szCs w:val="22"/>
        </w:rPr>
        <w:t xml:space="preserve"> with intersex </w:t>
      </w:r>
      <w:r w:rsidR="00BF3664">
        <w:rPr>
          <w:rFonts w:ascii="Arial" w:hAnsi="Arial"/>
          <w:sz w:val="22"/>
          <w:szCs w:val="22"/>
        </w:rPr>
        <w:t>variations</w:t>
      </w:r>
      <w:r w:rsidRPr="00245DA6">
        <w:rPr>
          <w:rFonts w:ascii="Arial" w:hAnsi="Arial"/>
          <w:sz w:val="22"/>
          <w:szCs w:val="22"/>
        </w:rPr>
        <w:t xml:space="preserve"> are often subjected to involuntary and coerced medical interventions intended to ‘normalise’ their bodies’ by specialist endocrinologists, urologists, and sexual health physicians and that intersex patients often report lack of safety, discomfort, distrust and avoidance of care with these specialists</w:t>
      </w:r>
      <w:r w:rsidRPr="007628A1">
        <w:rPr>
          <w:rFonts w:ascii="Arial" w:hAnsi="Arial"/>
          <w:sz w:val="22"/>
          <w:szCs w:val="22"/>
        </w:rPr>
        <w:t>;</w:t>
      </w:r>
    </w:p>
    <w:p w:rsidR="007628A1" w:rsidRDefault="007628A1" w:rsidP="00245DA6">
      <w:pPr>
        <w:pStyle w:val="ListParagraph"/>
        <w:numPr>
          <w:ilvl w:val="0"/>
          <w:numId w:val="52"/>
        </w:numPr>
        <w:ind w:left="993" w:hanging="284"/>
        <w:jc w:val="both"/>
        <w:rPr>
          <w:rFonts w:ascii="Arial" w:hAnsi="Arial"/>
          <w:sz w:val="22"/>
          <w:szCs w:val="22"/>
        </w:rPr>
      </w:pPr>
      <w:r w:rsidRPr="00245DA6">
        <w:rPr>
          <w:rFonts w:ascii="Arial" w:hAnsi="Arial"/>
          <w:sz w:val="22"/>
          <w:szCs w:val="22"/>
        </w:rPr>
        <w:t>trans patients who are on a long term testosterone therapy do not require the involvement of a specialist</w:t>
      </w:r>
      <w:r>
        <w:rPr>
          <w:rFonts w:ascii="Arial" w:hAnsi="Arial"/>
          <w:sz w:val="22"/>
          <w:szCs w:val="22"/>
        </w:rPr>
        <w:t>;</w:t>
      </w:r>
    </w:p>
    <w:p w:rsidR="007628A1" w:rsidRPr="007628A1" w:rsidRDefault="007628A1" w:rsidP="00245DA6">
      <w:pPr>
        <w:pStyle w:val="ListParagraph"/>
        <w:numPr>
          <w:ilvl w:val="0"/>
          <w:numId w:val="52"/>
        </w:numPr>
        <w:ind w:left="993" w:hanging="284"/>
        <w:jc w:val="both"/>
        <w:rPr>
          <w:rFonts w:ascii="Arial" w:hAnsi="Arial"/>
          <w:sz w:val="22"/>
          <w:szCs w:val="22"/>
        </w:rPr>
      </w:pPr>
      <w:r w:rsidRPr="00245DA6">
        <w:rPr>
          <w:rFonts w:ascii="Arial" w:hAnsi="Arial"/>
          <w:sz w:val="22"/>
          <w:szCs w:val="22"/>
        </w:rPr>
        <w:t xml:space="preserve">the specialist consultation requirement for GPs treating trans patients and patients with intersex characteristics when prescribing testosterone </w:t>
      </w:r>
      <w:r w:rsidR="00BF3664">
        <w:rPr>
          <w:rFonts w:ascii="Arial" w:hAnsi="Arial"/>
          <w:sz w:val="22"/>
          <w:szCs w:val="22"/>
        </w:rPr>
        <w:t xml:space="preserve">has limited access to testosterone due to workforce shortages, specialist appointment waiting times. This submission therefore claims that this </w:t>
      </w:r>
      <w:r w:rsidR="0038002D">
        <w:rPr>
          <w:rFonts w:ascii="Arial" w:hAnsi="Arial"/>
          <w:sz w:val="22"/>
          <w:szCs w:val="22"/>
        </w:rPr>
        <w:t>requirement will</w:t>
      </w:r>
      <w:r w:rsidR="00BF3664">
        <w:rPr>
          <w:rFonts w:ascii="Arial" w:hAnsi="Arial"/>
          <w:sz w:val="22"/>
          <w:szCs w:val="22"/>
        </w:rPr>
        <w:t xml:space="preserve"> further exacerbate existing health </w:t>
      </w:r>
      <w:r w:rsidR="0038002D">
        <w:rPr>
          <w:rFonts w:ascii="Arial" w:hAnsi="Arial"/>
          <w:sz w:val="22"/>
          <w:szCs w:val="22"/>
        </w:rPr>
        <w:t>disparities</w:t>
      </w:r>
      <w:r w:rsidR="00BF3664">
        <w:rPr>
          <w:rFonts w:ascii="Arial" w:hAnsi="Arial"/>
          <w:sz w:val="22"/>
          <w:szCs w:val="22"/>
        </w:rPr>
        <w:t xml:space="preserve"> and access shortages faced by trans people and people with intersex variations in Aboriginal</w:t>
      </w:r>
      <w:r w:rsidR="00BF3664" w:rsidRPr="00A03363">
        <w:rPr>
          <w:rFonts w:ascii="Arial" w:hAnsi="Arial"/>
          <w:sz w:val="22"/>
          <w:szCs w:val="22"/>
        </w:rPr>
        <w:t xml:space="preserve"> and Torres Strait Islander</w:t>
      </w:r>
      <w:r w:rsidR="00BF3664">
        <w:rPr>
          <w:rFonts w:ascii="Arial" w:hAnsi="Arial"/>
          <w:sz w:val="22"/>
          <w:szCs w:val="22"/>
        </w:rPr>
        <w:t xml:space="preserve"> communities</w:t>
      </w:r>
      <w:r w:rsidR="00BF3664" w:rsidRPr="007628A1">
        <w:rPr>
          <w:rFonts w:ascii="Arial" w:hAnsi="Arial"/>
          <w:sz w:val="22"/>
          <w:szCs w:val="22"/>
        </w:rPr>
        <w:t xml:space="preserve"> </w:t>
      </w:r>
      <w:r w:rsidR="00BF3664">
        <w:rPr>
          <w:rFonts w:ascii="Arial" w:hAnsi="Arial"/>
          <w:sz w:val="22"/>
          <w:szCs w:val="22"/>
        </w:rPr>
        <w:t xml:space="preserve">and </w:t>
      </w:r>
      <w:r w:rsidRPr="00245DA6">
        <w:rPr>
          <w:rFonts w:ascii="Arial" w:hAnsi="Arial"/>
          <w:sz w:val="22"/>
          <w:szCs w:val="22"/>
        </w:rPr>
        <w:t>those living in rural, regional and remote communities.</w:t>
      </w:r>
    </w:p>
    <w:p w:rsidR="003350DD" w:rsidRPr="00245DA6" w:rsidRDefault="003350DD" w:rsidP="00245DA6">
      <w:pPr>
        <w:rPr>
          <w:rFonts w:ascii="Arial" w:hAnsi="Arial"/>
          <w:sz w:val="22"/>
          <w:szCs w:val="22"/>
        </w:rPr>
      </w:pPr>
    </w:p>
    <w:p w:rsidR="00053357" w:rsidRPr="00245DA6" w:rsidRDefault="003350DD">
      <w:pPr>
        <w:pStyle w:val="ListParagraph"/>
        <w:numPr>
          <w:ilvl w:val="1"/>
          <w:numId w:val="25"/>
        </w:numPr>
        <w:jc w:val="both"/>
        <w:rPr>
          <w:rFonts w:ascii="Arial" w:hAnsi="Arial"/>
          <w:b/>
          <w:sz w:val="22"/>
          <w:szCs w:val="22"/>
        </w:rPr>
      </w:pPr>
      <w:r>
        <w:rPr>
          <w:rFonts w:ascii="Arial" w:hAnsi="Arial"/>
          <w:sz w:val="22"/>
          <w:szCs w:val="22"/>
        </w:rPr>
        <w:t xml:space="preserve">Furthermore, the submission claims that the current gender-specific restrictions are contrary to the intent of amendments to the </w:t>
      </w:r>
      <w:r w:rsidRPr="00245DA6">
        <w:rPr>
          <w:rFonts w:ascii="Arial" w:hAnsi="Arial"/>
          <w:i/>
          <w:sz w:val="22"/>
          <w:szCs w:val="22"/>
        </w:rPr>
        <w:t>Sex Discrimination Act 1984</w:t>
      </w:r>
      <w:r>
        <w:rPr>
          <w:rFonts w:ascii="Arial" w:hAnsi="Arial"/>
          <w:i/>
          <w:sz w:val="22"/>
          <w:szCs w:val="22"/>
        </w:rPr>
        <w:t xml:space="preserve"> </w:t>
      </w:r>
      <w:r w:rsidRPr="00245DA6">
        <w:rPr>
          <w:rFonts w:ascii="Arial" w:hAnsi="Arial"/>
          <w:sz w:val="22"/>
          <w:szCs w:val="22"/>
        </w:rPr>
        <w:t>that</w:t>
      </w:r>
      <w:r>
        <w:rPr>
          <w:rFonts w:ascii="Arial" w:hAnsi="Arial"/>
          <w:i/>
          <w:sz w:val="22"/>
          <w:szCs w:val="22"/>
        </w:rPr>
        <w:t xml:space="preserve"> </w:t>
      </w:r>
      <w:r>
        <w:rPr>
          <w:rFonts w:ascii="Arial" w:hAnsi="Arial"/>
          <w:sz w:val="22"/>
          <w:szCs w:val="22"/>
        </w:rPr>
        <w:t xml:space="preserve">prohibit both direct and indirect discrimination on the basis of sexual orientation, relationship status gender identity, and intersex status in Commonwealth activities. In order to comply with this legislation, the Medicare Benefits Schedule (MBS) has been amended to remove gender specific MBS item codes. </w:t>
      </w:r>
    </w:p>
    <w:p w:rsidR="00053357" w:rsidRPr="00245DA6" w:rsidRDefault="00053357" w:rsidP="00245DA6">
      <w:pPr>
        <w:jc w:val="both"/>
        <w:rPr>
          <w:rFonts w:ascii="Arial" w:hAnsi="Arial"/>
          <w:sz w:val="22"/>
          <w:szCs w:val="22"/>
          <w:highlight w:val="yellow"/>
        </w:rPr>
      </w:pPr>
    </w:p>
    <w:p w:rsidR="00BB7EC3" w:rsidRPr="00245DA6" w:rsidRDefault="00053357" w:rsidP="00245DA6">
      <w:pPr>
        <w:pStyle w:val="ListParagraph"/>
        <w:numPr>
          <w:ilvl w:val="1"/>
          <w:numId w:val="25"/>
        </w:numPr>
        <w:jc w:val="both"/>
        <w:rPr>
          <w:rFonts w:ascii="Arial" w:hAnsi="Arial"/>
          <w:sz w:val="22"/>
          <w:szCs w:val="22"/>
        </w:rPr>
      </w:pPr>
      <w:r>
        <w:rPr>
          <w:rFonts w:ascii="Arial" w:hAnsi="Arial"/>
          <w:sz w:val="22"/>
          <w:szCs w:val="22"/>
        </w:rPr>
        <w:t>The sponsor presented an endorsement from a general practitioner in support of the submission.</w:t>
      </w:r>
    </w:p>
    <w:p w:rsidR="00F57A6D" w:rsidRPr="00882085" w:rsidRDefault="00F57A6D" w:rsidP="00882085">
      <w:pPr>
        <w:ind w:left="720" w:hanging="720"/>
        <w:jc w:val="both"/>
        <w:rPr>
          <w:rFonts w:ascii="Arial" w:hAnsi="Arial"/>
          <w:sz w:val="22"/>
          <w:szCs w:val="22"/>
        </w:rPr>
      </w:pPr>
    </w:p>
    <w:p w:rsidR="005A3173" w:rsidRPr="00882085" w:rsidRDefault="005A3173" w:rsidP="00D84934">
      <w:pPr>
        <w:jc w:val="both"/>
        <w:rPr>
          <w:rFonts w:ascii="Arial" w:hAnsi="Arial"/>
          <w:b/>
          <w:i/>
          <w:sz w:val="22"/>
          <w:szCs w:val="22"/>
        </w:rPr>
      </w:pPr>
      <w:r w:rsidRPr="00882085">
        <w:rPr>
          <w:rFonts w:ascii="Arial" w:hAnsi="Arial"/>
          <w:b/>
          <w:i/>
          <w:sz w:val="22"/>
          <w:szCs w:val="22"/>
        </w:rPr>
        <w:t>Economic analysis</w:t>
      </w:r>
    </w:p>
    <w:p w:rsidR="005A3173" w:rsidRPr="00882085" w:rsidRDefault="005A3173" w:rsidP="00D84934">
      <w:pPr>
        <w:pStyle w:val="NoSpacing"/>
      </w:pPr>
    </w:p>
    <w:p w:rsidR="005963BB" w:rsidRDefault="00B641AB" w:rsidP="00B641AB">
      <w:pPr>
        <w:pStyle w:val="ListParagraph"/>
        <w:numPr>
          <w:ilvl w:val="1"/>
          <w:numId w:val="25"/>
        </w:numPr>
        <w:jc w:val="both"/>
        <w:rPr>
          <w:rFonts w:ascii="Arial" w:hAnsi="Arial"/>
          <w:sz w:val="22"/>
          <w:szCs w:val="22"/>
        </w:rPr>
      </w:pPr>
      <w:r>
        <w:rPr>
          <w:rFonts w:ascii="Arial" w:hAnsi="Arial"/>
          <w:sz w:val="22"/>
          <w:szCs w:val="22"/>
        </w:rPr>
        <w:t xml:space="preserve">As a minor submission, there </w:t>
      </w:r>
      <w:r w:rsidR="00053357">
        <w:rPr>
          <w:rFonts w:ascii="Arial" w:hAnsi="Arial"/>
          <w:sz w:val="22"/>
          <w:szCs w:val="22"/>
        </w:rPr>
        <w:t>wa</w:t>
      </w:r>
      <w:r>
        <w:rPr>
          <w:rFonts w:ascii="Arial" w:hAnsi="Arial"/>
          <w:sz w:val="22"/>
          <w:szCs w:val="22"/>
        </w:rPr>
        <w:t>s no economic comparison presented.</w:t>
      </w:r>
    </w:p>
    <w:p w:rsidR="00BB7EC3" w:rsidRPr="00C00DA7" w:rsidRDefault="00BB7EC3" w:rsidP="00C00DA7">
      <w:pPr>
        <w:jc w:val="both"/>
        <w:rPr>
          <w:rFonts w:ascii="Arial" w:hAnsi="Arial"/>
          <w:sz w:val="22"/>
          <w:szCs w:val="22"/>
        </w:rPr>
      </w:pPr>
    </w:p>
    <w:p w:rsidR="007628A1" w:rsidRPr="00882085" w:rsidRDefault="007628A1" w:rsidP="007628A1">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3872CF" w:rsidRDefault="003872CF">
      <w:pPr>
        <w:rPr>
          <w:rFonts w:ascii="Arial" w:hAnsi="Arial"/>
          <w:sz w:val="22"/>
          <w:szCs w:val="22"/>
        </w:rPr>
      </w:pPr>
    </w:p>
    <w:p w:rsidR="007628A1" w:rsidRDefault="007628A1" w:rsidP="00245DA6">
      <w:pPr>
        <w:pStyle w:val="ListParagraph"/>
        <w:numPr>
          <w:ilvl w:val="1"/>
          <w:numId w:val="25"/>
        </w:numPr>
        <w:jc w:val="both"/>
        <w:rPr>
          <w:rFonts w:ascii="Arial" w:hAnsi="Arial"/>
          <w:sz w:val="22"/>
          <w:szCs w:val="22"/>
        </w:rPr>
      </w:pPr>
      <w:r>
        <w:rPr>
          <w:rFonts w:ascii="Arial" w:hAnsi="Arial"/>
          <w:sz w:val="22"/>
          <w:szCs w:val="22"/>
        </w:rPr>
        <w:t>The minor submission did not provide estimated utilisation and financial estimates.</w:t>
      </w:r>
    </w:p>
    <w:p w:rsidR="00D06E33" w:rsidRDefault="00D06E33">
      <w:pPr>
        <w:rPr>
          <w:rFonts w:ascii="Arial" w:hAnsi="Arial"/>
          <w:sz w:val="22"/>
          <w:szCs w:val="22"/>
        </w:rPr>
      </w:pPr>
    </w:p>
    <w:p w:rsidR="00C43476" w:rsidRDefault="00C43476">
      <w:pPr>
        <w:rPr>
          <w:rFonts w:ascii="Arial" w:hAnsi="Arial"/>
          <w:sz w:val="22"/>
          <w:szCs w:val="22"/>
        </w:rPr>
      </w:pPr>
    </w:p>
    <w:p w:rsidR="00C43476" w:rsidRDefault="00C43476" w:rsidP="00C43476">
      <w:pPr>
        <w:widowControl w:val="0"/>
        <w:numPr>
          <w:ilvl w:val="0"/>
          <w:numId w:val="25"/>
        </w:numPr>
        <w:jc w:val="both"/>
        <w:rPr>
          <w:rFonts w:ascii="Arial" w:hAnsi="Arial" w:cs="Arial"/>
          <w:b/>
          <w:bCs/>
          <w:snapToGrid w:val="0"/>
          <w:sz w:val="22"/>
          <w:szCs w:val="22"/>
        </w:rPr>
      </w:pPr>
      <w:r w:rsidRPr="00136CDA">
        <w:rPr>
          <w:rFonts w:ascii="Arial" w:hAnsi="Arial" w:cs="Arial"/>
          <w:b/>
          <w:bCs/>
          <w:snapToGrid w:val="0"/>
          <w:sz w:val="22"/>
          <w:szCs w:val="22"/>
        </w:rPr>
        <w:t>PBAC Outcome</w:t>
      </w:r>
    </w:p>
    <w:p w:rsidR="00C43476" w:rsidRPr="00136CDA" w:rsidRDefault="00C43476" w:rsidP="00C43476">
      <w:pPr>
        <w:widowControl w:val="0"/>
        <w:ind w:left="720"/>
        <w:jc w:val="both"/>
        <w:rPr>
          <w:rFonts w:ascii="Arial" w:hAnsi="Arial" w:cs="Arial"/>
          <w:b/>
          <w:bCs/>
          <w:snapToGrid w:val="0"/>
          <w:sz w:val="22"/>
          <w:szCs w:val="22"/>
        </w:rPr>
      </w:pPr>
    </w:p>
    <w:p w:rsidR="002D6EFE" w:rsidRDefault="00C43476" w:rsidP="003E7F24">
      <w:pPr>
        <w:pStyle w:val="ListParagraph"/>
        <w:numPr>
          <w:ilvl w:val="1"/>
          <w:numId w:val="25"/>
        </w:numPr>
        <w:tabs>
          <w:tab w:val="left" w:pos="2694"/>
        </w:tabs>
        <w:jc w:val="both"/>
        <w:rPr>
          <w:rFonts w:ascii="Arial" w:hAnsi="Arial"/>
          <w:sz w:val="22"/>
          <w:szCs w:val="22"/>
        </w:rPr>
      </w:pPr>
      <w:r w:rsidRPr="00E1640E">
        <w:rPr>
          <w:rFonts w:ascii="Arial" w:hAnsi="Arial"/>
          <w:sz w:val="22"/>
          <w:szCs w:val="22"/>
        </w:rPr>
        <w:t xml:space="preserve">The PBAC recommended </w:t>
      </w:r>
      <w:r w:rsidR="002D6EFE">
        <w:rPr>
          <w:rFonts w:ascii="Arial" w:hAnsi="Arial"/>
          <w:sz w:val="22"/>
          <w:szCs w:val="22"/>
        </w:rPr>
        <w:t>amending the restriction wording for</w:t>
      </w:r>
      <w:r w:rsidR="001654CB" w:rsidRPr="00E1640E">
        <w:rPr>
          <w:rFonts w:ascii="Arial" w:hAnsi="Arial"/>
          <w:sz w:val="22"/>
          <w:szCs w:val="22"/>
        </w:rPr>
        <w:t xml:space="preserve"> </w:t>
      </w:r>
      <w:r w:rsidR="00EA1DAE" w:rsidRPr="00E1640E">
        <w:rPr>
          <w:rFonts w:ascii="Arial" w:hAnsi="Arial"/>
          <w:sz w:val="22"/>
          <w:szCs w:val="22"/>
        </w:rPr>
        <w:t xml:space="preserve">testosterone </w:t>
      </w:r>
      <w:r w:rsidR="002D6EFE" w:rsidRPr="00E1640E">
        <w:rPr>
          <w:rFonts w:ascii="Arial" w:hAnsi="Arial"/>
          <w:sz w:val="22"/>
          <w:szCs w:val="22"/>
        </w:rPr>
        <w:t xml:space="preserve">to remove </w:t>
      </w:r>
      <w:r w:rsidR="008414BC">
        <w:rPr>
          <w:rFonts w:ascii="Arial" w:hAnsi="Arial"/>
          <w:sz w:val="22"/>
          <w:szCs w:val="22"/>
        </w:rPr>
        <w:t xml:space="preserve">the population criterion </w:t>
      </w:r>
      <w:r w:rsidR="002D6EFE" w:rsidRPr="00E1640E">
        <w:rPr>
          <w:rFonts w:ascii="Arial" w:hAnsi="Arial"/>
          <w:sz w:val="22"/>
          <w:szCs w:val="22"/>
        </w:rPr>
        <w:t>‘patient must be male’</w:t>
      </w:r>
      <w:r w:rsidR="00785CB2">
        <w:rPr>
          <w:rFonts w:ascii="Arial" w:hAnsi="Arial"/>
          <w:sz w:val="22"/>
          <w:szCs w:val="22"/>
        </w:rPr>
        <w:t>.</w:t>
      </w:r>
      <w:r w:rsidR="00CD39C3">
        <w:rPr>
          <w:rFonts w:ascii="Arial" w:hAnsi="Arial"/>
          <w:sz w:val="22"/>
          <w:szCs w:val="22"/>
        </w:rPr>
        <w:t xml:space="preserve"> </w:t>
      </w:r>
      <w:r w:rsidR="007E37D0">
        <w:rPr>
          <w:rFonts w:ascii="Arial" w:hAnsi="Arial"/>
          <w:sz w:val="22"/>
          <w:szCs w:val="22"/>
        </w:rPr>
        <w:t xml:space="preserve"> The PBAC considered this clinical criterion was an unintentional barrier to some </w:t>
      </w:r>
      <w:r w:rsidR="007E37D0" w:rsidRPr="007E37D0">
        <w:rPr>
          <w:rFonts w:ascii="Arial" w:hAnsi="Arial"/>
          <w:sz w:val="22"/>
          <w:szCs w:val="22"/>
        </w:rPr>
        <w:t xml:space="preserve">trans people and people with </w:t>
      </w:r>
      <w:r w:rsidR="007E37D0" w:rsidRPr="007E37D0">
        <w:rPr>
          <w:rFonts w:ascii="Arial" w:hAnsi="Arial"/>
          <w:sz w:val="22"/>
          <w:szCs w:val="22"/>
        </w:rPr>
        <w:lastRenderedPageBreak/>
        <w:t xml:space="preserve">intersex variations </w:t>
      </w:r>
      <w:r w:rsidR="007E37D0">
        <w:rPr>
          <w:rFonts w:ascii="Arial" w:hAnsi="Arial"/>
          <w:sz w:val="22"/>
          <w:szCs w:val="22"/>
        </w:rPr>
        <w:t>receiving PBS-subsidised testosterone replacement therapy.  The PBAC also considered that implementing this change would be relatively straightforward.</w:t>
      </w:r>
    </w:p>
    <w:p w:rsidR="00666960" w:rsidRDefault="00666960" w:rsidP="009F0E90">
      <w:pPr>
        <w:pStyle w:val="ListParagraph"/>
        <w:tabs>
          <w:tab w:val="left" w:pos="2694"/>
        </w:tabs>
        <w:jc w:val="both"/>
        <w:rPr>
          <w:rFonts w:ascii="Arial" w:hAnsi="Arial"/>
          <w:sz w:val="22"/>
          <w:szCs w:val="22"/>
        </w:rPr>
      </w:pPr>
    </w:p>
    <w:p w:rsidR="007E37D0" w:rsidRPr="007E37D0" w:rsidRDefault="00CD39C3" w:rsidP="007E37D0">
      <w:pPr>
        <w:pStyle w:val="ListParagraph"/>
        <w:numPr>
          <w:ilvl w:val="1"/>
          <w:numId w:val="25"/>
        </w:numPr>
        <w:jc w:val="both"/>
        <w:rPr>
          <w:rFonts w:ascii="Arial" w:hAnsi="Arial"/>
          <w:sz w:val="22"/>
          <w:szCs w:val="22"/>
        </w:rPr>
      </w:pPr>
      <w:r>
        <w:rPr>
          <w:rFonts w:ascii="Arial" w:hAnsi="Arial"/>
          <w:sz w:val="22"/>
          <w:szCs w:val="22"/>
        </w:rPr>
        <w:t xml:space="preserve">The PBAC </w:t>
      </w:r>
      <w:r w:rsidR="007E37D0">
        <w:rPr>
          <w:rFonts w:ascii="Arial" w:hAnsi="Arial"/>
          <w:sz w:val="22"/>
          <w:szCs w:val="22"/>
        </w:rPr>
        <w:t>considered that</w:t>
      </w:r>
      <w:r>
        <w:rPr>
          <w:rFonts w:ascii="Arial" w:hAnsi="Arial"/>
          <w:sz w:val="22"/>
          <w:szCs w:val="22"/>
        </w:rPr>
        <w:t xml:space="preserve"> the remaining requested changes to the restrictions for testosterone products</w:t>
      </w:r>
      <w:r w:rsidR="007E37D0">
        <w:rPr>
          <w:rFonts w:ascii="Arial" w:hAnsi="Arial"/>
          <w:sz w:val="22"/>
          <w:szCs w:val="22"/>
        </w:rPr>
        <w:t xml:space="preserve"> were complex in nature.  </w:t>
      </w:r>
      <w:r w:rsidR="007E37D0" w:rsidRPr="007E37D0">
        <w:rPr>
          <w:rFonts w:ascii="Arial" w:hAnsi="Arial"/>
          <w:sz w:val="22"/>
          <w:szCs w:val="22"/>
        </w:rPr>
        <w:t xml:space="preserve">The PBAC recalled that </w:t>
      </w:r>
      <w:r w:rsidR="007E37D0">
        <w:rPr>
          <w:rFonts w:ascii="Arial" w:hAnsi="Arial"/>
          <w:sz w:val="22"/>
          <w:szCs w:val="22"/>
        </w:rPr>
        <w:t>the</w:t>
      </w:r>
      <w:r w:rsidR="007E37D0" w:rsidRPr="007E37D0">
        <w:rPr>
          <w:rFonts w:ascii="Arial" w:hAnsi="Arial"/>
          <w:sz w:val="22"/>
          <w:szCs w:val="22"/>
        </w:rPr>
        <w:t xml:space="preserve"> DUSC analysis of trends in utilisation and expenditure of testosterone products </w:t>
      </w:r>
      <w:r w:rsidR="007E37D0">
        <w:rPr>
          <w:rFonts w:ascii="Arial" w:hAnsi="Arial"/>
          <w:sz w:val="22"/>
          <w:szCs w:val="22"/>
        </w:rPr>
        <w:t>showed</w:t>
      </w:r>
      <w:r w:rsidR="007E37D0" w:rsidRPr="007E37D0">
        <w:rPr>
          <w:rFonts w:ascii="Arial" w:hAnsi="Arial"/>
          <w:sz w:val="22"/>
          <w:szCs w:val="22"/>
        </w:rPr>
        <w:t xml:space="preserve"> that PBS/RPBS prescriptions </w:t>
      </w:r>
      <w:r w:rsidR="007E37D0">
        <w:rPr>
          <w:rFonts w:ascii="Arial" w:hAnsi="Arial"/>
          <w:sz w:val="22"/>
          <w:szCs w:val="22"/>
        </w:rPr>
        <w:t xml:space="preserve">had </w:t>
      </w:r>
      <w:r w:rsidR="007E37D0" w:rsidRPr="007E37D0">
        <w:rPr>
          <w:rFonts w:ascii="Arial" w:hAnsi="Arial"/>
          <w:sz w:val="22"/>
          <w:szCs w:val="22"/>
        </w:rPr>
        <w:t xml:space="preserve">increased while non-PBS prescriptions remained stable and low and that there was a trend towards more GPs initiating therapy. The PBAC </w:t>
      </w:r>
      <w:r w:rsidR="007E37D0">
        <w:rPr>
          <w:rFonts w:ascii="Arial" w:hAnsi="Arial"/>
          <w:sz w:val="22"/>
          <w:szCs w:val="22"/>
        </w:rPr>
        <w:t xml:space="preserve">also </w:t>
      </w:r>
      <w:r w:rsidR="007E37D0" w:rsidRPr="007E37D0">
        <w:rPr>
          <w:rFonts w:ascii="Arial" w:hAnsi="Arial"/>
          <w:sz w:val="22"/>
          <w:szCs w:val="22"/>
        </w:rPr>
        <w:t>recalled it</w:t>
      </w:r>
      <w:r w:rsidR="007E37D0">
        <w:rPr>
          <w:rFonts w:ascii="Arial" w:hAnsi="Arial"/>
          <w:sz w:val="22"/>
          <w:szCs w:val="22"/>
        </w:rPr>
        <w:t>s</w:t>
      </w:r>
      <w:r w:rsidR="007E37D0" w:rsidRPr="007E37D0">
        <w:rPr>
          <w:rFonts w:ascii="Arial" w:hAnsi="Arial"/>
          <w:sz w:val="22"/>
          <w:szCs w:val="22"/>
        </w:rPr>
        <w:t xml:space="preserve"> safety concerns with testosterone, including possible increased cardiovascular risk in older men. </w:t>
      </w:r>
      <w:r w:rsidR="007E37D0">
        <w:rPr>
          <w:rFonts w:ascii="Arial" w:hAnsi="Arial"/>
          <w:sz w:val="22"/>
          <w:szCs w:val="22"/>
        </w:rPr>
        <w:t>The PBAC reaffirmed that the PBS restrictions for testosterone products should appropriately address these concerns.</w:t>
      </w:r>
      <w:r w:rsidR="00EE2767">
        <w:rPr>
          <w:rFonts w:ascii="Arial" w:hAnsi="Arial"/>
          <w:sz w:val="22"/>
          <w:szCs w:val="22"/>
        </w:rPr>
        <w:t xml:space="preserve"> </w:t>
      </w:r>
    </w:p>
    <w:p w:rsidR="007E37D0" w:rsidRPr="007E37D0" w:rsidRDefault="007E37D0" w:rsidP="007E37D0">
      <w:pPr>
        <w:pStyle w:val="ListParagraph"/>
        <w:rPr>
          <w:rFonts w:ascii="Arial" w:hAnsi="Arial"/>
          <w:sz w:val="22"/>
          <w:szCs w:val="22"/>
        </w:rPr>
      </w:pPr>
    </w:p>
    <w:p w:rsidR="007E37D0" w:rsidRDefault="007E37D0" w:rsidP="009F0E90">
      <w:pPr>
        <w:pStyle w:val="ListParagraph"/>
        <w:numPr>
          <w:ilvl w:val="1"/>
          <w:numId w:val="25"/>
        </w:numPr>
        <w:jc w:val="both"/>
        <w:rPr>
          <w:rFonts w:ascii="Arial" w:hAnsi="Arial"/>
          <w:sz w:val="22"/>
          <w:szCs w:val="22"/>
        </w:rPr>
      </w:pPr>
      <w:r>
        <w:rPr>
          <w:rFonts w:ascii="Arial" w:hAnsi="Arial"/>
          <w:sz w:val="22"/>
          <w:szCs w:val="22"/>
        </w:rPr>
        <w:t xml:space="preserve">The PBAC considered that the impacts on </w:t>
      </w:r>
      <w:r w:rsidRPr="007E37D0">
        <w:rPr>
          <w:rFonts w:ascii="Arial" w:hAnsi="Arial"/>
          <w:sz w:val="22"/>
          <w:szCs w:val="22"/>
        </w:rPr>
        <w:t>trans people and people with intersex variations</w:t>
      </w:r>
      <w:r>
        <w:rPr>
          <w:rFonts w:ascii="Arial" w:hAnsi="Arial"/>
          <w:sz w:val="22"/>
          <w:szCs w:val="22"/>
        </w:rPr>
        <w:t xml:space="preserve"> described in the submission were unintended consequences of the restriction amendments which came into effect on 1 April 2015.  The PBAC requested that the Department undertake to identify, in consultation with affected stakeholders, an approach that would preserve the Committee’s original intent to prevent inappropriate utilisation of testosterone products, while at the same time limiting or avoiding impacts on </w:t>
      </w:r>
      <w:r w:rsidRPr="007E37D0">
        <w:rPr>
          <w:rFonts w:ascii="Arial" w:hAnsi="Arial"/>
          <w:sz w:val="22"/>
          <w:szCs w:val="22"/>
        </w:rPr>
        <w:t>trans people and people with intersex variations</w:t>
      </w:r>
      <w:r w:rsidR="00CD39C3">
        <w:rPr>
          <w:rFonts w:ascii="Arial" w:hAnsi="Arial"/>
          <w:sz w:val="22"/>
          <w:szCs w:val="22"/>
        </w:rPr>
        <w:t xml:space="preserve">. </w:t>
      </w:r>
    </w:p>
    <w:p w:rsidR="007E37D0" w:rsidRPr="007E37D0" w:rsidRDefault="007E37D0" w:rsidP="007E37D0">
      <w:pPr>
        <w:pStyle w:val="ListParagraph"/>
        <w:rPr>
          <w:rFonts w:ascii="Arial" w:hAnsi="Arial"/>
          <w:sz w:val="22"/>
          <w:szCs w:val="22"/>
        </w:rPr>
      </w:pPr>
    </w:p>
    <w:p w:rsidR="00666960" w:rsidRPr="009F0E90" w:rsidRDefault="00666960" w:rsidP="009F0E90">
      <w:pPr>
        <w:pStyle w:val="ListParagraph"/>
        <w:numPr>
          <w:ilvl w:val="1"/>
          <w:numId w:val="25"/>
        </w:numPr>
        <w:jc w:val="both"/>
        <w:rPr>
          <w:rFonts w:ascii="Arial" w:hAnsi="Arial"/>
          <w:sz w:val="22"/>
          <w:szCs w:val="22"/>
        </w:rPr>
      </w:pPr>
      <w:r w:rsidRPr="00E1640E">
        <w:rPr>
          <w:rFonts w:ascii="Arial" w:hAnsi="Arial"/>
          <w:sz w:val="22"/>
          <w:szCs w:val="22"/>
        </w:rPr>
        <w:t xml:space="preserve">The PBAC </w:t>
      </w:r>
      <w:r>
        <w:rPr>
          <w:rFonts w:ascii="Arial" w:hAnsi="Arial"/>
          <w:sz w:val="22"/>
          <w:szCs w:val="22"/>
        </w:rPr>
        <w:t>recommended</w:t>
      </w:r>
      <w:r w:rsidRPr="00E1640E">
        <w:rPr>
          <w:rFonts w:ascii="Arial" w:hAnsi="Arial"/>
          <w:sz w:val="22"/>
          <w:szCs w:val="22"/>
        </w:rPr>
        <w:t xml:space="preserve"> a stakeholder meeting be held </w:t>
      </w:r>
      <w:r>
        <w:rPr>
          <w:rFonts w:ascii="Arial" w:hAnsi="Arial"/>
          <w:sz w:val="22"/>
          <w:szCs w:val="22"/>
        </w:rPr>
        <w:t xml:space="preserve">between the Department, representatives of the </w:t>
      </w:r>
      <w:r w:rsidR="007E37D0">
        <w:rPr>
          <w:rFonts w:ascii="Arial" w:hAnsi="Arial"/>
          <w:sz w:val="22"/>
          <w:szCs w:val="22"/>
        </w:rPr>
        <w:t xml:space="preserve">National </w:t>
      </w:r>
      <w:r w:rsidRPr="00E1640E">
        <w:rPr>
          <w:rFonts w:ascii="Arial" w:hAnsi="Arial" w:cs="Arial"/>
          <w:snapToGrid w:val="0"/>
          <w:sz w:val="22"/>
          <w:szCs w:val="22"/>
          <w:lang w:eastAsia="en-US"/>
        </w:rPr>
        <w:t xml:space="preserve">LGBTI </w:t>
      </w:r>
      <w:r w:rsidR="007E37D0">
        <w:rPr>
          <w:rFonts w:ascii="Arial" w:hAnsi="Arial" w:cs="Arial"/>
          <w:snapToGrid w:val="0"/>
          <w:sz w:val="22"/>
          <w:szCs w:val="22"/>
          <w:lang w:eastAsia="en-US"/>
        </w:rPr>
        <w:t>Health A</w:t>
      </w:r>
      <w:r w:rsidRPr="00E1640E">
        <w:rPr>
          <w:rFonts w:ascii="Arial" w:hAnsi="Arial" w:cs="Arial"/>
          <w:snapToGrid w:val="0"/>
          <w:sz w:val="22"/>
          <w:szCs w:val="22"/>
          <w:lang w:eastAsia="en-US"/>
        </w:rPr>
        <w:t>lliance</w:t>
      </w:r>
      <w:r>
        <w:rPr>
          <w:rFonts w:ascii="Arial" w:hAnsi="Arial" w:cs="Arial"/>
          <w:snapToGrid w:val="0"/>
          <w:sz w:val="22"/>
          <w:szCs w:val="22"/>
          <w:lang w:eastAsia="en-US"/>
        </w:rPr>
        <w:t xml:space="preserve"> and other consumer representatives</w:t>
      </w:r>
      <w:r w:rsidRPr="00E1640E">
        <w:rPr>
          <w:rFonts w:ascii="Arial" w:hAnsi="Arial" w:cs="Arial"/>
          <w:snapToGrid w:val="0"/>
          <w:sz w:val="22"/>
          <w:szCs w:val="22"/>
          <w:lang w:eastAsia="en-US"/>
        </w:rPr>
        <w:t>,</w:t>
      </w:r>
      <w:r>
        <w:rPr>
          <w:rFonts w:ascii="Arial" w:hAnsi="Arial" w:cs="Arial"/>
          <w:snapToGrid w:val="0"/>
          <w:sz w:val="22"/>
          <w:szCs w:val="22"/>
          <w:lang w:eastAsia="en-US"/>
        </w:rPr>
        <w:t xml:space="preserve"> relevant clinicians, the </w:t>
      </w:r>
      <w:r w:rsidRPr="00E1640E">
        <w:rPr>
          <w:rFonts w:ascii="Arial" w:hAnsi="Arial" w:cs="Arial"/>
          <w:snapToGrid w:val="0"/>
          <w:sz w:val="22"/>
          <w:szCs w:val="22"/>
          <w:lang w:eastAsia="en-US"/>
        </w:rPr>
        <w:t>Department of Human Services, the sponsors of testosterone preparations</w:t>
      </w:r>
      <w:r>
        <w:rPr>
          <w:rFonts w:ascii="Arial" w:hAnsi="Arial" w:cs="Arial"/>
          <w:snapToGrid w:val="0"/>
          <w:sz w:val="22"/>
          <w:szCs w:val="22"/>
          <w:lang w:eastAsia="en-US"/>
        </w:rPr>
        <w:t xml:space="preserve"> and PBAC members</w:t>
      </w:r>
      <w:r w:rsidRPr="00E1640E">
        <w:rPr>
          <w:rFonts w:ascii="Arial" w:hAnsi="Arial" w:cs="Arial"/>
          <w:snapToGrid w:val="0"/>
          <w:sz w:val="22"/>
          <w:szCs w:val="22"/>
          <w:lang w:eastAsia="en-US"/>
        </w:rPr>
        <w:t xml:space="preserve">. </w:t>
      </w:r>
      <w:r w:rsidRPr="00E1640E">
        <w:rPr>
          <w:rFonts w:ascii="Arial" w:hAnsi="Arial"/>
          <w:sz w:val="22"/>
          <w:szCs w:val="22"/>
        </w:rPr>
        <w:t xml:space="preserve">The aim of this meeting would be </w:t>
      </w:r>
      <w:r>
        <w:rPr>
          <w:rFonts w:ascii="Arial" w:hAnsi="Arial"/>
          <w:sz w:val="22"/>
          <w:szCs w:val="22"/>
        </w:rPr>
        <w:t>to determine</w:t>
      </w:r>
      <w:r w:rsidRPr="00E1640E">
        <w:rPr>
          <w:rFonts w:ascii="Arial" w:hAnsi="Arial"/>
          <w:sz w:val="22"/>
          <w:szCs w:val="22"/>
        </w:rPr>
        <w:t xml:space="preserve"> an appropriate restriction arrangement</w:t>
      </w:r>
      <w:r w:rsidR="00CD39C3">
        <w:rPr>
          <w:rFonts w:ascii="Arial" w:hAnsi="Arial"/>
          <w:sz w:val="22"/>
          <w:szCs w:val="22"/>
        </w:rPr>
        <w:t xml:space="preserve"> (including appropriate prescriber groups)</w:t>
      </w:r>
      <w:r w:rsidRPr="00E1640E">
        <w:rPr>
          <w:rFonts w:ascii="Arial" w:hAnsi="Arial"/>
          <w:sz w:val="22"/>
          <w:szCs w:val="22"/>
        </w:rPr>
        <w:t xml:space="preserve"> for t</w:t>
      </w:r>
      <w:r>
        <w:rPr>
          <w:rFonts w:ascii="Arial" w:hAnsi="Arial"/>
          <w:sz w:val="22"/>
          <w:szCs w:val="22"/>
        </w:rPr>
        <w:t>ransgender and intersex populations</w:t>
      </w:r>
      <w:r w:rsidR="00CD39C3">
        <w:rPr>
          <w:rFonts w:ascii="Arial" w:hAnsi="Arial"/>
          <w:sz w:val="22"/>
          <w:szCs w:val="22"/>
        </w:rPr>
        <w:t xml:space="preserve">. A revised restriction would </w:t>
      </w:r>
      <w:r>
        <w:rPr>
          <w:rFonts w:ascii="Arial" w:hAnsi="Arial"/>
          <w:sz w:val="22"/>
          <w:szCs w:val="22"/>
        </w:rPr>
        <w:t xml:space="preserve">need </w:t>
      </w:r>
      <w:r w:rsidR="00CD39C3">
        <w:rPr>
          <w:rFonts w:ascii="Arial" w:hAnsi="Arial"/>
          <w:sz w:val="22"/>
          <w:szCs w:val="22"/>
        </w:rPr>
        <w:t xml:space="preserve">to reflect the need </w:t>
      </w:r>
      <w:r>
        <w:rPr>
          <w:rFonts w:ascii="Arial" w:hAnsi="Arial"/>
          <w:sz w:val="22"/>
          <w:szCs w:val="22"/>
        </w:rPr>
        <w:t xml:space="preserve">for </w:t>
      </w:r>
      <w:r w:rsidR="00CD39C3">
        <w:rPr>
          <w:rFonts w:ascii="Arial" w:hAnsi="Arial"/>
          <w:sz w:val="22"/>
          <w:szCs w:val="22"/>
        </w:rPr>
        <w:t xml:space="preserve">these patients to maintain </w:t>
      </w:r>
      <w:r>
        <w:rPr>
          <w:rFonts w:ascii="Arial" w:hAnsi="Arial"/>
          <w:sz w:val="22"/>
          <w:szCs w:val="22"/>
        </w:rPr>
        <w:t>continuity of care with a primary care provider</w:t>
      </w:r>
      <w:r w:rsidR="009B23E9">
        <w:rPr>
          <w:rFonts w:ascii="Arial" w:hAnsi="Arial"/>
          <w:sz w:val="22"/>
          <w:szCs w:val="22"/>
        </w:rPr>
        <w:t>.</w:t>
      </w:r>
      <w:r w:rsidRPr="00E1640E">
        <w:rPr>
          <w:rFonts w:ascii="Arial" w:hAnsi="Arial"/>
          <w:sz w:val="22"/>
          <w:szCs w:val="22"/>
        </w:rPr>
        <w:t xml:space="preserve"> </w:t>
      </w:r>
    </w:p>
    <w:p w:rsidR="00AE6217" w:rsidRPr="00E1640E" w:rsidRDefault="00AE6217" w:rsidP="009F0E90"/>
    <w:p w:rsidR="000D228A" w:rsidRPr="00E1640E" w:rsidRDefault="00A47C80" w:rsidP="009F0E90">
      <w:pPr>
        <w:pStyle w:val="ListParagraph"/>
        <w:numPr>
          <w:ilvl w:val="1"/>
          <w:numId w:val="25"/>
        </w:numPr>
        <w:jc w:val="both"/>
        <w:rPr>
          <w:rFonts w:ascii="Arial" w:hAnsi="Arial"/>
          <w:sz w:val="22"/>
          <w:szCs w:val="22"/>
        </w:rPr>
      </w:pPr>
      <w:r w:rsidRPr="000D228A">
        <w:rPr>
          <w:rFonts w:ascii="Arial" w:hAnsi="Arial"/>
          <w:sz w:val="22"/>
          <w:szCs w:val="22"/>
        </w:rPr>
        <w:t xml:space="preserve">The PBAC noted the consumer comments and acknowledged the </w:t>
      </w:r>
      <w:r w:rsidR="000D228A" w:rsidRPr="000D228A">
        <w:rPr>
          <w:rFonts w:ascii="Arial" w:hAnsi="Arial"/>
          <w:sz w:val="22"/>
          <w:szCs w:val="22"/>
        </w:rPr>
        <w:t xml:space="preserve">unintended </w:t>
      </w:r>
      <w:r w:rsidR="000D228A" w:rsidRPr="009F0E90">
        <w:rPr>
          <w:rFonts w:ascii="Arial" w:hAnsi="Arial"/>
          <w:sz w:val="22"/>
          <w:szCs w:val="22"/>
        </w:rPr>
        <w:t xml:space="preserve">consequences of the changes to the restrictions for the </w:t>
      </w:r>
      <w:r w:rsidRPr="009F0E90">
        <w:rPr>
          <w:rFonts w:ascii="Arial" w:hAnsi="Arial"/>
          <w:sz w:val="22"/>
          <w:szCs w:val="22"/>
        </w:rPr>
        <w:t xml:space="preserve">transgender and intersex patient </w:t>
      </w:r>
      <w:r w:rsidR="000D228A" w:rsidRPr="009F0E90">
        <w:rPr>
          <w:rFonts w:ascii="Arial" w:hAnsi="Arial"/>
          <w:sz w:val="22"/>
          <w:szCs w:val="22"/>
        </w:rPr>
        <w:t>populations</w:t>
      </w:r>
      <w:r w:rsidRPr="009F0E90">
        <w:rPr>
          <w:rFonts w:ascii="Arial" w:hAnsi="Arial"/>
          <w:sz w:val="22"/>
          <w:szCs w:val="22"/>
        </w:rPr>
        <w:t>.</w:t>
      </w:r>
    </w:p>
    <w:p w:rsidR="00B15E6A" w:rsidRPr="009F0E90" w:rsidRDefault="00B15E6A" w:rsidP="009F0E90">
      <w:pPr>
        <w:jc w:val="both"/>
        <w:rPr>
          <w:rFonts w:ascii="Arial" w:hAnsi="Arial"/>
          <w:sz w:val="22"/>
          <w:szCs w:val="22"/>
        </w:rPr>
      </w:pPr>
    </w:p>
    <w:p w:rsidR="00C43476" w:rsidRDefault="00C43476">
      <w:pPr>
        <w:rPr>
          <w:rFonts w:ascii="Arial" w:hAnsi="Arial"/>
          <w:sz w:val="22"/>
          <w:szCs w:val="22"/>
        </w:rPr>
      </w:pPr>
    </w:p>
    <w:p w:rsidR="00C43476" w:rsidRPr="00136CDA" w:rsidRDefault="00C43476" w:rsidP="00C43476">
      <w:pPr>
        <w:jc w:val="both"/>
        <w:rPr>
          <w:rFonts w:ascii="Arial" w:hAnsi="Arial" w:cs="Arial"/>
          <w:b/>
          <w:bCs/>
          <w:snapToGrid w:val="0"/>
          <w:sz w:val="22"/>
          <w:szCs w:val="22"/>
          <w:lang w:val="en-GB"/>
        </w:rPr>
      </w:pPr>
      <w:r w:rsidRPr="00136CDA">
        <w:rPr>
          <w:rFonts w:ascii="Arial" w:hAnsi="Arial" w:cs="Arial"/>
          <w:b/>
          <w:bCs/>
          <w:snapToGrid w:val="0"/>
          <w:sz w:val="22"/>
          <w:szCs w:val="22"/>
          <w:lang w:val="en-GB"/>
        </w:rPr>
        <w:t>Outcome:</w:t>
      </w:r>
    </w:p>
    <w:p w:rsidR="00C43476" w:rsidRDefault="00C43476" w:rsidP="00C43476">
      <w:pPr>
        <w:rPr>
          <w:rFonts w:ascii="Arial" w:hAnsi="Arial" w:cs="Arial"/>
          <w:bCs/>
          <w:snapToGrid w:val="0"/>
          <w:sz w:val="22"/>
          <w:szCs w:val="22"/>
          <w:lang w:val="en-GB"/>
        </w:rPr>
      </w:pPr>
      <w:r w:rsidRPr="00136CDA">
        <w:rPr>
          <w:rFonts w:ascii="Arial" w:hAnsi="Arial" w:cs="Arial"/>
          <w:bCs/>
          <w:snapToGrid w:val="0"/>
          <w:sz w:val="22"/>
          <w:szCs w:val="22"/>
          <w:lang w:val="en-GB"/>
        </w:rPr>
        <w:t>Recommended</w:t>
      </w:r>
    </w:p>
    <w:p w:rsidR="001654CB" w:rsidRDefault="001654CB" w:rsidP="00C43476">
      <w:pPr>
        <w:widowControl w:val="0"/>
        <w:jc w:val="both"/>
        <w:rPr>
          <w:rFonts w:ascii="Arial" w:hAnsi="Arial" w:cs="Arial"/>
          <w:b/>
          <w:bCs/>
          <w:snapToGrid w:val="0"/>
          <w:sz w:val="22"/>
          <w:szCs w:val="22"/>
        </w:rPr>
      </w:pPr>
    </w:p>
    <w:p w:rsidR="00AA767F" w:rsidRDefault="00AA767F" w:rsidP="00C43476">
      <w:pPr>
        <w:widowControl w:val="0"/>
        <w:jc w:val="both"/>
        <w:rPr>
          <w:rFonts w:ascii="Arial" w:hAnsi="Arial" w:cs="Arial"/>
          <w:b/>
          <w:bCs/>
          <w:snapToGrid w:val="0"/>
          <w:sz w:val="22"/>
          <w:szCs w:val="22"/>
        </w:rPr>
      </w:pPr>
    </w:p>
    <w:p w:rsidR="00CB23E8" w:rsidRDefault="001654CB" w:rsidP="00CB23E8">
      <w:pPr>
        <w:widowControl w:val="0"/>
        <w:numPr>
          <w:ilvl w:val="0"/>
          <w:numId w:val="25"/>
        </w:numPr>
        <w:jc w:val="both"/>
        <w:rPr>
          <w:rFonts w:ascii="Arial" w:hAnsi="Arial" w:cs="Arial"/>
          <w:b/>
          <w:bCs/>
          <w:snapToGrid w:val="0"/>
          <w:sz w:val="22"/>
          <w:szCs w:val="22"/>
        </w:rPr>
      </w:pPr>
      <w:r w:rsidRPr="001654CB">
        <w:rPr>
          <w:rFonts w:ascii="Arial" w:hAnsi="Arial" w:cs="Arial"/>
          <w:b/>
          <w:bCs/>
          <w:snapToGrid w:val="0"/>
          <w:sz w:val="22"/>
          <w:szCs w:val="22"/>
        </w:rPr>
        <w:t>Recommended listing</w:t>
      </w:r>
    </w:p>
    <w:p w:rsidR="00E1640E" w:rsidRPr="001654CB" w:rsidRDefault="00E1640E" w:rsidP="009F0E90">
      <w:pPr>
        <w:widowControl w:val="0"/>
        <w:ind w:left="720"/>
        <w:jc w:val="both"/>
        <w:rPr>
          <w:rFonts w:ascii="Arial" w:hAnsi="Arial" w:cs="Arial"/>
          <w:b/>
          <w:bCs/>
          <w:snapToGrid w:val="0"/>
          <w:sz w:val="22"/>
          <w:szCs w:val="22"/>
        </w:rPr>
      </w:pPr>
    </w:p>
    <w:p w:rsidR="00CB23E8" w:rsidRPr="009F0E90" w:rsidRDefault="00E1640E" w:rsidP="00CB23E8">
      <w:pPr>
        <w:pStyle w:val="ListParagraph"/>
        <w:numPr>
          <w:ilvl w:val="1"/>
          <w:numId w:val="25"/>
        </w:numPr>
        <w:jc w:val="both"/>
        <w:rPr>
          <w:rFonts w:ascii="Arial" w:hAnsi="Arial"/>
          <w:sz w:val="22"/>
          <w:szCs w:val="22"/>
        </w:rPr>
      </w:pPr>
      <w:r w:rsidRPr="009F0E90">
        <w:rPr>
          <w:rFonts w:ascii="Arial" w:hAnsi="Arial"/>
          <w:sz w:val="22"/>
          <w:szCs w:val="22"/>
        </w:rPr>
        <w:t>Amend existing listing as follows:</w:t>
      </w:r>
    </w:p>
    <w:p w:rsidR="001654CB" w:rsidRDefault="001654CB" w:rsidP="00C43476">
      <w:pPr>
        <w:widowControl w:val="0"/>
        <w:jc w:val="both"/>
        <w:rPr>
          <w:rFonts w:ascii="Arial" w:hAnsi="Arial" w:cs="Arial"/>
          <w:b/>
          <w:bCs/>
          <w:snapToGrid w:val="0"/>
          <w:sz w:val="22"/>
          <w:szCs w:val="22"/>
        </w:rPr>
      </w:pPr>
    </w:p>
    <w:tbl>
      <w:tblPr>
        <w:tblW w:w="9072" w:type="dxa"/>
        <w:tblInd w:w="108" w:type="dxa"/>
        <w:tblLayout w:type="fixed"/>
        <w:tblLook w:val="0000" w:firstRow="0" w:lastRow="0" w:firstColumn="0" w:lastColumn="0" w:noHBand="0" w:noVBand="0"/>
      </w:tblPr>
      <w:tblGrid>
        <w:gridCol w:w="4820"/>
        <w:gridCol w:w="850"/>
        <w:gridCol w:w="709"/>
        <w:gridCol w:w="1985"/>
        <w:gridCol w:w="708"/>
      </w:tblGrid>
      <w:tr w:rsidR="00E1640E" w:rsidRPr="009F0E90" w:rsidTr="00450538">
        <w:trPr>
          <w:cantSplit/>
          <w:trHeight w:val="471"/>
        </w:trPr>
        <w:tc>
          <w:tcPr>
            <w:tcW w:w="4820" w:type="dxa"/>
            <w:tcBorders>
              <w:bottom w:val="single" w:sz="4" w:space="0" w:color="auto"/>
            </w:tcBorders>
          </w:tcPr>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lastRenderedPageBreak/>
              <w:t>Name, Restriction,</w:t>
            </w:r>
          </w:p>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t>Manner of administration and form</w:t>
            </w:r>
          </w:p>
        </w:tc>
        <w:tc>
          <w:tcPr>
            <w:tcW w:w="850" w:type="dxa"/>
            <w:tcBorders>
              <w:bottom w:val="single" w:sz="4" w:space="0" w:color="auto"/>
            </w:tcBorders>
          </w:tcPr>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t>Max.</w:t>
            </w:r>
          </w:p>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t>Qty</w:t>
            </w:r>
          </w:p>
        </w:tc>
        <w:tc>
          <w:tcPr>
            <w:tcW w:w="709" w:type="dxa"/>
            <w:tcBorders>
              <w:bottom w:val="single" w:sz="4" w:space="0" w:color="auto"/>
            </w:tcBorders>
          </w:tcPr>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t>№.of</w:t>
            </w:r>
          </w:p>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t>Rpts</w:t>
            </w:r>
          </w:p>
        </w:tc>
        <w:tc>
          <w:tcPr>
            <w:tcW w:w="2693" w:type="dxa"/>
            <w:gridSpan w:val="2"/>
            <w:tcBorders>
              <w:bottom w:val="single" w:sz="4" w:space="0" w:color="auto"/>
            </w:tcBorders>
          </w:tcPr>
          <w:p w:rsidR="00E1640E" w:rsidRPr="009F0E90" w:rsidRDefault="00E1640E" w:rsidP="009F0E90">
            <w:pPr>
              <w:keepNext/>
              <w:rPr>
                <w:rFonts w:ascii="Arial Narrow" w:hAnsi="Arial Narrow" w:cs="Arial"/>
                <w:b/>
                <w:sz w:val="20"/>
                <w:szCs w:val="20"/>
              </w:rPr>
            </w:pPr>
            <w:r w:rsidRPr="009F0E90">
              <w:rPr>
                <w:rFonts w:ascii="Arial Narrow" w:hAnsi="Arial Narrow" w:cs="Arial"/>
                <w:b/>
                <w:sz w:val="20"/>
                <w:szCs w:val="20"/>
              </w:rPr>
              <w:t>Proprietary Name and Manufacturer</w:t>
            </w:r>
          </w:p>
        </w:tc>
      </w:tr>
      <w:tr w:rsidR="00E1640E" w:rsidRPr="009031CA" w:rsidTr="00450538">
        <w:trPr>
          <w:cantSplit/>
          <w:trHeight w:val="577"/>
        </w:trPr>
        <w:tc>
          <w:tcPr>
            <w:tcW w:w="4820" w:type="dxa"/>
          </w:tcPr>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TESTOSTERONE</w:t>
            </w: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testosterone 2% (30 mg/1.5 mL actuation) transdermal solution, 60 actuations</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 xml:space="preserve">testosterone 2.5 mg/24 hours patch, 60 </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testosterone 5 mg/24 hours patch, 30</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testosterone 1% (50 mg/5 g) gel, 30 x 5 g sachets</w:t>
            </w:r>
          </w:p>
          <w:p w:rsidR="00E1640E" w:rsidRPr="009031CA" w:rsidRDefault="00E1640E" w:rsidP="009F0E90">
            <w:pPr>
              <w:keepNext/>
              <w:rPr>
                <w:rFonts w:ascii="Arial Narrow" w:hAnsi="Arial Narrow" w:cs="Arial"/>
                <w:sz w:val="20"/>
                <w:szCs w:val="20"/>
              </w:rPr>
            </w:pPr>
          </w:p>
        </w:tc>
        <w:tc>
          <w:tcPr>
            <w:tcW w:w="850" w:type="dxa"/>
          </w:tcPr>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1</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1</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1</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1</w:t>
            </w:r>
          </w:p>
        </w:tc>
        <w:tc>
          <w:tcPr>
            <w:tcW w:w="709" w:type="dxa"/>
          </w:tcPr>
          <w:p w:rsidR="00E1640E" w:rsidRPr="00F022A2" w:rsidRDefault="00E1640E" w:rsidP="009F0E90">
            <w:pPr>
              <w:keepNext/>
              <w:rPr>
                <w:rFonts w:ascii="Arial Narrow" w:hAnsi="Arial Narrow" w:cs="Arial"/>
                <w:sz w:val="20"/>
                <w:szCs w:val="20"/>
              </w:rPr>
            </w:pPr>
          </w:p>
          <w:p w:rsidR="00E1640E" w:rsidRPr="00F022A2" w:rsidRDefault="00E1640E" w:rsidP="009F0E90">
            <w:pPr>
              <w:keepNext/>
              <w:rPr>
                <w:rFonts w:ascii="Arial Narrow" w:hAnsi="Arial Narrow" w:cs="Arial"/>
                <w:sz w:val="20"/>
                <w:szCs w:val="20"/>
              </w:rPr>
            </w:pPr>
            <w:r w:rsidRPr="00F022A2">
              <w:rPr>
                <w:rFonts w:ascii="Arial Narrow" w:hAnsi="Arial Narrow" w:cs="Arial"/>
                <w:sz w:val="20"/>
                <w:szCs w:val="20"/>
              </w:rPr>
              <w:t>5</w:t>
            </w:r>
          </w:p>
          <w:p w:rsidR="00E1640E" w:rsidRPr="00F022A2" w:rsidRDefault="00E1640E" w:rsidP="009F0E90">
            <w:pPr>
              <w:keepNext/>
              <w:rPr>
                <w:rFonts w:ascii="Arial Narrow" w:hAnsi="Arial Narrow" w:cs="Arial"/>
                <w:sz w:val="20"/>
                <w:szCs w:val="20"/>
              </w:rPr>
            </w:pPr>
          </w:p>
          <w:p w:rsidR="00E1640E" w:rsidRPr="00F022A2" w:rsidRDefault="00E1640E" w:rsidP="009F0E90">
            <w:pPr>
              <w:keepNext/>
              <w:rPr>
                <w:rFonts w:ascii="Arial Narrow" w:hAnsi="Arial Narrow" w:cs="Arial"/>
                <w:sz w:val="20"/>
                <w:szCs w:val="20"/>
              </w:rPr>
            </w:pPr>
          </w:p>
          <w:p w:rsidR="00E1640E" w:rsidRPr="00F022A2" w:rsidRDefault="00E1640E" w:rsidP="009F0E90">
            <w:pPr>
              <w:keepNext/>
              <w:rPr>
                <w:rFonts w:ascii="Arial Narrow" w:hAnsi="Arial Narrow" w:cs="Arial"/>
                <w:sz w:val="20"/>
                <w:szCs w:val="20"/>
              </w:rPr>
            </w:pPr>
            <w:r w:rsidRPr="00F022A2">
              <w:rPr>
                <w:rFonts w:ascii="Arial Narrow" w:hAnsi="Arial Narrow" w:cs="Arial"/>
                <w:sz w:val="20"/>
                <w:szCs w:val="20"/>
              </w:rPr>
              <w:t>5</w:t>
            </w:r>
          </w:p>
          <w:p w:rsidR="00E1640E" w:rsidRPr="00F022A2" w:rsidRDefault="00E1640E" w:rsidP="009F0E90">
            <w:pPr>
              <w:keepNext/>
              <w:rPr>
                <w:rFonts w:ascii="Arial Narrow" w:hAnsi="Arial Narrow" w:cs="Arial"/>
                <w:sz w:val="20"/>
                <w:szCs w:val="20"/>
              </w:rPr>
            </w:pPr>
          </w:p>
          <w:p w:rsidR="00E1640E" w:rsidRPr="00F022A2" w:rsidRDefault="00E1640E" w:rsidP="009F0E90">
            <w:pPr>
              <w:keepNext/>
              <w:rPr>
                <w:rFonts w:ascii="Arial Narrow" w:hAnsi="Arial Narrow" w:cs="Arial"/>
                <w:sz w:val="20"/>
                <w:szCs w:val="20"/>
              </w:rPr>
            </w:pPr>
            <w:r w:rsidRPr="00F022A2">
              <w:rPr>
                <w:rFonts w:ascii="Arial Narrow" w:hAnsi="Arial Narrow" w:cs="Arial"/>
                <w:sz w:val="20"/>
                <w:szCs w:val="20"/>
              </w:rPr>
              <w:t>5</w:t>
            </w:r>
          </w:p>
          <w:p w:rsidR="00E1640E" w:rsidRPr="00F022A2" w:rsidRDefault="00E1640E" w:rsidP="009F0E90">
            <w:pPr>
              <w:keepNext/>
              <w:rPr>
                <w:rFonts w:ascii="Arial Narrow" w:hAnsi="Arial Narrow" w:cs="Arial"/>
                <w:sz w:val="20"/>
                <w:szCs w:val="20"/>
              </w:rPr>
            </w:pPr>
          </w:p>
          <w:p w:rsidR="00E1640E" w:rsidRPr="00F022A2" w:rsidRDefault="00E1640E" w:rsidP="009F0E90">
            <w:pPr>
              <w:keepNext/>
              <w:rPr>
                <w:rFonts w:ascii="Arial Narrow" w:hAnsi="Arial Narrow" w:cs="Arial"/>
                <w:sz w:val="20"/>
                <w:szCs w:val="20"/>
              </w:rPr>
            </w:pPr>
            <w:r w:rsidRPr="00F022A2">
              <w:rPr>
                <w:rFonts w:ascii="Arial Narrow" w:hAnsi="Arial Narrow" w:cs="Arial"/>
                <w:sz w:val="20"/>
                <w:szCs w:val="20"/>
              </w:rPr>
              <w:t>5</w:t>
            </w:r>
          </w:p>
        </w:tc>
        <w:tc>
          <w:tcPr>
            <w:tcW w:w="1985" w:type="dxa"/>
          </w:tcPr>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Axiron</w:t>
            </w:r>
            <w:bookmarkStart w:id="0" w:name="_GoBack"/>
            <w:bookmarkEnd w:id="0"/>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Androderm</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Androderm</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Testogel</w:t>
            </w:r>
          </w:p>
        </w:tc>
        <w:tc>
          <w:tcPr>
            <w:tcW w:w="708" w:type="dxa"/>
          </w:tcPr>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EL</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GN</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GN</w:t>
            </w:r>
          </w:p>
          <w:p w:rsidR="00E1640E" w:rsidRPr="009031CA" w:rsidRDefault="00E1640E" w:rsidP="009F0E90">
            <w:pPr>
              <w:keepNext/>
              <w:rPr>
                <w:rFonts w:ascii="Arial Narrow" w:hAnsi="Arial Narrow" w:cs="Arial"/>
                <w:sz w:val="20"/>
                <w:szCs w:val="20"/>
              </w:rPr>
            </w:pPr>
          </w:p>
          <w:p w:rsidR="00E1640E" w:rsidRPr="009031CA" w:rsidRDefault="00E1640E" w:rsidP="009F0E90">
            <w:pPr>
              <w:keepNext/>
              <w:rPr>
                <w:rFonts w:ascii="Arial Narrow" w:hAnsi="Arial Narrow" w:cs="Arial"/>
                <w:sz w:val="20"/>
                <w:szCs w:val="20"/>
              </w:rPr>
            </w:pPr>
            <w:r w:rsidRPr="009031CA">
              <w:rPr>
                <w:rFonts w:ascii="Arial Narrow" w:hAnsi="Arial Narrow" w:cs="Arial"/>
                <w:sz w:val="20"/>
                <w:szCs w:val="20"/>
              </w:rPr>
              <w:t>BN</w:t>
            </w:r>
          </w:p>
        </w:tc>
      </w:tr>
      <w:tr w:rsidR="00E1640E" w:rsidRPr="009031CA" w:rsidTr="00450538">
        <w:trPr>
          <w:cantSplit/>
          <w:trHeight w:val="577"/>
        </w:trPr>
        <w:tc>
          <w:tcPr>
            <w:tcW w:w="4820" w:type="dxa"/>
            <w:vAlign w:val="center"/>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TESTOSTERONE ENANTHATE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 xml:space="preserve">testosterone enanthate 250 mg/mL injection, </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3 x 1 mL syringes</w:t>
            </w:r>
          </w:p>
          <w:p w:rsidR="00E1640E" w:rsidRPr="009031CA" w:rsidRDefault="00E1640E" w:rsidP="00450538">
            <w:pPr>
              <w:rPr>
                <w:rFonts w:ascii="Arial Narrow" w:hAnsi="Arial Narrow" w:cs="Arial"/>
                <w:sz w:val="20"/>
                <w:szCs w:val="20"/>
              </w:rPr>
            </w:pPr>
          </w:p>
        </w:tc>
        <w:tc>
          <w:tcPr>
            <w:tcW w:w="850" w:type="dxa"/>
          </w:tcPr>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1</w:t>
            </w:r>
          </w:p>
        </w:tc>
        <w:tc>
          <w:tcPr>
            <w:tcW w:w="709" w:type="dxa"/>
          </w:tcPr>
          <w:p w:rsidR="00E1640E" w:rsidRPr="00F022A2" w:rsidRDefault="00E1640E" w:rsidP="00450538">
            <w:pPr>
              <w:rPr>
                <w:rFonts w:ascii="Arial Narrow" w:hAnsi="Arial Narrow" w:cs="Arial"/>
                <w:sz w:val="20"/>
                <w:szCs w:val="20"/>
              </w:rPr>
            </w:pPr>
          </w:p>
          <w:p w:rsidR="00E1640E" w:rsidRPr="00F022A2" w:rsidRDefault="00E1640E" w:rsidP="00450538">
            <w:pPr>
              <w:rPr>
                <w:rFonts w:ascii="Arial Narrow" w:hAnsi="Arial Narrow" w:cs="Arial"/>
                <w:sz w:val="20"/>
                <w:szCs w:val="20"/>
              </w:rPr>
            </w:pPr>
            <w:r w:rsidRPr="00F022A2">
              <w:rPr>
                <w:rFonts w:ascii="Arial Narrow" w:hAnsi="Arial Narrow" w:cs="Arial"/>
                <w:sz w:val="20"/>
                <w:szCs w:val="20"/>
              </w:rPr>
              <w:t>3</w:t>
            </w:r>
          </w:p>
        </w:tc>
        <w:tc>
          <w:tcPr>
            <w:tcW w:w="1985" w:type="dxa"/>
          </w:tcPr>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Primoteston Depot</w:t>
            </w:r>
          </w:p>
        </w:tc>
        <w:tc>
          <w:tcPr>
            <w:tcW w:w="708" w:type="dxa"/>
          </w:tcPr>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BN</w:t>
            </w:r>
          </w:p>
        </w:tc>
      </w:tr>
      <w:tr w:rsidR="00E1640E" w:rsidRPr="009031CA" w:rsidTr="00450538">
        <w:trPr>
          <w:cantSplit/>
          <w:trHeight w:val="577"/>
        </w:trPr>
        <w:tc>
          <w:tcPr>
            <w:tcW w:w="4820" w:type="dxa"/>
            <w:vAlign w:val="center"/>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TESTOSTERONE UNDECANOATE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testosterone undecanoate 40 mg capsule, 60</w:t>
            </w:r>
          </w:p>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 xml:space="preserve">testosterone undecanoate 1 g/4 mL injection, </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1 x 4 mL ampoule</w:t>
            </w:r>
          </w:p>
          <w:p w:rsidR="00E1640E" w:rsidRPr="009031CA" w:rsidRDefault="00E1640E" w:rsidP="00450538">
            <w:pPr>
              <w:rPr>
                <w:rFonts w:ascii="Arial Narrow" w:hAnsi="Arial Narrow" w:cs="Arial"/>
                <w:sz w:val="20"/>
                <w:szCs w:val="20"/>
              </w:rPr>
            </w:pPr>
          </w:p>
        </w:tc>
        <w:tc>
          <w:tcPr>
            <w:tcW w:w="850" w:type="dxa"/>
          </w:tcPr>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1</w:t>
            </w:r>
          </w:p>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1</w:t>
            </w:r>
          </w:p>
        </w:tc>
        <w:tc>
          <w:tcPr>
            <w:tcW w:w="709" w:type="dxa"/>
          </w:tcPr>
          <w:p w:rsidR="00E1640E" w:rsidRPr="00F022A2" w:rsidRDefault="00E1640E" w:rsidP="00450538">
            <w:pPr>
              <w:rPr>
                <w:rFonts w:ascii="Arial Narrow" w:hAnsi="Arial Narrow" w:cs="Arial"/>
                <w:sz w:val="20"/>
                <w:szCs w:val="20"/>
              </w:rPr>
            </w:pPr>
          </w:p>
          <w:p w:rsidR="00E1640E" w:rsidRPr="00F022A2" w:rsidRDefault="00E1640E" w:rsidP="00450538">
            <w:pPr>
              <w:rPr>
                <w:rFonts w:ascii="Arial Narrow" w:hAnsi="Arial Narrow" w:cs="Arial"/>
                <w:sz w:val="20"/>
                <w:szCs w:val="20"/>
              </w:rPr>
            </w:pPr>
            <w:r w:rsidRPr="00F022A2">
              <w:rPr>
                <w:rFonts w:ascii="Arial Narrow" w:hAnsi="Arial Narrow" w:cs="Arial"/>
                <w:sz w:val="20"/>
                <w:szCs w:val="20"/>
              </w:rPr>
              <w:t>5</w:t>
            </w:r>
          </w:p>
          <w:p w:rsidR="00E1640E" w:rsidRPr="00F022A2" w:rsidRDefault="00E1640E" w:rsidP="00450538">
            <w:pPr>
              <w:rPr>
                <w:rFonts w:ascii="Arial Narrow" w:hAnsi="Arial Narrow" w:cs="Arial"/>
                <w:sz w:val="20"/>
                <w:szCs w:val="20"/>
              </w:rPr>
            </w:pPr>
          </w:p>
          <w:p w:rsidR="00E1640E" w:rsidRPr="00F022A2" w:rsidRDefault="00E1640E" w:rsidP="00450538">
            <w:pPr>
              <w:rPr>
                <w:rFonts w:ascii="Arial Narrow" w:hAnsi="Arial Narrow" w:cs="Arial"/>
                <w:sz w:val="20"/>
                <w:szCs w:val="20"/>
              </w:rPr>
            </w:pPr>
            <w:r w:rsidRPr="00F022A2">
              <w:rPr>
                <w:rFonts w:ascii="Arial Narrow" w:hAnsi="Arial Narrow" w:cs="Arial"/>
                <w:sz w:val="20"/>
                <w:szCs w:val="20"/>
              </w:rPr>
              <w:t>1</w:t>
            </w:r>
          </w:p>
        </w:tc>
        <w:tc>
          <w:tcPr>
            <w:tcW w:w="1985" w:type="dxa"/>
          </w:tcPr>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Andriol Testocaps</w:t>
            </w:r>
          </w:p>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Reandron</w:t>
            </w:r>
          </w:p>
        </w:tc>
        <w:tc>
          <w:tcPr>
            <w:tcW w:w="708" w:type="dxa"/>
          </w:tcPr>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MK</w:t>
            </w:r>
          </w:p>
          <w:p w:rsidR="00E1640E" w:rsidRPr="009031CA" w:rsidRDefault="00E1640E" w:rsidP="00450538">
            <w:pPr>
              <w:rPr>
                <w:rFonts w:ascii="Arial Narrow" w:hAnsi="Arial Narrow" w:cs="Arial"/>
                <w:sz w:val="20"/>
                <w:szCs w:val="20"/>
              </w:rPr>
            </w:pP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BN</w:t>
            </w:r>
          </w:p>
        </w:tc>
      </w:tr>
      <w:tr w:rsidR="00E1640E" w:rsidRPr="009031CA" w:rsidTr="00450538">
        <w:trPr>
          <w:cantSplit/>
          <w:trHeight w:val="577"/>
        </w:trPr>
        <w:tc>
          <w:tcPr>
            <w:tcW w:w="4820" w:type="dxa"/>
            <w:vAlign w:val="center"/>
          </w:tcPr>
          <w:p w:rsidR="00E1640E" w:rsidRPr="00781848" w:rsidRDefault="00E1640E" w:rsidP="00450538">
            <w:pPr>
              <w:rPr>
                <w:rFonts w:ascii="Arial Narrow" w:hAnsi="Arial Narrow" w:cs="Arial"/>
                <w:sz w:val="20"/>
                <w:szCs w:val="20"/>
              </w:rPr>
            </w:pPr>
            <w:r w:rsidRPr="00781848">
              <w:rPr>
                <w:rFonts w:ascii="Arial Narrow" w:hAnsi="Arial Narrow" w:cs="Arial"/>
                <w:sz w:val="20"/>
                <w:szCs w:val="20"/>
              </w:rPr>
              <w:t>TESTOSTERONE</w:t>
            </w:r>
          </w:p>
          <w:p w:rsidR="00E1640E" w:rsidRPr="00781848" w:rsidRDefault="00E1640E" w:rsidP="00450538">
            <w:pPr>
              <w:rPr>
                <w:rFonts w:ascii="Arial Narrow" w:hAnsi="Arial Narrow" w:cs="Arial"/>
                <w:sz w:val="20"/>
                <w:szCs w:val="20"/>
              </w:rPr>
            </w:pPr>
            <w:r w:rsidRPr="00781848">
              <w:rPr>
                <w:rFonts w:ascii="Arial Narrow" w:hAnsi="Arial Narrow" w:cs="Arial"/>
                <w:sz w:val="20"/>
                <w:szCs w:val="20"/>
              </w:rPr>
              <w:t>Cream 50mg/mL (w/v) 5%, 50mL</w:t>
            </w:r>
          </w:p>
        </w:tc>
        <w:tc>
          <w:tcPr>
            <w:tcW w:w="850" w:type="dxa"/>
            <w:vAlign w:val="center"/>
          </w:tcPr>
          <w:p w:rsidR="00E1640E" w:rsidRPr="00781848" w:rsidRDefault="00E1640E" w:rsidP="00450538">
            <w:pPr>
              <w:rPr>
                <w:rFonts w:ascii="Arial Narrow" w:hAnsi="Arial Narrow" w:cs="Arial"/>
                <w:sz w:val="20"/>
                <w:szCs w:val="20"/>
              </w:rPr>
            </w:pPr>
          </w:p>
          <w:p w:rsidR="00E1640E" w:rsidRPr="00781848" w:rsidRDefault="00E1640E" w:rsidP="00450538">
            <w:pPr>
              <w:rPr>
                <w:rFonts w:ascii="Arial Narrow" w:hAnsi="Arial Narrow" w:cs="Arial"/>
                <w:sz w:val="20"/>
                <w:szCs w:val="20"/>
              </w:rPr>
            </w:pPr>
            <w:r w:rsidRPr="00781848">
              <w:rPr>
                <w:rFonts w:ascii="Arial Narrow" w:hAnsi="Arial Narrow" w:cs="Arial"/>
                <w:sz w:val="20"/>
                <w:szCs w:val="20"/>
              </w:rPr>
              <w:t>1</w:t>
            </w:r>
          </w:p>
        </w:tc>
        <w:tc>
          <w:tcPr>
            <w:tcW w:w="709" w:type="dxa"/>
            <w:vAlign w:val="center"/>
          </w:tcPr>
          <w:p w:rsidR="00E1640E" w:rsidRPr="00F022A2" w:rsidRDefault="00E1640E" w:rsidP="00450538">
            <w:pPr>
              <w:rPr>
                <w:rFonts w:ascii="Arial Narrow" w:hAnsi="Arial Narrow" w:cs="Arial"/>
                <w:sz w:val="20"/>
                <w:szCs w:val="20"/>
              </w:rPr>
            </w:pPr>
          </w:p>
          <w:p w:rsidR="00E1640E" w:rsidRPr="00F022A2" w:rsidRDefault="00E1640E" w:rsidP="00450538">
            <w:pPr>
              <w:rPr>
                <w:rFonts w:ascii="Arial Narrow" w:hAnsi="Arial Narrow" w:cs="Arial"/>
                <w:sz w:val="20"/>
                <w:szCs w:val="20"/>
              </w:rPr>
            </w:pPr>
            <w:r w:rsidRPr="00F022A2">
              <w:rPr>
                <w:rFonts w:ascii="Arial Narrow" w:hAnsi="Arial Narrow" w:cs="Arial"/>
                <w:sz w:val="20"/>
                <w:szCs w:val="20"/>
              </w:rPr>
              <w:t>6</w:t>
            </w:r>
          </w:p>
        </w:tc>
        <w:tc>
          <w:tcPr>
            <w:tcW w:w="1985" w:type="dxa"/>
            <w:vAlign w:val="center"/>
          </w:tcPr>
          <w:p w:rsidR="00E1640E" w:rsidRPr="009031CA" w:rsidRDefault="00E1640E" w:rsidP="00450538">
            <w:pPr>
              <w:rPr>
                <w:rFonts w:ascii="Arial Narrow" w:hAnsi="Arial Narrow" w:cs="Arial"/>
                <w:sz w:val="20"/>
                <w:szCs w:val="20"/>
              </w:rPr>
            </w:pPr>
            <w:r w:rsidRPr="00781848">
              <w:rPr>
                <w:rFonts w:ascii="Arial Narrow" w:hAnsi="Arial Narrow" w:cs="Arial"/>
                <w:sz w:val="20"/>
                <w:szCs w:val="20"/>
              </w:rPr>
              <w:t>AndroForte 5</w:t>
            </w:r>
          </w:p>
        </w:tc>
        <w:tc>
          <w:tcPr>
            <w:tcW w:w="708" w:type="dxa"/>
          </w:tcPr>
          <w:p w:rsidR="00E1640E" w:rsidRPr="009031CA" w:rsidRDefault="00E1640E" w:rsidP="00450538">
            <w:pPr>
              <w:rPr>
                <w:rFonts w:ascii="Arial Narrow" w:hAnsi="Arial Narrow" w:cs="Arial"/>
                <w:sz w:val="20"/>
                <w:szCs w:val="20"/>
              </w:rPr>
            </w:pPr>
          </w:p>
        </w:tc>
      </w:tr>
      <w:tr w:rsidR="00E1640E" w:rsidRPr="009031CA" w:rsidTr="00450538">
        <w:trPr>
          <w:cantSplit/>
          <w:trHeight w:val="577"/>
        </w:trPr>
        <w:tc>
          <w:tcPr>
            <w:tcW w:w="4820" w:type="dxa"/>
            <w:vAlign w:val="center"/>
          </w:tcPr>
          <w:p w:rsidR="00E1640E" w:rsidRPr="00781848" w:rsidRDefault="00E1640E" w:rsidP="00450538">
            <w:pPr>
              <w:rPr>
                <w:rFonts w:ascii="Arial Narrow" w:hAnsi="Arial Narrow" w:cs="Arial"/>
                <w:sz w:val="20"/>
                <w:szCs w:val="20"/>
              </w:rPr>
            </w:pPr>
            <w:r w:rsidRPr="00781848">
              <w:rPr>
                <w:rFonts w:ascii="Arial Narrow" w:hAnsi="Arial Narrow" w:cs="Arial"/>
                <w:sz w:val="20"/>
                <w:szCs w:val="20"/>
              </w:rPr>
              <w:t>TESTOSTERONE</w:t>
            </w:r>
          </w:p>
          <w:p w:rsidR="00E1640E" w:rsidRPr="009031CA" w:rsidRDefault="00E1640E" w:rsidP="00450538">
            <w:pPr>
              <w:rPr>
                <w:rFonts w:ascii="Arial Narrow" w:hAnsi="Arial Narrow" w:cs="Arial"/>
                <w:sz w:val="20"/>
                <w:szCs w:val="20"/>
              </w:rPr>
            </w:pPr>
            <w:r w:rsidRPr="00781848">
              <w:rPr>
                <w:rFonts w:ascii="Arial Narrow" w:hAnsi="Arial Narrow" w:cs="Arial"/>
                <w:sz w:val="20"/>
                <w:szCs w:val="20"/>
              </w:rPr>
              <w:t>Testosterone 1% (12.5 mg/1.25 g actuation) gel, 2 x 88 g pump bottle</w:t>
            </w:r>
          </w:p>
        </w:tc>
        <w:tc>
          <w:tcPr>
            <w:tcW w:w="850" w:type="dxa"/>
            <w:vAlign w:val="center"/>
          </w:tcPr>
          <w:p w:rsidR="00E1640E" w:rsidRPr="009031CA" w:rsidRDefault="00E1640E" w:rsidP="00450538">
            <w:pPr>
              <w:rPr>
                <w:rFonts w:ascii="Arial Narrow" w:hAnsi="Arial Narrow" w:cs="Arial"/>
                <w:sz w:val="20"/>
                <w:szCs w:val="20"/>
              </w:rPr>
            </w:pPr>
            <w:r>
              <w:rPr>
                <w:rFonts w:ascii="Arial Narrow" w:hAnsi="Arial Narrow" w:cs="Arial"/>
                <w:sz w:val="20"/>
                <w:szCs w:val="20"/>
              </w:rPr>
              <w:t>1</w:t>
            </w:r>
          </w:p>
        </w:tc>
        <w:tc>
          <w:tcPr>
            <w:tcW w:w="709" w:type="dxa"/>
            <w:vAlign w:val="center"/>
          </w:tcPr>
          <w:p w:rsidR="00E1640E" w:rsidRPr="00F022A2" w:rsidRDefault="00E1640E" w:rsidP="00450538">
            <w:pPr>
              <w:rPr>
                <w:rFonts w:ascii="Arial Narrow" w:hAnsi="Arial Narrow" w:cs="Arial"/>
                <w:sz w:val="20"/>
                <w:szCs w:val="20"/>
              </w:rPr>
            </w:pPr>
            <w:r w:rsidRPr="00F022A2">
              <w:rPr>
                <w:rFonts w:ascii="Arial Narrow" w:hAnsi="Arial Narrow" w:cs="Arial"/>
                <w:sz w:val="20"/>
                <w:szCs w:val="20"/>
              </w:rPr>
              <w:t>4</w:t>
            </w:r>
          </w:p>
        </w:tc>
        <w:tc>
          <w:tcPr>
            <w:tcW w:w="1985" w:type="dxa"/>
            <w:vAlign w:val="center"/>
          </w:tcPr>
          <w:p w:rsidR="00E1640E" w:rsidRPr="009031CA" w:rsidRDefault="00E1640E" w:rsidP="00450538">
            <w:pPr>
              <w:rPr>
                <w:rFonts w:ascii="Arial Narrow" w:hAnsi="Arial Narrow" w:cs="Arial"/>
                <w:sz w:val="20"/>
                <w:szCs w:val="20"/>
              </w:rPr>
            </w:pPr>
            <w:r>
              <w:rPr>
                <w:rFonts w:ascii="Arial Narrow" w:hAnsi="Arial Narrow" w:cs="Arial"/>
                <w:sz w:val="20"/>
                <w:szCs w:val="20"/>
              </w:rPr>
              <w:t>Testogel</w:t>
            </w:r>
          </w:p>
        </w:tc>
        <w:tc>
          <w:tcPr>
            <w:tcW w:w="708" w:type="dxa"/>
          </w:tcPr>
          <w:p w:rsidR="00E1640E" w:rsidRPr="009031CA" w:rsidRDefault="00E1640E" w:rsidP="00450538">
            <w:pPr>
              <w:rPr>
                <w:rFonts w:ascii="Arial Narrow" w:hAnsi="Arial Narrow" w:cs="Arial"/>
                <w:sz w:val="20"/>
                <w:szCs w:val="20"/>
              </w:rPr>
            </w:pPr>
            <w:r>
              <w:rPr>
                <w:rFonts w:ascii="Arial Narrow" w:hAnsi="Arial Narrow" w:cs="Arial"/>
                <w:sz w:val="20"/>
                <w:szCs w:val="20"/>
              </w:rPr>
              <w:t>HB</w:t>
            </w:r>
          </w:p>
        </w:tc>
      </w:tr>
    </w:tbl>
    <w:p w:rsidR="00E1640E" w:rsidRDefault="00E1640E" w:rsidP="00E1640E">
      <w:pPr>
        <w:jc w:val="both"/>
        <w:rPr>
          <w:rFonts w:ascii="Arial" w:hAnsi="Arial"/>
          <w:sz w:val="22"/>
          <w:szCs w:val="22"/>
        </w:rPr>
      </w:pPr>
    </w:p>
    <w:tbl>
      <w:tblPr>
        <w:tblW w:w="9072" w:type="dxa"/>
        <w:tblInd w:w="108" w:type="dxa"/>
        <w:tblLayout w:type="fixed"/>
        <w:tblLook w:val="0000" w:firstRow="0" w:lastRow="0" w:firstColumn="0" w:lastColumn="0" w:noHBand="0" w:noVBand="0"/>
      </w:tblPr>
      <w:tblGrid>
        <w:gridCol w:w="1843"/>
        <w:gridCol w:w="7229"/>
      </w:tblGrid>
      <w:tr w:rsidR="00E1640E" w:rsidRPr="009031CA" w:rsidTr="00450538">
        <w:trPr>
          <w:cantSplit/>
          <w:trHeight w:val="360"/>
        </w:trPr>
        <w:tc>
          <w:tcPr>
            <w:tcW w:w="9072" w:type="dxa"/>
            <w:gridSpan w:val="2"/>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Restriction 1</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 xml:space="preserve">Category / </w:t>
            </w:r>
          </w:p>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GENERAL – General Schedule (Code GE)</w:t>
            </w:r>
          </w:p>
          <w:p w:rsidR="00E1640E" w:rsidRPr="009031CA" w:rsidRDefault="00E1640E" w:rsidP="00450538">
            <w:pPr>
              <w:rPr>
                <w:rFonts w:ascii="Arial Narrow" w:hAnsi="Arial Narrow" w:cs="Arial"/>
                <w:sz w:val="20"/>
                <w:szCs w:val="20"/>
              </w:rPr>
            </w:pP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Dental  </w:t>
            </w: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Medical Practitioners  </w:t>
            </w:r>
            <w:r w:rsidRPr="009031CA">
              <w:rPr>
                <w:rFonts w:ascii="Arial Narrow" w:hAnsi="Arial Narrow" w:cs="Arial"/>
                <w:sz w:val="20"/>
                <w:szCs w:val="20"/>
              </w:rPr>
              <w:fldChar w:fldCharType="begin">
                <w:ffData>
                  <w:name w:val="Check3"/>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Nurse practitioners  </w:t>
            </w:r>
            <w:r w:rsidRPr="009031CA">
              <w:rPr>
                <w:rFonts w:ascii="Arial Narrow" w:hAnsi="Arial Narrow" w:cs="Arial"/>
                <w:sz w:val="20"/>
                <w:szCs w:val="20"/>
              </w:rPr>
              <w:fldChar w:fldCharType="begin">
                <w:ffData>
                  <w:name w:val=""/>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Optometrists</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Midwives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Androgen deficiency</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Treatment criteria:</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Level / Method:</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Restricted benefit</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In Writing</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3"/>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Telephone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Emergency</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Electronic</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Streamlined</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Clinical criteria:</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Patient must have an established pituitary or testicular disorder</w:t>
            </w:r>
          </w:p>
        </w:tc>
      </w:tr>
      <w:tr w:rsidR="00E1640E" w:rsidRPr="009031CA" w:rsidTr="009F0E90">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Administrative Advice</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The name of the specialist must be included in the authority application</w:t>
            </w:r>
          </w:p>
        </w:tc>
      </w:tr>
      <w:tr w:rsidR="00E1640E" w:rsidRPr="009031CA" w:rsidTr="009F0E90">
        <w:trPr>
          <w:cantSplit/>
          <w:trHeight w:val="360"/>
        </w:trPr>
        <w:tc>
          <w:tcPr>
            <w:tcW w:w="9072" w:type="dxa"/>
            <w:gridSpan w:val="2"/>
            <w:tcBorders>
              <w:top w:val="single" w:sz="4" w:space="0" w:color="auto"/>
              <w:bottom w:val="single" w:sz="4" w:space="0" w:color="auto"/>
            </w:tcBorders>
          </w:tcPr>
          <w:p w:rsidR="00E1640E" w:rsidRPr="009031CA" w:rsidRDefault="00E1640E" w:rsidP="00450538">
            <w:pPr>
              <w:jc w:val="both"/>
              <w:rPr>
                <w:rFonts w:ascii="Arial Narrow" w:hAnsi="Arial Narrow" w:cs="Arial"/>
                <w:sz w:val="20"/>
                <w:szCs w:val="20"/>
              </w:rPr>
            </w:pPr>
          </w:p>
        </w:tc>
      </w:tr>
      <w:tr w:rsidR="00E1640E" w:rsidRPr="009031CA" w:rsidTr="009F0E90">
        <w:trPr>
          <w:cantSplit/>
          <w:trHeight w:val="360"/>
        </w:trPr>
        <w:tc>
          <w:tcPr>
            <w:tcW w:w="9072" w:type="dxa"/>
            <w:gridSpan w:val="2"/>
            <w:tcBorders>
              <w:top w:val="single" w:sz="4" w:space="0" w:color="auto"/>
              <w:left w:val="single" w:sz="4" w:space="0" w:color="auto"/>
              <w:bottom w:val="single" w:sz="4" w:space="0" w:color="auto"/>
              <w:right w:val="single" w:sz="4" w:space="0" w:color="auto"/>
            </w:tcBorders>
          </w:tcPr>
          <w:p w:rsidR="00E1640E" w:rsidRPr="009031CA" w:rsidRDefault="00E1640E" w:rsidP="00F022A2">
            <w:pPr>
              <w:keepNext/>
              <w:jc w:val="both"/>
              <w:rPr>
                <w:rFonts w:ascii="Arial Narrow" w:hAnsi="Arial Narrow" w:cs="Arial"/>
                <w:sz w:val="20"/>
                <w:szCs w:val="20"/>
              </w:rPr>
            </w:pPr>
            <w:r w:rsidRPr="009031CA">
              <w:rPr>
                <w:rFonts w:ascii="Arial Narrow" w:hAnsi="Arial Narrow" w:cs="Arial"/>
                <w:sz w:val="20"/>
                <w:szCs w:val="20"/>
              </w:rPr>
              <w:lastRenderedPageBreak/>
              <w:t>Restriction 2</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F022A2">
            <w:pPr>
              <w:keepNext/>
              <w:jc w:val="both"/>
              <w:rPr>
                <w:rFonts w:ascii="Arial Narrow" w:hAnsi="Arial Narrow" w:cs="Arial"/>
                <w:sz w:val="20"/>
                <w:szCs w:val="20"/>
              </w:rPr>
            </w:pPr>
            <w:r w:rsidRPr="009031CA">
              <w:rPr>
                <w:rFonts w:ascii="Arial Narrow" w:hAnsi="Arial Narrow" w:cs="Arial"/>
                <w:sz w:val="20"/>
                <w:szCs w:val="20"/>
              </w:rPr>
              <w:t xml:space="preserve">Category / </w:t>
            </w:r>
          </w:p>
          <w:p w:rsidR="00E1640E" w:rsidRPr="009031CA" w:rsidRDefault="00E1640E" w:rsidP="00F022A2">
            <w:pPr>
              <w:keepNext/>
              <w:jc w:val="both"/>
              <w:rPr>
                <w:rFonts w:ascii="Arial Narrow" w:hAnsi="Arial Narrow" w:cs="Arial"/>
                <w:sz w:val="20"/>
                <w:szCs w:val="20"/>
              </w:rPr>
            </w:pPr>
            <w:r w:rsidRPr="009031CA">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F022A2">
            <w:pPr>
              <w:keepNext/>
              <w:rPr>
                <w:rFonts w:ascii="Arial Narrow" w:hAnsi="Arial Narrow" w:cs="Arial"/>
                <w:sz w:val="20"/>
                <w:szCs w:val="20"/>
              </w:rPr>
            </w:pPr>
            <w:r w:rsidRPr="009031CA">
              <w:rPr>
                <w:rFonts w:ascii="Arial Narrow" w:hAnsi="Arial Narrow" w:cs="Arial"/>
                <w:sz w:val="20"/>
                <w:szCs w:val="20"/>
              </w:rPr>
              <w:t>GENERAL – General Schedule (Code GE)</w:t>
            </w:r>
          </w:p>
          <w:p w:rsidR="00E1640E" w:rsidRPr="009031CA" w:rsidRDefault="00E1640E" w:rsidP="00F022A2">
            <w:pPr>
              <w:keepNext/>
              <w:rPr>
                <w:rFonts w:ascii="Arial Narrow" w:hAnsi="Arial Narrow" w:cs="Arial"/>
                <w:sz w:val="20"/>
                <w:szCs w:val="20"/>
              </w:rPr>
            </w:pP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Dental  </w:t>
            </w: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Medical Practitioners  </w:t>
            </w:r>
            <w:r w:rsidRPr="009031CA">
              <w:rPr>
                <w:rFonts w:ascii="Arial Narrow" w:hAnsi="Arial Narrow" w:cs="Arial"/>
                <w:sz w:val="20"/>
                <w:szCs w:val="20"/>
              </w:rPr>
              <w:fldChar w:fldCharType="begin">
                <w:ffData>
                  <w:name w:val="Check3"/>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Nurse practitioners  </w:t>
            </w:r>
            <w:r w:rsidRPr="009031CA">
              <w:rPr>
                <w:rFonts w:ascii="Arial Narrow" w:hAnsi="Arial Narrow" w:cs="Arial"/>
                <w:sz w:val="20"/>
                <w:szCs w:val="20"/>
              </w:rPr>
              <w:fldChar w:fldCharType="begin">
                <w:ffData>
                  <w:name w:val=""/>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Optometrists</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Midwives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Androgen deficiency</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Treatment criteria:</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Must be treated by a specialist urologist, specialist endocrinologist or a registered member of the Australasian Chapter of Sexual Health Medicine; or in consultation with one of these specialists; or have an appointment to be assessed by one of these specialists.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Level / Method:</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Restricted benefit</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In Writing</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3"/>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Telephone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Emergency</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Electronic</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Streamlined</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Clinical criteria:</w:t>
            </w:r>
          </w:p>
          <w:p w:rsidR="00E1640E" w:rsidRPr="009031CA" w:rsidRDefault="00E1640E" w:rsidP="00450538">
            <w:pPr>
              <w:jc w:val="both"/>
              <w:rPr>
                <w:rFonts w:ascii="Arial Narrow" w:hAnsi="Arial Narrow" w:cs="Arial"/>
                <w:sz w:val="20"/>
                <w:szCs w:val="20"/>
              </w:rPr>
            </w:pP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Patient must not have an established pituitary or testicular disorder</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AND</w:t>
            </w:r>
          </w:p>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 xml:space="preserve">The condition must not be due to age, obesity, cardiovascular diseases, infertility or drugs </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Population criteria:</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Patient must be aged 40 years or older</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Prescriber Instructions</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Androgen deficiency is defined as:</w:t>
            </w:r>
          </w:p>
          <w:p w:rsidR="00E1640E" w:rsidRPr="009031CA" w:rsidRDefault="00E1640E" w:rsidP="00450538">
            <w:pPr>
              <w:widowControl w:val="0"/>
              <w:numPr>
                <w:ilvl w:val="0"/>
                <w:numId w:val="55"/>
              </w:numPr>
              <w:ind w:left="1026" w:hanging="709"/>
              <w:contextualSpacing/>
              <w:jc w:val="both"/>
              <w:rPr>
                <w:rFonts w:ascii="Arial Narrow" w:hAnsi="Arial Narrow" w:cs="Arial"/>
                <w:sz w:val="20"/>
                <w:szCs w:val="20"/>
              </w:rPr>
            </w:pPr>
            <w:r w:rsidRPr="009031CA">
              <w:rPr>
                <w:rFonts w:ascii="Arial Narrow" w:hAnsi="Arial Narrow" w:cs="Arial"/>
                <w:sz w:val="20"/>
                <w:szCs w:val="20"/>
              </w:rPr>
              <w:t>testosterone level of less than 6 nmol per litre; OR</w:t>
            </w:r>
          </w:p>
          <w:p w:rsidR="00E1640E" w:rsidRPr="009031CA" w:rsidRDefault="00E1640E" w:rsidP="00450538">
            <w:pPr>
              <w:widowControl w:val="0"/>
              <w:numPr>
                <w:ilvl w:val="0"/>
                <w:numId w:val="55"/>
              </w:numPr>
              <w:ind w:left="1026" w:hanging="709"/>
              <w:contextualSpacing/>
              <w:jc w:val="both"/>
              <w:rPr>
                <w:rFonts w:ascii="Arial Narrow" w:hAnsi="Arial Narrow" w:cs="Arial"/>
                <w:sz w:val="20"/>
                <w:szCs w:val="20"/>
              </w:rPr>
            </w:pPr>
            <w:r w:rsidRPr="009031CA">
              <w:rPr>
                <w:rFonts w:ascii="Arial Narrow" w:hAnsi="Arial Narrow" w:cs="Arial"/>
                <w:sz w:val="20"/>
                <w:szCs w:val="20"/>
              </w:rPr>
              <w:t>testosterone level between 6 and 15 nmol per litre with high luteinising hormone (LH) (greater than 1.5 times the upper limit of the eugonadal reference range for young men, or greater than 14 IU per litre, whichever is higher)</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Androgen deficiency must be confirmed by at least two morning blood samples taken on different mornings.</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The dates and levels of the qualifying testosterone and LH measurements must be, or must have been provided in the authority application when treatment with this drug is or was initiated</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The name of the specialist must be included in the authority application</w:t>
            </w:r>
          </w:p>
        </w:tc>
      </w:tr>
    </w:tbl>
    <w:p w:rsidR="00E1640E" w:rsidRDefault="00E1640E" w:rsidP="00E1640E">
      <w:pPr>
        <w:jc w:val="both"/>
        <w:rPr>
          <w:rFonts w:ascii="Arial" w:hAnsi="Arial"/>
          <w:sz w:val="22"/>
          <w:szCs w:val="22"/>
        </w:rPr>
      </w:pPr>
    </w:p>
    <w:tbl>
      <w:tblPr>
        <w:tblW w:w="9072" w:type="dxa"/>
        <w:tblInd w:w="108" w:type="dxa"/>
        <w:tblLayout w:type="fixed"/>
        <w:tblLook w:val="0000" w:firstRow="0" w:lastRow="0" w:firstColumn="0" w:lastColumn="0" w:noHBand="0" w:noVBand="0"/>
      </w:tblPr>
      <w:tblGrid>
        <w:gridCol w:w="1843"/>
        <w:gridCol w:w="7229"/>
      </w:tblGrid>
      <w:tr w:rsidR="00E1640E" w:rsidRPr="009031CA" w:rsidTr="00450538">
        <w:trPr>
          <w:cantSplit/>
          <w:trHeight w:val="360"/>
        </w:trPr>
        <w:tc>
          <w:tcPr>
            <w:tcW w:w="9072" w:type="dxa"/>
            <w:gridSpan w:val="2"/>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3a</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 xml:space="preserve">Category / </w:t>
            </w:r>
          </w:p>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GENERAL – General Schedule (Code GE)</w:t>
            </w:r>
          </w:p>
          <w:p w:rsidR="00E1640E" w:rsidRPr="009031CA" w:rsidRDefault="00E1640E" w:rsidP="00450538">
            <w:pPr>
              <w:rPr>
                <w:rFonts w:ascii="Arial Narrow" w:hAnsi="Arial Narrow" w:cs="Arial"/>
                <w:sz w:val="20"/>
                <w:szCs w:val="20"/>
              </w:rPr>
            </w:pP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Dental  </w:t>
            </w: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Medical Practitioners  </w:t>
            </w:r>
            <w:r w:rsidRPr="009031CA">
              <w:rPr>
                <w:rFonts w:ascii="Arial Narrow" w:hAnsi="Arial Narrow" w:cs="Arial"/>
                <w:sz w:val="20"/>
                <w:szCs w:val="20"/>
              </w:rPr>
              <w:fldChar w:fldCharType="begin">
                <w:ffData>
                  <w:name w:val="Check3"/>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Nurse practitioners  </w:t>
            </w:r>
            <w:r w:rsidRPr="009031CA">
              <w:rPr>
                <w:rFonts w:ascii="Arial Narrow" w:hAnsi="Arial Narrow" w:cs="Arial"/>
                <w:sz w:val="20"/>
                <w:szCs w:val="20"/>
              </w:rPr>
              <w:fldChar w:fldCharType="begin">
                <w:ffData>
                  <w:name w:val=""/>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Optometrists</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Midwives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Micropenis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Treatment criteria:</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Level / Method:</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Restricted benefit</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In Writing</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3"/>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Telephone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Emergency</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Electronic</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Streamlined</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Population criteria:</w:t>
            </w:r>
          </w:p>
          <w:p w:rsidR="00E1640E" w:rsidRPr="009031CA" w:rsidRDefault="00E1640E" w:rsidP="00450538">
            <w:pPr>
              <w:jc w:val="both"/>
              <w:rPr>
                <w:rFonts w:ascii="Arial Narrow" w:hAnsi="Arial Narrow" w:cs="Arial"/>
                <w:sz w:val="20"/>
                <w:szCs w:val="20"/>
              </w:rPr>
            </w:pP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Patient must be under 18 years of age</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Administrative Advice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The name of the specialist must be included in the authority application</w:t>
            </w:r>
          </w:p>
        </w:tc>
      </w:tr>
    </w:tbl>
    <w:p w:rsidR="00E1640E" w:rsidRDefault="00E1640E" w:rsidP="00E1640E">
      <w:pPr>
        <w:jc w:val="both"/>
        <w:rPr>
          <w:rFonts w:ascii="Arial" w:hAnsi="Arial"/>
          <w:sz w:val="22"/>
          <w:szCs w:val="22"/>
        </w:rPr>
      </w:pPr>
    </w:p>
    <w:tbl>
      <w:tblPr>
        <w:tblW w:w="9072" w:type="dxa"/>
        <w:tblInd w:w="108" w:type="dxa"/>
        <w:tblLayout w:type="fixed"/>
        <w:tblLook w:val="0000" w:firstRow="0" w:lastRow="0" w:firstColumn="0" w:lastColumn="0" w:noHBand="0" w:noVBand="0"/>
      </w:tblPr>
      <w:tblGrid>
        <w:gridCol w:w="1843"/>
        <w:gridCol w:w="7229"/>
      </w:tblGrid>
      <w:tr w:rsidR="00E1640E" w:rsidRPr="009031CA" w:rsidTr="00450538">
        <w:trPr>
          <w:cantSplit/>
          <w:trHeight w:val="360"/>
        </w:trPr>
        <w:tc>
          <w:tcPr>
            <w:tcW w:w="9072" w:type="dxa"/>
            <w:gridSpan w:val="2"/>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3b</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 xml:space="preserve">Category / </w:t>
            </w:r>
          </w:p>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GENERAL – General Schedule (Code GE)</w:t>
            </w:r>
          </w:p>
          <w:p w:rsidR="00E1640E" w:rsidRPr="009031CA" w:rsidRDefault="00E1640E" w:rsidP="00450538">
            <w:pPr>
              <w:rPr>
                <w:rFonts w:ascii="Arial Narrow" w:hAnsi="Arial Narrow" w:cs="Arial"/>
                <w:sz w:val="20"/>
                <w:szCs w:val="20"/>
              </w:rPr>
            </w:pP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Dental  </w:t>
            </w: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Medical Practitioners  </w:t>
            </w:r>
            <w:r w:rsidRPr="009031CA">
              <w:rPr>
                <w:rFonts w:ascii="Arial Narrow" w:hAnsi="Arial Narrow" w:cs="Arial"/>
                <w:sz w:val="20"/>
                <w:szCs w:val="20"/>
              </w:rPr>
              <w:fldChar w:fldCharType="begin">
                <w:ffData>
                  <w:name w:val="Check3"/>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Nurse practitioners  </w:t>
            </w:r>
            <w:r w:rsidRPr="009031CA">
              <w:rPr>
                <w:rFonts w:ascii="Arial Narrow" w:hAnsi="Arial Narrow" w:cs="Arial"/>
                <w:sz w:val="20"/>
                <w:szCs w:val="20"/>
              </w:rPr>
              <w:fldChar w:fldCharType="begin">
                <w:ffData>
                  <w:name w:val=""/>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Optometrists</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Midwives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Pubertal induction</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Treatment criteria:</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Level / Method:</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Restricted benefit</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In Writing</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3"/>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Telephone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Emergency</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Electronic</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Streamlined</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Population criteria:</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Patient must be under 18 years of age</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Administrative Advice</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The name of the specialist must be included in the authority application</w:t>
            </w:r>
          </w:p>
        </w:tc>
      </w:tr>
    </w:tbl>
    <w:p w:rsidR="00E1640E" w:rsidRDefault="00E1640E" w:rsidP="00E1640E">
      <w:pPr>
        <w:jc w:val="both"/>
        <w:rPr>
          <w:rFonts w:ascii="Arial" w:hAnsi="Arial"/>
          <w:sz w:val="22"/>
          <w:szCs w:val="22"/>
        </w:rPr>
      </w:pPr>
    </w:p>
    <w:tbl>
      <w:tblPr>
        <w:tblW w:w="9072" w:type="dxa"/>
        <w:tblInd w:w="108" w:type="dxa"/>
        <w:tblLayout w:type="fixed"/>
        <w:tblLook w:val="0000" w:firstRow="0" w:lastRow="0" w:firstColumn="0" w:lastColumn="0" w:noHBand="0" w:noVBand="0"/>
      </w:tblPr>
      <w:tblGrid>
        <w:gridCol w:w="1843"/>
        <w:gridCol w:w="7229"/>
      </w:tblGrid>
      <w:tr w:rsidR="00E1640E" w:rsidRPr="009031CA" w:rsidTr="00450538">
        <w:trPr>
          <w:cantSplit/>
          <w:trHeight w:val="360"/>
        </w:trPr>
        <w:tc>
          <w:tcPr>
            <w:tcW w:w="9072" w:type="dxa"/>
            <w:gridSpan w:val="2"/>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Restriction 3c</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 xml:space="preserve">Category / </w:t>
            </w:r>
          </w:p>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Program</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GENERAL – General Schedule (Code GE)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Prescriber type:</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Dental  </w:t>
            </w: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Medical Practitioners  </w:t>
            </w:r>
            <w:r w:rsidRPr="009031CA">
              <w:rPr>
                <w:rFonts w:ascii="Arial Narrow" w:hAnsi="Arial Narrow" w:cs="Arial"/>
                <w:sz w:val="20"/>
                <w:szCs w:val="20"/>
              </w:rPr>
              <w:fldChar w:fldCharType="begin">
                <w:ffData>
                  <w:name w:val="Check3"/>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 xml:space="preserve">Nurse practitioners  </w:t>
            </w:r>
            <w:r w:rsidRPr="009031CA">
              <w:rPr>
                <w:rFonts w:ascii="Arial Narrow" w:hAnsi="Arial Narrow" w:cs="Arial"/>
                <w:sz w:val="20"/>
                <w:szCs w:val="20"/>
              </w:rPr>
              <w:fldChar w:fldCharType="begin">
                <w:ffData>
                  <w:name w:val=""/>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Optometrists</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Midwives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Condition:</w:t>
            </w: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Constitutional delay of growth or puberty</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Treatment criteria:</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Restriction Level / Method:</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1"/>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Restricted benefit</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In Writing</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3"/>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Telephone</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Emergency</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1"/>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Authority Required - Electronic</w:t>
            </w:r>
          </w:p>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fldChar w:fldCharType="begin">
                <w:ffData>
                  <w:name w:val="Check5"/>
                  <w:enabled/>
                  <w:calcOnExit w:val="0"/>
                  <w:checkBox>
                    <w:sizeAuto/>
                    <w:default w:val="0"/>
                  </w:checkBox>
                </w:ffData>
              </w:fldChar>
            </w:r>
            <w:r w:rsidRPr="009031CA">
              <w:rPr>
                <w:rFonts w:ascii="Arial Narrow" w:hAnsi="Arial Narrow" w:cs="Arial"/>
                <w:sz w:val="20"/>
                <w:szCs w:val="20"/>
              </w:rPr>
              <w:instrText xml:space="preserve"> FORMCHECKBOX </w:instrText>
            </w:r>
            <w:r w:rsidR="00EE2767">
              <w:rPr>
                <w:rFonts w:ascii="Arial Narrow" w:hAnsi="Arial Narrow" w:cs="Arial"/>
                <w:sz w:val="20"/>
                <w:szCs w:val="20"/>
              </w:rPr>
            </w:r>
            <w:r w:rsidR="00EE2767">
              <w:rPr>
                <w:rFonts w:ascii="Arial Narrow" w:hAnsi="Arial Narrow" w:cs="Arial"/>
                <w:sz w:val="20"/>
                <w:szCs w:val="20"/>
              </w:rPr>
              <w:fldChar w:fldCharType="separate"/>
            </w:r>
            <w:r w:rsidRPr="009031CA">
              <w:rPr>
                <w:rFonts w:ascii="Arial Narrow" w:hAnsi="Arial Narrow" w:cs="Arial"/>
                <w:sz w:val="20"/>
                <w:szCs w:val="20"/>
              </w:rPr>
              <w:fldChar w:fldCharType="end"/>
            </w:r>
            <w:r w:rsidRPr="009031CA">
              <w:rPr>
                <w:rFonts w:ascii="Arial Narrow" w:hAnsi="Arial Narrow" w:cs="Arial"/>
                <w:sz w:val="20"/>
                <w:szCs w:val="20"/>
              </w:rPr>
              <w:t>Streamlined</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Population criteria:</w:t>
            </w:r>
          </w:p>
          <w:p w:rsidR="00E1640E" w:rsidRPr="009031CA" w:rsidRDefault="00E1640E" w:rsidP="00450538">
            <w:pPr>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Patient must be under 18 years of age</w:t>
            </w:r>
          </w:p>
        </w:tc>
      </w:tr>
      <w:tr w:rsidR="00E1640E" w:rsidRPr="009031CA" w:rsidTr="00450538">
        <w:trPr>
          <w:cantSplit/>
          <w:trHeight w:val="360"/>
        </w:trPr>
        <w:tc>
          <w:tcPr>
            <w:tcW w:w="1843"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jc w:val="both"/>
              <w:rPr>
                <w:rFonts w:ascii="Arial Narrow" w:hAnsi="Arial Narrow" w:cs="Arial"/>
                <w:sz w:val="20"/>
                <w:szCs w:val="20"/>
              </w:rPr>
            </w:pPr>
            <w:r w:rsidRPr="009031CA">
              <w:rPr>
                <w:rFonts w:ascii="Arial Narrow" w:hAnsi="Arial Narrow" w:cs="Arial"/>
                <w:sz w:val="20"/>
                <w:szCs w:val="20"/>
              </w:rPr>
              <w:t>Administrative Advice</w:t>
            </w:r>
          </w:p>
          <w:p w:rsidR="00E1640E" w:rsidRPr="009031CA" w:rsidRDefault="00E1640E" w:rsidP="00450538">
            <w:pPr>
              <w:jc w:val="both"/>
              <w:rPr>
                <w:rFonts w:ascii="Arial Narrow" w:hAnsi="Arial Narrow"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rsidR="00E1640E" w:rsidRPr="009031CA" w:rsidRDefault="00E1640E" w:rsidP="00450538">
            <w:pPr>
              <w:rPr>
                <w:rFonts w:ascii="Arial Narrow" w:hAnsi="Arial Narrow" w:cs="Arial"/>
                <w:sz w:val="20"/>
                <w:szCs w:val="20"/>
              </w:rPr>
            </w:pPr>
            <w:r w:rsidRPr="009031CA">
              <w:rPr>
                <w:rFonts w:ascii="Arial Narrow" w:hAnsi="Arial Narrow" w:cs="Arial"/>
                <w:sz w:val="20"/>
                <w:szCs w:val="20"/>
              </w:rPr>
              <w:t>The name of the specialist must be included in the authority application</w:t>
            </w:r>
          </w:p>
        </w:tc>
      </w:tr>
    </w:tbl>
    <w:p w:rsidR="00A43BFF" w:rsidRDefault="00A43BFF" w:rsidP="00C43476">
      <w:pPr>
        <w:widowControl w:val="0"/>
        <w:jc w:val="both"/>
        <w:rPr>
          <w:rFonts w:ascii="Arial" w:hAnsi="Arial" w:cs="Arial"/>
          <w:b/>
          <w:bCs/>
          <w:snapToGrid w:val="0"/>
          <w:sz w:val="22"/>
          <w:szCs w:val="22"/>
        </w:rPr>
      </w:pPr>
    </w:p>
    <w:p w:rsidR="00565EE9" w:rsidRDefault="00565EE9" w:rsidP="00C43476">
      <w:pPr>
        <w:widowControl w:val="0"/>
        <w:jc w:val="both"/>
        <w:rPr>
          <w:rFonts w:ascii="Arial" w:hAnsi="Arial" w:cs="Arial"/>
          <w:b/>
          <w:bCs/>
          <w:snapToGrid w:val="0"/>
          <w:sz w:val="22"/>
          <w:szCs w:val="22"/>
        </w:rPr>
      </w:pPr>
    </w:p>
    <w:p w:rsidR="00565EE9" w:rsidRPr="00A43BFF" w:rsidRDefault="00565EE9" w:rsidP="00A43BFF">
      <w:pPr>
        <w:pStyle w:val="ListParagraph"/>
        <w:widowControl w:val="0"/>
        <w:numPr>
          <w:ilvl w:val="0"/>
          <w:numId w:val="25"/>
        </w:numPr>
        <w:jc w:val="both"/>
        <w:rPr>
          <w:rFonts w:ascii="Arial" w:hAnsi="Arial" w:cs="Arial"/>
          <w:b/>
          <w:bCs/>
          <w:snapToGrid w:val="0"/>
          <w:sz w:val="22"/>
          <w:szCs w:val="22"/>
        </w:rPr>
      </w:pPr>
      <w:r w:rsidRPr="00A43BFF">
        <w:rPr>
          <w:rFonts w:ascii="Arial" w:hAnsi="Arial" w:cs="Arial"/>
          <w:b/>
          <w:bCs/>
          <w:snapToGrid w:val="0"/>
          <w:sz w:val="22"/>
          <w:szCs w:val="22"/>
        </w:rPr>
        <w:t xml:space="preserve">Context of Decision </w:t>
      </w:r>
    </w:p>
    <w:p w:rsidR="00565EE9" w:rsidRDefault="00565EE9" w:rsidP="00565EE9">
      <w:pPr>
        <w:pStyle w:val="ListParagraph"/>
        <w:rPr>
          <w:rFonts w:ascii="Arial" w:hAnsi="Arial" w:cs="Arial"/>
          <w:bCs/>
          <w:snapToGrid w:val="0"/>
          <w:sz w:val="22"/>
          <w:szCs w:val="22"/>
        </w:rPr>
      </w:pPr>
    </w:p>
    <w:p w:rsidR="00565EE9" w:rsidRPr="00565EE9" w:rsidRDefault="00565EE9" w:rsidP="00565EE9">
      <w:pPr>
        <w:pStyle w:val="ListParagraph"/>
        <w:rPr>
          <w:rFonts w:ascii="Arial" w:hAnsi="Arial" w:cs="Arial"/>
          <w:bCs/>
          <w:snapToGrid w:val="0"/>
          <w:sz w:val="22"/>
          <w:szCs w:val="22"/>
        </w:rPr>
      </w:pPr>
      <w:r w:rsidRPr="00565EE9">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65EE9" w:rsidRDefault="00565EE9" w:rsidP="00565EE9">
      <w:pPr>
        <w:widowControl w:val="0"/>
        <w:jc w:val="both"/>
        <w:rPr>
          <w:rFonts w:ascii="Arial" w:hAnsi="Arial" w:cs="Arial"/>
          <w:b/>
          <w:bCs/>
          <w:snapToGrid w:val="0"/>
          <w:sz w:val="22"/>
          <w:szCs w:val="22"/>
        </w:rPr>
      </w:pPr>
    </w:p>
    <w:p w:rsidR="00565EE9" w:rsidRDefault="00565EE9" w:rsidP="00565EE9">
      <w:pPr>
        <w:pStyle w:val="ListParagraph"/>
        <w:widowControl w:val="0"/>
        <w:numPr>
          <w:ilvl w:val="0"/>
          <w:numId w:val="25"/>
        </w:numPr>
        <w:jc w:val="both"/>
        <w:rPr>
          <w:rFonts w:ascii="Arial" w:hAnsi="Arial" w:cs="Arial"/>
          <w:b/>
          <w:bCs/>
          <w:snapToGrid w:val="0"/>
          <w:sz w:val="22"/>
          <w:szCs w:val="22"/>
        </w:rPr>
      </w:pPr>
      <w:r w:rsidRPr="00565EE9">
        <w:rPr>
          <w:rFonts w:ascii="Arial" w:hAnsi="Arial" w:cs="Arial"/>
          <w:b/>
          <w:bCs/>
          <w:snapToGrid w:val="0"/>
          <w:sz w:val="22"/>
          <w:szCs w:val="22"/>
        </w:rPr>
        <w:t xml:space="preserve">Sponsor’s Comment </w:t>
      </w:r>
    </w:p>
    <w:p w:rsidR="00565EE9" w:rsidRDefault="00565EE9" w:rsidP="00565EE9">
      <w:pPr>
        <w:pStyle w:val="ListParagraph"/>
        <w:widowControl w:val="0"/>
        <w:jc w:val="both"/>
        <w:rPr>
          <w:rFonts w:ascii="Arial" w:hAnsi="Arial" w:cs="Arial"/>
          <w:b/>
          <w:bCs/>
          <w:snapToGrid w:val="0"/>
          <w:sz w:val="22"/>
          <w:szCs w:val="22"/>
        </w:rPr>
      </w:pPr>
    </w:p>
    <w:p w:rsidR="00864F2C" w:rsidRPr="00864F2C" w:rsidRDefault="00864F2C" w:rsidP="00565EE9">
      <w:pPr>
        <w:pStyle w:val="ListParagraph"/>
        <w:widowControl w:val="0"/>
        <w:jc w:val="both"/>
        <w:rPr>
          <w:rFonts w:ascii="Arial" w:hAnsi="Arial" w:cs="Arial"/>
          <w:bCs/>
          <w:snapToGrid w:val="0"/>
          <w:sz w:val="22"/>
          <w:szCs w:val="22"/>
        </w:rPr>
      </w:pPr>
      <w:r>
        <w:rPr>
          <w:rFonts w:ascii="Arial" w:hAnsi="Arial" w:cs="Arial"/>
          <w:bCs/>
          <w:snapToGrid w:val="0"/>
          <w:sz w:val="22"/>
          <w:szCs w:val="22"/>
        </w:rPr>
        <w:t xml:space="preserve">The sponsor had no comment. </w:t>
      </w:r>
    </w:p>
    <w:sectPr w:rsidR="00864F2C" w:rsidRPr="00864F2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38" w:rsidRDefault="00450538">
      <w:r>
        <w:separator/>
      </w:r>
    </w:p>
    <w:p w:rsidR="00450538" w:rsidRDefault="00450538"/>
  </w:endnote>
  <w:endnote w:type="continuationSeparator" w:id="0">
    <w:p w:rsidR="00450538" w:rsidRDefault="00450538">
      <w:r>
        <w:continuationSeparator/>
      </w:r>
    </w:p>
    <w:p w:rsidR="00450538" w:rsidRDefault="00450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50538" w:rsidTr="005A3173">
      <w:trPr>
        <w:trHeight w:val="151"/>
      </w:trPr>
      <w:tc>
        <w:tcPr>
          <w:tcW w:w="2250" w:type="pct"/>
          <w:tcBorders>
            <w:top w:val="nil"/>
            <w:left w:val="nil"/>
            <w:bottom w:val="single" w:sz="4" w:space="0" w:color="4F81BD"/>
            <w:right w:val="nil"/>
          </w:tcBorders>
        </w:tcPr>
        <w:p w:rsidR="00450538" w:rsidRPr="005A3173" w:rsidRDefault="0045053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50538" w:rsidRPr="005A3173" w:rsidRDefault="0045053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50538" w:rsidRPr="005A3173" w:rsidRDefault="00450538" w:rsidP="005A3173">
          <w:pPr>
            <w:pStyle w:val="Header"/>
            <w:spacing w:line="276" w:lineRule="auto"/>
            <w:rPr>
              <w:rFonts w:ascii="Calibri" w:eastAsia="MS Gothic" w:hAnsi="Calibri"/>
              <w:b/>
              <w:bCs/>
              <w:color w:val="4F81BD"/>
            </w:rPr>
          </w:pPr>
        </w:p>
      </w:tc>
    </w:tr>
    <w:tr w:rsidR="00450538" w:rsidTr="005A3173">
      <w:trPr>
        <w:trHeight w:val="150"/>
      </w:trPr>
      <w:tc>
        <w:tcPr>
          <w:tcW w:w="2250" w:type="pct"/>
          <w:tcBorders>
            <w:top w:val="single" w:sz="4" w:space="0" w:color="4F81BD"/>
            <w:left w:val="nil"/>
            <w:bottom w:val="nil"/>
            <w:right w:val="nil"/>
          </w:tcBorders>
        </w:tcPr>
        <w:p w:rsidR="00450538" w:rsidRPr="005A3173" w:rsidRDefault="00450538" w:rsidP="005A3173">
          <w:pPr>
            <w:pStyle w:val="Header"/>
            <w:spacing w:line="276" w:lineRule="auto"/>
            <w:rPr>
              <w:rFonts w:ascii="Calibri" w:eastAsia="MS Gothic" w:hAnsi="Calibri"/>
              <w:b/>
              <w:bCs/>
              <w:color w:val="4F81BD"/>
            </w:rPr>
          </w:pPr>
        </w:p>
      </w:tc>
      <w:tc>
        <w:tcPr>
          <w:tcW w:w="0" w:type="auto"/>
          <w:vMerge/>
          <w:vAlign w:val="center"/>
          <w:hideMark/>
        </w:tcPr>
        <w:p w:rsidR="00450538" w:rsidRPr="005A3173" w:rsidRDefault="00450538" w:rsidP="005A3173">
          <w:pPr>
            <w:rPr>
              <w:rFonts w:ascii="Calibri" w:hAnsi="Calibri"/>
              <w:color w:val="365F91"/>
              <w:sz w:val="22"/>
              <w:szCs w:val="22"/>
            </w:rPr>
          </w:pPr>
        </w:p>
      </w:tc>
      <w:tc>
        <w:tcPr>
          <w:tcW w:w="2250" w:type="pct"/>
          <w:tcBorders>
            <w:top w:val="single" w:sz="4" w:space="0" w:color="4F81BD"/>
            <w:left w:val="nil"/>
            <w:bottom w:val="nil"/>
            <w:right w:val="nil"/>
          </w:tcBorders>
        </w:tcPr>
        <w:p w:rsidR="00450538" w:rsidRPr="005A3173" w:rsidRDefault="00450538" w:rsidP="005A3173">
          <w:pPr>
            <w:pStyle w:val="Header"/>
            <w:spacing w:line="276" w:lineRule="auto"/>
            <w:rPr>
              <w:rFonts w:ascii="Calibri" w:eastAsia="MS Gothic" w:hAnsi="Calibri"/>
              <w:b/>
              <w:bCs/>
              <w:color w:val="4F81BD"/>
            </w:rPr>
          </w:pPr>
        </w:p>
      </w:tc>
    </w:tr>
  </w:tbl>
  <w:p w:rsidR="00450538" w:rsidRDefault="0045053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0538" w:rsidRDefault="00450538">
    <w:pPr>
      <w:pStyle w:val="Footer"/>
    </w:pPr>
  </w:p>
  <w:p w:rsidR="00450538" w:rsidRDefault="004505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38" w:rsidRDefault="00450538" w:rsidP="00EF44A0">
    <w:pPr>
      <w:pStyle w:val="Footer"/>
      <w:jc w:val="center"/>
      <w:rPr>
        <w:rFonts w:ascii="Arial" w:hAnsi="Arial" w:cs="Arial"/>
        <w:b/>
        <w:sz w:val="20"/>
        <w:szCs w:val="20"/>
      </w:rPr>
    </w:pPr>
  </w:p>
  <w:p w:rsidR="00450538" w:rsidRPr="00F20171" w:rsidRDefault="00450538" w:rsidP="00C43476">
    <w:pPr>
      <w:widowControl w:val="0"/>
      <w:tabs>
        <w:tab w:val="center" w:pos="4513"/>
        <w:tab w:val="right" w:pos="9026"/>
      </w:tabs>
      <w:jc w:val="center"/>
      <w:rPr>
        <w:rFonts w:ascii="Arial" w:hAnsi="Arial" w:cs="Arial"/>
        <w:snapToGrid w:val="0"/>
        <w:sz w:val="22"/>
        <w:szCs w:val="20"/>
        <w:lang w:eastAsia="en-US"/>
      </w:rPr>
    </w:pPr>
    <w:r w:rsidRPr="00F20171">
      <w:rPr>
        <w:rFonts w:ascii="Arial" w:hAnsi="Arial" w:cs="Arial"/>
        <w:snapToGrid w:val="0"/>
        <w:sz w:val="22"/>
        <w:szCs w:val="20"/>
        <w:lang w:eastAsia="en-US"/>
      </w:rPr>
      <w:fldChar w:fldCharType="begin"/>
    </w:r>
    <w:r w:rsidRPr="00F20171">
      <w:rPr>
        <w:rFonts w:ascii="Arial" w:hAnsi="Arial" w:cs="Arial"/>
        <w:snapToGrid w:val="0"/>
        <w:sz w:val="22"/>
        <w:szCs w:val="20"/>
        <w:lang w:eastAsia="en-US"/>
      </w:rPr>
      <w:instrText xml:space="preserve"> PAGE   \* MERGEFORMAT </w:instrText>
    </w:r>
    <w:r w:rsidRPr="00F20171">
      <w:rPr>
        <w:rFonts w:ascii="Arial" w:hAnsi="Arial" w:cs="Arial"/>
        <w:snapToGrid w:val="0"/>
        <w:sz w:val="22"/>
        <w:szCs w:val="20"/>
        <w:lang w:eastAsia="en-US"/>
      </w:rPr>
      <w:fldChar w:fldCharType="separate"/>
    </w:r>
    <w:r w:rsidR="00EE2767">
      <w:rPr>
        <w:rFonts w:ascii="Arial" w:hAnsi="Arial" w:cs="Arial"/>
        <w:noProof/>
        <w:snapToGrid w:val="0"/>
        <w:sz w:val="22"/>
        <w:szCs w:val="20"/>
        <w:lang w:eastAsia="en-US"/>
      </w:rPr>
      <w:t>6</w:t>
    </w:r>
    <w:r w:rsidRPr="00F20171">
      <w:rPr>
        <w:rFonts w:ascii="Arial" w:hAnsi="Arial" w:cs="Arial"/>
        <w:snapToGrid w:val="0"/>
        <w:sz w:val="22"/>
        <w:szCs w:val="20"/>
        <w:lang w:eastAsia="en-US"/>
      </w:rPr>
      <w:fldChar w:fldCharType="end"/>
    </w:r>
  </w:p>
  <w:p w:rsidR="00450538" w:rsidRDefault="00450538" w:rsidP="00C43476">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50538" w:rsidTr="005A3173">
      <w:trPr>
        <w:trHeight w:val="151"/>
      </w:trPr>
      <w:tc>
        <w:tcPr>
          <w:tcW w:w="2250" w:type="pct"/>
          <w:tcBorders>
            <w:top w:val="nil"/>
            <w:left w:val="nil"/>
            <w:bottom w:val="single" w:sz="4" w:space="0" w:color="4F81BD"/>
            <w:right w:val="nil"/>
          </w:tcBorders>
        </w:tcPr>
        <w:p w:rsidR="00450538" w:rsidRPr="005A3173" w:rsidRDefault="0045053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50538" w:rsidRPr="005A3173" w:rsidRDefault="0045053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50538" w:rsidRPr="005A3173" w:rsidRDefault="00450538" w:rsidP="005A3173">
          <w:pPr>
            <w:pStyle w:val="Header"/>
            <w:spacing w:line="276" w:lineRule="auto"/>
            <w:rPr>
              <w:rFonts w:ascii="Calibri" w:eastAsia="MS Gothic" w:hAnsi="Calibri"/>
              <w:b/>
              <w:bCs/>
              <w:color w:val="4F81BD"/>
            </w:rPr>
          </w:pPr>
        </w:p>
      </w:tc>
    </w:tr>
    <w:tr w:rsidR="00450538" w:rsidTr="005A3173">
      <w:trPr>
        <w:trHeight w:val="150"/>
      </w:trPr>
      <w:tc>
        <w:tcPr>
          <w:tcW w:w="2250" w:type="pct"/>
          <w:tcBorders>
            <w:top w:val="single" w:sz="4" w:space="0" w:color="4F81BD"/>
            <w:left w:val="nil"/>
            <w:bottom w:val="nil"/>
            <w:right w:val="nil"/>
          </w:tcBorders>
        </w:tcPr>
        <w:p w:rsidR="00450538" w:rsidRPr="005A3173" w:rsidRDefault="00450538" w:rsidP="005A3173">
          <w:pPr>
            <w:pStyle w:val="Header"/>
            <w:spacing w:line="276" w:lineRule="auto"/>
            <w:rPr>
              <w:rFonts w:ascii="Calibri" w:eastAsia="MS Gothic" w:hAnsi="Calibri"/>
              <w:b/>
              <w:bCs/>
              <w:color w:val="4F81BD"/>
            </w:rPr>
          </w:pPr>
        </w:p>
      </w:tc>
      <w:tc>
        <w:tcPr>
          <w:tcW w:w="0" w:type="auto"/>
          <w:vMerge/>
          <w:vAlign w:val="center"/>
          <w:hideMark/>
        </w:tcPr>
        <w:p w:rsidR="00450538" w:rsidRPr="005A3173" w:rsidRDefault="00450538" w:rsidP="005A3173">
          <w:pPr>
            <w:rPr>
              <w:rFonts w:ascii="Calibri" w:hAnsi="Calibri"/>
              <w:color w:val="365F91"/>
              <w:sz w:val="22"/>
              <w:szCs w:val="22"/>
            </w:rPr>
          </w:pPr>
        </w:p>
      </w:tc>
      <w:tc>
        <w:tcPr>
          <w:tcW w:w="2250" w:type="pct"/>
          <w:tcBorders>
            <w:top w:val="single" w:sz="4" w:space="0" w:color="4F81BD"/>
            <w:left w:val="nil"/>
            <w:bottom w:val="nil"/>
            <w:right w:val="nil"/>
          </w:tcBorders>
        </w:tcPr>
        <w:p w:rsidR="00450538" w:rsidRPr="005A3173" w:rsidRDefault="0045053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50538" w:rsidTr="005A3173">
      <w:trPr>
        <w:trHeight w:val="151"/>
      </w:trPr>
      <w:tc>
        <w:tcPr>
          <w:tcW w:w="2250" w:type="pct"/>
          <w:tcBorders>
            <w:top w:val="nil"/>
            <w:left w:val="nil"/>
            <w:bottom w:val="single" w:sz="4" w:space="0" w:color="4F81BD"/>
            <w:right w:val="nil"/>
          </w:tcBorders>
        </w:tcPr>
        <w:p w:rsidR="00450538" w:rsidRPr="005A3173" w:rsidRDefault="0045053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50538" w:rsidRPr="005A3173" w:rsidRDefault="0045053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50538" w:rsidRPr="005A3173" w:rsidRDefault="00450538" w:rsidP="005A3173">
          <w:pPr>
            <w:pStyle w:val="Header"/>
            <w:spacing w:line="276" w:lineRule="auto"/>
            <w:rPr>
              <w:rFonts w:ascii="Calibri" w:eastAsia="MS Gothic" w:hAnsi="Calibri"/>
              <w:b/>
              <w:bCs/>
              <w:color w:val="4F81BD"/>
            </w:rPr>
          </w:pPr>
        </w:p>
      </w:tc>
    </w:tr>
    <w:tr w:rsidR="00450538" w:rsidTr="005A3173">
      <w:trPr>
        <w:trHeight w:val="150"/>
      </w:trPr>
      <w:tc>
        <w:tcPr>
          <w:tcW w:w="2250" w:type="pct"/>
          <w:tcBorders>
            <w:top w:val="single" w:sz="4" w:space="0" w:color="4F81BD"/>
            <w:left w:val="nil"/>
            <w:bottom w:val="nil"/>
            <w:right w:val="nil"/>
          </w:tcBorders>
        </w:tcPr>
        <w:p w:rsidR="00450538" w:rsidRPr="005A3173" w:rsidRDefault="00450538" w:rsidP="005A3173">
          <w:pPr>
            <w:pStyle w:val="Header"/>
            <w:spacing w:line="276" w:lineRule="auto"/>
            <w:rPr>
              <w:rFonts w:ascii="Calibri" w:eastAsia="MS Gothic" w:hAnsi="Calibri"/>
              <w:b/>
              <w:bCs/>
              <w:color w:val="4F81BD"/>
            </w:rPr>
          </w:pPr>
        </w:p>
      </w:tc>
      <w:tc>
        <w:tcPr>
          <w:tcW w:w="0" w:type="auto"/>
          <w:vMerge/>
          <w:vAlign w:val="center"/>
          <w:hideMark/>
        </w:tcPr>
        <w:p w:rsidR="00450538" w:rsidRPr="005A3173" w:rsidRDefault="00450538" w:rsidP="005A3173">
          <w:pPr>
            <w:rPr>
              <w:rFonts w:ascii="Calibri" w:hAnsi="Calibri"/>
              <w:color w:val="365F91"/>
              <w:sz w:val="22"/>
              <w:szCs w:val="22"/>
            </w:rPr>
          </w:pPr>
        </w:p>
      </w:tc>
      <w:tc>
        <w:tcPr>
          <w:tcW w:w="2250" w:type="pct"/>
          <w:tcBorders>
            <w:top w:val="single" w:sz="4" w:space="0" w:color="4F81BD"/>
            <w:left w:val="nil"/>
            <w:bottom w:val="nil"/>
            <w:right w:val="nil"/>
          </w:tcBorders>
        </w:tcPr>
        <w:p w:rsidR="00450538" w:rsidRPr="005A3173" w:rsidRDefault="00450538" w:rsidP="005A3173">
          <w:pPr>
            <w:pStyle w:val="Header"/>
            <w:spacing w:line="276" w:lineRule="auto"/>
            <w:rPr>
              <w:rFonts w:ascii="Calibri" w:eastAsia="MS Gothic" w:hAnsi="Calibri"/>
              <w:b/>
              <w:bCs/>
              <w:color w:val="4F81BD"/>
            </w:rPr>
          </w:pPr>
        </w:p>
      </w:tc>
    </w:tr>
  </w:tbl>
  <w:p w:rsidR="00450538" w:rsidRPr="007C0F57" w:rsidRDefault="0045053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50538" w:rsidRPr="007C0F57" w:rsidRDefault="00450538" w:rsidP="007C0F57">
    <w:pPr>
      <w:pStyle w:val="Footer"/>
      <w:jc w:val="center"/>
      <w:rPr>
        <w:b/>
        <w:i/>
        <w:sz w:val="20"/>
        <w:szCs w:val="20"/>
      </w:rPr>
    </w:pPr>
    <w:r w:rsidRPr="007C0F57">
      <w:rPr>
        <w:b/>
        <w:i/>
        <w:sz w:val="20"/>
        <w:szCs w:val="20"/>
      </w:rPr>
      <w:t>Commercial-in-Confidence</w:t>
    </w:r>
  </w:p>
  <w:p w:rsidR="00450538" w:rsidRDefault="004505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38" w:rsidRDefault="00450538">
      <w:r>
        <w:separator/>
      </w:r>
    </w:p>
    <w:p w:rsidR="00450538" w:rsidRDefault="00450538"/>
  </w:footnote>
  <w:footnote w:type="continuationSeparator" w:id="0">
    <w:p w:rsidR="00450538" w:rsidRDefault="00450538">
      <w:r>
        <w:continuationSeparator/>
      </w:r>
    </w:p>
    <w:p w:rsidR="00450538" w:rsidRDefault="004505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50538" w:rsidRPr="008E0D90" w:rsidTr="00A06225">
      <w:trPr>
        <w:trHeight w:val="151"/>
      </w:trPr>
      <w:tc>
        <w:tcPr>
          <w:tcW w:w="2389" w:type="pct"/>
          <w:tcBorders>
            <w:top w:val="nil"/>
            <w:left w:val="nil"/>
            <w:bottom w:val="single" w:sz="4" w:space="0" w:color="4F81BD"/>
            <w:right w:val="nil"/>
          </w:tcBorders>
        </w:tcPr>
        <w:p w:rsidR="00450538" w:rsidRPr="00A06225" w:rsidRDefault="00450538">
          <w:pPr>
            <w:pStyle w:val="Header"/>
            <w:spacing w:line="276" w:lineRule="auto"/>
            <w:rPr>
              <w:rFonts w:ascii="Cambria" w:eastAsia="MS Gothic" w:hAnsi="Cambria"/>
              <w:b/>
              <w:bCs/>
              <w:color w:val="4F81BD"/>
            </w:rPr>
          </w:pPr>
        </w:p>
      </w:tc>
      <w:tc>
        <w:tcPr>
          <w:tcW w:w="333" w:type="pct"/>
          <w:vMerge w:val="restart"/>
          <w:noWrap/>
          <w:vAlign w:val="center"/>
          <w:hideMark/>
        </w:tcPr>
        <w:p w:rsidR="00450538" w:rsidRPr="00A06225" w:rsidRDefault="0045053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50538" w:rsidRPr="00A06225" w:rsidRDefault="00450538">
          <w:pPr>
            <w:pStyle w:val="Header"/>
            <w:spacing w:line="276" w:lineRule="auto"/>
            <w:rPr>
              <w:rFonts w:ascii="Cambria" w:eastAsia="MS Gothic" w:hAnsi="Cambria"/>
              <w:b/>
              <w:bCs/>
              <w:color w:val="4F81BD"/>
            </w:rPr>
          </w:pPr>
        </w:p>
      </w:tc>
    </w:tr>
    <w:tr w:rsidR="00450538" w:rsidRPr="008E0D90" w:rsidTr="00A06225">
      <w:trPr>
        <w:trHeight w:val="150"/>
      </w:trPr>
      <w:tc>
        <w:tcPr>
          <w:tcW w:w="2389" w:type="pct"/>
          <w:tcBorders>
            <w:top w:val="single" w:sz="4" w:space="0" w:color="4F81BD"/>
            <w:left w:val="nil"/>
            <w:bottom w:val="nil"/>
            <w:right w:val="nil"/>
          </w:tcBorders>
        </w:tcPr>
        <w:p w:rsidR="00450538" w:rsidRPr="00A06225" w:rsidRDefault="00450538">
          <w:pPr>
            <w:pStyle w:val="Header"/>
            <w:spacing w:line="276" w:lineRule="auto"/>
            <w:rPr>
              <w:rFonts w:ascii="Cambria" w:eastAsia="MS Gothic" w:hAnsi="Cambria"/>
              <w:b/>
              <w:bCs/>
              <w:color w:val="4F81BD"/>
            </w:rPr>
          </w:pPr>
        </w:p>
      </w:tc>
      <w:tc>
        <w:tcPr>
          <w:tcW w:w="0" w:type="auto"/>
          <w:vMerge/>
          <w:vAlign w:val="center"/>
          <w:hideMark/>
        </w:tcPr>
        <w:p w:rsidR="00450538" w:rsidRPr="00A06225" w:rsidRDefault="00450538">
          <w:pPr>
            <w:rPr>
              <w:rFonts w:ascii="Cambria" w:hAnsi="Cambria"/>
              <w:color w:val="4F81BD"/>
              <w:sz w:val="22"/>
              <w:szCs w:val="22"/>
            </w:rPr>
          </w:pPr>
        </w:p>
      </w:tc>
      <w:tc>
        <w:tcPr>
          <w:tcW w:w="2278" w:type="pct"/>
          <w:tcBorders>
            <w:top w:val="single" w:sz="4" w:space="0" w:color="4F81BD"/>
            <w:left w:val="nil"/>
            <w:bottom w:val="nil"/>
            <w:right w:val="nil"/>
          </w:tcBorders>
        </w:tcPr>
        <w:p w:rsidR="00450538" w:rsidRPr="00A06225" w:rsidRDefault="00450538">
          <w:pPr>
            <w:pStyle w:val="Header"/>
            <w:spacing w:line="276" w:lineRule="auto"/>
            <w:rPr>
              <w:rFonts w:ascii="Cambria" w:eastAsia="MS Gothic" w:hAnsi="Cambria"/>
              <w:b/>
              <w:bCs/>
              <w:color w:val="4F81BD"/>
            </w:rPr>
          </w:pPr>
        </w:p>
      </w:tc>
    </w:tr>
  </w:tbl>
  <w:p w:rsidR="00450538" w:rsidRDefault="00450538">
    <w:pPr>
      <w:pStyle w:val="Header"/>
    </w:pPr>
  </w:p>
  <w:p w:rsidR="00450538" w:rsidRDefault="004505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38" w:rsidRPr="000165C5" w:rsidRDefault="00A43BFF" w:rsidP="00C43476">
    <w:pPr>
      <w:widowControl w:val="0"/>
      <w:tabs>
        <w:tab w:val="left" w:pos="142"/>
        <w:tab w:val="right" w:pos="9026"/>
      </w:tabs>
      <w:ind w:right="-359"/>
      <w:jc w:val="center"/>
      <w:rPr>
        <w:rFonts w:ascii="Arial" w:hAnsi="Arial" w:cs="Arial"/>
        <w:i/>
        <w:snapToGrid w:val="0"/>
        <w:sz w:val="22"/>
        <w:szCs w:val="20"/>
        <w:lang w:eastAsia="en-US"/>
      </w:rPr>
    </w:pPr>
    <w:r>
      <w:rPr>
        <w:rFonts w:ascii="Arial" w:hAnsi="Arial" w:cs="Arial"/>
        <w:i/>
        <w:snapToGrid w:val="0"/>
        <w:sz w:val="22"/>
        <w:szCs w:val="20"/>
        <w:lang w:eastAsia="en-US"/>
      </w:rPr>
      <w:t xml:space="preserve">Public Summary Document </w:t>
    </w:r>
    <w:r w:rsidR="00450538" w:rsidRPr="000165C5">
      <w:rPr>
        <w:rFonts w:ascii="Arial" w:hAnsi="Arial" w:cs="Arial"/>
        <w:i/>
        <w:snapToGrid w:val="0"/>
        <w:sz w:val="22"/>
        <w:szCs w:val="20"/>
        <w:lang w:eastAsia="en-US"/>
      </w:rPr>
      <w:t>– July 2015 PBAC Meeting</w:t>
    </w:r>
  </w:p>
  <w:p w:rsidR="00450538" w:rsidRDefault="00450538"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9BA"/>
    <w:multiLevelType w:val="hybridMultilevel"/>
    <w:tmpl w:val="10F002FA"/>
    <w:lvl w:ilvl="0" w:tplc="33C8048E">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6FC2325"/>
    <w:multiLevelType w:val="hybridMultilevel"/>
    <w:tmpl w:val="10F002FA"/>
    <w:lvl w:ilvl="0" w:tplc="33C8048E">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047E83"/>
    <w:multiLevelType w:val="hybridMultilevel"/>
    <w:tmpl w:val="10F002FA"/>
    <w:lvl w:ilvl="0" w:tplc="33C8048E">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9A0500"/>
    <w:multiLevelType w:val="hybridMultilevel"/>
    <w:tmpl w:val="B920B882"/>
    <w:lvl w:ilvl="0" w:tplc="7D3E3D1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1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1">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163061C4"/>
    <w:multiLevelType w:val="hybridMultilevel"/>
    <w:tmpl w:val="0214F8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4">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7">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23331BF7"/>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3">
    <w:nsid w:val="35AF411A"/>
    <w:multiLevelType w:val="hybridMultilevel"/>
    <w:tmpl w:val="2E6086B8"/>
    <w:lvl w:ilvl="0" w:tplc="7D3E3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7">
    <w:nsid w:val="3E0456BF"/>
    <w:multiLevelType w:val="hybridMultilevel"/>
    <w:tmpl w:val="5C4E9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4FCC15EB"/>
    <w:multiLevelType w:val="hybridMultilevel"/>
    <w:tmpl w:val="A9325130"/>
    <w:lvl w:ilvl="0" w:tplc="0C090005">
      <w:start w:val="1"/>
      <w:numFmt w:val="bullet"/>
      <w:lvlText w:val=""/>
      <w:lvlJc w:val="left"/>
      <w:pPr>
        <w:ind w:left="1921" w:hanging="360"/>
      </w:pPr>
      <w:rPr>
        <w:rFonts w:ascii="Wingdings" w:hAnsi="Wingdings" w:hint="default"/>
      </w:rPr>
    </w:lvl>
    <w:lvl w:ilvl="1" w:tplc="0C090003" w:tentative="1">
      <w:start w:val="1"/>
      <w:numFmt w:val="bullet"/>
      <w:lvlText w:val="o"/>
      <w:lvlJc w:val="left"/>
      <w:pPr>
        <w:ind w:left="4004" w:hanging="360"/>
      </w:pPr>
      <w:rPr>
        <w:rFonts w:ascii="Courier New" w:hAnsi="Courier New" w:cs="Courier New" w:hint="default"/>
      </w:rPr>
    </w:lvl>
    <w:lvl w:ilvl="2" w:tplc="0C090005" w:tentative="1">
      <w:start w:val="1"/>
      <w:numFmt w:val="bullet"/>
      <w:lvlText w:val=""/>
      <w:lvlJc w:val="left"/>
      <w:pPr>
        <w:ind w:left="4724" w:hanging="360"/>
      </w:pPr>
      <w:rPr>
        <w:rFonts w:ascii="Wingdings" w:hAnsi="Wingdings" w:hint="default"/>
      </w:rPr>
    </w:lvl>
    <w:lvl w:ilvl="3" w:tplc="0C090001" w:tentative="1">
      <w:start w:val="1"/>
      <w:numFmt w:val="bullet"/>
      <w:lvlText w:val=""/>
      <w:lvlJc w:val="left"/>
      <w:pPr>
        <w:ind w:left="5444" w:hanging="360"/>
      </w:pPr>
      <w:rPr>
        <w:rFonts w:ascii="Symbol" w:hAnsi="Symbol" w:hint="default"/>
      </w:rPr>
    </w:lvl>
    <w:lvl w:ilvl="4" w:tplc="0C090003" w:tentative="1">
      <w:start w:val="1"/>
      <w:numFmt w:val="bullet"/>
      <w:lvlText w:val="o"/>
      <w:lvlJc w:val="left"/>
      <w:pPr>
        <w:ind w:left="6164" w:hanging="360"/>
      </w:pPr>
      <w:rPr>
        <w:rFonts w:ascii="Courier New" w:hAnsi="Courier New" w:cs="Courier New" w:hint="default"/>
      </w:rPr>
    </w:lvl>
    <w:lvl w:ilvl="5" w:tplc="0C090005" w:tentative="1">
      <w:start w:val="1"/>
      <w:numFmt w:val="bullet"/>
      <w:lvlText w:val=""/>
      <w:lvlJc w:val="left"/>
      <w:pPr>
        <w:ind w:left="6884" w:hanging="360"/>
      </w:pPr>
      <w:rPr>
        <w:rFonts w:ascii="Wingdings" w:hAnsi="Wingdings" w:hint="default"/>
      </w:rPr>
    </w:lvl>
    <w:lvl w:ilvl="6" w:tplc="0C090001" w:tentative="1">
      <w:start w:val="1"/>
      <w:numFmt w:val="bullet"/>
      <w:lvlText w:val=""/>
      <w:lvlJc w:val="left"/>
      <w:pPr>
        <w:ind w:left="7604" w:hanging="360"/>
      </w:pPr>
      <w:rPr>
        <w:rFonts w:ascii="Symbol" w:hAnsi="Symbol" w:hint="default"/>
      </w:rPr>
    </w:lvl>
    <w:lvl w:ilvl="7" w:tplc="0C090003" w:tentative="1">
      <w:start w:val="1"/>
      <w:numFmt w:val="bullet"/>
      <w:lvlText w:val="o"/>
      <w:lvlJc w:val="left"/>
      <w:pPr>
        <w:ind w:left="8324" w:hanging="360"/>
      </w:pPr>
      <w:rPr>
        <w:rFonts w:ascii="Courier New" w:hAnsi="Courier New" w:cs="Courier New" w:hint="default"/>
      </w:rPr>
    </w:lvl>
    <w:lvl w:ilvl="8" w:tplc="0C090005" w:tentative="1">
      <w:start w:val="1"/>
      <w:numFmt w:val="bullet"/>
      <w:lvlText w:val=""/>
      <w:lvlJc w:val="left"/>
      <w:pPr>
        <w:ind w:left="9044" w:hanging="360"/>
      </w:pPr>
      <w:rPr>
        <w:rFonts w:ascii="Wingdings" w:hAnsi="Wingdings" w:hint="default"/>
      </w:rPr>
    </w:lvl>
  </w:abstractNum>
  <w:abstractNum w:abstractNumId="3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1E7215"/>
    <w:multiLevelType w:val="hybridMultilevel"/>
    <w:tmpl w:val="D8A6CFD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0">
    <w:nsid w:val="62291859"/>
    <w:multiLevelType w:val="hybridMultilevel"/>
    <w:tmpl w:val="B4F22080"/>
    <w:lvl w:ilvl="0" w:tplc="39EC9AC8">
      <w:start w:val="1"/>
      <w:numFmt w:val="lowerLetter"/>
      <w:lvlText w:val="%1)"/>
      <w:lvlJc w:val="left"/>
      <w:pPr>
        <w:ind w:left="1440" w:hanging="360"/>
      </w:pPr>
      <w:rPr>
        <w:rFonts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4">
    <w:nsid w:val="6BA315B7"/>
    <w:multiLevelType w:val="hybridMultilevel"/>
    <w:tmpl w:val="601A32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nsid w:val="6C2467E0"/>
    <w:multiLevelType w:val="hybridMultilevel"/>
    <w:tmpl w:val="9508B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9">
    <w:nsid w:val="71E234CF"/>
    <w:multiLevelType w:val="multilevel"/>
    <w:tmpl w:val="E1B6AE6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2">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5"/>
  </w:num>
  <w:num w:numId="2">
    <w:abstractNumId w:val="47"/>
  </w:num>
  <w:num w:numId="3">
    <w:abstractNumId w:val="28"/>
  </w:num>
  <w:num w:numId="4">
    <w:abstractNumId w:val="1"/>
  </w:num>
  <w:num w:numId="5">
    <w:abstractNumId w:val="10"/>
  </w:num>
  <w:num w:numId="6">
    <w:abstractNumId w:val="26"/>
  </w:num>
  <w:num w:numId="7">
    <w:abstractNumId w:val="22"/>
  </w:num>
  <w:num w:numId="8">
    <w:abstractNumId w:val="9"/>
  </w:num>
  <w:num w:numId="9">
    <w:abstractNumId w:val="13"/>
  </w:num>
  <w:num w:numId="10">
    <w:abstractNumId w:val="4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8"/>
  </w:num>
  <w:num w:numId="15">
    <w:abstractNumId w:val="36"/>
  </w:num>
  <w:num w:numId="16">
    <w:abstractNumId w:val="31"/>
  </w:num>
  <w:num w:numId="17">
    <w:abstractNumId w:val="51"/>
  </w:num>
  <w:num w:numId="18">
    <w:abstractNumId w:val="18"/>
  </w:num>
  <w:num w:numId="19">
    <w:abstractNumId w:val="25"/>
  </w:num>
  <w:num w:numId="20">
    <w:abstractNumId w:val="7"/>
  </w:num>
  <w:num w:numId="21">
    <w:abstractNumId w:val="41"/>
  </w:num>
  <w:num w:numId="22">
    <w:abstractNumId w:val="46"/>
  </w:num>
  <w:num w:numId="23">
    <w:abstractNumId w:val="53"/>
  </w:num>
  <w:num w:numId="24">
    <w:abstractNumId w:val="21"/>
  </w:num>
  <w:num w:numId="25">
    <w:abstractNumId w:val="52"/>
  </w:num>
  <w:num w:numId="26">
    <w:abstractNumId w:val="37"/>
  </w:num>
  <w:num w:numId="27">
    <w:abstractNumId w:val="17"/>
  </w:num>
  <w:num w:numId="28">
    <w:abstractNumId w:val="11"/>
  </w:num>
  <w:num w:numId="29">
    <w:abstractNumId w:val="34"/>
  </w:num>
  <w:num w:numId="30">
    <w:abstractNumId w:val="6"/>
  </w:num>
  <w:num w:numId="31">
    <w:abstractNumId w:val="35"/>
  </w:num>
  <w:num w:numId="32">
    <w:abstractNumId w:val="50"/>
  </w:num>
  <w:num w:numId="33">
    <w:abstractNumId w:val="33"/>
  </w:num>
  <w:num w:numId="34">
    <w:abstractNumId w:val="54"/>
  </w:num>
  <w:num w:numId="35">
    <w:abstractNumId w:val="16"/>
  </w:num>
  <w:num w:numId="36">
    <w:abstractNumId w:val="30"/>
  </w:num>
  <w:num w:numId="37">
    <w:abstractNumId w:val="38"/>
  </w:num>
  <w:num w:numId="38">
    <w:abstractNumId w:val="14"/>
  </w:num>
  <w:num w:numId="39">
    <w:abstractNumId w:val="24"/>
  </w:num>
  <w:num w:numId="40">
    <w:abstractNumId w:val="2"/>
  </w:num>
  <w:num w:numId="41">
    <w:abstractNumId w:val="20"/>
  </w:num>
  <w:num w:numId="42">
    <w:abstractNumId w:val="42"/>
  </w:num>
  <w:num w:numId="43">
    <w:abstractNumId w:val="5"/>
  </w:num>
  <w:num w:numId="44">
    <w:abstractNumId w:val="44"/>
  </w:num>
  <w:num w:numId="45">
    <w:abstractNumId w:val="40"/>
  </w:num>
  <w:num w:numId="46">
    <w:abstractNumId w:val="19"/>
  </w:num>
  <w:num w:numId="47">
    <w:abstractNumId w:val="23"/>
  </w:num>
  <w:num w:numId="48">
    <w:abstractNumId w:val="45"/>
  </w:num>
  <w:num w:numId="49">
    <w:abstractNumId w:val="3"/>
  </w:num>
  <w:num w:numId="50">
    <w:abstractNumId w:val="4"/>
  </w:num>
  <w:num w:numId="51">
    <w:abstractNumId w:val="0"/>
  </w:num>
  <w:num w:numId="52">
    <w:abstractNumId w:val="27"/>
  </w:num>
  <w:num w:numId="53">
    <w:abstractNumId w:val="32"/>
  </w:num>
  <w:num w:numId="54">
    <w:abstractNumId w:val="39"/>
  </w:num>
  <w:num w:numId="55">
    <w:abstractNumId w:val="8"/>
  </w:num>
  <w:num w:numId="56">
    <w:abstractNumId w:val="12"/>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20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57F"/>
    <w:rsid w:val="000165C5"/>
    <w:rsid w:val="0002464A"/>
    <w:rsid w:val="00027ADE"/>
    <w:rsid w:val="0003106B"/>
    <w:rsid w:val="000365C7"/>
    <w:rsid w:val="00037301"/>
    <w:rsid w:val="00041E5D"/>
    <w:rsid w:val="000421A1"/>
    <w:rsid w:val="0004240E"/>
    <w:rsid w:val="00045E26"/>
    <w:rsid w:val="000514B5"/>
    <w:rsid w:val="00053357"/>
    <w:rsid w:val="00060E64"/>
    <w:rsid w:val="00066755"/>
    <w:rsid w:val="000824B8"/>
    <w:rsid w:val="00084A04"/>
    <w:rsid w:val="00086835"/>
    <w:rsid w:val="000969AD"/>
    <w:rsid w:val="000B558D"/>
    <w:rsid w:val="000C6996"/>
    <w:rsid w:val="000D228A"/>
    <w:rsid w:val="000D23BA"/>
    <w:rsid w:val="000D60A8"/>
    <w:rsid w:val="000E1BDC"/>
    <w:rsid w:val="000E681E"/>
    <w:rsid w:val="000F4E6A"/>
    <w:rsid w:val="000F6186"/>
    <w:rsid w:val="000F7096"/>
    <w:rsid w:val="001005D6"/>
    <w:rsid w:val="001107BF"/>
    <w:rsid w:val="001142CD"/>
    <w:rsid w:val="0012075B"/>
    <w:rsid w:val="0012417C"/>
    <w:rsid w:val="00124963"/>
    <w:rsid w:val="00142217"/>
    <w:rsid w:val="00142395"/>
    <w:rsid w:val="00142714"/>
    <w:rsid w:val="001452ED"/>
    <w:rsid w:val="00152C53"/>
    <w:rsid w:val="001654CB"/>
    <w:rsid w:val="001830CE"/>
    <w:rsid w:val="0018738F"/>
    <w:rsid w:val="00196307"/>
    <w:rsid w:val="001A6354"/>
    <w:rsid w:val="001B017F"/>
    <w:rsid w:val="001B4123"/>
    <w:rsid w:val="001B5129"/>
    <w:rsid w:val="001C1195"/>
    <w:rsid w:val="001C167C"/>
    <w:rsid w:val="001C34E7"/>
    <w:rsid w:val="001D4EBD"/>
    <w:rsid w:val="001F085A"/>
    <w:rsid w:val="001F0CDD"/>
    <w:rsid w:val="001F1DE3"/>
    <w:rsid w:val="00212514"/>
    <w:rsid w:val="00213CFB"/>
    <w:rsid w:val="002152A0"/>
    <w:rsid w:val="00245DA6"/>
    <w:rsid w:val="00247CF9"/>
    <w:rsid w:val="0025437C"/>
    <w:rsid w:val="002634EC"/>
    <w:rsid w:val="00271BA1"/>
    <w:rsid w:val="00276148"/>
    <w:rsid w:val="00277505"/>
    <w:rsid w:val="0029458F"/>
    <w:rsid w:val="002A104C"/>
    <w:rsid w:val="002A4960"/>
    <w:rsid w:val="002A759E"/>
    <w:rsid w:val="002B1AE6"/>
    <w:rsid w:val="002B30F8"/>
    <w:rsid w:val="002C212F"/>
    <w:rsid w:val="002D2FCE"/>
    <w:rsid w:val="002D6EFE"/>
    <w:rsid w:val="002E3153"/>
    <w:rsid w:val="002E72CA"/>
    <w:rsid w:val="003070F8"/>
    <w:rsid w:val="00326E79"/>
    <w:rsid w:val="003350DD"/>
    <w:rsid w:val="0033511B"/>
    <w:rsid w:val="003367EF"/>
    <w:rsid w:val="00341AE4"/>
    <w:rsid w:val="003613EF"/>
    <w:rsid w:val="0038002D"/>
    <w:rsid w:val="003872CF"/>
    <w:rsid w:val="0038754C"/>
    <w:rsid w:val="0039719C"/>
    <w:rsid w:val="0039782C"/>
    <w:rsid w:val="003A1B5A"/>
    <w:rsid w:val="003A53C0"/>
    <w:rsid w:val="003A5B4A"/>
    <w:rsid w:val="003B23C5"/>
    <w:rsid w:val="003B2A75"/>
    <w:rsid w:val="003B4C6C"/>
    <w:rsid w:val="003B76C0"/>
    <w:rsid w:val="003D4AC4"/>
    <w:rsid w:val="003D5EAA"/>
    <w:rsid w:val="003D63B7"/>
    <w:rsid w:val="003E2F6D"/>
    <w:rsid w:val="003E468B"/>
    <w:rsid w:val="003E7F24"/>
    <w:rsid w:val="003F3DAC"/>
    <w:rsid w:val="003F4109"/>
    <w:rsid w:val="003F5C8C"/>
    <w:rsid w:val="00400057"/>
    <w:rsid w:val="004465BD"/>
    <w:rsid w:val="00450538"/>
    <w:rsid w:val="00451178"/>
    <w:rsid w:val="00457DDB"/>
    <w:rsid w:val="00460520"/>
    <w:rsid w:val="00466ADA"/>
    <w:rsid w:val="00476245"/>
    <w:rsid w:val="00485940"/>
    <w:rsid w:val="004A5A85"/>
    <w:rsid w:val="004B3802"/>
    <w:rsid w:val="004B5640"/>
    <w:rsid w:val="004C0E70"/>
    <w:rsid w:val="004C1BD7"/>
    <w:rsid w:val="004C4781"/>
    <w:rsid w:val="004C4D8A"/>
    <w:rsid w:val="004C691D"/>
    <w:rsid w:val="004D62C7"/>
    <w:rsid w:val="004E692D"/>
    <w:rsid w:val="00501554"/>
    <w:rsid w:val="00504CAE"/>
    <w:rsid w:val="00514CD7"/>
    <w:rsid w:val="0052457D"/>
    <w:rsid w:val="005319B2"/>
    <w:rsid w:val="00532C74"/>
    <w:rsid w:val="00534E2E"/>
    <w:rsid w:val="00535B8B"/>
    <w:rsid w:val="00542FD1"/>
    <w:rsid w:val="00544552"/>
    <w:rsid w:val="00557A77"/>
    <w:rsid w:val="00565EE9"/>
    <w:rsid w:val="00581634"/>
    <w:rsid w:val="00581932"/>
    <w:rsid w:val="005963BB"/>
    <w:rsid w:val="005A07BB"/>
    <w:rsid w:val="005A3173"/>
    <w:rsid w:val="005A3223"/>
    <w:rsid w:val="005A3DA3"/>
    <w:rsid w:val="005A52C4"/>
    <w:rsid w:val="005C35BB"/>
    <w:rsid w:val="005D03AB"/>
    <w:rsid w:val="005D5017"/>
    <w:rsid w:val="00601A91"/>
    <w:rsid w:val="00602BA3"/>
    <w:rsid w:val="00612C8C"/>
    <w:rsid w:val="00612FDF"/>
    <w:rsid w:val="00614159"/>
    <w:rsid w:val="00617C00"/>
    <w:rsid w:val="006263BF"/>
    <w:rsid w:val="0062748A"/>
    <w:rsid w:val="00630A2C"/>
    <w:rsid w:val="00646483"/>
    <w:rsid w:val="00646944"/>
    <w:rsid w:val="00651169"/>
    <w:rsid w:val="00653D69"/>
    <w:rsid w:val="00660B49"/>
    <w:rsid w:val="00666960"/>
    <w:rsid w:val="00670A76"/>
    <w:rsid w:val="006711AA"/>
    <w:rsid w:val="00672B57"/>
    <w:rsid w:val="00675622"/>
    <w:rsid w:val="006906DB"/>
    <w:rsid w:val="006A12A5"/>
    <w:rsid w:val="006A1799"/>
    <w:rsid w:val="006A6913"/>
    <w:rsid w:val="006B0D94"/>
    <w:rsid w:val="006B1CB5"/>
    <w:rsid w:val="006B485D"/>
    <w:rsid w:val="006C708E"/>
    <w:rsid w:val="006D6EC7"/>
    <w:rsid w:val="006F03B4"/>
    <w:rsid w:val="006F5125"/>
    <w:rsid w:val="007002C0"/>
    <w:rsid w:val="007174BB"/>
    <w:rsid w:val="007461AA"/>
    <w:rsid w:val="00753BEC"/>
    <w:rsid w:val="007628A1"/>
    <w:rsid w:val="0076420C"/>
    <w:rsid w:val="00773178"/>
    <w:rsid w:val="007753C2"/>
    <w:rsid w:val="00781848"/>
    <w:rsid w:val="007838B8"/>
    <w:rsid w:val="00785CB2"/>
    <w:rsid w:val="007C0F57"/>
    <w:rsid w:val="007C40B6"/>
    <w:rsid w:val="007C729F"/>
    <w:rsid w:val="007E1D28"/>
    <w:rsid w:val="007E37D0"/>
    <w:rsid w:val="007F2641"/>
    <w:rsid w:val="007F7C36"/>
    <w:rsid w:val="00806796"/>
    <w:rsid w:val="00826F6D"/>
    <w:rsid w:val="008414BC"/>
    <w:rsid w:val="00853571"/>
    <w:rsid w:val="00856DDD"/>
    <w:rsid w:val="00863E68"/>
    <w:rsid w:val="00864F2C"/>
    <w:rsid w:val="008816B0"/>
    <w:rsid w:val="00881833"/>
    <w:rsid w:val="00882085"/>
    <w:rsid w:val="00883188"/>
    <w:rsid w:val="00897B28"/>
    <w:rsid w:val="00897D58"/>
    <w:rsid w:val="008A1956"/>
    <w:rsid w:val="008A4937"/>
    <w:rsid w:val="008B2422"/>
    <w:rsid w:val="008B7D88"/>
    <w:rsid w:val="008D3C82"/>
    <w:rsid w:val="008D447E"/>
    <w:rsid w:val="008D7A41"/>
    <w:rsid w:val="008E3680"/>
    <w:rsid w:val="008E5870"/>
    <w:rsid w:val="008F1434"/>
    <w:rsid w:val="008F7355"/>
    <w:rsid w:val="009031CA"/>
    <w:rsid w:val="00904132"/>
    <w:rsid w:val="009067B7"/>
    <w:rsid w:val="00916B32"/>
    <w:rsid w:val="00925653"/>
    <w:rsid w:val="009278C3"/>
    <w:rsid w:val="00930937"/>
    <w:rsid w:val="00933E6C"/>
    <w:rsid w:val="00935CF0"/>
    <w:rsid w:val="00942160"/>
    <w:rsid w:val="009602C5"/>
    <w:rsid w:val="00974C21"/>
    <w:rsid w:val="009B0F67"/>
    <w:rsid w:val="009B23E9"/>
    <w:rsid w:val="009C57DC"/>
    <w:rsid w:val="009C703C"/>
    <w:rsid w:val="009D3CAA"/>
    <w:rsid w:val="009E4077"/>
    <w:rsid w:val="009F0E90"/>
    <w:rsid w:val="009F4E46"/>
    <w:rsid w:val="009F5B65"/>
    <w:rsid w:val="009F5F2E"/>
    <w:rsid w:val="00A06225"/>
    <w:rsid w:val="00A128E6"/>
    <w:rsid w:val="00A16AF7"/>
    <w:rsid w:val="00A37C8D"/>
    <w:rsid w:val="00A43BFF"/>
    <w:rsid w:val="00A47C80"/>
    <w:rsid w:val="00A5273B"/>
    <w:rsid w:val="00A53A9D"/>
    <w:rsid w:val="00A55FEE"/>
    <w:rsid w:val="00A56453"/>
    <w:rsid w:val="00A6086F"/>
    <w:rsid w:val="00A624A4"/>
    <w:rsid w:val="00A62C1A"/>
    <w:rsid w:val="00A6426D"/>
    <w:rsid w:val="00A661DD"/>
    <w:rsid w:val="00A70622"/>
    <w:rsid w:val="00A70977"/>
    <w:rsid w:val="00A8390C"/>
    <w:rsid w:val="00A8629E"/>
    <w:rsid w:val="00A928BD"/>
    <w:rsid w:val="00AA4D1C"/>
    <w:rsid w:val="00AA767F"/>
    <w:rsid w:val="00AB4321"/>
    <w:rsid w:val="00AC5206"/>
    <w:rsid w:val="00AD0AF5"/>
    <w:rsid w:val="00AE0B37"/>
    <w:rsid w:val="00AE11A5"/>
    <w:rsid w:val="00AE13E2"/>
    <w:rsid w:val="00AE18F4"/>
    <w:rsid w:val="00AE1ADB"/>
    <w:rsid w:val="00AE6217"/>
    <w:rsid w:val="00AF68CC"/>
    <w:rsid w:val="00B037C7"/>
    <w:rsid w:val="00B15E6A"/>
    <w:rsid w:val="00B205AA"/>
    <w:rsid w:val="00B22E84"/>
    <w:rsid w:val="00B25F75"/>
    <w:rsid w:val="00B328A0"/>
    <w:rsid w:val="00B43E90"/>
    <w:rsid w:val="00B56118"/>
    <w:rsid w:val="00B641AB"/>
    <w:rsid w:val="00B6773F"/>
    <w:rsid w:val="00B801BA"/>
    <w:rsid w:val="00B9364C"/>
    <w:rsid w:val="00B93792"/>
    <w:rsid w:val="00B96613"/>
    <w:rsid w:val="00BB4DB8"/>
    <w:rsid w:val="00BB69F5"/>
    <w:rsid w:val="00BB7EC3"/>
    <w:rsid w:val="00BC4B9A"/>
    <w:rsid w:val="00BD76B2"/>
    <w:rsid w:val="00BD784C"/>
    <w:rsid w:val="00BF3664"/>
    <w:rsid w:val="00BF4CB6"/>
    <w:rsid w:val="00BF77DF"/>
    <w:rsid w:val="00C00BDE"/>
    <w:rsid w:val="00C00DA7"/>
    <w:rsid w:val="00C12768"/>
    <w:rsid w:val="00C27B58"/>
    <w:rsid w:val="00C35996"/>
    <w:rsid w:val="00C43476"/>
    <w:rsid w:val="00C5342C"/>
    <w:rsid w:val="00C6256A"/>
    <w:rsid w:val="00C711C2"/>
    <w:rsid w:val="00C91449"/>
    <w:rsid w:val="00C92D10"/>
    <w:rsid w:val="00CB23E8"/>
    <w:rsid w:val="00CB3CD0"/>
    <w:rsid w:val="00CD39C3"/>
    <w:rsid w:val="00CE10C4"/>
    <w:rsid w:val="00CE27B5"/>
    <w:rsid w:val="00D0321E"/>
    <w:rsid w:val="00D05908"/>
    <w:rsid w:val="00D06E33"/>
    <w:rsid w:val="00D1455A"/>
    <w:rsid w:val="00D3280C"/>
    <w:rsid w:val="00D3406A"/>
    <w:rsid w:val="00D4254F"/>
    <w:rsid w:val="00D469B2"/>
    <w:rsid w:val="00D741EB"/>
    <w:rsid w:val="00D84934"/>
    <w:rsid w:val="00D91271"/>
    <w:rsid w:val="00D960CB"/>
    <w:rsid w:val="00DA2CB5"/>
    <w:rsid w:val="00DA4BAC"/>
    <w:rsid w:val="00DA7B0B"/>
    <w:rsid w:val="00DB3E0F"/>
    <w:rsid w:val="00DC7FAC"/>
    <w:rsid w:val="00DD181E"/>
    <w:rsid w:val="00DE1E37"/>
    <w:rsid w:val="00DE6D27"/>
    <w:rsid w:val="00DF13EE"/>
    <w:rsid w:val="00DF217D"/>
    <w:rsid w:val="00DF26A7"/>
    <w:rsid w:val="00DF53DD"/>
    <w:rsid w:val="00E0617D"/>
    <w:rsid w:val="00E11538"/>
    <w:rsid w:val="00E1640E"/>
    <w:rsid w:val="00E164B3"/>
    <w:rsid w:val="00E16910"/>
    <w:rsid w:val="00E27000"/>
    <w:rsid w:val="00E4615E"/>
    <w:rsid w:val="00E65E54"/>
    <w:rsid w:val="00E71825"/>
    <w:rsid w:val="00E73F1C"/>
    <w:rsid w:val="00E75057"/>
    <w:rsid w:val="00E80155"/>
    <w:rsid w:val="00E848C0"/>
    <w:rsid w:val="00E91B96"/>
    <w:rsid w:val="00E941A1"/>
    <w:rsid w:val="00E95CE3"/>
    <w:rsid w:val="00EA1DAE"/>
    <w:rsid w:val="00EA2825"/>
    <w:rsid w:val="00EB5088"/>
    <w:rsid w:val="00ED1644"/>
    <w:rsid w:val="00ED38E6"/>
    <w:rsid w:val="00EE107F"/>
    <w:rsid w:val="00EE2767"/>
    <w:rsid w:val="00EE27C8"/>
    <w:rsid w:val="00EF2A4E"/>
    <w:rsid w:val="00EF44A0"/>
    <w:rsid w:val="00EF4FED"/>
    <w:rsid w:val="00F022A2"/>
    <w:rsid w:val="00F050BD"/>
    <w:rsid w:val="00F05657"/>
    <w:rsid w:val="00F2174A"/>
    <w:rsid w:val="00F24F02"/>
    <w:rsid w:val="00F25578"/>
    <w:rsid w:val="00F258E5"/>
    <w:rsid w:val="00F300BC"/>
    <w:rsid w:val="00F3334E"/>
    <w:rsid w:val="00F50EC4"/>
    <w:rsid w:val="00F53BE9"/>
    <w:rsid w:val="00F57A6D"/>
    <w:rsid w:val="00F638CC"/>
    <w:rsid w:val="00F64CC1"/>
    <w:rsid w:val="00F8247A"/>
    <w:rsid w:val="00F863EC"/>
    <w:rsid w:val="00F9629A"/>
    <w:rsid w:val="00FA5883"/>
    <w:rsid w:val="00FA6055"/>
    <w:rsid w:val="00FB322F"/>
    <w:rsid w:val="00FB442F"/>
    <w:rsid w:val="00FC1929"/>
    <w:rsid w:val="00FC5B46"/>
    <w:rsid w:val="00FE1B80"/>
    <w:rsid w:val="00FF00BD"/>
    <w:rsid w:val="00FF1ED4"/>
    <w:rsid w:val="00FF5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9031CA"/>
    <w:pPr>
      <w:ind w:left="720" w:hanging="720"/>
    </w:pPr>
    <w:rPr>
      <w:rFonts w:ascii="Arial" w:hAnsi="Arial" w:cs="Arial"/>
      <w:b/>
      <w:snapToGrid w:val="0"/>
      <w:sz w:val="22"/>
      <w:szCs w:val="22"/>
      <w:lang w:eastAsia="en-US"/>
    </w:rPr>
  </w:style>
  <w:style w:type="paragraph" w:customStyle="1" w:styleId="Default">
    <w:name w:val="Default"/>
    <w:rsid w:val="00B15E6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9031CA"/>
    <w:pPr>
      <w:ind w:left="720" w:hanging="720"/>
    </w:pPr>
    <w:rPr>
      <w:rFonts w:ascii="Arial" w:hAnsi="Arial" w:cs="Arial"/>
      <w:b/>
      <w:snapToGrid w:val="0"/>
      <w:sz w:val="22"/>
      <w:szCs w:val="22"/>
      <w:lang w:eastAsia="en-US"/>
    </w:rPr>
  </w:style>
  <w:style w:type="paragraph" w:customStyle="1" w:styleId="Default">
    <w:name w:val="Default"/>
    <w:rsid w:val="00B15E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7202103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6DEA-92EB-416E-AA16-A464FBF1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2701</Words>
  <Characters>17031</Characters>
  <Application>Microsoft Office Word</Application>
  <DocSecurity>2</DocSecurity>
  <Lines>709</Lines>
  <Paragraphs>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2015-08-19T23:59:00Z</dcterms:created>
  <dcterms:modified xsi:type="dcterms:W3CDTF">2015-10-19T04:11:00Z</dcterms:modified>
</cp:coreProperties>
</file>