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DD" w:rsidRPr="00AE119F" w:rsidRDefault="004451A4" w:rsidP="00E61788">
      <w:pPr>
        <w:pStyle w:val="Heading1"/>
        <w:widowControl/>
        <w:rPr>
          <w:sz w:val="28"/>
          <w:lang w:val="sv-SE"/>
        </w:rPr>
      </w:pPr>
      <w:bookmarkStart w:id="0" w:name="_Toc419799900"/>
      <w:bookmarkStart w:id="1" w:name="_GoBack"/>
      <w:bookmarkEnd w:id="1"/>
      <w:r w:rsidRPr="00AE119F">
        <w:rPr>
          <w:sz w:val="28"/>
          <w:lang w:val="sv-SE"/>
        </w:rPr>
        <w:t>6</w:t>
      </w:r>
      <w:r w:rsidR="00433044" w:rsidRPr="00AE119F">
        <w:rPr>
          <w:sz w:val="28"/>
          <w:lang w:val="sv-SE"/>
        </w:rPr>
        <w:t>.</w:t>
      </w:r>
      <w:r w:rsidRPr="00AE119F">
        <w:rPr>
          <w:sz w:val="28"/>
          <w:lang w:val="sv-SE"/>
        </w:rPr>
        <w:t>07</w:t>
      </w:r>
      <w:r w:rsidR="00B60939" w:rsidRPr="00AE119F">
        <w:rPr>
          <w:sz w:val="28"/>
          <w:lang w:val="sv-SE"/>
        </w:rPr>
        <w:tab/>
      </w:r>
      <w:r w:rsidR="007447F4" w:rsidRPr="00AE119F">
        <w:rPr>
          <w:sz w:val="28"/>
          <w:lang w:val="sv-SE"/>
        </w:rPr>
        <w:t>tiotropium bromide</w:t>
      </w:r>
    </w:p>
    <w:p w:rsidR="009050DD" w:rsidRPr="00AE119F" w:rsidRDefault="007447F4" w:rsidP="00E61788">
      <w:pPr>
        <w:pStyle w:val="Heading1"/>
        <w:widowControl/>
        <w:ind w:firstLine="0"/>
        <w:rPr>
          <w:sz w:val="28"/>
          <w:lang w:val="sv-SE"/>
        </w:rPr>
      </w:pPr>
      <w:r w:rsidRPr="00AE119F">
        <w:rPr>
          <w:caps w:val="0"/>
          <w:sz w:val="28"/>
          <w:lang w:val="sv-SE"/>
        </w:rPr>
        <w:t>solution for inhalation</w:t>
      </w:r>
      <w:r w:rsidR="00B60939" w:rsidRPr="00AE119F">
        <w:rPr>
          <w:sz w:val="28"/>
          <w:lang w:val="sv-SE"/>
        </w:rPr>
        <w:t xml:space="preserve">, </w:t>
      </w:r>
      <w:r w:rsidRPr="00AE119F">
        <w:rPr>
          <w:caps w:val="0"/>
          <w:sz w:val="28"/>
          <w:lang w:val="sv-SE"/>
        </w:rPr>
        <w:t>2.5 µg per actuation</w:t>
      </w:r>
    </w:p>
    <w:p w:rsidR="009050DD" w:rsidRPr="00AE119F" w:rsidRDefault="009050DD" w:rsidP="00E61788">
      <w:pPr>
        <w:pStyle w:val="Heading1"/>
        <w:widowControl/>
        <w:ind w:firstLine="0"/>
        <w:rPr>
          <w:caps w:val="0"/>
          <w:sz w:val="28"/>
          <w:lang w:val="sv-SE"/>
        </w:rPr>
      </w:pPr>
      <w:r w:rsidRPr="00AE119F">
        <w:rPr>
          <w:caps w:val="0"/>
          <w:sz w:val="28"/>
          <w:lang w:val="sv-SE"/>
        </w:rPr>
        <w:t>Spiriva® Respimat®</w:t>
      </w:r>
    </w:p>
    <w:p w:rsidR="00B60939" w:rsidRPr="00207D00" w:rsidRDefault="007447F4" w:rsidP="00297F38">
      <w:pPr>
        <w:pStyle w:val="Heading1"/>
        <w:widowControl/>
        <w:tabs>
          <w:tab w:val="left" w:pos="8287"/>
        </w:tabs>
        <w:ind w:firstLine="0"/>
        <w:rPr>
          <w:sz w:val="28"/>
        </w:rPr>
      </w:pPr>
      <w:proofErr w:type="spellStart"/>
      <w:r w:rsidRPr="007447F4">
        <w:rPr>
          <w:caps w:val="0"/>
          <w:sz w:val="28"/>
        </w:rPr>
        <w:t>Boehringer</w:t>
      </w:r>
      <w:proofErr w:type="spellEnd"/>
      <w:r w:rsidRPr="007447F4">
        <w:rPr>
          <w:caps w:val="0"/>
          <w:sz w:val="28"/>
        </w:rPr>
        <w:t xml:space="preserve"> </w:t>
      </w:r>
      <w:proofErr w:type="spellStart"/>
      <w:r w:rsidRPr="007447F4">
        <w:rPr>
          <w:caps w:val="0"/>
          <w:sz w:val="28"/>
        </w:rPr>
        <w:t>Ingelheim</w:t>
      </w:r>
      <w:proofErr w:type="spellEnd"/>
      <w:r w:rsidRPr="007447F4">
        <w:rPr>
          <w:caps w:val="0"/>
          <w:sz w:val="28"/>
        </w:rPr>
        <w:t xml:space="preserve"> Pty Limited</w:t>
      </w:r>
      <w:bookmarkEnd w:id="0"/>
      <w:r w:rsidR="00297F38">
        <w:rPr>
          <w:caps w:val="0"/>
          <w:sz w:val="28"/>
        </w:rPr>
        <w:tab/>
      </w:r>
    </w:p>
    <w:p w:rsidR="00433044" w:rsidRDefault="00433044" w:rsidP="00E61788">
      <w:pPr>
        <w:widowControl/>
      </w:pPr>
    </w:p>
    <w:p w:rsidR="00B50DB8" w:rsidRPr="00407F2D" w:rsidRDefault="00B50DB8" w:rsidP="00E61788">
      <w:pPr>
        <w:pStyle w:val="Heading2"/>
        <w:widowControl/>
        <w:numPr>
          <w:ilvl w:val="0"/>
          <w:numId w:val="9"/>
        </w:numPr>
        <w:ind w:left="709" w:hanging="709"/>
      </w:pPr>
      <w:bookmarkStart w:id="2" w:name="_Toc419799902"/>
      <w:r w:rsidRPr="00407F2D">
        <w:t>Purpose of Application</w:t>
      </w:r>
      <w:bookmarkEnd w:id="2"/>
    </w:p>
    <w:p w:rsidR="00B60939" w:rsidRPr="00882085" w:rsidRDefault="00B60939" w:rsidP="00E61788">
      <w:pPr>
        <w:widowControl/>
        <w:rPr>
          <w:szCs w:val="22"/>
        </w:rPr>
      </w:pPr>
    </w:p>
    <w:p w:rsidR="002C2775" w:rsidRPr="00B50DB8" w:rsidRDefault="005374D5" w:rsidP="00E61788">
      <w:pPr>
        <w:pStyle w:val="ListParagraph"/>
        <w:widowControl/>
        <w:numPr>
          <w:ilvl w:val="1"/>
          <w:numId w:val="9"/>
        </w:numPr>
        <w:rPr>
          <w:szCs w:val="22"/>
        </w:rPr>
      </w:pPr>
      <w:r w:rsidRPr="005374D5">
        <w:t>The submission propose</w:t>
      </w:r>
      <w:r w:rsidR="009050DD">
        <w:t>d</w:t>
      </w:r>
      <w:r w:rsidRPr="005374D5">
        <w:t xml:space="preserve"> the inclusion of </w:t>
      </w:r>
      <w:proofErr w:type="spellStart"/>
      <w:r>
        <w:t>tiotropium</w:t>
      </w:r>
      <w:proofErr w:type="spellEnd"/>
      <w:r w:rsidRPr="005374D5">
        <w:t xml:space="preserve"> </w:t>
      </w:r>
      <w:r w:rsidR="0059329B">
        <w:t>2.</w:t>
      </w:r>
      <w:r w:rsidRPr="005374D5">
        <w:t xml:space="preserve">5 µg on the Pharmaceutical Benefits Scheme (PBS) as a restricted benefit item for adult patients with asthma who are currently treated with the </w:t>
      </w:r>
      <w:r w:rsidR="004838A8">
        <w:t>optimised</w:t>
      </w:r>
      <w:r w:rsidRPr="005374D5">
        <w:t xml:space="preserve"> combination of </w:t>
      </w:r>
      <w:r w:rsidR="002C3650">
        <w:t>inhaled corticosteroids (</w:t>
      </w:r>
      <w:r>
        <w:t>ICS</w:t>
      </w:r>
      <w:r w:rsidR="002C3650">
        <w:t>)</w:t>
      </w:r>
      <w:r>
        <w:t xml:space="preserve"> and </w:t>
      </w:r>
      <w:r w:rsidR="003B7DA4" w:rsidRPr="003B7DA4">
        <w:t xml:space="preserve">long-acting </w:t>
      </w:r>
      <w:r w:rsidR="00760ED0" w:rsidRPr="00760ED0">
        <w:t>ß</w:t>
      </w:r>
      <w:r w:rsidR="00760ED0" w:rsidRPr="00760ED0">
        <w:rPr>
          <w:vertAlign w:val="subscript"/>
        </w:rPr>
        <w:t>2</w:t>
      </w:r>
      <w:r w:rsidR="003B7DA4" w:rsidRPr="003B7DA4">
        <w:t xml:space="preserve"> agonist</w:t>
      </w:r>
      <w:r w:rsidR="003B7DA4" w:rsidRPr="003B7DA4" w:rsidDel="003B7DA4">
        <w:t xml:space="preserve"> </w:t>
      </w:r>
      <w:r w:rsidR="002C3650">
        <w:t>(</w:t>
      </w:r>
      <w:r>
        <w:t>LABA</w:t>
      </w:r>
      <w:r w:rsidR="002C3650">
        <w:t>),</w:t>
      </w:r>
      <w:r w:rsidR="004838A8">
        <w:t xml:space="preserve"> </w:t>
      </w:r>
      <w:r w:rsidR="004838A8" w:rsidRPr="004838A8">
        <w:t xml:space="preserve">unless </w:t>
      </w:r>
      <w:r w:rsidR="004838A8">
        <w:t xml:space="preserve">LABA was </w:t>
      </w:r>
      <w:r w:rsidR="004838A8" w:rsidRPr="004838A8">
        <w:t>contraindicated or not tolerated</w:t>
      </w:r>
      <w:r w:rsidR="009A24AD">
        <w:t>,</w:t>
      </w:r>
      <w:r w:rsidRPr="005374D5">
        <w:t xml:space="preserve"> and who experienced one or more severe exacerbations in the previous year</w:t>
      </w:r>
      <w:r>
        <w:t>.</w:t>
      </w:r>
      <w:r w:rsidRPr="005374D5">
        <w:t xml:space="preserve"> </w:t>
      </w:r>
      <w:proofErr w:type="spellStart"/>
      <w:r>
        <w:t>Tiotropium</w:t>
      </w:r>
      <w:proofErr w:type="spellEnd"/>
      <w:r w:rsidRPr="005374D5">
        <w:t xml:space="preserve"> </w:t>
      </w:r>
      <w:r w:rsidR="0059329B">
        <w:t>2.</w:t>
      </w:r>
      <w:r w:rsidRPr="005374D5">
        <w:t>5 µg is a once daily (2 puffs of 2.5 µg) maint</w:t>
      </w:r>
      <w:r w:rsidR="00052158">
        <w:t>enance bronchodilator treatment.</w:t>
      </w:r>
    </w:p>
    <w:p w:rsidR="004E43B2" w:rsidRDefault="004E43B2" w:rsidP="00E61788">
      <w:pPr>
        <w:widowControl/>
      </w:pPr>
    </w:p>
    <w:p w:rsidR="00E53C7E" w:rsidRPr="00882085" w:rsidRDefault="00E53C7E" w:rsidP="00E61788">
      <w:pPr>
        <w:widowControl/>
      </w:pPr>
    </w:p>
    <w:p w:rsidR="00B50DB8" w:rsidRPr="00407F2D" w:rsidRDefault="00B50DB8" w:rsidP="00E61788">
      <w:pPr>
        <w:pStyle w:val="Heading2"/>
        <w:keepNext/>
        <w:widowControl/>
        <w:numPr>
          <w:ilvl w:val="0"/>
          <w:numId w:val="9"/>
        </w:numPr>
        <w:ind w:left="709" w:hanging="709"/>
      </w:pPr>
      <w:bookmarkStart w:id="3" w:name="_Toc419799903"/>
      <w:r w:rsidRPr="00407F2D">
        <w:t>Requested listing</w:t>
      </w:r>
      <w:bookmarkEnd w:id="3"/>
    </w:p>
    <w:p w:rsidR="00617E12" w:rsidRPr="007C609A" w:rsidRDefault="00617E12" w:rsidP="00E61788">
      <w:pPr>
        <w:keepNext/>
        <w:widowControl/>
      </w:pPr>
    </w:p>
    <w:p w:rsidR="009050DD" w:rsidRPr="00B738CB" w:rsidRDefault="009050DD" w:rsidP="00E61788">
      <w:pPr>
        <w:pStyle w:val="ListParagraph"/>
        <w:widowControl/>
        <w:numPr>
          <w:ilvl w:val="1"/>
          <w:numId w:val="9"/>
        </w:numPr>
        <w:rPr>
          <w:szCs w:val="22"/>
        </w:rPr>
      </w:pPr>
      <w:r w:rsidRPr="00B738CB">
        <w:rPr>
          <w:szCs w:val="22"/>
        </w:rPr>
        <w:t>Suggestions and additions proposed by the Secretariat to the requested listing are added in italics and suggested deletions are crossed out with strikethrough.</w:t>
      </w:r>
    </w:p>
    <w:p w:rsidR="009050DD" w:rsidRDefault="009050DD" w:rsidP="00E61788">
      <w:pPr>
        <w:widowControl/>
      </w:pPr>
    </w:p>
    <w:tbl>
      <w:tblPr>
        <w:tblW w:w="8280" w:type="dxa"/>
        <w:tblInd w:w="828" w:type="dxa"/>
        <w:tblLayout w:type="fixed"/>
        <w:tblLook w:val="0000" w:firstRow="0" w:lastRow="0" w:firstColumn="0" w:lastColumn="0" w:noHBand="0" w:noVBand="0"/>
      </w:tblPr>
      <w:tblGrid>
        <w:gridCol w:w="2115"/>
        <w:gridCol w:w="426"/>
        <w:gridCol w:w="567"/>
        <w:gridCol w:w="567"/>
        <w:gridCol w:w="1559"/>
        <w:gridCol w:w="1701"/>
        <w:gridCol w:w="1345"/>
      </w:tblGrid>
      <w:tr w:rsidR="009050DD" w:rsidRPr="00260CE3" w:rsidTr="009050DD">
        <w:trPr>
          <w:cantSplit/>
          <w:trHeight w:val="471"/>
        </w:trPr>
        <w:tc>
          <w:tcPr>
            <w:tcW w:w="2541" w:type="dxa"/>
            <w:gridSpan w:val="2"/>
            <w:tcBorders>
              <w:bottom w:val="single" w:sz="4" w:space="0" w:color="auto"/>
            </w:tcBorders>
          </w:tcPr>
          <w:p w:rsidR="009050DD" w:rsidRPr="00260CE3" w:rsidRDefault="009050DD" w:rsidP="00E61788">
            <w:pPr>
              <w:keepNext/>
              <w:widowControl/>
              <w:ind w:left="-108"/>
              <w:rPr>
                <w:rFonts w:ascii="Arial Narrow" w:hAnsi="Arial Narrow"/>
                <w:sz w:val="20"/>
              </w:rPr>
            </w:pPr>
            <w:r w:rsidRPr="00260CE3">
              <w:rPr>
                <w:rFonts w:ascii="Arial Narrow" w:hAnsi="Arial Narrow"/>
                <w:sz w:val="20"/>
              </w:rPr>
              <w:t>Name, Restriction,</w:t>
            </w:r>
          </w:p>
          <w:p w:rsidR="009050DD" w:rsidRPr="00260CE3" w:rsidRDefault="009050DD" w:rsidP="00E61788">
            <w:pPr>
              <w:keepNext/>
              <w:widowControl/>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9050DD" w:rsidRPr="00260CE3" w:rsidRDefault="009050DD" w:rsidP="00E61788">
            <w:pPr>
              <w:keepNext/>
              <w:widowControl/>
              <w:ind w:left="-108"/>
              <w:rPr>
                <w:rFonts w:ascii="Arial Narrow" w:hAnsi="Arial Narrow"/>
                <w:sz w:val="20"/>
              </w:rPr>
            </w:pPr>
            <w:r w:rsidRPr="00260CE3">
              <w:rPr>
                <w:rFonts w:ascii="Arial Narrow" w:hAnsi="Arial Narrow"/>
                <w:sz w:val="20"/>
              </w:rPr>
              <w:t>Max.</w:t>
            </w:r>
          </w:p>
          <w:p w:rsidR="009050DD" w:rsidRPr="00260CE3" w:rsidRDefault="009050DD" w:rsidP="00E61788">
            <w:pPr>
              <w:keepNext/>
              <w:widowControl/>
              <w:ind w:left="-108"/>
              <w:rPr>
                <w:rFonts w:ascii="Arial Narrow" w:hAnsi="Arial Narrow"/>
                <w:sz w:val="20"/>
              </w:rPr>
            </w:pPr>
            <w:proofErr w:type="spellStart"/>
            <w:r w:rsidRPr="00260CE3">
              <w:rPr>
                <w:rFonts w:ascii="Arial Narrow" w:hAnsi="Arial Narrow"/>
                <w:sz w:val="20"/>
              </w:rPr>
              <w:t>Qty</w:t>
            </w:r>
            <w:proofErr w:type="spellEnd"/>
          </w:p>
        </w:tc>
        <w:tc>
          <w:tcPr>
            <w:tcW w:w="567" w:type="dxa"/>
            <w:tcBorders>
              <w:bottom w:val="single" w:sz="4" w:space="0" w:color="auto"/>
            </w:tcBorders>
          </w:tcPr>
          <w:p w:rsidR="009050DD" w:rsidRPr="00260CE3" w:rsidRDefault="009050DD" w:rsidP="00E61788">
            <w:pPr>
              <w:keepNext/>
              <w:widowControl/>
              <w:ind w:left="-108"/>
              <w:rPr>
                <w:rFonts w:ascii="Arial Narrow" w:hAnsi="Arial Narrow"/>
                <w:sz w:val="20"/>
              </w:rPr>
            </w:pPr>
            <w:r w:rsidRPr="00260CE3">
              <w:rPr>
                <w:rFonts w:ascii="Arial Narrow" w:hAnsi="Arial Narrow"/>
                <w:sz w:val="20"/>
              </w:rPr>
              <w:t>№.of</w:t>
            </w:r>
          </w:p>
          <w:p w:rsidR="009050DD" w:rsidRPr="00260CE3" w:rsidRDefault="009050DD" w:rsidP="00E61788">
            <w:pPr>
              <w:keepNext/>
              <w:widowControl/>
              <w:ind w:left="-108"/>
              <w:rPr>
                <w:rFonts w:ascii="Arial Narrow" w:hAnsi="Arial Narrow"/>
                <w:sz w:val="20"/>
              </w:rPr>
            </w:pPr>
            <w:proofErr w:type="spellStart"/>
            <w:r w:rsidRPr="00260CE3">
              <w:rPr>
                <w:rFonts w:ascii="Arial Narrow" w:hAnsi="Arial Narrow"/>
                <w:sz w:val="20"/>
              </w:rPr>
              <w:t>Rpts</w:t>
            </w:r>
            <w:proofErr w:type="spellEnd"/>
          </w:p>
        </w:tc>
        <w:tc>
          <w:tcPr>
            <w:tcW w:w="1559" w:type="dxa"/>
            <w:tcBorders>
              <w:bottom w:val="single" w:sz="4" w:space="0" w:color="auto"/>
            </w:tcBorders>
          </w:tcPr>
          <w:p w:rsidR="009050DD" w:rsidRPr="00260CE3" w:rsidRDefault="009050DD" w:rsidP="00E61788">
            <w:pPr>
              <w:keepNext/>
              <w:widowControl/>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3046" w:type="dxa"/>
            <w:gridSpan w:val="2"/>
            <w:tcBorders>
              <w:bottom w:val="single" w:sz="4" w:space="0" w:color="auto"/>
            </w:tcBorders>
          </w:tcPr>
          <w:p w:rsidR="009050DD" w:rsidRPr="00260CE3" w:rsidRDefault="009050DD" w:rsidP="00E61788">
            <w:pPr>
              <w:keepNext/>
              <w:widowControl/>
              <w:rPr>
                <w:rFonts w:ascii="Arial Narrow" w:hAnsi="Arial Narrow"/>
                <w:sz w:val="20"/>
                <w:lang w:val="fr-FR"/>
              </w:rPr>
            </w:pPr>
            <w:r w:rsidRPr="00260CE3">
              <w:rPr>
                <w:rFonts w:ascii="Arial Narrow" w:hAnsi="Arial Narrow"/>
                <w:sz w:val="20"/>
              </w:rPr>
              <w:t>Proprietary Name and Manufacturer</w:t>
            </w:r>
          </w:p>
        </w:tc>
      </w:tr>
      <w:tr w:rsidR="009050DD" w:rsidRPr="00260CE3" w:rsidTr="009050DD">
        <w:trPr>
          <w:cantSplit/>
          <w:trHeight w:val="577"/>
        </w:trPr>
        <w:tc>
          <w:tcPr>
            <w:tcW w:w="2541" w:type="dxa"/>
            <w:gridSpan w:val="2"/>
          </w:tcPr>
          <w:p w:rsidR="009050DD" w:rsidRPr="00AE119F" w:rsidRDefault="009050DD" w:rsidP="00E61788">
            <w:pPr>
              <w:keepNext/>
              <w:widowControl/>
              <w:ind w:left="-108"/>
              <w:rPr>
                <w:rFonts w:ascii="Arial Narrow" w:hAnsi="Arial Narrow"/>
                <w:sz w:val="20"/>
                <w:lang w:val="sv-SE"/>
              </w:rPr>
            </w:pPr>
            <w:r w:rsidRPr="00AE119F">
              <w:rPr>
                <w:rFonts w:ascii="Arial Narrow" w:hAnsi="Arial Narrow"/>
                <w:smallCaps/>
                <w:sz w:val="20"/>
                <w:lang w:val="sv-SE"/>
              </w:rPr>
              <w:t>TIOTROPIUM</w:t>
            </w:r>
          </w:p>
          <w:p w:rsidR="009050DD" w:rsidRPr="00AE119F" w:rsidRDefault="009050DD" w:rsidP="00E61788">
            <w:pPr>
              <w:keepNext/>
              <w:widowControl/>
              <w:ind w:left="-108"/>
              <w:jc w:val="left"/>
              <w:rPr>
                <w:rFonts w:ascii="Arial Narrow" w:hAnsi="Arial Narrow"/>
                <w:sz w:val="20"/>
                <w:lang w:val="sv-SE"/>
              </w:rPr>
            </w:pPr>
            <w:r w:rsidRPr="00AE119F">
              <w:rPr>
                <w:rFonts w:ascii="Arial Narrow" w:hAnsi="Arial Narrow"/>
                <w:sz w:val="20"/>
                <w:lang w:val="sv-SE"/>
              </w:rPr>
              <w:t>tiotropium 2.5 microgram inhalation: solution for, 60 actuations</w:t>
            </w:r>
          </w:p>
        </w:tc>
        <w:tc>
          <w:tcPr>
            <w:tcW w:w="567" w:type="dxa"/>
          </w:tcPr>
          <w:p w:rsidR="009050DD" w:rsidRPr="00AE119F" w:rsidRDefault="009050DD" w:rsidP="00E61788">
            <w:pPr>
              <w:keepNext/>
              <w:widowControl/>
              <w:ind w:left="-108"/>
              <w:rPr>
                <w:rFonts w:ascii="Arial Narrow" w:hAnsi="Arial Narrow"/>
                <w:sz w:val="20"/>
                <w:lang w:val="sv-SE"/>
              </w:rPr>
            </w:pPr>
          </w:p>
          <w:p w:rsidR="009050DD" w:rsidRPr="00260CE3" w:rsidRDefault="009050DD" w:rsidP="00E61788">
            <w:pPr>
              <w:keepNext/>
              <w:widowControl/>
              <w:ind w:left="-108"/>
              <w:rPr>
                <w:rFonts w:ascii="Arial Narrow" w:hAnsi="Arial Narrow"/>
                <w:sz w:val="20"/>
              </w:rPr>
            </w:pPr>
            <w:r>
              <w:rPr>
                <w:rFonts w:ascii="Arial Narrow" w:hAnsi="Arial Narrow"/>
                <w:sz w:val="20"/>
              </w:rPr>
              <w:t>1</w:t>
            </w:r>
          </w:p>
        </w:tc>
        <w:tc>
          <w:tcPr>
            <w:tcW w:w="567" w:type="dxa"/>
          </w:tcPr>
          <w:p w:rsidR="009050DD" w:rsidRPr="00260CE3" w:rsidRDefault="009050DD" w:rsidP="00E61788">
            <w:pPr>
              <w:keepNext/>
              <w:widowControl/>
              <w:ind w:left="-108"/>
              <w:rPr>
                <w:rFonts w:ascii="Arial Narrow" w:hAnsi="Arial Narrow"/>
                <w:sz w:val="20"/>
              </w:rPr>
            </w:pPr>
          </w:p>
          <w:p w:rsidR="009050DD" w:rsidRPr="00260CE3" w:rsidRDefault="009050DD" w:rsidP="00E61788">
            <w:pPr>
              <w:keepNext/>
              <w:widowControl/>
              <w:ind w:left="-108"/>
              <w:rPr>
                <w:rFonts w:ascii="Arial Narrow" w:hAnsi="Arial Narrow"/>
                <w:sz w:val="20"/>
              </w:rPr>
            </w:pPr>
            <w:r>
              <w:rPr>
                <w:rFonts w:ascii="Arial Narrow" w:hAnsi="Arial Narrow"/>
                <w:sz w:val="20"/>
              </w:rPr>
              <w:t>5</w:t>
            </w:r>
          </w:p>
        </w:tc>
        <w:tc>
          <w:tcPr>
            <w:tcW w:w="1559" w:type="dxa"/>
          </w:tcPr>
          <w:p w:rsidR="009050DD" w:rsidRPr="00260CE3" w:rsidRDefault="009050DD" w:rsidP="00E61788">
            <w:pPr>
              <w:keepNext/>
              <w:widowControl/>
              <w:ind w:left="-108"/>
              <w:rPr>
                <w:rFonts w:ascii="Arial Narrow" w:hAnsi="Arial Narrow"/>
                <w:sz w:val="20"/>
              </w:rPr>
            </w:pPr>
          </w:p>
          <w:p w:rsidR="009050DD" w:rsidRPr="00260CE3" w:rsidRDefault="009050DD" w:rsidP="00E61788">
            <w:pPr>
              <w:keepNext/>
              <w:widowControl/>
              <w:ind w:left="-108"/>
              <w:rPr>
                <w:rFonts w:ascii="Arial Narrow" w:hAnsi="Arial Narrow"/>
                <w:sz w:val="20"/>
              </w:rPr>
            </w:pPr>
            <w:r w:rsidRPr="00260CE3">
              <w:rPr>
                <w:rFonts w:ascii="Arial Narrow" w:hAnsi="Arial Narrow"/>
                <w:sz w:val="20"/>
              </w:rPr>
              <w:t>$</w:t>
            </w:r>
            <w:r w:rsidR="00504B1C">
              <w:rPr>
                <w:rFonts w:ascii="Arial Narrow" w:hAnsi="Arial Narrow"/>
                <w:noProof/>
                <w:color w:val="000000"/>
                <w:sz w:val="20"/>
                <w:highlight w:val="black"/>
              </w:rPr>
              <w:t>''''''''''''''</w:t>
            </w:r>
          </w:p>
        </w:tc>
        <w:tc>
          <w:tcPr>
            <w:tcW w:w="1701" w:type="dxa"/>
          </w:tcPr>
          <w:p w:rsidR="009050DD" w:rsidRPr="00260CE3" w:rsidRDefault="009050DD" w:rsidP="00E61788">
            <w:pPr>
              <w:keepNext/>
              <w:widowControl/>
              <w:rPr>
                <w:rFonts w:ascii="Arial Narrow" w:hAnsi="Arial Narrow"/>
                <w:sz w:val="20"/>
              </w:rPr>
            </w:pPr>
            <w:r>
              <w:rPr>
                <w:rFonts w:ascii="Arial Narrow" w:hAnsi="Arial Narrow"/>
                <w:sz w:val="20"/>
              </w:rPr>
              <w:t>Spiriva</w:t>
            </w:r>
            <w:r w:rsidRPr="000A7011">
              <w:rPr>
                <w:rFonts w:ascii="Arial Narrow" w:hAnsi="Arial Narrow"/>
                <w:sz w:val="20"/>
                <w:vertAlign w:val="superscript"/>
              </w:rPr>
              <w:t>®</w:t>
            </w:r>
            <w:r>
              <w:rPr>
                <w:rFonts w:ascii="Arial Narrow" w:hAnsi="Arial Narrow"/>
                <w:sz w:val="20"/>
              </w:rPr>
              <w:t xml:space="preserve"> </w:t>
            </w:r>
            <w:proofErr w:type="spellStart"/>
            <w:r>
              <w:rPr>
                <w:rFonts w:ascii="Arial Narrow" w:hAnsi="Arial Narrow"/>
                <w:sz w:val="20"/>
              </w:rPr>
              <w:t>Respimat</w:t>
            </w:r>
            <w:proofErr w:type="spellEnd"/>
            <w:r w:rsidRPr="000A7011">
              <w:rPr>
                <w:rFonts w:ascii="Arial Narrow" w:hAnsi="Arial Narrow"/>
                <w:sz w:val="20"/>
                <w:vertAlign w:val="superscript"/>
              </w:rPr>
              <w:t>®</w:t>
            </w:r>
          </w:p>
        </w:tc>
        <w:tc>
          <w:tcPr>
            <w:tcW w:w="1345" w:type="dxa"/>
          </w:tcPr>
          <w:p w:rsidR="009050DD" w:rsidRPr="00260CE3" w:rsidRDefault="009050DD" w:rsidP="00E61788">
            <w:pPr>
              <w:keepNext/>
              <w:widowControl/>
              <w:rPr>
                <w:rFonts w:ascii="Arial Narrow" w:hAnsi="Arial Narrow"/>
                <w:sz w:val="20"/>
              </w:rPr>
            </w:pPr>
            <w:proofErr w:type="spellStart"/>
            <w:r>
              <w:rPr>
                <w:rFonts w:ascii="Arial Narrow" w:hAnsi="Arial Narrow"/>
                <w:sz w:val="20"/>
              </w:rPr>
              <w:t>Boehringer</w:t>
            </w:r>
            <w:proofErr w:type="spellEnd"/>
            <w:r>
              <w:rPr>
                <w:rFonts w:ascii="Arial Narrow" w:hAnsi="Arial Narrow"/>
                <w:sz w:val="20"/>
              </w:rPr>
              <w:t xml:space="preserve"> </w:t>
            </w:r>
            <w:proofErr w:type="spellStart"/>
            <w:r>
              <w:rPr>
                <w:rFonts w:ascii="Arial Narrow" w:hAnsi="Arial Narrow"/>
                <w:sz w:val="20"/>
              </w:rPr>
              <w:t>Ingelheim</w:t>
            </w:r>
            <w:proofErr w:type="spellEnd"/>
          </w:p>
        </w:tc>
      </w:tr>
      <w:tr w:rsidR="009050DD" w:rsidRPr="00260CE3" w:rsidTr="009050DD">
        <w:trPr>
          <w:cantSplit/>
          <w:trHeight w:val="360"/>
        </w:trPr>
        <w:tc>
          <w:tcPr>
            <w:tcW w:w="8280" w:type="dxa"/>
            <w:gridSpan w:val="7"/>
            <w:tcBorders>
              <w:bottom w:val="single" w:sz="4" w:space="0" w:color="auto"/>
            </w:tcBorders>
          </w:tcPr>
          <w:p w:rsidR="009050DD" w:rsidRPr="00260CE3" w:rsidRDefault="009050DD" w:rsidP="00E61788">
            <w:pPr>
              <w:widowControl/>
              <w:rPr>
                <w:rFonts w:ascii="Arial Narrow" w:hAnsi="Arial Narrow"/>
                <w:sz w:val="20"/>
              </w:rPr>
            </w:pPr>
          </w:p>
        </w:tc>
      </w:tr>
      <w:tr w:rsidR="009050DD" w:rsidRPr="00260CE3" w:rsidTr="009050DD">
        <w:trPr>
          <w:cantSplit/>
          <w:trHeight w:val="360"/>
        </w:trPr>
        <w:tc>
          <w:tcPr>
            <w:tcW w:w="2115" w:type="dxa"/>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b/>
                <w:sz w:val="20"/>
              </w:rPr>
            </w:pPr>
            <w:r w:rsidRPr="00260CE3">
              <w:rPr>
                <w:rFonts w:ascii="Arial Narrow" w:hAnsi="Arial Narrow"/>
                <w:b/>
                <w:sz w:val="20"/>
              </w:rPr>
              <w:t>Category / Program</w:t>
            </w:r>
          </w:p>
        </w:tc>
        <w:tc>
          <w:tcPr>
            <w:tcW w:w="6165" w:type="dxa"/>
            <w:gridSpan w:val="6"/>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sz w:val="20"/>
              </w:rPr>
            </w:pPr>
            <w:r w:rsidRPr="00260CE3">
              <w:rPr>
                <w:rFonts w:ascii="Arial Narrow" w:hAnsi="Arial Narrow"/>
                <w:sz w:val="20"/>
              </w:rPr>
              <w:t>GENERAL – General Schedule (Code GE)</w:t>
            </w:r>
          </w:p>
          <w:p w:rsidR="009050DD" w:rsidRPr="00260CE3" w:rsidRDefault="009050DD" w:rsidP="00E61788">
            <w:pPr>
              <w:widowControl/>
              <w:rPr>
                <w:rFonts w:ascii="Arial Narrow" w:hAnsi="Arial Narrow"/>
                <w:sz w:val="20"/>
              </w:rPr>
            </w:pPr>
          </w:p>
        </w:tc>
      </w:tr>
      <w:tr w:rsidR="009050DD" w:rsidRPr="00260CE3" w:rsidTr="009050DD">
        <w:trPr>
          <w:cantSplit/>
          <w:trHeight w:val="360"/>
        </w:trPr>
        <w:tc>
          <w:tcPr>
            <w:tcW w:w="2115" w:type="dxa"/>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b/>
                <w:sz w:val="20"/>
              </w:rPr>
            </w:pPr>
            <w:r w:rsidRPr="00260CE3">
              <w:rPr>
                <w:rFonts w:ascii="Arial Narrow" w:hAnsi="Arial Narrow"/>
                <w:b/>
                <w:sz w:val="20"/>
              </w:rPr>
              <w:t>Prescriber type:</w:t>
            </w:r>
          </w:p>
        </w:tc>
        <w:tc>
          <w:tcPr>
            <w:tcW w:w="6165" w:type="dxa"/>
            <w:gridSpan w:val="6"/>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04B1C">
              <w:rPr>
                <w:rFonts w:ascii="Arial Narrow" w:hAnsi="Arial Narrow"/>
                <w:sz w:val="20"/>
              </w:rPr>
            </w:r>
            <w:r w:rsidR="00504B1C">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04B1C">
              <w:rPr>
                <w:rFonts w:ascii="Arial Narrow" w:hAnsi="Arial Narrow"/>
                <w:sz w:val="20"/>
              </w:rPr>
            </w:r>
            <w:r w:rsidR="00504B1C">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4" w:name="Check3"/>
            <w:r>
              <w:rPr>
                <w:rFonts w:ascii="Arial Narrow" w:hAnsi="Arial Narrow"/>
                <w:sz w:val="20"/>
              </w:rPr>
              <w:instrText xml:space="preserve"> FORMCHECKBOX </w:instrText>
            </w:r>
            <w:r w:rsidR="00504B1C">
              <w:rPr>
                <w:rFonts w:ascii="Arial Narrow" w:hAnsi="Arial Narrow"/>
                <w:sz w:val="20"/>
              </w:rPr>
            </w:r>
            <w:r w:rsidR="00504B1C">
              <w:rPr>
                <w:rFonts w:ascii="Arial Narrow" w:hAnsi="Arial Narrow"/>
                <w:sz w:val="20"/>
              </w:rPr>
              <w:fldChar w:fldCharType="separate"/>
            </w:r>
            <w:r>
              <w:rPr>
                <w:rFonts w:ascii="Arial Narrow" w:hAnsi="Arial Narrow"/>
                <w:sz w:val="20"/>
              </w:rPr>
              <w:fldChar w:fldCharType="end"/>
            </w:r>
            <w:bookmarkEnd w:id="4"/>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04B1C">
              <w:rPr>
                <w:rFonts w:ascii="Arial Narrow" w:hAnsi="Arial Narrow"/>
                <w:sz w:val="20"/>
              </w:rPr>
            </w:r>
            <w:r w:rsidR="00504B1C">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9050DD" w:rsidRPr="00260CE3" w:rsidRDefault="009050DD" w:rsidP="00E61788">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04B1C">
              <w:rPr>
                <w:rFonts w:ascii="Arial Narrow" w:hAnsi="Arial Narrow"/>
                <w:sz w:val="20"/>
              </w:rPr>
            </w:r>
            <w:r w:rsidR="00504B1C">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9050DD" w:rsidRPr="00260CE3" w:rsidTr="009050DD">
        <w:trPr>
          <w:cantSplit/>
          <w:trHeight w:val="360"/>
        </w:trPr>
        <w:tc>
          <w:tcPr>
            <w:tcW w:w="2115" w:type="dxa"/>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b/>
                <w:sz w:val="20"/>
              </w:rPr>
            </w:pPr>
            <w:r w:rsidRPr="00260CE3">
              <w:rPr>
                <w:rFonts w:ascii="Arial Narrow" w:hAnsi="Arial Narrow"/>
                <w:b/>
                <w:sz w:val="20"/>
              </w:rPr>
              <w:t>Severity:</w:t>
            </w:r>
          </w:p>
        </w:tc>
        <w:tc>
          <w:tcPr>
            <w:tcW w:w="6165" w:type="dxa"/>
            <w:gridSpan w:val="6"/>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sz w:val="20"/>
              </w:rPr>
            </w:pPr>
            <w:r>
              <w:rPr>
                <w:rFonts w:ascii="Arial Narrow" w:hAnsi="Arial Narrow"/>
                <w:sz w:val="20"/>
              </w:rPr>
              <w:t>Severe</w:t>
            </w:r>
          </w:p>
        </w:tc>
      </w:tr>
      <w:tr w:rsidR="009050DD" w:rsidRPr="00260CE3" w:rsidTr="009050DD">
        <w:trPr>
          <w:cantSplit/>
          <w:trHeight w:val="360"/>
        </w:trPr>
        <w:tc>
          <w:tcPr>
            <w:tcW w:w="2115" w:type="dxa"/>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b/>
                <w:sz w:val="20"/>
              </w:rPr>
            </w:pPr>
            <w:r w:rsidRPr="00260CE3">
              <w:rPr>
                <w:rFonts w:ascii="Arial Narrow" w:hAnsi="Arial Narrow"/>
                <w:b/>
                <w:sz w:val="20"/>
              </w:rPr>
              <w:t>Condition:</w:t>
            </w:r>
          </w:p>
        </w:tc>
        <w:tc>
          <w:tcPr>
            <w:tcW w:w="6165" w:type="dxa"/>
            <w:gridSpan w:val="6"/>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sz w:val="20"/>
              </w:rPr>
            </w:pPr>
            <w:r>
              <w:rPr>
                <w:rFonts w:ascii="Arial Narrow" w:hAnsi="Arial Narrow"/>
                <w:sz w:val="20"/>
              </w:rPr>
              <w:t>Asthma</w:t>
            </w:r>
          </w:p>
        </w:tc>
      </w:tr>
      <w:tr w:rsidR="009050DD" w:rsidRPr="00260CE3" w:rsidTr="009050DD">
        <w:trPr>
          <w:cantSplit/>
          <w:trHeight w:val="360"/>
        </w:trPr>
        <w:tc>
          <w:tcPr>
            <w:tcW w:w="2115" w:type="dxa"/>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b/>
                <w:sz w:val="20"/>
              </w:rPr>
            </w:pPr>
            <w:r w:rsidRPr="00260CE3">
              <w:rPr>
                <w:rFonts w:ascii="Arial Narrow" w:hAnsi="Arial Narrow"/>
                <w:b/>
                <w:sz w:val="20"/>
              </w:rPr>
              <w:t>PBS Indication:</w:t>
            </w:r>
          </w:p>
        </w:tc>
        <w:tc>
          <w:tcPr>
            <w:tcW w:w="6165" w:type="dxa"/>
            <w:gridSpan w:val="6"/>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sz w:val="20"/>
              </w:rPr>
            </w:pPr>
            <w:r>
              <w:rPr>
                <w:rFonts w:ascii="Arial Narrow" w:hAnsi="Arial Narrow"/>
                <w:sz w:val="20"/>
              </w:rPr>
              <w:t>Severe asthma</w:t>
            </w:r>
          </w:p>
        </w:tc>
      </w:tr>
      <w:tr w:rsidR="009050DD" w:rsidRPr="00260CE3" w:rsidTr="009050DD">
        <w:trPr>
          <w:cantSplit/>
          <w:trHeight w:val="360"/>
        </w:trPr>
        <w:tc>
          <w:tcPr>
            <w:tcW w:w="2115" w:type="dxa"/>
            <w:tcBorders>
              <w:top w:val="single" w:sz="4" w:space="0" w:color="auto"/>
              <w:left w:val="single" w:sz="4" w:space="0" w:color="auto"/>
              <w:bottom w:val="single" w:sz="4" w:space="0" w:color="auto"/>
              <w:right w:val="single" w:sz="4" w:space="0" w:color="auto"/>
            </w:tcBorders>
          </w:tcPr>
          <w:p w:rsidR="009050DD" w:rsidRPr="00FB6F2B" w:rsidRDefault="009050DD" w:rsidP="00E61788">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165" w:type="dxa"/>
            <w:gridSpan w:val="6"/>
            <w:tcBorders>
              <w:top w:val="single" w:sz="4" w:space="0" w:color="auto"/>
              <w:left w:val="single" w:sz="4" w:space="0" w:color="auto"/>
              <w:bottom w:val="single" w:sz="4" w:space="0" w:color="auto"/>
              <w:right w:val="single" w:sz="4" w:space="0" w:color="auto"/>
            </w:tcBorders>
          </w:tcPr>
          <w:p w:rsidR="009050DD" w:rsidRPr="00106BCF" w:rsidRDefault="009050DD" w:rsidP="00E61788">
            <w:pPr>
              <w:widowControl/>
              <w:rPr>
                <w:rFonts w:ascii="Arial Narrow" w:hAnsi="Arial Narrow"/>
                <w:sz w:val="20"/>
              </w:rPr>
            </w:pPr>
            <w:r>
              <w:rPr>
                <w:rFonts w:ascii="Arial Narrow" w:hAnsi="Arial Narrow"/>
                <w:sz w:val="20"/>
              </w:rPr>
              <w:fldChar w:fldCharType="begin">
                <w:ffData>
                  <w:name w:val="Check1"/>
                  <w:enabled/>
                  <w:calcOnExit w:val="0"/>
                  <w:checkBox>
                    <w:sizeAuto/>
                    <w:default w:val="1"/>
                  </w:checkBox>
                </w:ffData>
              </w:fldChar>
            </w:r>
            <w:bookmarkStart w:id="5" w:name="Check1"/>
            <w:r>
              <w:rPr>
                <w:rFonts w:ascii="Arial Narrow" w:hAnsi="Arial Narrow"/>
                <w:sz w:val="20"/>
              </w:rPr>
              <w:instrText xml:space="preserve"> FORMCHECKBOX </w:instrText>
            </w:r>
            <w:r w:rsidR="00504B1C">
              <w:rPr>
                <w:rFonts w:ascii="Arial Narrow" w:hAnsi="Arial Narrow"/>
                <w:sz w:val="20"/>
              </w:rPr>
            </w:r>
            <w:r w:rsidR="00504B1C">
              <w:rPr>
                <w:rFonts w:ascii="Arial Narrow" w:hAnsi="Arial Narrow"/>
                <w:sz w:val="20"/>
              </w:rPr>
              <w:fldChar w:fldCharType="separate"/>
            </w:r>
            <w:r>
              <w:rPr>
                <w:rFonts w:ascii="Arial Narrow" w:hAnsi="Arial Narrow"/>
                <w:sz w:val="20"/>
              </w:rPr>
              <w:fldChar w:fldCharType="end"/>
            </w:r>
            <w:bookmarkEnd w:id="5"/>
            <w:r w:rsidRPr="00106BCF">
              <w:rPr>
                <w:rFonts w:ascii="Arial Narrow" w:hAnsi="Arial Narrow"/>
                <w:sz w:val="20"/>
              </w:rPr>
              <w:t>Restricted benefit</w:t>
            </w:r>
          </w:p>
          <w:p w:rsidR="009050DD" w:rsidRPr="00106BCF" w:rsidRDefault="009050DD" w:rsidP="00E61788">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04B1C">
              <w:rPr>
                <w:rFonts w:ascii="Arial Narrow" w:hAnsi="Arial Narrow"/>
                <w:sz w:val="20"/>
              </w:rPr>
            </w:r>
            <w:r w:rsidR="00504B1C">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9050DD" w:rsidRPr="00106BCF" w:rsidRDefault="009050DD" w:rsidP="00E61788">
            <w:pPr>
              <w:widowControl/>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504B1C">
              <w:rPr>
                <w:rFonts w:ascii="Arial Narrow" w:hAnsi="Arial Narrow"/>
                <w:sz w:val="20"/>
              </w:rPr>
            </w:r>
            <w:r w:rsidR="00504B1C">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9050DD" w:rsidRPr="00106BCF" w:rsidRDefault="009050DD" w:rsidP="00E61788">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04B1C">
              <w:rPr>
                <w:rFonts w:ascii="Arial Narrow" w:hAnsi="Arial Narrow"/>
                <w:sz w:val="20"/>
              </w:rPr>
            </w:r>
            <w:r w:rsidR="00504B1C">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9050DD" w:rsidRPr="00106BCF" w:rsidRDefault="009050DD" w:rsidP="00E61788">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04B1C">
              <w:rPr>
                <w:rFonts w:ascii="Arial Narrow" w:hAnsi="Arial Narrow"/>
                <w:sz w:val="20"/>
              </w:rPr>
            </w:r>
            <w:r w:rsidR="00504B1C">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9050DD" w:rsidRPr="00260CE3" w:rsidRDefault="009050DD" w:rsidP="00E61788">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04B1C">
              <w:rPr>
                <w:rFonts w:ascii="Arial Narrow" w:hAnsi="Arial Narrow"/>
                <w:sz w:val="20"/>
              </w:rPr>
            </w:r>
            <w:r w:rsidR="00504B1C">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9050DD" w:rsidRPr="00260CE3" w:rsidTr="009050DD">
        <w:trPr>
          <w:cantSplit/>
          <w:trHeight w:val="3084"/>
        </w:trPr>
        <w:tc>
          <w:tcPr>
            <w:tcW w:w="2115" w:type="dxa"/>
            <w:tcBorders>
              <w:top w:val="single" w:sz="4" w:space="0" w:color="auto"/>
              <w:left w:val="single" w:sz="4" w:space="0" w:color="auto"/>
              <w:bottom w:val="single" w:sz="4" w:space="0" w:color="auto"/>
              <w:right w:val="single" w:sz="4" w:space="0" w:color="auto"/>
            </w:tcBorders>
          </w:tcPr>
          <w:p w:rsidR="009050DD" w:rsidRPr="00166366" w:rsidRDefault="009050DD" w:rsidP="00E61788">
            <w:pPr>
              <w:widowControl/>
              <w:rPr>
                <w:rFonts w:ascii="Arial Narrow" w:hAnsi="Arial Narrow"/>
                <w:b/>
                <w:sz w:val="20"/>
              </w:rPr>
            </w:pPr>
            <w:r w:rsidRPr="00260CE3">
              <w:rPr>
                <w:rFonts w:ascii="Arial Narrow" w:hAnsi="Arial Narrow"/>
                <w:b/>
                <w:sz w:val="20"/>
              </w:rPr>
              <w:lastRenderedPageBreak/>
              <w:t>Clinical criteria:</w:t>
            </w:r>
          </w:p>
        </w:tc>
        <w:tc>
          <w:tcPr>
            <w:tcW w:w="6165" w:type="dxa"/>
            <w:gridSpan w:val="6"/>
            <w:tcBorders>
              <w:top w:val="single" w:sz="4" w:space="0" w:color="auto"/>
              <w:left w:val="single" w:sz="4" w:space="0" w:color="auto"/>
              <w:bottom w:val="single" w:sz="4" w:space="0" w:color="auto"/>
              <w:right w:val="single" w:sz="4" w:space="0" w:color="auto"/>
            </w:tcBorders>
          </w:tcPr>
          <w:p w:rsidR="009050DD" w:rsidRDefault="009050DD" w:rsidP="00E61788">
            <w:pPr>
              <w:widowControl/>
              <w:rPr>
                <w:rFonts w:ascii="Arial Narrow" w:hAnsi="Arial Narrow"/>
                <w:sz w:val="20"/>
              </w:rPr>
            </w:pPr>
            <w:r w:rsidRPr="00622026">
              <w:rPr>
                <w:rFonts w:ascii="Arial Narrow" w:hAnsi="Arial Narrow"/>
                <w:sz w:val="20"/>
              </w:rPr>
              <w:t>Patient must have experienced at least one</w:t>
            </w:r>
            <w:r>
              <w:rPr>
                <w:rFonts w:ascii="Arial Narrow" w:hAnsi="Arial Narrow"/>
                <w:sz w:val="20"/>
              </w:rPr>
              <w:t xml:space="preserve"> </w:t>
            </w:r>
            <w:r>
              <w:rPr>
                <w:rFonts w:ascii="Arial Narrow" w:hAnsi="Arial Narrow"/>
                <w:i/>
                <w:sz w:val="20"/>
              </w:rPr>
              <w:t>severe</w:t>
            </w:r>
            <w:r w:rsidRPr="00622026">
              <w:rPr>
                <w:rFonts w:ascii="Arial Narrow" w:hAnsi="Arial Narrow"/>
                <w:sz w:val="20"/>
              </w:rPr>
              <w:t xml:space="preserve"> exacerbation in the previous </w:t>
            </w:r>
            <w:r w:rsidRPr="00B47EE9">
              <w:rPr>
                <w:rFonts w:ascii="Arial Narrow" w:hAnsi="Arial Narrow"/>
                <w:strike/>
                <w:sz w:val="20"/>
              </w:rPr>
              <w:t>year</w:t>
            </w:r>
            <w:r>
              <w:rPr>
                <w:rFonts w:ascii="Arial Narrow" w:hAnsi="Arial Narrow"/>
                <w:sz w:val="20"/>
              </w:rPr>
              <w:t xml:space="preserve"> </w:t>
            </w:r>
            <w:r>
              <w:rPr>
                <w:rFonts w:ascii="Arial Narrow" w:hAnsi="Arial Narrow"/>
                <w:i/>
                <w:sz w:val="20"/>
              </w:rPr>
              <w:t>12 months</w:t>
            </w:r>
            <w:r w:rsidRPr="00622026">
              <w:rPr>
                <w:rFonts w:ascii="Arial Narrow" w:hAnsi="Arial Narrow"/>
                <w:sz w:val="20"/>
              </w:rPr>
              <w:t xml:space="preserve"> while receiving optimised asthma therapy, despite formal assessment of and adherence to correct inhaler technique</w:t>
            </w:r>
            <w:r>
              <w:rPr>
                <w:rFonts w:ascii="Arial Narrow" w:hAnsi="Arial Narrow"/>
                <w:i/>
                <w:sz w:val="20"/>
              </w:rPr>
              <w:t>, which has been documented</w:t>
            </w:r>
            <w:r w:rsidRPr="00622026">
              <w:rPr>
                <w:rFonts w:ascii="Arial Narrow" w:hAnsi="Arial Narrow"/>
                <w:sz w:val="20"/>
              </w:rPr>
              <w:t>.</w:t>
            </w:r>
          </w:p>
          <w:p w:rsidR="009050DD" w:rsidRDefault="009050DD" w:rsidP="00E61788">
            <w:pPr>
              <w:widowControl/>
              <w:rPr>
                <w:rFonts w:ascii="Arial Narrow" w:hAnsi="Arial Narrow"/>
                <w:sz w:val="20"/>
              </w:rPr>
            </w:pPr>
          </w:p>
          <w:p w:rsidR="009050DD" w:rsidRDefault="009050DD" w:rsidP="00E61788">
            <w:pPr>
              <w:widowControl/>
              <w:rPr>
                <w:rFonts w:ascii="Arial Narrow" w:hAnsi="Arial Narrow"/>
                <w:sz w:val="20"/>
              </w:rPr>
            </w:pPr>
            <w:r>
              <w:rPr>
                <w:rFonts w:ascii="Arial Narrow" w:hAnsi="Arial Narrow"/>
                <w:sz w:val="20"/>
              </w:rPr>
              <w:t>AND</w:t>
            </w:r>
          </w:p>
          <w:p w:rsidR="009050DD" w:rsidRDefault="009050DD" w:rsidP="00E61788">
            <w:pPr>
              <w:widowControl/>
              <w:rPr>
                <w:rFonts w:ascii="Arial Narrow" w:hAnsi="Arial Narrow"/>
                <w:sz w:val="20"/>
              </w:rPr>
            </w:pPr>
          </w:p>
          <w:p w:rsidR="009050DD" w:rsidRPr="00B47EE9" w:rsidRDefault="009050DD" w:rsidP="00E61788">
            <w:pPr>
              <w:widowControl/>
              <w:rPr>
                <w:rFonts w:ascii="Arial Narrow" w:hAnsi="Arial Narrow"/>
                <w:i/>
                <w:sz w:val="20"/>
              </w:rPr>
            </w:pPr>
            <w:r>
              <w:rPr>
                <w:rFonts w:ascii="Arial Narrow" w:hAnsi="Arial Narrow"/>
                <w:i/>
                <w:sz w:val="20"/>
              </w:rPr>
              <w:t>The treatment must be used in combination with a maintenance combination of an inhaled corticosteroid and a long acting beta-2 agonist.</w:t>
            </w:r>
          </w:p>
          <w:p w:rsidR="009050DD" w:rsidRPr="00260CE3" w:rsidRDefault="009050DD" w:rsidP="00E61788">
            <w:pPr>
              <w:widowControl/>
              <w:rPr>
                <w:rFonts w:ascii="Arial Narrow" w:hAnsi="Arial Narrow"/>
                <w:sz w:val="20"/>
              </w:rPr>
            </w:pPr>
          </w:p>
          <w:p w:rsidR="009050DD" w:rsidRPr="00817829" w:rsidRDefault="009050DD" w:rsidP="00E61788">
            <w:pPr>
              <w:widowControl/>
              <w:rPr>
                <w:rFonts w:ascii="Arial Narrow" w:hAnsi="Arial Narrow"/>
                <w:strike/>
                <w:sz w:val="20"/>
              </w:rPr>
            </w:pPr>
            <w:r w:rsidRPr="00FB6F2B">
              <w:rPr>
                <w:rFonts w:ascii="Arial Narrow" w:hAnsi="Arial Narrow"/>
                <w:strike/>
                <w:sz w:val="20"/>
              </w:rPr>
              <w:t>Optimised asthma therapy must include at least, adherence to recommended doses of inhaled corticosteroids and long-acting beta-2 agonist therapy, unless contraindicated or not tolerated.</w:t>
            </w:r>
          </w:p>
        </w:tc>
      </w:tr>
      <w:tr w:rsidR="009050DD" w:rsidRPr="00260CE3" w:rsidTr="009050DD">
        <w:trPr>
          <w:cantSplit/>
          <w:trHeight w:val="360"/>
        </w:trPr>
        <w:tc>
          <w:tcPr>
            <w:tcW w:w="2115" w:type="dxa"/>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b/>
                <w:sz w:val="20"/>
              </w:rPr>
            </w:pPr>
            <w:r w:rsidRPr="00260CE3">
              <w:rPr>
                <w:rFonts w:ascii="Arial Narrow" w:hAnsi="Arial Narrow"/>
                <w:b/>
                <w:sz w:val="20"/>
              </w:rPr>
              <w:t>Population criteria:</w:t>
            </w:r>
          </w:p>
          <w:p w:rsidR="009050DD" w:rsidRPr="00260CE3" w:rsidRDefault="009050DD" w:rsidP="00E61788">
            <w:pPr>
              <w:widowControl/>
              <w:rPr>
                <w:rFonts w:ascii="Arial Narrow" w:hAnsi="Arial Narrow"/>
                <w:sz w:val="20"/>
              </w:rPr>
            </w:pPr>
          </w:p>
        </w:tc>
        <w:tc>
          <w:tcPr>
            <w:tcW w:w="6165" w:type="dxa"/>
            <w:gridSpan w:val="6"/>
            <w:tcBorders>
              <w:top w:val="single" w:sz="4" w:space="0" w:color="auto"/>
              <w:left w:val="single" w:sz="4" w:space="0" w:color="auto"/>
              <w:bottom w:val="single" w:sz="4" w:space="0" w:color="auto"/>
              <w:right w:val="single" w:sz="4" w:space="0" w:color="auto"/>
            </w:tcBorders>
          </w:tcPr>
          <w:p w:rsidR="009050DD" w:rsidRPr="00986900" w:rsidRDefault="009050DD" w:rsidP="00E61788">
            <w:pPr>
              <w:widowControl/>
              <w:rPr>
                <w:rFonts w:ascii="Arial Narrow" w:hAnsi="Arial Narrow"/>
                <w:strike/>
                <w:sz w:val="20"/>
              </w:rPr>
            </w:pPr>
            <w:r w:rsidRPr="00986900">
              <w:rPr>
                <w:rFonts w:ascii="Arial Narrow" w:hAnsi="Arial Narrow"/>
                <w:strike/>
                <w:sz w:val="20"/>
              </w:rPr>
              <w:t>Patient must be aged 18 years or older.</w:t>
            </w:r>
          </w:p>
        </w:tc>
      </w:tr>
      <w:tr w:rsidR="009050DD" w:rsidRPr="00260CE3" w:rsidTr="009050DD">
        <w:trPr>
          <w:cantSplit/>
          <w:trHeight w:val="1474"/>
        </w:trPr>
        <w:tc>
          <w:tcPr>
            <w:tcW w:w="2115" w:type="dxa"/>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b/>
                <w:sz w:val="20"/>
              </w:rPr>
            </w:pPr>
            <w:r w:rsidRPr="00260CE3">
              <w:rPr>
                <w:rFonts w:ascii="Arial Narrow" w:hAnsi="Arial Narrow"/>
                <w:b/>
                <w:sz w:val="20"/>
              </w:rPr>
              <w:t>Prescriber Instructions</w:t>
            </w:r>
          </w:p>
          <w:p w:rsidR="009050DD" w:rsidRPr="00260CE3" w:rsidRDefault="009050DD" w:rsidP="00E61788">
            <w:pPr>
              <w:widowControl/>
              <w:rPr>
                <w:rFonts w:ascii="Arial Narrow" w:hAnsi="Arial Narrow"/>
                <w:i/>
                <w:sz w:val="20"/>
              </w:rPr>
            </w:pPr>
          </w:p>
          <w:p w:rsidR="009050DD" w:rsidRPr="00260CE3" w:rsidRDefault="009050DD" w:rsidP="00E61788">
            <w:pPr>
              <w:widowControl/>
              <w:rPr>
                <w:rFonts w:ascii="Arial Narrow" w:hAnsi="Arial Narrow"/>
                <w:sz w:val="20"/>
              </w:rPr>
            </w:pPr>
          </w:p>
        </w:tc>
        <w:tc>
          <w:tcPr>
            <w:tcW w:w="6165" w:type="dxa"/>
            <w:gridSpan w:val="6"/>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sz w:val="20"/>
              </w:rPr>
            </w:pPr>
            <w:r w:rsidRPr="00595B5F">
              <w:rPr>
                <w:rFonts w:ascii="Arial Narrow" w:hAnsi="Arial Narrow"/>
                <w:i/>
                <w:sz w:val="20"/>
              </w:rPr>
              <w:t>Op</w:t>
            </w:r>
            <w:r>
              <w:rPr>
                <w:rFonts w:ascii="Arial Narrow" w:hAnsi="Arial Narrow"/>
                <w:i/>
                <w:sz w:val="20"/>
              </w:rPr>
              <w:t>timised asthma therapy includes</w:t>
            </w:r>
            <w:r w:rsidRPr="00595B5F">
              <w:rPr>
                <w:rFonts w:ascii="Arial Narrow" w:hAnsi="Arial Narrow"/>
                <w:i/>
                <w:sz w:val="20"/>
              </w:rPr>
              <w:t xml:space="preserve"> adherence to </w:t>
            </w:r>
            <w:r>
              <w:rPr>
                <w:rFonts w:ascii="Arial Narrow" w:hAnsi="Arial Narrow"/>
                <w:i/>
                <w:sz w:val="20"/>
              </w:rPr>
              <w:t>maximal</w:t>
            </w:r>
            <w:r w:rsidRPr="00595B5F">
              <w:rPr>
                <w:rFonts w:ascii="Arial Narrow" w:hAnsi="Arial Narrow"/>
                <w:i/>
                <w:sz w:val="20"/>
              </w:rPr>
              <w:t xml:space="preserve"> inhaled therapy, including high dose inhaled corticosteroid (</w:t>
            </w:r>
            <w:r>
              <w:rPr>
                <w:rFonts w:ascii="Arial Narrow" w:hAnsi="Arial Narrow"/>
                <w:i/>
                <w:sz w:val="20"/>
              </w:rPr>
              <w:t xml:space="preserve">at least </w:t>
            </w:r>
            <w:r w:rsidRPr="00595B5F">
              <w:rPr>
                <w:rFonts w:ascii="Arial Narrow" w:hAnsi="Arial Narrow"/>
                <w:i/>
                <w:sz w:val="20"/>
              </w:rPr>
              <w:t xml:space="preserve">budesonide </w:t>
            </w:r>
            <w:r>
              <w:rPr>
                <w:rFonts w:ascii="Arial Narrow" w:hAnsi="Arial Narrow"/>
                <w:i/>
                <w:sz w:val="20"/>
              </w:rPr>
              <w:t>1600</w:t>
            </w:r>
            <w:r w:rsidRPr="00595B5F">
              <w:rPr>
                <w:rFonts w:ascii="Arial Narrow" w:hAnsi="Arial Narrow"/>
                <w:i/>
                <w:sz w:val="20"/>
              </w:rPr>
              <w:t xml:space="preserve"> micrograms per day or fluticasone propionate </w:t>
            </w:r>
            <w:r>
              <w:rPr>
                <w:rFonts w:ascii="Arial Narrow" w:hAnsi="Arial Narrow"/>
                <w:i/>
                <w:sz w:val="20"/>
              </w:rPr>
              <w:t>10</w:t>
            </w:r>
            <w:r w:rsidRPr="00595B5F">
              <w:rPr>
                <w:rFonts w:ascii="Arial Narrow" w:hAnsi="Arial Narrow"/>
                <w:i/>
                <w:sz w:val="20"/>
              </w:rPr>
              <w:t xml:space="preserve">00 micrograms per day or equivalent), plus long-acting beta-2 agonist therapy (at least </w:t>
            </w:r>
            <w:proofErr w:type="spellStart"/>
            <w:r w:rsidRPr="00595B5F">
              <w:rPr>
                <w:rFonts w:ascii="Arial Narrow" w:hAnsi="Arial Narrow"/>
                <w:i/>
                <w:sz w:val="20"/>
              </w:rPr>
              <w:t>salmeterol</w:t>
            </w:r>
            <w:proofErr w:type="spellEnd"/>
            <w:r w:rsidRPr="00595B5F">
              <w:rPr>
                <w:rFonts w:ascii="Arial Narrow" w:hAnsi="Arial Narrow"/>
                <w:i/>
                <w:sz w:val="20"/>
              </w:rPr>
              <w:t xml:space="preserve"> 50 micrograms </w:t>
            </w:r>
            <w:proofErr w:type="spellStart"/>
            <w:r w:rsidRPr="00595B5F">
              <w:rPr>
                <w:rFonts w:ascii="Arial Narrow" w:hAnsi="Arial Narrow"/>
                <w:i/>
                <w:sz w:val="20"/>
              </w:rPr>
              <w:t>bd</w:t>
            </w:r>
            <w:proofErr w:type="spellEnd"/>
            <w:r w:rsidRPr="00595B5F">
              <w:rPr>
                <w:rFonts w:ascii="Arial Narrow" w:hAnsi="Arial Narrow"/>
                <w:i/>
                <w:sz w:val="20"/>
              </w:rPr>
              <w:t xml:space="preserve"> or </w:t>
            </w:r>
            <w:proofErr w:type="spellStart"/>
            <w:r w:rsidRPr="00595B5F">
              <w:rPr>
                <w:rFonts w:ascii="Arial Narrow" w:hAnsi="Arial Narrow"/>
                <w:i/>
                <w:sz w:val="20"/>
              </w:rPr>
              <w:t>eformoterol</w:t>
            </w:r>
            <w:proofErr w:type="spellEnd"/>
            <w:r w:rsidRPr="00595B5F">
              <w:rPr>
                <w:rFonts w:ascii="Arial Narrow" w:hAnsi="Arial Narrow"/>
                <w:i/>
                <w:sz w:val="20"/>
              </w:rPr>
              <w:t xml:space="preserve"> 12 micrograms </w:t>
            </w:r>
            <w:proofErr w:type="spellStart"/>
            <w:r w:rsidRPr="00595B5F">
              <w:rPr>
                <w:rFonts w:ascii="Arial Narrow" w:hAnsi="Arial Narrow"/>
                <w:i/>
                <w:sz w:val="20"/>
              </w:rPr>
              <w:t>bd</w:t>
            </w:r>
            <w:proofErr w:type="spellEnd"/>
            <w:r w:rsidRPr="00595B5F">
              <w:rPr>
                <w:rFonts w:ascii="Arial Narrow" w:hAnsi="Arial Narrow"/>
                <w:i/>
                <w:sz w:val="20"/>
              </w:rPr>
              <w:t>) for at least 12 months, unless contraindicated or not tolerated.</w:t>
            </w:r>
          </w:p>
        </w:tc>
      </w:tr>
      <w:tr w:rsidR="009050DD" w:rsidRPr="00260CE3" w:rsidTr="009050DD">
        <w:trPr>
          <w:cantSplit/>
          <w:trHeight w:val="2829"/>
        </w:trPr>
        <w:tc>
          <w:tcPr>
            <w:tcW w:w="2115" w:type="dxa"/>
            <w:tcBorders>
              <w:top w:val="single" w:sz="4" w:space="0" w:color="auto"/>
              <w:left w:val="single" w:sz="4" w:space="0" w:color="auto"/>
              <w:bottom w:val="single" w:sz="4" w:space="0" w:color="auto"/>
              <w:right w:val="single" w:sz="4" w:space="0" w:color="auto"/>
            </w:tcBorders>
          </w:tcPr>
          <w:p w:rsidR="009050DD" w:rsidRPr="00260CE3" w:rsidRDefault="009050DD" w:rsidP="00E61788">
            <w:pPr>
              <w:widowControl/>
              <w:rPr>
                <w:rFonts w:ascii="Arial Narrow" w:hAnsi="Arial Narrow"/>
                <w:b/>
                <w:sz w:val="20"/>
              </w:rPr>
            </w:pPr>
            <w:r w:rsidRPr="00260CE3">
              <w:rPr>
                <w:rFonts w:ascii="Arial Narrow" w:hAnsi="Arial Narrow"/>
                <w:b/>
                <w:sz w:val="20"/>
              </w:rPr>
              <w:t>Administrative Advice</w:t>
            </w:r>
          </w:p>
          <w:p w:rsidR="009050DD" w:rsidRPr="00260CE3" w:rsidRDefault="009050DD" w:rsidP="00E61788">
            <w:pPr>
              <w:widowControl/>
              <w:rPr>
                <w:rFonts w:ascii="Arial Narrow" w:hAnsi="Arial Narrow"/>
                <w:i/>
                <w:sz w:val="20"/>
              </w:rPr>
            </w:pPr>
          </w:p>
        </w:tc>
        <w:tc>
          <w:tcPr>
            <w:tcW w:w="6165" w:type="dxa"/>
            <w:gridSpan w:val="6"/>
            <w:tcBorders>
              <w:top w:val="single" w:sz="4" w:space="0" w:color="auto"/>
              <w:left w:val="single" w:sz="4" w:space="0" w:color="auto"/>
              <w:bottom w:val="single" w:sz="4" w:space="0" w:color="auto"/>
              <w:right w:val="single" w:sz="4" w:space="0" w:color="auto"/>
            </w:tcBorders>
          </w:tcPr>
          <w:p w:rsidR="009050DD" w:rsidRPr="00B25AED" w:rsidRDefault="009050DD" w:rsidP="00E61788">
            <w:pPr>
              <w:widowControl/>
              <w:rPr>
                <w:rFonts w:ascii="Arial Narrow" w:hAnsi="Arial Narrow"/>
                <w:strike/>
                <w:sz w:val="20"/>
              </w:rPr>
            </w:pPr>
            <w:proofErr w:type="spellStart"/>
            <w:r w:rsidRPr="00B25AED">
              <w:rPr>
                <w:rFonts w:ascii="Arial Narrow" w:hAnsi="Arial Narrow"/>
                <w:strike/>
                <w:sz w:val="20"/>
              </w:rPr>
              <w:t>Tiotropium</w:t>
            </w:r>
            <w:proofErr w:type="spellEnd"/>
            <w:r w:rsidRPr="00B25AED">
              <w:rPr>
                <w:rFonts w:ascii="Arial Narrow" w:hAnsi="Arial Narrow"/>
                <w:strike/>
                <w:sz w:val="20"/>
              </w:rPr>
              <w:t xml:space="preserve"> bromide is not PBS subsidised for use in patients who are receiving maintenance treatment with inhaled corticosteroid monotherapy without a long-acting beta-2 agonist, unless combination therapy with a long-acting beta-2 agonist is contraindicated or not tolerated.</w:t>
            </w:r>
          </w:p>
          <w:p w:rsidR="009050DD" w:rsidRDefault="009050DD" w:rsidP="00E61788">
            <w:pPr>
              <w:widowControl/>
              <w:rPr>
                <w:rFonts w:ascii="Arial Narrow" w:hAnsi="Arial Narrow"/>
                <w:sz w:val="20"/>
              </w:rPr>
            </w:pPr>
          </w:p>
          <w:p w:rsidR="009050DD" w:rsidRPr="00817829" w:rsidRDefault="009050DD" w:rsidP="00E61788">
            <w:pPr>
              <w:widowControl/>
              <w:rPr>
                <w:rFonts w:ascii="Arial Narrow" w:hAnsi="Arial Narrow"/>
                <w:i/>
                <w:sz w:val="20"/>
              </w:rPr>
            </w:pPr>
            <w:r w:rsidRPr="00795FB9">
              <w:rPr>
                <w:rFonts w:ascii="Arial Narrow" w:hAnsi="Arial Narrow"/>
                <w:i/>
                <w:sz w:val="20"/>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tc>
      </w:tr>
    </w:tbl>
    <w:p w:rsidR="009050DD" w:rsidRDefault="009050DD" w:rsidP="00E61788">
      <w:pPr>
        <w:pStyle w:val="ListParagraph"/>
        <w:widowControl/>
        <w:rPr>
          <w:szCs w:val="22"/>
        </w:rPr>
      </w:pPr>
    </w:p>
    <w:p w:rsidR="00E30094" w:rsidRPr="00FF2980" w:rsidRDefault="00E30094" w:rsidP="00E61788">
      <w:pPr>
        <w:pStyle w:val="ListParagraph"/>
        <w:widowControl/>
        <w:numPr>
          <w:ilvl w:val="1"/>
          <w:numId w:val="9"/>
        </w:numPr>
        <w:rPr>
          <w:szCs w:val="22"/>
        </w:rPr>
      </w:pPr>
      <w:r w:rsidRPr="00FF2980">
        <w:rPr>
          <w:szCs w:val="22"/>
        </w:rPr>
        <w:t xml:space="preserve">The submission presented a cost-effectiveness analysis of </w:t>
      </w:r>
      <w:proofErr w:type="spellStart"/>
      <w:r w:rsidRPr="00FF2980">
        <w:rPr>
          <w:szCs w:val="22"/>
        </w:rPr>
        <w:t>tiotropium</w:t>
      </w:r>
      <w:proofErr w:type="spellEnd"/>
      <w:r w:rsidRPr="00FF2980">
        <w:rPr>
          <w:szCs w:val="22"/>
        </w:rPr>
        <w:t xml:space="preserve"> plus ICS and LABA compared to placebo plus ICS and LABA. </w:t>
      </w:r>
      <w:r w:rsidRPr="00473FFC">
        <w:rPr>
          <w:szCs w:val="22"/>
        </w:rPr>
        <w:t xml:space="preserve">The proposed listing could be broader than the TGA indication, which aims to restrict </w:t>
      </w:r>
      <w:proofErr w:type="spellStart"/>
      <w:r w:rsidRPr="00473FFC">
        <w:rPr>
          <w:szCs w:val="22"/>
        </w:rPr>
        <w:t>tiotropium</w:t>
      </w:r>
      <w:proofErr w:type="spellEnd"/>
      <w:r w:rsidRPr="00473FFC">
        <w:rPr>
          <w:szCs w:val="22"/>
        </w:rPr>
        <w:t xml:space="preserve"> listing to patients who have experienced at least one severe exacerbation in the previous year while receiving optimised asthma therapy (ICS </w:t>
      </w:r>
      <w:r w:rsidRPr="00473FFC">
        <w:rPr>
          <w:szCs w:val="22"/>
          <w:u w:val="single"/>
        </w:rPr>
        <w:t>and</w:t>
      </w:r>
      <w:r w:rsidRPr="00473FFC">
        <w:rPr>
          <w:szCs w:val="22"/>
        </w:rPr>
        <w:t xml:space="preserve"> LABA). The proposed PBS listing would allow </w:t>
      </w:r>
      <w:proofErr w:type="spellStart"/>
      <w:r w:rsidRPr="00473FFC">
        <w:rPr>
          <w:szCs w:val="22"/>
        </w:rPr>
        <w:t>tiotropium</w:t>
      </w:r>
      <w:proofErr w:type="spellEnd"/>
      <w:r w:rsidRPr="00473FFC">
        <w:rPr>
          <w:szCs w:val="22"/>
        </w:rPr>
        <w:t xml:space="preserve"> to be added to ICS when patients cannot tolerate or are contraindicated to a LABA. The clinical, economic and financial evidence provided in the submission was not in line with the proposed PBS restriction (ICS </w:t>
      </w:r>
      <w:r w:rsidRPr="00473FFC">
        <w:rPr>
          <w:szCs w:val="22"/>
          <w:u w:val="single"/>
        </w:rPr>
        <w:t>and</w:t>
      </w:r>
      <w:r w:rsidRPr="006652F7">
        <w:rPr>
          <w:szCs w:val="22"/>
        </w:rPr>
        <w:t xml:space="preserve"> </w:t>
      </w:r>
      <w:r w:rsidRPr="00473FFC">
        <w:rPr>
          <w:szCs w:val="22"/>
        </w:rPr>
        <w:t xml:space="preserve">LABA, unless contraindicated or not tolerated); rather it was in line with the proposed TGA indication (ICS </w:t>
      </w:r>
      <w:r w:rsidRPr="00473FFC">
        <w:rPr>
          <w:szCs w:val="22"/>
          <w:u w:val="single"/>
        </w:rPr>
        <w:t>and</w:t>
      </w:r>
      <w:r w:rsidRPr="00473FFC">
        <w:rPr>
          <w:szCs w:val="22"/>
        </w:rPr>
        <w:t xml:space="preserve"> LABA). Further, the listing is for patients who have experienced exacerbations (no severity specified) while on existing medication, while the clinical trial described this as unplanned need for medical care at any GP, pulmonologist, emergency department or hospital due to aggravation of asthma symptoms that required an addition or increased dose of systemic corticosteroids. The TGA indication is</w:t>
      </w:r>
      <w:r w:rsidR="00B1169B">
        <w:rPr>
          <w:szCs w:val="22"/>
        </w:rPr>
        <w:t xml:space="preserve"> also</w:t>
      </w:r>
      <w:r w:rsidRPr="00473FFC">
        <w:rPr>
          <w:szCs w:val="22"/>
        </w:rPr>
        <w:t xml:space="preserve"> for patients who have experienced one or more </w:t>
      </w:r>
      <w:r w:rsidRPr="00473FFC">
        <w:rPr>
          <w:szCs w:val="22"/>
          <w:u w:val="single"/>
        </w:rPr>
        <w:t>severe</w:t>
      </w:r>
      <w:r w:rsidRPr="00473FFC">
        <w:rPr>
          <w:szCs w:val="22"/>
        </w:rPr>
        <w:t xml:space="preserve"> exacerbation</w:t>
      </w:r>
      <w:r w:rsidR="0006212E">
        <w:rPr>
          <w:szCs w:val="22"/>
        </w:rPr>
        <w:t>s</w:t>
      </w:r>
      <w:r w:rsidRPr="00473FFC">
        <w:rPr>
          <w:szCs w:val="22"/>
        </w:rPr>
        <w:t xml:space="preserve"> in the previous year.</w:t>
      </w:r>
    </w:p>
    <w:p w:rsidR="00E30094" w:rsidRDefault="00E30094" w:rsidP="00E61788">
      <w:pPr>
        <w:widowControl/>
      </w:pPr>
    </w:p>
    <w:p w:rsidR="00E30094" w:rsidRPr="00B738CB" w:rsidRDefault="00006495" w:rsidP="00E61788">
      <w:pPr>
        <w:pStyle w:val="ListParagraph"/>
        <w:widowControl/>
        <w:numPr>
          <w:ilvl w:val="1"/>
          <w:numId w:val="9"/>
        </w:numPr>
      </w:pPr>
      <w:r w:rsidRPr="00B738CB">
        <w:lastRenderedPageBreak/>
        <w:t>The Pre-Sub-Committee Response (PSCR) proposed the following updated wording for the prescriber instructions to ensure consistency with the indication agreed by ACPM:</w:t>
      </w:r>
    </w:p>
    <w:p w:rsidR="00006495" w:rsidRPr="00B738CB" w:rsidRDefault="00006495" w:rsidP="00E61788">
      <w:pPr>
        <w:widowControl/>
        <w:ind w:left="1440"/>
      </w:pPr>
      <w:r w:rsidRPr="00B738CB">
        <w:t xml:space="preserve">Optimised asthma therapy includes adherence to the maintenance combination of inhaled corticosteroids (≥800 µg budesonide/day or equivalent) and long-acting </w:t>
      </w:r>
      <w:r w:rsidR="002C0621" w:rsidRPr="00B738CB">
        <w:rPr>
          <w:bCs/>
          <w:szCs w:val="22"/>
        </w:rPr>
        <w:t>β</w:t>
      </w:r>
      <w:r w:rsidRPr="00B738CB">
        <w:t>2 agonists.</w:t>
      </w:r>
    </w:p>
    <w:p w:rsidR="005F05C9" w:rsidRDefault="005F05C9" w:rsidP="005F05C9">
      <w:pPr>
        <w:pStyle w:val="ListParagraph"/>
        <w:widowControl/>
      </w:pPr>
      <w:r w:rsidRPr="001F323A">
        <w:t>DUSC commented that the definition of high dose ICS in the prescriber instructions</w:t>
      </w:r>
      <w:r>
        <w:t xml:space="preserve"> of 1600</w:t>
      </w:r>
      <w:r w:rsidRPr="004C4130">
        <w:t xml:space="preserve"> </w:t>
      </w:r>
      <w:r w:rsidRPr="00B738CB">
        <w:t>µg budesonide/day</w:t>
      </w:r>
      <w:r w:rsidRPr="001F323A">
        <w:t xml:space="preserve"> is twice as high as the definition of high dose ICS in </w:t>
      </w:r>
      <w:proofErr w:type="gramStart"/>
      <w:r w:rsidRPr="001F323A">
        <w:t>adults,</w:t>
      </w:r>
      <w:proofErr w:type="gramEnd"/>
      <w:r w:rsidRPr="001F323A">
        <w:t xml:space="preserve"> and twice the maximum dose recommended for children, in the Australian Asthma Handbook</w:t>
      </w:r>
      <w:r>
        <w:t>.</w:t>
      </w:r>
      <w:bookmarkStart w:id="6" w:name="_Ref424719820"/>
      <w:r w:rsidR="00C46EB7">
        <w:rPr>
          <w:rStyle w:val="FootnoteReference"/>
        </w:rPr>
        <w:footnoteReference w:id="1"/>
      </w:r>
      <w:bookmarkEnd w:id="6"/>
      <w:r>
        <w:t xml:space="preserve"> </w:t>
      </w:r>
    </w:p>
    <w:p w:rsidR="00D90414" w:rsidRDefault="00D90414" w:rsidP="00D90414">
      <w:pPr>
        <w:pStyle w:val="ListParagraph"/>
        <w:widowControl/>
      </w:pPr>
    </w:p>
    <w:p w:rsidR="001F323A" w:rsidRDefault="002F473E" w:rsidP="001F323A">
      <w:pPr>
        <w:pStyle w:val="ListParagraph"/>
        <w:widowControl/>
        <w:numPr>
          <w:ilvl w:val="1"/>
          <w:numId w:val="9"/>
        </w:numPr>
      </w:pPr>
      <w:r w:rsidRPr="00B738CB">
        <w:t xml:space="preserve">The ESC considered </w:t>
      </w:r>
      <w:r w:rsidR="00B53BF2" w:rsidRPr="00B738CB">
        <w:t>that ‘unless contraindicated or not tolerated’ should not be included in the restriction, as this is beyond the clinical trial evidence presented by the submission.</w:t>
      </w:r>
    </w:p>
    <w:p w:rsidR="001F323A" w:rsidRDefault="001F323A" w:rsidP="001F323A">
      <w:pPr>
        <w:pStyle w:val="ListParagraph"/>
      </w:pPr>
    </w:p>
    <w:p w:rsidR="005F05C9" w:rsidRDefault="005F05C9" w:rsidP="005F05C9">
      <w:pPr>
        <w:pStyle w:val="ListParagraph"/>
        <w:numPr>
          <w:ilvl w:val="1"/>
          <w:numId w:val="9"/>
        </w:numPr>
      </w:pPr>
      <w:r w:rsidRPr="0006212E">
        <w:t>DUSC noted the administrative advice proposed in the Secretariat suggested wording for the restriction, which suggested inclusion of a reference to the National Asthma Council (NAC) Information Paper for Health Pro</w:t>
      </w:r>
      <w:r>
        <w:t>fessionals on Inhaler Technique</w:t>
      </w:r>
      <w:r w:rsidRPr="0006212E">
        <w:t>.</w:t>
      </w:r>
      <w:r>
        <w:rPr>
          <w:rStyle w:val="FootnoteReference"/>
        </w:rPr>
        <w:footnoteReference w:id="2"/>
      </w:r>
      <w:r w:rsidRPr="0006212E">
        <w:t xml:space="preserve"> While this paper contains general information on inhaler technique that might be relevant in formally assessing inhaler technique, DUSC noted that it does not include specific advice on the correct inhaler technique for the </w:t>
      </w:r>
      <w:proofErr w:type="spellStart"/>
      <w:r w:rsidRPr="0006212E">
        <w:t>Respimat</w:t>
      </w:r>
      <w:proofErr w:type="spellEnd"/>
      <w:r w:rsidRPr="0006212E">
        <w:t>® inhaler.</w:t>
      </w:r>
    </w:p>
    <w:p w:rsidR="0006212E" w:rsidRDefault="0006212E" w:rsidP="0006212E">
      <w:pPr>
        <w:pStyle w:val="ListParagraph"/>
      </w:pPr>
    </w:p>
    <w:p w:rsidR="005F05C9" w:rsidRPr="00B738CB" w:rsidRDefault="005F05C9" w:rsidP="005F05C9">
      <w:pPr>
        <w:pStyle w:val="ListParagraph"/>
        <w:numPr>
          <w:ilvl w:val="1"/>
          <w:numId w:val="9"/>
        </w:numPr>
      </w:pPr>
      <w:r w:rsidRPr="00C80681">
        <w:t xml:space="preserve">The </w:t>
      </w:r>
      <w:r>
        <w:t>sponsor</w:t>
      </w:r>
      <w:r w:rsidRPr="00C80681">
        <w:t xml:space="preserve"> accept</w:t>
      </w:r>
      <w:r>
        <w:t>ed</w:t>
      </w:r>
      <w:r w:rsidRPr="00C80681">
        <w:t xml:space="preserve"> the updates to the restriction wording as suggested by the </w:t>
      </w:r>
      <w:r>
        <w:t>Secretariat</w:t>
      </w:r>
      <w:r w:rsidRPr="00C80681">
        <w:t>, the ESC</w:t>
      </w:r>
      <w:r>
        <w:t xml:space="preserve"> </w:t>
      </w:r>
      <w:r w:rsidRPr="00C80681">
        <w:t>and the DUSC</w:t>
      </w:r>
      <w:r>
        <w:t>,</w:t>
      </w:r>
      <w:r w:rsidRPr="00C80681">
        <w:t xml:space="preserve"> subject to approval by the PBAC</w:t>
      </w:r>
      <w:r w:rsidR="00D551A6">
        <w:t xml:space="preserve"> (</w:t>
      </w:r>
      <w:r w:rsidR="00D551A6" w:rsidRPr="002D197B">
        <w:t>Pre-PBAC response</w:t>
      </w:r>
      <w:r w:rsidR="00D551A6">
        <w:t>)</w:t>
      </w:r>
      <w:r w:rsidRPr="00C80681">
        <w:t xml:space="preserve">. </w:t>
      </w:r>
    </w:p>
    <w:p w:rsidR="00B53BF2" w:rsidRPr="00B738CB" w:rsidRDefault="00B53BF2" w:rsidP="00E61788">
      <w:pPr>
        <w:widowControl/>
        <w:ind w:left="709"/>
      </w:pPr>
    </w:p>
    <w:p w:rsidR="00B53BF2" w:rsidRPr="00B738CB" w:rsidRDefault="00B53BF2" w:rsidP="00E61788">
      <w:pPr>
        <w:pStyle w:val="ListParagraph"/>
        <w:widowControl/>
        <w:numPr>
          <w:ilvl w:val="1"/>
          <w:numId w:val="9"/>
        </w:numPr>
      </w:pPr>
      <w:r w:rsidRPr="00B738CB">
        <w:t>The ESC</w:t>
      </w:r>
      <w:r w:rsidR="005F05C9">
        <w:t xml:space="preserve"> and DUSC</w:t>
      </w:r>
      <w:r w:rsidRPr="00B738CB">
        <w:t xml:space="preserve"> expressed concern </w:t>
      </w:r>
      <w:r w:rsidR="000224E6" w:rsidRPr="00B738CB">
        <w:t xml:space="preserve">regarding potential use </w:t>
      </w:r>
      <w:r w:rsidR="004B1252" w:rsidRPr="00B738CB">
        <w:t xml:space="preserve">of </w:t>
      </w:r>
      <w:proofErr w:type="spellStart"/>
      <w:r w:rsidR="004B1252" w:rsidRPr="00B738CB">
        <w:t>tiotropium</w:t>
      </w:r>
      <w:proofErr w:type="spellEnd"/>
      <w:r w:rsidR="004B1252" w:rsidRPr="00B738CB">
        <w:t xml:space="preserve"> </w:t>
      </w:r>
      <w:r w:rsidR="009D7AEE" w:rsidRPr="00B738CB">
        <w:t>for less severe asthma</w:t>
      </w:r>
      <w:r w:rsidR="000224E6" w:rsidRPr="00B738CB">
        <w:t xml:space="preserve"> in practice.</w:t>
      </w:r>
      <w:r w:rsidR="00A04E42" w:rsidRPr="00B738CB">
        <w:t xml:space="preserve"> Current asthma guidelines</w:t>
      </w:r>
      <w:r w:rsidR="0006212E">
        <w:t xml:space="preserve"> </w:t>
      </w:r>
      <w:r w:rsidR="00A04E42" w:rsidRPr="00B738CB">
        <w:t>outline that most patients can be managed on a regular low dose ICS alone.</w:t>
      </w:r>
      <w:r w:rsidR="004D1D13">
        <w:rPr>
          <w:vertAlign w:val="superscript"/>
        </w:rPr>
        <w:t>1</w:t>
      </w:r>
      <w:r w:rsidR="00A04E42" w:rsidRPr="00B738CB">
        <w:t xml:space="preserve"> However, in practice, most patients are supplied</w:t>
      </w:r>
      <w:r w:rsidR="00663F30" w:rsidRPr="00B738CB">
        <w:t xml:space="preserve"> their ICS in the form of a combination</w:t>
      </w:r>
      <w:r w:rsidR="00A04E42" w:rsidRPr="00B738CB">
        <w:t xml:space="preserve"> ICS/LABA</w:t>
      </w:r>
      <w:r w:rsidR="00663F30" w:rsidRPr="00B738CB">
        <w:t xml:space="preserve"> inhaler</w:t>
      </w:r>
      <w:r w:rsidR="005405E9" w:rsidRPr="00B738CB">
        <w:rPr>
          <w:rStyle w:val="FootnoteReference"/>
        </w:rPr>
        <w:footnoteReference w:id="3"/>
      </w:r>
      <w:r w:rsidR="005405E9" w:rsidRPr="00B738CB">
        <w:t xml:space="preserve">. </w:t>
      </w:r>
      <w:r w:rsidR="00A432D7" w:rsidRPr="00B738CB">
        <w:t>Given that the intended population are essentially treatment resistant severe asthmatics</w:t>
      </w:r>
      <w:r w:rsidR="00F00F01" w:rsidRPr="00B738CB">
        <w:t xml:space="preserve"> which, according to current asthma guidelines</w:t>
      </w:r>
      <w:r w:rsidR="004D1D13">
        <w:rPr>
          <w:vertAlign w:val="superscript"/>
        </w:rPr>
        <w:t>1</w:t>
      </w:r>
      <w:r w:rsidR="00F00F01" w:rsidRPr="00B738CB">
        <w:t xml:space="preserve"> should be referred to a respiratory specialist</w:t>
      </w:r>
      <w:r w:rsidR="00A432D7" w:rsidRPr="00B738CB">
        <w:t>, t</w:t>
      </w:r>
      <w:r w:rsidR="009D7AEE" w:rsidRPr="00B738CB">
        <w:t>he ESC</w:t>
      </w:r>
      <w:r w:rsidR="00F75810">
        <w:t xml:space="preserve"> and DUSC</w:t>
      </w:r>
      <w:r w:rsidR="009D7AEE" w:rsidRPr="00B738CB">
        <w:t xml:space="preserve"> </w:t>
      </w:r>
      <w:r w:rsidR="005405E9" w:rsidRPr="00B738CB">
        <w:t>considered that it may be appropriate to limit prescribing to be by, or in consultation with, specialist physicians to minimise inappropriate use.</w:t>
      </w:r>
    </w:p>
    <w:p w:rsidR="002F2006" w:rsidRDefault="002F2006" w:rsidP="00E61788">
      <w:pPr>
        <w:widowControl/>
        <w:rPr>
          <w:i/>
          <w:szCs w:val="22"/>
          <w:highlight w:val="yellow"/>
        </w:rPr>
      </w:pPr>
    </w:p>
    <w:p w:rsidR="004E43B2" w:rsidRDefault="002F2006" w:rsidP="002F2006">
      <w:pPr>
        <w:widowControl/>
        <w:ind w:firstLine="709"/>
      </w:pPr>
      <w:r w:rsidRPr="00400320">
        <w:rPr>
          <w:i/>
          <w:szCs w:val="22"/>
        </w:rPr>
        <w:t>For more detail on PBAC’s view, see section 7 “PBAC outcome”</w:t>
      </w:r>
    </w:p>
    <w:p w:rsidR="005405E9" w:rsidRDefault="005405E9" w:rsidP="00E61788">
      <w:pPr>
        <w:widowControl/>
      </w:pPr>
    </w:p>
    <w:p w:rsidR="002D197B" w:rsidRPr="00882085" w:rsidRDefault="002D197B" w:rsidP="00E61788">
      <w:pPr>
        <w:widowControl/>
      </w:pPr>
    </w:p>
    <w:p w:rsidR="00B50DB8" w:rsidRPr="00407F2D" w:rsidRDefault="00B50DB8" w:rsidP="00E61788">
      <w:pPr>
        <w:pStyle w:val="Heading2"/>
        <w:widowControl/>
        <w:numPr>
          <w:ilvl w:val="0"/>
          <w:numId w:val="9"/>
        </w:numPr>
        <w:ind w:left="709" w:hanging="709"/>
      </w:pPr>
      <w:bookmarkStart w:id="7" w:name="_Toc419799904"/>
      <w:r w:rsidRPr="00407F2D">
        <w:t>Background</w:t>
      </w:r>
      <w:bookmarkEnd w:id="7"/>
    </w:p>
    <w:p w:rsidR="00B60939" w:rsidRPr="00882085" w:rsidRDefault="00B60939" w:rsidP="00E61788">
      <w:pPr>
        <w:widowControl/>
        <w:rPr>
          <w:szCs w:val="22"/>
        </w:rPr>
      </w:pPr>
    </w:p>
    <w:p w:rsidR="00F25AF6" w:rsidRPr="00B1169B" w:rsidRDefault="00DD7CDC" w:rsidP="00B1169B">
      <w:pPr>
        <w:pStyle w:val="ListParagraph"/>
        <w:widowControl/>
        <w:numPr>
          <w:ilvl w:val="1"/>
          <w:numId w:val="9"/>
        </w:numPr>
        <w:rPr>
          <w:szCs w:val="22"/>
        </w:rPr>
      </w:pPr>
      <w:r w:rsidRPr="00B1169B">
        <w:rPr>
          <w:bCs/>
          <w:szCs w:val="22"/>
        </w:rPr>
        <w:t>TGA status</w:t>
      </w:r>
      <w:r w:rsidR="005405E9" w:rsidRPr="00B1169B">
        <w:rPr>
          <w:bCs/>
          <w:szCs w:val="22"/>
        </w:rPr>
        <w:t xml:space="preserve"> at time of </w:t>
      </w:r>
      <w:r w:rsidR="008E5926" w:rsidRPr="00B1169B">
        <w:rPr>
          <w:bCs/>
          <w:szCs w:val="22"/>
        </w:rPr>
        <w:t>PBAC consideration</w:t>
      </w:r>
      <w:r w:rsidRPr="00B1169B">
        <w:rPr>
          <w:bCs/>
          <w:szCs w:val="22"/>
        </w:rPr>
        <w:t xml:space="preserve">:  The submission was made under the TGA/PBAC Parallel Process. </w:t>
      </w:r>
      <w:r w:rsidR="00B1169B" w:rsidRPr="00B1169B">
        <w:rPr>
          <w:bCs/>
          <w:szCs w:val="22"/>
        </w:rPr>
        <w:t>Effective from 1 June 2015</w:t>
      </w:r>
      <w:r w:rsidRPr="00B1169B">
        <w:rPr>
          <w:bCs/>
          <w:szCs w:val="22"/>
        </w:rPr>
        <w:t xml:space="preserve">, the </w:t>
      </w:r>
      <w:r w:rsidR="00B1169B" w:rsidRPr="00B1169B">
        <w:rPr>
          <w:bCs/>
          <w:szCs w:val="22"/>
        </w:rPr>
        <w:t xml:space="preserve">TGA approved </w:t>
      </w:r>
      <w:proofErr w:type="spellStart"/>
      <w:r w:rsidR="00B1169B" w:rsidRPr="00B1169B">
        <w:rPr>
          <w:bCs/>
          <w:szCs w:val="22"/>
        </w:rPr>
        <w:lastRenderedPageBreak/>
        <w:t>tiotropium</w:t>
      </w:r>
      <w:proofErr w:type="spellEnd"/>
      <w:r w:rsidR="00B1169B" w:rsidRPr="00B1169B">
        <w:rPr>
          <w:bCs/>
          <w:szCs w:val="22"/>
        </w:rPr>
        <w:t xml:space="preserve"> as add-on maintenance bronchodilator treatment in adult patients with asthma who are currently treated with the maintenance combination of inhaled corticosteroids (&gt;=800 microgram budesonide/day or equivalent) and long-acting beta-2 agonists and who experienced one or more severe exacerbations in the previous year</w:t>
      </w:r>
      <w:r w:rsidRPr="00B1169B">
        <w:rPr>
          <w:bCs/>
          <w:szCs w:val="22"/>
        </w:rPr>
        <w:t>.</w:t>
      </w:r>
      <w:r w:rsidR="002C0621" w:rsidRPr="00B1169B">
        <w:rPr>
          <w:bCs/>
          <w:szCs w:val="22"/>
        </w:rPr>
        <w:t xml:space="preserve"> </w:t>
      </w:r>
    </w:p>
    <w:p w:rsidR="00B1169B" w:rsidRDefault="00B1169B" w:rsidP="00B1169B">
      <w:pPr>
        <w:pStyle w:val="ListParagraph"/>
        <w:widowControl/>
        <w:rPr>
          <w:szCs w:val="22"/>
        </w:rPr>
      </w:pPr>
    </w:p>
    <w:p w:rsidR="002C2775" w:rsidRPr="00837666" w:rsidRDefault="00837666" w:rsidP="00E61788">
      <w:pPr>
        <w:pStyle w:val="ListParagraph"/>
        <w:widowControl/>
        <w:numPr>
          <w:ilvl w:val="1"/>
          <w:numId w:val="9"/>
        </w:numPr>
        <w:rPr>
          <w:szCs w:val="22"/>
        </w:rPr>
      </w:pPr>
      <w:proofErr w:type="spellStart"/>
      <w:r w:rsidRPr="00837666">
        <w:rPr>
          <w:szCs w:val="22"/>
        </w:rPr>
        <w:t>Tiotropium</w:t>
      </w:r>
      <w:proofErr w:type="spellEnd"/>
      <w:r w:rsidRPr="00837666">
        <w:rPr>
          <w:szCs w:val="22"/>
        </w:rPr>
        <w:t xml:space="preserve"> is currently listed on the PBS for use in patients with chronic obstructive pulmonary disease (COPD).</w:t>
      </w:r>
    </w:p>
    <w:p w:rsidR="00E55BB5" w:rsidRDefault="00E55BB5" w:rsidP="00E61788">
      <w:pPr>
        <w:widowControl/>
      </w:pPr>
    </w:p>
    <w:p w:rsidR="002F2006" w:rsidRDefault="002F2006" w:rsidP="002F2006">
      <w:pPr>
        <w:widowControl/>
        <w:ind w:firstLine="709"/>
      </w:pPr>
      <w:r w:rsidRPr="00400320">
        <w:rPr>
          <w:i/>
          <w:szCs w:val="22"/>
        </w:rPr>
        <w:t>For more detail on PBAC’s view, see section 7 “PBAC outcome”</w:t>
      </w:r>
    </w:p>
    <w:p w:rsidR="005405E9" w:rsidRDefault="005405E9" w:rsidP="00E61788">
      <w:pPr>
        <w:widowControl/>
      </w:pPr>
    </w:p>
    <w:p w:rsidR="009D7969" w:rsidRPr="00882085" w:rsidRDefault="009D7969" w:rsidP="00E61788">
      <w:pPr>
        <w:widowControl/>
      </w:pPr>
    </w:p>
    <w:p w:rsidR="00B50DB8" w:rsidRPr="00407F2D" w:rsidRDefault="00B50DB8" w:rsidP="00E61788">
      <w:pPr>
        <w:pStyle w:val="Heading2"/>
        <w:keepNext/>
        <w:widowControl/>
        <w:numPr>
          <w:ilvl w:val="0"/>
          <w:numId w:val="9"/>
        </w:numPr>
        <w:ind w:left="709" w:hanging="709"/>
      </w:pPr>
      <w:bookmarkStart w:id="8" w:name="_Toc419799905"/>
      <w:r w:rsidRPr="00407F2D">
        <w:t>Clinical place for the proposed therapy</w:t>
      </w:r>
      <w:bookmarkEnd w:id="8"/>
    </w:p>
    <w:p w:rsidR="00B60939" w:rsidRPr="00882085" w:rsidRDefault="00B60939" w:rsidP="00E61788">
      <w:pPr>
        <w:keepNext/>
        <w:widowControl/>
        <w:rPr>
          <w:szCs w:val="22"/>
        </w:rPr>
      </w:pPr>
    </w:p>
    <w:p w:rsidR="00B60939" w:rsidRPr="00B738CB" w:rsidRDefault="00D02832" w:rsidP="00E61788">
      <w:pPr>
        <w:pStyle w:val="ListParagraph"/>
        <w:widowControl/>
        <w:numPr>
          <w:ilvl w:val="1"/>
          <w:numId w:val="9"/>
        </w:numPr>
        <w:rPr>
          <w:szCs w:val="22"/>
        </w:rPr>
      </w:pPr>
      <w:r w:rsidRPr="00B738CB">
        <w:t xml:space="preserve">The proposed clinical treatment algorithm places </w:t>
      </w:r>
      <w:proofErr w:type="spellStart"/>
      <w:r w:rsidRPr="00B738CB">
        <w:t>tiotropium</w:t>
      </w:r>
      <w:proofErr w:type="spellEnd"/>
      <w:r w:rsidRPr="00B738CB">
        <w:t xml:space="preserve"> as an add-on therapy to an ICS and a LABA for adult patients with </w:t>
      </w:r>
      <w:r w:rsidR="002F473E" w:rsidRPr="00B738CB">
        <w:t xml:space="preserve">severe persistent </w:t>
      </w:r>
      <w:r w:rsidRPr="00B738CB">
        <w:t xml:space="preserve">asthma who have experienced at least one </w:t>
      </w:r>
      <w:r w:rsidR="002F473E" w:rsidRPr="00B738CB">
        <w:t>(</w:t>
      </w:r>
      <w:r w:rsidR="00B1169B" w:rsidRPr="00B738CB">
        <w:t>se</w:t>
      </w:r>
      <w:r w:rsidR="00B1169B">
        <w:t>vere</w:t>
      </w:r>
      <w:r w:rsidR="002F473E" w:rsidRPr="00B738CB">
        <w:t xml:space="preserve">) </w:t>
      </w:r>
      <w:r w:rsidRPr="00B738CB">
        <w:t xml:space="preserve">exacerbation in the previous year. </w:t>
      </w:r>
      <w:r w:rsidR="004838A8" w:rsidRPr="00B738CB">
        <w:rPr>
          <w:szCs w:val="22"/>
        </w:rPr>
        <w:t xml:space="preserve">The proposed management algorithm was consistent with the </w:t>
      </w:r>
      <w:r w:rsidR="00B1169B">
        <w:rPr>
          <w:szCs w:val="22"/>
        </w:rPr>
        <w:t>approv</w:t>
      </w:r>
      <w:r w:rsidR="004838A8" w:rsidRPr="00B738CB">
        <w:rPr>
          <w:szCs w:val="22"/>
        </w:rPr>
        <w:t>ed TGA indication.</w:t>
      </w:r>
    </w:p>
    <w:p w:rsidR="00B53BF2" w:rsidRPr="00B738CB" w:rsidRDefault="00B53BF2" w:rsidP="00E61788">
      <w:pPr>
        <w:pStyle w:val="ListParagraph"/>
        <w:widowControl/>
        <w:rPr>
          <w:szCs w:val="22"/>
        </w:rPr>
      </w:pPr>
    </w:p>
    <w:p w:rsidR="00184672" w:rsidRPr="00B738CB" w:rsidRDefault="00B53BF2" w:rsidP="00E61788">
      <w:pPr>
        <w:pStyle w:val="ListParagraph"/>
        <w:widowControl/>
        <w:numPr>
          <w:ilvl w:val="1"/>
          <w:numId w:val="9"/>
        </w:numPr>
        <w:rPr>
          <w:szCs w:val="22"/>
        </w:rPr>
      </w:pPr>
      <w:r w:rsidRPr="00B738CB">
        <w:rPr>
          <w:szCs w:val="22"/>
        </w:rPr>
        <w:t xml:space="preserve">The </w:t>
      </w:r>
      <w:r w:rsidR="005B264B" w:rsidRPr="00B738CB">
        <w:rPr>
          <w:szCs w:val="22"/>
        </w:rPr>
        <w:t xml:space="preserve">ESC considered that the </w:t>
      </w:r>
      <w:r w:rsidRPr="00B738CB">
        <w:rPr>
          <w:szCs w:val="22"/>
        </w:rPr>
        <w:t xml:space="preserve">clinical evidence may not </w:t>
      </w:r>
      <w:r w:rsidR="00F54A75" w:rsidRPr="00B738CB">
        <w:rPr>
          <w:szCs w:val="22"/>
        </w:rPr>
        <w:t xml:space="preserve">have </w:t>
      </w:r>
      <w:r w:rsidRPr="00B738CB">
        <w:rPr>
          <w:szCs w:val="22"/>
        </w:rPr>
        <w:t>be</w:t>
      </w:r>
      <w:r w:rsidR="00F54A75" w:rsidRPr="00B738CB">
        <w:rPr>
          <w:szCs w:val="22"/>
        </w:rPr>
        <w:t>en</w:t>
      </w:r>
      <w:r w:rsidRPr="00B738CB">
        <w:rPr>
          <w:szCs w:val="22"/>
        </w:rPr>
        <w:t xml:space="preserve"> applicable to the way </w:t>
      </w:r>
      <w:proofErr w:type="spellStart"/>
      <w:r w:rsidRPr="00B738CB">
        <w:rPr>
          <w:szCs w:val="22"/>
        </w:rPr>
        <w:t>tiotropium</w:t>
      </w:r>
      <w:proofErr w:type="spellEnd"/>
      <w:r w:rsidRPr="00B738CB">
        <w:rPr>
          <w:szCs w:val="22"/>
        </w:rPr>
        <w:t xml:space="preserve"> </w:t>
      </w:r>
      <w:r w:rsidR="00F54A75" w:rsidRPr="00B738CB">
        <w:rPr>
          <w:szCs w:val="22"/>
        </w:rPr>
        <w:t>would</w:t>
      </w:r>
      <w:r w:rsidRPr="00B738CB">
        <w:rPr>
          <w:szCs w:val="22"/>
        </w:rPr>
        <w:t xml:space="preserve"> be used to treat asthma in practice.</w:t>
      </w:r>
      <w:r w:rsidR="00184672" w:rsidRPr="00B738CB">
        <w:rPr>
          <w:szCs w:val="22"/>
        </w:rPr>
        <w:t xml:space="preserve"> This </w:t>
      </w:r>
      <w:r w:rsidR="00D428CB" w:rsidRPr="00B738CB">
        <w:rPr>
          <w:szCs w:val="22"/>
        </w:rPr>
        <w:t>was</w:t>
      </w:r>
      <w:r w:rsidR="00184672" w:rsidRPr="00B738CB">
        <w:rPr>
          <w:szCs w:val="22"/>
        </w:rPr>
        <w:t xml:space="preserve"> further supported by the treatment by subgroup interactions</w:t>
      </w:r>
      <w:r w:rsidR="00F54A75" w:rsidRPr="00B738CB">
        <w:rPr>
          <w:szCs w:val="22"/>
        </w:rPr>
        <w:t>,</w:t>
      </w:r>
      <w:r w:rsidR="00184672" w:rsidRPr="00B738CB">
        <w:rPr>
          <w:szCs w:val="22"/>
        </w:rPr>
        <w:t xml:space="preserve"> which indicate</w:t>
      </w:r>
      <w:r w:rsidR="00D428CB" w:rsidRPr="00B738CB">
        <w:rPr>
          <w:szCs w:val="22"/>
        </w:rPr>
        <w:t>d</w:t>
      </w:r>
      <w:r w:rsidR="00184672" w:rsidRPr="00B738CB">
        <w:rPr>
          <w:szCs w:val="22"/>
        </w:rPr>
        <w:t xml:space="preserve"> that patients who were more severe at baseline </w:t>
      </w:r>
      <w:r w:rsidR="0059329B" w:rsidRPr="00B738CB">
        <w:rPr>
          <w:szCs w:val="22"/>
        </w:rPr>
        <w:t xml:space="preserve">appeared to </w:t>
      </w:r>
      <w:r w:rsidR="00184672" w:rsidRPr="00B738CB">
        <w:rPr>
          <w:szCs w:val="22"/>
        </w:rPr>
        <w:t xml:space="preserve">achieve </w:t>
      </w:r>
      <w:r w:rsidR="0059329B" w:rsidRPr="00B738CB">
        <w:rPr>
          <w:szCs w:val="22"/>
        </w:rPr>
        <w:t xml:space="preserve">a </w:t>
      </w:r>
      <w:r w:rsidR="00184672" w:rsidRPr="00B738CB">
        <w:rPr>
          <w:szCs w:val="22"/>
        </w:rPr>
        <w:t xml:space="preserve">better response to </w:t>
      </w:r>
      <w:proofErr w:type="spellStart"/>
      <w:r w:rsidR="00184672" w:rsidRPr="00B738CB">
        <w:rPr>
          <w:szCs w:val="22"/>
        </w:rPr>
        <w:t>tiotropium</w:t>
      </w:r>
      <w:proofErr w:type="spellEnd"/>
      <w:r w:rsidR="00184672" w:rsidRPr="00B738CB">
        <w:rPr>
          <w:szCs w:val="22"/>
        </w:rPr>
        <w:t xml:space="preserve"> treatment.</w:t>
      </w:r>
    </w:p>
    <w:p w:rsidR="00E55BB5" w:rsidRPr="00B738CB" w:rsidRDefault="00E55BB5" w:rsidP="00E61788">
      <w:pPr>
        <w:pStyle w:val="Header"/>
        <w:widowControl/>
        <w:rPr>
          <w:szCs w:val="22"/>
        </w:rPr>
      </w:pPr>
    </w:p>
    <w:p w:rsidR="002F2006" w:rsidRDefault="002F2006" w:rsidP="002F2006">
      <w:pPr>
        <w:widowControl/>
        <w:ind w:firstLine="709"/>
      </w:pPr>
      <w:r w:rsidRPr="00D35F2F">
        <w:rPr>
          <w:i/>
          <w:szCs w:val="22"/>
        </w:rPr>
        <w:t>For more detail on PBAC’s view, see section 7 “PBAC outcome”</w:t>
      </w:r>
    </w:p>
    <w:p w:rsidR="005405E9" w:rsidRDefault="005405E9" w:rsidP="00E61788">
      <w:pPr>
        <w:pStyle w:val="Header"/>
        <w:widowControl/>
        <w:rPr>
          <w:szCs w:val="22"/>
        </w:rPr>
      </w:pPr>
    </w:p>
    <w:p w:rsidR="009D7969" w:rsidRPr="00882085" w:rsidRDefault="009D7969" w:rsidP="00E61788">
      <w:pPr>
        <w:pStyle w:val="Header"/>
        <w:widowControl/>
        <w:rPr>
          <w:szCs w:val="22"/>
        </w:rPr>
      </w:pPr>
    </w:p>
    <w:p w:rsidR="00B50DB8" w:rsidRPr="00407F2D" w:rsidRDefault="00B50DB8" w:rsidP="00E61788">
      <w:pPr>
        <w:pStyle w:val="Heading2"/>
        <w:widowControl/>
        <w:numPr>
          <w:ilvl w:val="0"/>
          <w:numId w:val="9"/>
        </w:numPr>
        <w:ind w:left="709" w:hanging="709"/>
        <w:rPr>
          <w:b w:val="0"/>
          <w:szCs w:val="22"/>
        </w:rPr>
      </w:pPr>
      <w:bookmarkStart w:id="9" w:name="_Toc419799906"/>
      <w:r w:rsidRPr="00407F2D">
        <w:rPr>
          <w:szCs w:val="22"/>
        </w:rPr>
        <w:t>Comparator</w:t>
      </w:r>
      <w:bookmarkEnd w:id="9"/>
    </w:p>
    <w:p w:rsidR="00B60939" w:rsidRPr="00882085" w:rsidRDefault="00B60939" w:rsidP="00E61788">
      <w:pPr>
        <w:widowControl/>
      </w:pPr>
    </w:p>
    <w:p w:rsidR="0063091A" w:rsidRPr="0063091A" w:rsidRDefault="0063091A" w:rsidP="00E61788">
      <w:pPr>
        <w:pStyle w:val="ListParagraph"/>
        <w:widowControl/>
        <w:numPr>
          <w:ilvl w:val="1"/>
          <w:numId w:val="9"/>
        </w:numPr>
        <w:rPr>
          <w:szCs w:val="22"/>
        </w:rPr>
      </w:pPr>
      <w:r w:rsidRPr="0063091A">
        <w:t>Placebo plus ICS and LABA</w:t>
      </w:r>
      <w:r w:rsidR="00F067A2" w:rsidRPr="0063091A">
        <w:t xml:space="preserve">.  </w:t>
      </w:r>
      <w:r w:rsidR="004838A8" w:rsidRPr="00B46F3B">
        <w:t>This wa</w:t>
      </w:r>
      <w:r w:rsidR="00F067A2" w:rsidRPr="00B46F3B">
        <w:t>s the appropriate comparator.</w:t>
      </w:r>
    </w:p>
    <w:p w:rsidR="00B60939" w:rsidRDefault="00B60939" w:rsidP="00E61788">
      <w:pPr>
        <w:widowControl/>
        <w:rPr>
          <w:szCs w:val="22"/>
        </w:rPr>
      </w:pPr>
    </w:p>
    <w:p w:rsidR="002F2006" w:rsidRDefault="002F2006" w:rsidP="002F2006">
      <w:pPr>
        <w:widowControl/>
        <w:ind w:firstLine="709"/>
      </w:pPr>
      <w:r w:rsidRPr="00D35F2F">
        <w:rPr>
          <w:i/>
          <w:szCs w:val="22"/>
        </w:rPr>
        <w:t>For more detail on PBAC’s view, see section 7 “PBAC outcome”</w:t>
      </w:r>
    </w:p>
    <w:p w:rsidR="005405E9" w:rsidRDefault="005405E9" w:rsidP="00E61788">
      <w:pPr>
        <w:widowControl/>
        <w:rPr>
          <w:szCs w:val="22"/>
        </w:rPr>
      </w:pPr>
    </w:p>
    <w:p w:rsidR="00E107DF" w:rsidRPr="00DF5D2B" w:rsidRDefault="00E107DF" w:rsidP="00E61788">
      <w:pPr>
        <w:widowControl/>
        <w:rPr>
          <w:szCs w:val="22"/>
        </w:rPr>
      </w:pPr>
    </w:p>
    <w:p w:rsidR="00B50DB8" w:rsidRPr="00407F2D" w:rsidRDefault="00BD6CF3" w:rsidP="00E61788">
      <w:pPr>
        <w:pStyle w:val="Heading2"/>
        <w:widowControl/>
        <w:numPr>
          <w:ilvl w:val="0"/>
          <w:numId w:val="9"/>
        </w:numPr>
        <w:ind w:left="709" w:hanging="709"/>
      </w:pPr>
      <w:bookmarkStart w:id="10" w:name="_Toc419799907"/>
      <w:r>
        <w:t>C</w:t>
      </w:r>
      <w:r w:rsidR="00B50DB8" w:rsidRPr="00407F2D">
        <w:t>onsideration of the evidence</w:t>
      </w:r>
      <w:bookmarkEnd w:id="10"/>
    </w:p>
    <w:p w:rsidR="00B60939" w:rsidRPr="00882085" w:rsidRDefault="00B60939" w:rsidP="00E61788">
      <w:pPr>
        <w:widowControl/>
      </w:pPr>
    </w:p>
    <w:p w:rsidR="00BD2840" w:rsidRPr="00D84D0E" w:rsidRDefault="00BD2840" w:rsidP="00BD2840">
      <w:pPr>
        <w:spacing w:after="200" w:line="276" w:lineRule="auto"/>
        <w:rPr>
          <w:b/>
          <w:bCs/>
          <w:i/>
          <w:szCs w:val="22"/>
        </w:rPr>
      </w:pPr>
      <w:bookmarkStart w:id="11" w:name="_Toc419799908"/>
      <w:r w:rsidRPr="00D84D0E">
        <w:rPr>
          <w:b/>
          <w:bCs/>
          <w:i/>
          <w:szCs w:val="22"/>
        </w:rPr>
        <w:t>Sponsor hearing</w:t>
      </w:r>
    </w:p>
    <w:p w:rsidR="00BD2840" w:rsidRPr="00D84D0E" w:rsidRDefault="00BD2840" w:rsidP="00BD2840">
      <w:pPr>
        <w:numPr>
          <w:ilvl w:val="1"/>
          <w:numId w:val="9"/>
        </w:numPr>
        <w:contextualSpacing/>
        <w:rPr>
          <w:bCs/>
          <w:szCs w:val="22"/>
        </w:rPr>
      </w:pPr>
      <w:r w:rsidRPr="00D84D0E">
        <w:rPr>
          <w:bCs/>
          <w:szCs w:val="22"/>
        </w:rPr>
        <w:t>There was no hearing for this item.</w:t>
      </w:r>
    </w:p>
    <w:p w:rsidR="00BD2840" w:rsidRPr="003A49F2" w:rsidRDefault="00BD2840" w:rsidP="00BD2840">
      <w:pPr>
        <w:rPr>
          <w:bCs/>
          <w:szCs w:val="22"/>
          <w:highlight w:val="yellow"/>
        </w:rPr>
      </w:pPr>
    </w:p>
    <w:p w:rsidR="00BD2840" w:rsidRPr="00407640" w:rsidRDefault="00BD2840" w:rsidP="00BD2840">
      <w:pPr>
        <w:spacing w:after="200" w:line="276" w:lineRule="auto"/>
        <w:rPr>
          <w:b/>
          <w:bCs/>
          <w:i/>
          <w:szCs w:val="22"/>
        </w:rPr>
      </w:pPr>
      <w:r w:rsidRPr="00407640">
        <w:rPr>
          <w:b/>
          <w:bCs/>
          <w:i/>
          <w:szCs w:val="22"/>
        </w:rPr>
        <w:t>Consumer comments</w:t>
      </w:r>
    </w:p>
    <w:p w:rsidR="00BD2840" w:rsidRDefault="00BD2840" w:rsidP="00FE1CEB">
      <w:pPr>
        <w:numPr>
          <w:ilvl w:val="1"/>
          <w:numId w:val="9"/>
        </w:numPr>
        <w:contextualSpacing/>
        <w:rPr>
          <w:bCs/>
          <w:szCs w:val="22"/>
        </w:rPr>
      </w:pPr>
      <w:r w:rsidRPr="00407640">
        <w:rPr>
          <w:bCs/>
          <w:szCs w:val="22"/>
        </w:rPr>
        <w:t xml:space="preserve">The PBAC noted and welcomed the input from organisations (2) via the Consumer Comments facility on the PBS website.  </w:t>
      </w:r>
      <w:r w:rsidR="00B1169B">
        <w:rPr>
          <w:bCs/>
          <w:szCs w:val="22"/>
        </w:rPr>
        <w:t xml:space="preserve">The Lung Foundation </w:t>
      </w:r>
      <w:r w:rsidR="00FE1CEB">
        <w:rPr>
          <w:bCs/>
          <w:szCs w:val="22"/>
        </w:rPr>
        <w:t>commented that i</w:t>
      </w:r>
      <w:r w:rsidR="00FE1CEB" w:rsidRPr="00FE1CEB">
        <w:rPr>
          <w:bCs/>
          <w:szCs w:val="22"/>
        </w:rPr>
        <w:t xml:space="preserve">n two randomised controlled clinical trials in adults with asthma receiving inhaled corticosteroid and long-acting beta2 agonist treatment, the addition of regular </w:t>
      </w:r>
      <w:proofErr w:type="spellStart"/>
      <w:r w:rsidR="00FE1CEB" w:rsidRPr="00FE1CEB">
        <w:rPr>
          <w:bCs/>
          <w:szCs w:val="22"/>
        </w:rPr>
        <w:t>tiotropium</w:t>
      </w:r>
      <w:proofErr w:type="spellEnd"/>
      <w:r w:rsidR="00FE1CEB" w:rsidRPr="00FE1CEB">
        <w:rPr>
          <w:bCs/>
          <w:szCs w:val="22"/>
        </w:rPr>
        <w:t xml:space="preserve"> increased the time to the first severe flare-up and improved lung function, compared with placebo</w:t>
      </w:r>
      <w:r w:rsidR="00FE1CEB">
        <w:rPr>
          <w:bCs/>
          <w:szCs w:val="22"/>
        </w:rPr>
        <w:t xml:space="preserve"> and the Lung Foundation was therefore </w:t>
      </w:r>
      <w:r w:rsidRPr="00407640">
        <w:rPr>
          <w:bCs/>
          <w:szCs w:val="22"/>
        </w:rPr>
        <w:t>support</w:t>
      </w:r>
      <w:r w:rsidR="00FE1CEB">
        <w:rPr>
          <w:bCs/>
          <w:szCs w:val="22"/>
        </w:rPr>
        <w:t>ive of</w:t>
      </w:r>
      <w:r w:rsidRPr="00407640">
        <w:rPr>
          <w:bCs/>
          <w:szCs w:val="22"/>
        </w:rPr>
        <w:t xml:space="preserve"> the </w:t>
      </w:r>
      <w:r w:rsidR="00B1169B">
        <w:rPr>
          <w:bCs/>
          <w:szCs w:val="22"/>
        </w:rPr>
        <w:t xml:space="preserve">addition of </w:t>
      </w:r>
      <w:proofErr w:type="spellStart"/>
      <w:r w:rsidR="00B1169B">
        <w:rPr>
          <w:bCs/>
          <w:szCs w:val="22"/>
        </w:rPr>
        <w:t>tiotropium</w:t>
      </w:r>
      <w:proofErr w:type="spellEnd"/>
      <w:r w:rsidR="00B1169B">
        <w:rPr>
          <w:bCs/>
          <w:szCs w:val="22"/>
        </w:rPr>
        <w:t xml:space="preserve"> as an</w:t>
      </w:r>
      <w:r w:rsidRPr="00407640">
        <w:rPr>
          <w:bCs/>
          <w:szCs w:val="22"/>
        </w:rPr>
        <w:t xml:space="preserve"> additional treatment option for severe asthma.</w:t>
      </w:r>
      <w:r w:rsidR="00FE1CEB">
        <w:rPr>
          <w:bCs/>
          <w:szCs w:val="22"/>
        </w:rPr>
        <w:t xml:space="preserve"> </w:t>
      </w:r>
      <w:r w:rsidR="00FE1CEB" w:rsidRPr="00FE1CEB">
        <w:rPr>
          <w:bCs/>
          <w:szCs w:val="22"/>
        </w:rPr>
        <w:t>The PBAC noted that this advice was supportive of the evid</w:t>
      </w:r>
      <w:r w:rsidR="00DB028A">
        <w:rPr>
          <w:bCs/>
          <w:szCs w:val="22"/>
        </w:rPr>
        <w:t xml:space="preserve">ence provided in the </w:t>
      </w:r>
      <w:r w:rsidR="00D869A2">
        <w:rPr>
          <w:bCs/>
          <w:szCs w:val="22"/>
        </w:rPr>
        <w:t>submission;</w:t>
      </w:r>
      <w:r w:rsidR="00FE1CEB">
        <w:rPr>
          <w:bCs/>
          <w:szCs w:val="22"/>
        </w:rPr>
        <w:t xml:space="preserve"> </w:t>
      </w:r>
      <w:r w:rsidR="00FE1CEB">
        <w:rPr>
          <w:bCs/>
          <w:szCs w:val="22"/>
        </w:rPr>
        <w:lastRenderedPageBreak/>
        <w:t>h</w:t>
      </w:r>
      <w:r w:rsidR="00FE1CEB" w:rsidRPr="00FE1CEB">
        <w:rPr>
          <w:bCs/>
          <w:szCs w:val="22"/>
        </w:rPr>
        <w:t>owever</w:t>
      </w:r>
      <w:r w:rsidR="00DB028A">
        <w:rPr>
          <w:bCs/>
          <w:szCs w:val="22"/>
        </w:rPr>
        <w:t>,</w:t>
      </w:r>
      <w:r w:rsidR="00FE1CEB" w:rsidRPr="00FE1CEB">
        <w:rPr>
          <w:bCs/>
          <w:szCs w:val="22"/>
        </w:rPr>
        <w:t xml:space="preserve"> the</w:t>
      </w:r>
      <w:r w:rsidR="00FE1CEB">
        <w:rPr>
          <w:bCs/>
          <w:szCs w:val="22"/>
        </w:rPr>
        <w:t xml:space="preserve"> increased time to first severe exacerbation</w:t>
      </w:r>
      <w:r w:rsidR="00FE1CEB" w:rsidRPr="00FE1CEB">
        <w:rPr>
          <w:bCs/>
          <w:szCs w:val="22"/>
        </w:rPr>
        <w:t xml:space="preserve"> may not translate in</w:t>
      </w:r>
      <w:r w:rsidR="00FE1CEB">
        <w:rPr>
          <w:bCs/>
          <w:szCs w:val="22"/>
        </w:rPr>
        <w:t>to</w:t>
      </w:r>
      <w:r w:rsidR="00FE1CEB" w:rsidRPr="00FE1CEB">
        <w:rPr>
          <w:bCs/>
          <w:szCs w:val="22"/>
        </w:rPr>
        <w:t xml:space="preserve"> clinically meaningful differences</w:t>
      </w:r>
      <w:r w:rsidR="00FE1CEB">
        <w:rPr>
          <w:bCs/>
          <w:szCs w:val="22"/>
        </w:rPr>
        <w:t>.</w:t>
      </w:r>
    </w:p>
    <w:p w:rsidR="00DB028A" w:rsidRDefault="00DB028A" w:rsidP="00DB028A">
      <w:pPr>
        <w:ind w:left="720"/>
        <w:contextualSpacing/>
        <w:rPr>
          <w:bCs/>
          <w:szCs w:val="22"/>
        </w:rPr>
      </w:pPr>
    </w:p>
    <w:p w:rsidR="00FE1CEB" w:rsidRPr="00407640" w:rsidRDefault="00DB028A" w:rsidP="00DB028A">
      <w:pPr>
        <w:numPr>
          <w:ilvl w:val="1"/>
          <w:numId w:val="9"/>
        </w:numPr>
        <w:contextualSpacing/>
        <w:rPr>
          <w:bCs/>
          <w:szCs w:val="22"/>
        </w:rPr>
      </w:pPr>
      <w:r>
        <w:rPr>
          <w:bCs/>
          <w:szCs w:val="22"/>
        </w:rPr>
        <w:t xml:space="preserve">The PBAC noted </w:t>
      </w:r>
      <w:r w:rsidRPr="00DB028A">
        <w:rPr>
          <w:bCs/>
          <w:szCs w:val="22"/>
        </w:rPr>
        <w:t>The Centre of Research Excellence in Severe Asthma</w:t>
      </w:r>
      <w:r>
        <w:rPr>
          <w:bCs/>
          <w:szCs w:val="22"/>
        </w:rPr>
        <w:t xml:space="preserve"> </w:t>
      </w:r>
      <w:r w:rsidRPr="00DB028A">
        <w:rPr>
          <w:bCs/>
          <w:szCs w:val="22"/>
        </w:rPr>
        <w:t>supported the clinical need for additional treatment options for severe asthma</w:t>
      </w:r>
      <w:r>
        <w:rPr>
          <w:bCs/>
          <w:szCs w:val="22"/>
        </w:rPr>
        <w:t>.</w:t>
      </w:r>
    </w:p>
    <w:p w:rsidR="00E348E7" w:rsidRDefault="00E348E7" w:rsidP="00E348E7">
      <w:pPr>
        <w:pStyle w:val="Heading2"/>
        <w:widowControl/>
        <w:rPr>
          <w:i/>
        </w:rPr>
      </w:pPr>
    </w:p>
    <w:p w:rsidR="000C7D8E" w:rsidRDefault="000C7D8E" w:rsidP="000C7D8E">
      <w:pPr>
        <w:widowControl/>
        <w:ind w:firstLine="709"/>
      </w:pPr>
      <w:r w:rsidRPr="00D35F2F">
        <w:rPr>
          <w:i/>
          <w:szCs w:val="22"/>
        </w:rPr>
        <w:t>For more detail on PBAC’s view, see section 7 “PBAC outcome”</w:t>
      </w:r>
    </w:p>
    <w:p w:rsidR="000C7D8E" w:rsidRPr="000C7D8E" w:rsidRDefault="000C7D8E" w:rsidP="000C7D8E"/>
    <w:p w:rsidR="00E348E7" w:rsidRPr="002C2775" w:rsidRDefault="00E348E7" w:rsidP="00E348E7">
      <w:pPr>
        <w:pStyle w:val="Heading2"/>
        <w:widowControl/>
        <w:rPr>
          <w:i/>
        </w:rPr>
      </w:pPr>
      <w:r w:rsidRPr="002C2775">
        <w:rPr>
          <w:i/>
        </w:rPr>
        <w:t>Clinical trials</w:t>
      </w:r>
      <w:bookmarkEnd w:id="11"/>
    </w:p>
    <w:p w:rsidR="00E348E7" w:rsidRPr="00E348E7" w:rsidRDefault="00E348E7" w:rsidP="00E348E7">
      <w:pPr>
        <w:pStyle w:val="ListParagraph"/>
        <w:widowControl/>
        <w:rPr>
          <w:szCs w:val="22"/>
        </w:rPr>
      </w:pPr>
    </w:p>
    <w:p w:rsidR="007F1017" w:rsidRPr="00B50DB8" w:rsidRDefault="004838A8" w:rsidP="000C7D8E">
      <w:pPr>
        <w:pStyle w:val="ListParagraph"/>
        <w:widowControl/>
        <w:numPr>
          <w:ilvl w:val="1"/>
          <w:numId w:val="9"/>
        </w:numPr>
        <w:rPr>
          <w:szCs w:val="22"/>
        </w:rPr>
      </w:pPr>
      <w:r>
        <w:t>The submission wa</w:t>
      </w:r>
      <w:r w:rsidR="00862502" w:rsidRPr="00862502">
        <w:t xml:space="preserve">s based on </w:t>
      </w:r>
      <w:r w:rsidR="0063091A">
        <w:t>two</w:t>
      </w:r>
      <w:r w:rsidR="000C7D8E" w:rsidRPr="000C7D8E">
        <w:t xml:space="preserve"> randomised, placebo-controlled twin trials, conducted concurrently, </w:t>
      </w:r>
      <w:r>
        <w:t>that compared</w:t>
      </w:r>
      <w:r w:rsidR="00862502" w:rsidRPr="00862502">
        <w:t xml:space="preserve"> </w:t>
      </w:r>
      <w:proofErr w:type="spellStart"/>
      <w:r w:rsidR="0063091A">
        <w:t>tiotropium</w:t>
      </w:r>
      <w:proofErr w:type="spellEnd"/>
      <w:r w:rsidR="0063091A">
        <w:t xml:space="preserve"> </w:t>
      </w:r>
      <w:r w:rsidR="0063091A" w:rsidRPr="0063091A">
        <w:t>plus ICS and LABA</w:t>
      </w:r>
      <w:r w:rsidR="00862502" w:rsidRPr="00862502">
        <w:t xml:space="preserve"> to </w:t>
      </w:r>
      <w:r w:rsidR="0063091A">
        <w:t xml:space="preserve">placebo </w:t>
      </w:r>
      <w:r w:rsidR="0063091A" w:rsidRPr="0063091A">
        <w:t>plus ICS and LABA</w:t>
      </w:r>
      <w:r w:rsidR="000C7D8E">
        <w:t xml:space="preserve">. </w:t>
      </w:r>
      <w:r w:rsidR="000C7D8E" w:rsidRPr="000C7D8E">
        <w:t xml:space="preserve">A combined analysis of </w:t>
      </w:r>
      <w:r w:rsidR="000C7D8E">
        <w:t xml:space="preserve">Trials </w:t>
      </w:r>
      <w:r w:rsidR="000C7D8E" w:rsidRPr="000C7D8E">
        <w:t xml:space="preserve">205.416/205.417 </w:t>
      </w:r>
      <w:r w:rsidR="000C7D8E">
        <w:t>(n=912</w:t>
      </w:r>
      <w:r w:rsidR="000C7D8E" w:rsidRPr="00862502">
        <w:t>)</w:t>
      </w:r>
      <w:r w:rsidR="000C7D8E">
        <w:t xml:space="preserve"> </w:t>
      </w:r>
      <w:r w:rsidR="000C7D8E" w:rsidRPr="000C7D8E">
        <w:t>was specified a priori</w:t>
      </w:r>
      <w:r w:rsidR="00862502" w:rsidRPr="00862502">
        <w:t>.</w:t>
      </w:r>
    </w:p>
    <w:p w:rsidR="00862502" w:rsidRPr="00862502" w:rsidRDefault="00862502" w:rsidP="00E61788">
      <w:pPr>
        <w:widowControl/>
        <w:rPr>
          <w:szCs w:val="22"/>
        </w:rPr>
      </w:pPr>
    </w:p>
    <w:p w:rsidR="00862502" w:rsidRPr="00B50DB8" w:rsidRDefault="00862502" w:rsidP="00E61788">
      <w:pPr>
        <w:pStyle w:val="ListParagraph"/>
        <w:widowControl/>
        <w:numPr>
          <w:ilvl w:val="1"/>
          <w:numId w:val="9"/>
        </w:numPr>
        <w:rPr>
          <w:szCs w:val="22"/>
        </w:rPr>
      </w:pPr>
      <w:r w:rsidRPr="00B50DB8">
        <w:rPr>
          <w:szCs w:val="22"/>
        </w:rPr>
        <w:t>Details of the trials presented in the submission are provided in the table below.</w:t>
      </w:r>
    </w:p>
    <w:p w:rsidR="00862502" w:rsidRPr="00862502" w:rsidRDefault="00862502" w:rsidP="00E61788">
      <w:pPr>
        <w:widowControl/>
        <w:rPr>
          <w:szCs w:val="22"/>
        </w:rPr>
      </w:pPr>
    </w:p>
    <w:p w:rsidR="008F120A" w:rsidRDefault="008F120A" w:rsidP="00E61788">
      <w:pPr>
        <w:widowControl/>
        <w:ind w:firstLine="720"/>
        <w:rPr>
          <w:rStyle w:val="CommentReference"/>
        </w:rPr>
      </w:pPr>
      <w:r w:rsidRPr="000812CA">
        <w:rPr>
          <w:rStyle w:val="CommentReference"/>
        </w:rPr>
        <w:t xml:space="preserve">Table </w:t>
      </w:r>
      <w:r w:rsidR="00E07212">
        <w:rPr>
          <w:rStyle w:val="CommentReference"/>
        </w:rPr>
        <w:t>1</w:t>
      </w:r>
      <w:r w:rsidRPr="000812CA">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78"/>
        <w:gridCol w:w="1966"/>
      </w:tblGrid>
      <w:tr w:rsidR="00E07212" w:rsidRPr="004E2ADC" w:rsidTr="00E07212">
        <w:trPr>
          <w:tblHeader/>
        </w:trPr>
        <w:tc>
          <w:tcPr>
            <w:tcW w:w="1019" w:type="pct"/>
          </w:tcPr>
          <w:p w:rsidR="00E07212" w:rsidRPr="004E2ADC" w:rsidRDefault="00E07212" w:rsidP="00E61788">
            <w:pPr>
              <w:widowControl/>
              <w:jc w:val="left"/>
              <w:rPr>
                <w:rFonts w:ascii="Arial Narrow" w:hAnsi="Arial Narrow"/>
                <w:b/>
                <w:sz w:val="20"/>
              </w:rPr>
            </w:pPr>
            <w:r w:rsidRPr="004E2ADC">
              <w:rPr>
                <w:rFonts w:ascii="Arial Narrow" w:hAnsi="Arial Narrow"/>
                <w:b/>
                <w:sz w:val="20"/>
              </w:rPr>
              <w:t>Trial ID</w:t>
            </w:r>
          </w:p>
        </w:tc>
        <w:tc>
          <w:tcPr>
            <w:tcW w:w="2803" w:type="pct"/>
          </w:tcPr>
          <w:p w:rsidR="00E07212" w:rsidRPr="004E2ADC" w:rsidRDefault="00E07212" w:rsidP="00E61788">
            <w:pPr>
              <w:widowControl/>
              <w:jc w:val="center"/>
              <w:rPr>
                <w:rFonts w:ascii="Arial Narrow" w:hAnsi="Arial Narrow"/>
                <w:b/>
                <w:sz w:val="20"/>
              </w:rPr>
            </w:pPr>
            <w:r w:rsidRPr="004E2ADC">
              <w:rPr>
                <w:rFonts w:ascii="Arial Narrow" w:hAnsi="Arial Narrow"/>
                <w:b/>
                <w:sz w:val="20"/>
              </w:rPr>
              <w:t>Protocol title/ Publication title</w:t>
            </w:r>
          </w:p>
        </w:tc>
        <w:tc>
          <w:tcPr>
            <w:tcW w:w="1178" w:type="pct"/>
          </w:tcPr>
          <w:p w:rsidR="00E07212" w:rsidRPr="004E2ADC" w:rsidRDefault="00E07212" w:rsidP="00E61788">
            <w:pPr>
              <w:widowControl/>
              <w:jc w:val="center"/>
              <w:rPr>
                <w:rFonts w:ascii="Arial Narrow" w:hAnsi="Arial Narrow"/>
                <w:b/>
                <w:sz w:val="20"/>
              </w:rPr>
            </w:pPr>
            <w:r w:rsidRPr="004E2ADC">
              <w:rPr>
                <w:rFonts w:ascii="Arial Narrow" w:hAnsi="Arial Narrow"/>
                <w:b/>
                <w:sz w:val="20"/>
              </w:rPr>
              <w:t>Publication citation</w:t>
            </w:r>
          </w:p>
        </w:tc>
      </w:tr>
      <w:tr w:rsidR="00E07212" w:rsidRPr="004E2ADC" w:rsidTr="00E07212">
        <w:tc>
          <w:tcPr>
            <w:tcW w:w="5000" w:type="pct"/>
            <w:gridSpan w:val="3"/>
          </w:tcPr>
          <w:p w:rsidR="00E07212" w:rsidRPr="004E2ADC" w:rsidRDefault="00E07212" w:rsidP="00E61788">
            <w:pPr>
              <w:widowControl/>
              <w:jc w:val="left"/>
              <w:rPr>
                <w:rFonts w:ascii="Arial Narrow" w:hAnsi="Arial Narrow"/>
                <w:b/>
                <w:sz w:val="20"/>
              </w:rPr>
            </w:pPr>
            <w:r w:rsidRPr="004E2ADC">
              <w:rPr>
                <w:rFonts w:ascii="Arial Narrow" w:hAnsi="Arial Narrow"/>
                <w:b/>
                <w:sz w:val="20"/>
              </w:rPr>
              <w:t>Direct randomised trials</w:t>
            </w:r>
          </w:p>
        </w:tc>
      </w:tr>
      <w:tr w:rsidR="00E07212" w:rsidRPr="004E2ADC" w:rsidTr="00E07212">
        <w:tc>
          <w:tcPr>
            <w:tcW w:w="1019" w:type="pct"/>
          </w:tcPr>
          <w:p w:rsidR="00E07212" w:rsidRPr="004E2ADC" w:rsidRDefault="00E07212" w:rsidP="00E61788">
            <w:pPr>
              <w:widowControl/>
              <w:jc w:val="left"/>
              <w:rPr>
                <w:rFonts w:ascii="Arial Narrow" w:hAnsi="Arial Narrow"/>
                <w:sz w:val="20"/>
              </w:rPr>
            </w:pPr>
            <w:r w:rsidRPr="00B21AC1">
              <w:rPr>
                <w:rFonts w:ascii="Arial Narrow" w:hAnsi="Arial Narrow"/>
                <w:sz w:val="20"/>
              </w:rPr>
              <w:t>205.416</w:t>
            </w:r>
          </w:p>
        </w:tc>
        <w:tc>
          <w:tcPr>
            <w:tcW w:w="2803" w:type="pct"/>
          </w:tcPr>
          <w:p w:rsidR="00E07212" w:rsidRPr="004E2ADC" w:rsidRDefault="00E07212" w:rsidP="00E61788">
            <w:pPr>
              <w:widowControl/>
              <w:jc w:val="left"/>
              <w:rPr>
                <w:rFonts w:ascii="Arial Narrow" w:hAnsi="Arial Narrow"/>
                <w:b/>
                <w:sz w:val="20"/>
              </w:rPr>
            </w:pPr>
            <w:r w:rsidRPr="00B21AC1">
              <w:rPr>
                <w:rFonts w:ascii="Arial Narrow" w:hAnsi="Arial Narrow"/>
                <w:sz w:val="20"/>
              </w:rPr>
              <w:t xml:space="preserve">A Phase III randomised, double-blind, placebo-controlled, parallel group trial to evaluate efficacy and safety of </w:t>
            </w:r>
            <w:proofErr w:type="spellStart"/>
            <w:r w:rsidRPr="00B21AC1">
              <w:rPr>
                <w:rFonts w:ascii="Arial Narrow" w:hAnsi="Arial Narrow"/>
                <w:sz w:val="20"/>
              </w:rPr>
              <w:t>tiotropium</w:t>
            </w:r>
            <w:proofErr w:type="spellEnd"/>
            <w:r w:rsidRPr="00B21AC1">
              <w:rPr>
                <w:rFonts w:ascii="Arial Narrow" w:hAnsi="Arial Narrow"/>
                <w:sz w:val="20"/>
              </w:rPr>
              <w:t xml:space="preserve"> inhalation solution delivered via </w:t>
            </w:r>
            <w:proofErr w:type="spellStart"/>
            <w:r w:rsidRPr="00B21AC1">
              <w:rPr>
                <w:rFonts w:ascii="Arial Narrow" w:hAnsi="Arial Narrow"/>
                <w:sz w:val="20"/>
              </w:rPr>
              <w:t>Respimat</w:t>
            </w:r>
            <w:proofErr w:type="spellEnd"/>
            <w:r w:rsidRPr="00B21AC1">
              <w:rPr>
                <w:rFonts w:ascii="Arial Narrow" w:hAnsi="Arial Narrow"/>
                <w:sz w:val="20"/>
              </w:rPr>
              <w:t xml:space="preserve">® inhaler (5μg/day) over 48 weeks as add-on controller therapy on top of usual care in patients with severe persistent asthma. </w:t>
            </w:r>
          </w:p>
        </w:tc>
        <w:tc>
          <w:tcPr>
            <w:tcW w:w="1178" w:type="pct"/>
          </w:tcPr>
          <w:p w:rsidR="00E07212" w:rsidRPr="004E2ADC" w:rsidRDefault="00E07212" w:rsidP="00E61788">
            <w:pPr>
              <w:widowControl/>
              <w:jc w:val="left"/>
              <w:rPr>
                <w:rFonts w:ascii="Arial Narrow" w:hAnsi="Arial Narrow"/>
                <w:sz w:val="20"/>
              </w:rPr>
            </w:pPr>
            <w:r w:rsidRPr="004E2ADC">
              <w:rPr>
                <w:rFonts w:ascii="Arial Narrow" w:hAnsi="Arial Narrow"/>
                <w:sz w:val="20"/>
              </w:rPr>
              <w:t>Date</w:t>
            </w:r>
            <w:r>
              <w:rPr>
                <w:rFonts w:ascii="Arial Narrow" w:hAnsi="Arial Narrow"/>
                <w:sz w:val="20"/>
              </w:rPr>
              <w:t xml:space="preserve">: </w:t>
            </w:r>
            <w:r w:rsidRPr="00B21AC1">
              <w:rPr>
                <w:rFonts w:ascii="Arial Narrow" w:hAnsi="Arial Narrow"/>
                <w:sz w:val="20"/>
              </w:rPr>
              <w:t>25 April 2013</w:t>
            </w:r>
            <w:r>
              <w:rPr>
                <w:rFonts w:ascii="Arial Narrow" w:hAnsi="Arial Narrow"/>
                <w:sz w:val="20"/>
              </w:rPr>
              <w:t xml:space="preserve"> (revision)</w:t>
            </w:r>
          </w:p>
          <w:p w:rsidR="00E07212" w:rsidRPr="00B21AC1" w:rsidRDefault="00E07212" w:rsidP="00E61788">
            <w:pPr>
              <w:widowControl/>
              <w:jc w:val="left"/>
              <w:rPr>
                <w:rFonts w:ascii="Arial Narrow" w:hAnsi="Arial Narrow"/>
                <w:sz w:val="20"/>
              </w:rPr>
            </w:pPr>
            <w:r w:rsidRPr="00B21AC1">
              <w:rPr>
                <w:rFonts w:ascii="Arial Narrow" w:hAnsi="Arial Narrow"/>
                <w:sz w:val="20"/>
              </w:rPr>
              <w:t>NCT00772538</w:t>
            </w:r>
          </w:p>
        </w:tc>
      </w:tr>
      <w:tr w:rsidR="00E07212" w:rsidRPr="004E2ADC" w:rsidTr="002D197B">
        <w:tc>
          <w:tcPr>
            <w:tcW w:w="1019" w:type="pct"/>
            <w:tcBorders>
              <w:bottom w:val="single" w:sz="4" w:space="0" w:color="auto"/>
            </w:tcBorders>
          </w:tcPr>
          <w:p w:rsidR="00E07212" w:rsidRPr="004E2ADC" w:rsidRDefault="00E07212" w:rsidP="00E61788">
            <w:pPr>
              <w:widowControl/>
              <w:jc w:val="left"/>
              <w:rPr>
                <w:rFonts w:ascii="Arial Narrow" w:hAnsi="Arial Narrow"/>
                <w:sz w:val="20"/>
              </w:rPr>
            </w:pPr>
            <w:r w:rsidRPr="00B21AC1">
              <w:rPr>
                <w:rFonts w:ascii="Arial Narrow" w:hAnsi="Arial Narrow"/>
                <w:sz w:val="20"/>
              </w:rPr>
              <w:t>205.417</w:t>
            </w:r>
          </w:p>
        </w:tc>
        <w:tc>
          <w:tcPr>
            <w:tcW w:w="2803" w:type="pct"/>
            <w:tcBorders>
              <w:bottom w:val="single" w:sz="4" w:space="0" w:color="auto"/>
            </w:tcBorders>
          </w:tcPr>
          <w:p w:rsidR="00E07212" w:rsidRPr="00B21AC1" w:rsidRDefault="00E07212" w:rsidP="00E61788">
            <w:pPr>
              <w:widowControl/>
              <w:jc w:val="left"/>
              <w:rPr>
                <w:rFonts w:ascii="Arial Narrow" w:hAnsi="Arial Narrow"/>
                <w:sz w:val="20"/>
              </w:rPr>
            </w:pPr>
            <w:r w:rsidRPr="00B21AC1">
              <w:rPr>
                <w:rFonts w:ascii="Arial Narrow" w:hAnsi="Arial Narrow"/>
                <w:sz w:val="20"/>
              </w:rPr>
              <w:t>A Phase III randomised, double-blind, placebo-controlled, parallel</w:t>
            </w:r>
            <w:r>
              <w:rPr>
                <w:rFonts w:ascii="Arial Narrow" w:hAnsi="Arial Narrow"/>
                <w:sz w:val="20"/>
              </w:rPr>
              <w:t xml:space="preserve"> </w:t>
            </w:r>
            <w:r w:rsidRPr="00B21AC1">
              <w:rPr>
                <w:rFonts w:ascii="Arial Narrow" w:hAnsi="Arial Narrow"/>
                <w:sz w:val="20"/>
              </w:rPr>
              <w:t>group</w:t>
            </w:r>
            <w:r>
              <w:rPr>
                <w:rFonts w:ascii="Arial Narrow" w:hAnsi="Arial Narrow"/>
                <w:sz w:val="20"/>
              </w:rPr>
              <w:t xml:space="preserve"> </w:t>
            </w:r>
            <w:r w:rsidRPr="00B21AC1">
              <w:rPr>
                <w:rFonts w:ascii="Arial Narrow" w:hAnsi="Arial Narrow"/>
                <w:sz w:val="20"/>
              </w:rPr>
              <w:t xml:space="preserve">trial to evaluate efficacy and safety of </w:t>
            </w:r>
            <w:proofErr w:type="spellStart"/>
            <w:r w:rsidRPr="00B21AC1">
              <w:rPr>
                <w:rFonts w:ascii="Arial Narrow" w:hAnsi="Arial Narrow"/>
                <w:sz w:val="20"/>
              </w:rPr>
              <w:t>tiotropium</w:t>
            </w:r>
            <w:proofErr w:type="spellEnd"/>
            <w:r w:rsidRPr="00B21AC1">
              <w:rPr>
                <w:rFonts w:ascii="Arial Narrow" w:hAnsi="Arial Narrow"/>
                <w:sz w:val="20"/>
              </w:rPr>
              <w:t xml:space="preserve"> inhalation</w:t>
            </w:r>
            <w:r>
              <w:rPr>
                <w:rFonts w:ascii="Arial Narrow" w:hAnsi="Arial Narrow"/>
                <w:sz w:val="20"/>
              </w:rPr>
              <w:t xml:space="preserve"> </w:t>
            </w:r>
            <w:r w:rsidRPr="00B21AC1">
              <w:rPr>
                <w:rFonts w:ascii="Arial Narrow" w:hAnsi="Arial Narrow"/>
                <w:sz w:val="20"/>
              </w:rPr>
              <w:t xml:space="preserve">solution delivered via </w:t>
            </w:r>
            <w:proofErr w:type="spellStart"/>
            <w:r w:rsidRPr="00B21AC1">
              <w:rPr>
                <w:rFonts w:ascii="Arial Narrow" w:hAnsi="Arial Narrow"/>
                <w:sz w:val="20"/>
              </w:rPr>
              <w:t>Respimat</w:t>
            </w:r>
            <w:proofErr w:type="spellEnd"/>
            <w:r w:rsidRPr="00B21AC1">
              <w:rPr>
                <w:rFonts w:ascii="Arial Narrow" w:hAnsi="Arial Narrow"/>
                <w:sz w:val="20"/>
              </w:rPr>
              <w:t>® inhaler (5μg/day) over 48 weeks as</w:t>
            </w:r>
            <w:r>
              <w:rPr>
                <w:rFonts w:ascii="Arial Narrow" w:hAnsi="Arial Narrow"/>
                <w:sz w:val="20"/>
              </w:rPr>
              <w:t xml:space="preserve"> </w:t>
            </w:r>
            <w:r w:rsidRPr="00B21AC1">
              <w:rPr>
                <w:rFonts w:ascii="Arial Narrow" w:hAnsi="Arial Narrow"/>
                <w:sz w:val="20"/>
              </w:rPr>
              <w:t>add-on controller therapy on top of usual care in patients with severe</w:t>
            </w:r>
            <w:r>
              <w:rPr>
                <w:rFonts w:ascii="Arial Narrow" w:hAnsi="Arial Narrow"/>
                <w:sz w:val="20"/>
              </w:rPr>
              <w:t xml:space="preserve"> </w:t>
            </w:r>
            <w:r w:rsidRPr="00B21AC1">
              <w:rPr>
                <w:rFonts w:ascii="Arial Narrow" w:hAnsi="Arial Narrow"/>
                <w:sz w:val="20"/>
              </w:rPr>
              <w:t>persistent asthma</w:t>
            </w:r>
            <w:r>
              <w:rPr>
                <w:rFonts w:ascii="Arial Narrow" w:hAnsi="Arial Narrow"/>
                <w:sz w:val="20"/>
              </w:rPr>
              <w:t>.</w:t>
            </w:r>
          </w:p>
        </w:tc>
        <w:tc>
          <w:tcPr>
            <w:tcW w:w="1178" w:type="pct"/>
            <w:tcBorders>
              <w:bottom w:val="single" w:sz="4" w:space="0" w:color="auto"/>
            </w:tcBorders>
          </w:tcPr>
          <w:p w:rsidR="00E07212" w:rsidRPr="004E2ADC" w:rsidRDefault="00E07212" w:rsidP="00E61788">
            <w:pPr>
              <w:widowControl/>
              <w:jc w:val="left"/>
              <w:rPr>
                <w:rFonts w:ascii="Arial Narrow" w:hAnsi="Arial Narrow"/>
                <w:sz w:val="20"/>
              </w:rPr>
            </w:pPr>
            <w:r w:rsidRPr="004E2ADC">
              <w:rPr>
                <w:rFonts w:ascii="Arial Narrow" w:hAnsi="Arial Narrow"/>
                <w:sz w:val="20"/>
              </w:rPr>
              <w:t>Date</w:t>
            </w:r>
            <w:r>
              <w:rPr>
                <w:rFonts w:ascii="Arial Narrow" w:hAnsi="Arial Narrow"/>
                <w:sz w:val="20"/>
              </w:rPr>
              <w:t xml:space="preserve">: </w:t>
            </w:r>
            <w:r w:rsidRPr="00B21AC1">
              <w:rPr>
                <w:rFonts w:ascii="Arial Narrow" w:hAnsi="Arial Narrow"/>
                <w:sz w:val="20"/>
              </w:rPr>
              <w:t>25 April 2013</w:t>
            </w:r>
            <w:r>
              <w:rPr>
                <w:rFonts w:ascii="Arial Narrow" w:hAnsi="Arial Narrow"/>
                <w:sz w:val="20"/>
              </w:rPr>
              <w:t xml:space="preserve"> (revision)</w:t>
            </w:r>
          </w:p>
          <w:p w:rsidR="00E07212" w:rsidRPr="00B21AC1" w:rsidRDefault="00E07212" w:rsidP="00E61788">
            <w:pPr>
              <w:widowControl/>
              <w:jc w:val="left"/>
              <w:rPr>
                <w:rFonts w:ascii="Arial Narrow" w:hAnsi="Arial Narrow"/>
                <w:b/>
                <w:sz w:val="20"/>
              </w:rPr>
            </w:pPr>
            <w:r w:rsidRPr="00B21AC1">
              <w:rPr>
                <w:rFonts w:ascii="Arial Narrow" w:hAnsi="Arial Narrow"/>
                <w:sz w:val="20"/>
              </w:rPr>
              <w:t>NCT00776984</w:t>
            </w:r>
          </w:p>
        </w:tc>
      </w:tr>
      <w:tr w:rsidR="00E07212" w:rsidRPr="004E2ADC" w:rsidTr="002D197B">
        <w:tc>
          <w:tcPr>
            <w:tcW w:w="1019" w:type="pct"/>
            <w:tcBorders>
              <w:bottom w:val="nil"/>
            </w:tcBorders>
          </w:tcPr>
          <w:p w:rsidR="00E07212" w:rsidRPr="00B21AC1" w:rsidRDefault="00E07212" w:rsidP="00E61788">
            <w:pPr>
              <w:widowControl/>
              <w:jc w:val="left"/>
              <w:rPr>
                <w:rFonts w:ascii="Arial Narrow" w:hAnsi="Arial Narrow"/>
                <w:sz w:val="20"/>
              </w:rPr>
            </w:pPr>
            <w:r w:rsidRPr="00B21AC1">
              <w:rPr>
                <w:rFonts w:ascii="Arial Narrow" w:hAnsi="Arial Narrow"/>
                <w:sz w:val="20"/>
              </w:rPr>
              <w:t>205.416</w:t>
            </w:r>
            <w:r>
              <w:rPr>
                <w:rFonts w:ascii="Arial Narrow" w:hAnsi="Arial Narrow"/>
                <w:sz w:val="20"/>
              </w:rPr>
              <w:t>/</w:t>
            </w:r>
            <w:r w:rsidRPr="00B21AC1">
              <w:rPr>
                <w:rFonts w:ascii="Arial Narrow" w:hAnsi="Arial Narrow"/>
                <w:sz w:val="20"/>
              </w:rPr>
              <w:t>205.41</w:t>
            </w:r>
            <w:r>
              <w:rPr>
                <w:rFonts w:ascii="Arial Narrow" w:hAnsi="Arial Narrow"/>
                <w:sz w:val="20"/>
              </w:rPr>
              <w:t>7</w:t>
            </w:r>
          </w:p>
        </w:tc>
        <w:tc>
          <w:tcPr>
            <w:tcW w:w="2803" w:type="pct"/>
            <w:tcBorders>
              <w:bottom w:val="nil"/>
            </w:tcBorders>
          </w:tcPr>
          <w:p w:rsidR="00E07212" w:rsidRDefault="00E07212" w:rsidP="00E61788">
            <w:pPr>
              <w:widowControl/>
              <w:jc w:val="left"/>
              <w:rPr>
                <w:rFonts w:ascii="Arial Narrow" w:hAnsi="Arial Narrow"/>
                <w:sz w:val="20"/>
              </w:rPr>
            </w:pPr>
            <w:r w:rsidRPr="00803DAC">
              <w:rPr>
                <w:rFonts w:ascii="Arial Narrow" w:hAnsi="Arial Narrow"/>
                <w:sz w:val="20"/>
              </w:rPr>
              <w:t>A Phase III randomised, double-blind, placebo-controlled, parallel</w:t>
            </w:r>
            <w:r w:rsidR="00D73AD4">
              <w:rPr>
                <w:rFonts w:ascii="Arial Narrow" w:hAnsi="Arial Narrow"/>
                <w:sz w:val="20"/>
              </w:rPr>
              <w:t xml:space="preserve"> </w:t>
            </w:r>
            <w:r w:rsidRPr="00803DAC">
              <w:rPr>
                <w:rFonts w:ascii="Arial Narrow" w:hAnsi="Arial Narrow"/>
                <w:sz w:val="20"/>
              </w:rPr>
              <w:t>group</w:t>
            </w:r>
            <w:r>
              <w:rPr>
                <w:rFonts w:ascii="Arial Narrow" w:hAnsi="Arial Narrow"/>
                <w:sz w:val="20"/>
              </w:rPr>
              <w:t xml:space="preserve"> </w:t>
            </w:r>
            <w:r w:rsidRPr="00803DAC">
              <w:rPr>
                <w:rFonts w:ascii="Arial Narrow" w:hAnsi="Arial Narrow"/>
                <w:sz w:val="20"/>
              </w:rPr>
              <w:t xml:space="preserve">trial to evaluate efficacy and safety of </w:t>
            </w:r>
            <w:proofErr w:type="spellStart"/>
            <w:r w:rsidRPr="00803DAC">
              <w:rPr>
                <w:rFonts w:ascii="Arial Narrow" w:hAnsi="Arial Narrow"/>
                <w:sz w:val="20"/>
              </w:rPr>
              <w:t>tiotropium</w:t>
            </w:r>
            <w:proofErr w:type="spellEnd"/>
            <w:r w:rsidRPr="00803DAC">
              <w:rPr>
                <w:rFonts w:ascii="Arial Narrow" w:hAnsi="Arial Narrow"/>
                <w:sz w:val="20"/>
              </w:rPr>
              <w:t xml:space="preserve"> inhalation</w:t>
            </w:r>
            <w:r>
              <w:rPr>
                <w:rFonts w:ascii="Arial Narrow" w:hAnsi="Arial Narrow"/>
                <w:sz w:val="20"/>
              </w:rPr>
              <w:t xml:space="preserve"> </w:t>
            </w:r>
            <w:r w:rsidRPr="00803DAC">
              <w:rPr>
                <w:rFonts w:ascii="Arial Narrow" w:hAnsi="Arial Narrow"/>
                <w:sz w:val="20"/>
              </w:rPr>
              <w:t xml:space="preserve">solution delivered via </w:t>
            </w:r>
            <w:proofErr w:type="spellStart"/>
            <w:r w:rsidRPr="00803DAC">
              <w:rPr>
                <w:rFonts w:ascii="Arial Narrow" w:hAnsi="Arial Narrow"/>
                <w:sz w:val="20"/>
              </w:rPr>
              <w:t>Respimat</w:t>
            </w:r>
            <w:proofErr w:type="spellEnd"/>
            <w:r w:rsidRPr="00803DAC">
              <w:rPr>
                <w:rFonts w:ascii="Arial Narrow" w:hAnsi="Arial Narrow"/>
                <w:sz w:val="20"/>
              </w:rPr>
              <w:t xml:space="preserve">® inhaler (5 </w:t>
            </w:r>
            <w:proofErr w:type="spellStart"/>
            <w:r w:rsidRPr="00803DAC">
              <w:rPr>
                <w:rFonts w:ascii="Arial Narrow" w:hAnsi="Arial Narrow"/>
                <w:sz w:val="20"/>
              </w:rPr>
              <w:t>ìg</w:t>
            </w:r>
            <w:proofErr w:type="spellEnd"/>
            <w:r w:rsidRPr="00803DAC">
              <w:rPr>
                <w:rFonts w:ascii="Arial Narrow" w:hAnsi="Arial Narrow"/>
                <w:sz w:val="20"/>
              </w:rPr>
              <w:t>/day) over 48 weeks as</w:t>
            </w:r>
            <w:r>
              <w:rPr>
                <w:rFonts w:ascii="Arial Narrow" w:hAnsi="Arial Narrow"/>
                <w:sz w:val="20"/>
              </w:rPr>
              <w:t xml:space="preserve"> </w:t>
            </w:r>
            <w:r w:rsidRPr="00803DAC">
              <w:rPr>
                <w:rFonts w:ascii="Arial Narrow" w:hAnsi="Arial Narrow"/>
                <w:sz w:val="20"/>
              </w:rPr>
              <w:t>add-on controller therapy on top of usual care in patients with severe</w:t>
            </w:r>
            <w:r>
              <w:rPr>
                <w:rFonts w:ascii="Arial Narrow" w:hAnsi="Arial Narrow"/>
                <w:sz w:val="20"/>
              </w:rPr>
              <w:t xml:space="preserve"> </w:t>
            </w:r>
            <w:r w:rsidRPr="00803DAC">
              <w:rPr>
                <w:rFonts w:ascii="Arial Narrow" w:hAnsi="Arial Narrow"/>
                <w:sz w:val="20"/>
              </w:rPr>
              <w:t>persistent asthma</w:t>
            </w:r>
          </w:p>
          <w:p w:rsidR="002D197B" w:rsidRPr="00B21AC1" w:rsidRDefault="002D197B" w:rsidP="00E61788">
            <w:pPr>
              <w:widowControl/>
              <w:jc w:val="left"/>
              <w:rPr>
                <w:rFonts w:ascii="Arial Narrow" w:hAnsi="Arial Narrow"/>
                <w:sz w:val="20"/>
              </w:rPr>
            </w:pPr>
          </w:p>
        </w:tc>
        <w:tc>
          <w:tcPr>
            <w:tcW w:w="1178" w:type="pct"/>
            <w:tcBorders>
              <w:bottom w:val="nil"/>
            </w:tcBorders>
          </w:tcPr>
          <w:p w:rsidR="00E07212" w:rsidRPr="00803DAC" w:rsidRDefault="00E07212" w:rsidP="00E61788">
            <w:pPr>
              <w:widowControl/>
              <w:jc w:val="left"/>
              <w:rPr>
                <w:rFonts w:ascii="Arial Narrow" w:hAnsi="Arial Narrow"/>
                <w:sz w:val="20"/>
              </w:rPr>
            </w:pPr>
            <w:r w:rsidRPr="00803DAC">
              <w:rPr>
                <w:rFonts w:ascii="Arial Narrow" w:hAnsi="Arial Narrow"/>
                <w:sz w:val="20"/>
              </w:rPr>
              <w:t>Date: 31 August 2012</w:t>
            </w:r>
          </w:p>
          <w:p w:rsidR="00E07212" w:rsidRDefault="00E07212" w:rsidP="00E61788">
            <w:pPr>
              <w:widowControl/>
              <w:jc w:val="left"/>
              <w:rPr>
                <w:rFonts w:ascii="Arial Narrow" w:hAnsi="Arial Narrow"/>
                <w:sz w:val="20"/>
              </w:rPr>
            </w:pPr>
          </w:p>
          <w:p w:rsidR="00E854DA" w:rsidRDefault="00E854DA" w:rsidP="00E61788">
            <w:pPr>
              <w:widowControl/>
              <w:jc w:val="left"/>
              <w:rPr>
                <w:rFonts w:ascii="Arial Narrow" w:hAnsi="Arial Narrow"/>
                <w:sz w:val="20"/>
              </w:rPr>
            </w:pPr>
          </w:p>
          <w:p w:rsidR="00E07212" w:rsidRPr="004E2ADC" w:rsidRDefault="00E07212" w:rsidP="00E61788">
            <w:pPr>
              <w:widowControl/>
              <w:jc w:val="left"/>
              <w:rPr>
                <w:rFonts w:ascii="Arial Narrow" w:hAnsi="Arial Narrow"/>
                <w:sz w:val="20"/>
              </w:rPr>
            </w:pPr>
          </w:p>
        </w:tc>
      </w:tr>
      <w:tr w:rsidR="002D197B" w:rsidRPr="004E2ADC" w:rsidTr="002D197B">
        <w:tc>
          <w:tcPr>
            <w:tcW w:w="1019" w:type="pct"/>
            <w:tcBorders>
              <w:top w:val="nil"/>
            </w:tcBorders>
          </w:tcPr>
          <w:p w:rsidR="002D197B" w:rsidRPr="00B21AC1" w:rsidRDefault="002D197B" w:rsidP="00E61788">
            <w:pPr>
              <w:widowControl/>
              <w:jc w:val="left"/>
              <w:rPr>
                <w:rFonts w:ascii="Arial Narrow" w:hAnsi="Arial Narrow"/>
                <w:sz w:val="20"/>
              </w:rPr>
            </w:pPr>
            <w:proofErr w:type="spellStart"/>
            <w:r w:rsidRPr="00803DAC">
              <w:rPr>
                <w:rFonts w:ascii="Arial Narrow" w:hAnsi="Arial Narrow"/>
                <w:sz w:val="20"/>
              </w:rPr>
              <w:t>Kerstjens</w:t>
            </w:r>
            <w:proofErr w:type="spellEnd"/>
            <w:r w:rsidRPr="00803DAC">
              <w:rPr>
                <w:rFonts w:ascii="Arial Narrow" w:hAnsi="Arial Narrow"/>
                <w:sz w:val="20"/>
              </w:rPr>
              <w:t>, H.A</w:t>
            </w:r>
          </w:p>
        </w:tc>
        <w:tc>
          <w:tcPr>
            <w:tcW w:w="2803" w:type="pct"/>
            <w:tcBorders>
              <w:top w:val="nil"/>
            </w:tcBorders>
          </w:tcPr>
          <w:p w:rsidR="002D197B" w:rsidRPr="00803DAC" w:rsidRDefault="002D197B" w:rsidP="00E61788">
            <w:pPr>
              <w:widowControl/>
              <w:jc w:val="left"/>
              <w:rPr>
                <w:rFonts w:ascii="Arial Narrow" w:hAnsi="Arial Narrow"/>
                <w:sz w:val="20"/>
              </w:rPr>
            </w:pPr>
            <w:r w:rsidRPr="00AE119F">
              <w:rPr>
                <w:rFonts w:ascii="Arial Narrow" w:hAnsi="Arial Narrow"/>
                <w:sz w:val="20"/>
                <w:lang w:val="da-DK"/>
              </w:rPr>
              <w:t xml:space="preserve">Kerstjens, H.A., Engel, M., Dahl, R., </w:t>
            </w:r>
            <w:r w:rsidRPr="00AE119F">
              <w:rPr>
                <w:rFonts w:ascii="Arial Narrow" w:hAnsi="Arial Narrow"/>
                <w:i/>
                <w:sz w:val="20"/>
                <w:lang w:val="da-DK"/>
              </w:rPr>
              <w:t>et al.</w:t>
            </w:r>
            <w:r w:rsidRPr="00AE119F">
              <w:rPr>
                <w:rFonts w:ascii="Arial Narrow" w:hAnsi="Arial Narrow"/>
                <w:sz w:val="20"/>
                <w:lang w:val="da-DK"/>
              </w:rPr>
              <w:t xml:space="preserve"> </w:t>
            </w:r>
            <w:proofErr w:type="spellStart"/>
            <w:r w:rsidRPr="00803DAC">
              <w:rPr>
                <w:rFonts w:ascii="Arial Narrow" w:hAnsi="Arial Narrow"/>
                <w:sz w:val="20"/>
              </w:rPr>
              <w:t>Tiotropium</w:t>
            </w:r>
            <w:proofErr w:type="spellEnd"/>
            <w:r w:rsidRPr="00803DAC">
              <w:rPr>
                <w:rFonts w:ascii="Arial Narrow" w:hAnsi="Arial Narrow"/>
                <w:sz w:val="20"/>
              </w:rPr>
              <w:t xml:space="preserve"> in asthma poorly controlled with standard combination therapy.</w:t>
            </w:r>
          </w:p>
        </w:tc>
        <w:tc>
          <w:tcPr>
            <w:tcW w:w="1178" w:type="pct"/>
            <w:tcBorders>
              <w:top w:val="nil"/>
            </w:tcBorders>
          </w:tcPr>
          <w:p w:rsidR="002D197B" w:rsidRPr="00803DAC" w:rsidRDefault="002D197B" w:rsidP="00E61788">
            <w:pPr>
              <w:widowControl/>
              <w:jc w:val="left"/>
              <w:rPr>
                <w:rFonts w:ascii="Arial Narrow" w:hAnsi="Arial Narrow"/>
                <w:sz w:val="20"/>
              </w:rPr>
            </w:pPr>
            <w:r w:rsidRPr="00B46F3B">
              <w:rPr>
                <w:rFonts w:ascii="Arial Narrow" w:hAnsi="Arial Narrow"/>
                <w:sz w:val="20"/>
              </w:rPr>
              <w:t xml:space="preserve">N </w:t>
            </w:r>
            <w:proofErr w:type="spellStart"/>
            <w:r w:rsidRPr="00B46F3B">
              <w:rPr>
                <w:rFonts w:ascii="Arial Narrow" w:hAnsi="Arial Narrow"/>
                <w:sz w:val="20"/>
              </w:rPr>
              <w:t>Eng</w:t>
            </w:r>
            <w:proofErr w:type="spellEnd"/>
            <w:r w:rsidRPr="00B46F3B">
              <w:rPr>
                <w:rFonts w:ascii="Arial Narrow" w:hAnsi="Arial Narrow"/>
                <w:sz w:val="20"/>
              </w:rPr>
              <w:t xml:space="preserve"> J Med 2012; 367 </w:t>
            </w:r>
            <w:r w:rsidRPr="00803DAC">
              <w:rPr>
                <w:rFonts w:ascii="Arial Narrow" w:hAnsi="Arial Narrow"/>
                <w:sz w:val="20"/>
              </w:rPr>
              <w:t>(13)</w:t>
            </w:r>
            <w:r>
              <w:rPr>
                <w:rFonts w:ascii="Arial Narrow" w:hAnsi="Arial Narrow"/>
                <w:sz w:val="20"/>
              </w:rPr>
              <w:t>:</w:t>
            </w:r>
            <w:r w:rsidRPr="00803DAC">
              <w:rPr>
                <w:rFonts w:ascii="Arial Narrow" w:hAnsi="Arial Narrow"/>
                <w:sz w:val="20"/>
              </w:rPr>
              <w:t xml:space="preserve"> 1198-120</w:t>
            </w:r>
            <w:r>
              <w:rPr>
                <w:rFonts w:ascii="Arial Narrow" w:hAnsi="Arial Narrow"/>
                <w:sz w:val="20"/>
              </w:rPr>
              <w:t>7</w:t>
            </w:r>
          </w:p>
        </w:tc>
      </w:tr>
      <w:tr w:rsidR="00E07212" w:rsidRPr="004E2ADC" w:rsidTr="00E07212">
        <w:tc>
          <w:tcPr>
            <w:tcW w:w="5000" w:type="pct"/>
            <w:gridSpan w:val="3"/>
          </w:tcPr>
          <w:p w:rsidR="00E07212" w:rsidRPr="004E2ADC" w:rsidRDefault="00E07212" w:rsidP="00E61788">
            <w:pPr>
              <w:widowControl/>
              <w:jc w:val="left"/>
              <w:rPr>
                <w:rFonts w:ascii="Arial Narrow" w:hAnsi="Arial Narrow"/>
                <w:b/>
                <w:sz w:val="20"/>
              </w:rPr>
            </w:pPr>
            <w:r w:rsidRPr="004E2ADC">
              <w:rPr>
                <w:rFonts w:ascii="Arial Narrow" w:hAnsi="Arial Narrow"/>
                <w:b/>
                <w:sz w:val="20"/>
              </w:rPr>
              <w:t>Supplementary randomised trial</w:t>
            </w:r>
          </w:p>
        </w:tc>
      </w:tr>
      <w:tr w:rsidR="00E07212" w:rsidRPr="004E2ADC" w:rsidTr="002D197B">
        <w:tc>
          <w:tcPr>
            <w:tcW w:w="1019" w:type="pct"/>
            <w:tcBorders>
              <w:bottom w:val="nil"/>
            </w:tcBorders>
          </w:tcPr>
          <w:p w:rsidR="00E07212" w:rsidRPr="004E2ADC" w:rsidRDefault="00E07212" w:rsidP="00E61788">
            <w:pPr>
              <w:widowControl/>
              <w:jc w:val="left"/>
              <w:rPr>
                <w:rFonts w:ascii="Arial Narrow" w:hAnsi="Arial Narrow"/>
                <w:sz w:val="20"/>
              </w:rPr>
            </w:pPr>
            <w:r w:rsidRPr="00B21AC1">
              <w:rPr>
                <w:rFonts w:ascii="Arial Narrow" w:hAnsi="Arial Narrow"/>
                <w:sz w:val="20"/>
              </w:rPr>
              <w:t>205.341</w:t>
            </w:r>
          </w:p>
        </w:tc>
        <w:tc>
          <w:tcPr>
            <w:tcW w:w="2803" w:type="pct"/>
            <w:tcBorders>
              <w:bottom w:val="nil"/>
            </w:tcBorders>
          </w:tcPr>
          <w:p w:rsidR="00E07212" w:rsidRDefault="00E07212" w:rsidP="00E61788">
            <w:pPr>
              <w:widowControl/>
              <w:jc w:val="left"/>
              <w:rPr>
                <w:rFonts w:ascii="Arial Narrow" w:hAnsi="Arial Narrow"/>
                <w:sz w:val="20"/>
              </w:rPr>
            </w:pPr>
            <w:r w:rsidRPr="00B21AC1">
              <w:rPr>
                <w:rFonts w:ascii="Arial Narrow" w:hAnsi="Arial Narrow"/>
                <w:sz w:val="20"/>
              </w:rPr>
              <w:t xml:space="preserve">A Randomised, Double-Blind, Placebo-Controlled, Crossover Efficacy and Safety Evaluation of 8-Week Treatment Periods of Two Doses [5 </w:t>
            </w:r>
            <w:proofErr w:type="spellStart"/>
            <w:r w:rsidRPr="00B21AC1">
              <w:rPr>
                <w:rFonts w:ascii="Arial Narrow" w:hAnsi="Arial Narrow"/>
                <w:sz w:val="20"/>
              </w:rPr>
              <w:t>μg</w:t>
            </w:r>
            <w:proofErr w:type="spellEnd"/>
            <w:r w:rsidRPr="00B21AC1">
              <w:rPr>
                <w:rFonts w:ascii="Arial Narrow" w:hAnsi="Arial Narrow"/>
                <w:sz w:val="20"/>
              </w:rPr>
              <w:t xml:space="preserve"> (2 actuations of 2.5 </w:t>
            </w:r>
            <w:proofErr w:type="spellStart"/>
            <w:r w:rsidRPr="00B21AC1">
              <w:rPr>
                <w:rFonts w:ascii="Arial Narrow" w:hAnsi="Arial Narrow"/>
                <w:sz w:val="20"/>
              </w:rPr>
              <w:t>μg</w:t>
            </w:r>
            <w:proofErr w:type="spellEnd"/>
            <w:r w:rsidRPr="00B21AC1">
              <w:rPr>
                <w:rFonts w:ascii="Arial Narrow" w:hAnsi="Arial Narrow"/>
                <w:sz w:val="20"/>
              </w:rPr>
              <w:t xml:space="preserve">) and 10 </w:t>
            </w:r>
            <w:proofErr w:type="spellStart"/>
            <w:r w:rsidRPr="00B21AC1">
              <w:rPr>
                <w:rFonts w:ascii="Arial Narrow" w:hAnsi="Arial Narrow"/>
                <w:sz w:val="20"/>
              </w:rPr>
              <w:t>μg</w:t>
            </w:r>
            <w:proofErr w:type="spellEnd"/>
            <w:r w:rsidRPr="00B21AC1">
              <w:rPr>
                <w:rFonts w:ascii="Arial Narrow" w:hAnsi="Arial Narrow"/>
                <w:sz w:val="20"/>
              </w:rPr>
              <w:t xml:space="preserve"> (2 actuations of 5 </w:t>
            </w:r>
            <w:proofErr w:type="spellStart"/>
            <w:r w:rsidRPr="00B21AC1">
              <w:rPr>
                <w:rFonts w:ascii="Arial Narrow" w:hAnsi="Arial Narrow"/>
                <w:sz w:val="20"/>
              </w:rPr>
              <w:t>μg</w:t>
            </w:r>
            <w:proofErr w:type="spellEnd"/>
            <w:r w:rsidRPr="00B21AC1">
              <w:rPr>
                <w:rFonts w:ascii="Arial Narrow" w:hAnsi="Arial Narrow"/>
                <w:sz w:val="20"/>
              </w:rPr>
              <w:t xml:space="preserve">)] of </w:t>
            </w:r>
            <w:proofErr w:type="spellStart"/>
            <w:r w:rsidRPr="00B21AC1">
              <w:rPr>
                <w:rFonts w:ascii="Arial Narrow" w:hAnsi="Arial Narrow"/>
                <w:sz w:val="20"/>
              </w:rPr>
              <w:t>Tiotropium</w:t>
            </w:r>
            <w:proofErr w:type="spellEnd"/>
            <w:r w:rsidRPr="00B21AC1">
              <w:rPr>
                <w:rFonts w:ascii="Arial Narrow" w:hAnsi="Arial Narrow"/>
                <w:sz w:val="20"/>
              </w:rPr>
              <w:t xml:space="preserve"> Inhalation Solution Delivered by the </w:t>
            </w:r>
            <w:proofErr w:type="spellStart"/>
            <w:r w:rsidRPr="00B21AC1">
              <w:rPr>
                <w:rFonts w:ascii="Arial Narrow" w:hAnsi="Arial Narrow"/>
                <w:sz w:val="20"/>
              </w:rPr>
              <w:t>Respimat</w:t>
            </w:r>
            <w:proofErr w:type="spellEnd"/>
            <w:r w:rsidRPr="00B21AC1">
              <w:rPr>
                <w:rFonts w:ascii="Arial Narrow" w:hAnsi="Arial Narrow"/>
                <w:sz w:val="20"/>
              </w:rPr>
              <w:t>® Inhaler as Add-on Therapy in Patients</w:t>
            </w:r>
            <w:r w:rsidR="002D197B">
              <w:rPr>
                <w:rFonts w:ascii="Arial Narrow" w:hAnsi="Arial Narrow"/>
                <w:sz w:val="20"/>
              </w:rPr>
              <w:t xml:space="preserve"> with severe persistent Asthma.</w:t>
            </w:r>
          </w:p>
          <w:p w:rsidR="002D197B" w:rsidRPr="00B21AC1" w:rsidRDefault="002D197B" w:rsidP="00E61788">
            <w:pPr>
              <w:widowControl/>
              <w:jc w:val="left"/>
              <w:rPr>
                <w:rFonts w:ascii="Arial Narrow" w:hAnsi="Arial Narrow"/>
                <w:sz w:val="20"/>
              </w:rPr>
            </w:pPr>
          </w:p>
        </w:tc>
        <w:tc>
          <w:tcPr>
            <w:tcW w:w="1178" w:type="pct"/>
            <w:tcBorders>
              <w:bottom w:val="nil"/>
            </w:tcBorders>
          </w:tcPr>
          <w:p w:rsidR="00E07212" w:rsidRPr="004E2ADC" w:rsidRDefault="00E07212" w:rsidP="00E61788">
            <w:pPr>
              <w:widowControl/>
              <w:jc w:val="left"/>
              <w:rPr>
                <w:rFonts w:ascii="Arial Narrow" w:hAnsi="Arial Narrow"/>
                <w:sz w:val="20"/>
              </w:rPr>
            </w:pPr>
            <w:r w:rsidRPr="004E2ADC">
              <w:rPr>
                <w:rFonts w:ascii="Arial Narrow" w:hAnsi="Arial Narrow"/>
                <w:sz w:val="20"/>
              </w:rPr>
              <w:t>Date</w:t>
            </w:r>
            <w:r>
              <w:rPr>
                <w:rFonts w:ascii="Arial Narrow" w:hAnsi="Arial Narrow"/>
                <w:sz w:val="20"/>
              </w:rPr>
              <w:t>: 22 October 2008</w:t>
            </w:r>
          </w:p>
          <w:p w:rsidR="00E07212" w:rsidRPr="002D197B" w:rsidRDefault="00E07212" w:rsidP="00E61788">
            <w:pPr>
              <w:widowControl/>
              <w:jc w:val="left"/>
              <w:rPr>
                <w:rFonts w:ascii="Arial Narrow" w:hAnsi="Arial Narrow"/>
                <w:sz w:val="20"/>
              </w:rPr>
            </w:pPr>
            <w:r w:rsidRPr="00B21AC1">
              <w:rPr>
                <w:rFonts w:ascii="Arial Narrow" w:hAnsi="Arial Narrow"/>
                <w:sz w:val="20"/>
              </w:rPr>
              <w:t>NCT00365560</w:t>
            </w:r>
            <w:r w:rsidRPr="00803DAC">
              <w:rPr>
                <w:rFonts w:ascii="Arial Narrow" w:hAnsi="Arial Narrow"/>
                <w:sz w:val="20"/>
              </w:rPr>
              <w:t xml:space="preserve"> </w:t>
            </w:r>
          </w:p>
        </w:tc>
      </w:tr>
      <w:tr w:rsidR="002D197B" w:rsidRPr="004E2ADC" w:rsidTr="002D197B">
        <w:tc>
          <w:tcPr>
            <w:tcW w:w="1019" w:type="pct"/>
            <w:tcBorders>
              <w:top w:val="nil"/>
            </w:tcBorders>
          </w:tcPr>
          <w:p w:rsidR="002D197B" w:rsidRPr="00B21AC1" w:rsidRDefault="002D197B" w:rsidP="00E61788">
            <w:pPr>
              <w:widowControl/>
              <w:jc w:val="left"/>
              <w:rPr>
                <w:rFonts w:ascii="Arial Narrow" w:hAnsi="Arial Narrow"/>
                <w:sz w:val="20"/>
              </w:rPr>
            </w:pPr>
            <w:proofErr w:type="spellStart"/>
            <w:r w:rsidRPr="00803DAC">
              <w:rPr>
                <w:rFonts w:ascii="Arial Narrow" w:hAnsi="Arial Narrow"/>
                <w:sz w:val="20"/>
              </w:rPr>
              <w:t>Kerstjens</w:t>
            </w:r>
            <w:proofErr w:type="spellEnd"/>
            <w:r w:rsidRPr="00803DAC">
              <w:rPr>
                <w:rFonts w:ascii="Arial Narrow" w:hAnsi="Arial Narrow"/>
                <w:sz w:val="20"/>
              </w:rPr>
              <w:t>, H.A</w:t>
            </w:r>
          </w:p>
        </w:tc>
        <w:tc>
          <w:tcPr>
            <w:tcW w:w="2803" w:type="pct"/>
            <w:tcBorders>
              <w:top w:val="nil"/>
            </w:tcBorders>
          </w:tcPr>
          <w:p w:rsidR="002D197B" w:rsidRPr="00B21AC1" w:rsidRDefault="002D197B" w:rsidP="00E61788">
            <w:pPr>
              <w:widowControl/>
              <w:jc w:val="left"/>
              <w:rPr>
                <w:rFonts w:ascii="Arial Narrow" w:hAnsi="Arial Narrow"/>
                <w:sz w:val="20"/>
              </w:rPr>
            </w:pPr>
            <w:r w:rsidRPr="00AE119F">
              <w:rPr>
                <w:rFonts w:ascii="Arial Narrow" w:hAnsi="Arial Narrow"/>
                <w:sz w:val="20"/>
                <w:lang w:val="da-DK"/>
              </w:rPr>
              <w:t xml:space="preserve">Kerstjens, H.A., Disse, B., Schroder-Babo, W., </w:t>
            </w:r>
            <w:r w:rsidRPr="00AE119F">
              <w:rPr>
                <w:rFonts w:ascii="Arial Narrow" w:hAnsi="Arial Narrow"/>
                <w:i/>
                <w:sz w:val="20"/>
                <w:lang w:val="da-DK"/>
              </w:rPr>
              <w:t>et al.</w:t>
            </w:r>
            <w:r w:rsidRPr="00AE119F">
              <w:rPr>
                <w:rFonts w:ascii="Arial Narrow" w:hAnsi="Arial Narrow"/>
                <w:sz w:val="20"/>
                <w:lang w:val="da-DK"/>
              </w:rPr>
              <w:t xml:space="preserve"> </w:t>
            </w:r>
            <w:proofErr w:type="spellStart"/>
            <w:r w:rsidRPr="00803DAC">
              <w:rPr>
                <w:rFonts w:ascii="Arial Narrow" w:hAnsi="Arial Narrow"/>
                <w:sz w:val="20"/>
              </w:rPr>
              <w:t>Tiotropium</w:t>
            </w:r>
            <w:proofErr w:type="spellEnd"/>
            <w:r w:rsidRPr="00803DAC">
              <w:rPr>
                <w:rFonts w:ascii="Arial Narrow" w:hAnsi="Arial Narrow"/>
                <w:sz w:val="20"/>
              </w:rPr>
              <w:t xml:space="preserve"> improves lung function in patients with severe uncontrolled asthma: a randomized controlled trial.</w:t>
            </w:r>
          </w:p>
        </w:tc>
        <w:tc>
          <w:tcPr>
            <w:tcW w:w="1178" w:type="pct"/>
            <w:tcBorders>
              <w:top w:val="nil"/>
            </w:tcBorders>
          </w:tcPr>
          <w:p w:rsidR="002D197B" w:rsidRPr="004E2ADC" w:rsidRDefault="002D197B" w:rsidP="00E61788">
            <w:pPr>
              <w:widowControl/>
              <w:jc w:val="left"/>
              <w:rPr>
                <w:rFonts w:ascii="Arial Narrow" w:hAnsi="Arial Narrow"/>
                <w:sz w:val="20"/>
              </w:rPr>
            </w:pPr>
            <w:r w:rsidRPr="00B46F3B">
              <w:rPr>
                <w:rFonts w:ascii="Arial Narrow" w:hAnsi="Arial Narrow"/>
                <w:sz w:val="20"/>
              </w:rPr>
              <w:t xml:space="preserve">J Allergy </w:t>
            </w:r>
            <w:proofErr w:type="spellStart"/>
            <w:r w:rsidRPr="00B46F3B">
              <w:rPr>
                <w:rFonts w:ascii="Arial Narrow" w:hAnsi="Arial Narrow"/>
                <w:sz w:val="20"/>
              </w:rPr>
              <w:t>Clin</w:t>
            </w:r>
            <w:proofErr w:type="spellEnd"/>
            <w:r w:rsidRPr="00B46F3B">
              <w:rPr>
                <w:rFonts w:ascii="Arial Narrow" w:hAnsi="Arial Narrow"/>
                <w:sz w:val="20"/>
              </w:rPr>
              <w:t xml:space="preserve"> </w:t>
            </w:r>
            <w:proofErr w:type="spellStart"/>
            <w:r w:rsidRPr="00B46F3B">
              <w:rPr>
                <w:rFonts w:ascii="Arial Narrow" w:hAnsi="Arial Narrow"/>
                <w:sz w:val="20"/>
              </w:rPr>
              <w:t>Immunol</w:t>
            </w:r>
            <w:proofErr w:type="spellEnd"/>
            <w:r w:rsidRPr="00803DAC">
              <w:rPr>
                <w:rFonts w:ascii="Arial Narrow" w:hAnsi="Arial Narrow"/>
                <w:sz w:val="20"/>
              </w:rPr>
              <w:t xml:space="preserve"> </w:t>
            </w:r>
            <w:r>
              <w:rPr>
                <w:rFonts w:ascii="Arial Narrow" w:hAnsi="Arial Narrow"/>
                <w:sz w:val="20"/>
              </w:rPr>
              <w:t>2011; 128</w:t>
            </w:r>
            <w:r w:rsidRPr="00803DAC">
              <w:rPr>
                <w:rFonts w:ascii="Arial Narrow" w:hAnsi="Arial Narrow"/>
                <w:sz w:val="20"/>
              </w:rPr>
              <w:t xml:space="preserve"> (2)</w:t>
            </w:r>
            <w:r>
              <w:rPr>
                <w:rFonts w:ascii="Arial Narrow" w:hAnsi="Arial Narrow"/>
                <w:sz w:val="20"/>
              </w:rPr>
              <w:t>:</w:t>
            </w:r>
            <w:r w:rsidRPr="00803DAC">
              <w:rPr>
                <w:rFonts w:ascii="Arial Narrow" w:hAnsi="Arial Narrow"/>
                <w:sz w:val="20"/>
              </w:rPr>
              <w:t xml:space="preserve"> 308-314</w:t>
            </w:r>
          </w:p>
        </w:tc>
      </w:tr>
    </w:tbl>
    <w:p w:rsidR="00862502" w:rsidRPr="00862502" w:rsidRDefault="00E07212" w:rsidP="00E61788">
      <w:pPr>
        <w:pStyle w:val="TableFooter"/>
        <w:widowControl/>
        <w:ind w:firstLine="720"/>
        <w:rPr>
          <w:szCs w:val="22"/>
        </w:rPr>
      </w:pPr>
      <w:r>
        <w:t xml:space="preserve">Source: </w:t>
      </w:r>
      <w:r w:rsidR="008F120A" w:rsidRPr="00D13A3E">
        <w:t>Table</w:t>
      </w:r>
      <w:r>
        <w:t xml:space="preserve"> B.3</w:t>
      </w:r>
      <w:r w:rsidR="00327617">
        <w:t>,</w:t>
      </w:r>
      <w:r w:rsidR="008F120A" w:rsidRPr="00D13A3E">
        <w:t xml:space="preserve"> pp</w:t>
      </w:r>
      <w:r w:rsidR="00327617">
        <w:t>47-49 of the submission</w:t>
      </w:r>
    </w:p>
    <w:p w:rsidR="00862502" w:rsidRPr="008F120A" w:rsidRDefault="00862502" w:rsidP="00E61788">
      <w:pPr>
        <w:widowControl/>
        <w:rPr>
          <w:szCs w:val="22"/>
        </w:rPr>
      </w:pPr>
    </w:p>
    <w:p w:rsidR="00444C0C" w:rsidRPr="004D144C" w:rsidRDefault="00444C0C" w:rsidP="00E61788">
      <w:pPr>
        <w:pStyle w:val="ListParagraph"/>
        <w:widowControl/>
        <w:numPr>
          <w:ilvl w:val="1"/>
          <w:numId w:val="9"/>
        </w:numPr>
        <w:rPr>
          <w:szCs w:val="22"/>
        </w:rPr>
      </w:pPr>
      <w:r>
        <w:t xml:space="preserve">The submission considered Trial 205.341 as supplementary evidence, as the trial was </w:t>
      </w:r>
      <w:r w:rsidRPr="00B46F3B">
        <w:t xml:space="preserve">a three-arm crossover trial of eight weeks, without washout between treatments. </w:t>
      </w:r>
    </w:p>
    <w:p w:rsidR="00444C0C" w:rsidRDefault="00444C0C" w:rsidP="00E61788">
      <w:pPr>
        <w:pStyle w:val="ListParagraph"/>
        <w:widowControl/>
        <w:rPr>
          <w:szCs w:val="22"/>
        </w:rPr>
      </w:pPr>
    </w:p>
    <w:p w:rsidR="00862502" w:rsidRDefault="008F120A" w:rsidP="00E61788">
      <w:pPr>
        <w:pStyle w:val="ListParagraph"/>
        <w:widowControl/>
        <w:numPr>
          <w:ilvl w:val="1"/>
          <w:numId w:val="9"/>
        </w:numPr>
        <w:rPr>
          <w:szCs w:val="22"/>
        </w:rPr>
      </w:pPr>
      <w:r w:rsidRPr="00B50DB8">
        <w:rPr>
          <w:szCs w:val="22"/>
        </w:rPr>
        <w:lastRenderedPageBreak/>
        <w:t>The key features</w:t>
      </w:r>
      <w:r w:rsidR="00E60537">
        <w:rPr>
          <w:szCs w:val="22"/>
        </w:rPr>
        <w:t xml:space="preserve"> of the direct randomised trials</w:t>
      </w:r>
      <w:r w:rsidRPr="00B50DB8">
        <w:rPr>
          <w:szCs w:val="22"/>
        </w:rPr>
        <w:t xml:space="preserve"> are </w:t>
      </w:r>
      <w:r w:rsidR="00E60537">
        <w:rPr>
          <w:szCs w:val="22"/>
        </w:rPr>
        <w:t xml:space="preserve">summarised in the table below. </w:t>
      </w:r>
    </w:p>
    <w:p w:rsidR="007F1017" w:rsidRDefault="007F1017" w:rsidP="00E61788">
      <w:pPr>
        <w:widowControl/>
        <w:rPr>
          <w:szCs w:val="22"/>
        </w:rPr>
      </w:pPr>
    </w:p>
    <w:p w:rsidR="007F1017" w:rsidRPr="00E2771E" w:rsidRDefault="007F1017" w:rsidP="00E61788">
      <w:pPr>
        <w:keepNext/>
        <w:widowControl/>
        <w:ind w:firstLine="720"/>
        <w:rPr>
          <w:rStyle w:val="CommentReference"/>
        </w:rPr>
      </w:pPr>
      <w:r w:rsidRPr="00E2771E">
        <w:rPr>
          <w:rStyle w:val="CommentReference"/>
        </w:rPr>
        <w:t>T</w:t>
      </w:r>
      <w:r w:rsidR="00E60537">
        <w:rPr>
          <w:rStyle w:val="CommentReference"/>
        </w:rPr>
        <w:t>able 2</w:t>
      </w:r>
      <w:r w:rsidRPr="00E2771E">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422"/>
        <w:gridCol w:w="1133"/>
        <w:gridCol w:w="846"/>
        <w:gridCol w:w="1130"/>
        <w:gridCol w:w="2545"/>
        <w:gridCol w:w="1142"/>
      </w:tblGrid>
      <w:tr w:rsidR="00E60537" w:rsidRPr="00E2771E" w:rsidTr="003B7DA4">
        <w:trPr>
          <w:tblHeader/>
        </w:trPr>
        <w:tc>
          <w:tcPr>
            <w:tcW w:w="675" w:type="pct"/>
            <w:shd w:val="clear" w:color="auto" w:fill="auto"/>
            <w:vAlign w:val="center"/>
          </w:tcPr>
          <w:p w:rsidR="007F1017" w:rsidRPr="00E2771E" w:rsidRDefault="007F1017" w:rsidP="00E61788">
            <w:pPr>
              <w:keepNext/>
              <w:widowControl/>
              <w:jc w:val="left"/>
              <w:rPr>
                <w:rFonts w:ascii="Arial Narrow" w:hAnsi="Arial Narrow"/>
                <w:b/>
                <w:sz w:val="20"/>
                <w:lang w:val="en-US"/>
              </w:rPr>
            </w:pPr>
            <w:r w:rsidRPr="00E2771E">
              <w:rPr>
                <w:rFonts w:ascii="Arial Narrow" w:hAnsi="Arial Narrow"/>
                <w:b/>
                <w:sz w:val="20"/>
                <w:lang w:val="en-US"/>
              </w:rPr>
              <w:t>Trial</w:t>
            </w:r>
          </w:p>
        </w:tc>
        <w:tc>
          <w:tcPr>
            <w:tcW w:w="253" w:type="pct"/>
            <w:shd w:val="clear" w:color="auto" w:fill="auto"/>
            <w:vAlign w:val="center"/>
          </w:tcPr>
          <w:p w:rsidR="007F1017" w:rsidRPr="00E2771E" w:rsidRDefault="007F1017" w:rsidP="00E61788">
            <w:pPr>
              <w:keepNext/>
              <w:widowControl/>
              <w:jc w:val="center"/>
              <w:rPr>
                <w:rFonts w:ascii="Arial Narrow" w:hAnsi="Arial Narrow"/>
                <w:b/>
                <w:sz w:val="20"/>
                <w:lang w:val="en-US"/>
              </w:rPr>
            </w:pPr>
            <w:r w:rsidRPr="00E2771E">
              <w:rPr>
                <w:rFonts w:ascii="Arial Narrow" w:hAnsi="Arial Narrow"/>
                <w:b/>
                <w:sz w:val="20"/>
                <w:lang w:val="en-US"/>
              </w:rPr>
              <w:t>N</w:t>
            </w:r>
          </w:p>
        </w:tc>
        <w:tc>
          <w:tcPr>
            <w:tcW w:w="679" w:type="pct"/>
            <w:shd w:val="clear" w:color="auto" w:fill="auto"/>
            <w:vAlign w:val="center"/>
          </w:tcPr>
          <w:p w:rsidR="007F1017" w:rsidRPr="00E2771E" w:rsidRDefault="007F1017" w:rsidP="00E61788">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507" w:type="pct"/>
            <w:shd w:val="clear" w:color="auto" w:fill="auto"/>
            <w:vAlign w:val="center"/>
          </w:tcPr>
          <w:p w:rsidR="007F1017" w:rsidRPr="00E2771E" w:rsidRDefault="007F1017" w:rsidP="00E61788">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677" w:type="pct"/>
            <w:shd w:val="clear" w:color="auto" w:fill="auto"/>
            <w:vAlign w:val="center"/>
          </w:tcPr>
          <w:p w:rsidR="007F1017" w:rsidRPr="00E2771E" w:rsidRDefault="007F1017" w:rsidP="00E61788">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1525" w:type="pct"/>
            <w:shd w:val="clear" w:color="auto" w:fill="auto"/>
            <w:vAlign w:val="center"/>
          </w:tcPr>
          <w:p w:rsidR="007F1017" w:rsidRPr="00E2771E" w:rsidRDefault="00E60537" w:rsidP="00E61788">
            <w:pPr>
              <w:keepNext/>
              <w:widowControl/>
              <w:jc w:val="center"/>
              <w:rPr>
                <w:rFonts w:ascii="Arial Narrow" w:hAnsi="Arial Narrow"/>
                <w:b/>
                <w:sz w:val="20"/>
                <w:lang w:val="en-US"/>
              </w:rPr>
            </w:pPr>
            <w:r>
              <w:rPr>
                <w:rFonts w:ascii="Arial Narrow" w:hAnsi="Arial Narrow"/>
                <w:b/>
                <w:sz w:val="20"/>
                <w:lang w:val="en-US"/>
              </w:rPr>
              <w:t>Outcomes</w:t>
            </w:r>
          </w:p>
        </w:tc>
        <w:tc>
          <w:tcPr>
            <w:tcW w:w="684" w:type="pct"/>
            <w:shd w:val="clear" w:color="auto" w:fill="auto"/>
            <w:vAlign w:val="center"/>
          </w:tcPr>
          <w:p w:rsidR="007F1017" w:rsidRPr="00E2771E" w:rsidRDefault="007F1017" w:rsidP="00E61788">
            <w:pPr>
              <w:keepNext/>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7F1017" w:rsidRPr="00E2771E" w:rsidTr="00E22A0D">
        <w:tc>
          <w:tcPr>
            <w:tcW w:w="5000" w:type="pct"/>
            <w:gridSpan w:val="7"/>
            <w:shd w:val="clear" w:color="auto" w:fill="auto"/>
            <w:vAlign w:val="center"/>
          </w:tcPr>
          <w:p w:rsidR="007F1017" w:rsidRPr="00E2771E" w:rsidRDefault="00E60537" w:rsidP="00E61788">
            <w:pPr>
              <w:keepNext/>
              <w:widowControl/>
              <w:jc w:val="left"/>
              <w:rPr>
                <w:rFonts w:ascii="Arial Narrow" w:hAnsi="Arial Narrow"/>
                <w:b/>
                <w:sz w:val="20"/>
                <w:lang w:val="en-US"/>
              </w:rPr>
            </w:pPr>
            <w:proofErr w:type="spellStart"/>
            <w:r>
              <w:rPr>
                <w:rFonts w:ascii="Arial Narrow" w:hAnsi="Arial Narrow"/>
                <w:b/>
                <w:sz w:val="20"/>
                <w:lang w:val="en-US"/>
              </w:rPr>
              <w:t>Tiotropium</w:t>
            </w:r>
            <w:proofErr w:type="spellEnd"/>
            <w:r w:rsidR="007F1017" w:rsidRPr="00E2771E">
              <w:rPr>
                <w:rFonts w:ascii="Arial Narrow" w:hAnsi="Arial Narrow"/>
                <w:b/>
                <w:sz w:val="20"/>
                <w:lang w:val="en-US"/>
              </w:rPr>
              <w:t xml:space="preserve"> vs.</w:t>
            </w:r>
            <w:r>
              <w:rPr>
                <w:rFonts w:ascii="Arial Narrow" w:hAnsi="Arial Narrow"/>
                <w:b/>
                <w:sz w:val="20"/>
                <w:lang w:val="en-US"/>
              </w:rPr>
              <w:t xml:space="preserve"> placebo</w:t>
            </w:r>
          </w:p>
        </w:tc>
      </w:tr>
      <w:tr w:rsidR="00E60537" w:rsidRPr="00E2771E" w:rsidTr="003B7DA4">
        <w:tc>
          <w:tcPr>
            <w:tcW w:w="675" w:type="pct"/>
            <w:shd w:val="clear" w:color="auto" w:fill="auto"/>
            <w:vAlign w:val="center"/>
          </w:tcPr>
          <w:p w:rsidR="007F1017" w:rsidRPr="00E2771E" w:rsidRDefault="00E60537" w:rsidP="00E61788">
            <w:pPr>
              <w:keepNext/>
              <w:widowControl/>
              <w:jc w:val="left"/>
              <w:rPr>
                <w:rFonts w:ascii="Arial Narrow" w:hAnsi="Arial Narrow"/>
                <w:sz w:val="20"/>
                <w:lang w:val="en-US"/>
              </w:rPr>
            </w:pPr>
            <w:r>
              <w:rPr>
                <w:rFonts w:ascii="Arial Narrow" w:hAnsi="Arial Narrow"/>
                <w:sz w:val="20"/>
              </w:rPr>
              <w:t>205.416</w:t>
            </w:r>
          </w:p>
        </w:tc>
        <w:tc>
          <w:tcPr>
            <w:tcW w:w="253" w:type="pct"/>
            <w:shd w:val="clear" w:color="auto" w:fill="auto"/>
            <w:vAlign w:val="center"/>
          </w:tcPr>
          <w:p w:rsidR="007F1017" w:rsidRPr="00E2771E" w:rsidRDefault="0052543E" w:rsidP="00E61788">
            <w:pPr>
              <w:keepNext/>
              <w:widowControl/>
              <w:jc w:val="center"/>
              <w:rPr>
                <w:rFonts w:ascii="Arial Narrow" w:hAnsi="Arial Narrow"/>
                <w:sz w:val="20"/>
                <w:lang w:val="en-US"/>
              </w:rPr>
            </w:pPr>
            <w:r>
              <w:rPr>
                <w:rFonts w:ascii="Arial Narrow" w:hAnsi="Arial Narrow"/>
                <w:sz w:val="20"/>
                <w:lang w:val="en-US"/>
              </w:rPr>
              <w:t>459</w:t>
            </w:r>
          </w:p>
        </w:tc>
        <w:tc>
          <w:tcPr>
            <w:tcW w:w="679" w:type="pct"/>
            <w:shd w:val="clear" w:color="auto" w:fill="auto"/>
            <w:vAlign w:val="center"/>
          </w:tcPr>
          <w:p w:rsidR="007F1017" w:rsidRPr="00E2771E" w:rsidRDefault="007F1017" w:rsidP="00E61788">
            <w:pPr>
              <w:keepNext/>
              <w:widowControl/>
              <w:jc w:val="center"/>
              <w:rPr>
                <w:rFonts w:ascii="Arial Narrow" w:hAnsi="Arial Narrow"/>
                <w:sz w:val="20"/>
                <w:lang w:val="en-US"/>
              </w:rPr>
            </w:pPr>
            <w:r w:rsidRPr="00E2771E">
              <w:rPr>
                <w:rFonts w:ascii="Arial Narrow" w:hAnsi="Arial Narrow"/>
                <w:sz w:val="20"/>
                <w:lang w:val="en-US"/>
              </w:rPr>
              <w:t>R, DB</w:t>
            </w:r>
            <w:r w:rsidR="00D40F2F">
              <w:rPr>
                <w:rFonts w:ascii="Arial Narrow" w:hAnsi="Arial Narrow"/>
                <w:sz w:val="20"/>
                <w:lang w:val="en-US"/>
              </w:rPr>
              <w:t>, MC</w:t>
            </w:r>
          </w:p>
          <w:p w:rsidR="007F1017" w:rsidRPr="00E2771E" w:rsidRDefault="00E60537" w:rsidP="00E61788">
            <w:pPr>
              <w:keepNext/>
              <w:widowControl/>
              <w:jc w:val="center"/>
              <w:rPr>
                <w:rFonts w:ascii="Arial Narrow" w:hAnsi="Arial Narrow"/>
                <w:sz w:val="20"/>
                <w:lang w:val="en-US"/>
              </w:rPr>
            </w:pPr>
            <w:r>
              <w:rPr>
                <w:rFonts w:ascii="Arial Narrow" w:hAnsi="Arial Narrow"/>
                <w:sz w:val="20"/>
                <w:lang w:val="en-US"/>
              </w:rPr>
              <w:t>52</w:t>
            </w:r>
            <w:r w:rsidR="007F1017" w:rsidRPr="00E2771E">
              <w:rPr>
                <w:rFonts w:ascii="Arial Narrow" w:hAnsi="Arial Narrow"/>
                <w:sz w:val="20"/>
                <w:lang w:val="en-US"/>
              </w:rPr>
              <w:t xml:space="preserve"> </w:t>
            </w:r>
            <w:r>
              <w:rPr>
                <w:rFonts w:ascii="Arial Narrow" w:hAnsi="Arial Narrow"/>
                <w:sz w:val="20"/>
                <w:lang w:val="en-US"/>
              </w:rPr>
              <w:t>weeks</w:t>
            </w:r>
          </w:p>
        </w:tc>
        <w:tc>
          <w:tcPr>
            <w:tcW w:w="507" w:type="pct"/>
            <w:shd w:val="clear" w:color="auto" w:fill="auto"/>
            <w:vAlign w:val="center"/>
          </w:tcPr>
          <w:p w:rsidR="007F1017" w:rsidRPr="00E2771E" w:rsidRDefault="007F1017" w:rsidP="00E61788">
            <w:pPr>
              <w:keepNext/>
              <w:widowControl/>
              <w:jc w:val="center"/>
              <w:rPr>
                <w:rFonts w:ascii="Arial Narrow" w:hAnsi="Arial Narrow"/>
                <w:sz w:val="20"/>
                <w:lang w:val="en-US"/>
              </w:rPr>
            </w:pPr>
            <w:r w:rsidRPr="00E2771E">
              <w:rPr>
                <w:rFonts w:ascii="Arial Narrow" w:hAnsi="Arial Narrow"/>
                <w:sz w:val="20"/>
                <w:lang w:val="en-US"/>
              </w:rPr>
              <w:t>Low</w:t>
            </w:r>
          </w:p>
        </w:tc>
        <w:tc>
          <w:tcPr>
            <w:tcW w:w="677" w:type="pct"/>
            <w:shd w:val="clear" w:color="auto" w:fill="auto"/>
            <w:vAlign w:val="center"/>
          </w:tcPr>
          <w:p w:rsidR="007F1017" w:rsidRPr="00E2771E" w:rsidRDefault="009A35C7" w:rsidP="00E61788">
            <w:pPr>
              <w:keepNext/>
              <w:widowControl/>
              <w:jc w:val="center"/>
              <w:rPr>
                <w:rFonts w:ascii="Arial Narrow" w:hAnsi="Arial Narrow"/>
                <w:sz w:val="20"/>
                <w:lang w:val="en-US"/>
              </w:rPr>
            </w:pPr>
            <w:r>
              <w:rPr>
                <w:rFonts w:ascii="Arial Narrow" w:hAnsi="Arial Narrow"/>
                <w:sz w:val="20"/>
                <w:lang w:val="en-US"/>
              </w:rPr>
              <w:t>Severe a</w:t>
            </w:r>
            <w:r w:rsidR="00E60537">
              <w:rPr>
                <w:rFonts w:ascii="Arial Narrow" w:hAnsi="Arial Narrow"/>
                <w:sz w:val="20"/>
                <w:lang w:val="en-US"/>
              </w:rPr>
              <w:t>sthma</w:t>
            </w:r>
          </w:p>
        </w:tc>
        <w:tc>
          <w:tcPr>
            <w:tcW w:w="1525" w:type="pct"/>
            <w:shd w:val="clear" w:color="auto" w:fill="auto"/>
          </w:tcPr>
          <w:p w:rsidR="00E60537" w:rsidRPr="00E60537" w:rsidRDefault="00E60537" w:rsidP="00E61788">
            <w:pPr>
              <w:keepNext/>
              <w:widowControl/>
              <w:jc w:val="left"/>
              <w:rPr>
                <w:rFonts w:ascii="Arial Narrow" w:hAnsi="Arial Narrow"/>
                <w:sz w:val="20"/>
                <w:lang w:val="en-US"/>
              </w:rPr>
            </w:pPr>
            <w:r>
              <w:rPr>
                <w:rFonts w:ascii="Arial Narrow" w:hAnsi="Arial Narrow"/>
                <w:sz w:val="20"/>
                <w:lang w:val="en-US"/>
              </w:rPr>
              <w:t>FEV</w:t>
            </w:r>
            <w:r w:rsidRPr="00E60537">
              <w:rPr>
                <w:rFonts w:ascii="Arial Narrow" w:hAnsi="Arial Narrow"/>
                <w:sz w:val="20"/>
                <w:vertAlign w:val="subscript"/>
                <w:lang w:val="en-US"/>
              </w:rPr>
              <w:t>1</w:t>
            </w:r>
            <w:r>
              <w:rPr>
                <w:rFonts w:ascii="Arial Narrow" w:hAnsi="Arial Narrow"/>
                <w:sz w:val="20"/>
                <w:lang w:val="en-US"/>
              </w:rPr>
              <w:t xml:space="preserve"> peak (0-3h) at</w:t>
            </w:r>
            <w:r w:rsidRPr="00E60537">
              <w:rPr>
                <w:rFonts w:ascii="Arial Narrow" w:hAnsi="Arial Narrow"/>
                <w:sz w:val="20"/>
                <w:lang w:val="en-US"/>
              </w:rPr>
              <w:t xml:space="preserve"> 24 </w:t>
            </w:r>
            <w:r>
              <w:rPr>
                <w:rFonts w:ascii="Arial Narrow" w:hAnsi="Arial Narrow"/>
                <w:sz w:val="20"/>
                <w:lang w:val="en-US"/>
              </w:rPr>
              <w:t>weeks</w:t>
            </w:r>
          </w:p>
          <w:p w:rsidR="00E60537" w:rsidRPr="00E60537" w:rsidRDefault="00E60537" w:rsidP="00E61788">
            <w:pPr>
              <w:keepNext/>
              <w:widowControl/>
              <w:jc w:val="left"/>
              <w:rPr>
                <w:rFonts w:ascii="Arial Narrow" w:hAnsi="Arial Narrow"/>
                <w:sz w:val="20"/>
                <w:lang w:val="en-US"/>
              </w:rPr>
            </w:pPr>
            <w:r>
              <w:rPr>
                <w:rFonts w:ascii="Arial Narrow" w:hAnsi="Arial Narrow"/>
                <w:sz w:val="20"/>
                <w:lang w:val="en-US"/>
              </w:rPr>
              <w:t>Trough FEV</w:t>
            </w:r>
            <w:r w:rsidRPr="00E60537">
              <w:rPr>
                <w:rFonts w:ascii="Arial Narrow" w:hAnsi="Arial Narrow"/>
                <w:sz w:val="20"/>
                <w:vertAlign w:val="subscript"/>
                <w:lang w:val="en-US"/>
              </w:rPr>
              <w:t>1</w:t>
            </w:r>
            <w:r>
              <w:rPr>
                <w:rFonts w:ascii="Arial Narrow" w:hAnsi="Arial Narrow"/>
                <w:sz w:val="20"/>
                <w:lang w:val="en-US"/>
              </w:rPr>
              <w:t xml:space="preserve"> at </w:t>
            </w:r>
            <w:r w:rsidRPr="00E60537">
              <w:rPr>
                <w:rFonts w:ascii="Arial Narrow" w:hAnsi="Arial Narrow"/>
                <w:sz w:val="20"/>
                <w:lang w:val="en-US"/>
              </w:rPr>
              <w:t xml:space="preserve">24 </w:t>
            </w:r>
            <w:r>
              <w:rPr>
                <w:rFonts w:ascii="Arial Narrow" w:hAnsi="Arial Narrow"/>
                <w:sz w:val="20"/>
                <w:lang w:val="en-US"/>
              </w:rPr>
              <w:t>weeks</w:t>
            </w:r>
          </w:p>
          <w:p w:rsidR="007F1017" w:rsidRDefault="00E60537" w:rsidP="00E61788">
            <w:pPr>
              <w:keepNext/>
              <w:widowControl/>
              <w:jc w:val="left"/>
              <w:rPr>
                <w:rFonts w:ascii="Arial Narrow" w:hAnsi="Arial Narrow"/>
                <w:sz w:val="20"/>
                <w:lang w:val="en-US"/>
              </w:rPr>
            </w:pPr>
            <w:r w:rsidRPr="00E60537">
              <w:rPr>
                <w:rFonts w:ascii="Arial Narrow" w:hAnsi="Arial Narrow"/>
                <w:sz w:val="20"/>
                <w:lang w:val="en-US"/>
              </w:rPr>
              <w:t>Time to 1st severe exac</w:t>
            </w:r>
            <w:r>
              <w:rPr>
                <w:rFonts w:ascii="Arial Narrow" w:hAnsi="Arial Narrow"/>
                <w:sz w:val="20"/>
                <w:lang w:val="en-US"/>
              </w:rPr>
              <w:t>erbation to</w:t>
            </w:r>
            <w:r w:rsidRPr="00E60537">
              <w:rPr>
                <w:rFonts w:ascii="Arial Narrow" w:hAnsi="Arial Narrow"/>
                <w:sz w:val="20"/>
                <w:lang w:val="en-US"/>
              </w:rPr>
              <w:t xml:space="preserve"> 48 </w:t>
            </w:r>
            <w:r>
              <w:rPr>
                <w:rFonts w:ascii="Arial Narrow" w:hAnsi="Arial Narrow"/>
                <w:sz w:val="20"/>
                <w:lang w:val="en-US"/>
              </w:rPr>
              <w:t>weeks</w:t>
            </w:r>
          </w:p>
          <w:p w:rsidR="009A35C7" w:rsidRPr="00E2771E" w:rsidRDefault="009A35C7" w:rsidP="00E61788">
            <w:pPr>
              <w:keepNext/>
              <w:widowControl/>
              <w:jc w:val="left"/>
              <w:rPr>
                <w:rFonts w:ascii="Arial Narrow" w:hAnsi="Arial Narrow"/>
                <w:sz w:val="20"/>
                <w:lang w:val="en-US"/>
              </w:rPr>
            </w:pPr>
            <w:r>
              <w:rPr>
                <w:rFonts w:ascii="Arial Narrow" w:hAnsi="Arial Narrow"/>
                <w:sz w:val="20"/>
                <w:lang w:val="en-US"/>
              </w:rPr>
              <w:t>ACQ-7</w:t>
            </w:r>
          </w:p>
        </w:tc>
        <w:tc>
          <w:tcPr>
            <w:tcW w:w="684" w:type="pct"/>
            <w:shd w:val="clear" w:color="auto" w:fill="auto"/>
            <w:vAlign w:val="center"/>
          </w:tcPr>
          <w:p w:rsidR="007F1017" w:rsidRPr="00E2771E" w:rsidRDefault="007F1017" w:rsidP="00E61788">
            <w:pPr>
              <w:keepNext/>
              <w:widowControl/>
              <w:jc w:val="center"/>
              <w:rPr>
                <w:rFonts w:ascii="Arial Narrow" w:hAnsi="Arial Narrow"/>
                <w:sz w:val="20"/>
                <w:lang w:val="en-US"/>
              </w:rPr>
            </w:pPr>
            <w:r w:rsidRPr="00E2771E">
              <w:rPr>
                <w:rFonts w:ascii="Arial Narrow" w:hAnsi="Arial Narrow"/>
                <w:sz w:val="20"/>
                <w:lang w:val="en-US"/>
              </w:rPr>
              <w:t>Not used</w:t>
            </w:r>
          </w:p>
        </w:tc>
      </w:tr>
      <w:tr w:rsidR="00E60537" w:rsidRPr="00E2771E" w:rsidTr="003B7DA4">
        <w:tc>
          <w:tcPr>
            <w:tcW w:w="675" w:type="pct"/>
            <w:shd w:val="clear" w:color="auto" w:fill="auto"/>
            <w:vAlign w:val="center"/>
          </w:tcPr>
          <w:p w:rsidR="007F1017" w:rsidRPr="00E2771E" w:rsidRDefault="00E60537" w:rsidP="00E61788">
            <w:pPr>
              <w:keepNext/>
              <w:widowControl/>
              <w:jc w:val="left"/>
              <w:rPr>
                <w:rFonts w:ascii="Arial Narrow" w:hAnsi="Arial Narrow"/>
                <w:sz w:val="20"/>
                <w:lang w:val="en-US"/>
              </w:rPr>
            </w:pPr>
            <w:r>
              <w:rPr>
                <w:rFonts w:ascii="Arial Narrow" w:hAnsi="Arial Narrow"/>
                <w:sz w:val="20"/>
              </w:rPr>
              <w:t>205.417</w:t>
            </w:r>
          </w:p>
        </w:tc>
        <w:tc>
          <w:tcPr>
            <w:tcW w:w="253" w:type="pct"/>
            <w:shd w:val="clear" w:color="auto" w:fill="auto"/>
            <w:vAlign w:val="center"/>
          </w:tcPr>
          <w:p w:rsidR="007F1017" w:rsidRPr="00E2771E" w:rsidRDefault="0052543E" w:rsidP="00E61788">
            <w:pPr>
              <w:keepNext/>
              <w:widowControl/>
              <w:jc w:val="center"/>
              <w:rPr>
                <w:rFonts w:ascii="Arial Narrow" w:hAnsi="Arial Narrow"/>
                <w:sz w:val="20"/>
                <w:lang w:val="en-US"/>
              </w:rPr>
            </w:pPr>
            <w:r>
              <w:rPr>
                <w:rFonts w:ascii="Arial Narrow" w:hAnsi="Arial Narrow"/>
                <w:sz w:val="20"/>
                <w:lang w:val="en-US"/>
              </w:rPr>
              <w:t>453</w:t>
            </w:r>
          </w:p>
        </w:tc>
        <w:tc>
          <w:tcPr>
            <w:tcW w:w="679" w:type="pct"/>
            <w:shd w:val="clear" w:color="auto" w:fill="auto"/>
            <w:vAlign w:val="center"/>
          </w:tcPr>
          <w:p w:rsidR="00E60537" w:rsidRPr="00E2771E" w:rsidRDefault="00E60537" w:rsidP="00E61788">
            <w:pPr>
              <w:keepNext/>
              <w:widowControl/>
              <w:jc w:val="center"/>
              <w:rPr>
                <w:rFonts w:ascii="Arial Narrow" w:hAnsi="Arial Narrow"/>
                <w:sz w:val="20"/>
                <w:lang w:val="en-US"/>
              </w:rPr>
            </w:pPr>
            <w:r w:rsidRPr="00E2771E">
              <w:rPr>
                <w:rFonts w:ascii="Arial Narrow" w:hAnsi="Arial Narrow"/>
                <w:sz w:val="20"/>
                <w:lang w:val="en-US"/>
              </w:rPr>
              <w:t>R, DB</w:t>
            </w:r>
            <w:r w:rsidR="00D40F2F">
              <w:rPr>
                <w:rFonts w:ascii="Arial Narrow" w:hAnsi="Arial Narrow"/>
                <w:sz w:val="20"/>
                <w:lang w:val="en-US"/>
              </w:rPr>
              <w:t>, MC</w:t>
            </w:r>
          </w:p>
          <w:p w:rsidR="007F1017" w:rsidRPr="00E2771E" w:rsidRDefault="00E60537" w:rsidP="00E61788">
            <w:pPr>
              <w:keepNext/>
              <w:widowControl/>
              <w:jc w:val="center"/>
              <w:rPr>
                <w:rFonts w:ascii="Arial Narrow" w:hAnsi="Arial Narrow"/>
                <w:sz w:val="20"/>
                <w:lang w:val="en-US"/>
              </w:rPr>
            </w:pPr>
            <w:r>
              <w:rPr>
                <w:rFonts w:ascii="Arial Narrow" w:hAnsi="Arial Narrow"/>
                <w:sz w:val="20"/>
                <w:lang w:val="en-US"/>
              </w:rPr>
              <w:t>52</w:t>
            </w:r>
            <w:r w:rsidRPr="00E2771E">
              <w:rPr>
                <w:rFonts w:ascii="Arial Narrow" w:hAnsi="Arial Narrow"/>
                <w:sz w:val="20"/>
                <w:lang w:val="en-US"/>
              </w:rPr>
              <w:t xml:space="preserve"> </w:t>
            </w:r>
            <w:r>
              <w:rPr>
                <w:rFonts w:ascii="Arial Narrow" w:hAnsi="Arial Narrow"/>
                <w:sz w:val="20"/>
                <w:lang w:val="en-US"/>
              </w:rPr>
              <w:t>weeks</w:t>
            </w:r>
          </w:p>
        </w:tc>
        <w:tc>
          <w:tcPr>
            <w:tcW w:w="507" w:type="pct"/>
            <w:shd w:val="clear" w:color="auto" w:fill="auto"/>
            <w:vAlign w:val="center"/>
          </w:tcPr>
          <w:p w:rsidR="007F1017" w:rsidRPr="00E2771E" w:rsidRDefault="0052543E" w:rsidP="00E61788">
            <w:pPr>
              <w:keepNext/>
              <w:widowControl/>
              <w:jc w:val="center"/>
              <w:rPr>
                <w:rFonts w:ascii="Arial Narrow" w:hAnsi="Arial Narrow"/>
                <w:sz w:val="20"/>
                <w:lang w:val="en-US"/>
              </w:rPr>
            </w:pPr>
            <w:r>
              <w:rPr>
                <w:rFonts w:ascii="Arial Narrow" w:hAnsi="Arial Narrow"/>
                <w:sz w:val="20"/>
                <w:lang w:val="en-US"/>
              </w:rPr>
              <w:t>Low</w:t>
            </w:r>
          </w:p>
        </w:tc>
        <w:tc>
          <w:tcPr>
            <w:tcW w:w="677" w:type="pct"/>
            <w:shd w:val="clear" w:color="auto" w:fill="auto"/>
            <w:vAlign w:val="center"/>
          </w:tcPr>
          <w:p w:rsidR="007F1017" w:rsidRPr="00E2771E" w:rsidRDefault="009A35C7" w:rsidP="00E61788">
            <w:pPr>
              <w:keepNext/>
              <w:widowControl/>
              <w:jc w:val="center"/>
              <w:rPr>
                <w:rFonts w:ascii="Arial Narrow" w:hAnsi="Arial Narrow"/>
                <w:sz w:val="20"/>
                <w:lang w:val="en-US"/>
              </w:rPr>
            </w:pPr>
            <w:r>
              <w:rPr>
                <w:rFonts w:ascii="Arial Narrow" w:hAnsi="Arial Narrow"/>
                <w:sz w:val="20"/>
                <w:lang w:val="en-US"/>
              </w:rPr>
              <w:t>Severe a</w:t>
            </w:r>
            <w:r w:rsidR="00E60537">
              <w:rPr>
                <w:rFonts w:ascii="Arial Narrow" w:hAnsi="Arial Narrow"/>
                <w:sz w:val="20"/>
                <w:lang w:val="en-US"/>
              </w:rPr>
              <w:t>sthma</w:t>
            </w:r>
          </w:p>
        </w:tc>
        <w:tc>
          <w:tcPr>
            <w:tcW w:w="1525" w:type="pct"/>
            <w:shd w:val="clear" w:color="auto" w:fill="auto"/>
          </w:tcPr>
          <w:p w:rsidR="00E60537" w:rsidRPr="00E60537" w:rsidRDefault="00E60537" w:rsidP="00E61788">
            <w:pPr>
              <w:keepNext/>
              <w:widowControl/>
              <w:jc w:val="left"/>
              <w:rPr>
                <w:rFonts w:ascii="Arial Narrow" w:hAnsi="Arial Narrow"/>
                <w:sz w:val="20"/>
                <w:lang w:val="en-US"/>
              </w:rPr>
            </w:pPr>
            <w:r w:rsidRPr="00E60537">
              <w:rPr>
                <w:rFonts w:ascii="Arial Narrow" w:hAnsi="Arial Narrow"/>
                <w:sz w:val="20"/>
                <w:lang w:val="en-US"/>
              </w:rPr>
              <w:t>FEV</w:t>
            </w:r>
            <w:r w:rsidRPr="0052543E">
              <w:rPr>
                <w:rFonts w:ascii="Arial Narrow" w:hAnsi="Arial Narrow"/>
                <w:sz w:val="20"/>
                <w:vertAlign w:val="subscript"/>
                <w:lang w:val="en-US"/>
              </w:rPr>
              <w:t>1</w:t>
            </w:r>
            <w:r w:rsidRPr="00E60537">
              <w:rPr>
                <w:rFonts w:ascii="Arial Narrow" w:hAnsi="Arial Narrow"/>
                <w:sz w:val="20"/>
                <w:lang w:val="en-US"/>
              </w:rPr>
              <w:t xml:space="preserve"> peak (0-3h) at 24 weeks</w:t>
            </w:r>
          </w:p>
          <w:p w:rsidR="00E60537" w:rsidRPr="00E60537" w:rsidRDefault="00E60537" w:rsidP="00E61788">
            <w:pPr>
              <w:keepNext/>
              <w:widowControl/>
              <w:jc w:val="left"/>
              <w:rPr>
                <w:rFonts w:ascii="Arial Narrow" w:hAnsi="Arial Narrow"/>
                <w:sz w:val="20"/>
                <w:lang w:val="en-US"/>
              </w:rPr>
            </w:pPr>
            <w:r w:rsidRPr="00E60537">
              <w:rPr>
                <w:rFonts w:ascii="Arial Narrow" w:hAnsi="Arial Narrow"/>
                <w:sz w:val="20"/>
                <w:lang w:val="en-US"/>
              </w:rPr>
              <w:t>Trough FEV</w:t>
            </w:r>
            <w:r w:rsidRPr="0052543E">
              <w:rPr>
                <w:rFonts w:ascii="Arial Narrow" w:hAnsi="Arial Narrow"/>
                <w:sz w:val="20"/>
                <w:vertAlign w:val="subscript"/>
                <w:lang w:val="en-US"/>
              </w:rPr>
              <w:t>1</w:t>
            </w:r>
            <w:r w:rsidRPr="00E60537">
              <w:rPr>
                <w:rFonts w:ascii="Arial Narrow" w:hAnsi="Arial Narrow"/>
                <w:sz w:val="20"/>
                <w:lang w:val="en-US"/>
              </w:rPr>
              <w:t xml:space="preserve"> at 24 weeks</w:t>
            </w:r>
          </w:p>
          <w:p w:rsidR="007F1017" w:rsidRPr="00E2771E" w:rsidRDefault="00E60537" w:rsidP="00E61788">
            <w:pPr>
              <w:keepNext/>
              <w:widowControl/>
              <w:jc w:val="left"/>
              <w:rPr>
                <w:rFonts w:ascii="Arial Narrow" w:hAnsi="Arial Narrow"/>
                <w:sz w:val="20"/>
                <w:lang w:val="en-US"/>
              </w:rPr>
            </w:pPr>
            <w:r w:rsidRPr="00E60537">
              <w:rPr>
                <w:rFonts w:ascii="Arial Narrow" w:hAnsi="Arial Narrow"/>
                <w:sz w:val="20"/>
                <w:lang w:val="en-US"/>
              </w:rPr>
              <w:t>Time to 1st severe exacerbation to 48 weeks</w:t>
            </w:r>
          </w:p>
        </w:tc>
        <w:tc>
          <w:tcPr>
            <w:tcW w:w="684" w:type="pct"/>
            <w:shd w:val="clear" w:color="auto" w:fill="auto"/>
            <w:vAlign w:val="center"/>
          </w:tcPr>
          <w:p w:rsidR="007F1017" w:rsidRPr="00E2771E" w:rsidRDefault="007F1017" w:rsidP="00E61788">
            <w:pPr>
              <w:keepNext/>
              <w:widowControl/>
              <w:jc w:val="center"/>
              <w:rPr>
                <w:rFonts w:ascii="Arial Narrow" w:hAnsi="Arial Narrow"/>
                <w:sz w:val="20"/>
                <w:lang w:val="en-US"/>
              </w:rPr>
            </w:pPr>
            <w:r w:rsidRPr="00E2771E">
              <w:rPr>
                <w:rFonts w:ascii="Arial Narrow" w:hAnsi="Arial Narrow"/>
                <w:sz w:val="20"/>
                <w:lang w:val="en-US"/>
              </w:rPr>
              <w:t>Not used</w:t>
            </w:r>
          </w:p>
        </w:tc>
      </w:tr>
      <w:tr w:rsidR="00E60537" w:rsidRPr="00E2771E" w:rsidTr="003B7DA4">
        <w:tc>
          <w:tcPr>
            <w:tcW w:w="675" w:type="pct"/>
            <w:shd w:val="clear" w:color="auto" w:fill="auto"/>
            <w:vAlign w:val="center"/>
          </w:tcPr>
          <w:p w:rsidR="00E60537" w:rsidRPr="00E2771E" w:rsidRDefault="009A35C7" w:rsidP="00E61788">
            <w:pPr>
              <w:keepNext/>
              <w:widowControl/>
              <w:jc w:val="left"/>
              <w:rPr>
                <w:rFonts w:ascii="Arial Narrow" w:hAnsi="Arial Narrow"/>
                <w:sz w:val="20"/>
                <w:lang w:val="en-US"/>
              </w:rPr>
            </w:pPr>
            <w:r>
              <w:rPr>
                <w:rFonts w:ascii="Arial Narrow" w:hAnsi="Arial Narrow"/>
                <w:sz w:val="20"/>
                <w:lang w:val="en-US"/>
              </w:rPr>
              <w:t>Pooled data</w:t>
            </w:r>
          </w:p>
        </w:tc>
        <w:tc>
          <w:tcPr>
            <w:tcW w:w="253" w:type="pct"/>
            <w:shd w:val="clear" w:color="auto" w:fill="auto"/>
            <w:vAlign w:val="center"/>
          </w:tcPr>
          <w:p w:rsidR="00E60537" w:rsidRPr="00E2771E" w:rsidRDefault="0052543E" w:rsidP="00E61788">
            <w:pPr>
              <w:keepNext/>
              <w:widowControl/>
              <w:jc w:val="center"/>
              <w:rPr>
                <w:rFonts w:ascii="Arial Narrow" w:hAnsi="Arial Narrow"/>
                <w:sz w:val="20"/>
                <w:lang w:val="en-US"/>
              </w:rPr>
            </w:pPr>
            <w:r>
              <w:rPr>
                <w:rFonts w:ascii="Arial Narrow" w:hAnsi="Arial Narrow"/>
                <w:sz w:val="20"/>
                <w:lang w:val="en-US"/>
              </w:rPr>
              <w:t>912</w:t>
            </w:r>
          </w:p>
        </w:tc>
        <w:tc>
          <w:tcPr>
            <w:tcW w:w="1863" w:type="pct"/>
            <w:gridSpan w:val="3"/>
            <w:shd w:val="clear" w:color="auto" w:fill="auto"/>
            <w:vAlign w:val="center"/>
          </w:tcPr>
          <w:p w:rsidR="00E60537" w:rsidRPr="00E2771E" w:rsidRDefault="00E60537" w:rsidP="00E61788">
            <w:pPr>
              <w:keepNext/>
              <w:widowControl/>
              <w:jc w:val="center"/>
              <w:rPr>
                <w:rFonts w:ascii="Arial Narrow" w:hAnsi="Arial Narrow"/>
                <w:sz w:val="20"/>
                <w:lang w:val="en-US"/>
              </w:rPr>
            </w:pPr>
            <w:r w:rsidRPr="00E2771E">
              <w:rPr>
                <w:rFonts w:ascii="Arial Narrow" w:hAnsi="Arial Narrow"/>
                <w:sz w:val="20"/>
                <w:lang w:val="en-US"/>
              </w:rPr>
              <w:t xml:space="preserve">Included </w:t>
            </w:r>
            <w:r w:rsidR="004838A8">
              <w:rPr>
                <w:rFonts w:ascii="Arial Narrow" w:hAnsi="Arial Narrow"/>
                <w:sz w:val="20"/>
                <w:lang w:val="en-US"/>
              </w:rPr>
              <w:t>205.416/</w:t>
            </w:r>
            <w:r w:rsidRPr="00E60537">
              <w:rPr>
                <w:rFonts w:ascii="Arial Narrow" w:hAnsi="Arial Narrow"/>
                <w:sz w:val="20"/>
                <w:lang w:val="en-US"/>
              </w:rPr>
              <w:t>205.417</w:t>
            </w:r>
          </w:p>
        </w:tc>
        <w:tc>
          <w:tcPr>
            <w:tcW w:w="1525" w:type="pct"/>
            <w:shd w:val="clear" w:color="auto" w:fill="auto"/>
          </w:tcPr>
          <w:p w:rsidR="00E60537" w:rsidRDefault="0052543E" w:rsidP="00E61788">
            <w:pPr>
              <w:keepNext/>
              <w:widowControl/>
              <w:jc w:val="left"/>
              <w:rPr>
                <w:rFonts w:ascii="Arial Narrow" w:hAnsi="Arial Narrow"/>
                <w:sz w:val="20"/>
                <w:lang w:val="en-US"/>
              </w:rPr>
            </w:pPr>
            <w:r w:rsidRPr="0052543E">
              <w:rPr>
                <w:rFonts w:ascii="Arial Narrow" w:hAnsi="Arial Narrow"/>
                <w:sz w:val="20"/>
                <w:lang w:val="en-US"/>
              </w:rPr>
              <w:t>Time to 1st severe exacerbation to 48 weeks</w:t>
            </w:r>
          </w:p>
          <w:p w:rsidR="0052543E" w:rsidRPr="00E2771E" w:rsidRDefault="009A35C7" w:rsidP="00E61788">
            <w:pPr>
              <w:keepNext/>
              <w:widowControl/>
              <w:jc w:val="left"/>
              <w:rPr>
                <w:rFonts w:ascii="Arial Narrow" w:hAnsi="Arial Narrow"/>
                <w:sz w:val="20"/>
                <w:lang w:val="en-US"/>
              </w:rPr>
            </w:pPr>
            <w:r>
              <w:rPr>
                <w:rFonts w:ascii="Arial Narrow" w:hAnsi="Arial Narrow"/>
                <w:sz w:val="20"/>
                <w:lang w:val="en-US"/>
              </w:rPr>
              <w:t>Time to 1</w:t>
            </w:r>
            <w:r w:rsidRPr="003B7DA4">
              <w:rPr>
                <w:rFonts w:ascii="Arial Narrow" w:hAnsi="Arial Narrow"/>
                <w:sz w:val="20"/>
                <w:vertAlign w:val="superscript"/>
                <w:lang w:val="en-US"/>
              </w:rPr>
              <w:t>st</w:t>
            </w:r>
            <w:r>
              <w:rPr>
                <w:rFonts w:ascii="Arial Narrow" w:hAnsi="Arial Narrow"/>
                <w:sz w:val="20"/>
                <w:lang w:val="en-US"/>
              </w:rPr>
              <w:t xml:space="preserve"> exacerbation</w:t>
            </w:r>
            <w:r w:rsidR="00AD2517" w:rsidRPr="0052543E">
              <w:rPr>
                <w:rFonts w:ascii="Arial Narrow" w:hAnsi="Arial Narrow"/>
                <w:sz w:val="20"/>
                <w:lang w:val="en-US"/>
              </w:rPr>
              <w:t xml:space="preserve"> to 48 weeks</w:t>
            </w:r>
          </w:p>
        </w:tc>
        <w:tc>
          <w:tcPr>
            <w:tcW w:w="684" w:type="pct"/>
            <w:shd w:val="clear" w:color="auto" w:fill="auto"/>
            <w:vAlign w:val="center"/>
          </w:tcPr>
          <w:p w:rsidR="00047309" w:rsidRPr="00047309" w:rsidRDefault="00047309" w:rsidP="00047309">
            <w:pPr>
              <w:keepNext/>
              <w:widowControl/>
              <w:jc w:val="center"/>
              <w:rPr>
                <w:rFonts w:ascii="Arial Narrow" w:hAnsi="Arial Narrow"/>
                <w:sz w:val="20"/>
                <w:lang w:val="en-US"/>
              </w:rPr>
            </w:pPr>
            <w:r w:rsidRPr="00047309">
              <w:rPr>
                <w:rFonts w:ascii="Arial Narrow" w:hAnsi="Arial Narrow"/>
                <w:sz w:val="20"/>
                <w:lang w:val="en-US"/>
              </w:rPr>
              <w:t xml:space="preserve">Asthma control states from ACQ-7. </w:t>
            </w:r>
          </w:p>
          <w:p w:rsidR="00E60537" w:rsidRPr="00E2771E" w:rsidRDefault="00047309" w:rsidP="00047309">
            <w:pPr>
              <w:keepNext/>
              <w:widowControl/>
              <w:jc w:val="center"/>
              <w:rPr>
                <w:rFonts w:ascii="Arial Narrow" w:hAnsi="Arial Narrow"/>
                <w:sz w:val="20"/>
                <w:lang w:val="en-US"/>
              </w:rPr>
            </w:pPr>
            <w:r w:rsidRPr="00047309">
              <w:rPr>
                <w:rFonts w:ascii="Arial Narrow" w:hAnsi="Arial Narrow"/>
                <w:sz w:val="20"/>
                <w:lang w:val="en-US"/>
              </w:rPr>
              <w:t xml:space="preserve">Exacerbation health states </w:t>
            </w:r>
          </w:p>
        </w:tc>
      </w:tr>
    </w:tbl>
    <w:p w:rsidR="00525B7B" w:rsidRPr="00B46F3B" w:rsidRDefault="00525B7B" w:rsidP="00E61788">
      <w:pPr>
        <w:pStyle w:val="TableFooter"/>
        <w:keepNext/>
        <w:widowControl/>
        <w:ind w:firstLine="720"/>
      </w:pPr>
      <w:r w:rsidRPr="00B46F3B">
        <w:t>Source: compiled during the evaluation</w:t>
      </w:r>
    </w:p>
    <w:p w:rsidR="007F1017" w:rsidRDefault="007F1017" w:rsidP="00E61788">
      <w:pPr>
        <w:pStyle w:val="TableFooter"/>
        <w:keepNext/>
        <w:widowControl/>
        <w:ind w:firstLine="720"/>
      </w:pPr>
      <w:r w:rsidRPr="0072416F">
        <w:t>DB</w:t>
      </w:r>
      <w:r w:rsidR="00327617">
        <w:t xml:space="preserve"> </w:t>
      </w:r>
      <w:r w:rsidRPr="0072416F">
        <w:t>=</w:t>
      </w:r>
      <w:r w:rsidR="00327617">
        <w:t xml:space="preserve"> </w:t>
      </w:r>
      <w:r w:rsidRPr="0072416F">
        <w:t>double blind; MC</w:t>
      </w:r>
      <w:r w:rsidR="00327617">
        <w:t xml:space="preserve"> </w:t>
      </w:r>
      <w:r w:rsidRPr="0072416F">
        <w:t>=</w:t>
      </w:r>
      <w:r w:rsidR="00327617">
        <w:t xml:space="preserve"> </w:t>
      </w:r>
      <w:r w:rsidRPr="0072416F">
        <w:t xml:space="preserve">multi-centre; </w:t>
      </w:r>
      <w:r w:rsidR="0052543E">
        <w:t>CO</w:t>
      </w:r>
      <w:r w:rsidR="00327617">
        <w:t xml:space="preserve"> </w:t>
      </w:r>
      <w:r w:rsidRPr="0072416F">
        <w:t>=</w:t>
      </w:r>
      <w:r w:rsidR="00327617">
        <w:t xml:space="preserve"> </w:t>
      </w:r>
      <w:r w:rsidR="0052543E">
        <w:t>crossover</w:t>
      </w:r>
      <w:r w:rsidRPr="0072416F">
        <w:t>; R</w:t>
      </w:r>
      <w:r w:rsidR="00327617">
        <w:t xml:space="preserve"> </w:t>
      </w:r>
      <w:r w:rsidRPr="0072416F">
        <w:t>=</w:t>
      </w:r>
      <w:r w:rsidR="00327617">
        <w:t xml:space="preserve"> </w:t>
      </w:r>
      <w:r w:rsidRPr="0072416F">
        <w:t>randomised</w:t>
      </w:r>
      <w:r w:rsidR="00D40F2F">
        <w:t>; MC</w:t>
      </w:r>
      <w:r w:rsidR="00327617">
        <w:t xml:space="preserve"> </w:t>
      </w:r>
      <w:r w:rsidR="00D40F2F">
        <w:t>=</w:t>
      </w:r>
      <w:r w:rsidR="00327617">
        <w:t xml:space="preserve"> m</w:t>
      </w:r>
      <w:r w:rsidR="00D40F2F">
        <w:t>ulti-centre</w:t>
      </w:r>
      <w:r w:rsidR="00525B7B">
        <w:t xml:space="preserve">; </w:t>
      </w:r>
      <w:r w:rsidR="00525B7B" w:rsidRPr="008515A7">
        <w:t>FEV</w:t>
      </w:r>
      <w:r w:rsidR="00525B7B" w:rsidRPr="009A24AD">
        <w:rPr>
          <w:vertAlign w:val="subscript"/>
        </w:rPr>
        <w:t>1</w:t>
      </w:r>
      <w:r w:rsidR="00525B7B" w:rsidRPr="008515A7">
        <w:t xml:space="preserve"> = forced expiratory volume in</w:t>
      </w:r>
      <w:r w:rsidR="00525B7B">
        <w:tab/>
      </w:r>
      <w:r w:rsidR="00327617">
        <w:t xml:space="preserve">one </w:t>
      </w:r>
      <w:r w:rsidR="00525B7B" w:rsidRPr="008515A7">
        <w:t>second</w:t>
      </w:r>
      <w:r w:rsidR="003B7DA4">
        <w:t>; ACQ-7 = asthma control questionnaire (7-item version)</w:t>
      </w:r>
    </w:p>
    <w:p w:rsidR="003F2A2C" w:rsidRDefault="003F2A2C" w:rsidP="00E61788">
      <w:pPr>
        <w:pStyle w:val="TableFooter"/>
        <w:keepNext/>
        <w:widowControl/>
        <w:ind w:firstLine="720"/>
      </w:pPr>
    </w:p>
    <w:p w:rsidR="007E1441" w:rsidRPr="007E1441" w:rsidRDefault="007E1441" w:rsidP="00E61788">
      <w:pPr>
        <w:pStyle w:val="ListParagraph"/>
        <w:widowControl/>
        <w:numPr>
          <w:ilvl w:val="1"/>
          <w:numId w:val="9"/>
        </w:numPr>
        <w:rPr>
          <w:szCs w:val="22"/>
        </w:rPr>
      </w:pPr>
      <w:r>
        <w:rPr>
          <w:szCs w:val="22"/>
        </w:rPr>
        <w:t xml:space="preserve">The definitions of the exacerbation and Asthma Control </w:t>
      </w:r>
      <w:r w:rsidRPr="007E1441">
        <w:rPr>
          <w:szCs w:val="22"/>
        </w:rPr>
        <w:t>Questionnaire</w:t>
      </w:r>
      <w:r w:rsidR="0054314A">
        <w:rPr>
          <w:szCs w:val="22"/>
        </w:rPr>
        <w:t>,</w:t>
      </w:r>
      <w:r>
        <w:rPr>
          <w:szCs w:val="22"/>
        </w:rPr>
        <w:t xml:space="preserve"> </w:t>
      </w:r>
      <w:r w:rsidR="0054314A">
        <w:rPr>
          <w:szCs w:val="22"/>
        </w:rPr>
        <w:t>7-item version</w:t>
      </w:r>
      <w:r>
        <w:rPr>
          <w:szCs w:val="22"/>
        </w:rPr>
        <w:t xml:space="preserve"> (ACQ-7) are presented in the Table below</w:t>
      </w:r>
      <w:r w:rsidRPr="007E1441">
        <w:rPr>
          <w:szCs w:val="22"/>
        </w:rPr>
        <w:t xml:space="preserve">. </w:t>
      </w:r>
    </w:p>
    <w:p w:rsidR="007E1441" w:rsidRDefault="007E1441" w:rsidP="00E61788">
      <w:pPr>
        <w:pStyle w:val="TableFooter"/>
        <w:keepNext/>
        <w:widowControl/>
      </w:pPr>
    </w:p>
    <w:p w:rsidR="00FA0188" w:rsidRPr="00FA0188" w:rsidRDefault="00FA0188" w:rsidP="00E61788">
      <w:pPr>
        <w:pStyle w:val="TableFooter"/>
        <w:keepNext/>
        <w:widowControl/>
        <w:ind w:firstLine="720"/>
        <w:rPr>
          <w:b/>
          <w:sz w:val="20"/>
        </w:rPr>
      </w:pPr>
      <w:r w:rsidRPr="00FA0188">
        <w:rPr>
          <w:b/>
          <w:sz w:val="20"/>
        </w:rPr>
        <w:t>Table 3: Definition of asthma exacerbation</w:t>
      </w:r>
      <w:r w:rsidR="00E10314">
        <w:rPr>
          <w:b/>
          <w:sz w:val="20"/>
        </w:rPr>
        <w:t xml:space="preserve"> and a</w:t>
      </w:r>
      <w:r w:rsidR="00E10314" w:rsidRPr="00E10314">
        <w:rPr>
          <w:b/>
          <w:sz w:val="20"/>
        </w:rPr>
        <w:t>sthma control questionnaire</w:t>
      </w:r>
      <w:r w:rsidRPr="00FA0188">
        <w:rPr>
          <w:b/>
          <w:sz w:val="20"/>
        </w:rPr>
        <w:t xml:space="preserve"> in the </w:t>
      </w:r>
      <w:r w:rsidR="00E10314">
        <w:rPr>
          <w:b/>
          <w:sz w:val="20"/>
        </w:rPr>
        <w:t>submission</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45"/>
      </w:tblGrid>
      <w:tr w:rsidR="00FA0188" w:rsidRPr="000B39E4" w:rsidTr="00E10314">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A0188" w:rsidRPr="000B39E4" w:rsidRDefault="00FA0188" w:rsidP="00E61788">
            <w:pPr>
              <w:pStyle w:val="Tabletext"/>
              <w:keepNext/>
              <w:rPr>
                <w:b/>
              </w:rPr>
            </w:pPr>
            <w:r>
              <w:rPr>
                <w:b/>
              </w:rPr>
              <w:t>Type of exacerbation</w:t>
            </w:r>
            <w:r w:rsidRPr="000B39E4">
              <w:rPr>
                <w:b/>
              </w:rPr>
              <w:t xml:space="preserve"> </w:t>
            </w:r>
          </w:p>
        </w:tc>
        <w:tc>
          <w:tcPr>
            <w:tcW w:w="41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A0188" w:rsidRPr="000B39E4" w:rsidRDefault="00FA0188" w:rsidP="00E61788">
            <w:pPr>
              <w:pStyle w:val="Tabletext"/>
              <w:keepNext/>
              <w:rPr>
                <w:b/>
              </w:rPr>
            </w:pPr>
            <w:r>
              <w:rPr>
                <w:b/>
              </w:rPr>
              <w:t>Definition</w:t>
            </w:r>
            <w:r w:rsidRPr="000B39E4">
              <w:rPr>
                <w:b/>
              </w:rPr>
              <w:t xml:space="preserve"> </w:t>
            </w:r>
          </w:p>
        </w:tc>
      </w:tr>
      <w:tr w:rsidR="00FA0188" w:rsidRPr="000B39E4" w:rsidTr="00E10314">
        <w:tc>
          <w:tcPr>
            <w:tcW w:w="848" w:type="pct"/>
            <w:tcBorders>
              <w:top w:val="single" w:sz="4" w:space="0" w:color="auto"/>
              <w:left w:val="single" w:sz="4" w:space="0" w:color="auto"/>
              <w:bottom w:val="single" w:sz="4" w:space="0" w:color="auto"/>
              <w:right w:val="single" w:sz="4" w:space="0" w:color="auto"/>
            </w:tcBorders>
            <w:hideMark/>
          </w:tcPr>
          <w:p w:rsidR="00FA0188" w:rsidRPr="000B39E4" w:rsidRDefault="00FA0188" w:rsidP="00E61788">
            <w:pPr>
              <w:pStyle w:val="Tabletext"/>
              <w:keepNext/>
            </w:pPr>
            <w:r>
              <w:t>A</w:t>
            </w:r>
            <w:r w:rsidRPr="004042B6">
              <w:t>sthma exacerbatio</w:t>
            </w:r>
            <w:r>
              <w:t>n</w:t>
            </w:r>
          </w:p>
        </w:tc>
        <w:tc>
          <w:tcPr>
            <w:tcW w:w="4152" w:type="pct"/>
            <w:tcBorders>
              <w:top w:val="single" w:sz="4" w:space="0" w:color="auto"/>
              <w:left w:val="single" w:sz="4" w:space="0" w:color="auto"/>
              <w:bottom w:val="single" w:sz="4" w:space="0" w:color="auto"/>
              <w:right w:val="single" w:sz="4" w:space="0" w:color="auto"/>
            </w:tcBorders>
            <w:hideMark/>
          </w:tcPr>
          <w:p w:rsidR="00FA0188" w:rsidRPr="000B39E4" w:rsidRDefault="00FA0188" w:rsidP="00E61788">
            <w:pPr>
              <w:pStyle w:val="Tabletext"/>
              <w:keepNext/>
            </w:pPr>
            <w:r w:rsidRPr="004042B6">
              <w:t>An episode of progressive increase in on</w:t>
            </w:r>
            <w:r w:rsidR="00443699">
              <w:t>e or more asthma symptoms</w:t>
            </w:r>
            <w:r w:rsidRPr="004042B6">
              <w:t xml:space="preserve"> outside the patient's usual range of day-to-day asthma symptoms for at least two consecutive days.  </w:t>
            </w:r>
            <w:r w:rsidR="00443699">
              <w:t>With or without</w:t>
            </w:r>
            <w:r w:rsidRPr="004042B6">
              <w:t xml:space="preserve"> a decrease of patient's best morning PEF of </w:t>
            </w:r>
            <w:r w:rsidR="00443699">
              <w:t xml:space="preserve">≥ </w:t>
            </w:r>
            <w:r w:rsidRPr="004042B6">
              <w:t>30% from the patient's mean morning PEF for at least two consecutive days</w:t>
            </w:r>
          </w:p>
        </w:tc>
      </w:tr>
      <w:tr w:rsidR="00FA0188" w:rsidRPr="000B39E4" w:rsidTr="00E10314">
        <w:tc>
          <w:tcPr>
            <w:tcW w:w="848" w:type="pct"/>
            <w:tcBorders>
              <w:top w:val="single" w:sz="4" w:space="0" w:color="auto"/>
              <w:left w:val="single" w:sz="4" w:space="0" w:color="auto"/>
              <w:bottom w:val="single" w:sz="4" w:space="0" w:color="auto"/>
              <w:right w:val="single" w:sz="4" w:space="0" w:color="auto"/>
            </w:tcBorders>
            <w:hideMark/>
          </w:tcPr>
          <w:p w:rsidR="00FA0188" w:rsidRPr="000B39E4" w:rsidRDefault="00FA0188" w:rsidP="00E61788">
            <w:pPr>
              <w:pStyle w:val="Tabletext"/>
            </w:pPr>
            <w:r w:rsidRPr="004042B6">
              <w:t>Severe asthma exacerbation</w:t>
            </w:r>
          </w:p>
        </w:tc>
        <w:tc>
          <w:tcPr>
            <w:tcW w:w="4152" w:type="pct"/>
            <w:tcBorders>
              <w:top w:val="single" w:sz="4" w:space="0" w:color="auto"/>
              <w:left w:val="single" w:sz="4" w:space="0" w:color="auto"/>
              <w:bottom w:val="single" w:sz="4" w:space="0" w:color="auto"/>
              <w:right w:val="single" w:sz="4" w:space="0" w:color="auto"/>
            </w:tcBorders>
            <w:hideMark/>
          </w:tcPr>
          <w:p w:rsidR="00FA0188" w:rsidRPr="000B39E4" w:rsidRDefault="00FA0188" w:rsidP="00E61788">
            <w:pPr>
              <w:pStyle w:val="Tabletext"/>
            </w:pPr>
            <w:r>
              <w:t>A</w:t>
            </w:r>
            <w:r w:rsidRPr="004042B6">
              <w:t>ll asthma exacerbations that required treatment with systemic corticoster</w:t>
            </w:r>
            <w:r w:rsidR="00443699">
              <w:t>oids for at least three days or if</w:t>
            </w:r>
            <w:r w:rsidRPr="004042B6">
              <w:t xml:space="preserve"> </w:t>
            </w:r>
            <w:r w:rsidR="00443699">
              <w:t>already receiving</w:t>
            </w:r>
            <w:r w:rsidRPr="004042B6">
              <w:t xml:space="preserve"> systemic corticosteroid</w:t>
            </w:r>
            <w:r w:rsidR="00443699">
              <w:t>s</w:t>
            </w:r>
            <w:r w:rsidRPr="004042B6">
              <w:t>, a doubling of the previous daily dose for at least three days.</w:t>
            </w:r>
          </w:p>
        </w:tc>
      </w:tr>
      <w:tr w:rsidR="00FA0188" w:rsidRPr="000B39E4" w:rsidTr="00E10314">
        <w:tc>
          <w:tcPr>
            <w:tcW w:w="848" w:type="pct"/>
            <w:tcBorders>
              <w:top w:val="single" w:sz="4" w:space="0" w:color="auto"/>
              <w:left w:val="single" w:sz="4" w:space="0" w:color="auto"/>
              <w:bottom w:val="single" w:sz="4" w:space="0" w:color="auto"/>
              <w:right w:val="single" w:sz="4" w:space="0" w:color="auto"/>
            </w:tcBorders>
            <w:hideMark/>
          </w:tcPr>
          <w:p w:rsidR="00FA0188" w:rsidRPr="000B39E4" w:rsidRDefault="00FA0188" w:rsidP="00E61788">
            <w:pPr>
              <w:pStyle w:val="Tabletext"/>
            </w:pPr>
            <w:r w:rsidRPr="004042B6">
              <w:t>Non-severe exacerbation</w:t>
            </w:r>
          </w:p>
        </w:tc>
        <w:tc>
          <w:tcPr>
            <w:tcW w:w="4152" w:type="pct"/>
            <w:tcBorders>
              <w:top w:val="single" w:sz="4" w:space="0" w:color="auto"/>
              <w:left w:val="single" w:sz="4" w:space="0" w:color="auto"/>
              <w:bottom w:val="single" w:sz="4" w:space="0" w:color="auto"/>
              <w:right w:val="single" w:sz="4" w:space="0" w:color="auto"/>
            </w:tcBorders>
            <w:hideMark/>
          </w:tcPr>
          <w:p w:rsidR="00FA0188" w:rsidRPr="000B39E4" w:rsidRDefault="00FA0188" w:rsidP="00E61788">
            <w:pPr>
              <w:pStyle w:val="Tabletext"/>
            </w:pPr>
            <w:r>
              <w:t xml:space="preserve">All </w:t>
            </w:r>
            <w:r w:rsidRPr="004042B6">
              <w:t>asthma exacerbations</w:t>
            </w:r>
            <w:r>
              <w:t xml:space="preserve"> that were not considered a severe asthma exacerbation </w:t>
            </w:r>
            <w:r w:rsidRPr="004042B6">
              <w:t>(see definition</w:t>
            </w:r>
            <w:r>
              <w:t>s</w:t>
            </w:r>
            <w:r w:rsidRPr="004042B6">
              <w:t xml:space="preserve"> above)</w:t>
            </w:r>
            <w:r>
              <w:t>.</w:t>
            </w:r>
          </w:p>
        </w:tc>
      </w:tr>
      <w:tr w:rsidR="00E10314" w:rsidRPr="000B39E4" w:rsidTr="00E10314">
        <w:tc>
          <w:tcPr>
            <w:tcW w:w="848" w:type="pct"/>
            <w:tcBorders>
              <w:top w:val="single" w:sz="4" w:space="0" w:color="auto"/>
              <w:left w:val="single" w:sz="4" w:space="0" w:color="auto"/>
              <w:bottom w:val="single" w:sz="4" w:space="0" w:color="auto"/>
              <w:right w:val="single" w:sz="4" w:space="0" w:color="auto"/>
            </w:tcBorders>
          </w:tcPr>
          <w:p w:rsidR="00E10314" w:rsidRPr="004042B6" w:rsidRDefault="00E10314" w:rsidP="00E61788">
            <w:pPr>
              <w:pStyle w:val="Tabletext"/>
            </w:pPr>
            <w:r>
              <w:t>A</w:t>
            </w:r>
            <w:r w:rsidR="00443699">
              <w:t xml:space="preserve">sthma control questionnaire -7 </w:t>
            </w:r>
            <w:r w:rsidRPr="00E10314">
              <w:t>(</w:t>
            </w:r>
            <w:r>
              <w:t>ACQ-7</w:t>
            </w:r>
            <w:r w:rsidRPr="00E10314">
              <w:t>)</w:t>
            </w:r>
          </w:p>
        </w:tc>
        <w:tc>
          <w:tcPr>
            <w:tcW w:w="4152" w:type="pct"/>
            <w:tcBorders>
              <w:top w:val="single" w:sz="4" w:space="0" w:color="auto"/>
              <w:left w:val="single" w:sz="4" w:space="0" w:color="auto"/>
              <w:bottom w:val="single" w:sz="4" w:space="0" w:color="auto"/>
              <w:right w:val="single" w:sz="4" w:space="0" w:color="auto"/>
            </w:tcBorders>
          </w:tcPr>
          <w:p w:rsidR="00E10314" w:rsidRDefault="00E10314" w:rsidP="00E61788">
            <w:pPr>
              <w:pStyle w:val="Tabletext"/>
            </w:pPr>
            <w:r>
              <w:t>A</w:t>
            </w:r>
            <w:r w:rsidRPr="00E10314">
              <w:t xml:space="preserve"> self-reported measure with 7 items based on </w:t>
            </w:r>
            <w:r w:rsidR="007E1441">
              <w:t xml:space="preserve">5 symptom questions (night-time waking, symptoms on waking, activity limitation, shortness of breath, and wheeze), one score for reliever use, and a score for </w:t>
            </w:r>
            <w:r w:rsidRPr="00E10314">
              <w:t>pre-bronchodilator FEV</w:t>
            </w:r>
            <w:r w:rsidRPr="00E10314">
              <w:rPr>
                <w:vertAlign w:val="subscript"/>
              </w:rPr>
              <w:t>1</w:t>
            </w:r>
            <w:r w:rsidR="007E1441">
              <w:t xml:space="preserve">. The </w:t>
            </w:r>
            <w:r w:rsidRPr="00E10314">
              <w:t>score ranges from 0-6, where a higher score represents poorer asthma control and successful treatment will reduce the ACQ</w:t>
            </w:r>
            <w:r>
              <w:t>-7</w:t>
            </w:r>
            <w:r w:rsidRPr="00E10314">
              <w:t xml:space="preserve"> score.</w:t>
            </w:r>
          </w:p>
        </w:tc>
      </w:tr>
    </w:tbl>
    <w:p w:rsidR="007E1441" w:rsidRPr="00B46F3B" w:rsidRDefault="00443699" w:rsidP="00E61788">
      <w:pPr>
        <w:pStyle w:val="TableFooter"/>
        <w:widowControl/>
        <w:ind w:left="720"/>
      </w:pPr>
      <w:r w:rsidRPr="00B46F3B">
        <w:t>Source: compiled during the evaluation</w:t>
      </w:r>
    </w:p>
    <w:p w:rsidR="003F2A2C" w:rsidRDefault="00301D5F" w:rsidP="00E61788">
      <w:pPr>
        <w:pStyle w:val="TableFooter"/>
        <w:widowControl/>
        <w:ind w:left="720"/>
      </w:pPr>
      <w:r>
        <w:t>PEF = p</w:t>
      </w:r>
      <w:r w:rsidRPr="008D1E09">
        <w:t>eak expiratory flow</w:t>
      </w:r>
      <w:r w:rsidR="007E1441">
        <w:t xml:space="preserve">; </w:t>
      </w:r>
      <w:r w:rsidR="007E1441" w:rsidRPr="008515A7">
        <w:t>FEV</w:t>
      </w:r>
      <w:r w:rsidR="007E1441" w:rsidRPr="009A24AD">
        <w:rPr>
          <w:vertAlign w:val="subscript"/>
        </w:rPr>
        <w:t>1</w:t>
      </w:r>
      <w:r w:rsidR="007E1441" w:rsidRPr="008515A7">
        <w:t xml:space="preserve"> = forced expiratory volume in </w:t>
      </w:r>
      <w:r w:rsidR="007E1441">
        <w:t>one</w:t>
      </w:r>
      <w:r w:rsidR="007E1441" w:rsidRPr="008515A7">
        <w:t xml:space="preserve"> second</w:t>
      </w:r>
      <w:r w:rsidR="007E1441">
        <w:t>; ACQ-7 = asthma control questionnaire (7-item version)</w:t>
      </w:r>
    </w:p>
    <w:p w:rsidR="00301D5F" w:rsidRPr="00301D5F" w:rsidRDefault="00301D5F" w:rsidP="00E61788">
      <w:pPr>
        <w:pStyle w:val="TableFooter"/>
        <w:widowControl/>
      </w:pPr>
    </w:p>
    <w:p w:rsidR="00B60939" w:rsidRPr="002C2775" w:rsidRDefault="00B60939" w:rsidP="00E61788">
      <w:pPr>
        <w:pStyle w:val="Heading2"/>
        <w:widowControl/>
        <w:rPr>
          <w:i/>
        </w:rPr>
      </w:pPr>
      <w:bookmarkStart w:id="12" w:name="_Toc419799909"/>
      <w:r w:rsidRPr="002C2775">
        <w:rPr>
          <w:i/>
        </w:rPr>
        <w:t>Comparative effectiveness</w:t>
      </w:r>
      <w:bookmarkEnd w:id="12"/>
    </w:p>
    <w:p w:rsidR="00B60939" w:rsidRPr="00882085" w:rsidRDefault="00B60939" w:rsidP="00E61788">
      <w:pPr>
        <w:widowControl/>
        <w:rPr>
          <w:szCs w:val="22"/>
        </w:rPr>
      </w:pPr>
    </w:p>
    <w:p w:rsidR="004838A8" w:rsidRPr="004838A8" w:rsidRDefault="004838A8" w:rsidP="00E61788">
      <w:pPr>
        <w:pStyle w:val="ListParagraph"/>
        <w:widowControl/>
        <w:numPr>
          <w:ilvl w:val="1"/>
          <w:numId w:val="9"/>
        </w:numPr>
        <w:rPr>
          <w:szCs w:val="22"/>
        </w:rPr>
      </w:pPr>
      <w:r w:rsidRPr="00DF03D0">
        <w:rPr>
          <w:szCs w:val="22"/>
        </w:rPr>
        <w:t xml:space="preserve">Table </w:t>
      </w:r>
      <w:r w:rsidR="00F225B9">
        <w:rPr>
          <w:szCs w:val="22"/>
        </w:rPr>
        <w:t>4</w:t>
      </w:r>
      <w:r w:rsidRPr="00DF03D0">
        <w:rPr>
          <w:szCs w:val="22"/>
        </w:rPr>
        <w:t xml:space="preserve"> presents the key results from</w:t>
      </w:r>
      <w:r>
        <w:rPr>
          <w:szCs w:val="22"/>
        </w:rPr>
        <w:t xml:space="preserve"> </w:t>
      </w:r>
      <w:r w:rsidR="00444C0C">
        <w:rPr>
          <w:szCs w:val="22"/>
        </w:rPr>
        <w:t xml:space="preserve">Trials </w:t>
      </w:r>
      <w:r w:rsidRPr="004838A8">
        <w:rPr>
          <w:szCs w:val="22"/>
        </w:rPr>
        <w:t>205.416</w:t>
      </w:r>
      <w:r>
        <w:rPr>
          <w:szCs w:val="22"/>
        </w:rPr>
        <w:t xml:space="preserve"> and </w:t>
      </w:r>
      <w:r w:rsidRPr="004838A8">
        <w:rPr>
          <w:szCs w:val="22"/>
        </w:rPr>
        <w:t>205.417.</w:t>
      </w:r>
    </w:p>
    <w:p w:rsidR="007F1017" w:rsidRDefault="007F1017" w:rsidP="00E61788">
      <w:pPr>
        <w:widowControl/>
        <w:rPr>
          <w:szCs w:val="22"/>
        </w:rPr>
      </w:pPr>
    </w:p>
    <w:p w:rsidR="007F1017" w:rsidRDefault="007F1017" w:rsidP="00E61788">
      <w:pPr>
        <w:keepNext/>
        <w:widowControl/>
        <w:ind w:firstLine="720"/>
        <w:rPr>
          <w:rStyle w:val="CommentReference"/>
        </w:rPr>
      </w:pPr>
      <w:r w:rsidRPr="001F7361">
        <w:rPr>
          <w:rStyle w:val="CommentReference"/>
        </w:rPr>
        <w:lastRenderedPageBreak/>
        <w:t xml:space="preserve">Table </w:t>
      </w:r>
      <w:r w:rsidR="00F225B9">
        <w:rPr>
          <w:rStyle w:val="CommentReference"/>
        </w:rPr>
        <w:t>4</w:t>
      </w:r>
      <w:r>
        <w:rPr>
          <w:rStyle w:val="CommentReference"/>
        </w:rPr>
        <w:t xml:space="preserve">: </w:t>
      </w:r>
      <w:r w:rsidR="00124BD8">
        <w:rPr>
          <w:rStyle w:val="CommentReference"/>
        </w:rPr>
        <w:t xml:space="preserve">Results of </w:t>
      </w:r>
      <w:r w:rsidRPr="001F7361">
        <w:rPr>
          <w:rStyle w:val="CommentReference"/>
        </w:rPr>
        <w:t>patient-relevant outcome</w:t>
      </w:r>
      <w:r w:rsidR="00124BD8">
        <w:rPr>
          <w:rStyle w:val="CommentReference"/>
        </w:rPr>
        <w:t>s</w:t>
      </w:r>
      <w:r w:rsidRPr="001F7361">
        <w:rPr>
          <w:rStyle w:val="CommentReference"/>
        </w:rPr>
        <w:t xml:space="preserve"> across the direct randomised trials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7"/>
        <w:gridCol w:w="723"/>
        <w:gridCol w:w="1500"/>
        <w:gridCol w:w="729"/>
        <w:gridCol w:w="1450"/>
        <w:gridCol w:w="1482"/>
        <w:gridCol w:w="1384"/>
      </w:tblGrid>
      <w:tr w:rsidR="00484E54" w:rsidRPr="00C4710F" w:rsidTr="00B35A22">
        <w:trPr>
          <w:tblHeader/>
        </w:trPr>
        <w:tc>
          <w:tcPr>
            <w:tcW w:w="645" w:type="pct"/>
            <w:shd w:val="clear" w:color="auto" w:fill="auto"/>
            <w:vAlign w:val="center"/>
          </w:tcPr>
          <w:p w:rsidR="00484E54" w:rsidRPr="00C4710F" w:rsidRDefault="00484E54" w:rsidP="00E61788">
            <w:pPr>
              <w:keepNext/>
              <w:widowControl/>
              <w:jc w:val="left"/>
              <w:rPr>
                <w:rFonts w:ascii="Arial Narrow" w:hAnsi="Arial Narrow"/>
                <w:b/>
                <w:sz w:val="20"/>
                <w:lang w:val="en-US"/>
              </w:rPr>
            </w:pPr>
            <w:r w:rsidRPr="00C4710F">
              <w:rPr>
                <w:rFonts w:ascii="Arial Narrow" w:hAnsi="Arial Narrow"/>
                <w:b/>
                <w:sz w:val="20"/>
                <w:lang w:val="en-US"/>
              </w:rPr>
              <w:t>Trial ID</w:t>
            </w:r>
          </w:p>
        </w:tc>
        <w:tc>
          <w:tcPr>
            <w:tcW w:w="1332" w:type="pct"/>
            <w:gridSpan w:val="2"/>
            <w:shd w:val="clear" w:color="auto" w:fill="auto"/>
            <w:vAlign w:val="center"/>
          </w:tcPr>
          <w:p w:rsidR="00484E54" w:rsidRPr="00C4710F" w:rsidRDefault="00484E54" w:rsidP="00E61788">
            <w:pPr>
              <w:keepNext/>
              <w:widowControl/>
              <w:jc w:val="center"/>
              <w:rPr>
                <w:rFonts w:ascii="Arial Narrow" w:hAnsi="Arial Narrow"/>
                <w:sz w:val="20"/>
              </w:rPr>
            </w:pPr>
            <w:proofErr w:type="spellStart"/>
            <w:r w:rsidRPr="00C4710F">
              <w:rPr>
                <w:rFonts w:ascii="Arial Narrow" w:hAnsi="Arial Narrow"/>
                <w:b/>
                <w:sz w:val="20"/>
              </w:rPr>
              <w:t>Tiotropium</w:t>
            </w:r>
            <w:proofErr w:type="spellEnd"/>
            <w:r w:rsidRPr="00C4710F">
              <w:rPr>
                <w:rFonts w:ascii="Arial Narrow" w:hAnsi="Arial Narrow"/>
                <w:b/>
                <w:sz w:val="20"/>
              </w:rPr>
              <w:t xml:space="preserve"> 5 µg</w:t>
            </w:r>
          </w:p>
        </w:tc>
        <w:tc>
          <w:tcPr>
            <w:tcW w:w="1306" w:type="pct"/>
            <w:gridSpan w:val="2"/>
            <w:shd w:val="clear" w:color="auto" w:fill="auto"/>
            <w:vAlign w:val="center"/>
          </w:tcPr>
          <w:p w:rsidR="00484E54" w:rsidRPr="00C4710F" w:rsidRDefault="00484E54" w:rsidP="00E61788">
            <w:pPr>
              <w:keepNext/>
              <w:widowControl/>
              <w:jc w:val="center"/>
              <w:rPr>
                <w:rFonts w:ascii="Arial Narrow" w:hAnsi="Arial Narrow"/>
                <w:b/>
                <w:sz w:val="20"/>
              </w:rPr>
            </w:pPr>
            <w:r w:rsidRPr="00C4710F">
              <w:rPr>
                <w:rFonts w:ascii="Arial Narrow" w:hAnsi="Arial Narrow"/>
                <w:b/>
                <w:sz w:val="20"/>
              </w:rPr>
              <w:t>Placebo</w:t>
            </w:r>
          </w:p>
        </w:tc>
        <w:tc>
          <w:tcPr>
            <w:tcW w:w="1717" w:type="pct"/>
            <w:gridSpan w:val="2"/>
            <w:shd w:val="clear" w:color="auto" w:fill="auto"/>
            <w:vAlign w:val="center"/>
          </w:tcPr>
          <w:p w:rsidR="00484E54" w:rsidRPr="00C4710F" w:rsidRDefault="00484E54" w:rsidP="00E61788">
            <w:pPr>
              <w:keepNext/>
              <w:widowControl/>
              <w:rPr>
                <w:rFonts w:ascii="Arial Narrow" w:hAnsi="Arial Narrow"/>
                <w:b/>
                <w:sz w:val="20"/>
                <w:lang w:val="en-US"/>
              </w:rPr>
            </w:pPr>
          </w:p>
        </w:tc>
      </w:tr>
      <w:tr w:rsidR="008D1738" w:rsidRPr="00C4710F" w:rsidTr="00B35A22">
        <w:tc>
          <w:tcPr>
            <w:tcW w:w="645" w:type="pct"/>
            <w:shd w:val="clear" w:color="auto" w:fill="auto"/>
            <w:vAlign w:val="center"/>
          </w:tcPr>
          <w:p w:rsidR="008D1738" w:rsidRPr="00C4710F" w:rsidRDefault="008D1738" w:rsidP="00E61788">
            <w:pPr>
              <w:keepNext/>
              <w:widowControl/>
              <w:jc w:val="left"/>
              <w:rPr>
                <w:rFonts w:ascii="Arial Narrow" w:hAnsi="Arial Narrow"/>
                <w:b/>
                <w:sz w:val="20"/>
              </w:rPr>
            </w:pPr>
          </w:p>
        </w:tc>
        <w:tc>
          <w:tcPr>
            <w:tcW w:w="433" w:type="pct"/>
            <w:shd w:val="clear" w:color="auto" w:fill="auto"/>
            <w:vAlign w:val="center"/>
          </w:tcPr>
          <w:p w:rsidR="008D1738" w:rsidRPr="00C4710F" w:rsidRDefault="008D1738" w:rsidP="00E61788">
            <w:pPr>
              <w:keepNext/>
              <w:widowControl/>
              <w:ind w:right="-108"/>
              <w:jc w:val="center"/>
              <w:rPr>
                <w:rFonts w:ascii="Arial Narrow" w:hAnsi="Arial Narrow"/>
                <w:b/>
                <w:sz w:val="20"/>
              </w:rPr>
            </w:pPr>
            <w:r w:rsidRPr="00C4710F">
              <w:rPr>
                <w:rFonts w:ascii="Arial Narrow" w:hAnsi="Arial Narrow"/>
                <w:b/>
                <w:sz w:val="20"/>
              </w:rPr>
              <w:t>N</w:t>
            </w:r>
          </w:p>
        </w:tc>
        <w:tc>
          <w:tcPr>
            <w:tcW w:w="899" w:type="pct"/>
            <w:shd w:val="clear" w:color="auto" w:fill="auto"/>
            <w:vAlign w:val="center"/>
          </w:tcPr>
          <w:p w:rsidR="008D1738" w:rsidRPr="00C4710F" w:rsidRDefault="008D1738" w:rsidP="00E61788">
            <w:pPr>
              <w:keepNext/>
              <w:widowControl/>
              <w:ind w:right="-108"/>
              <w:jc w:val="center"/>
              <w:rPr>
                <w:rFonts w:ascii="Arial Narrow" w:hAnsi="Arial Narrow"/>
                <w:b/>
                <w:sz w:val="20"/>
              </w:rPr>
            </w:pPr>
            <w:r w:rsidRPr="00C4710F">
              <w:rPr>
                <w:rFonts w:ascii="Arial Narrow" w:hAnsi="Arial Narrow"/>
                <w:b/>
                <w:sz w:val="20"/>
              </w:rPr>
              <w:t>mean</w:t>
            </w:r>
            <w:r w:rsidR="00052BE5">
              <w:rPr>
                <w:rFonts w:asciiTheme="minorHAnsi" w:hAnsiTheme="minorHAnsi"/>
                <w:b/>
                <w:sz w:val="20"/>
                <w:lang w:val="vi-VN"/>
              </w:rPr>
              <w:t xml:space="preserve"> </w:t>
            </w:r>
            <w:r w:rsidRPr="00C4710F">
              <w:rPr>
                <w:rFonts w:ascii="Arial Narrow" w:hAnsi="Arial Narrow"/>
                <w:b/>
                <w:sz w:val="20"/>
                <w:vertAlign w:val="superscript"/>
              </w:rPr>
              <w:t>a</w:t>
            </w:r>
            <w:r w:rsidRPr="00C4710F">
              <w:rPr>
                <w:rFonts w:ascii="Arial Narrow" w:hAnsi="Arial Narrow"/>
                <w:b/>
                <w:sz w:val="20"/>
              </w:rPr>
              <w:t xml:space="preserve"> (SE)</w:t>
            </w:r>
          </w:p>
        </w:tc>
        <w:tc>
          <w:tcPr>
            <w:tcW w:w="437" w:type="pct"/>
            <w:shd w:val="clear" w:color="auto" w:fill="auto"/>
            <w:vAlign w:val="center"/>
          </w:tcPr>
          <w:p w:rsidR="008D1738" w:rsidRPr="00C4710F" w:rsidRDefault="008D1738" w:rsidP="00E61788">
            <w:pPr>
              <w:keepNext/>
              <w:widowControl/>
              <w:jc w:val="center"/>
              <w:rPr>
                <w:rFonts w:ascii="Arial Narrow" w:hAnsi="Arial Narrow"/>
                <w:b/>
                <w:sz w:val="20"/>
              </w:rPr>
            </w:pPr>
            <w:r w:rsidRPr="00C4710F">
              <w:rPr>
                <w:rFonts w:ascii="Arial Narrow" w:hAnsi="Arial Narrow"/>
                <w:b/>
                <w:sz w:val="20"/>
              </w:rPr>
              <w:t>N</w:t>
            </w:r>
          </w:p>
        </w:tc>
        <w:tc>
          <w:tcPr>
            <w:tcW w:w="869" w:type="pct"/>
            <w:shd w:val="clear" w:color="auto" w:fill="auto"/>
            <w:vAlign w:val="center"/>
          </w:tcPr>
          <w:p w:rsidR="008D1738" w:rsidRPr="00C4710F" w:rsidRDefault="008D1738" w:rsidP="00E61788">
            <w:pPr>
              <w:keepNext/>
              <w:widowControl/>
              <w:jc w:val="center"/>
              <w:rPr>
                <w:rFonts w:ascii="Arial Narrow" w:hAnsi="Arial Narrow"/>
                <w:b/>
                <w:sz w:val="20"/>
              </w:rPr>
            </w:pPr>
            <w:r w:rsidRPr="00C4710F">
              <w:rPr>
                <w:rFonts w:ascii="Arial Narrow" w:hAnsi="Arial Narrow"/>
                <w:b/>
                <w:sz w:val="20"/>
              </w:rPr>
              <w:t>mean</w:t>
            </w:r>
            <w:r w:rsidR="00052BE5">
              <w:rPr>
                <w:rFonts w:asciiTheme="minorHAnsi" w:hAnsiTheme="minorHAnsi"/>
                <w:b/>
                <w:sz w:val="20"/>
                <w:lang w:val="vi-VN"/>
              </w:rPr>
              <w:t xml:space="preserve"> </w:t>
            </w:r>
            <w:r w:rsidRPr="00C4710F">
              <w:rPr>
                <w:rFonts w:ascii="Arial Narrow" w:hAnsi="Arial Narrow"/>
                <w:b/>
                <w:sz w:val="20"/>
                <w:vertAlign w:val="superscript"/>
              </w:rPr>
              <w:t>a</w:t>
            </w:r>
            <w:r w:rsidRPr="00C4710F">
              <w:rPr>
                <w:rFonts w:ascii="Arial Narrow" w:hAnsi="Arial Narrow"/>
                <w:b/>
                <w:sz w:val="20"/>
              </w:rPr>
              <w:t xml:space="preserve"> (SE)</w:t>
            </w:r>
          </w:p>
        </w:tc>
        <w:tc>
          <w:tcPr>
            <w:tcW w:w="1717" w:type="pct"/>
            <w:gridSpan w:val="2"/>
            <w:shd w:val="clear" w:color="auto" w:fill="auto"/>
            <w:vAlign w:val="center"/>
          </w:tcPr>
          <w:p w:rsidR="008D1738" w:rsidRPr="00C4710F" w:rsidRDefault="008D1738" w:rsidP="00E61788">
            <w:pPr>
              <w:keepNext/>
              <w:widowControl/>
              <w:jc w:val="center"/>
              <w:rPr>
                <w:rFonts w:ascii="Arial Narrow" w:hAnsi="Arial Narrow"/>
                <w:b/>
                <w:sz w:val="20"/>
              </w:rPr>
            </w:pPr>
            <w:r w:rsidRPr="00C4710F">
              <w:rPr>
                <w:rFonts w:ascii="Arial Narrow" w:hAnsi="Arial Narrow"/>
                <w:b/>
                <w:sz w:val="20"/>
              </w:rPr>
              <w:t>Adjusted mean difference</w:t>
            </w:r>
            <w:r w:rsidR="00052BE5">
              <w:rPr>
                <w:rFonts w:asciiTheme="minorHAnsi" w:hAnsiTheme="minorHAnsi"/>
                <w:b/>
                <w:sz w:val="20"/>
                <w:lang w:val="vi-VN"/>
              </w:rPr>
              <w:t xml:space="preserve"> </w:t>
            </w:r>
            <w:r w:rsidRPr="00C4710F">
              <w:rPr>
                <w:rFonts w:ascii="Arial Narrow" w:hAnsi="Arial Narrow"/>
                <w:b/>
                <w:sz w:val="20"/>
                <w:vertAlign w:val="superscript"/>
              </w:rPr>
              <w:t>a</w:t>
            </w:r>
          </w:p>
          <w:p w:rsidR="008D1738" w:rsidRPr="00C4710F" w:rsidRDefault="008D1738" w:rsidP="00E61788">
            <w:pPr>
              <w:keepNext/>
              <w:widowControl/>
              <w:jc w:val="center"/>
              <w:rPr>
                <w:rFonts w:ascii="Arial Narrow" w:hAnsi="Arial Narrow"/>
                <w:sz w:val="20"/>
                <w:lang w:val="en-US"/>
              </w:rPr>
            </w:pPr>
            <w:r w:rsidRPr="00C4710F">
              <w:rPr>
                <w:rFonts w:ascii="Arial Narrow" w:hAnsi="Arial Narrow"/>
                <w:b/>
                <w:sz w:val="20"/>
              </w:rPr>
              <w:t>(95% CI)</w:t>
            </w:r>
          </w:p>
        </w:tc>
      </w:tr>
      <w:tr w:rsidR="008D1738" w:rsidRPr="00C4710F" w:rsidTr="00B35A22">
        <w:tc>
          <w:tcPr>
            <w:tcW w:w="5000" w:type="pct"/>
            <w:gridSpan w:val="7"/>
            <w:shd w:val="clear" w:color="auto" w:fill="auto"/>
            <w:vAlign w:val="center"/>
          </w:tcPr>
          <w:p w:rsidR="008D1738" w:rsidRPr="00C4710F" w:rsidRDefault="008D1738" w:rsidP="00E61788">
            <w:pPr>
              <w:keepNext/>
              <w:widowControl/>
              <w:jc w:val="left"/>
              <w:rPr>
                <w:rFonts w:ascii="Arial Narrow" w:hAnsi="Arial Narrow"/>
                <w:sz w:val="20"/>
                <w:lang w:val="en-US"/>
              </w:rPr>
            </w:pPr>
            <w:r w:rsidRPr="00C4710F">
              <w:rPr>
                <w:rStyle w:val="CommentReference"/>
                <w:szCs w:val="20"/>
              </w:rPr>
              <w:t>Trough FEV</w:t>
            </w:r>
            <w:r w:rsidRPr="00C4710F">
              <w:rPr>
                <w:rStyle w:val="CommentReference"/>
                <w:szCs w:val="20"/>
                <w:vertAlign w:val="subscript"/>
              </w:rPr>
              <w:t>1</w:t>
            </w:r>
            <w:r w:rsidRPr="00C4710F">
              <w:rPr>
                <w:rStyle w:val="CommentReference"/>
                <w:szCs w:val="20"/>
              </w:rPr>
              <w:t xml:space="preserve"> response (</w:t>
            </w:r>
            <w:r w:rsidR="00B50C16" w:rsidRPr="00B50C16">
              <w:rPr>
                <w:rStyle w:val="CommentReference"/>
                <w:szCs w:val="20"/>
              </w:rPr>
              <w:t>litres</w:t>
            </w:r>
            <w:r w:rsidRPr="00C4710F">
              <w:rPr>
                <w:rStyle w:val="CommentReference"/>
                <w:szCs w:val="20"/>
              </w:rPr>
              <w:t>) at 24 weeks</w:t>
            </w:r>
          </w:p>
        </w:tc>
      </w:tr>
      <w:tr w:rsidR="008D1738" w:rsidRPr="00C4710F" w:rsidTr="00B35A22">
        <w:tc>
          <w:tcPr>
            <w:tcW w:w="645" w:type="pct"/>
            <w:shd w:val="clear" w:color="auto" w:fill="auto"/>
            <w:vAlign w:val="center"/>
          </w:tcPr>
          <w:p w:rsidR="008D1738" w:rsidRPr="00C4710F" w:rsidRDefault="008D1738" w:rsidP="00E61788">
            <w:pPr>
              <w:keepNext/>
              <w:widowControl/>
              <w:jc w:val="left"/>
              <w:rPr>
                <w:rFonts w:ascii="Arial Narrow" w:hAnsi="Arial Narrow"/>
                <w:sz w:val="20"/>
              </w:rPr>
            </w:pPr>
            <w:r w:rsidRPr="00C4710F">
              <w:rPr>
                <w:rFonts w:ascii="Arial Narrow" w:hAnsi="Arial Narrow"/>
                <w:sz w:val="20"/>
              </w:rPr>
              <w:t>205.416</w:t>
            </w:r>
          </w:p>
        </w:tc>
        <w:tc>
          <w:tcPr>
            <w:tcW w:w="433" w:type="pct"/>
            <w:shd w:val="clear" w:color="auto" w:fill="auto"/>
            <w:vAlign w:val="center"/>
          </w:tcPr>
          <w:p w:rsidR="008D1738" w:rsidRPr="00C4710F" w:rsidRDefault="008D1738" w:rsidP="00E61788">
            <w:pPr>
              <w:keepNext/>
              <w:widowControl/>
              <w:jc w:val="center"/>
              <w:rPr>
                <w:rFonts w:ascii="Arial Narrow" w:hAnsi="Arial Narrow"/>
                <w:sz w:val="20"/>
              </w:rPr>
            </w:pPr>
            <w:r w:rsidRPr="00C4710F">
              <w:rPr>
                <w:rFonts w:ascii="Arial Narrow" w:hAnsi="Arial Narrow"/>
                <w:sz w:val="20"/>
              </w:rPr>
              <w:t xml:space="preserve">217 </w:t>
            </w:r>
          </w:p>
        </w:tc>
        <w:tc>
          <w:tcPr>
            <w:tcW w:w="899" w:type="pct"/>
            <w:shd w:val="clear" w:color="auto" w:fill="auto"/>
            <w:vAlign w:val="center"/>
          </w:tcPr>
          <w:p w:rsidR="008D1738" w:rsidRPr="00C4710F" w:rsidRDefault="008D1738" w:rsidP="00E61788">
            <w:pPr>
              <w:keepNext/>
              <w:widowControl/>
              <w:jc w:val="center"/>
              <w:rPr>
                <w:rFonts w:ascii="Arial Narrow" w:hAnsi="Arial Narrow"/>
                <w:sz w:val="20"/>
              </w:rPr>
            </w:pPr>
            <w:r w:rsidRPr="00C4710F">
              <w:rPr>
                <w:rFonts w:ascii="Arial Narrow" w:hAnsi="Arial Narrow"/>
                <w:sz w:val="20"/>
              </w:rPr>
              <w:t>0.144 (0.024)</w:t>
            </w:r>
          </w:p>
        </w:tc>
        <w:tc>
          <w:tcPr>
            <w:tcW w:w="437" w:type="pct"/>
            <w:shd w:val="clear" w:color="auto" w:fill="auto"/>
            <w:vAlign w:val="center"/>
          </w:tcPr>
          <w:p w:rsidR="008D1738" w:rsidRPr="00C4710F" w:rsidRDefault="008D1738" w:rsidP="00E61788">
            <w:pPr>
              <w:keepNext/>
              <w:widowControl/>
              <w:jc w:val="center"/>
              <w:rPr>
                <w:rFonts w:ascii="Arial Narrow" w:hAnsi="Arial Narrow"/>
                <w:sz w:val="20"/>
              </w:rPr>
            </w:pPr>
            <w:r w:rsidRPr="00C4710F">
              <w:rPr>
                <w:rFonts w:ascii="Arial Narrow" w:hAnsi="Arial Narrow"/>
                <w:sz w:val="20"/>
              </w:rPr>
              <w:t xml:space="preserve">211 </w:t>
            </w:r>
          </w:p>
        </w:tc>
        <w:tc>
          <w:tcPr>
            <w:tcW w:w="869" w:type="pct"/>
            <w:shd w:val="clear" w:color="auto" w:fill="auto"/>
            <w:vAlign w:val="center"/>
          </w:tcPr>
          <w:p w:rsidR="008D1738" w:rsidRPr="00C4710F" w:rsidRDefault="008D1738" w:rsidP="00E61788">
            <w:pPr>
              <w:keepNext/>
              <w:widowControl/>
              <w:jc w:val="center"/>
              <w:rPr>
                <w:rFonts w:ascii="Arial Narrow" w:hAnsi="Arial Narrow"/>
                <w:sz w:val="20"/>
              </w:rPr>
            </w:pPr>
            <w:r w:rsidRPr="00C4710F">
              <w:rPr>
                <w:rFonts w:ascii="Arial Narrow" w:hAnsi="Arial Narrow"/>
                <w:sz w:val="20"/>
              </w:rPr>
              <w:t>0.056 (0.025)</w:t>
            </w:r>
          </w:p>
        </w:tc>
        <w:tc>
          <w:tcPr>
            <w:tcW w:w="1717" w:type="pct"/>
            <w:gridSpan w:val="2"/>
            <w:shd w:val="clear" w:color="auto" w:fill="auto"/>
            <w:vAlign w:val="center"/>
          </w:tcPr>
          <w:p w:rsidR="008D1738" w:rsidRPr="00C4710F" w:rsidRDefault="008D1738" w:rsidP="00E61788">
            <w:pPr>
              <w:keepNext/>
              <w:widowControl/>
              <w:jc w:val="center"/>
              <w:rPr>
                <w:rFonts w:ascii="Arial Narrow" w:hAnsi="Arial Narrow"/>
                <w:sz w:val="20"/>
                <w:lang w:val="en-US"/>
              </w:rPr>
            </w:pPr>
            <w:r w:rsidRPr="00C4710F">
              <w:rPr>
                <w:rFonts w:ascii="Arial Narrow" w:hAnsi="Arial Narrow"/>
                <w:b/>
                <w:sz w:val="20"/>
              </w:rPr>
              <w:t>0.088 (0.03, 0.15)</w:t>
            </w:r>
          </w:p>
        </w:tc>
      </w:tr>
      <w:tr w:rsidR="008D1738" w:rsidRPr="00C4710F" w:rsidTr="00B35A22">
        <w:tc>
          <w:tcPr>
            <w:tcW w:w="645" w:type="pct"/>
            <w:shd w:val="clear" w:color="auto" w:fill="auto"/>
            <w:vAlign w:val="center"/>
          </w:tcPr>
          <w:p w:rsidR="008D1738" w:rsidRPr="00C4710F" w:rsidRDefault="008D1738" w:rsidP="00E61788">
            <w:pPr>
              <w:keepNext/>
              <w:widowControl/>
              <w:jc w:val="left"/>
              <w:rPr>
                <w:rFonts w:ascii="Arial Narrow" w:hAnsi="Arial Narrow"/>
                <w:sz w:val="20"/>
              </w:rPr>
            </w:pPr>
            <w:r w:rsidRPr="00C4710F">
              <w:rPr>
                <w:rFonts w:ascii="Arial Narrow" w:hAnsi="Arial Narrow"/>
                <w:sz w:val="20"/>
              </w:rPr>
              <w:t>205.417</w:t>
            </w:r>
          </w:p>
        </w:tc>
        <w:tc>
          <w:tcPr>
            <w:tcW w:w="433" w:type="pct"/>
            <w:shd w:val="clear" w:color="auto" w:fill="auto"/>
            <w:vAlign w:val="center"/>
          </w:tcPr>
          <w:p w:rsidR="008D1738" w:rsidRPr="00C4710F" w:rsidRDefault="008D1738" w:rsidP="00E61788">
            <w:pPr>
              <w:keepNext/>
              <w:widowControl/>
              <w:jc w:val="center"/>
              <w:rPr>
                <w:rFonts w:ascii="Arial Narrow" w:hAnsi="Arial Narrow"/>
                <w:sz w:val="20"/>
              </w:rPr>
            </w:pPr>
            <w:r w:rsidRPr="00C4710F">
              <w:rPr>
                <w:rFonts w:ascii="Arial Narrow" w:hAnsi="Arial Narrow"/>
                <w:sz w:val="20"/>
              </w:rPr>
              <w:t xml:space="preserve">204 </w:t>
            </w:r>
          </w:p>
        </w:tc>
        <w:tc>
          <w:tcPr>
            <w:tcW w:w="899" w:type="pct"/>
            <w:shd w:val="clear" w:color="auto" w:fill="auto"/>
            <w:vAlign w:val="center"/>
          </w:tcPr>
          <w:p w:rsidR="008D1738" w:rsidRPr="00C4710F" w:rsidRDefault="008D1738" w:rsidP="00E61788">
            <w:pPr>
              <w:keepNext/>
              <w:widowControl/>
              <w:jc w:val="center"/>
              <w:rPr>
                <w:rFonts w:ascii="Arial Narrow" w:hAnsi="Arial Narrow"/>
                <w:sz w:val="20"/>
              </w:rPr>
            </w:pPr>
            <w:r w:rsidRPr="00C4710F">
              <w:rPr>
                <w:rFonts w:ascii="Arial Narrow" w:hAnsi="Arial Narrow"/>
                <w:sz w:val="20"/>
              </w:rPr>
              <w:t>0.155 (0.023)</w:t>
            </w:r>
          </w:p>
        </w:tc>
        <w:tc>
          <w:tcPr>
            <w:tcW w:w="437" w:type="pct"/>
            <w:shd w:val="clear" w:color="auto" w:fill="auto"/>
            <w:vAlign w:val="center"/>
          </w:tcPr>
          <w:p w:rsidR="008D1738" w:rsidRPr="00C4710F" w:rsidRDefault="008D1738" w:rsidP="00E61788">
            <w:pPr>
              <w:keepNext/>
              <w:widowControl/>
              <w:jc w:val="center"/>
              <w:rPr>
                <w:rFonts w:ascii="Arial Narrow" w:hAnsi="Arial Narrow"/>
                <w:sz w:val="20"/>
              </w:rPr>
            </w:pPr>
            <w:r w:rsidRPr="00C4710F">
              <w:rPr>
                <w:rFonts w:ascii="Arial Narrow" w:hAnsi="Arial Narrow"/>
                <w:sz w:val="20"/>
              </w:rPr>
              <w:t xml:space="preserve">218 </w:t>
            </w:r>
          </w:p>
        </w:tc>
        <w:tc>
          <w:tcPr>
            <w:tcW w:w="869" w:type="pct"/>
            <w:shd w:val="clear" w:color="auto" w:fill="auto"/>
            <w:vAlign w:val="center"/>
          </w:tcPr>
          <w:p w:rsidR="008D1738" w:rsidRPr="00C4710F" w:rsidRDefault="008D1738" w:rsidP="00E61788">
            <w:pPr>
              <w:keepNext/>
              <w:widowControl/>
              <w:jc w:val="center"/>
              <w:rPr>
                <w:rFonts w:ascii="Arial Narrow" w:hAnsi="Arial Narrow"/>
                <w:sz w:val="20"/>
              </w:rPr>
            </w:pPr>
            <w:r w:rsidRPr="00C4710F">
              <w:rPr>
                <w:rFonts w:ascii="Arial Narrow" w:hAnsi="Arial Narrow"/>
                <w:sz w:val="20"/>
              </w:rPr>
              <w:t>0.044 (0.022)</w:t>
            </w:r>
          </w:p>
        </w:tc>
        <w:tc>
          <w:tcPr>
            <w:tcW w:w="1717" w:type="pct"/>
            <w:gridSpan w:val="2"/>
            <w:shd w:val="clear" w:color="auto" w:fill="auto"/>
            <w:vAlign w:val="center"/>
          </w:tcPr>
          <w:p w:rsidR="008D1738" w:rsidRPr="00C4710F" w:rsidRDefault="008D1738" w:rsidP="00E61788">
            <w:pPr>
              <w:keepNext/>
              <w:widowControl/>
              <w:jc w:val="center"/>
              <w:rPr>
                <w:rFonts w:ascii="Arial Narrow" w:hAnsi="Arial Narrow"/>
                <w:sz w:val="20"/>
                <w:lang w:val="en-US"/>
              </w:rPr>
            </w:pPr>
            <w:r w:rsidRPr="00C4710F">
              <w:rPr>
                <w:rFonts w:ascii="Arial Narrow" w:hAnsi="Arial Narrow"/>
                <w:b/>
                <w:sz w:val="20"/>
              </w:rPr>
              <w:t>0.111 (0.05, 0.17)</w:t>
            </w:r>
          </w:p>
        </w:tc>
      </w:tr>
      <w:tr w:rsidR="008D1738" w:rsidRPr="00C4710F" w:rsidTr="00B35A22">
        <w:tc>
          <w:tcPr>
            <w:tcW w:w="3283" w:type="pct"/>
            <w:gridSpan w:val="5"/>
            <w:shd w:val="clear" w:color="auto" w:fill="auto"/>
            <w:vAlign w:val="center"/>
          </w:tcPr>
          <w:p w:rsidR="008D1738" w:rsidRPr="00B46F3B" w:rsidRDefault="00054F10" w:rsidP="00E61788">
            <w:pPr>
              <w:keepNext/>
              <w:widowControl/>
              <w:rPr>
                <w:rFonts w:ascii="Arial Narrow" w:hAnsi="Arial Narrow"/>
                <w:sz w:val="20"/>
              </w:rPr>
            </w:pPr>
            <w:r w:rsidRPr="00B46F3B">
              <w:rPr>
                <w:rFonts w:ascii="Arial Narrow" w:hAnsi="Arial Narrow"/>
                <w:sz w:val="20"/>
              </w:rPr>
              <w:t>Meta-analysis</w:t>
            </w:r>
            <w:r w:rsidR="008D1738" w:rsidRPr="00B46F3B">
              <w:rPr>
                <w:rFonts w:ascii="Arial Narrow" w:hAnsi="Arial Narrow"/>
                <w:sz w:val="20"/>
              </w:rPr>
              <w:t xml:space="preserve"> result (I</w:t>
            </w:r>
            <w:r w:rsidR="008D1738" w:rsidRPr="00B46F3B">
              <w:rPr>
                <w:rFonts w:ascii="Arial Narrow" w:hAnsi="Arial Narrow"/>
                <w:sz w:val="20"/>
                <w:vertAlign w:val="superscript"/>
              </w:rPr>
              <w:t>2</w:t>
            </w:r>
            <w:r w:rsidR="008D1738" w:rsidRPr="00B46F3B">
              <w:rPr>
                <w:rFonts w:ascii="Arial Narrow" w:hAnsi="Arial Narrow"/>
                <w:sz w:val="20"/>
              </w:rPr>
              <w:t xml:space="preserve"> statistic = 0%)</w:t>
            </w:r>
          </w:p>
          <w:p w:rsidR="008D1738" w:rsidRPr="00C4710F" w:rsidRDefault="008D1738" w:rsidP="00E61788">
            <w:pPr>
              <w:keepNext/>
              <w:widowControl/>
              <w:rPr>
                <w:rFonts w:ascii="Arial Narrow" w:hAnsi="Arial Narrow"/>
                <w:sz w:val="20"/>
                <w:lang w:val="en-US"/>
              </w:rPr>
            </w:pPr>
            <w:r w:rsidRPr="00B46F3B">
              <w:rPr>
                <w:rFonts w:ascii="Arial Narrow" w:hAnsi="Arial Narrow"/>
                <w:sz w:val="20"/>
              </w:rPr>
              <w:t>Chi-square for heterogeneity: P=0.59</w:t>
            </w:r>
          </w:p>
        </w:tc>
        <w:tc>
          <w:tcPr>
            <w:tcW w:w="1717" w:type="pct"/>
            <w:gridSpan w:val="2"/>
            <w:shd w:val="clear" w:color="auto" w:fill="auto"/>
            <w:vAlign w:val="center"/>
          </w:tcPr>
          <w:p w:rsidR="008D1738" w:rsidRPr="00C4710F" w:rsidRDefault="008D1738" w:rsidP="00E61788">
            <w:pPr>
              <w:keepNext/>
              <w:widowControl/>
              <w:jc w:val="center"/>
              <w:rPr>
                <w:rFonts w:ascii="Arial Narrow" w:hAnsi="Arial Narrow"/>
                <w:sz w:val="20"/>
                <w:lang w:val="en-US"/>
              </w:rPr>
            </w:pPr>
            <w:r w:rsidRPr="00C4710F">
              <w:rPr>
                <w:rFonts w:ascii="Arial Narrow" w:hAnsi="Arial Narrow"/>
                <w:b/>
                <w:sz w:val="20"/>
              </w:rPr>
              <w:t>0.10 (0.06, 0.14)</w:t>
            </w:r>
          </w:p>
        </w:tc>
      </w:tr>
      <w:tr w:rsidR="008D1738" w:rsidRPr="00C4710F" w:rsidTr="00B35A22">
        <w:tc>
          <w:tcPr>
            <w:tcW w:w="5000" w:type="pct"/>
            <w:gridSpan w:val="7"/>
            <w:shd w:val="clear" w:color="auto" w:fill="auto"/>
            <w:vAlign w:val="center"/>
          </w:tcPr>
          <w:p w:rsidR="008D1738" w:rsidRPr="00C4710F" w:rsidRDefault="00444C0C" w:rsidP="00E61788">
            <w:pPr>
              <w:keepNext/>
              <w:widowControl/>
              <w:jc w:val="left"/>
              <w:rPr>
                <w:rFonts w:ascii="Arial Narrow" w:hAnsi="Arial Narrow"/>
                <w:sz w:val="20"/>
                <w:lang w:val="en-US"/>
              </w:rPr>
            </w:pPr>
            <w:r>
              <w:rPr>
                <w:rStyle w:val="CommentReference"/>
                <w:szCs w:val="20"/>
              </w:rPr>
              <w:t>ACQ</w:t>
            </w:r>
            <w:r w:rsidR="003B7DA4">
              <w:rPr>
                <w:rStyle w:val="CommentReference"/>
                <w:szCs w:val="20"/>
              </w:rPr>
              <w:t>-</w:t>
            </w:r>
            <w:r>
              <w:rPr>
                <w:rStyle w:val="CommentReference"/>
                <w:szCs w:val="20"/>
              </w:rPr>
              <w:t>7</w:t>
            </w:r>
            <w:r w:rsidR="008D1738" w:rsidRPr="00C4710F">
              <w:rPr>
                <w:rStyle w:val="CommentReference"/>
                <w:szCs w:val="20"/>
              </w:rPr>
              <w:t xml:space="preserve"> score to 48 weeks</w:t>
            </w:r>
          </w:p>
        </w:tc>
      </w:tr>
      <w:tr w:rsidR="008D1738" w:rsidRPr="00C4710F" w:rsidTr="00B35A22">
        <w:tc>
          <w:tcPr>
            <w:tcW w:w="645" w:type="pct"/>
            <w:shd w:val="clear" w:color="auto" w:fill="auto"/>
            <w:vAlign w:val="center"/>
          </w:tcPr>
          <w:p w:rsidR="008D1738" w:rsidRPr="009A24AD" w:rsidRDefault="008D1738" w:rsidP="00E61788">
            <w:pPr>
              <w:keepNext/>
              <w:widowControl/>
              <w:jc w:val="left"/>
              <w:rPr>
                <w:rFonts w:ascii="Arial Narrow" w:hAnsi="Arial Narrow"/>
                <w:sz w:val="20"/>
              </w:rPr>
            </w:pPr>
            <w:r w:rsidRPr="009A24AD">
              <w:rPr>
                <w:rFonts w:ascii="Arial Narrow" w:hAnsi="Arial Narrow"/>
                <w:sz w:val="20"/>
              </w:rPr>
              <w:t>205.416</w:t>
            </w:r>
          </w:p>
        </w:tc>
        <w:tc>
          <w:tcPr>
            <w:tcW w:w="433" w:type="pct"/>
            <w:shd w:val="clear" w:color="auto" w:fill="auto"/>
            <w:vAlign w:val="center"/>
          </w:tcPr>
          <w:p w:rsidR="008D1738" w:rsidRPr="00C4710F" w:rsidRDefault="008D1738" w:rsidP="00E61788">
            <w:pPr>
              <w:keepNext/>
              <w:widowControl/>
              <w:ind w:right="-108"/>
              <w:jc w:val="center"/>
              <w:rPr>
                <w:rFonts w:ascii="Arial Narrow" w:hAnsi="Arial Narrow"/>
                <w:sz w:val="20"/>
              </w:rPr>
            </w:pPr>
            <w:r w:rsidRPr="00C4710F">
              <w:rPr>
                <w:rFonts w:ascii="Arial Narrow" w:hAnsi="Arial Narrow"/>
                <w:sz w:val="20"/>
              </w:rPr>
              <w:t xml:space="preserve">215 </w:t>
            </w:r>
          </w:p>
        </w:tc>
        <w:tc>
          <w:tcPr>
            <w:tcW w:w="899" w:type="pct"/>
            <w:shd w:val="clear" w:color="auto" w:fill="auto"/>
            <w:vAlign w:val="center"/>
          </w:tcPr>
          <w:p w:rsidR="008D1738" w:rsidRPr="009502D4" w:rsidRDefault="00504B1C" w:rsidP="00E61788">
            <w:pPr>
              <w:keepNext/>
              <w:widowControl/>
              <w:jc w:val="center"/>
              <w:rPr>
                <w:rFonts w:ascii="Arial Narrow" w:hAnsi="Arial Narrow"/>
                <w:sz w:val="20"/>
              </w:rPr>
            </w:pPr>
            <w:r>
              <w:rPr>
                <w:rFonts w:ascii="Arial Narrow" w:hAnsi="Arial Narrow"/>
                <w:noProof/>
                <w:color w:val="000000"/>
                <w:sz w:val="20"/>
                <w:highlight w:val="black"/>
              </w:rPr>
              <w:t>''''''''''</w:t>
            </w:r>
            <w:r w:rsidR="008D1738" w:rsidRPr="009502D4">
              <w:rPr>
                <w:rFonts w:ascii="Arial Narrow" w:hAnsi="Arial Narrow"/>
                <w:sz w:val="20"/>
              </w:rPr>
              <w:t xml:space="preserve"> (</w:t>
            </w:r>
            <w:r>
              <w:rPr>
                <w:rFonts w:ascii="Arial Narrow" w:hAnsi="Arial Narrow"/>
                <w:noProof/>
                <w:color w:val="000000"/>
                <w:sz w:val="20"/>
                <w:highlight w:val="black"/>
              </w:rPr>
              <w:t>'''''''''''</w:t>
            </w:r>
            <w:r w:rsidR="008D1738" w:rsidRPr="009502D4">
              <w:rPr>
                <w:rFonts w:ascii="Arial Narrow" w:hAnsi="Arial Narrow"/>
                <w:sz w:val="20"/>
              </w:rPr>
              <w:t>)</w:t>
            </w:r>
          </w:p>
        </w:tc>
        <w:tc>
          <w:tcPr>
            <w:tcW w:w="437" w:type="pct"/>
            <w:shd w:val="clear" w:color="auto" w:fill="auto"/>
            <w:vAlign w:val="center"/>
          </w:tcPr>
          <w:p w:rsidR="008D1738" w:rsidRPr="00504B1C" w:rsidRDefault="00504B1C" w:rsidP="00E6178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69" w:type="pct"/>
            <w:shd w:val="clear" w:color="auto" w:fill="auto"/>
            <w:vAlign w:val="center"/>
          </w:tcPr>
          <w:p w:rsidR="008D1738" w:rsidRPr="009502D4" w:rsidRDefault="00504B1C" w:rsidP="00E61788">
            <w:pPr>
              <w:keepNext/>
              <w:widowControl/>
              <w:jc w:val="center"/>
              <w:rPr>
                <w:rFonts w:ascii="Arial Narrow" w:hAnsi="Arial Narrow"/>
                <w:sz w:val="20"/>
                <w:lang w:val="en-US"/>
              </w:rPr>
            </w:pPr>
            <w:r>
              <w:rPr>
                <w:rFonts w:ascii="Arial Narrow" w:hAnsi="Arial Narrow"/>
                <w:noProof/>
                <w:color w:val="000000"/>
                <w:sz w:val="20"/>
                <w:highlight w:val="black"/>
              </w:rPr>
              <w:t>'''''''''''</w:t>
            </w:r>
            <w:r w:rsidR="008D1738" w:rsidRPr="009502D4">
              <w:rPr>
                <w:rFonts w:ascii="Arial Narrow" w:hAnsi="Arial Narrow"/>
                <w:sz w:val="20"/>
              </w:rPr>
              <w:t xml:space="preserve"> (</w:t>
            </w:r>
            <w:r>
              <w:rPr>
                <w:rFonts w:ascii="Arial Narrow" w:hAnsi="Arial Narrow"/>
                <w:noProof/>
                <w:color w:val="000000"/>
                <w:sz w:val="20"/>
                <w:highlight w:val="black"/>
              </w:rPr>
              <w:t>'''''''''''</w:t>
            </w:r>
            <w:r w:rsidR="008D1738" w:rsidRPr="009502D4">
              <w:rPr>
                <w:rFonts w:ascii="Arial Narrow" w:hAnsi="Arial Narrow"/>
                <w:sz w:val="20"/>
              </w:rPr>
              <w:t>)</w:t>
            </w:r>
          </w:p>
        </w:tc>
        <w:tc>
          <w:tcPr>
            <w:tcW w:w="1717" w:type="pct"/>
            <w:gridSpan w:val="2"/>
            <w:shd w:val="clear" w:color="auto" w:fill="auto"/>
            <w:vAlign w:val="center"/>
          </w:tcPr>
          <w:p w:rsidR="008D1738" w:rsidRPr="009502D4" w:rsidRDefault="008D1738" w:rsidP="00E61788">
            <w:pPr>
              <w:keepNext/>
              <w:widowControl/>
              <w:jc w:val="center"/>
              <w:rPr>
                <w:rFonts w:ascii="Arial Narrow" w:hAnsi="Arial Narrow"/>
                <w:sz w:val="20"/>
                <w:lang w:val="en-US"/>
              </w:rPr>
            </w:pPr>
            <w:r w:rsidRPr="009502D4">
              <w:rPr>
                <w:rFonts w:ascii="Arial Narrow" w:hAnsi="Arial Narrow"/>
                <w:sz w:val="20"/>
              </w:rPr>
              <w:t>-</w:t>
            </w:r>
            <w:r w:rsidR="00504B1C">
              <w:rPr>
                <w:rFonts w:ascii="Arial Narrow" w:hAnsi="Arial Narrow"/>
                <w:noProof/>
                <w:color w:val="000000"/>
                <w:sz w:val="20"/>
                <w:highlight w:val="black"/>
              </w:rPr>
              <w:t>''''''''''</w:t>
            </w:r>
            <w:r w:rsidRPr="009502D4">
              <w:rPr>
                <w:rFonts w:ascii="Arial Narrow" w:hAnsi="Arial Narrow"/>
                <w:sz w:val="20"/>
              </w:rPr>
              <w:t xml:space="preserve"> (-</w:t>
            </w:r>
            <w:r w:rsidR="00504B1C">
              <w:rPr>
                <w:rFonts w:ascii="Arial Narrow" w:hAnsi="Arial Narrow"/>
                <w:noProof/>
                <w:color w:val="000000"/>
                <w:sz w:val="20"/>
                <w:highlight w:val="black"/>
              </w:rPr>
              <w:t>''''''''''</w:t>
            </w:r>
            <w:r w:rsidRPr="009502D4">
              <w:rPr>
                <w:rFonts w:ascii="Arial Narrow" w:hAnsi="Arial Narrow"/>
                <w:sz w:val="20"/>
              </w:rPr>
              <w:t xml:space="preserve">, </w:t>
            </w:r>
            <w:r w:rsidR="00504B1C">
              <w:rPr>
                <w:rFonts w:ascii="Arial Narrow" w:hAnsi="Arial Narrow"/>
                <w:noProof/>
                <w:color w:val="000000"/>
                <w:sz w:val="20"/>
                <w:highlight w:val="black"/>
              </w:rPr>
              <w:t>''''''''''''</w:t>
            </w:r>
            <w:r w:rsidRPr="009502D4">
              <w:rPr>
                <w:rFonts w:ascii="Arial Narrow" w:hAnsi="Arial Narrow"/>
                <w:sz w:val="20"/>
              </w:rPr>
              <w:t>)</w:t>
            </w:r>
          </w:p>
        </w:tc>
      </w:tr>
      <w:tr w:rsidR="008D1738" w:rsidRPr="00C4710F" w:rsidTr="00B35A22">
        <w:tc>
          <w:tcPr>
            <w:tcW w:w="645" w:type="pct"/>
            <w:shd w:val="clear" w:color="auto" w:fill="auto"/>
            <w:vAlign w:val="center"/>
          </w:tcPr>
          <w:p w:rsidR="008D1738" w:rsidRPr="009A24AD" w:rsidRDefault="008D1738" w:rsidP="00E61788">
            <w:pPr>
              <w:keepNext/>
              <w:widowControl/>
              <w:jc w:val="left"/>
              <w:rPr>
                <w:rFonts w:ascii="Arial Narrow" w:hAnsi="Arial Narrow"/>
                <w:sz w:val="20"/>
              </w:rPr>
            </w:pPr>
            <w:r w:rsidRPr="009A24AD">
              <w:rPr>
                <w:rFonts w:ascii="Arial Narrow" w:hAnsi="Arial Narrow"/>
                <w:sz w:val="20"/>
              </w:rPr>
              <w:t>205.417</w:t>
            </w:r>
          </w:p>
        </w:tc>
        <w:tc>
          <w:tcPr>
            <w:tcW w:w="433" w:type="pct"/>
            <w:shd w:val="clear" w:color="auto" w:fill="auto"/>
            <w:vAlign w:val="center"/>
          </w:tcPr>
          <w:p w:rsidR="008D1738" w:rsidRPr="00C4710F" w:rsidRDefault="008D1738" w:rsidP="00E61788">
            <w:pPr>
              <w:keepNext/>
              <w:widowControl/>
              <w:ind w:right="-108"/>
              <w:jc w:val="center"/>
              <w:rPr>
                <w:rFonts w:ascii="Arial Narrow" w:hAnsi="Arial Narrow"/>
                <w:sz w:val="20"/>
              </w:rPr>
            </w:pPr>
            <w:r w:rsidRPr="00C4710F">
              <w:rPr>
                <w:rFonts w:ascii="Arial Narrow" w:hAnsi="Arial Narrow"/>
                <w:sz w:val="20"/>
              </w:rPr>
              <w:t xml:space="preserve">200 </w:t>
            </w:r>
          </w:p>
        </w:tc>
        <w:tc>
          <w:tcPr>
            <w:tcW w:w="899" w:type="pct"/>
            <w:shd w:val="clear" w:color="auto" w:fill="auto"/>
            <w:vAlign w:val="center"/>
          </w:tcPr>
          <w:p w:rsidR="008D1738" w:rsidRPr="009502D4" w:rsidRDefault="00504B1C" w:rsidP="00E61788">
            <w:pPr>
              <w:keepNext/>
              <w:widowControl/>
              <w:jc w:val="center"/>
              <w:rPr>
                <w:rFonts w:ascii="Arial Narrow" w:hAnsi="Arial Narrow"/>
                <w:sz w:val="20"/>
              </w:rPr>
            </w:pPr>
            <w:r>
              <w:rPr>
                <w:rFonts w:ascii="Arial Narrow" w:hAnsi="Arial Narrow"/>
                <w:noProof/>
                <w:color w:val="000000"/>
                <w:sz w:val="20"/>
                <w:highlight w:val="black"/>
              </w:rPr>
              <w:t>''''''''''</w:t>
            </w:r>
            <w:r w:rsidR="008D1738" w:rsidRPr="009502D4">
              <w:rPr>
                <w:rFonts w:ascii="Arial Narrow" w:hAnsi="Arial Narrow"/>
                <w:sz w:val="20"/>
              </w:rPr>
              <w:t xml:space="preserve"> (</w:t>
            </w:r>
            <w:r>
              <w:rPr>
                <w:rFonts w:ascii="Arial Narrow" w:hAnsi="Arial Narrow"/>
                <w:noProof/>
                <w:color w:val="000000"/>
                <w:sz w:val="20"/>
                <w:highlight w:val="black"/>
              </w:rPr>
              <w:t>'''''''''''</w:t>
            </w:r>
            <w:r w:rsidR="008D1738" w:rsidRPr="009502D4">
              <w:rPr>
                <w:rFonts w:ascii="Arial Narrow" w:hAnsi="Arial Narrow"/>
                <w:sz w:val="20"/>
              </w:rPr>
              <w:t>)</w:t>
            </w:r>
          </w:p>
        </w:tc>
        <w:tc>
          <w:tcPr>
            <w:tcW w:w="437" w:type="pct"/>
            <w:shd w:val="clear" w:color="auto" w:fill="auto"/>
            <w:vAlign w:val="center"/>
          </w:tcPr>
          <w:p w:rsidR="008D1738" w:rsidRPr="00504B1C" w:rsidRDefault="00504B1C" w:rsidP="00E6178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69" w:type="pct"/>
            <w:shd w:val="clear" w:color="auto" w:fill="auto"/>
            <w:vAlign w:val="center"/>
          </w:tcPr>
          <w:p w:rsidR="008D1738" w:rsidRPr="009502D4" w:rsidRDefault="00504B1C" w:rsidP="00E61788">
            <w:pPr>
              <w:keepNext/>
              <w:widowControl/>
              <w:jc w:val="center"/>
              <w:rPr>
                <w:rFonts w:ascii="Arial Narrow" w:hAnsi="Arial Narrow"/>
                <w:sz w:val="20"/>
                <w:lang w:val="en-US"/>
              </w:rPr>
            </w:pPr>
            <w:r>
              <w:rPr>
                <w:rFonts w:ascii="Arial Narrow" w:hAnsi="Arial Narrow"/>
                <w:noProof/>
                <w:color w:val="000000"/>
                <w:sz w:val="20"/>
                <w:highlight w:val="black"/>
              </w:rPr>
              <w:t>''''''''''</w:t>
            </w:r>
            <w:r w:rsidR="008D1738" w:rsidRPr="009502D4">
              <w:rPr>
                <w:rFonts w:ascii="Arial Narrow" w:hAnsi="Arial Narrow"/>
                <w:sz w:val="20"/>
              </w:rPr>
              <w:t xml:space="preserve"> (</w:t>
            </w:r>
            <w:r>
              <w:rPr>
                <w:rFonts w:ascii="Arial Narrow" w:hAnsi="Arial Narrow"/>
                <w:noProof/>
                <w:color w:val="000000"/>
                <w:sz w:val="20"/>
                <w:highlight w:val="black"/>
              </w:rPr>
              <w:t>''''''''''''</w:t>
            </w:r>
            <w:r w:rsidR="008D1738" w:rsidRPr="009502D4">
              <w:rPr>
                <w:rFonts w:ascii="Arial Narrow" w:hAnsi="Arial Narrow"/>
                <w:sz w:val="20"/>
              </w:rPr>
              <w:t>)</w:t>
            </w:r>
          </w:p>
        </w:tc>
        <w:tc>
          <w:tcPr>
            <w:tcW w:w="1717" w:type="pct"/>
            <w:gridSpan w:val="2"/>
            <w:shd w:val="clear" w:color="auto" w:fill="auto"/>
            <w:vAlign w:val="center"/>
          </w:tcPr>
          <w:p w:rsidR="008D1738" w:rsidRPr="009502D4" w:rsidRDefault="008D1738" w:rsidP="00E61788">
            <w:pPr>
              <w:keepNext/>
              <w:widowControl/>
              <w:jc w:val="center"/>
              <w:rPr>
                <w:rFonts w:ascii="Arial Narrow" w:hAnsi="Arial Narrow"/>
                <w:sz w:val="20"/>
                <w:lang w:val="en-US"/>
              </w:rPr>
            </w:pPr>
            <w:r w:rsidRPr="009502D4">
              <w:rPr>
                <w:rFonts w:ascii="Arial Narrow" w:hAnsi="Arial Narrow"/>
                <w:sz w:val="20"/>
              </w:rPr>
              <w:t>-</w:t>
            </w:r>
            <w:r w:rsidR="00504B1C">
              <w:rPr>
                <w:rFonts w:ascii="Arial Narrow" w:hAnsi="Arial Narrow"/>
                <w:noProof/>
                <w:color w:val="000000"/>
                <w:sz w:val="20"/>
                <w:highlight w:val="black"/>
              </w:rPr>
              <w:t>'''''''''''</w:t>
            </w:r>
            <w:r w:rsidRPr="009502D4">
              <w:rPr>
                <w:rFonts w:ascii="Arial Narrow" w:hAnsi="Arial Narrow"/>
                <w:sz w:val="20"/>
              </w:rPr>
              <w:t xml:space="preserve"> (-</w:t>
            </w:r>
            <w:r w:rsidR="00504B1C">
              <w:rPr>
                <w:rFonts w:ascii="Arial Narrow" w:hAnsi="Arial Narrow"/>
                <w:noProof/>
                <w:color w:val="000000"/>
                <w:sz w:val="20"/>
                <w:highlight w:val="black"/>
              </w:rPr>
              <w:t>''''''''''</w:t>
            </w:r>
            <w:r w:rsidRPr="009502D4">
              <w:rPr>
                <w:rFonts w:ascii="Arial Narrow" w:hAnsi="Arial Narrow"/>
                <w:sz w:val="20"/>
              </w:rPr>
              <w:t xml:space="preserve">, </w:t>
            </w:r>
            <w:r w:rsidR="00504B1C">
              <w:rPr>
                <w:rFonts w:ascii="Arial Narrow" w:hAnsi="Arial Narrow"/>
                <w:noProof/>
                <w:color w:val="000000"/>
                <w:sz w:val="20"/>
                <w:highlight w:val="black"/>
              </w:rPr>
              <w:t>''''''''''</w:t>
            </w:r>
            <w:r w:rsidRPr="009502D4">
              <w:rPr>
                <w:rFonts w:ascii="Arial Narrow" w:hAnsi="Arial Narrow"/>
                <w:sz w:val="20"/>
              </w:rPr>
              <w:t>)</w:t>
            </w:r>
          </w:p>
        </w:tc>
      </w:tr>
      <w:tr w:rsidR="008D1738" w:rsidRPr="00C4710F" w:rsidTr="00B35A22">
        <w:tc>
          <w:tcPr>
            <w:tcW w:w="3283" w:type="pct"/>
            <w:gridSpan w:val="5"/>
            <w:shd w:val="clear" w:color="auto" w:fill="auto"/>
            <w:vAlign w:val="center"/>
          </w:tcPr>
          <w:p w:rsidR="008D1738" w:rsidRPr="00B46F3B" w:rsidRDefault="00054F10" w:rsidP="00E61788">
            <w:pPr>
              <w:keepNext/>
              <w:widowControl/>
              <w:rPr>
                <w:rFonts w:ascii="Arial Narrow" w:hAnsi="Arial Narrow"/>
                <w:sz w:val="20"/>
              </w:rPr>
            </w:pPr>
            <w:r w:rsidRPr="00B46F3B">
              <w:rPr>
                <w:rFonts w:ascii="Arial Narrow" w:hAnsi="Arial Narrow"/>
                <w:sz w:val="20"/>
              </w:rPr>
              <w:t>Meta-analysis</w:t>
            </w:r>
            <w:r w:rsidR="008D1738" w:rsidRPr="00B46F3B">
              <w:rPr>
                <w:rFonts w:ascii="Arial Narrow" w:hAnsi="Arial Narrow"/>
                <w:sz w:val="20"/>
              </w:rPr>
              <w:t xml:space="preserve"> result (I</w:t>
            </w:r>
            <w:r w:rsidR="008D1738" w:rsidRPr="00B46F3B">
              <w:rPr>
                <w:rFonts w:ascii="Arial Narrow" w:hAnsi="Arial Narrow"/>
                <w:sz w:val="20"/>
                <w:vertAlign w:val="superscript"/>
              </w:rPr>
              <w:t>2</w:t>
            </w:r>
            <w:r w:rsidR="008D1738" w:rsidRPr="00B46F3B">
              <w:rPr>
                <w:rFonts w:ascii="Arial Narrow" w:hAnsi="Arial Narrow"/>
                <w:sz w:val="20"/>
              </w:rPr>
              <w:t xml:space="preserve"> statistic = </w:t>
            </w:r>
            <w:proofErr w:type="gramStart"/>
            <w:r w:rsidR="00504B1C">
              <w:rPr>
                <w:rFonts w:ascii="Arial Narrow" w:hAnsi="Arial Narrow"/>
                <w:noProof/>
                <w:color w:val="000000"/>
                <w:sz w:val="20"/>
                <w:highlight w:val="black"/>
              </w:rPr>
              <w:t>''''</w:t>
            </w:r>
            <w:r w:rsidR="008D1738" w:rsidRPr="00B46F3B">
              <w:rPr>
                <w:rFonts w:ascii="Arial Narrow" w:hAnsi="Arial Narrow"/>
                <w:sz w:val="20"/>
              </w:rPr>
              <w:t>%</w:t>
            </w:r>
            <w:proofErr w:type="gramEnd"/>
            <w:r w:rsidR="008D1738" w:rsidRPr="00B46F3B">
              <w:rPr>
                <w:rFonts w:ascii="Arial Narrow" w:hAnsi="Arial Narrow"/>
                <w:sz w:val="20"/>
              </w:rPr>
              <w:t>)</w:t>
            </w:r>
          </w:p>
          <w:p w:rsidR="008D1738" w:rsidRPr="00C4710F" w:rsidRDefault="008D1738" w:rsidP="00E61788">
            <w:pPr>
              <w:keepNext/>
              <w:widowControl/>
              <w:jc w:val="left"/>
              <w:rPr>
                <w:rFonts w:ascii="Arial Narrow" w:hAnsi="Arial Narrow"/>
                <w:b/>
                <w:sz w:val="20"/>
              </w:rPr>
            </w:pPr>
            <w:r w:rsidRPr="00B46F3B">
              <w:rPr>
                <w:rFonts w:ascii="Arial Narrow" w:hAnsi="Arial Narrow"/>
                <w:sz w:val="20"/>
              </w:rPr>
              <w:t>Chi-square for heterogeneity: P=</w:t>
            </w:r>
            <w:r w:rsidR="00504B1C">
              <w:rPr>
                <w:rFonts w:ascii="Arial Narrow" w:hAnsi="Arial Narrow"/>
                <w:noProof/>
                <w:color w:val="000000"/>
                <w:sz w:val="20"/>
                <w:highlight w:val="black"/>
              </w:rPr>
              <w:t>''''''''''</w:t>
            </w:r>
          </w:p>
        </w:tc>
        <w:tc>
          <w:tcPr>
            <w:tcW w:w="1717" w:type="pct"/>
            <w:gridSpan w:val="2"/>
            <w:shd w:val="clear" w:color="auto" w:fill="auto"/>
            <w:vAlign w:val="center"/>
          </w:tcPr>
          <w:p w:rsidR="008D1738" w:rsidRPr="00C4710F" w:rsidRDefault="008D1738" w:rsidP="00E61788">
            <w:pPr>
              <w:keepNext/>
              <w:widowControl/>
              <w:jc w:val="center"/>
              <w:rPr>
                <w:rFonts w:ascii="Arial Narrow" w:hAnsi="Arial Narrow"/>
                <w:b/>
                <w:sz w:val="20"/>
              </w:rPr>
            </w:pPr>
            <w:r w:rsidRPr="009502D4">
              <w:rPr>
                <w:rFonts w:ascii="Arial Narrow" w:hAnsi="Arial Narrow"/>
                <w:b/>
                <w:sz w:val="20"/>
              </w:rPr>
              <w:t>-</w:t>
            </w:r>
            <w:r w:rsidR="00504B1C">
              <w:rPr>
                <w:rFonts w:ascii="Arial Narrow" w:hAnsi="Arial Narrow"/>
                <w:b/>
                <w:noProof/>
                <w:color w:val="000000"/>
                <w:sz w:val="20"/>
                <w:highlight w:val="black"/>
              </w:rPr>
              <w:t>'''''''''</w:t>
            </w:r>
            <w:r w:rsidRPr="009502D4">
              <w:rPr>
                <w:rFonts w:ascii="Arial Narrow" w:hAnsi="Arial Narrow"/>
                <w:b/>
                <w:sz w:val="20"/>
              </w:rPr>
              <w:t xml:space="preserve"> (-</w:t>
            </w:r>
            <w:r w:rsidR="00504B1C">
              <w:rPr>
                <w:rFonts w:ascii="Arial Narrow" w:hAnsi="Arial Narrow"/>
                <w:b/>
                <w:noProof/>
                <w:color w:val="000000"/>
                <w:sz w:val="20"/>
                <w:highlight w:val="black"/>
              </w:rPr>
              <w:t>'''''''''</w:t>
            </w:r>
            <w:r w:rsidRPr="009502D4">
              <w:rPr>
                <w:rFonts w:ascii="Arial Narrow" w:hAnsi="Arial Narrow"/>
                <w:b/>
                <w:sz w:val="20"/>
              </w:rPr>
              <w:t>, -</w:t>
            </w:r>
            <w:r w:rsidR="00504B1C">
              <w:rPr>
                <w:rFonts w:ascii="Arial Narrow" w:hAnsi="Arial Narrow"/>
                <w:b/>
                <w:noProof/>
                <w:color w:val="000000"/>
                <w:sz w:val="20"/>
                <w:highlight w:val="black"/>
              </w:rPr>
              <w:t>''''''''</w:t>
            </w:r>
            <w:r w:rsidRPr="009502D4">
              <w:rPr>
                <w:rFonts w:ascii="Arial Narrow" w:hAnsi="Arial Narrow"/>
                <w:b/>
                <w:sz w:val="20"/>
              </w:rPr>
              <w:t>)</w:t>
            </w:r>
          </w:p>
        </w:tc>
      </w:tr>
      <w:tr w:rsidR="00C4710F" w:rsidRPr="00C4710F" w:rsidTr="00B35A22">
        <w:tc>
          <w:tcPr>
            <w:tcW w:w="645" w:type="pct"/>
            <w:shd w:val="clear" w:color="auto" w:fill="auto"/>
            <w:vAlign w:val="center"/>
          </w:tcPr>
          <w:p w:rsidR="00317FE1" w:rsidRPr="00C4710F" w:rsidRDefault="00317FE1" w:rsidP="00E61788">
            <w:pPr>
              <w:keepNext/>
              <w:widowControl/>
              <w:jc w:val="left"/>
              <w:rPr>
                <w:rFonts w:ascii="Arial Narrow" w:hAnsi="Arial Narrow"/>
                <w:sz w:val="20"/>
                <w:lang w:val="en-US"/>
              </w:rPr>
            </w:pPr>
          </w:p>
        </w:tc>
        <w:tc>
          <w:tcPr>
            <w:tcW w:w="433" w:type="pct"/>
            <w:shd w:val="clear" w:color="auto" w:fill="auto"/>
            <w:vAlign w:val="center"/>
          </w:tcPr>
          <w:p w:rsidR="00317FE1" w:rsidRPr="00C4710F" w:rsidRDefault="00317FE1" w:rsidP="00E61788">
            <w:pPr>
              <w:keepNext/>
              <w:widowControl/>
              <w:ind w:right="-108"/>
              <w:jc w:val="center"/>
              <w:rPr>
                <w:rFonts w:ascii="Arial Narrow" w:hAnsi="Arial Narrow"/>
                <w:sz w:val="20"/>
              </w:rPr>
            </w:pPr>
            <w:r w:rsidRPr="00C4710F">
              <w:rPr>
                <w:rFonts w:ascii="Arial Narrow" w:hAnsi="Arial Narrow"/>
                <w:b/>
                <w:sz w:val="20"/>
              </w:rPr>
              <w:t xml:space="preserve">N </w:t>
            </w:r>
          </w:p>
        </w:tc>
        <w:tc>
          <w:tcPr>
            <w:tcW w:w="899" w:type="pct"/>
            <w:shd w:val="clear" w:color="auto" w:fill="auto"/>
            <w:vAlign w:val="center"/>
          </w:tcPr>
          <w:p w:rsidR="00317FE1" w:rsidRPr="00C4710F" w:rsidRDefault="00317FE1" w:rsidP="00E61788">
            <w:pPr>
              <w:keepNext/>
              <w:widowControl/>
              <w:jc w:val="center"/>
              <w:rPr>
                <w:rFonts w:ascii="Arial Narrow" w:hAnsi="Arial Narrow"/>
                <w:sz w:val="20"/>
              </w:rPr>
            </w:pPr>
            <w:proofErr w:type="gramStart"/>
            <w:r w:rsidRPr="00C4710F">
              <w:rPr>
                <w:rFonts w:ascii="Arial Narrow" w:hAnsi="Arial Narrow"/>
                <w:b/>
                <w:sz w:val="20"/>
              </w:rPr>
              <w:t>n</w:t>
            </w:r>
            <w:proofErr w:type="gramEnd"/>
            <w:r w:rsidRPr="00C4710F">
              <w:rPr>
                <w:rFonts w:ascii="Arial Narrow" w:hAnsi="Arial Narrow"/>
                <w:b/>
                <w:sz w:val="20"/>
              </w:rPr>
              <w:t xml:space="preserve"> with event (%)</w:t>
            </w:r>
          </w:p>
        </w:tc>
        <w:tc>
          <w:tcPr>
            <w:tcW w:w="437" w:type="pct"/>
            <w:shd w:val="clear" w:color="auto" w:fill="auto"/>
            <w:vAlign w:val="center"/>
          </w:tcPr>
          <w:p w:rsidR="00317FE1" w:rsidRPr="00C4710F" w:rsidRDefault="00317FE1" w:rsidP="00E61788">
            <w:pPr>
              <w:keepNext/>
              <w:widowControl/>
              <w:jc w:val="center"/>
              <w:rPr>
                <w:rFonts w:ascii="Arial Narrow" w:hAnsi="Arial Narrow"/>
                <w:sz w:val="20"/>
              </w:rPr>
            </w:pPr>
            <w:r w:rsidRPr="00C4710F">
              <w:rPr>
                <w:rFonts w:ascii="Arial Narrow" w:hAnsi="Arial Narrow"/>
                <w:b/>
                <w:sz w:val="20"/>
              </w:rPr>
              <w:t xml:space="preserve">N </w:t>
            </w:r>
          </w:p>
        </w:tc>
        <w:tc>
          <w:tcPr>
            <w:tcW w:w="869" w:type="pct"/>
            <w:shd w:val="clear" w:color="auto" w:fill="auto"/>
            <w:vAlign w:val="center"/>
          </w:tcPr>
          <w:p w:rsidR="00317FE1" w:rsidRPr="00C4710F" w:rsidRDefault="00317FE1" w:rsidP="00E61788">
            <w:pPr>
              <w:keepNext/>
              <w:widowControl/>
              <w:jc w:val="center"/>
              <w:rPr>
                <w:rFonts w:ascii="Arial Narrow" w:hAnsi="Arial Narrow"/>
                <w:sz w:val="20"/>
              </w:rPr>
            </w:pPr>
            <w:proofErr w:type="gramStart"/>
            <w:r w:rsidRPr="00C4710F">
              <w:rPr>
                <w:rFonts w:ascii="Arial Narrow" w:hAnsi="Arial Narrow"/>
                <w:b/>
                <w:sz w:val="20"/>
              </w:rPr>
              <w:t>n</w:t>
            </w:r>
            <w:proofErr w:type="gramEnd"/>
            <w:r w:rsidRPr="00C4710F">
              <w:rPr>
                <w:rFonts w:ascii="Arial Narrow" w:hAnsi="Arial Narrow"/>
                <w:b/>
                <w:sz w:val="20"/>
              </w:rPr>
              <w:t xml:space="preserve"> with event (%)</w:t>
            </w:r>
          </w:p>
        </w:tc>
        <w:tc>
          <w:tcPr>
            <w:tcW w:w="888" w:type="pct"/>
            <w:shd w:val="clear" w:color="auto" w:fill="auto"/>
            <w:vAlign w:val="center"/>
          </w:tcPr>
          <w:p w:rsidR="00F812C6" w:rsidRDefault="008649CE" w:rsidP="00E61788">
            <w:pPr>
              <w:keepNext/>
              <w:widowControl/>
              <w:jc w:val="center"/>
              <w:rPr>
                <w:rFonts w:ascii="Arial Narrow" w:hAnsi="Arial Narrow"/>
                <w:b/>
                <w:sz w:val="20"/>
              </w:rPr>
            </w:pPr>
            <w:r>
              <w:rPr>
                <w:rFonts w:ascii="Arial Narrow" w:hAnsi="Arial Narrow"/>
                <w:b/>
                <w:sz w:val="20"/>
              </w:rPr>
              <w:t>NNT</w:t>
            </w:r>
          </w:p>
          <w:p w:rsidR="00317FE1" w:rsidRPr="00C4710F" w:rsidRDefault="00F812C6" w:rsidP="00E61788">
            <w:pPr>
              <w:keepNext/>
              <w:widowControl/>
              <w:jc w:val="center"/>
              <w:rPr>
                <w:rFonts w:ascii="Arial Narrow" w:hAnsi="Arial Narrow"/>
                <w:b/>
                <w:sz w:val="20"/>
                <w:highlight w:val="yellow"/>
              </w:rPr>
            </w:pPr>
            <w:r w:rsidRPr="00F812C6">
              <w:rPr>
                <w:rFonts w:ascii="Arial Narrow" w:hAnsi="Arial Narrow"/>
                <w:b/>
                <w:sz w:val="20"/>
              </w:rPr>
              <w:t>(95% CI)</w:t>
            </w:r>
          </w:p>
        </w:tc>
        <w:tc>
          <w:tcPr>
            <w:tcW w:w="829" w:type="pct"/>
            <w:vAlign w:val="center"/>
          </w:tcPr>
          <w:p w:rsidR="00317FE1" w:rsidRPr="00C4710F" w:rsidRDefault="00317FE1" w:rsidP="00E61788">
            <w:pPr>
              <w:keepNext/>
              <w:widowControl/>
              <w:jc w:val="center"/>
              <w:rPr>
                <w:rFonts w:ascii="Arial Narrow" w:hAnsi="Arial Narrow"/>
                <w:b/>
                <w:sz w:val="20"/>
              </w:rPr>
            </w:pPr>
            <w:r w:rsidRPr="00C4710F">
              <w:rPr>
                <w:rFonts w:ascii="Arial Narrow" w:hAnsi="Arial Narrow"/>
                <w:b/>
                <w:sz w:val="20"/>
              </w:rPr>
              <w:t xml:space="preserve">HR </w:t>
            </w:r>
          </w:p>
          <w:p w:rsidR="00317FE1" w:rsidRPr="00C4710F" w:rsidRDefault="00317FE1" w:rsidP="00E61788">
            <w:pPr>
              <w:keepNext/>
              <w:widowControl/>
              <w:jc w:val="center"/>
              <w:rPr>
                <w:rFonts w:ascii="Arial Narrow" w:hAnsi="Arial Narrow"/>
                <w:sz w:val="20"/>
              </w:rPr>
            </w:pPr>
            <w:r w:rsidRPr="00C4710F">
              <w:rPr>
                <w:rFonts w:ascii="Arial Narrow" w:hAnsi="Arial Narrow"/>
                <w:b/>
                <w:sz w:val="20"/>
              </w:rPr>
              <w:t>(95% CI)</w:t>
            </w:r>
          </w:p>
        </w:tc>
      </w:tr>
      <w:tr w:rsidR="00317FE1" w:rsidRPr="00C4710F" w:rsidTr="00B35A22">
        <w:tc>
          <w:tcPr>
            <w:tcW w:w="5000" w:type="pct"/>
            <w:gridSpan w:val="7"/>
            <w:shd w:val="clear" w:color="auto" w:fill="auto"/>
            <w:vAlign w:val="center"/>
          </w:tcPr>
          <w:p w:rsidR="00317FE1" w:rsidRPr="00C4710F" w:rsidRDefault="00444C0C" w:rsidP="00E61788">
            <w:pPr>
              <w:keepNext/>
              <w:widowControl/>
              <w:jc w:val="left"/>
              <w:rPr>
                <w:rFonts w:ascii="Arial Narrow" w:hAnsi="Arial Narrow"/>
                <w:b/>
                <w:sz w:val="20"/>
              </w:rPr>
            </w:pPr>
            <w:r>
              <w:rPr>
                <w:rFonts w:ascii="Arial Narrow" w:hAnsi="Arial Narrow"/>
                <w:b/>
                <w:sz w:val="20"/>
              </w:rPr>
              <w:t>E</w:t>
            </w:r>
            <w:r w:rsidR="00317FE1" w:rsidRPr="00C4710F">
              <w:rPr>
                <w:rFonts w:ascii="Arial Narrow" w:hAnsi="Arial Narrow"/>
                <w:b/>
                <w:sz w:val="20"/>
              </w:rPr>
              <w:t>xacerbation (any severity)</w:t>
            </w:r>
            <w:r>
              <w:rPr>
                <w:rFonts w:ascii="Arial Narrow" w:hAnsi="Arial Narrow"/>
                <w:b/>
                <w:sz w:val="20"/>
              </w:rPr>
              <w:t xml:space="preserve"> –</w:t>
            </w:r>
            <w:r w:rsidR="0054314A">
              <w:rPr>
                <w:rFonts w:ascii="Arial Narrow" w:hAnsi="Arial Narrow"/>
                <w:b/>
                <w:sz w:val="20"/>
              </w:rPr>
              <w:t xml:space="preserve"> </w:t>
            </w:r>
            <w:r>
              <w:rPr>
                <w:rFonts w:ascii="Arial Narrow" w:hAnsi="Arial Narrow"/>
                <w:b/>
                <w:sz w:val="20"/>
              </w:rPr>
              <w:t>HR for time to first event</w:t>
            </w:r>
            <w:r w:rsidR="002F473E">
              <w:rPr>
                <w:rFonts w:ascii="Arial Narrow" w:hAnsi="Arial Narrow"/>
                <w:b/>
                <w:sz w:val="20"/>
              </w:rPr>
              <w:t xml:space="preserve"> </w:t>
            </w:r>
            <w:r w:rsidR="002F473E" w:rsidRPr="00A432D7">
              <w:rPr>
                <w:rFonts w:ascii="Arial Narrow" w:hAnsi="Arial Narrow"/>
                <w:b/>
                <w:i/>
                <w:sz w:val="20"/>
              </w:rPr>
              <w:t>– secondary pre-specified outcome</w:t>
            </w:r>
          </w:p>
        </w:tc>
      </w:tr>
      <w:tr w:rsidR="00303E6C" w:rsidRPr="00C4710F" w:rsidTr="00B35A22">
        <w:tc>
          <w:tcPr>
            <w:tcW w:w="645" w:type="pct"/>
            <w:shd w:val="clear" w:color="auto" w:fill="auto"/>
            <w:vAlign w:val="center"/>
          </w:tcPr>
          <w:p w:rsidR="00303E6C" w:rsidRPr="00C4710F" w:rsidRDefault="00303E6C" w:rsidP="00E61788">
            <w:pPr>
              <w:keepNext/>
              <w:widowControl/>
              <w:jc w:val="left"/>
              <w:rPr>
                <w:rFonts w:ascii="Arial Narrow" w:hAnsi="Arial Narrow"/>
                <w:sz w:val="20"/>
              </w:rPr>
            </w:pPr>
            <w:r w:rsidRPr="007801E4">
              <w:rPr>
                <w:rFonts w:ascii="Arial Narrow" w:hAnsi="Arial Narrow"/>
                <w:sz w:val="20"/>
              </w:rPr>
              <w:t>Pre specified analysis</w:t>
            </w:r>
            <w:r>
              <w:rPr>
                <w:rFonts w:ascii="Arial Narrow" w:hAnsi="Arial Narrow"/>
                <w:sz w:val="20"/>
              </w:rPr>
              <w:t xml:space="preserve"> </w:t>
            </w:r>
          </w:p>
        </w:tc>
        <w:tc>
          <w:tcPr>
            <w:tcW w:w="433" w:type="pct"/>
            <w:shd w:val="clear" w:color="auto" w:fill="auto"/>
            <w:vAlign w:val="center"/>
          </w:tcPr>
          <w:p w:rsidR="00303E6C" w:rsidRPr="00C4710F" w:rsidRDefault="00303E6C" w:rsidP="00E61788">
            <w:pPr>
              <w:pStyle w:val="Tabletext"/>
              <w:keepNext/>
              <w:jc w:val="center"/>
            </w:pPr>
            <w:r>
              <w:t>453</w:t>
            </w:r>
          </w:p>
        </w:tc>
        <w:tc>
          <w:tcPr>
            <w:tcW w:w="899" w:type="pct"/>
            <w:shd w:val="clear" w:color="auto" w:fill="auto"/>
            <w:vAlign w:val="center"/>
          </w:tcPr>
          <w:p w:rsidR="00303E6C" w:rsidRPr="00C4710F" w:rsidRDefault="00303E6C" w:rsidP="00E61788">
            <w:pPr>
              <w:pStyle w:val="Tabletext"/>
              <w:keepNext/>
              <w:jc w:val="center"/>
            </w:pPr>
            <w:r>
              <w:t>226</w:t>
            </w:r>
            <w:r w:rsidRPr="00C4710F">
              <w:t xml:space="preserve"> (4</w:t>
            </w:r>
            <w:r>
              <w:t>9</w:t>
            </w:r>
            <w:r w:rsidRPr="00C4710F">
              <w:t>.9%)</w:t>
            </w:r>
          </w:p>
        </w:tc>
        <w:tc>
          <w:tcPr>
            <w:tcW w:w="437" w:type="pct"/>
            <w:shd w:val="clear" w:color="auto" w:fill="auto"/>
            <w:vAlign w:val="center"/>
          </w:tcPr>
          <w:p w:rsidR="00303E6C" w:rsidRPr="00C4710F" w:rsidRDefault="00303E6C" w:rsidP="00E61788">
            <w:pPr>
              <w:pStyle w:val="Tabletext"/>
              <w:keepNext/>
              <w:jc w:val="center"/>
            </w:pPr>
            <w:r>
              <w:t>454</w:t>
            </w:r>
          </w:p>
        </w:tc>
        <w:tc>
          <w:tcPr>
            <w:tcW w:w="869" w:type="pct"/>
            <w:shd w:val="clear" w:color="auto" w:fill="auto"/>
            <w:vAlign w:val="center"/>
          </w:tcPr>
          <w:p w:rsidR="00303E6C" w:rsidRPr="00C4710F" w:rsidRDefault="00303E6C" w:rsidP="00E61788">
            <w:pPr>
              <w:keepNext/>
              <w:widowControl/>
              <w:jc w:val="center"/>
              <w:rPr>
                <w:rFonts w:ascii="Arial Narrow" w:hAnsi="Arial Narrow"/>
                <w:b/>
                <w:sz w:val="20"/>
                <w:highlight w:val="yellow"/>
              </w:rPr>
            </w:pPr>
            <w:r>
              <w:rPr>
                <w:rFonts w:ascii="Arial Narrow" w:hAnsi="Arial Narrow"/>
                <w:sz w:val="20"/>
              </w:rPr>
              <w:t>287</w:t>
            </w:r>
            <w:r w:rsidRPr="00C4710F">
              <w:rPr>
                <w:rFonts w:ascii="Arial Narrow" w:hAnsi="Arial Narrow"/>
                <w:sz w:val="20"/>
              </w:rPr>
              <w:t xml:space="preserve"> (6</w:t>
            </w:r>
            <w:r>
              <w:rPr>
                <w:rFonts w:ascii="Arial Narrow" w:hAnsi="Arial Narrow"/>
                <w:sz w:val="20"/>
              </w:rPr>
              <w:t>3.2</w:t>
            </w:r>
            <w:r w:rsidRPr="00C4710F">
              <w:rPr>
                <w:rFonts w:ascii="Arial Narrow" w:hAnsi="Arial Narrow"/>
                <w:sz w:val="20"/>
              </w:rPr>
              <w:t>%)</w:t>
            </w:r>
          </w:p>
        </w:tc>
        <w:tc>
          <w:tcPr>
            <w:tcW w:w="888" w:type="pct"/>
            <w:shd w:val="clear" w:color="auto" w:fill="auto"/>
            <w:vAlign w:val="center"/>
          </w:tcPr>
          <w:p w:rsidR="00303E6C" w:rsidRPr="00B46F3B" w:rsidRDefault="00303E6C" w:rsidP="00E61788">
            <w:pPr>
              <w:keepNext/>
              <w:widowControl/>
              <w:jc w:val="center"/>
              <w:rPr>
                <w:rFonts w:ascii="Arial Narrow" w:hAnsi="Arial Narrow"/>
                <w:b/>
                <w:sz w:val="20"/>
                <w:lang w:val="en-US"/>
              </w:rPr>
            </w:pPr>
            <w:r w:rsidRPr="00B46F3B">
              <w:rPr>
                <w:rFonts w:ascii="Arial Narrow" w:hAnsi="Arial Narrow"/>
                <w:b/>
                <w:sz w:val="20"/>
                <w:lang w:val="en-US"/>
              </w:rPr>
              <w:t>8 (5, 14)</w:t>
            </w:r>
          </w:p>
        </w:tc>
        <w:tc>
          <w:tcPr>
            <w:tcW w:w="829" w:type="pct"/>
            <w:vAlign w:val="center"/>
          </w:tcPr>
          <w:p w:rsidR="00303E6C" w:rsidRPr="007801E4" w:rsidRDefault="00303E6C" w:rsidP="00E61788">
            <w:pPr>
              <w:keepNext/>
              <w:widowControl/>
              <w:jc w:val="center"/>
              <w:rPr>
                <w:rFonts w:ascii="Arial Narrow" w:hAnsi="Arial Narrow"/>
                <w:b/>
                <w:sz w:val="20"/>
                <w:lang w:val="en-US"/>
              </w:rPr>
            </w:pPr>
            <w:r w:rsidRPr="007801E4">
              <w:rPr>
                <w:rFonts w:ascii="Arial Narrow" w:hAnsi="Arial Narrow"/>
                <w:b/>
                <w:sz w:val="20"/>
                <w:lang w:val="en-US"/>
              </w:rPr>
              <w:t>0.69 (0.58, 0.82)</w:t>
            </w:r>
          </w:p>
        </w:tc>
      </w:tr>
      <w:tr w:rsidR="00303E6C" w:rsidRPr="00C4710F" w:rsidTr="00B35A22">
        <w:tc>
          <w:tcPr>
            <w:tcW w:w="5000" w:type="pct"/>
            <w:gridSpan w:val="7"/>
            <w:shd w:val="clear" w:color="auto" w:fill="auto"/>
            <w:vAlign w:val="center"/>
          </w:tcPr>
          <w:p w:rsidR="00303E6C" w:rsidRPr="00C4710F" w:rsidRDefault="00303E6C" w:rsidP="00E61788">
            <w:pPr>
              <w:keepNext/>
              <w:widowControl/>
              <w:jc w:val="left"/>
              <w:rPr>
                <w:rFonts w:ascii="Arial Narrow" w:hAnsi="Arial Narrow"/>
                <w:sz w:val="20"/>
                <w:lang w:val="en-US"/>
              </w:rPr>
            </w:pPr>
            <w:r>
              <w:rPr>
                <w:rStyle w:val="CommentReference"/>
                <w:szCs w:val="20"/>
              </w:rPr>
              <w:t>S</w:t>
            </w:r>
            <w:r w:rsidRPr="00C4710F">
              <w:rPr>
                <w:rStyle w:val="CommentReference"/>
                <w:szCs w:val="20"/>
              </w:rPr>
              <w:t>evere exacerbation</w:t>
            </w:r>
            <w:r>
              <w:rPr>
                <w:rStyle w:val="CommentReference"/>
                <w:szCs w:val="20"/>
              </w:rPr>
              <w:t xml:space="preserve"> – HR for time to first event</w:t>
            </w:r>
            <w:r w:rsidR="002F473E">
              <w:rPr>
                <w:rStyle w:val="CommentReference"/>
                <w:szCs w:val="20"/>
              </w:rPr>
              <w:t xml:space="preserve"> </w:t>
            </w:r>
            <w:r w:rsidR="002F473E" w:rsidRPr="00A432D7">
              <w:rPr>
                <w:rStyle w:val="CommentReference"/>
                <w:i/>
                <w:szCs w:val="20"/>
              </w:rPr>
              <w:t>– primary pre-specified outcome</w:t>
            </w:r>
          </w:p>
        </w:tc>
      </w:tr>
      <w:tr w:rsidR="00303E6C" w:rsidRPr="00C4710F" w:rsidTr="00B35A22">
        <w:tc>
          <w:tcPr>
            <w:tcW w:w="645" w:type="pct"/>
            <w:shd w:val="clear" w:color="auto" w:fill="auto"/>
            <w:vAlign w:val="center"/>
          </w:tcPr>
          <w:p w:rsidR="00303E6C" w:rsidRPr="00C4710F" w:rsidRDefault="00303E6C" w:rsidP="00E61788">
            <w:pPr>
              <w:keepNext/>
              <w:widowControl/>
              <w:ind w:right="-108"/>
              <w:jc w:val="left"/>
              <w:rPr>
                <w:rFonts w:ascii="Arial Narrow" w:hAnsi="Arial Narrow"/>
                <w:sz w:val="20"/>
              </w:rPr>
            </w:pPr>
            <w:r w:rsidRPr="00303E6C">
              <w:rPr>
                <w:rFonts w:ascii="Arial Narrow" w:hAnsi="Arial Narrow"/>
                <w:sz w:val="20"/>
              </w:rPr>
              <w:t>Pre specified analysis</w:t>
            </w:r>
          </w:p>
        </w:tc>
        <w:tc>
          <w:tcPr>
            <w:tcW w:w="433" w:type="pct"/>
            <w:shd w:val="clear" w:color="auto" w:fill="auto"/>
            <w:vAlign w:val="center"/>
          </w:tcPr>
          <w:p w:rsidR="00303E6C" w:rsidRPr="00C4710F" w:rsidRDefault="00303E6C" w:rsidP="00E61788">
            <w:pPr>
              <w:pStyle w:val="Tabletext"/>
              <w:keepNext/>
              <w:jc w:val="center"/>
            </w:pPr>
            <w:r>
              <w:t>453</w:t>
            </w:r>
          </w:p>
        </w:tc>
        <w:tc>
          <w:tcPr>
            <w:tcW w:w="899" w:type="pct"/>
            <w:shd w:val="clear" w:color="auto" w:fill="auto"/>
            <w:vAlign w:val="center"/>
          </w:tcPr>
          <w:p w:rsidR="00303E6C" w:rsidRPr="00C4710F" w:rsidRDefault="00303E6C" w:rsidP="00E61788">
            <w:pPr>
              <w:pStyle w:val="Tabletext"/>
              <w:keepNext/>
              <w:jc w:val="center"/>
            </w:pPr>
            <w:r>
              <w:t>122</w:t>
            </w:r>
            <w:r w:rsidRPr="00C4710F">
              <w:t xml:space="preserve"> (</w:t>
            </w:r>
            <w:r>
              <w:t>26</w:t>
            </w:r>
            <w:r w:rsidRPr="00C4710F">
              <w:t>.9%)</w:t>
            </w:r>
          </w:p>
        </w:tc>
        <w:tc>
          <w:tcPr>
            <w:tcW w:w="437" w:type="pct"/>
            <w:shd w:val="clear" w:color="auto" w:fill="auto"/>
            <w:vAlign w:val="center"/>
          </w:tcPr>
          <w:p w:rsidR="00303E6C" w:rsidRPr="00C4710F" w:rsidRDefault="00303E6C" w:rsidP="00E61788">
            <w:pPr>
              <w:pStyle w:val="Tabletext"/>
              <w:keepNext/>
              <w:jc w:val="center"/>
            </w:pPr>
            <w:r>
              <w:t>454</w:t>
            </w:r>
          </w:p>
        </w:tc>
        <w:tc>
          <w:tcPr>
            <w:tcW w:w="869" w:type="pct"/>
            <w:shd w:val="clear" w:color="auto" w:fill="auto"/>
            <w:vAlign w:val="center"/>
          </w:tcPr>
          <w:p w:rsidR="00303E6C" w:rsidRPr="00303E6C" w:rsidRDefault="00303E6C" w:rsidP="00E61788">
            <w:pPr>
              <w:keepNext/>
              <w:widowControl/>
              <w:jc w:val="center"/>
              <w:rPr>
                <w:rFonts w:ascii="Arial Narrow" w:hAnsi="Arial Narrow"/>
                <w:sz w:val="20"/>
              </w:rPr>
            </w:pPr>
            <w:r>
              <w:rPr>
                <w:rFonts w:ascii="Arial Narrow" w:hAnsi="Arial Narrow"/>
                <w:sz w:val="20"/>
              </w:rPr>
              <w:t>149</w:t>
            </w:r>
            <w:r w:rsidRPr="00C4710F">
              <w:rPr>
                <w:rFonts w:ascii="Arial Narrow" w:hAnsi="Arial Narrow"/>
                <w:sz w:val="20"/>
              </w:rPr>
              <w:t xml:space="preserve"> (</w:t>
            </w:r>
            <w:r>
              <w:rPr>
                <w:rFonts w:ascii="Arial Narrow" w:hAnsi="Arial Narrow"/>
                <w:sz w:val="20"/>
              </w:rPr>
              <w:t>32.8</w:t>
            </w:r>
            <w:r w:rsidRPr="00C4710F">
              <w:rPr>
                <w:rFonts w:ascii="Arial Narrow" w:hAnsi="Arial Narrow"/>
                <w:sz w:val="20"/>
              </w:rPr>
              <w:t>%)</w:t>
            </w:r>
          </w:p>
        </w:tc>
        <w:tc>
          <w:tcPr>
            <w:tcW w:w="888" w:type="pct"/>
            <w:shd w:val="clear" w:color="auto" w:fill="auto"/>
            <w:vAlign w:val="center"/>
          </w:tcPr>
          <w:p w:rsidR="00303E6C" w:rsidRPr="00B46F3B" w:rsidRDefault="00303E6C" w:rsidP="00E61788">
            <w:pPr>
              <w:keepNext/>
              <w:widowControl/>
              <w:jc w:val="center"/>
              <w:rPr>
                <w:rFonts w:ascii="Arial Narrow" w:hAnsi="Arial Narrow"/>
                <w:sz w:val="20"/>
                <w:lang w:val="en-US"/>
              </w:rPr>
            </w:pPr>
            <w:r w:rsidRPr="00B46F3B">
              <w:rPr>
                <w:rFonts w:ascii="Arial Narrow" w:hAnsi="Arial Narrow"/>
                <w:sz w:val="20"/>
                <w:lang w:val="en-US"/>
              </w:rPr>
              <w:t>NE</w:t>
            </w:r>
          </w:p>
        </w:tc>
        <w:tc>
          <w:tcPr>
            <w:tcW w:w="829" w:type="pct"/>
            <w:vAlign w:val="center"/>
          </w:tcPr>
          <w:p w:rsidR="00303E6C" w:rsidRPr="0054314A" w:rsidRDefault="00303E6C" w:rsidP="00E61788">
            <w:pPr>
              <w:keepNext/>
              <w:widowControl/>
              <w:jc w:val="center"/>
              <w:rPr>
                <w:rFonts w:ascii="Arial Narrow" w:hAnsi="Arial Narrow"/>
                <w:b/>
                <w:sz w:val="20"/>
                <w:lang w:val="en-US"/>
              </w:rPr>
            </w:pPr>
            <w:r w:rsidRPr="0054314A">
              <w:rPr>
                <w:rFonts w:ascii="Arial Narrow" w:hAnsi="Arial Narrow"/>
                <w:b/>
                <w:sz w:val="20"/>
                <w:lang w:val="en-US"/>
              </w:rPr>
              <w:t>0.79 (0.62, 1.00)</w:t>
            </w:r>
          </w:p>
        </w:tc>
      </w:tr>
      <w:tr w:rsidR="00303E6C" w:rsidRPr="00C4710F" w:rsidTr="00B35A22">
        <w:tc>
          <w:tcPr>
            <w:tcW w:w="5000" w:type="pct"/>
            <w:gridSpan w:val="7"/>
            <w:shd w:val="clear" w:color="auto" w:fill="auto"/>
            <w:vAlign w:val="center"/>
          </w:tcPr>
          <w:p w:rsidR="00303E6C" w:rsidRPr="00C4710F" w:rsidRDefault="00303E6C" w:rsidP="00E61788">
            <w:pPr>
              <w:keepNext/>
              <w:widowControl/>
              <w:jc w:val="left"/>
              <w:rPr>
                <w:rFonts w:ascii="Arial Narrow" w:hAnsi="Arial Narrow"/>
                <w:b/>
                <w:sz w:val="20"/>
                <w:lang w:val="en-US"/>
              </w:rPr>
            </w:pPr>
            <w:proofErr w:type="spellStart"/>
            <w:r>
              <w:rPr>
                <w:rFonts w:ascii="Arial Narrow" w:hAnsi="Arial Narrow"/>
                <w:b/>
                <w:sz w:val="20"/>
                <w:lang w:val="en-US"/>
              </w:rPr>
              <w:t>H</w:t>
            </w:r>
            <w:r w:rsidRPr="00C4710F">
              <w:rPr>
                <w:rFonts w:ascii="Arial Narrow" w:hAnsi="Arial Narrow"/>
                <w:b/>
                <w:sz w:val="20"/>
                <w:lang w:val="en-US"/>
              </w:rPr>
              <w:t>ospitalisation</w:t>
            </w:r>
            <w:proofErr w:type="spellEnd"/>
            <w:r w:rsidRPr="00C4710F">
              <w:rPr>
                <w:rFonts w:ascii="Arial Narrow" w:hAnsi="Arial Narrow"/>
                <w:b/>
                <w:sz w:val="20"/>
                <w:lang w:val="en-US"/>
              </w:rPr>
              <w:t xml:space="preserve"> for asthma exacerbation</w:t>
            </w:r>
            <w:r>
              <w:rPr>
                <w:rFonts w:ascii="Arial Narrow" w:hAnsi="Arial Narrow"/>
                <w:b/>
                <w:sz w:val="20"/>
                <w:lang w:val="en-US"/>
              </w:rPr>
              <w:t xml:space="preserve"> – HR for time to first event</w:t>
            </w:r>
            <w:r w:rsidR="002F473E">
              <w:rPr>
                <w:rFonts w:ascii="Arial Narrow" w:hAnsi="Arial Narrow"/>
                <w:b/>
                <w:sz w:val="20"/>
                <w:lang w:val="en-US"/>
              </w:rPr>
              <w:t xml:space="preserve"> </w:t>
            </w:r>
            <w:r w:rsidR="002F473E" w:rsidRPr="00A432D7">
              <w:rPr>
                <w:rFonts w:ascii="Arial Narrow" w:hAnsi="Arial Narrow"/>
                <w:b/>
                <w:i/>
                <w:sz w:val="20"/>
                <w:lang w:val="en-US"/>
              </w:rPr>
              <w:t>– secondary pre-specified outcome</w:t>
            </w:r>
          </w:p>
        </w:tc>
      </w:tr>
      <w:tr w:rsidR="00E46F39" w:rsidRPr="00C4710F" w:rsidTr="00E46F39">
        <w:tc>
          <w:tcPr>
            <w:tcW w:w="645" w:type="pct"/>
            <w:shd w:val="clear" w:color="auto" w:fill="auto"/>
            <w:vAlign w:val="center"/>
          </w:tcPr>
          <w:p w:rsidR="00E46F39" w:rsidRPr="004E2ADC" w:rsidRDefault="00E46F39" w:rsidP="00E61788">
            <w:pPr>
              <w:widowControl/>
              <w:ind w:right="-108"/>
              <w:jc w:val="left"/>
              <w:rPr>
                <w:rFonts w:ascii="Arial Narrow" w:hAnsi="Arial Narrow"/>
                <w:sz w:val="20"/>
              </w:rPr>
            </w:pPr>
            <w:r w:rsidRPr="00055DF1">
              <w:rPr>
                <w:rFonts w:ascii="Arial Narrow" w:hAnsi="Arial Narrow"/>
                <w:sz w:val="20"/>
              </w:rPr>
              <w:t>205.416</w:t>
            </w:r>
          </w:p>
        </w:tc>
        <w:tc>
          <w:tcPr>
            <w:tcW w:w="433" w:type="pct"/>
            <w:shd w:val="clear" w:color="auto" w:fill="auto"/>
            <w:vAlign w:val="center"/>
          </w:tcPr>
          <w:p w:rsidR="00E46F39" w:rsidRPr="009502D4" w:rsidRDefault="00E46F39" w:rsidP="00E61788">
            <w:pPr>
              <w:pStyle w:val="Tabletext"/>
              <w:jc w:val="center"/>
            </w:pPr>
            <w:r w:rsidRPr="009502D4">
              <w:t>237</w:t>
            </w:r>
          </w:p>
        </w:tc>
        <w:tc>
          <w:tcPr>
            <w:tcW w:w="899" w:type="pct"/>
            <w:shd w:val="clear" w:color="auto" w:fill="auto"/>
            <w:vAlign w:val="center"/>
          </w:tcPr>
          <w:p w:rsidR="00E46F39" w:rsidRPr="00E17C2D" w:rsidRDefault="00504B1C" w:rsidP="00E61788">
            <w:pPr>
              <w:pStyle w:val="Tabletext"/>
              <w:jc w:val="center"/>
            </w:pPr>
            <w:r>
              <w:rPr>
                <w:noProof/>
                <w:color w:val="000000"/>
                <w:highlight w:val="black"/>
              </w:rPr>
              <w:t>'''</w:t>
            </w:r>
            <w:r w:rsidR="00E46F39" w:rsidRPr="00E17C2D">
              <w:t xml:space="preserve"> (</w:t>
            </w:r>
            <w:r>
              <w:rPr>
                <w:noProof/>
                <w:color w:val="000000"/>
                <w:highlight w:val="black"/>
              </w:rPr>
              <w:t>'''''''''</w:t>
            </w:r>
            <w:r w:rsidR="00E46F39" w:rsidRPr="00E17C2D">
              <w:t>%)</w:t>
            </w:r>
          </w:p>
        </w:tc>
        <w:tc>
          <w:tcPr>
            <w:tcW w:w="437" w:type="pct"/>
            <w:shd w:val="clear" w:color="auto" w:fill="auto"/>
            <w:vAlign w:val="center"/>
          </w:tcPr>
          <w:p w:rsidR="00E46F39" w:rsidRPr="00E17C2D" w:rsidRDefault="00E46F39" w:rsidP="00E61788">
            <w:pPr>
              <w:widowControl/>
              <w:jc w:val="center"/>
              <w:rPr>
                <w:rFonts w:ascii="Arial Narrow" w:hAnsi="Arial Narrow"/>
                <w:sz w:val="20"/>
              </w:rPr>
            </w:pPr>
            <w:r w:rsidRPr="00E17C2D">
              <w:rPr>
                <w:rFonts w:ascii="Arial Narrow" w:hAnsi="Arial Narrow"/>
                <w:sz w:val="20"/>
              </w:rPr>
              <w:t>222</w:t>
            </w:r>
          </w:p>
        </w:tc>
        <w:tc>
          <w:tcPr>
            <w:tcW w:w="869" w:type="pct"/>
            <w:shd w:val="clear" w:color="auto" w:fill="auto"/>
            <w:vAlign w:val="center"/>
          </w:tcPr>
          <w:p w:rsidR="00E46F39" w:rsidRPr="00E17C2D" w:rsidRDefault="00504B1C" w:rsidP="00E61788">
            <w:pPr>
              <w:widowControl/>
              <w:jc w:val="center"/>
              <w:rPr>
                <w:rFonts w:ascii="Arial Narrow" w:hAnsi="Arial Narrow"/>
                <w:sz w:val="20"/>
              </w:rPr>
            </w:pPr>
            <w:r>
              <w:rPr>
                <w:rFonts w:ascii="Arial Narrow" w:hAnsi="Arial Narrow"/>
                <w:noProof/>
                <w:color w:val="000000"/>
                <w:sz w:val="20"/>
                <w:highlight w:val="black"/>
              </w:rPr>
              <w:t>''''''</w:t>
            </w:r>
            <w:r w:rsidR="00E46F39" w:rsidRPr="00E17C2D">
              <w:rPr>
                <w:rFonts w:ascii="Arial Narrow" w:hAnsi="Arial Narrow"/>
                <w:sz w:val="20"/>
              </w:rPr>
              <w:t xml:space="preserve"> (</w:t>
            </w:r>
            <w:r>
              <w:rPr>
                <w:rFonts w:ascii="Arial Narrow" w:hAnsi="Arial Narrow"/>
                <w:noProof/>
                <w:color w:val="000000"/>
                <w:sz w:val="20"/>
                <w:highlight w:val="black"/>
              </w:rPr>
              <w:t>'''''''''</w:t>
            </w:r>
            <w:r w:rsidR="00E46F39" w:rsidRPr="00E17C2D">
              <w:rPr>
                <w:rFonts w:ascii="Arial Narrow" w:hAnsi="Arial Narrow"/>
                <w:sz w:val="20"/>
              </w:rPr>
              <w:t>%)</w:t>
            </w:r>
          </w:p>
        </w:tc>
        <w:tc>
          <w:tcPr>
            <w:tcW w:w="888" w:type="pct"/>
            <w:shd w:val="clear" w:color="auto" w:fill="auto"/>
            <w:vAlign w:val="center"/>
          </w:tcPr>
          <w:p w:rsidR="00E46F39" w:rsidRPr="00E17C2D" w:rsidRDefault="00E46F39" w:rsidP="00E61788">
            <w:pPr>
              <w:widowControl/>
              <w:ind w:right="-108"/>
              <w:jc w:val="center"/>
              <w:rPr>
                <w:rFonts w:ascii="Arial Narrow" w:hAnsi="Arial Narrow"/>
                <w:sz w:val="20"/>
              </w:rPr>
            </w:pPr>
            <w:r w:rsidRPr="00E17C2D">
              <w:rPr>
                <w:rFonts w:ascii="Arial Narrow" w:hAnsi="Arial Narrow"/>
                <w:sz w:val="20"/>
              </w:rPr>
              <w:t>NE</w:t>
            </w:r>
          </w:p>
        </w:tc>
        <w:tc>
          <w:tcPr>
            <w:tcW w:w="829" w:type="pct"/>
            <w:vAlign w:val="center"/>
          </w:tcPr>
          <w:p w:rsidR="00E46F39" w:rsidRPr="00E17C2D" w:rsidRDefault="00504B1C" w:rsidP="00E61788">
            <w:pPr>
              <w:widowControl/>
              <w:jc w:val="center"/>
              <w:rPr>
                <w:rFonts w:ascii="Arial Narrow" w:hAnsi="Arial Narrow"/>
                <w:b/>
                <w:sz w:val="20"/>
              </w:rPr>
            </w:pPr>
            <w:r>
              <w:rPr>
                <w:rFonts w:ascii="Arial Narrow" w:hAnsi="Arial Narrow"/>
                <w:noProof/>
                <w:color w:val="000000"/>
                <w:sz w:val="20"/>
                <w:highlight w:val="black"/>
              </w:rPr>
              <w:t>'''''''''''</w:t>
            </w:r>
            <w:r w:rsidR="00E46F39" w:rsidRPr="00E17C2D">
              <w:rPr>
                <w:rFonts w:ascii="Arial Narrow" w:hAnsi="Arial Narrow"/>
                <w:sz w:val="20"/>
              </w:rPr>
              <w:t xml:space="preserve"> (</w:t>
            </w:r>
            <w:r>
              <w:rPr>
                <w:rFonts w:ascii="Arial Narrow" w:hAnsi="Arial Narrow"/>
                <w:noProof/>
                <w:color w:val="000000"/>
                <w:sz w:val="20"/>
                <w:highlight w:val="black"/>
              </w:rPr>
              <w:t>''''''''''</w:t>
            </w:r>
            <w:r w:rsidR="00E46F39" w:rsidRPr="00E17C2D">
              <w:rPr>
                <w:rFonts w:ascii="Arial Narrow" w:hAnsi="Arial Narrow"/>
                <w:sz w:val="20"/>
              </w:rPr>
              <w:t xml:space="preserve">, </w:t>
            </w:r>
            <w:r>
              <w:rPr>
                <w:rFonts w:ascii="Arial Narrow" w:hAnsi="Arial Narrow"/>
                <w:noProof/>
                <w:color w:val="000000"/>
                <w:sz w:val="20"/>
                <w:highlight w:val="black"/>
              </w:rPr>
              <w:t>''''''''''</w:t>
            </w:r>
            <w:r w:rsidR="00E46F39" w:rsidRPr="00E17C2D">
              <w:rPr>
                <w:rFonts w:ascii="Arial Narrow" w:hAnsi="Arial Narrow"/>
                <w:sz w:val="20"/>
              </w:rPr>
              <w:t>)</w:t>
            </w:r>
          </w:p>
        </w:tc>
      </w:tr>
      <w:tr w:rsidR="00E46F39" w:rsidRPr="00C4710F" w:rsidTr="00E46F39">
        <w:tc>
          <w:tcPr>
            <w:tcW w:w="645" w:type="pct"/>
            <w:shd w:val="clear" w:color="auto" w:fill="auto"/>
            <w:vAlign w:val="center"/>
          </w:tcPr>
          <w:p w:rsidR="00E46F39" w:rsidRPr="004E2ADC" w:rsidRDefault="00E46F39" w:rsidP="00E61788">
            <w:pPr>
              <w:widowControl/>
              <w:ind w:right="-108"/>
              <w:jc w:val="left"/>
              <w:rPr>
                <w:rFonts w:ascii="Arial Narrow" w:hAnsi="Arial Narrow"/>
                <w:sz w:val="20"/>
              </w:rPr>
            </w:pPr>
            <w:r w:rsidRPr="00055DF1">
              <w:rPr>
                <w:rFonts w:ascii="Arial Narrow" w:hAnsi="Arial Narrow"/>
                <w:sz w:val="20"/>
              </w:rPr>
              <w:t>205.417</w:t>
            </w:r>
          </w:p>
        </w:tc>
        <w:tc>
          <w:tcPr>
            <w:tcW w:w="433" w:type="pct"/>
            <w:shd w:val="clear" w:color="auto" w:fill="auto"/>
            <w:vAlign w:val="center"/>
          </w:tcPr>
          <w:p w:rsidR="00E46F39" w:rsidRPr="009502D4" w:rsidRDefault="00E46F39" w:rsidP="00E61788">
            <w:pPr>
              <w:pStyle w:val="Tabletext"/>
              <w:jc w:val="center"/>
            </w:pPr>
            <w:r w:rsidRPr="009502D4">
              <w:t>216</w:t>
            </w:r>
          </w:p>
        </w:tc>
        <w:tc>
          <w:tcPr>
            <w:tcW w:w="899" w:type="pct"/>
            <w:shd w:val="clear" w:color="auto" w:fill="auto"/>
            <w:vAlign w:val="center"/>
          </w:tcPr>
          <w:p w:rsidR="00E46F39" w:rsidRPr="00E17C2D" w:rsidRDefault="00504B1C" w:rsidP="00E61788">
            <w:pPr>
              <w:pStyle w:val="Tabletext"/>
              <w:jc w:val="center"/>
            </w:pPr>
            <w:r>
              <w:rPr>
                <w:noProof/>
                <w:color w:val="000000"/>
                <w:highlight w:val="black"/>
              </w:rPr>
              <w:t>''''</w:t>
            </w:r>
            <w:r w:rsidR="00E46F39" w:rsidRPr="00E17C2D">
              <w:t xml:space="preserve"> (</w:t>
            </w:r>
            <w:r>
              <w:rPr>
                <w:noProof/>
                <w:color w:val="000000"/>
                <w:highlight w:val="black"/>
              </w:rPr>
              <w:t>'''''''''</w:t>
            </w:r>
            <w:r w:rsidR="00E46F39" w:rsidRPr="00E17C2D">
              <w:t>%)</w:t>
            </w:r>
          </w:p>
        </w:tc>
        <w:tc>
          <w:tcPr>
            <w:tcW w:w="437" w:type="pct"/>
            <w:shd w:val="clear" w:color="auto" w:fill="auto"/>
            <w:vAlign w:val="center"/>
          </w:tcPr>
          <w:p w:rsidR="00E46F39" w:rsidRPr="00E17C2D" w:rsidRDefault="00E46F39" w:rsidP="00E61788">
            <w:pPr>
              <w:widowControl/>
              <w:jc w:val="center"/>
              <w:rPr>
                <w:rFonts w:ascii="Arial Narrow" w:hAnsi="Arial Narrow"/>
                <w:sz w:val="20"/>
              </w:rPr>
            </w:pPr>
            <w:r w:rsidRPr="00E17C2D">
              <w:rPr>
                <w:rFonts w:ascii="Arial Narrow" w:hAnsi="Arial Narrow"/>
                <w:sz w:val="20"/>
              </w:rPr>
              <w:t>232</w:t>
            </w:r>
          </w:p>
        </w:tc>
        <w:tc>
          <w:tcPr>
            <w:tcW w:w="869" w:type="pct"/>
            <w:shd w:val="clear" w:color="auto" w:fill="auto"/>
            <w:vAlign w:val="center"/>
          </w:tcPr>
          <w:p w:rsidR="00E46F39" w:rsidRPr="00E17C2D" w:rsidRDefault="00504B1C" w:rsidP="00E61788">
            <w:pPr>
              <w:widowControl/>
              <w:jc w:val="center"/>
              <w:rPr>
                <w:rFonts w:ascii="Arial Narrow" w:hAnsi="Arial Narrow"/>
                <w:sz w:val="20"/>
              </w:rPr>
            </w:pPr>
            <w:r>
              <w:rPr>
                <w:rFonts w:ascii="Arial Narrow" w:hAnsi="Arial Narrow"/>
                <w:noProof/>
                <w:color w:val="000000"/>
                <w:sz w:val="20"/>
                <w:highlight w:val="black"/>
              </w:rPr>
              <w:t>''''''</w:t>
            </w:r>
            <w:r w:rsidR="00E46F39" w:rsidRPr="00E17C2D">
              <w:rPr>
                <w:rFonts w:ascii="Arial Narrow" w:hAnsi="Arial Narrow"/>
                <w:sz w:val="20"/>
              </w:rPr>
              <w:t xml:space="preserve"> (</w:t>
            </w:r>
            <w:r>
              <w:rPr>
                <w:rFonts w:ascii="Arial Narrow" w:hAnsi="Arial Narrow"/>
                <w:noProof/>
                <w:color w:val="000000"/>
                <w:sz w:val="20"/>
                <w:highlight w:val="black"/>
              </w:rPr>
              <w:t>'''''''</w:t>
            </w:r>
            <w:r w:rsidR="00E46F39" w:rsidRPr="00E17C2D">
              <w:rPr>
                <w:rFonts w:ascii="Arial Narrow" w:hAnsi="Arial Narrow"/>
                <w:sz w:val="20"/>
              </w:rPr>
              <w:t>%)</w:t>
            </w:r>
          </w:p>
        </w:tc>
        <w:tc>
          <w:tcPr>
            <w:tcW w:w="888" w:type="pct"/>
            <w:shd w:val="clear" w:color="auto" w:fill="auto"/>
            <w:vAlign w:val="center"/>
          </w:tcPr>
          <w:p w:rsidR="00E46F39" w:rsidRPr="00E17C2D" w:rsidRDefault="00E46F39" w:rsidP="00E61788">
            <w:pPr>
              <w:widowControl/>
              <w:ind w:right="-108"/>
              <w:jc w:val="center"/>
              <w:rPr>
                <w:rFonts w:ascii="Arial Narrow" w:hAnsi="Arial Narrow"/>
                <w:sz w:val="20"/>
              </w:rPr>
            </w:pPr>
            <w:r w:rsidRPr="00E17C2D">
              <w:rPr>
                <w:rFonts w:ascii="Arial Narrow" w:hAnsi="Arial Narrow"/>
                <w:sz w:val="20"/>
              </w:rPr>
              <w:t>NE</w:t>
            </w:r>
          </w:p>
        </w:tc>
        <w:tc>
          <w:tcPr>
            <w:tcW w:w="829" w:type="pct"/>
            <w:vAlign w:val="center"/>
          </w:tcPr>
          <w:p w:rsidR="00E46F39" w:rsidRPr="00E17C2D" w:rsidRDefault="00504B1C" w:rsidP="00E61788">
            <w:pPr>
              <w:widowControl/>
              <w:jc w:val="center"/>
              <w:rPr>
                <w:rFonts w:ascii="Arial Narrow" w:hAnsi="Arial Narrow"/>
                <w:b/>
                <w:sz w:val="20"/>
              </w:rPr>
            </w:pPr>
            <w:r>
              <w:rPr>
                <w:rFonts w:ascii="Arial Narrow" w:hAnsi="Arial Narrow"/>
                <w:noProof/>
                <w:color w:val="000000"/>
                <w:sz w:val="20"/>
                <w:highlight w:val="black"/>
              </w:rPr>
              <w:t>''''''''''</w:t>
            </w:r>
            <w:r w:rsidR="00E46F39" w:rsidRPr="00E17C2D">
              <w:rPr>
                <w:rFonts w:ascii="Arial Narrow" w:hAnsi="Arial Narrow"/>
                <w:sz w:val="20"/>
              </w:rPr>
              <w:t xml:space="preserve"> (</w:t>
            </w:r>
            <w:r>
              <w:rPr>
                <w:rFonts w:ascii="Arial Narrow" w:hAnsi="Arial Narrow"/>
                <w:noProof/>
                <w:color w:val="000000"/>
                <w:sz w:val="20"/>
                <w:highlight w:val="black"/>
              </w:rPr>
              <w:t>'''''''''''</w:t>
            </w:r>
            <w:r w:rsidR="00E46F39" w:rsidRPr="00E17C2D">
              <w:rPr>
                <w:rFonts w:ascii="Arial Narrow" w:hAnsi="Arial Narrow"/>
                <w:sz w:val="20"/>
              </w:rPr>
              <w:t xml:space="preserve">, </w:t>
            </w:r>
            <w:r>
              <w:rPr>
                <w:rFonts w:ascii="Arial Narrow" w:hAnsi="Arial Narrow"/>
                <w:noProof/>
                <w:color w:val="000000"/>
                <w:sz w:val="20"/>
                <w:highlight w:val="black"/>
              </w:rPr>
              <w:t>''''''''''</w:t>
            </w:r>
            <w:r w:rsidR="00E46F39" w:rsidRPr="00E17C2D">
              <w:rPr>
                <w:rFonts w:ascii="Arial Narrow" w:hAnsi="Arial Narrow"/>
                <w:sz w:val="20"/>
              </w:rPr>
              <w:t>)</w:t>
            </w:r>
          </w:p>
        </w:tc>
      </w:tr>
      <w:tr w:rsidR="00E46F39" w:rsidRPr="00C4710F" w:rsidTr="00E46F39">
        <w:tc>
          <w:tcPr>
            <w:tcW w:w="3283" w:type="pct"/>
            <w:gridSpan w:val="5"/>
            <w:shd w:val="clear" w:color="auto" w:fill="auto"/>
            <w:vAlign w:val="center"/>
          </w:tcPr>
          <w:p w:rsidR="00E46F39" w:rsidRPr="009502D4" w:rsidRDefault="00E46F39" w:rsidP="00E61788">
            <w:pPr>
              <w:widowControl/>
              <w:jc w:val="left"/>
              <w:rPr>
                <w:rFonts w:ascii="Arial Narrow" w:hAnsi="Arial Narrow"/>
                <w:sz w:val="20"/>
              </w:rPr>
            </w:pPr>
            <w:r w:rsidRPr="009502D4">
              <w:rPr>
                <w:rFonts w:ascii="Arial Narrow" w:hAnsi="Arial Narrow"/>
                <w:sz w:val="20"/>
              </w:rPr>
              <w:t>Meta-analysis result</w:t>
            </w:r>
            <w:r w:rsidRPr="009502D4">
              <w:rPr>
                <w:rFonts w:ascii="Arial Narrow" w:hAnsi="Arial Narrow"/>
                <w:i/>
                <w:sz w:val="20"/>
              </w:rPr>
              <w:t xml:space="preserve"> </w:t>
            </w:r>
            <w:r w:rsidRPr="009502D4">
              <w:rPr>
                <w:rFonts w:ascii="Arial Narrow" w:hAnsi="Arial Narrow"/>
                <w:sz w:val="20"/>
              </w:rPr>
              <w:t>(I</w:t>
            </w:r>
            <w:r w:rsidRPr="009502D4">
              <w:rPr>
                <w:rFonts w:ascii="Arial Narrow" w:hAnsi="Arial Narrow"/>
                <w:sz w:val="20"/>
                <w:vertAlign w:val="superscript"/>
              </w:rPr>
              <w:t>2</w:t>
            </w:r>
            <w:r w:rsidRPr="009502D4">
              <w:rPr>
                <w:rFonts w:ascii="Arial Narrow" w:hAnsi="Arial Narrow"/>
                <w:sz w:val="20"/>
              </w:rPr>
              <w:t xml:space="preserve"> =</w:t>
            </w:r>
            <w:r w:rsidR="00504B1C">
              <w:rPr>
                <w:rFonts w:ascii="Arial Narrow" w:hAnsi="Arial Narrow"/>
                <w:noProof/>
                <w:color w:val="000000"/>
                <w:sz w:val="20"/>
                <w:highlight w:val="black"/>
              </w:rPr>
              <w:t>''''</w:t>
            </w:r>
            <w:r w:rsidRPr="009502D4">
              <w:rPr>
                <w:rFonts w:ascii="Arial Narrow" w:hAnsi="Arial Narrow"/>
                <w:sz w:val="20"/>
              </w:rPr>
              <w:t>%)</w:t>
            </w:r>
            <w:r w:rsidRPr="009502D4">
              <w:rPr>
                <w:vertAlign w:val="superscript"/>
              </w:rPr>
              <w:t xml:space="preserve"> a</w:t>
            </w:r>
          </w:p>
          <w:p w:rsidR="00E46F39" w:rsidRPr="009502D4" w:rsidRDefault="00E46F39" w:rsidP="00E61788">
            <w:pPr>
              <w:widowControl/>
              <w:jc w:val="left"/>
              <w:rPr>
                <w:rFonts w:ascii="Arial Narrow" w:hAnsi="Arial Narrow"/>
                <w:b/>
                <w:sz w:val="20"/>
              </w:rPr>
            </w:pPr>
            <w:r w:rsidRPr="009502D4">
              <w:rPr>
                <w:rFonts w:ascii="Arial Narrow" w:hAnsi="Arial Narrow"/>
                <w:sz w:val="20"/>
              </w:rPr>
              <w:t xml:space="preserve">Chi-square for heterogeneity: </w:t>
            </w:r>
            <w:r w:rsidRPr="009502D4">
              <w:rPr>
                <w:rFonts w:ascii="Arial Narrow" w:hAnsi="Arial Narrow"/>
                <w:i/>
                <w:sz w:val="20"/>
              </w:rPr>
              <w:t>P=</w:t>
            </w:r>
            <w:r w:rsidR="00504B1C">
              <w:rPr>
                <w:rFonts w:ascii="Arial Narrow" w:hAnsi="Arial Narrow"/>
                <w:i/>
                <w:noProof/>
                <w:color w:val="000000"/>
                <w:sz w:val="20"/>
                <w:highlight w:val="black"/>
              </w:rPr>
              <w:t>'''''''''''</w:t>
            </w:r>
          </w:p>
        </w:tc>
        <w:tc>
          <w:tcPr>
            <w:tcW w:w="888" w:type="pct"/>
            <w:shd w:val="clear" w:color="auto" w:fill="auto"/>
            <w:vAlign w:val="center"/>
          </w:tcPr>
          <w:p w:rsidR="00E46F39" w:rsidRPr="009502D4" w:rsidRDefault="00E46F39" w:rsidP="00E61788">
            <w:pPr>
              <w:widowControl/>
              <w:ind w:right="-108"/>
              <w:jc w:val="center"/>
              <w:rPr>
                <w:rFonts w:ascii="Arial Narrow" w:hAnsi="Arial Narrow"/>
                <w:sz w:val="20"/>
              </w:rPr>
            </w:pPr>
            <w:r w:rsidRPr="009502D4">
              <w:rPr>
                <w:rFonts w:ascii="Arial Narrow" w:hAnsi="Arial Narrow"/>
                <w:sz w:val="20"/>
              </w:rPr>
              <w:t>NE</w:t>
            </w:r>
          </w:p>
        </w:tc>
        <w:tc>
          <w:tcPr>
            <w:tcW w:w="829" w:type="pct"/>
            <w:vAlign w:val="center"/>
          </w:tcPr>
          <w:p w:rsidR="00E46F39" w:rsidRPr="009502D4" w:rsidRDefault="00504B1C" w:rsidP="00E61788">
            <w:pPr>
              <w:pStyle w:val="Tabletext"/>
              <w:jc w:val="center"/>
            </w:pPr>
            <w:r>
              <w:rPr>
                <w:noProof/>
                <w:color w:val="000000"/>
                <w:highlight w:val="black"/>
              </w:rPr>
              <w:t>''''''''''</w:t>
            </w:r>
            <w:r w:rsidR="00E46F39" w:rsidRPr="009502D4">
              <w:t xml:space="preserve"> (</w:t>
            </w:r>
            <w:r>
              <w:rPr>
                <w:noProof/>
                <w:color w:val="000000"/>
                <w:highlight w:val="black"/>
              </w:rPr>
              <w:t>''''''''''</w:t>
            </w:r>
            <w:r w:rsidR="00E46F39" w:rsidRPr="009502D4">
              <w:t xml:space="preserve">, </w:t>
            </w:r>
            <w:r>
              <w:rPr>
                <w:noProof/>
                <w:color w:val="000000"/>
                <w:highlight w:val="black"/>
              </w:rPr>
              <w:t>''''''''''''</w:t>
            </w:r>
            <w:r w:rsidR="00E46F39" w:rsidRPr="009502D4">
              <w:t>)</w:t>
            </w:r>
          </w:p>
        </w:tc>
      </w:tr>
      <w:tr w:rsidR="00E46F39" w:rsidRPr="00C4710F" w:rsidTr="00B35A22">
        <w:tc>
          <w:tcPr>
            <w:tcW w:w="4171" w:type="pct"/>
            <w:gridSpan w:val="6"/>
            <w:shd w:val="clear" w:color="auto" w:fill="auto"/>
            <w:vAlign w:val="center"/>
          </w:tcPr>
          <w:p w:rsidR="00E46F39" w:rsidRPr="00C4710F" w:rsidRDefault="00E46F39" w:rsidP="00E61788">
            <w:pPr>
              <w:keepNext/>
              <w:widowControl/>
              <w:jc w:val="left"/>
              <w:rPr>
                <w:rFonts w:ascii="Arial Narrow" w:hAnsi="Arial Narrow"/>
                <w:sz w:val="20"/>
                <w:lang w:val="en-US"/>
              </w:rPr>
            </w:pPr>
            <w:r>
              <w:rPr>
                <w:rStyle w:val="CommentReference"/>
                <w:szCs w:val="20"/>
              </w:rPr>
              <w:t>ACQ-7</w:t>
            </w:r>
            <w:r w:rsidRPr="00C4710F">
              <w:rPr>
                <w:rFonts w:ascii="Arial Narrow" w:hAnsi="Arial Narrow"/>
                <w:sz w:val="20"/>
                <w:lang w:val="en-US"/>
              </w:rPr>
              <w:t xml:space="preserve"> </w:t>
            </w:r>
            <w:r w:rsidRPr="00C4710F">
              <w:rPr>
                <w:rFonts w:ascii="Arial Narrow" w:hAnsi="Arial Narrow"/>
                <w:b/>
                <w:sz w:val="20"/>
                <w:lang w:val="en-US"/>
              </w:rPr>
              <w:t>responders to 48 weeks</w:t>
            </w:r>
          </w:p>
        </w:tc>
        <w:tc>
          <w:tcPr>
            <w:tcW w:w="829" w:type="pct"/>
            <w:shd w:val="clear" w:color="auto" w:fill="auto"/>
            <w:vAlign w:val="center"/>
          </w:tcPr>
          <w:p w:rsidR="00E46F39" w:rsidRPr="00F812C6" w:rsidRDefault="00E46F39" w:rsidP="00E61788">
            <w:pPr>
              <w:keepNext/>
              <w:widowControl/>
              <w:jc w:val="center"/>
              <w:rPr>
                <w:rFonts w:ascii="Arial Narrow" w:hAnsi="Arial Narrow"/>
                <w:b/>
                <w:sz w:val="20"/>
                <w:lang w:val="en-US"/>
              </w:rPr>
            </w:pPr>
            <w:r w:rsidRPr="00F812C6">
              <w:rPr>
                <w:rFonts w:ascii="Arial Narrow" w:hAnsi="Arial Narrow"/>
                <w:b/>
                <w:sz w:val="20"/>
                <w:lang w:val="en-US"/>
              </w:rPr>
              <w:t>RR</w:t>
            </w:r>
          </w:p>
          <w:p w:rsidR="00E46F39" w:rsidRPr="00C4710F" w:rsidRDefault="00E46F39" w:rsidP="00E61788">
            <w:pPr>
              <w:keepNext/>
              <w:widowControl/>
              <w:jc w:val="center"/>
              <w:rPr>
                <w:rFonts w:ascii="Arial Narrow" w:hAnsi="Arial Narrow"/>
                <w:sz w:val="20"/>
                <w:lang w:val="en-US"/>
              </w:rPr>
            </w:pPr>
            <w:r w:rsidRPr="00F812C6">
              <w:rPr>
                <w:rFonts w:ascii="Arial Narrow" w:hAnsi="Arial Narrow"/>
                <w:b/>
                <w:sz w:val="20"/>
                <w:lang w:val="en-US"/>
              </w:rPr>
              <w:t>(95% CI)</w:t>
            </w:r>
          </w:p>
        </w:tc>
      </w:tr>
      <w:tr w:rsidR="00E46F39" w:rsidRPr="00C4710F" w:rsidTr="00B35A22">
        <w:tc>
          <w:tcPr>
            <w:tcW w:w="645" w:type="pct"/>
            <w:shd w:val="clear" w:color="auto" w:fill="auto"/>
            <w:vAlign w:val="center"/>
          </w:tcPr>
          <w:p w:rsidR="00E46F39" w:rsidRPr="00C4710F" w:rsidRDefault="00E46F39" w:rsidP="00E61788">
            <w:pPr>
              <w:keepNext/>
              <w:widowControl/>
              <w:tabs>
                <w:tab w:val="left" w:pos="150"/>
              </w:tabs>
              <w:jc w:val="left"/>
              <w:rPr>
                <w:rFonts w:ascii="Arial Narrow" w:hAnsi="Arial Narrow"/>
                <w:sz w:val="20"/>
              </w:rPr>
            </w:pPr>
            <w:r w:rsidRPr="00C4710F">
              <w:rPr>
                <w:rFonts w:ascii="Arial Narrow" w:hAnsi="Arial Narrow"/>
                <w:sz w:val="20"/>
              </w:rPr>
              <w:t>205.416</w:t>
            </w:r>
          </w:p>
        </w:tc>
        <w:tc>
          <w:tcPr>
            <w:tcW w:w="433" w:type="pct"/>
            <w:shd w:val="clear" w:color="auto" w:fill="auto"/>
            <w:vAlign w:val="center"/>
          </w:tcPr>
          <w:p w:rsidR="00E46F39" w:rsidRPr="00C4710F" w:rsidRDefault="00E46F39" w:rsidP="00E61788">
            <w:pPr>
              <w:keepNext/>
              <w:widowControl/>
              <w:jc w:val="center"/>
              <w:rPr>
                <w:rFonts w:ascii="Arial Narrow" w:hAnsi="Arial Narrow"/>
                <w:sz w:val="20"/>
              </w:rPr>
            </w:pPr>
            <w:r w:rsidRPr="00C4710F">
              <w:rPr>
                <w:rFonts w:ascii="Arial Narrow" w:hAnsi="Arial Narrow"/>
                <w:sz w:val="20"/>
              </w:rPr>
              <w:t xml:space="preserve">215 </w:t>
            </w:r>
          </w:p>
        </w:tc>
        <w:tc>
          <w:tcPr>
            <w:tcW w:w="899" w:type="pct"/>
            <w:shd w:val="clear" w:color="auto" w:fill="auto"/>
            <w:vAlign w:val="center"/>
          </w:tcPr>
          <w:p w:rsidR="00E46F39" w:rsidRPr="009502D4" w:rsidRDefault="00504B1C" w:rsidP="00E61788">
            <w:pPr>
              <w:keepNext/>
              <w:widowControl/>
              <w:jc w:val="center"/>
              <w:rPr>
                <w:rFonts w:ascii="Arial Narrow" w:hAnsi="Arial Narrow"/>
                <w:sz w:val="20"/>
              </w:rPr>
            </w:pPr>
            <w:r>
              <w:rPr>
                <w:rFonts w:ascii="Arial Narrow" w:hAnsi="Arial Narrow"/>
                <w:noProof/>
                <w:color w:val="000000"/>
                <w:sz w:val="20"/>
                <w:highlight w:val="black"/>
              </w:rPr>
              <w:t>''''''''''</w:t>
            </w:r>
            <w:r w:rsidR="00E46F39" w:rsidRPr="009502D4">
              <w:rPr>
                <w:rFonts w:ascii="Arial Narrow" w:hAnsi="Arial Narrow"/>
                <w:sz w:val="20"/>
              </w:rPr>
              <w:t xml:space="preserve"> (</w:t>
            </w:r>
            <w:r>
              <w:rPr>
                <w:rFonts w:ascii="Arial Narrow" w:hAnsi="Arial Narrow"/>
                <w:noProof/>
                <w:color w:val="000000"/>
                <w:sz w:val="20"/>
                <w:highlight w:val="black"/>
              </w:rPr>
              <w:t>''''''''''</w:t>
            </w:r>
            <w:r w:rsidR="00E46F39" w:rsidRPr="009502D4">
              <w:rPr>
                <w:rFonts w:ascii="Arial Narrow" w:hAnsi="Arial Narrow"/>
                <w:sz w:val="20"/>
              </w:rPr>
              <w:t>%)</w:t>
            </w:r>
          </w:p>
        </w:tc>
        <w:tc>
          <w:tcPr>
            <w:tcW w:w="437" w:type="pct"/>
            <w:shd w:val="clear" w:color="auto" w:fill="auto"/>
            <w:vAlign w:val="center"/>
          </w:tcPr>
          <w:p w:rsidR="00E46F39" w:rsidRPr="00504B1C" w:rsidRDefault="00504B1C" w:rsidP="00E6178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69" w:type="pct"/>
            <w:shd w:val="clear" w:color="auto" w:fill="auto"/>
            <w:vAlign w:val="center"/>
          </w:tcPr>
          <w:p w:rsidR="00E46F39" w:rsidRPr="009502D4" w:rsidRDefault="00504B1C" w:rsidP="00E61788">
            <w:pPr>
              <w:keepNext/>
              <w:widowControl/>
              <w:jc w:val="center"/>
              <w:rPr>
                <w:rFonts w:ascii="Arial Narrow" w:hAnsi="Arial Narrow"/>
                <w:sz w:val="20"/>
                <w:lang w:val="en-US"/>
              </w:rPr>
            </w:pPr>
            <w:r>
              <w:rPr>
                <w:rFonts w:ascii="Arial Narrow" w:hAnsi="Arial Narrow"/>
                <w:noProof/>
                <w:color w:val="000000"/>
                <w:sz w:val="20"/>
                <w:highlight w:val="black"/>
              </w:rPr>
              <w:t>''''''''''</w:t>
            </w:r>
            <w:r w:rsidR="00E46F39" w:rsidRPr="009502D4">
              <w:rPr>
                <w:rFonts w:ascii="Arial Narrow" w:hAnsi="Arial Narrow"/>
                <w:sz w:val="20"/>
              </w:rPr>
              <w:t xml:space="preserve"> (</w:t>
            </w:r>
            <w:r>
              <w:rPr>
                <w:rFonts w:ascii="Arial Narrow" w:hAnsi="Arial Narrow"/>
                <w:noProof/>
                <w:color w:val="000000"/>
                <w:sz w:val="20"/>
                <w:highlight w:val="black"/>
              </w:rPr>
              <w:t>''''''''''</w:t>
            </w:r>
            <w:r w:rsidR="00E46F39" w:rsidRPr="009502D4">
              <w:rPr>
                <w:rFonts w:ascii="Arial Narrow" w:hAnsi="Arial Narrow"/>
                <w:sz w:val="20"/>
              </w:rPr>
              <w:t>%)</w:t>
            </w:r>
          </w:p>
        </w:tc>
        <w:tc>
          <w:tcPr>
            <w:tcW w:w="888" w:type="pct"/>
            <w:shd w:val="clear" w:color="auto" w:fill="auto"/>
            <w:vAlign w:val="center"/>
          </w:tcPr>
          <w:p w:rsidR="00E46F39" w:rsidRPr="009502D4" w:rsidRDefault="00E46F39" w:rsidP="00E61788">
            <w:pPr>
              <w:keepNext/>
              <w:widowControl/>
              <w:jc w:val="center"/>
              <w:rPr>
                <w:rFonts w:ascii="Arial Narrow" w:hAnsi="Arial Narrow"/>
                <w:sz w:val="20"/>
              </w:rPr>
            </w:pPr>
            <w:r w:rsidRPr="009502D4">
              <w:rPr>
                <w:rFonts w:ascii="Arial Narrow" w:hAnsi="Arial Narrow"/>
                <w:sz w:val="20"/>
              </w:rPr>
              <w:t>NE</w:t>
            </w:r>
          </w:p>
        </w:tc>
        <w:tc>
          <w:tcPr>
            <w:tcW w:w="829" w:type="pct"/>
            <w:vAlign w:val="center"/>
          </w:tcPr>
          <w:p w:rsidR="00E46F39" w:rsidRPr="009502D4" w:rsidRDefault="00504B1C" w:rsidP="00E61788">
            <w:pPr>
              <w:keepNext/>
              <w:widowControl/>
              <w:jc w:val="center"/>
              <w:rPr>
                <w:rFonts w:ascii="Arial Narrow" w:hAnsi="Arial Narrow"/>
                <w:sz w:val="20"/>
              </w:rPr>
            </w:pPr>
            <w:r>
              <w:rPr>
                <w:rFonts w:ascii="Arial Narrow" w:hAnsi="Arial Narrow"/>
                <w:noProof/>
                <w:color w:val="000000"/>
                <w:sz w:val="20"/>
                <w:highlight w:val="black"/>
              </w:rPr>
              <w:t>''''''''''</w:t>
            </w:r>
            <w:r w:rsidR="00E46F39" w:rsidRPr="009502D4">
              <w:rPr>
                <w:rFonts w:ascii="Arial Narrow" w:hAnsi="Arial Narrow"/>
                <w:sz w:val="20"/>
              </w:rPr>
              <w:t xml:space="preserve"> (</w:t>
            </w:r>
            <w:r>
              <w:rPr>
                <w:rFonts w:ascii="Arial Narrow" w:hAnsi="Arial Narrow"/>
                <w:noProof/>
                <w:color w:val="000000"/>
                <w:sz w:val="20"/>
                <w:highlight w:val="black"/>
              </w:rPr>
              <w:t>'''''''''''</w:t>
            </w:r>
            <w:r w:rsidR="00E46F39" w:rsidRPr="009502D4">
              <w:rPr>
                <w:rFonts w:ascii="Arial Narrow" w:hAnsi="Arial Narrow"/>
                <w:sz w:val="20"/>
              </w:rPr>
              <w:t xml:space="preserve">, </w:t>
            </w:r>
            <w:r>
              <w:rPr>
                <w:rFonts w:ascii="Arial Narrow" w:hAnsi="Arial Narrow"/>
                <w:noProof/>
                <w:color w:val="000000"/>
                <w:sz w:val="20"/>
                <w:highlight w:val="black"/>
              </w:rPr>
              <w:t>''''''''''</w:t>
            </w:r>
            <w:r w:rsidR="00E46F39" w:rsidRPr="009502D4">
              <w:rPr>
                <w:rFonts w:ascii="Arial Narrow" w:hAnsi="Arial Narrow"/>
                <w:sz w:val="20"/>
              </w:rPr>
              <w:t>)</w:t>
            </w:r>
          </w:p>
        </w:tc>
      </w:tr>
      <w:tr w:rsidR="00E46F39" w:rsidRPr="00C4710F" w:rsidTr="00B35A22">
        <w:tc>
          <w:tcPr>
            <w:tcW w:w="645" w:type="pct"/>
            <w:shd w:val="clear" w:color="auto" w:fill="auto"/>
            <w:vAlign w:val="center"/>
          </w:tcPr>
          <w:p w:rsidR="00E46F39" w:rsidRPr="00C4710F" w:rsidRDefault="00E46F39" w:rsidP="00E61788">
            <w:pPr>
              <w:keepNext/>
              <w:widowControl/>
              <w:tabs>
                <w:tab w:val="left" w:pos="150"/>
              </w:tabs>
              <w:jc w:val="left"/>
              <w:rPr>
                <w:rFonts w:ascii="Arial Narrow" w:hAnsi="Arial Narrow"/>
                <w:sz w:val="20"/>
              </w:rPr>
            </w:pPr>
            <w:r w:rsidRPr="00C4710F">
              <w:rPr>
                <w:rFonts w:ascii="Arial Narrow" w:hAnsi="Arial Narrow"/>
                <w:sz w:val="20"/>
              </w:rPr>
              <w:t>205.417</w:t>
            </w:r>
          </w:p>
        </w:tc>
        <w:tc>
          <w:tcPr>
            <w:tcW w:w="433" w:type="pct"/>
            <w:shd w:val="clear" w:color="auto" w:fill="auto"/>
            <w:vAlign w:val="center"/>
          </w:tcPr>
          <w:p w:rsidR="00E46F39" w:rsidRPr="00C4710F" w:rsidRDefault="00E46F39" w:rsidP="00E61788">
            <w:pPr>
              <w:keepNext/>
              <w:widowControl/>
              <w:jc w:val="center"/>
              <w:rPr>
                <w:rFonts w:ascii="Arial Narrow" w:hAnsi="Arial Narrow"/>
                <w:sz w:val="20"/>
              </w:rPr>
            </w:pPr>
            <w:r w:rsidRPr="00C4710F">
              <w:rPr>
                <w:rFonts w:ascii="Arial Narrow" w:hAnsi="Arial Narrow"/>
                <w:sz w:val="20"/>
              </w:rPr>
              <w:t xml:space="preserve">200 </w:t>
            </w:r>
          </w:p>
        </w:tc>
        <w:tc>
          <w:tcPr>
            <w:tcW w:w="899" w:type="pct"/>
            <w:shd w:val="clear" w:color="auto" w:fill="auto"/>
            <w:vAlign w:val="center"/>
          </w:tcPr>
          <w:p w:rsidR="00E46F39" w:rsidRPr="009502D4" w:rsidRDefault="00504B1C" w:rsidP="00E61788">
            <w:pPr>
              <w:keepNext/>
              <w:widowControl/>
              <w:jc w:val="center"/>
              <w:rPr>
                <w:rFonts w:ascii="Arial Narrow" w:hAnsi="Arial Narrow"/>
                <w:sz w:val="20"/>
              </w:rPr>
            </w:pPr>
            <w:r>
              <w:rPr>
                <w:rFonts w:ascii="Arial Narrow" w:hAnsi="Arial Narrow"/>
                <w:noProof/>
                <w:color w:val="000000"/>
                <w:sz w:val="20"/>
                <w:highlight w:val="black"/>
              </w:rPr>
              <w:t>'''''''''</w:t>
            </w:r>
            <w:r w:rsidR="00E46F39" w:rsidRPr="009502D4">
              <w:rPr>
                <w:rFonts w:ascii="Arial Narrow" w:hAnsi="Arial Narrow"/>
                <w:sz w:val="20"/>
              </w:rPr>
              <w:t xml:space="preserve"> (</w:t>
            </w:r>
            <w:r>
              <w:rPr>
                <w:rFonts w:ascii="Arial Narrow" w:hAnsi="Arial Narrow"/>
                <w:noProof/>
                <w:color w:val="000000"/>
                <w:sz w:val="20"/>
                <w:highlight w:val="black"/>
              </w:rPr>
              <w:t>''''''''''</w:t>
            </w:r>
            <w:r w:rsidR="00E46F39" w:rsidRPr="009502D4">
              <w:rPr>
                <w:rFonts w:ascii="Arial Narrow" w:hAnsi="Arial Narrow"/>
                <w:sz w:val="20"/>
              </w:rPr>
              <w:t>%)</w:t>
            </w:r>
          </w:p>
        </w:tc>
        <w:tc>
          <w:tcPr>
            <w:tcW w:w="437" w:type="pct"/>
            <w:shd w:val="clear" w:color="auto" w:fill="auto"/>
            <w:vAlign w:val="center"/>
          </w:tcPr>
          <w:p w:rsidR="00E46F39" w:rsidRPr="00504B1C" w:rsidRDefault="00504B1C" w:rsidP="00E61788">
            <w:pPr>
              <w:keepNext/>
              <w:widowControl/>
              <w:jc w:val="center"/>
              <w:rPr>
                <w:rFonts w:ascii="Arial Narrow" w:hAnsi="Arial Narrow"/>
                <w:b/>
                <w:sz w:val="20"/>
                <w:highlight w:val="black"/>
              </w:rPr>
            </w:pPr>
            <w:r>
              <w:rPr>
                <w:rFonts w:ascii="Arial Narrow" w:hAnsi="Arial Narrow"/>
                <w:noProof/>
                <w:color w:val="000000"/>
                <w:sz w:val="20"/>
                <w:highlight w:val="black"/>
              </w:rPr>
              <w:t>''''''''''</w:t>
            </w:r>
          </w:p>
        </w:tc>
        <w:tc>
          <w:tcPr>
            <w:tcW w:w="869" w:type="pct"/>
            <w:shd w:val="clear" w:color="auto" w:fill="auto"/>
            <w:vAlign w:val="center"/>
          </w:tcPr>
          <w:p w:rsidR="00E46F39" w:rsidRPr="009502D4" w:rsidRDefault="00504B1C" w:rsidP="00E61788">
            <w:pPr>
              <w:keepNext/>
              <w:widowControl/>
              <w:jc w:val="center"/>
              <w:rPr>
                <w:rFonts w:ascii="Arial Narrow" w:hAnsi="Arial Narrow"/>
                <w:sz w:val="20"/>
                <w:lang w:val="en-US"/>
              </w:rPr>
            </w:pPr>
            <w:r>
              <w:rPr>
                <w:rFonts w:ascii="Arial Narrow" w:hAnsi="Arial Narrow"/>
                <w:noProof/>
                <w:color w:val="000000"/>
                <w:sz w:val="20"/>
                <w:highlight w:val="black"/>
              </w:rPr>
              <w:t>'''''</w:t>
            </w:r>
            <w:r w:rsidR="00E46F39" w:rsidRPr="009502D4">
              <w:rPr>
                <w:rFonts w:ascii="Arial Narrow" w:hAnsi="Arial Narrow"/>
                <w:sz w:val="20"/>
              </w:rPr>
              <w:t xml:space="preserve"> (</w:t>
            </w:r>
            <w:r>
              <w:rPr>
                <w:rFonts w:ascii="Arial Narrow" w:hAnsi="Arial Narrow"/>
                <w:noProof/>
                <w:color w:val="000000"/>
                <w:sz w:val="20"/>
                <w:highlight w:val="black"/>
              </w:rPr>
              <w:t>'''''''''''</w:t>
            </w:r>
            <w:r w:rsidR="00E46F39" w:rsidRPr="009502D4">
              <w:rPr>
                <w:rFonts w:ascii="Arial Narrow" w:hAnsi="Arial Narrow"/>
                <w:sz w:val="20"/>
              </w:rPr>
              <w:t>%)</w:t>
            </w:r>
          </w:p>
        </w:tc>
        <w:tc>
          <w:tcPr>
            <w:tcW w:w="888" w:type="pct"/>
            <w:shd w:val="clear" w:color="auto" w:fill="auto"/>
            <w:vAlign w:val="center"/>
          </w:tcPr>
          <w:p w:rsidR="00E46F39" w:rsidRPr="009502D4" w:rsidRDefault="00504B1C" w:rsidP="00E61788">
            <w:pPr>
              <w:keepNext/>
              <w:widowControl/>
              <w:jc w:val="center"/>
              <w:rPr>
                <w:rFonts w:ascii="Arial Narrow" w:hAnsi="Arial Narrow"/>
                <w:b/>
                <w:sz w:val="20"/>
              </w:rPr>
            </w:pPr>
            <w:r>
              <w:rPr>
                <w:rFonts w:ascii="Arial Narrow" w:hAnsi="Arial Narrow"/>
                <w:b/>
                <w:noProof/>
                <w:color w:val="000000"/>
                <w:sz w:val="20"/>
                <w:highlight w:val="black"/>
              </w:rPr>
              <w:t>'''</w:t>
            </w:r>
            <w:r w:rsidR="00E46F39" w:rsidRPr="009502D4">
              <w:rPr>
                <w:rFonts w:ascii="Arial Narrow" w:hAnsi="Arial Narrow"/>
                <w:b/>
                <w:sz w:val="20"/>
              </w:rPr>
              <w:t xml:space="preserve"> (</w:t>
            </w:r>
            <w:r>
              <w:rPr>
                <w:rFonts w:ascii="Arial Narrow" w:hAnsi="Arial Narrow"/>
                <w:b/>
                <w:noProof/>
                <w:color w:val="000000"/>
                <w:sz w:val="20"/>
                <w:highlight w:val="black"/>
              </w:rPr>
              <w:t>'''</w:t>
            </w:r>
            <w:r w:rsidR="00E46F39" w:rsidRPr="009502D4">
              <w:rPr>
                <w:rFonts w:ascii="Arial Narrow" w:hAnsi="Arial Narrow"/>
                <w:b/>
                <w:sz w:val="20"/>
              </w:rPr>
              <w:t xml:space="preserve">, </w:t>
            </w:r>
            <w:r>
              <w:rPr>
                <w:rFonts w:ascii="Arial Narrow" w:hAnsi="Arial Narrow"/>
                <w:b/>
                <w:noProof/>
                <w:color w:val="000000"/>
                <w:sz w:val="20"/>
                <w:highlight w:val="black"/>
              </w:rPr>
              <w:t>'''''</w:t>
            </w:r>
            <w:r w:rsidR="00E46F39" w:rsidRPr="009502D4">
              <w:rPr>
                <w:rFonts w:ascii="Arial Narrow" w:hAnsi="Arial Narrow"/>
                <w:b/>
                <w:sz w:val="20"/>
              </w:rPr>
              <w:t>)</w:t>
            </w:r>
          </w:p>
        </w:tc>
        <w:tc>
          <w:tcPr>
            <w:tcW w:w="829" w:type="pct"/>
            <w:vAlign w:val="center"/>
          </w:tcPr>
          <w:p w:rsidR="00E46F39" w:rsidRPr="009502D4" w:rsidRDefault="00504B1C" w:rsidP="00E61788">
            <w:pPr>
              <w:keepNext/>
              <w:widowControl/>
              <w:jc w:val="center"/>
              <w:rPr>
                <w:rFonts w:ascii="Arial Narrow" w:hAnsi="Arial Narrow"/>
                <w:b/>
                <w:sz w:val="20"/>
              </w:rPr>
            </w:pPr>
            <w:r>
              <w:rPr>
                <w:rFonts w:ascii="Arial Narrow" w:hAnsi="Arial Narrow"/>
                <w:b/>
                <w:noProof/>
                <w:color w:val="000000"/>
                <w:sz w:val="20"/>
                <w:highlight w:val="black"/>
              </w:rPr>
              <w:t>'''''''''</w:t>
            </w:r>
            <w:r w:rsidR="00E46F39" w:rsidRPr="009502D4">
              <w:rPr>
                <w:rFonts w:ascii="Arial Narrow" w:hAnsi="Arial Narrow"/>
                <w:b/>
                <w:sz w:val="20"/>
              </w:rPr>
              <w:t xml:space="preserve"> (</w:t>
            </w:r>
            <w:r>
              <w:rPr>
                <w:rFonts w:ascii="Arial Narrow" w:hAnsi="Arial Narrow"/>
                <w:b/>
                <w:noProof/>
                <w:color w:val="000000"/>
                <w:sz w:val="20"/>
                <w:highlight w:val="black"/>
              </w:rPr>
              <w:t>''''''''</w:t>
            </w:r>
            <w:r w:rsidR="00E46F39" w:rsidRPr="009502D4">
              <w:rPr>
                <w:rFonts w:ascii="Arial Narrow" w:hAnsi="Arial Narrow"/>
                <w:b/>
                <w:sz w:val="20"/>
              </w:rPr>
              <w:t xml:space="preserve">, </w:t>
            </w:r>
            <w:r>
              <w:rPr>
                <w:rFonts w:ascii="Arial Narrow" w:hAnsi="Arial Narrow"/>
                <w:b/>
                <w:noProof/>
                <w:color w:val="000000"/>
                <w:sz w:val="20"/>
                <w:highlight w:val="black"/>
              </w:rPr>
              <w:t>''''''''</w:t>
            </w:r>
            <w:r w:rsidR="00E46F39" w:rsidRPr="009502D4">
              <w:rPr>
                <w:rFonts w:ascii="Arial Narrow" w:hAnsi="Arial Narrow"/>
                <w:b/>
                <w:sz w:val="20"/>
              </w:rPr>
              <w:t>)</w:t>
            </w:r>
          </w:p>
        </w:tc>
      </w:tr>
      <w:tr w:rsidR="00E46F39" w:rsidRPr="00C4710F" w:rsidTr="00B35A22">
        <w:tc>
          <w:tcPr>
            <w:tcW w:w="3283" w:type="pct"/>
            <w:gridSpan w:val="5"/>
            <w:shd w:val="clear" w:color="auto" w:fill="auto"/>
            <w:vAlign w:val="center"/>
          </w:tcPr>
          <w:p w:rsidR="00E46F39" w:rsidRPr="009502D4" w:rsidRDefault="00E46F39" w:rsidP="00E61788">
            <w:pPr>
              <w:keepNext/>
              <w:widowControl/>
              <w:jc w:val="left"/>
              <w:rPr>
                <w:rFonts w:ascii="Arial Narrow" w:hAnsi="Arial Narrow"/>
                <w:sz w:val="20"/>
              </w:rPr>
            </w:pPr>
            <w:proofErr w:type="gramStart"/>
            <w:r w:rsidRPr="009502D4">
              <w:rPr>
                <w:rFonts w:ascii="Arial Narrow" w:hAnsi="Arial Narrow"/>
                <w:sz w:val="20"/>
                <w:vertAlign w:val="superscript"/>
              </w:rPr>
              <w:t>b</w:t>
            </w:r>
            <w:proofErr w:type="gramEnd"/>
            <w:r w:rsidRPr="009502D4">
              <w:rPr>
                <w:rFonts w:ascii="Arial Narrow" w:hAnsi="Arial Narrow"/>
                <w:sz w:val="20"/>
              </w:rPr>
              <w:t xml:space="preserve"> Meta-analysis (I</w:t>
            </w:r>
            <w:r w:rsidRPr="009502D4">
              <w:rPr>
                <w:rFonts w:ascii="Arial Narrow" w:hAnsi="Arial Narrow"/>
                <w:sz w:val="20"/>
                <w:vertAlign w:val="superscript"/>
              </w:rPr>
              <w:t>2</w:t>
            </w:r>
            <w:r w:rsidRPr="009502D4">
              <w:rPr>
                <w:rFonts w:ascii="Arial Narrow" w:hAnsi="Arial Narrow"/>
                <w:sz w:val="20"/>
              </w:rPr>
              <w:t xml:space="preserve"> statistic =</w:t>
            </w:r>
            <w:r w:rsidR="00504B1C">
              <w:rPr>
                <w:rFonts w:ascii="Arial Narrow" w:hAnsi="Arial Narrow"/>
                <w:noProof/>
                <w:color w:val="000000"/>
                <w:sz w:val="20"/>
                <w:highlight w:val="black"/>
              </w:rPr>
              <w:t>'''''</w:t>
            </w:r>
            <w:r w:rsidRPr="009502D4">
              <w:rPr>
                <w:rFonts w:ascii="Arial Narrow" w:hAnsi="Arial Narrow"/>
                <w:sz w:val="20"/>
              </w:rPr>
              <w:t>%)</w:t>
            </w:r>
          </w:p>
          <w:p w:rsidR="00E46F39" w:rsidRPr="009502D4" w:rsidRDefault="00E46F39" w:rsidP="00E61788">
            <w:pPr>
              <w:keepNext/>
              <w:widowControl/>
              <w:jc w:val="left"/>
              <w:rPr>
                <w:rFonts w:ascii="Arial Narrow" w:hAnsi="Arial Narrow"/>
                <w:sz w:val="20"/>
                <w:lang w:val="en-US"/>
              </w:rPr>
            </w:pPr>
            <w:r w:rsidRPr="009502D4">
              <w:rPr>
                <w:rFonts w:ascii="Arial Narrow" w:hAnsi="Arial Narrow"/>
                <w:sz w:val="20"/>
                <w:lang w:val="en-US"/>
              </w:rPr>
              <w:t>Chi-square for heterogeneity: P=</w:t>
            </w:r>
            <w:r w:rsidR="00504B1C">
              <w:rPr>
                <w:rFonts w:ascii="Arial Narrow" w:hAnsi="Arial Narrow"/>
                <w:noProof/>
                <w:color w:val="000000"/>
                <w:sz w:val="20"/>
                <w:highlight w:val="black"/>
                <w:lang w:val="en-US"/>
              </w:rPr>
              <w:t>''''''''''</w:t>
            </w:r>
          </w:p>
        </w:tc>
        <w:tc>
          <w:tcPr>
            <w:tcW w:w="888" w:type="pct"/>
            <w:shd w:val="clear" w:color="auto" w:fill="auto"/>
            <w:vAlign w:val="center"/>
          </w:tcPr>
          <w:p w:rsidR="00E46F39" w:rsidRPr="009502D4" w:rsidRDefault="00504B1C" w:rsidP="00E61788">
            <w:pPr>
              <w:keepNext/>
              <w:widowControl/>
              <w:jc w:val="center"/>
              <w:rPr>
                <w:rFonts w:ascii="Arial Narrow" w:hAnsi="Arial Narrow"/>
                <w:b/>
                <w:sz w:val="20"/>
              </w:rPr>
            </w:pPr>
            <w:r>
              <w:rPr>
                <w:rFonts w:ascii="Arial Narrow" w:hAnsi="Arial Narrow"/>
                <w:b/>
                <w:noProof/>
                <w:color w:val="000000"/>
                <w:sz w:val="20"/>
                <w:highlight w:val="black"/>
              </w:rPr>
              <w:t>'''</w:t>
            </w:r>
            <w:r w:rsidR="00E46F39" w:rsidRPr="009502D4">
              <w:rPr>
                <w:rFonts w:ascii="Arial Narrow" w:hAnsi="Arial Narrow"/>
                <w:b/>
                <w:sz w:val="20"/>
              </w:rPr>
              <w:t xml:space="preserve"> (</w:t>
            </w:r>
            <w:r>
              <w:rPr>
                <w:rFonts w:ascii="Arial Narrow" w:hAnsi="Arial Narrow"/>
                <w:b/>
                <w:noProof/>
                <w:color w:val="000000"/>
                <w:sz w:val="20"/>
                <w:highlight w:val="black"/>
              </w:rPr>
              <w:t>'''</w:t>
            </w:r>
            <w:r w:rsidR="00E46F39" w:rsidRPr="009502D4">
              <w:rPr>
                <w:rFonts w:ascii="Arial Narrow" w:hAnsi="Arial Narrow"/>
                <w:b/>
                <w:sz w:val="20"/>
              </w:rPr>
              <w:t xml:space="preserve">, </w:t>
            </w:r>
            <w:r>
              <w:rPr>
                <w:rFonts w:ascii="Arial Narrow" w:hAnsi="Arial Narrow"/>
                <w:b/>
                <w:noProof/>
                <w:color w:val="000000"/>
                <w:sz w:val="20"/>
                <w:highlight w:val="black"/>
              </w:rPr>
              <w:t>'''''</w:t>
            </w:r>
            <w:r w:rsidR="00E46F39" w:rsidRPr="009502D4">
              <w:rPr>
                <w:rFonts w:ascii="Arial Narrow" w:hAnsi="Arial Narrow"/>
                <w:b/>
                <w:sz w:val="20"/>
              </w:rPr>
              <w:t>)</w:t>
            </w:r>
          </w:p>
        </w:tc>
        <w:tc>
          <w:tcPr>
            <w:tcW w:w="829" w:type="pct"/>
            <w:vAlign w:val="center"/>
          </w:tcPr>
          <w:p w:rsidR="00E46F39" w:rsidRPr="009502D4" w:rsidRDefault="00504B1C" w:rsidP="00E61788">
            <w:pPr>
              <w:keepNext/>
              <w:widowControl/>
              <w:jc w:val="center"/>
              <w:rPr>
                <w:rFonts w:ascii="Arial Narrow" w:hAnsi="Arial Narrow"/>
                <w:b/>
                <w:sz w:val="20"/>
              </w:rPr>
            </w:pPr>
            <w:r>
              <w:rPr>
                <w:rFonts w:ascii="Arial Narrow" w:hAnsi="Arial Narrow"/>
                <w:b/>
                <w:noProof/>
                <w:color w:val="000000"/>
                <w:sz w:val="20"/>
                <w:highlight w:val="black"/>
              </w:rPr>
              <w:t>''''''''</w:t>
            </w:r>
            <w:r w:rsidR="00E46F39" w:rsidRPr="009502D4">
              <w:rPr>
                <w:rFonts w:ascii="Arial Narrow" w:hAnsi="Arial Narrow"/>
                <w:b/>
                <w:sz w:val="20"/>
              </w:rPr>
              <w:t xml:space="preserve"> (</w:t>
            </w:r>
            <w:r>
              <w:rPr>
                <w:rFonts w:ascii="Arial Narrow" w:hAnsi="Arial Narrow"/>
                <w:b/>
                <w:noProof/>
                <w:color w:val="000000"/>
                <w:sz w:val="20"/>
                <w:highlight w:val="black"/>
              </w:rPr>
              <w:t>'''''''''</w:t>
            </w:r>
            <w:r w:rsidR="00E46F39" w:rsidRPr="009502D4">
              <w:rPr>
                <w:rFonts w:ascii="Arial Narrow" w:hAnsi="Arial Narrow"/>
                <w:b/>
                <w:sz w:val="20"/>
              </w:rPr>
              <w:t xml:space="preserve">, </w:t>
            </w:r>
            <w:r>
              <w:rPr>
                <w:rFonts w:ascii="Arial Narrow" w:hAnsi="Arial Narrow"/>
                <w:b/>
                <w:noProof/>
                <w:color w:val="000000"/>
                <w:sz w:val="20"/>
                <w:highlight w:val="black"/>
              </w:rPr>
              <w:t>''''''''</w:t>
            </w:r>
            <w:r w:rsidR="00E46F39" w:rsidRPr="009502D4">
              <w:rPr>
                <w:rFonts w:ascii="Arial Narrow" w:hAnsi="Arial Narrow"/>
                <w:b/>
                <w:sz w:val="20"/>
              </w:rPr>
              <w:t>)</w:t>
            </w:r>
          </w:p>
        </w:tc>
      </w:tr>
    </w:tbl>
    <w:p w:rsidR="00327617" w:rsidRDefault="00A93FE0" w:rsidP="00E61788">
      <w:pPr>
        <w:pStyle w:val="TableFooter"/>
        <w:keepNext/>
        <w:widowControl/>
        <w:ind w:left="720"/>
      </w:pPr>
      <w:r w:rsidRPr="00A93FE0">
        <w:t>Source:</w:t>
      </w:r>
      <w:r>
        <w:t xml:space="preserve"> </w:t>
      </w:r>
      <w:r w:rsidRPr="00D13A3E">
        <w:t>Table</w:t>
      </w:r>
      <w:r>
        <w:t xml:space="preserve"> B.24</w:t>
      </w:r>
      <w:r w:rsidR="00652B23">
        <w:t>, p89; Table B.25, p92; Table B.26, p93</w:t>
      </w:r>
      <w:r w:rsidR="0039406D">
        <w:t xml:space="preserve">; </w:t>
      </w:r>
      <w:r w:rsidR="00652B23">
        <w:t xml:space="preserve">Table </w:t>
      </w:r>
      <w:r>
        <w:t>B.28-29</w:t>
      </w:r>
      <w:r w:rsidR="00327617">
        <w:t>,</w:t>
      </w:r>
      <w:r>
        <w:t xml:space="preserve"> </w:t>
      </w:r>
      <w:r w:rsidRPr="00D13A3E">
        <w:t>pp</w:t>
      </w:r>
      <w:r w:rsidR="00652B23">
        <w:t>97-98</w:t>
      </w:r>
      <w:r w:rsidR="00327617">
        <w:t xml:space="preserve"> of the submission</w:t>
      </w:r>
      <w:r w:rsidRPr="00574BE6">
        <w:t xml:space="preserve"> and</w:t>
      </w:r>
      <w:r w:rsidRPr="00327617">
        <w:rPr>
          <w:i/>
        </w:rPr>
        <w:t xml:space="preserve"> </w:t>
      </w:r>
      <w:r w:rsidRPr="00B46F3B">
        <w:t>compiled during the evaluation</w:t>
      </w:r>
    </w:p>
    <w:p w:rsidR="007F1017" w:rsidRDefault="00A93FE0" w:rsidP="00E61788">
      <w:pPr>
        <w:pStyle w:val="TableFooter"/>
        <w:keepNext/>
        <w:widowControl/>
        <w:ind w:left="720"/>
      </w:pPr>
      <w:r w:rsidRPr="00A93FE0">
        <w:t>HR = hazard ratio; CI = confidence interval; RR = relative risk;</w:t>
      </w:r>
      <w:r>
        <w:t xml:space="preserve"> NNT = number needed to treat;</w:t>
      </w:r>
      <w:r w:rsidRPr="00A93FE0">
        <w:t xml:space="preserve"> SE = standard error</w:t>
      </w:r>
      <w:r w:rsidR="00525B7B">
        <w:t xml:space="preserve">; </w:t>
      </w:r>
      <w:r w:rsidR="00525B7B" w:rsidRPr="008515A7">
        <w:t>FEV</w:t>
      </w:r>
      <w:r w:rsidR="00525B7B" w:rsidRPr="00500435">
        <w:rPr>
          <w:vertAlign w:val="subscript"/>
        </w:rPr>
        <w:t>1</w:t>
      </w:r>
      <w:r w:rsidR="00327617">
        <w:t> </w:t>
      </w:r>
      <w:r w:rsidR="00525B7B" w:rsidRPr="008515A7">
        <w:t>=</w:t>
      </w:r>
      <w:r w:rsidR="00327617">
        <w:t> </w:t>
      </w:r>
      <w:r w:rsidR="00525B7B" w:rsidRPr="008515A7">
        <w:t xml:space="preserve">forced expiratory volume in </w:t>
      </w:r>
      <w:r w:rsidR="00525B7B">
        <w:t>one</w:t>
      </w:r>
      <w:r w:rsidR="00525B7B" w:rsidRPr="008515A7">
        <w:t xml:space="preserve"> second</w:t>
      </w:r>
      <w:r w:rsidR="00327617">
        <w:t>; ACQ = a</w:t>
      </w:r>
      <w:r w:rsidR="00444C0C">
        <w:t>sthma control questionnaire</w:t>
      </w:r>
      <w:r w:rsidR="009A24AD">
        <w:t xml:space="preserve">; NE = </w:t>
      </w:r>
      <w:r w:rsidR="00327617">
        <w:t>n</w:t>
      </w:r>
      <w:r w:rsidR="009A24AD">
        <w:t>ot estimated</w:t>
      </w:r>
      <w:r w:rsidR="00574BE6">
        <w:t xml:space="preserve">; </w:t>
      </w:r>
      <w:r w:rsidR="00574BE6" w:rsidRPr="00A93FE0">
        <w:rPr>
          <w:b/>
        </w:rPr>
        <w:t>Bold</w:t>
      </w:r>
      <w:r w:rsidR="00574BE6">
        <w:t xml:space="preserve"> = statistically significant</w:t>
      </w:r>
    </w:p>
    <w:p w:rsidR="00A93FE0" w:rsidRDefault="00A93FE0" w:rsidP="00E61788">
      <w:pPr>
        <w:pStyle w:val="TableFooter"/>
        <w:keepNext/>
        <w:widowControl/>
        <w:ind w:firstLine="720"/>
      </w:pPr>
      <w:proofErr w:type="gramStart"/>
      <w:r w:rsidRPr="00A93FE0">
        <w:rPr>
          <w:vertAlign w:val="superscript"/>
        </w:rPr>
        <w:t>a</w:t>
      </w:r>
      <w:proofErr w:type="gramEnd"/>
      <w:r w:rsidRPr="00A93FE0">
        <w:rPr>
          <w:vertAlign w:val="superscript"/>
        </w:rPr>
        <w:t xml:space="preserve"> </w:t>
      </w:r>
      <w:r w:rsidR="00327617">
        <w:t>Te</w:t>
      </w:r>
      <w:r w:rsidRPr="00A93FE0">
        <w:t>sts for heterogeneity for relative risk presented, tests for heterogeneity for HR</w:t>
      </w:r>
      <w:r w:rsidR="00327617">
        <w:t xml:space="preserve"> not provided in the submission</w:t>
      </w:r>
    </w:p>
    <w:p w:rsidR="00A93FE0" w:rsidRDefault="00E10314" w:rsidP="00E61788">
      <w:pPr>
        <w:pStyle w:val="TableFooter"/>
        <w:keepNext/>
        <w:widowControl/>
        <w:ind w:left="720"/>
      </w:pPr>
      <w:proofErr w:type="gramStart"/>
      <w:r>
        <w:rPr>
          <w:vertAlign w:val="superscript"/>
        </w:rPr>
        <w:t>b</w:t>
      </w:r>
      <w:proofErr w:type="gramEnd"/>
      <w:r w:rsidR="003B7DA4">
        <w:rPr>
          <w:vertAlign w:val="superscript"/>
        </w:rPr>
        <w:t xml:space="preserve"> </w:t>
      </w:r>
      <w:r w:rsidR="00F812C6">
        <w:t>Meta-analysis for relative risk</w:t>
      </w:r>
    </w:p>
    <w:p w:rsidR="00A13553" w:rsidRPr="00BC701A" w:rsidRDefault="00A13553" w:rsidP="00E61788">
      <w:pPr>
        <w:widowControl/>
        <w:rPr>
          <w:i/>
        </w:rPr>
      </w:pPr>
    </w:p>
    <w:p w:rsidR="00A432D7" w:rsidRPr="00B738CB" w:rsidRDefault="00A432D7" w:rsidP="00E61788">
      <w:pPr>
        <w:pStyle w:val="ListParagraph"/>
        <w:widowControl/>
        <w:numPr>
          <w:ilvl w:val="1"/>
          <w:numId w:val="9"/>
        </w:numPr>
      </w:pPr>
      <w:r w:rsidRPr="00B738CB">
        <w:t>The ESC noted that while the time to first severe exacerbation was a co-primary outcome, emphasis seemed to be on the time to first exacerbation (any)</w:t>
      </w:r>
      <w:r w:rsidR="00BC701A" w:rsidRPr="00B738CB">
        <w:t>,</w:t>
      </w:r>
      <w:r w:rsidR="002D7E9C" w:rsidRPr="00B738CB">
        <w:t xml:space="preserve"> which wa</w:t>
      </w:r>
      <w:r w:rsidRPr="00B738CB">
        <w:t>s more convincing statistically</w:t>
      </w:r>
      <w:r w:rsidR="00BC701A" w:rsidRPr="00B738CB">
        <w:t xml:space="preserve"> but may not be clinically or resource meaningful. </w:t>
      </w:r>
    </w:p>
    <w:p w:rsidR="00A432D7" w:rsidRPr="00B738CB" w:rsidRDefault="00A432D7" w:rsidP="00E61788">
      <w:pPr>
        <w:pStyle w:val="ListParagraph"/>
        <w:widowControl/>
      </w:pPr>
    </w:p>
    <w:p w:rsidR="008C315F" w:rsidRPr="00B738CB" w:rsidRDefault="004D144C" w:rsidP="008C315F">
      <w:pPr>
        <w:pStyle w:val="ListParagraph"/>
        <w:widowControl/>
        <w:numPr>
          <w:ilvl w:val="1"/>
          <w:numId w:val="9"/>
        </w:numPr>
      </w:pPr>
      <w:r w:rsidRPr="00B738CB">
        <w:t>The ESC noted t</w:t>
      </w:r>
      <w:r w:rsidR="00A13553" w:rsidRPr="00B738CB">
        <w:t>he third co-primary endpoint, time to first severe exacerbation</w:t>
      </w:r>
      <w:r w:rsidRPr="00B738CB">
        <w:t>,</w:t>
      </w:r>
      <w:r w:rsidR="00A13553" w:rsidRPr="00B738CB">
        <w:t xml:space="preserve"> was not significant in the unadjusted analysis (p=0.0535) but significant after adjusting for the interim analysis (HR 0.79, 95% CI 0.62 to 1.00 p=0.0343). Based on this, the difference in time until at least 25% of patients had a severe exacerbation was approximately 56 days.</w:t>
      </w:r>
      <w:r w:rsidRPr="00B738CB">
        <w:t xml:space="preserve"> </w:t>
      </w:r>
      <w:r w:rsidR="00AB44FF" w:rsidRPr="00B738CB">
        <w:rPr>
          <w:iCs/>
        </w:rPr>
        <w:t>The</w:t>
      </w:r>
      <w:r w:rsidR="00AB44FF" w:rsidRPr="00B738CB">
        <w:t xml:space="preserve"> </w:t>
      </w:r>
      <w:r w:rsidR="00AB44FF" w:rsidRPr="00B738CB">
        <w:rPr>
          <w:iCs/>
        </w:rPr>
        <w:t xml:space="preserve">ESC also noted that the upper limit of the CI still overlaps 1 (no difference). The sensitivity of the adjusted results was not tested against alternative procedures. </w:t>
      </w:r>
    </w:p>
    <w:p w:rsidR="00DD2FAA" w:rsidRPr="00B738CB" w:rsidRDefault="00DD2FAA" w:rsidP="008C315F">
      <w:pPr>
        <w:pStyle w:val="ListParagraph"/>
        <w:widowControl/>
      </w:pPr>
    </w:p>
    <w:p w:rsidR="00DD2FAA" w:rsidRPr="00B738CB" w:rsidRDefault="00DD2FAA" w:rsidP="00E61788">
      <w:pPr>
        <w:pStyle w:val="ListParagraph"/>
        <w:widowControl/>
        <w:numPr>
          <w:ilvl w:val="1"/>
          <w:numId w:val="9"/>
        </w:numPr>
      </w:pPr>
      <w:r w:rsidRPr="00B738CB">
        <w:lastRenderedPageBreak/>
        <w:t xml:space="preserve">The </w:t>
      </w:r>
      <w:r w:rsidR="005E6088" w:rsidRPr="00B738CB">
        <w:t xml:space="preserve">ESC considered that the </w:t>
      </w:r>
      <w:r w:rsidR="007418B8" w:rsidRPr="00B738CB">
        <w:t xml:space="preserve">main body of the </w:t>
      </w:r>
      <w:r w:rsidRPr="00B738CB">
        <w:t>submission did not present all patient relevant outcomes, e.g. the number of exacerbations per patient (Table</w:t>
      </w:r>
      <w:r w:rsidR="00211C2D" w:rsidRPr="00B738CB">
        <w:t>s</w:t>
      </w:r>
      <w:r w:rsidRPr="00B738CB">
        <w:t xml:space="preserve"> </w:t>
      </w:r>
      <w:r w:rsidR="009542B1" w:rsidRPr="00B738CB">
        <w:t>5</w:t>
      </w:r>
      <w:r w:rsidR="00211C2D" w:rsidRPr="00B738CB">
        <w:t xml:space="preserve"> and 6</w:t>
      </w:r>
      <w:r w:rsidRPr="00B738CB">
        <w:t>).</w:t>
      </w:r>
    </w:p>
    <w:p w:rsidR="00DD2FAA" w:rsidRPr="00DD2FAA" w:rsidRDefault="00DD2FAA" w:rsidP="00E61788">
      <w:pPr>
        <w:pStyle w:val="ListParagraph"/>
        <w:widowControl/>
        <w:rPr>
          <w:i/>
        </w:rPr>
      </w:pPr>
    </w:p>
    <w:p w:rsidR="00DD2FAA" w:rsidRPr="00DD2FAA" w:rsidRDefault="00DD2FAA" w:rsidP="00E61788">
      <w:pPr>
        <w:widowControl/>
        <w:autoSpaceDE w:val="0"/>
        <w:autoSpaceDN w:val="0"/>
        <w:adjustRightInd w:val="0"/>
        <w:ind w:left="709" w:firstLine="11"/>
        <w:rPr>
          <w:rFonts w:ascii="Arial Narrow" w:hAnsi="Arial Narrow"/>
          <w:b/>
          <w:sz w:val="20"/>
        </w:rPr>
      </w:pPr>
      <w:r w:rsidRPr="00DD2FAA">
        <w:rPr>
          <w:rFonts w:ascii="Arial Narrow" w:hAnsi="Arial Narrow" w:cs="Times New Roman"/>
          <w:b/>
          <w:color w:val="000000"/>
          <w:sz w:val="20"/>
          <w:lang w:eastAsia="en-AU"/>
        </w:rPr>
        <w:t xml:space="preserve">Table </w:t>
      </w:r>
      <w:r w:rsidR="009542B1">
        <w:rPr>
          <w:rFonts w:ascii="Arial Narrow" w:hAnsi="Arial Narrow" w:cs="Times New Roman"/>
          <w:b/>
          <w:color w:val="000000"/>
          <w:sz w:val="20"/>
          <w:lang w:eastAsia="en-AU"/>
        </w:rPr>
        <w:t>5</w:t>
      </w:r>
      <w:r w:rsidRPr="00DD2FAA">
        <w:rPr>
          <w:rFonts w:ascii="Arial Narrow" w:hAnsi="Arial Narrow" w:cs="Times New Roman"/>
          <w:b/>
          <w:color w:val="000000"/>
          <w:sz w:val="20"/>
          <w:lang w:eastAsia="en-AU"/>
        </w:rPr>
        <w:t>: Number of patients categorised by the frequency of experienced asthma exacerbations</w:t>
      </w:r>
      <w:r w:rsidR="005D2A51">
        <w:rPr>
          <w:rFonts w:ascii="Arial Narrow" w:hAnsi="Arial Narrow" w:cs="Times New Roman"/>
          <w:b/>
          <w:color w:val="000000"/>
          <w:sz w:val="20"/>
          <w:lang w:eastAsia="en-AU"/>
        </w:rPr>
        <w:t xml:space="preserve"> (any severity)</w:t>
      </w:r>
    </w:p>
    <w:tbl>
      <w:tblPr>
        <w:tblW w:w="455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603"/>
        <w:gridCol w:w="500"/>
        <w:gridCol w:w="602"/>
        <w:gridCol w:w="470"/>
        <w:gridCol w:w="470"/>
        <w:gridCol w:w="405"/>
        <w:gridCol w:w="437"/>
        <w:gridCol w:w="545"/>
        <w:gridCol w:w="636"/>
        <w:gridCol w:w="495"/>
      </w:tblGrid>
      <w:tr w:rsidR="00DD2FAA" w:rsidRPr="009502D4" w:rsidTr="00DD2FAA">
        <w:trPr>
          <w:trHeight w:val="227"/>
        </w:trPr>
        <w:tc>
          <w:tcPr>
            <w:tcW w:w="1702" w:type="pct"/>
            <w:tcBorders>
              <w:top w:val="single" w:sz="4" w:space="0" w:color="auto"/>
              <w:left w:val="single" w:sz="4" w:space="0" w:color="auto"/>
              <w:bottom w:val="single" w:sz="4" w:space="0" w:color="auto"/>
              <w:right w:val="single" w:sz="4" w:space="0" w:color="auto"/>
            </w:tcBorders>
            <w:noWrap/>
            <w:vAlign w:val="bottom"/>
            <w:hideMark/>
          </w:tcPr>
          <w:p w:rsidR="00DD2FAA" w:rsidRPr="009502D4" w:rsidRDefault="00DD2FAA" w:rsidP="00E61788">
            <w:pPr>
              <w:widowControl/>
              <w:snapToGrid w:val="0"/>
              <w:rPr>
                <w:rFonts w:ascii="Arial Narrow" w:hAnsi="Arial Narrow" w:cs="Times New Roman"/>
                <w:b/>
                <w:color w:val="000000"/>
                <w:sz w:val="20"/>
                <w:lang w:val="en-GB" w:eastAsia="en-AU"/>
              </w:rPr>
            </w:pPr>
            <w:r w:rsidRPr="009502D4">
              <w:rPr>
                <w:rFonts w:ascii="Arial Narrow" w:hAnsi="Arial Narrow" w:cs="Times New Roman"/>
                <w:b/>
                <w:color w:val="000000"/>
                <w:sz w:val="20"/>
                <w:lang w:eastAsia="en-AU"/>
              </w:rPr>
              <w:t>Frequency of any asthma exacerbation</w:t>
            </w: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DD2FAA" w:rsidRPr="009502D4" w:rsidRDefault="00DD2FAA" w:rsidP="00E61788">
            <w:pPr>
              <w:widowControl/>
              <w:snapToGrid w:val="0"/>
              <w:jc w:val="center"/>
              <w:rPr>
                <w:rFonts w:ascii="Arial Narrow" w:hAnsi="Arial Narrow" w:cs="Times New Roman"/>
                <w:b/>
                <w:color w:val="000000"/>
                <w:sz w:val="20"/>
                <w:lang w:val="en-GB" w:eastAsia="en-AU"/>
              </w:rPr>
            </w:pPr>
            <w:r w:rsidRPr="009502D4">
              <w:rPr>
                <w:rFonts w:ascii="Arial Narrow" w:hAnsi="Arial Narrow" w:cs="Times New Roman"/>
                <w:b/>
                <w:color w:val="000000"/>
                <w:sz w:val="20"/>
                <w:lang w:eastAsia="en-AU"/>
              </w:rPr>
              <w:t>0</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9502D4" w:rsidRDefault="00DD2FAA" w:rsidP="00E61788">
            <w:pPr>
              <w:widowControl/>
              <w:snapToGrid w:val="0"/>
              <w:jc w:val="center"/>
              <w:rPr>
                <w:rFonts w:ascii="Arial Narrow" w:hAnsi="Arial Narrow" w:cs="Times New Roman"/>
                <w:b/>
                <w:color w:val="000000"/>
                <w:sz w:val="20"/>
                <w:lang w:val="en-GB" w:eastAsia="en-AU"/>
              </w:rPr>
            </w:pPr>
            <w:r w:rsidRPr="009502D4">
              <w:rPr>
                <w:rFonts w:ascii="Arial Narrow" w:hAnsi="Arial Narrow" w:cs="Times New Roman"/>
                <w:b/>
                <w:color w:val="000000"/>
                <w:sz w:val="20"/>
                <w:lang w:eastAsia="en-AU"/>
              </w:rPr>
              <w:t>1</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DD2FAA" w:rsidRPr="009502D4" w:rsidRDefault="00DD2FAA" w:rsidP="00E61788">
            <w:pPr>
              <w:widowControl/>
              <w:snapToGrid w:val="0"/>
              <w:jc w:val="center"/>
              <w:rPr>
                <w:rFonts w:ascii="Arial Narrow" w:hAnsi="Arial Narrow" w:cs="Times New Roman"/>
                <w:b/>
                <w:color w:val="000000"/>
                <w:sz w:val="20"/>
                <w:lang w:val="en-GB" w:eastAsia="en-AU"/>
              </w:rPr>
            </w:pPr>
            <w:r w:rsidRPr="009502D4">
              <w:rPr>
                <w:rFonts w:ascii="Arial Narrow" w:hAnsi="Arial Narrow" w:cs="Times New Roman"/>
                <w:b/>
                <w:color w:val="000000"/>
                <w:sz w:val="20"/>
                <w:lang w:eastAsia="en-AU"/>
              </w:rPr>
              <w:t>2</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9502D4" w:rsidRDefault="00DD2FAA" w:rsidP="00E61788">
            <w:pPr>
              <w:widowControl/>
              <w:snapToGrid w:val="0"/>
              <w:jc w:val="center"/>
              <w:rPr>
                <w:rFonts w:ascii="Arial Narrow" w:hAnsi="Arial Narrow" w:cs="Times New Roman"/>
                <w:b/>
                <w:color w:val="000000"/>
                <w:sz w:val="20"/>
                <w:lang w:val="en-GB" w:eastAsia="en-AU"/>
              </w:rPr>
            </w:pPr>
            <w:r w:rsidRPr="009502D4">
              <w:rPr>
                <w:rFonts w:ascii="Arial Narrow" w:hAnsi="Arial Narrow" w:cs="Times New Roman"/>
                <w:b/>
                <w:color w:val="000000"/>
                <w:sz w:val="20"/>
                <w:lang w:eastAsia="en-AU"/>
              </w:rPr>
              <w:t>3</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9502D4" w:rsidRDefault="00DD2FAA" w:rsidP="00E61788">
            <w:pPr>
              <w:widowControl/>
              <w:snapToGrid w:val="0"/>
              <w:jc w:val="center"/>
              <w:rPr>
                <w:rFonts w:ascii="Arial Narrow" w:hAnsi="Arial Narrow" w:cs="Times New Roman"/>
                <w:b/>
                <w:color w:val="000000"/>
                <w:sz w:val="20"/>
                <w:lang w:val="en-GB" w:eastAsia="en-AU"/>
              </w:rPr>
            </w:pPr>
            <w:r w:rsidRPr="009502D4">
              <w:rPr>
                <w:rFonts w:ascii="Arial Narrow" w:hAnsi="Arial Narrow" w:cs="Times New Roman"/>
                <w:b/>
                <w:color w:val="000000"/>
                <w:sz w:val="20"/>
                <w:lang w:eastAsia="en-AU"/>
              </w:rPr>
              <w:t>4</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DD2FAA" w:rsidRPr="009502D4" w:rsidRDefault="00DD2FAA" w:rsidP="00E61788">
            <w:pPr>
              <w:widowControl/>
              <w:snapToGrid w:val="0"/>
              <w:jc w:val="center"/>
              <w:rPr>
                <w:rFonts w:ascii="Arial Narrow" w:hAnsi="Arial Narrow" w:cs="Times New Roman"/>
                <w:b/>
                <w:color w:val="000000"/>
                <w:sz w:val="20"/>
                <w:lang w:val="en-GB" w:eastAsia="en-AU"/>
              </w:rPr>
            </w:pPr>
            <w:r w:rsidRPr="009502D4">
              <w:rPr>
                <w:rFonts w:ascii="Arial Narrow" w:hAnsi="Arial Narrow" w:cs="Times New Roman"/>
                <w:b/>
                <w:color w:val="000000"/>
                <w:sz w:val="20"/>
                <w:lang w:eastAsia="en-AU"/>
              </w:rPr>
              <w:t>5</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DD2FAA" w:rsidRPr="009502D4" w:rsidRDefault="00DD2FAA" w:rsidP="00E61788">
            <w:pPr>
              <w:widowControl/>
              <w:snapToGrid w:val="0"/>
              <w:jc w:val="center"/>
              <w:rPr>
                <w:rFonts w:ascii="Arial Narrow" w:hAnsi="Arial Narrow" w:cs="Times New Roman"/>
                <w:b/>
                <w:color w:val="000000"/>
                <w:sz w:val="20"/>
                <w:lang w:val="en-GB" w:eastAsia="en-AU"/>
              </w:rPr>
            </w:pPr>
            <w:r w:rsidRPr="009502D4">
              <w:rPr>
                <w:rFonts w:ascii="Arial Narrow" w:hAnsi="Arial Narrow" w:cs="Times New Roman"/>
                <w:b/>
                <w:color w:val="000000"/>
                <w:sz w:val="20"/>
                <w:lang w:eastAsia="en-AU"/>
              </w:rPr>
              <w:t>6</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9502D4" w:rsidRDefault="00DD2FAA" w:rsidP="00E61788">
            <w:pPr>
              <w:widowControl/>
              <w:snapToGrid w:val="0"/>
              <w:jc w:val="center"/>
              <w:rPr>
                <w:rFonts w:ascii="Arial Narrow" w:hAnsi="Arial Narrow" w:cs="Times New Roman"/>
                <w:b/>
                <w:color w:val="000000"/>
                <w:sz w:val="20"/>
                <w:lang w:val="en-GB" w:eastAsia="en-AU"/>
              </w:rPr>
            </w:pPr>
            <w:r w:rsidRPr="009502D4">
              <w:rPr>
                <w:rFonts w:ascii="Arial Narrow" w:hAnsi="Arial Narrow" w:cs="Times New Roman"/>
                <w:b/>
                <w:color w:val="000000"/>
                <w:sz w:val="20"/>
                <w:lang w:eastAsia="en-AU"/>
              </w:rPr>
              <w:t>7-10</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DD2FAA" w:rsidRPr="009502D4" w:rsidRDefault="00DD2FAA" w:rsidP="00E61788">
            <w:pPr>
              <w:widowControl/>
              <w:snapToGrid w:val="0"/>
              <w:jc w:val="center"/>
              <w:rPr>
                <w:rFonts w:ascii="Arial Narrow" w:hAnsi="Arial Narrow" w:cs="Times New Roman"/>
                <w:b/>
                <w:color w:val="000000"/>
                <w:sz w:val="20"/>
                <w:lang w:val="en-GB" w:eastAsia="en-AU"/>
              </w:rPr>
            </w:pPr>
            <w:r w:rsidRPr="009502D4">
              <w:rPr>
                <w:rFonts w:ascii="Arial Narrow" w:hAnsi="Arial Narrow" w:cs="Times New Roman"/>
                <w:b/>
                <w:color w:val="000000"/>
                <w:sz w:val="20"/>
                <w:lang w:eastAsia="en-AU"/>
              </w:rPr>
              <w:t>11-20</w:t>
            </w:r>
          </w:p>
        </w:tc>
        <w:tc>
          <w:tcPr>
            <w:tcW w:w="301" w:type="pct"/>
            <w:tcBorders>
              <w:top w:val="single" w:sz="4" w:space="0" w:color="auto"/>
              <w:left w:val="single" w:sz="4" w:space="0" w:color="auto"/>
              <w:bottom w:val="single" w:sz="4" w:space="0" w:color="auto"/>
              <w:right w:val="single" w:sz="4" w:space="0" w:color="auto"/>
            </w:tcBorders>
            <w:noWrap/>
            <w:vAlign w:val="center"/>
            <w:hideMark/>
          </w:tcPr>
          <w:p w:rsidR="00DD2FAA" w:rsidRPr="009502D4" w:rsidRDefault="00DD2FAA" w:rsidP="00E61788">
            <w:pPr>
              <w:widowControl/>
              <w:snapToGrid w:val="0"/>
              <w:jc w:val="center"/>
              <w:rPr>
                <w:rFonts w:ascii="Arial Narrow" w:hAnsi="Arial Narrow" w:cs="Times New Roman"/>
                <w:b/>
                <w:color w:val="000000"/>
                <w:sz w:val="20"/>
                <w:lang w:val="en-GB" w:eastAsia="en-AU"/>
              </w:rPr>
            </w:pPr>
            <w:r w:rsidRPr="009502D4">
              <w:rPr>
                <w:rFonts w:ascii="Arial Narrow" w:hAnsi="Arial Narrow" w:cs="Times New Roman"/>
                <w:b/>
                <w:color w:val="000000"/>
                <w:sz w:val="20"/>
                <w:lang w:eastAsia="en-AU"/>
              </w:rPr>
              <w:t>21+</w:t>
            </w:r>
          </w:p>
        </w:tc>
      </w:tr>
      <w:tr w:rsidR="00DD2FAA" w:rsidRPr="009502D4" w:rsidTr="00DD2FAA">
        <w:trPr>
          <w:trHeight w:val="227"/>
        </w:trPr>
        <w:tc>
          <w:tcPr>
            <w:tcW w:w="1702" w:type="pct"/>
            <w:tcBorders>
              <w:top w:val="single" w:sz="4" w:space="0" w:color="auto"/>
              <w:left w:val="single" w:sz="4" w:space="0" w:color="auto"/>
              <w:bottom w:val="single" w:sz="4" w:space="0" w:color="auto"/>
              <w:right w:val="single" w:sz="4" w:space="0" w:color="auto"/>
            </w:tcBorders>
            <w:noWrap/>
            <w:vAlign w:val="bottom"/>
            <w:hideMark/>
          </w:tcPr>
          <w:p w:rsidR="00DD2FAA" w:rsidRPr="009502D4" w:rsidRDefault="00DD2FAA" w:rsidP="00E61788">
            <w:pPr>
              <w:widowControl/>
              <w:snapToGrid w:val="0"/>
              <w:rPr>
                <w:rFonts w:ascii="Arial Narrow" w:hAnsi="Arial Narrow" w:cs="Times New Roman"/>
                <w:color w:val="000000"/>
                <w:sz w:val="20"/>
                <w:lang w:val="en-GB" w:eastAsia="en-AU"/>
              </w:rPr>
            </w:pPr>
            <w:r w:rsidRPr="009502D4">
              <w:rPr>
                <w:rFonts w:ascii="Arial Narrow" w:hAnsi="Arial Narrow" w:cs="Times New Roman"/>
                <w:color w:val="000000"/>
                <w:sz w:val="20"/>
                <w:lang w:eastAsia="en-AU"/>
              </w:rPr>
              <w:t xml:space="preserve">Placebo </w:t>
            </w: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01"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r>
      <w:tr w:rsidR="00DD2FAA" w:rsidRPr="009502D4" w:rsidTr="00DD2FAA">
        <w:trPr>
          <w:trHeight w:val="227"/>
        </w:trPr>
        <w:tc>
          <w:tcPr>
            <w:tcW w:w="1702" w:type="pct"/>
            <w:tcBorders>
              <w:top w:val="single" w:sz="4" w:space="0" w:color="auto"/>
              <w:left w:val="single" w:sz="4" w:space="0" w:color="auto"/>
              <w:bottom w:val="single" w:sz="4" w:space="0" w:color="auto"/>
              <w:right w:val="single" w:sz="4" w:space="0" w:color="auto"/>
            </w:tcBorders>
            <w:noWrap/>
            <w:vAlign w:val="bottom"/>
            <w:hideMark/>
          </w:tcPr>
          <w:p w:rsidR="00DD2FAA" w:rsidRPr="009502D4" w:rsidRDefault="00DD2FAA" w:rsidP="00E61788">
            <w:pPr>
              <w:widowControl/>
              <w:snapToGrid w:val="0"/>
              <w:rPr>
                <w:rFonts w:ascii="Arial Narrow" w:hAnsi="Arial Narrow" w:cs="Times New Roman"/>
                <w:color w:val="000000"/>
                <w:sz w:val="20"/>
                <w:lang w:val="en-GB" w:eastAsia="en-AU"/>
              </w:rPr>
            </w:pPr>
            <w:proofErr w:type="spellStart"/>
            <w:r w:rsidRPr="009502D4">
              <w:rPr>
                <w:rFonts w:ascii="Arial Narrow" w:hAnsi="Arial Narrow" w:cs="Times New Roman"/>
                <w:color w:val="000000"/>
                <w:sz w:val="20"/>
                <w:lang w:eastAsia="en-AU"/>
              </w:rPr>
              <w:t>Tiotropium</w:t>
            </w:r>
            <w:proofErr w:type="spellEnd"/>
            <w:r w:rsidRPr="009502D4">
              <w:rPr>
                <w:rFonts w:ascii="Arial Narrow" w:hAnsi="Arial Narrow" w:cs="Times New Roman"/>
                <w:color w:val="000000"/>
                <w:sz w:val="20"/>
                <w:lang w:eastAsia="en-AU"/>
              </w:rPr>
              <w:t xml:space="preserve"> </w:t>
            </w: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c>
          <w:tcPr>
            <w:tcW w:w="301" w:type="pct"/>
            <w:tcBorders>
              <w:top w:val="single" w:sz="4" w:space="0" w:color="auto"/>
              <w:left w:val="single" w:sz="4" w:space="0" w:color="auto"/>
              <w:bottom w:val="single" w:sz="4" w:space="0" w:color="auto"/>
              <w:right w:val="single" w:sz="4" w:space="0" w:color="auto"/>
            </w:tcBorders>
            <w:noWrap/>
            <w:vAlign w:val="center"/>
            <w:hideMark/>
          </w:tcPr>
          <w:p w:rsidR="00DD2FAA" w:rsidRPr="00504B1C" w:rsidRDefault="00504B1C" w:rsidP="00E61788">
            <w:pPr>
              <w:widowControl/>
              <w:snapToGrid w:val="0"/>
              <w:jc w:val="center"/>
              <w:rPr>
                <w:rFonts w:ascii="Arial Narrow" w:hAnsi="Arial Narrow" w:cs="Times New Roman"/>
                <w:color w:val="000000"/>
                <w:sz w:val="20"/>
                <w:highlight w:val="black"/>
                <w:lang w:val="en-GB" w:eastAsia="en-AU"/>
              </w:rPr>
            </w:pPr>
            <w:r>
              <w:rPr>
                <w:rFonts w:ascii="Arial Narrow" w:hAnsi="Arial Narrow" w:cs="Times New Roman"/>
                <w:noProof/>
                <w:color w:val="000000"/>
                <w:sz w:val="20"/>
                <w:highlight w:val="black"/>
                <w:lang w:eastAsia="en-AU"/>
              </w:rPr>
              <w:t>'''</w:t>
            </w:r>
          </w:p>
        </w:tc>
      </w:tr>
    </w:tbl>
    <w:p w:rsidR="00DD2FAA" w:rsidRPr="009502D4" w:rsidRDefault="00DD2FAA" w:rsidP="00E61788">
      <w:pPr>
        <w:widowControl/>
        <w:autoSpaceDE w:val="0"/>
        <w:autoSpaceDN w:val="0"/>
        <w:adjustRightInd w:val="0"/>
        <w:ind w:firstLine="720"/>
        <w:rPr>
          <w:rFonts w:ascii="Arial Narrow" w:hAnsi="Arial Narrow"/>
          <w:sz w:val="18"/>
          <w:szCs w:val="18"/>
          <w:lang w:val="en-GB"/>
        </w:rPr>
      </w:pPr>
      <w:r w:rsidRPr="009502D4">
        <w:rPr>
          <w:rFonts w:ascii="Arial Narrow" w:hAnsi="Arial Narrow"/>
          <w:sz w:val="18"/>
          <w:szCs w:val="18"/>
        </w:rPr>
        <w:t>Source: Table 15.2.1.1.2: 8, p 114 of Appendix 4 of the submission (Pooled Trial 205.416/205.417)</w:t>
      </w:r>
    </w:p>
    <w:p w:rsidR="00DD2FAA" w:rsidRPr="009502D4" w:rsidRDefault="00DD2FAA" w:rsidP="00E61788">
      <w:pPr>
        <w:widowControl/>
        <w:rPr>
          <w:i/>
        </w:rPr>
      </w:pPr>
    </w:p>
    <w:p w:rsidR="00211C2D" w:rsidRPr="009502D4" w:rsidRDefault="00211C2D" w:rsidP="00211C2D">
      <w:pPr>
        <w:autoSpaceDE w:val="0"/>
        <w:autoSpaceDN w:val="0"/>
        <w:adjustRightInd w:val="0"/>
        <w:ind w:firstLine="709"/>
        <w:rPr>
          <w:rFonts w:ascii="Arial Narrow" w:hAnsi="Arial Narrow"/>
          <w:b/>
          <w:sz w:val="20"/>
        </w:rPr>
      </w:pPr>
      <w:r w:rsidRPr="009502D4">
        <w:rPr>
          <w:rFonts w:ascii="Arial Narrow" w:hAnsi="Arial Narrow" w:cs="Times New Roman"/>
          <w:b/>
          <w:color w:val="000000"/>
          <w:sz w:val="20"/>
          <w:lang w:eastAsia="en-AU"/>
        </w:rPr>
        <w:t>Table 6: Number of patients categorised by the frequency of experienced severe asthma exacerbations</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548"/>
        <w:gridCol w:w="405"/>
        <w:gridCol w:w="437"/>
        <w:gridCol w:w="405"/>
        <w:gridCol w:w="342"/>
        <w:gridCol w:w="311"/>
        <w:gridCol w:w="342"/>
        <w:gridCol w:w="570"/>
        <w:gridCol w:w="728"/>
      </w:tblGrid>
      <w:tr w:rsidR="00211C2D" w:rsidRPr="009502D4" w:rsidTr="00211C2D">
        <w:trPr>
          <w:trHeight w:val="57"/>
        </w:trPr>
        <w:tc>
          <w:tcPr>
            <w:tcW w:w="2592" w:type="pct"/>
            <w:shd w:val="clear" w:color="auto" w:fill="auto"/>
            <w:noWrap/>
            <w:vAlign w:val="bottom"/>
            <w:hideMark/>
          </w:tcPr>
          <w:p w:rsidR="00211C2D" w:rsidRPr="009502D4" w:rsidRDefault="00211C2D" w:rsidP="005F5620">
            <w:pPr>
              <w:rPr>
                <w:rFonts w:ascii="Arial Narrow" w:hAnsi="Arial Narrow" w:cs="Times New Roman"/>
                <w:b/>
                <w:color w:val="000000"/>
                <w:sz w:val="20"/>
                <w:lang w:eastAsia="en-AU"/>
              </w:rPr>
            </w:pPr>
            <w:r w:rsidRPr="009502D4">
              <w:rPr>
                <w:rFonts w:ascii="Arial Narrow" w:hAnsi="Arial Narrow" w:cs="Times New Roman"/>
                <w:b/>
                <w:color w:val="000000"/>
                <w:sz w:val="20"/>
                <w:lang w:eastAsia="en-AU"/>
              </w:rPr>
              <w:t>Frequency of severe asthma exacerbation</w:t>
            </w:r>
          </w:p>
        </w:tc>
        <w:tc>
          <w:tcPr>
            <w:tcW w:w="343" w:type="pct"/>
            <w:shd w:val="clear" w:color="auto" w:fill="auto"/>
            <w:noWrap/>
            <w:vAlign w:val="center"/>
            <w:hideMark/>
          </w:tcPr>
          <w:p w:rsidR="00211C2D" w:rsidRPr="009502D4" w:rsidRDefault="00211C2D" w:rsidP="005F5620">
            <w:pPr>
              <w:jc w:val="center"/>
              <w:rPr>
                <w:rFonts w:ascii="Arial Narrow" w:hAnsi="Arial Narrow" w:cs="Times New Roman"/>
                <w:b/>
                <w:color w:val="000000"/>
                <w:sz w:val="20"/>
                <w:lang w:eastAsia="en-AU"/>
              </w:rPr>
            </w:pPr>
            <w:r w:rsidRPr="009502D4">
              <w:rPr>
                <w:rFonts w:ascii="Arial Narrow" w:hAnsi="Arial Narrow" w:cs="Times New Roman"/>
                <w:b/>
                <w:color w:val="000000"/>
                <w:sz w:val="20"/>
                <w:lang w:eastAsia="en-AU"/>
              </w:rPr>
              <w:t>0</w:t>
            </w:r>
          </w:p>
        </w:tc>
        <w:tc>
          <w:tcPr>
            <w:tcW w:w="237" w:type="pct"/>
            <w:shd w:val="clear" w:color="auto" w:fill="auto"/>
            <w:noWrap/>
            <w:vAlign w:val="center"/>
            <w:hideMark/>
          </w:tcPr>
          <w:p w:rsidR="00211C2D" w:rsidRPr="009502D4" w:rsidRDefault="00211C2D" w:rsidP="005F5620">
            <w:pPr>
              <w:jc w:val="center"/>
              <w:rPr>
                <w:rFonts w:ascii="Arial Narrow" w:hAnsi="Arial Narrow" w:cs="Times New Roman"/>
                <w:b/>
                <w:color w:val="000000"/>
                <w:sz w:val="20"/>
                <w:lang w:eastAsia="en-AU"/>
              </w:rPr>
            </w:pPr>
            <w:r w:rsidRPr="009502D4">
              <w:rPr>
                <w:rFonts w:ascii="Arial Narrow" w:hAnsi="Arial Narrow" w:cs="Times New Roman"/>
                <w:b/>
                <w:color w:val="000000"/>
                <w:sz w:val="20"/>
                <w:lang w:eastAsia="en-AU"/>
              </w:rPr>
              <w:t>1</w:t>
            </w:r>
          </w:p>
        </w:tc>
        <w:tc>
          <w:tcPr>
            <w:tcW w:w="237" w:type="pct"/>
            <w:shd w:val="clear" w:color="auto" w:fill="auto"/>
            <w:noWrap/>
            <w:vAlign w:val="center"/>
            <w:hideMark/>
          </w:tcPr>
          <w:p w:rsidR="00211C2D" w:rsidRPr="009502D4" w:rsidRDefault="00211C2D" w:rsidP="005F5620">
            <w:pPr>
              <w:jc w:val="center"/>
              <w:rPr>
                <w:rFonts w:ascii="Arial Narrow" w:hAnsi="Arial Narrow" w:cs="Times New Roman"/>
                <w:b/>
                <w:color w:val="000000"/>
                <w:sz w:val="20"/>
                <w:lang w:eastAsia="en-AU"/>
              </w:rPr>
            </w:pPr>
            <w:r w:rsidRPr="009502D4">
              <w:rPr>
                <w:rFonts w:ascii="Arial Narrow" w:hAnsi="Arial Narrow" w:cs="Times New Roman"/>
                <w:b/>
                <w:color w:val="000000"/>
                <w:sz w:val="20"/>
                <w:lang w:eastAsia="en-AU"/>
              </w:rPr>
              <w:t>2</w:t>
            </w:r>
          </w:p>
        </w:tc>
        <w:tc>
          <w:tcPr>
            <w:tcW w:w="237" w:type="pct"/>
            <w:shd w:val="clear" w:color="auto" w:fill="auto"/>
            <w:noWrap/>
            <w:vAlign w:val="center"/>
            <w:hideMark/>
          </w:tcPr>
          <w:p w:rsidR="00211C2D" w:rsidRPr="009502D4" w:rsidRDefault="00211C2D" w:rsidP="005F5620">
            <w:pPr>
              <w:jc w:val="center"/>
              <w:rPr>
                <w:rFonts w:ascii="Arial Narrow" w:hAnsi="Arial Narrow" w:cs="Times New Roman"/>
                <w:b/>
                <w:color w:val="000000"/>
                <w:sz w:val="20"/>
                <w:lang w:eastAsia="en-AU"/>
              </w:rPr>
            </w:pPr>
            <w:r w:rsidRPr="009502D4">
              <w:rPr>
                <w:rFonts w:ascii="Arial Narrow" w:hAnsi="Arial Narrow" w:cs="Times New Roman"/>
                <w:b/>
                <w:color w:val="000000"/>
                <w:sz w:val="20"/>
                <w:lang w:eastAsia="en-AU"/>
              </w:rPr>
              <w:t>3</w:t>
            </w:r>
          </w:p>
        </w:tc>
        <w:tc>
          <w:tcPr>
            <w:tcW w:w="183" w:type="pct"/>
            <w:shd w:val="clear" w:color="auto" w:fill="auto"/>
            <w:noWrap/>
            <w:vAlign w:val="center"/>
            <w:hideMark/>
          </w:tcPr>
          <w:p w:rsidR="00211C2D" w:rsidRPr="009502D4" w:rsidRDefault="00211C2D" w:rsidP="005F5620">
            <w:pPr>
              <w:jc w:val="center"/>
              <w:rPr>
                <w:rFonts w:ascii="Arial Narrow" w:hAnsi="Arial Narrow" w:cs="Times New Roman"/>
                <w:b/>
                <w:color w:val="000000"/>
                <w:sz w:val="20"/>
                <w:lang w:eastAsia="en-AU"/>
              </w:rPr>
            </w:pPr>
            <w:r w:rsidRPr="009502D4">
              <w:rPr>
                <w:rFonts w:ascii="Arial Narrow" w:hAnsi="Arial Narrow" w:cs="Times New Roman"/>
                <w:b/>
                <w:color w:val="000000"/>
                <w:sz w:val="20"/>
                <w:lang w:eastAsia="en-AU"/>
              </w:rPr>
              <w:t>4</w:t>
            </w:r>
          </w:p>
        </w:tc>
        <w:tc>
          <w:tcPr>
            <w:tcW w:w="183" w:type="pct"/>
            <w:shd w:val="clear" w:color="auto" w:fill="auto"/>
            <w:noWrap/>
            <w:vAlign w:val="center"/>
            <w:hideMark/>
          </w:tcPr>
          <w:p w:rsidR="00211C2D" w:rsidRPr="009502D4" w:rsidRDefault="00211C2D" w:rsidP="005F5620">
            <w:pPr>
              <w:jc w:val="center"/>
              <w:rPr>
                <w:rFonts w:ascii="Arial Narrow" w:hAnsi="Arial Narrow" w:cs="Times New Roman"/>
                <w:b/>
                <w:color w:val="000000"/>
                <w:sz w:val="20"/>
                <w:lang w:eastAsia="en-AU"/>
              </w:rPr>
            </w:pPr>
            <w:r w:rsidRPr="009502D4">
              <w:rPr>
                <w:rFonts w:ascii="Arial Narrow" w:hAnsi="Arial Narrow" w:cs="Times New Roman"/>
                <w:b/>
                <w:color w:val="000000"/>
                <w:sz w:val="20"/>
                <w:lang w:eastAsia="en-AU"/>
              </w:rPr>
              <w:t>5</w:t>
            </w:r>
          </w:p>
        </w:tc>
        <w:tc>
          <w:tcPr>
            <w:tcW w:w="183" w:type="pct"/>
            <w:shd w:val="clear" w:color="auto" w:fill="auto"/>
            <w:noWrap/>
            <w:vAlign w:val="center"/>
            <w:hideMark/>
          </w:tcPr>
          <w:p w:rsidR="00211C2D" w:rsidRPr="009502D4" w:rsidRDefault="00211C2D" w:rsidP="005F5620">
            <w:pPr>
              <w:jc w:val="center"/>
              <w:rPr>
                <w:rFonts w:ascii="Arial Narrow" w:hAnsi="Arial Narrow" w:cs="Times New Roman"/>
                <w:b/>
                <w:color w:val="000000"/>
                <w:sz w:val="20"/>
                <w:lang w:eastAsia="en-AU"/>
              </w:rPr>
            </w:pPr>
            <w:r w:rsidRPr="009502D4">
              <w:rPr>
                <w:rFonts w:ascii="Arial Narrow" w:hAnsi="Arial Narrow" w:cs="Times New Roman"/>
                <w:b/>
                <w:color w:val="000000"/>
                <w:sz w:val="20"/>
                <w:lang w:eastAsia="en-AU"/>
              </w:rPr>
              <w:t>6</w:t>
            </w:r>
          </w:p>
        </w:tc>
        <w:tc>
          <w:tcPr>
            <w:tcW w:w="356" w:type="pct"/>
            <w:shd w:val="clear" w:color="auto" w:fill="auto"/>
            <w:noWrap/>
            <w:vAlign w:val="center"/>
            <w:hideMark/>
          </w:tcPr>
          <w:p w:rsidR="00211C2D" w:rsidRPr="009502D4" w:rsidRDefault="00211C2D" w:rsidP="005F5620">
            <w:pPr>
              <w:jc w:val="center"/>
              <w:rPr>
                <w:rFonts w:ascii="Arial Narrow" w:hAnsi="Arial Narrow" w:cs="Times New Roman"/>
                <w:b/>
                <w:color w:val="000000"/>
                <w:sz w:val="20"/>
                <w:lang w:eastAsia="en-AU"/>
              </w:rPr>
            </w:pPr>
            <w:r w:rsidRPr="009502D4">
              <w:rPr>
                <w:rFonts w:ascii="Arial Narrow" w:hAnsi="Arial Narrow" w:cs="Times New Roman"/>
                <w:b/>
                <w:color w:val="000000"/>
                <w:sz w:val="20"/>
                <w:lang w:eastAsia="en-AU"/>
              </w:rPr>
              <w:t>7-10</w:t>
            </w:r>
          </w:p>
        </w:tc>
        <w:tc>
          <w:tcPr>
            <w:tcW w:w="449" w:type="pct"/>
            <w:shd w:val="clear" w:color="auto" w:fill="auto"/>
            <w:noWrap/>
            <w:vAlign w:val="center"/>
            <w:hideMark/>
          </w:tcPr>
          <w:p w:rsidR="00211C2D" w:rsidRPr="009502D4" w:rsidRDefault="00211C2D" w:rsidP="005F5620">
            <w:pPr>
              <w:jc w:val="center"/>
              <w:rPr>
                <w:rFonts w:ascii="Arial Narrow" w:hAnsi="Arial Narrow" w:cs="Times New Roman"/>
                <w:b/>
                <w:color w:val="000000"/>
                <w:sz w:val="20"/>
                <w:lang w:eastAsia="en-AU"/>
              </w:rPr>
            </w:pPr>
            <w:r w:rsidRPr="009502D4">
              <w:rPr>
                <w:rFonts w:ascii="Arial Narrow" w:hAnsi="Arial Narrow" w:cs="Times New Roman"/>
                <w:b/>
                <w:color w:val="000000"/>
                <w:sz w:val="20"/>
                <w:lang w:eastAsia="en-AU"/>
              </w:rPr>
              <w:t>11-20</w:t>
            </w:r>
          </w:p>
        </w:tc>
      </w:tr>
      <w:tr w:rsidR="00211C2D" w:rsidRPr="009502D4" w:rsidTr="00211C2D">
        <w:trPr>
          <w:trHeight w:val="57"/>
        </w:trPr>
        <w:tc>
          <w:tcPr>
            <w:tcW w:w="2592" w:type="pct"/>
            <w:shd w:val="clear" w:color="auto" w:fill="auto"/>
            <w:noWrap/>
            <w:vAlign w:val="bottom"/>
            <w:hideMark/>
          </w:tcPr>
          <w:p w:rsidR="00211C2D" w:rsidRPr="009502D4" w:rsidRDefault="00211C2D" w:rsidP="005F5620">
            <w:pPr>
              <w:rPr>
                <w:rFonts w:ascii="Arial Narrow" w:hAnsi="Arial Narrow" w:cs="Times New Roman"/>
                <w:color w:val="000000"/>
                <w:sz w:val="20"/>
                <w:lang w:eastAsia="en-AU"/>
              </w:rPr>
            </w:pPr>
            <w:r w:rsidRPr="009502D4">
              <w:rPr>
                <w:rFonts w:ascii="Arial Narrow" w:hAnsi="Arial Narrow" w:cs="Times New Roman"/>
                <w:color w:val="000000"/>
                <w:sz w:val="20"/>
                <w:lang w:eastAsia="en-AU"/>
              </w:rPr>
              <w:t xml:space="preserve">Placebo </w:t>
            </w:r>
          </w:p>
        </w:tc>
        <w:tc>
          <w:tcPr>
            <w:tcW w:w="343"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237"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237"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237"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183"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183"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183"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356"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449"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r>
      <w:tr w:rsidR="00211C2D" w:rsidRPr="009502D4" w:rsidTr="00211C2D">
        <w:trPr>
          <w:trHeight w:val="57"/>
        </w:trPr>
        <w:tc>
          <w:tcPr>
            <w:tcW w:w="2592" w:type="pct"/>
            <w:shd w:val="clear" w:color="auto" w:fill="auto"/>
            <w:noWrap/>
            <w:vAlign w:val="bottom"/>
            <w:hideMark/>
          </w:tcPr>
          <w:p w:rsidR="00211C2D" w:rsidRPr="009502D4" w:rsidRDefault="00211C2D" w:rsidP="005F5620">
            <w:pPr>
              <w:rPr>
                <w:rFonts w:ascii="Arial Narrow" w:hAnsi="Arial Narrow" w:cs="Times New Roman"/>
                <w:color w:val="000000"/>
                <w:sz w:val="20"/>
                <w:lang w:eastAsia="en-AU"/>
              </w:rPr>
            </w:pPr>
            <w:proofErr w:type="spellStart"/>
            <w:r w:rsidRPr="009502D4">
              <w:rPr>
                <w:rFonts w:ascii="Arial Narrow" w:hAnsi="Arial Narrow" w:cs="Times New Roman"/>
                <w:color w:val="000000"/>
                <w:sz w:val="20"/>
                <w:lang w:eastAsia="en-AU"/>
              </w:rPr>
              <w:t>Tio</w:t>
            </w:r>
            <w:proofErr w:type="spellEnd"/>
            <w:r w:rsidRPr="009502D4">
              <w:rPr>
                <w:rFonts w:ascii="Arial Narrow" w:hAnsi="Arial Narrow" w:cs="Times New Roman"/>
                <w:color w:val="000000"/>
                <w:sz w:val="20"/>
                <w:lang w:eastAsia="en-AU"/>
              </w:rPr>
              <w:t xml:space="preserve"> R5 </w:t>
            </w:r>
          </w:p>
        </w:tc>
        <w:tc>
          <w:tcPr>
            <w:tcW w:w="343"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237"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237"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237"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183"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183"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183"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356"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c>
          <w:tcPr>
            <w:tcW w:w="449" w:type="pct"/>
            <w:shd w:val="clear" w:color="auto" w:fill="auto"/>
            <w:noWrap/>
            <w:vAlign w:val="center"/>
            <w:hideMark/>
          </w:tcPr>
          <w:p w:rsidR="00211C2D" w:rsidRPr="00504B1C" w:rsidRDefault="00504B1C" w:rsidP="005F5620">
            <w:pPr>
              <w:jc w:val="center"/>
              <w:rPr>
                <w:rFonts w:ascii="Arial Narrow" w:hAnsi="Arial Narrow" w:cs="Times New Roman"/>
                <w:color w:val="000000"/>
                <w:sz w:val="20"/>
                <w:highlight w:val="black"/>
                <w:lang w:eastAsia="en-AU"/>
              </w:rPr>
            </w:pPr>
            <w:r>
              <w:rPr>
                <w:rFonts w:ascii="Arial Narrow" w:hAnsi="Arial Narrow" w:cs="Times New Roman"/>
                <w:noProof/>
                <w:color w:val="000000"/>
                <w:sz w:val="20"/>
                <w:highlight w:val="black"/>
                <w:lang w:eastAsia="en-AU"/>
              </w:rPr>
              <w:t>'''</w:t>
            </w:r>
          </w:p>
        </w:tc>
      </w:tr>
    </w:tbl>
    <w:p w:rsidR="00211C2D" w:rsidRPr="009502D4" w:rsidRDefault="00211C2D" w:rsidP="00211C2D">
      <w:pPr>
        <w:autoSpaceDE w:val="0"/>
        <w:autoSpaceDN w:val="0"/>
        <w:adjustRightInd w:val="0"/>
        <w:ind w:firstLine="709"/>
        <w:rPr>
          <w:rFonts w:ascii="Arial Narrow" w:hAnsi="Arial Narrow"/>
          <w:sz w:val="18"/>
        </w:rPr>
      </w:pPr>
      <w:r w:rsidRPr="009502D4">
        <w:rPr>
          <w:rFonts w:ascii="Arial Narrow" w:hAnsi="Arial Narrow"/>
          <w:sz w:val="18"/>
        </w:rPr>
        <w:t>Source: Table 15.2.1.1.2: 7, p 113</w:t>
      </w:r>
      <w:r w:rsidRPr="009502D4">
        <w:rPr>
          <w:rFonts w:ascii="Arial Narrow" w:hAnsi="Arial Narrow"/>
          <w:sz w:val="16"/>
          <w:szCs w:val="18"/>
        </w:rPr>
        <w:t xml:space="preserve"> of Appendix 4 of the submission (Pooled Trial 205.416/205.417)</w:t>
      </w:r>
    </w:p>
    <w:p w:rsidR="00211C2D" w:rsidRPr="009502D4" w:rsidRDefault="00211C2D" w:rsidP="00E61788">
      <w:pPr>
        <w:widowControl/>
        <w:rPr>
          <w:i/>
        </w:rPr>
      </w:pPr>
    </w:p>
    <w:p w:rsidR="00A13553" w:rsidRPr="009502D4" w:rsidRDefault="00DD2FAA" w:rsidP="00E61788">
      <w:pPr>
        <w:pStyle w:val="ListParagraph"/>
        <w:widowControl/>
        <w:numPr>
          <w:ilvl w:val="1"/>
          <w:numId w:val="9"/>
        </w:numPr>
      </w:pPr>
      <w:r w:rsidRPr="009502D4">
        <w:t xml:space="preserve">The clinical trial report presented a Poisson regression model to analyse the differences in rates of severe exacerbations per patient. In this model log exposure was used as offset and adjusted for </w:t>
      </w:r>
      <w:proofErr w:type="spellStart"/>
      <w:r w:rsidRPr="009502D4">
        <w:t>overdispersion</w:t>
      </w:r>
      <w:proofErr w:type="spellEnd"/>
      <w:r w:rsidR="005E6088" w:rsidRPr="009502D4">
        <w:t xml:space="preserve">; </w:t>
      </w:r>
      <w:r w:rsidRPr="009502D4">
        <w:t xml:space="preserve">the treatment ratio </w:t>
      </w:r>
      <w:proofErr w:type="spellStart"/>
      <w:r w:rsidRPr="009502D4">
        <w:t>tiotropium</w:t>
      </w:r>
      <w:proofErr w:type="spellEnd"/>
      <w:r w:rsidRPr="009502D4">
        <w:t xml:space="preserve"> to placebo was </w:t>
      </w:r>
      <w:r w:rsidR="00504B1C">
        <w:rPr>
          <w:noProof/>
          <w:color w:val="000000"/>
          <w:highlight w:val="black"/>
        </w:rPr>
        <w:t>'''''''''''</w:t>
      </w:r>
      <w:r w:rsidRPr="009502D4">
        <w:t xml:space="preserve"> (</w:t>
      </w:r>
      <w:r w:rsidR="00504B1C">
        <w:rPr>
          <w:noProof/>
          <w:color w:val="000000"/>
          <w:highlight w:val="black"/>
        </w:rPr>
        <w:t>''''''</w:t>
      </w:r>
      <w:r w:rsidRPr="009502D4">
        <w:t xml:space="preserve">% CI: </w:t>
      </w:r>
      <w:r w:rsidR="00504B1C">
        <w:rPr>
          <w:noProof/>
          <w:color w:val="000000"/>
          <w:highlight w:val="black"/>
        </w:rPr>
        <w:t>'''''''''''</w:t>
      </w:r>
      <w:r w:rsidRPr="009502D4">
        <w:t xml:space="preserve"> to </w:t>
      </w:r>
      <w:r w:rsidR="00504B1C">
        <w:rPr>
          <w:noProof/>
          <w:color w:val="000000"/>
          <w:highlight w:val="black"/>
        </w:rPr>
        <w:t>''''''''''</w:t>
      </w:r>
      <w:r w:rsidRPr="009502D4">
        <w:t xml:space="preserve">). The majority of patients in both treatment groups did not have any severe exacerbation. Further, the distribution for both treatment groups was reasonably similar, which did not suggest large differences in the number of severe exacerbations per patient, as also indicated with a confidence interval reaching </w:t>
      </w:r>
      <w:r w:rsidR="00504B1C">
        <w:rPr>
          <w:noProof/>
          <w:color w:val="000000"/>
          <w:highlight w:val="black"/>
        </w:rPr>
        <w:t>''''''''''''</w:t>
      </w:r>
      <w:r w:rsidRPr="009502D4">
        <w:t>.</w:t>
      </w:r>
      <w:r w:rsidR="00AD626C" w:rsidRPr="009502D4">
        <w:t xml:space="preserve"> </w:t>
      </w:r>
    </w:p>
    <w:p w:rsidR="00A13553" w:rsidRPr="00B738CB" w:rsidRDefault="00A13553" w:rsidP="00E61788">
      <w:pPr>
        <w:widowControl/>
        <w:rPr>
          <w:szCs w:val="22"/>
        </w:rPr>
      </w:pPr>
    </w:p>
    <w:p w:rsidR="00B60939" w:rsidRPr="002C2775" w:rsidRDefault="00B60939" w:rsidP="00E61788">
      <w:pPr>
        <w:pStyle w:val="Heading2"/>
        <w:widowControl/>
        <w:rPr>
          <w:i/>
        </w:rPr>
      </w:pPr>
      <w:bookmarkStart w:id="13" w:name="_Toc419799910"/>
      <w:r w:rsidRPr="002C2775">
        <w:rPr>
          <w:i/>
        </w:rPr>
        <w:t>Comparative harms</w:t>
      </w:r>
      <w:bookmarkEnd w:id="13"/>
    </w:p>
    <w:p w:rsidR="00B60939" w:rsidRPr="00882085" w:rsidRDefault="00B60939" w:rsidP="00E61788">
      <w:pPr>
        <w:widowControl/>
        <w:ind w:left="720" w:hanging="720"/>
        <w:rPr>
          <w:szCs w:val="22"/>
        </w:rPr>
      </w:pPr>
    </w:p>
    <w:p w:rsidR="00B60939" w:rsidRPr="00A93FE0" w:rsidRDefault="00A93FE0" w:rsidP="00E61788">
      <w:pPr>
        <w:pStyle w:val="ListParagraph"/>
        <w:widowControl/>
        <w:numPr>
          <w:ilvl w:val="1"/>
          <w:numId w:val="9"/>
        </w:numPr>
        <w:rPr>
          <w:szCs w:val="22"/>
        </w:rPr>
      </w:pPr>
      <w:proofErr w:type="spellStart"/>
      <w:r w:rsidRPr="00A93FE0">
        <w:t>Tiotropium</w:t>
      </w:r>
      <w:proofErr w:type="spellEnd"/>
      <w:r w:rsidRPr="00A93FE0">
        <w:t xml:space="preserve"> provided a reduction in relative risk (</w:t>
      </w:r>
      <w:r w:rsidR="00E07803">
        <w:t>RR) for any adverse events (RR: </w:t>
      </w:r>
      <w:r w:rsidRPr="00A93FE0">
        <w:t xml:space="preserve">0.92, 95% </w:t>
      </w:r>
      <w:r w:rsidR="009A24AD" w:rsidRPr="009A24AD">
        <w:t xml:space="preserve">confidence interval </w:t>
      </w:r>
      <w:r w:rsidR="009A24AD">
        <w:t>(</w:t>
      </w:r>
      <w:r w:rsidRPr="00A93FE0">
        <w:t>CI</w:t>
      </w:r>
      <w:r w:rsidR="009A24AD">
        <w:t>)</w:t>
      </w:r>
      <w:r w:rsidR="00F22995">
        <w:t>:</w:t>
      </w:r>
      <w:r w:rsidRPr="00A93FE0">
        <w:t xml:space="preserve"> 0.86 to 0.99) and respiratory, thoracic and mediastinal disorders (RR: 0.84, 95% CI</w:t>
      </w:r>
      <w:r w:rsidR="00F22995">
        <w:t>:</w:t>
      </w:r>
      <w:r w:rsidRPr="00A93FE0">
        <w:t xml:space="preserve"> 0.74 to 0.96) over placebo controlled </w:t>
      </w:r>
      <w:r w:rsidR="00525B7B">
        <w:t xml:space="preserve">usual </w:t>
      </w:r>
      <w:r w:rsidRPr="00A93FE0">
        <w:t xml:space="preserve">care. Other common adverse events (≥2%) included: infections and infestations, investigations, diarrhoea, musculoskeletal and connective tissue disorders, headache, chest pain, insomnia, and hypertension. </w:t>
      </w:r>
      <w:proofErr w:type="spellStart"/>
      <w:r w:rsidRPr="00A93FE0">
        <w:t>Tiotropium</w:t>
      </w:r>
      <w:proofErr w:type="spellEnd"/>
      <w:r w:rsidRPr="00A93FE0">
        <w:t xml:space="preserve"> did not </w:t>
      </w:r>
      <w:r w:rsidR="002A6E94">
        <w:t xml:space="preserve">result in </w:t>
      </w:r>
      <w:r w:rsidRPr="00A93FE0">
        <w:t xml:space="preserve">any difference in relative risk for adverse events leading to discontinuation, severe adverse events or serious adverse events over placebo controlled </w:t>
      </w:r>
      <w:r w:rsidR="00525B7B">
        <w:t xml:space="preserve">usual </w:t>
      </w:r>
      <w:r w:rsidRPr="00A93FE0">
        <w:t>care.</w:t>
      </w:r>
    </w:p>
    <w:p w:rsidR="00044615" w:rsidRDefault="00044615" w:rsidP="00E61788">
      <w:pPr>
        <w:pStyle w:val="Heading2"/>
        <w:widowControl/>
        <w:rPr>
          <w:i/>
        </w:rPr>
      </w:pPr>
    </w:p>
    <w:p w:rsidR="007F1017" w:rsidRPr="002C2775" w:rsidRDefault="007F1017" w:rsidP="00E61788">
      <w:pPr>
        <w:pStyle w:val="Heading2"/>
        <w:widowControl/>
        <w:rPr>
          <w:i/>
          <w:szCs w:val="22"/>
        </w:rPr>
      </w:pPr>
      <w:bookmarkStart w:id="14" w:name="_Toc419799911"/>
      <w:r w:rsidRPr="002C2775">
        <w:rPr>
          <w:i/>
        </w:rPr>
        <w:t>Benefits/harms</w:t>
      </w:r>
      <w:bookmarkEnd w:id="14"/>
    </w:p>
    <w:p w:rsidR="007F1017" w:rsidRPr="007F1017" w:rsidRDefault="007F1017" w:rsidP="00E61788">
      <w:pPr>
        <w:pStyle w:val="ListParagraph"/>
        <w:widowControl/>
        <w:ind w:left="0"/>
        <w:rPr>
          <w:szCs w:val="22"/>
        </w:rPr>
      </w:pPr>
    </w:p>
    <w:p w:rsidR="00EC00C9" w:rsidRPr="00B50DB8" w:rsidRDefault="00EC00C9" w:rsidP="00E61788">
      <w:pPr>
        <w:pStyle w:val="ListParagraph"/>
        <w:widowControl/>
        <w:numPr>
          <w:ilvl w:val="1"/>
          <w:numId w:val="9"/>
        </w:numPr>
        <w:rPr>
          <w:szCs w:val="22"/>
        </w:rPr>
      </w:pPr>
      <w:r w:rsidRPr="00B50DB8">
        <w:rPr>
          <w:szCs w:val="22"/>
        </w:rPr>
        <w:t xml:space="preserve">A summary of the comparative benefits and harms for </w:t>
      </w:r>
      <w:proofErr w:type="spellStart"/>
      <w:r w:rsidR="00A93FE0">
        <w:rPr>
          <w:szCs w:val="22"/>
        </w:rPr>
        <w:t>tiotropium</w:t>
      </w:r>
      <w:proofErr w:type="spellEnd"/>
      <w:r w:rsidRPr="00B50DB8">
        <w:rPr>
          <w:szCs w:val="22"/>
        </w:rPr>
        <w:t xml:space="preserve"> versus </w:t>
      </w:r>
      <w:r w:rsidR="00A93FE0">
        <w:rPr>
          <w:szCs w:val="22"/>
        </w:rPr>
        <w:t>placebo</w:t>
      </w:r>
      <w:r w:rsidRPr="00B50DB8">
        <w:rPr>
          <w:szCs w:val="22"/>
        </w:rPr>
        <w:t xml:space="preserve"> is presented in the</w:t>
      </w:r>
      <w:r w:rsidR="00E07803">
        <w:rPr>
          <w:szCs w:val="22"/>
        </w:rPr>
        <w:t xml:space="preserve"> following</w:t>
      </w:r>
      <w:r w:rsidRPr="00B50DB8">
        <w:rPr>
          <w:szCs w:val="22"/>
        </w:rPr>
        <w:t xml:space="preserve"> table.</w:t>
      </w:r>
      <w:r w:rsidR="00410708" w:rsidRPr="00B50DB8">
        <w:rPr>
          <w:szCs w:val="22"/>
        </w:rPr>
        <w:t xml:space="preserve"> </w:t>
      </w:r>
    </w:p>
    <w:p w:rsidR="00162913" w:rsidRDefault="00162913" w:rsidP="00E61788">
      <w:pPr>
        <w:widowControl/>
      </w:pPr>
    </w:p>
    <w:p w:rsidR="00B62715" w:rsidRPr="00A578DC" w:rsidRDefault="00B62715" w:rsidP="00E61788">
      <w:pPr>
        <w:keepNext/>
        <w:widowControl/>
        <w:ind w:firstLine="720"/>
        <w:rPr>
          <w:rStyle w:val="CommentReference"/>
        </w:rPr>
      </w:pPr>
      <w:r w:rsidRPr="00A578DC">
        <w:rPr>
          <w:rStyle w:val="CommentReference"/>
        </w:rPr>
        <w:lastRenderedPageBreak/>
        <w:t xml:space="preserve">Table </w:t>
      </w:r>
      <w:r w:rsidR="00211C2D">
        <w:rPr>
          <w:rStyle w:val="CommentReference"/>
        </w:rPr>
        <w:t>7</w:t>
      </w:r>
      <w:r w:rsidRPr="00A578DC">
        <w:rPr>
          <w:rStyle w:val="CommentReference"/>
        </w:rPr>
        <w:t xml:space="preserve">: Summary of comparative benefits and harms for </w:t>
      </w:r>
      <w:proofErr w:type="spellStart"/>
      <w:r w:rsidR="003C4589">
        <w:rPr>
          <w:rStyle w:val="CommentReference"/>
        </w:rPr>
        <w:t>tiotropium</w:t>
      </w:r>
      <w:proofErr w:type="spellEnd"/>
      <w:r w:rsidR="003C4589">
        <w:rPr>
          <w:rStyle w:val="CommentReference"/>
        </w:rPr>
        <w:t xml:space="preserve"> </w:t>
      </w:r>
      <w:r w:rsidRPr="00A578DC">
        <w:rPr>
          <w:rStyle w:val="CommentReference"/>
        </w:rPr>
        <w:t>and</w:t>
      </w:r>
      <w:r w:rsidR="003C4589">
        <w:rPr>
          <w:rStyle w:val="CommentReference"/>
        </w:rPr>
        <w:t xml:space="preserve"> p</w:t>
      </w:r>
      <w:r w:rsidR="003C4589" w:rsidRPr="003C4589">
        <w:rPr>
          <w:rStyle w:val="CommentReference"/>
        </w:rPr>
        <w:t>lacebo</w:t>
      </w:r>
      <w:r w:rsidR="005F6C13">
        <w:rPr>
          <w:rStyle w:val="CommentReference"/>
        </w:rPr>
        <w:t xml:space="preserve"> </w:t>
      </w:r>
    </w:p>
    <w:tbl>
      <w:tblPr>
        <w:tblStyle w:val="TableGrid"/>
        <w:tblW w:w="8429" w:type="dxa"/>
        <w:tblInd w:w="698" w:type="dxa"/>
        <w:tblLayout w:type="fixed"/>
        <w:tblCellMar>
          <w:left w:w="28" w:type="dxa"/>
          <w:right w:w="28" w:type="dxa"/>
        </w:tblCellMar>
        <w:tblLook w:val="04A0" w:firstRow="1" w:lastRow="0" w:firstColumn="1" w:lastColumn="0" w:noHBand="0" w:noVBand="1"/>
      </w:tblPr>
      <w:tblGrid>
        <w:gridCol w:w="1410"/>
        <w:gridCol w:w="711"/>
        <w:gridCol w:w="597"/>
        <w:gridCol w:w="592"/>
        <w:gridCol w:w="234"/>
        <w:gridCol w:w="234"/>
        <w:gridCol w:w="1220"/>
        <w:gridCol w:w="144"/>
        <w:gridCol w:w="992"/>
        <w:gridCol w:w="145"/>
        <w:gridCol w:w="564"/>
        <w:gridCol w:w="163"/>
        <w:gridCol w:w="1423"/>
      </w:tblGrid>
      <w:tr w:rsidR="00B62715" w:rsidRPr="00E2771E" w:rsidTr="003B7DA4">
        <w:trPr>
          <w:trHeight w:val="20"/>
        </w:trPr>
        <w:tc>
          <w:tcPr>
            <w:tcW w:w="8429" w:type="dxa"/>
            <w:gridSpan w:val="13"/>
            <w:shd w:val="clear" w:color="auto" w:fill="auto"/>
            <w:vAlign w:val="center"/>
          </w:tcPr>
          <w:p w:rsidR="00B62715" w:rsidRPr="00E2771E" w:rsidRDefault="00B62715" w:rsidP="00E61788">
            <w:pPr>
              <w:keepNext/>
              <w:widowControl/>
              <w:rPr>
                <w:rFonts w:ascii="Arial Narrow" w:hAnsi="Arial Narrow"/>
                <w:b/>
                <w:color w:val="000000"/>
                <w:sz w:val="20"/>
                <w:szCs w:val="18"/>
              </w:rPr>
            </w:pPr>
            <w:r w:rsidRPr="00E2771E">
              <w:rPr>
                <w:rFonts w:ascii="Arial Narrow" w:hAnsi="Arial Narrow"/>
                <w:b/>
                <w:color w:val="000000"/>
                <w:sz w:val="20"/>
                <w:szCs w:val="18"/>
              </w:rPr>
              <w:t>Benefits</w:t>
            </w:r>
          </w:p>
        </w:tc>
      </w:tr>
      <w:tr w:rsidR="00B62715" w:rsidRPr="00E2771E" w:rsidTr="003B7DA4">
        <w:trPr>
          <w:trHeight w:val="20"/>
        </w:trPr>
        <w:tc>
          <w:tcPr>
            <w:tcW w:w="8429" w:type="dxa"/>
            <w:gridSpan w:val="13"/>
            <w:tcBorders>
              <w:top w:val="double" w:sz="4" w:space="0" w:color="auto"/>
            </w:tcBorders>
            <w:shd w:val="clear" w:color="auto" w:fill="auto"/>
            <w:vAlign w:val="center"/>
          </w:tcPr>
          <w:p w:rsidR="00B62715" w:rsidRPr="00E2771E" w:rsidRDefault="00DC05E3" w:rsidP="00E61788">
            <w:pPr>
              <w:keepNext/>
              <w:widowControl/>
              <w:rPr>
                <w:rFonts w:ascii="Arial Narrow" w:hAnsi="Arial Narrow"/>
                <w:b/>
                <w:color w:val="000000"/>
                <w:sz w:val="20"/>
                <w:szCs w:val="18"/>
              </w:rPr>
            </w:pPr>
            <w:r w:rsidRPr="00DC05E3">
              <w:rPr>
                <w:rFonts w:ascii="Arial Narrow" w:hAnsi="Arial Narrow"/>
                <w:b/>
                <w:color w:val="000000"/>
                <w:sz w:val="20"/>
                <w:szCs w:val="18"/>
              </w:rPr>
              <w:t>Trough FEV</w:t>
            </w:r>
            <w:r w:rsidRPr="00B04999">
              <w:rPr>
                <w:rFonts w:ascii="Arial Narrow" w:hAnsi="Arial Narrow"/>
                <w:b/>
                <w:color w:val="000000"/>
                <w:sz w:val="20"/>
                <w:szCs w:val="18"/>
                <w:vertAlign w:val="subscript"/>
              </w:rPr>
              <w:t>1</w:t>
            </w:r>
            <w:r w:rsidRPr="00DC05E3">
              <w:rPr>
                <w:rFonts w:ascii="Arial Narrow" w:hAnsi="Arial Narrow"/>
                <w:b/>
                <w:color w:val="000000"/>
                <w:sz w:val="20"/>
                <w:szCs w:val="18"/>
              </w:rPr>
              <w:t xml:space="preserve"> response (</w:t>
            </w:r>
            <w:r w:rsidR="00B50C16" w:rsidRPr="00B50C16">
              <w:rPr>
                <w:rFonts w:ascii="Arial Narrow" w:hAnsi="Arial Narrow"/>
                <w:b/>
                <w:color w:val="000000"/>
                <w:sz w:val="20"/>
                <w:szCs w:val="18"/>
              </w:rPr>
              <w:t>litres</w:t>
            </w:r>
            <w:r w:rsidRPr="00DC05E3">
              <w:rPr>
                <w:rFonts w:ascii="Arial Narrow" w:hAnsi="Arial Narrow"/>
                <w:b/>
                <w:color w:val="000000"/>
                <w:sz w:val="20"/>
                <w:szCs w:val="18"/>
              </w:rPr>
              <w:t xml:space="preserve">) at 24 </w:t>
            </w:r>
            <w:proofErr w:type="spellStart"/>
            <w:r w:rsidRPr="00DC05E3">
              <w:rPr>
                <w:rFonts w:ascii="Arial Narrow" w:hAnsi="Arial Narrow"/>
                <w:b/>
                <w:color w:val="000000"/>
                <w:sz w:val="20"/>
                <w:szCs w:val="18"/>
              </w:rPr>
              <w:t>weeks</w:t>
            </w:r>
            <w:r w:rsidR="005F5620" w:rsidRPr="005F5620">
              <w:rPr>
                <w:rFonts w:ascii="Arial Narrow" w:hAnsi="Arial Narrow"/>
                <w:b/>
                <w:i/>
                <w:color w:val="000000"/>
                <w:sz w:val="20"/>
                <w:szCs w:val="18"/>
                <w:vertAlign w:val="superscript"/>
              </w:rPr>
              <w:t>a</w:t>
            </w:r>
            <w:proofErr w:type="spellEnd"/>
          </w:p>
        </w:tc>
      </w:tr>
      <w:tr w:rsidR="00DC05E3" w:rsidRPr="00E2771E" w:rsidTr="003B7DA4">
        <w:trPr>
          <w:trHeight w:val="20"/>
        </w:trPr>
        <w:tc>
          <w:tcPr>
            <w:tcW w:w="1410" w:type="dxa"/>
            <w:vMerge w:val="restart"/>
            <w:shd w:val="clear" w:color="auto" w:fill="auto"/>
            <w:vAlign w:val="center"/>
          </w:tcPr>
          <w:p w:rsidR="00DC05E3" w:rsidRPr="00E2771E" w:rsidRDefault="00DC05E3" w:rsidP="00E61788">
            <w:pPr>
              <w:keepNext/>
              <w:widowControl/>
              <w:rPr>
                <w:rFonts w:ascii="Arial Narrow" w:hAnsi="Arial Narrow"/>
                <w:color w:val="000000"/>
                <w:sz w:val="20"/>
                <w:szCs w:val="18"/>
              </w:rPr>
            </w:pPr>
          </w:p>
        </w:tc>
        <w:tc>
          <w:tcPr>
            <w:tcW w:w="2368" w:type="dxa"/>
            <w:gridSpan w:val="5"/>
            <w:vAlign w:val="center"/>
          </w:tcPr>
          <w:p w:rsidR="00DC05E3" w:rsidRPr="00E2771E" w:rsidRDefault="00DC05E3" w:rsidP="00E61788">
            <w:pPr>
              <w:keepNext/>
              <w:widowControl/>
              <w:jc w:val="center"/>
              <w:rPr>
                <w:rFonts w:ascii="Arial Narrow" w:hAnsi="Arial Narrow"/>
                <w:b/>
                <w:color w:val="000000"/>
                <w:sz w:val="20"/>
                <w:szCs w:val="18"/>
              </w:rPr>
            </w:pPr>
            <w:proofErr w:type="spellStart"/>
            <w:r>
              <w:rPr>
                <w:rFonts w:ascii="Arial Narrow" w:hAnsi="Arial Narrow"/>
                <w:b/>
                <w:sz w:val="20"/>
              </w:rPr>
              <w:t>Tiotropium</w:t>
            </w:r>
            <w:proofErr w:type="spellEnd"/>
          </w:p>
        </w:tc>
        <w:tc>
          <w:tcPr>
            <w:tcW w:w="3228" w:type="dxa"/>
            <w:gridSpan w:val="6"/>
            <w:vAlign w:val="center"/>
          </w:tcPr>
          <w:p w:rsidR="00DC05E3" w:rsidRPr="00E2771E" w:rsidRDefault="00DC05E3" w:rsidP="00E61788">
            <w:pPr>
              <w:keepNext/>
              <w:widowControl/>
              <w:jc w:val="center"/>
              <w:rPr>
                <w:rFonts w:ascii="Arial Narrow" w:hAnsi="Arial Narrow"/>
                <w:b/>
                <w:color w:val="000000"/>
                <w:sz w:val="20"/>
                <w:szCs w:val="18"/>
              </w:rPr>
            </w:pPr>
            <w:r w:rsidRPr="00DC05E3">
              <w:rPr>
                <w:rFonts w:ascii="Arial Narrow" w:hAnsi="Arial Narrow"/>
                <w:b/>
                <w:color w:val="000000"/>
                <w:sz w:val="20"/>
                <w:szCs w:val="18"/>
              </w:rPr>
              <w:t>Placebo</w:t>
            </w:r>
          </w:p>
        </w:tc>
        <w:tc>
          <w:tcPr>
            <w:tcW w:w="1423" w:type="dxa"/>
            <w:vMerge w:val="restart"/>
            <w:vAlign w:val="center"/>
          </w:tcPr>
          <w:p w:rsidR="005F6C13" w:rsidRPr="00E2771E" w:rsidRDefault="005F6C13" w:rsidP="00E61788">
            <w:pPr>
              <w:keepNext/>
              <w:widowControl/>
              <w:jc w:val="center"/>
              <w:rPr>
                <w:rFonts w:ascii="Arial Narrow" w:hAnsi="Arial Narrow"/>
                <w:b/>
                <w:sz w:val="20"/>
                <w:szCs w:val="18"/>
              </w:rPr>
            </w:pPr>
            <w:r>
              <w:rPr>
                <w:rFonts w:ascii="Arial Narrow" w:hAnsi="Arial Narrow"/>
                <w:b/>
                <w:sz w:val="20"/>
                <w:szCs w:val="18"/>
              </w:rPr>
              <w:t>MD</w:t>
            </w:r>
          </w:p>
          <w:p w:rsidR="00DC05E3" w:rsidRPr="00E2771E" w:rsidRDefault="00DC05E3" w:rsidP="00E61788">
            <w:pPr>
              <w:keepNext/>
              <w:widowControl/>
              <w:jc w:val="center"/>
              <w:rPr>
                <w:rFonts w:ascii="Arial Narrow" w:hAnsi="Arial Narrow"/>
                <w:b/>
                <w:sz w:val="20"/>
                <w:szCs w:val="18"/>
              </w:rPr>
            </w:pPr>
            <w:r w:rsidRPr="00E2771E">
              <w:rPr>
                <w:rFonts w:ascii="Arial Narrow" w:hAnsi="Arial Narrow"/>
                <w:b/>
                <w:sz w:val="20"/>
                <w:szCs w:val="18"/>
              </w:rPr>
              <w:t>(95% CI)</w:t>
            </w:r>
          </w:p>
        </w:tc>
      </w:tr>
      <w:tr w:rsidR="00DC05E3" w:rsidRPr="00E2771E" w:rsidTr="003B7DA4">
        <w:trPr>
          <w:trHeight w:val="20"/>
        </w:trPr>
        <w:tc>
          <w:tcPr>
            <w:tcW w:w="1410" w:type="dxa"/>
            <w:vMerge/>
            <w:shd w:val="clear" w:color="auto" w:fill="auto"/>
            <w:vAlign w:val="center"/>
          </w:tcPr>
          <w:p w:rsidR="00DC05E3" w:rsidRPr="00E2771E" w:rsidRDefault="00DC05E3" w:rsidP="00E61788">
            <w:pPr>
              <w:keepNext/>
              <w:widowControl/>
              <w:rPr>
                <w:rFonts w:ascii="Arial Narrow" w:hAnsi="Arial Narrow"/>
                <w:color w:val="000000"/>
                <w:sz w:val="20"/>
                <w:szCs w:val="18"/>
              </w:rPr>
            </w:pPr>
          </w:p>
        </w:tc>
        <w:tc>
          <w:tcPr>
            <w:tcW w:w="711" w:type="dxa"/>
            <w:vAlign w:val="center"/>
          </w:tcPr>
          <w:p w:rsidR="00DC05E3" w:rsidRPr="00E2771E" w:rsidRDefault="00DC05E3" w:rsidP="00E61788">
            <w:pPr>
              <w:keepNext/>
              <w:widowControl/>
              <w:jc w:val="center"/>
              <w:rPr>
                <w:rFonts w:ascii="Arial Narrow" w:hAnsi="Arial Narrow"/>
                <w:b/>
                <w:color w:val="000000"/>
                <w:sz w:val="20"/>
                <w:szCs w:val="18"/>
              </w:rPr>
            </w:pPr>
            <w:r w:rsidRPr="00E2771E">
              <w:rPr>
                <w:rFonts w:ascii="Arial Narrow" w:hAnsi="Arial Narrow"/>
                <w:b/>
                <w:color w:val="000000"/>
                <w:sz w:val="20"/>
                <w:szCs w:val="18"/>
              </w:rPr>
              <w:t>n</w:t>
            </w:r>
          </w:p>
        </w:tc>
        <w:tc>
          <w:tcPr>
            <w:tcW w:w="1189" w:type="dxa"/>
            <w:gridSpan w:val="2"/>
            <w:vAlign w:val="center"/>
          </w:tcPr>
          <w:p w:rsidR="00DC05E3" w:rsidRPr="00E2771E" w:rsidRDefault="005F6C13" w:rsidP="00E61788">
            <w:pPr>
              <w:keepNext/>
              <w:widowControl/>
              <w:jc w:val="center"/>
              <w:rPr>
                <w:rFonts w:ascii="Arial Narrow" w:hAnsi="Arial Narrow"/>
                <w:b/>
                <w:sz w:val="20"/>
                <w:szCs w:val="18"/>
              </w:rPr>
            </w:pPr>
            <w:r>
              <w:rPr>
                <w:rFonts w:ascii="Arial Narrow" w:hAnsi="Arial Narrow"/>
                <w:b/>
                <w:sz w:val="20"/>
                <w:szCs w:val="18"/>
              </w:rPr>
              <w:t>MD</w:t>
            </w:r>
            <w:r w:rsidR="00DC05E3" w:rsidRPr="00E2771E">
              <w:rPr>
                <w:rFonts w:ascii="Arial Narrow" w:hAnsi="Arial Narrow"/>
                <w:b/>
                <w:sz w:val="20"/>
                <w:szCs w:val="18"/>
              </w:rPr>
              <w:t xml:space="preserve"> baseline </w:t>
            </w:r>
          </w:p>
        </w:tc>
        <w:tc>
          <w:tcPr>
            <w:tcW w:w="468" w:type="dxa"/>
            <w:gridSpan w:val="2"/>
            <w:vAlign w:val="center"/>
          </w:tcPr>
          <w:p w:rsidR="00DC05E3" w:rsidRPr="00E2771E" w:rsidRDefault="00DC05E3" w:rsidP="00E61788">
            <w:pPr>
              <w:keepNext/>
              <w:widowControl/>
              <w:jc w:val="center"/>
              <w:rPr>
                <w:rFonts w:ascii="Arial Narrow" w:hAnsi="Arial Narrow"/>
                <w:b/>
                <w:sz w:val="20"/>
                <w:szCs w:val="18"/>
              </w:rPr>
            </w:pPr>
            <w:r w:rsidRPr="00E2771E">
              <w:rPr>
                <w:rFonts w:ascii="Arial Narrow" w:hAnsi="Arial Narrow"/>
                <w:b/>
                <w:sz w:val="20"/>
                <w:szCs w:val="18"/>
              </w:rPr>
              <w:t>S</w:t>
            </w:r>
            <w:r w:rsidR="00B04999">
              <w:rPr>
                <w:rFonts w:ascii="Arial Narrow" w:hAnsi="Arial Narrow"/>
                <w:b/>
                <w:sz w:val="20"/>
                <w:szCs w:val="18"/>
              </w:rPr>
              <w:t>D</w:t>
            </w:r>
          </w:p>
        </w:tc>
        <w:tc>
          <w:tcPr>
            <w:tcW w:w="1220" w:type="dxa"/>
            <w:vAlign w:val="center"/>
          </w:tcPr>
          <w:p w:rsidR="00DC05E3" w:rsidRPr="00E2771E" w:rsidRDefault="00DC05E3" w:rsidP="00E61788">
            <w:pPr>
              <w:keepNext/>
              <w:widowControl/>
              <w:jc w:val="center"/>
              <w:rPr>
                <w:rFonts w:ascii="Arial Narrow" w:hAnsi="Arial Narrow"/>
                <w:b/>
                <w:color w:val="000000"/>
                <w:sz w:val="20"/>
                <w:szCs w:val="18"/>
              </w:rPr>
            </w:pPr>
            <w:r w:rsidRPr="00E2771E">
              <w:rPr>
                <w:rFonts w:ascii="Arial Narrow" w:hAnsi="Arial Narrow"/>
                <w:b/>
                <w:color w:val="000000"/>
                <w:sz w:val="20"/>
                <w:szCs w:val="18"/>
              </w:rPr>
              <w:t>n</w:t>
            </w:r>
          </w:p>
        </w:tc>
        <w:tc>
          <w:tcPr>
            <w:tcW w:w="1281" w:type="dxa"/>
            <w:gridSpan w:val="3"/>
            <w:vAlign w:val="center"/>
          </w:tcPr>
          <w:p w:rsidR="00DC05E3" w:rsidRPr="00E2771E" w:rsidRDefault="005F6C13" w:rsidP="00E61788">
            <w:pPr>
              <w:keepNext/>
              <w:widowControl/>
              <w:jc w:val="center"/>
              <w:rPr>
                <w:rFonts w:ascii="Arial Narrow" w:hAnsi="Arial Narrow"/>
                <w:b/>
                <w:sz w:val="20"/>
                <w:szCs w:val="18"/>
              </w:rPr>
            </w:pPr>
            <w:r>
              <w:rPr>
                <w:rFonts w:ascii="Arial Narrow" w:hAnsi="Arial Narrow"/>
                <w:b/>
                <w:sz w:val="20"/>
                <w:szCs w:val="18"/>
              </w:rPr>
              <w:t>MD</w:t>
            </w:r>
            <w:r w:rsidR="00DC05E3" w:rsidRPr="00E2771E">
              <w:rPr>
                <w:rFonts w:ascii="Arial Narrow" w:hAnsi="Arial Narrow"/>
                <w:b/>
                <w:sz w:val="20"/>
                <w:szCs w:val="18"/>
              </w:rPr>
              <w:t xml:space="preserve"> baseline</w:t>
            </w:r>
          </w:p>
        </w:tc>
        <w:tc>
          <w:tcPr>
            <w:tcW w:w="727" w:type="dxa"/>
            <w:gridSpan w:val="2"/>
            <w:vAlign w:val="center"/>
          </w:tcPr>
          <w:p w:rsidR="00DC05E3" w:rsidRPr="00E2771E" w:rsidRDefault="00DC05E3" w:rsidP="00E61788">
            <w:pPr>
              <w:keepNext/>
              <w:widowControl/>
              <w:jc w:val="center"/>
              <w:rPr>
                <w:rFonts w:ascii="Arial Narrow" w:hAnsi="Arial Narrow"/>
                <w:b/>
                <w:sz w:val="20"/>
                <w:szCs w:val="18"/>
              </w:rPr>
            </w:pPr>
            <w:r w:rsidRPr="00E2771E">
              <w:rPr>
                <w:rFonts w:ascii="Arial Narrow" w:hAnsi="Arial Narrow"/>
                <w:b/>
                <w:sz w:val="20"/>
                <w:szCs w:val="18"/>
              </w:rPr>
              <w:t>S</w:t>
            </w:r>
            <w:r w:rsidR="00B04999">
              <w:rPr>
                <w:rFonts w:ascii="Arial Narrow" w:hAnsi="Arial Narrow"/>
                <w:b/>
                <w:sz w:val="20"/>
                <w:szCs w:val="18"/>
              </w:rPr>
              <w:t>D</w:t>
            </w:r>
          </w:p>
        </w:tc>
        <w:tc>
          <w:tcPr>
            <w:tcW w:w="1423" w:type="dxa"/>
            <w:vMerge/>
            <w:vAlign w:val="center"/>
          </w:tcPr>
          <w:p w:rsidR="00DC05E3" w:rsidRPr="00E2771E" w:rsidRDefault="00DC05E3" w:rsidP="00E61788">
            <w:pPr>
              <w:keepNext/>
              <w:widowControl/>
              <w:jc w:val="center"/>
              <w:rPr>
                <w:rFonts w:ascii="Arial Narrow" w:hAnsi="Arial Narrow"/>
                <w:b/>
                <w:sz w:val="20"/>
                <w:szCs w:val="18"/>
              </w:rPr>
            </w:pPr>
          </w:p>
        </w:tc>
      </w:tr>
      <w:tr w:rsidR="00DC05E3" w:rsidRPr="00E2771E" w:rsidTr="003B7DA4">
        <w:trPr>
          <w:trHeight w:val="20"/>
        </w:trPr>
        <w:tc>
          <w:tcPr>
            <w:tcW w:w="1410" w:type="dxa"/>
            <w:shd w:val="clear" w:color="auto" w:fill="auto"/>
            <w:vAlign w:val="center"/>
          </w:tcPr>
          <w:p w:rsidR="00DC05E3" w:rsidRPr="00E2771E" w:rsidRDefault="00B04999" w:rsidP="00E61788">
            <w:pPr>
              <w:keepNext/>
              <w:widowControl/>
              <w:rPr>
                <w:rFonts w:ascii="Arial Narrow" w:hAnsi="Arial Narrow"/>
                <w:color w:val="000000"/>
                <w:sz w:val="20"/>
                <w:szCs w:val="18"/>
              </w:rPr>
            </w:pPr>
            <w:r w:rsidRPr="00B04999">
              <w:rPr>
                <w:rFonts w:ascii="Arial Narrow" w:hAnsi="Arial Narrow"/>
                <w:color w:val="000000"/>
                <w:sz w:val="20"/>
                <w:szCs w:val="18"/>
              </w:rPr>
              <w:t>205.416</w:t>
            </w:r>
            <w:r>
              <w:rPr>
                <w:rFonts w:ascii="Arial Narrow" w:hAnsi="Arial Narrow"/>
                <w:color w:val="000000"/>
                <w:sz w:val="20"/>
                <w:szCs w:val="18"/>
              </w:rPr>
              <w:t>/</w:t>
            </w:r>
            <w:r w:rsidRPr="00B04999">
              <w:rPr>
                <w:rFonts w:ascii="Arial Narrow" w:hAnsi="Arial Narrow"/>
                <w:color w:val="000000"/>
                <w:sz w:val="20"/>
                <w:szCs w:val="18"/>
              </w:rPr>
              <w:t>205.41</w:t>
            </w:r>
            <w:r>
              <w:rPr>
                <w:rFonts w:ascii="Arial Narrow" w:hAnsi="Arial Narrow"/>
                <w:color w:val="000000"/>
                <w:sz w:val="20"/>
                <w:szCs w:val="18"/>
              </w:rPr>
              <w:t>7</w:t>
            </w:r>
          </w:p>
        </w:tc>
        <w:tc>
          <w:tcPr>
            <w:tcW w:w="711" w:type="dxa"/>
            <w:vAlign w:val="center"/>
          </w:tcPr>
          <w:p w:rsidR="00DC05E3" w:rsidRPr="00E2771E" w:rsidRDefault="00B04999" w:rsidP="00E61788">
            <w:pPr>
              <w:keepNext/>
              <w:widowControl/>
              <w:jc w:val="center"/>
              <w:rPr>
                <w:rFonts w:ascii="Arial Narrow" w:hAnsi="Arial Narrow"/>
                <w:color w:val="000000"/>
                <w:sz w:val="20"/>
                <w:szCs w:val="18"/>
              </w:rPr>
            </w:pPr>
            <w:r>
              <w:rPr>
                <w:rFonts w:ascii="Arial Narrow" w:hAnsi="Arial Narrow"/>
                <w:color w:val="000000"/>
                <w:sz w:val="20"/>
                <w:szCs w:val="18"/>
              </w:rPr>
              <w:t>421</w:t>
            </w:r>
          </w:p>
        </w:tc>
        <w:tc>
          <w:tcPr>
            <w:tcW w:w="1189" w:type="dxa"/>
            <w:gridSpan w:val="2"/>
            <w:vAlign w:val="center"/>
          </w:tcPr>
          <w:p w:rsidR="00DC05E3" w:rsidRPr="00E2771E" w:rsidRDefault="00B04999" w:rsidP="00E61788">
            <w:pPr>
              <w:keepNext/>
              <w:widowControl/>
              <w:jc w:val="center"/>
              <w:rPr>
                <w:rFonts w:ascii="Arial Narrow" w:hAnsi="Arial Narrow"/>
                <w:color w:val="000000"/>
                <w:sz w:val="20"/>
                <w:szCs w:val="18"/>
              </w:rPr>
            </w:pPr>
            <w:r>
              <w:rPr>
                <w:rFonts w:ascii="Arial Narrow" w:hAnsi="Arial Narrow"/>
                <w:color w:val="000000"/>
                <w:sz w:val="20"/>
                <w:szCs w:val="18"/>
              </w:rPr>
              <w:t>0.149</w:t>
            </w:r>
          </w:p>
        </w:tc>
        <w:tc>
          <w:tcPr>
            <w:tcW w:w="468" w:type="dxa"/>
            <w:gridSpan w:val="2"/>
            <w:vAlign w:val="center"/>
          </w:tcPr>
          <w:p w:rsidR="00DC05E3" w:rsidRPr="00E2771E" w:rsidRDefault="001461E1" w:rsidP="00E61788">
            <w:pPr>
              <w:keepNext/>
              <w:widowControl/>
              <w:jc w:val="center"/>
              <w:rPr>
                <w:rFonts w:ascii="Arial Narrow" w:hAnsi="Arial Narrow"/>
                <w:color w:val="000000"/>
                <w:sz w:val="20"/>
                <w:szCs w:val="18"/>
              </w:rPr>
            </w:pPr>
            <w:r>
              <w:rPr>
                <w:rFonts w:ascii="Arial Narrow" w:hAnsi="Arial Narrow"/>
                <w:color w:val="000000"/>
                <w:sz w:val="20"/>
                <w:szCs w:val="18"/>
              </w:rPr>
              <w:t>0.342</w:t>
            </w:r>
          </w:p>
        </w:tc>
        <w:tc>
          <w:tcPr>
            <w:tcW w:w="1220" w:type="dxa"/>
            <w:vAlign w:val="center"/>
          </w:tcPr>
          <w:p w:rsidR="00DC05E3" w:rsidRPr="00E2771E" w:rsidRDefault="001461E1" w:rsidP="00E61788">
            <w:pPr>
              <w:keepNext/>
              <w:widowControl/>
              <w:jc w:val="center"/>
              <w:rPr>
                <w:rFonts w:ascii="Arial Narrow" w:hAnsi="Arial Narrow"/>
                <w:color w:val="000000"/>
                <w:sz w:val="20"/>
                <w:szCs w:val="18"/>
              </w:rPr>
            </w:pPr>
            <w:r>
              <w:rPr>
                <w:rFonts w:ascii="Arial Narrow" w:hAnsi="Arial Narrow"/>
                <w:color w:val="000000"/>
                <w:sz w:val="20"/>
                <w:szCs w:val="18"/>
              </w:rPr>
              <w:t>429</w:t>
            </w:r>
          </w:p>
        </w:tc>
        <w:tc>
          <w:tcPr>
            <w:tcW w:w="1281" w:type="dxa"/>
            <w:gridSpan w:val="3"/>
            <w:vAlign w:val="center"/>
          </w:tcPr>
          <w:p w:rsidR="00DC05E3" w:rsidRPr="00E2771E" w:rsidRDefault="001461E1" w:rsidP="00E61788">
            <w:pPr>
              <w:keepNext/>
              <w:widowControl/>
              <w:jc w:val="center"/>
              <w:rPr>
                <w:rFonts w:ascii="Arial Narrow" w:hAnsi="Arial Narrow"/>
                <w:color w:val="000000"/>
                <w:sz w:val="20"/>
                <w:szCs w:val="18"/>
              </w:rPr>
            </w:pPr>
            <w:r>
              <w:rPr>
                <w:rFonts w:ascii="Arial Narrow" w:hAnsi="Arial Narrow"/>
                <w:color w:val="000000"/>
                <w:sz w:val="20"/>
                <w:szCs w:val="18"/>
              </w:rPr>
              <w:t>0.050</w:t>
            </w:r>
          </w:p>
        </w:tc>
        <w:tc>
          <w:tcPr>
            <w:tcW w:w="727" w:type="dxa"/>
            <w:gridSpan w:val="2"/>
            <w:vAlign w:val="center"/>
          </w:tcPr>
          <w:p w:rsidR="00DC05E3" w:rsidRPr="00E2771E" w:rsidRDefault="001461E1" w:rsidP="00E61788">
            <w:pPr>
              <w:keepNext/>
              <w:widowControl/>
              <w:jc w:val="center"/>
              <w:rPr>
                <w:rFonts w:ascii="Arial Narrow" w:hAnsi="Arial Narrow"/>
                <w:color w:val="000000"/>
                <w:sz w:val="20"/>
                <w:szCs w:val="18"/>
              </w:rPr>
            </w:pPr>
            <w:r>
              <w:rPr>
                <w:rFonts w:ascii="Arial Narrow" w:hAnsi="Arial Narrow"/>
                <w:color w:val="000000"/>
                <w:sz w:val="20"/>
                <w:szCs w:val="18"/>
              </w:rPr>
              <w:t>0.345</w:t>
            </w:r>
          </w:p>
        </w:tc>
        <w:tc>
          <w:tcPr>
            <w:tcW w:w="1423" w:type="dxa"/>
            <w:vAlign w:val="center"/>
          </w:tcPr>
          <w:p w:rsidR="00DC05E3" w:rsidRPr="001461E1" w:rsidRDefault="001461E1" w:rsidP="00E61788">
            <w:pPr>
              <w:keepNext/>
              <w:widowControl/>
              <w:jc w:val="center"/>
              <w:rPr>
                <w:rFonts w:ascii="Arial Narrow" w:hAnsi="Arial Narrow"/>
                <w:b/>
                <w:sz w:val="20"/>
                <w:szCs w:val="18"/>
              </w:rPr>
            </w:pPr>
            <w:r w:rsidRPr="001461E1">
              <w:rPr>
                <w:rFonts w:ascii="Arial Narrow" w:hAnsi="Arial Narrow"/>
                <w:b/>
                <w:sz w:val="20"/>
                <w:szCs w:val="18"/>
              </w:rPr>
              <w:t>0.10 (0.06, 0.14)</w:t>
            </w:r>
          </w:p>
        </w:tc>
      </w:tr>
      <w:tr w:rsidR="00DC05E3" w:rsidRPr="00E2771E" w:rsidTr="003B7DA4">
        <w:trPr>
          <w:trHeight w:val="20"/>
        </w:trPr>
        <w:tc>
          <w:tcPr>
            <w:tcW w:w="2121" w:type="dxa"/>
            <w:gridSpan w:val="2"/>
            <w:shd w:val="clear" w:color="auto" w:fill="auto"/>
            <w:vAlign w:val="center"/>
          </w:tcPr>
          <w:p w:rsidR="00DC05E3" w:rsidRPr="00E2771E" w:rsidRDefault="00DC05E3" w:rsidP="00E61788">
            <w:pPr>
              <w:keepNext/>
              <w:widowControl/>
              <w:jc w:val="center"/>
              <w:rPr>
                <w:rFonts w:ascii="Arial Narrow" w:hAnsi="Arial Narrow"/>
                <w:color w:val="000000"/>
                <w:sz w:val="20"/>
                <w:szCs w:val="18"/>
              </w:rPr>
            </w:pPr>
          </w:p>
        </w:tc>
        <w:tc>
          <w:tcPr>
            <w:tcW w:w="1423" w:type="dxa"/>
            <w:gridSpan w:val="3"/>
            <w:vAlign w:val="center"/>
          </w:tcPr>
          <w:p w:rsidR="00DC05E3" w:rsidRPr="00E70EEB" w:rsidRDefault="00E70EEB" w:rsidP="00E61788">
            <w:pPr>
              <w:keepNext/>
              <w:widowControl/>
              <w:ind w:right="-108"/>
              <w:jc w:val="center"/>
              <w:rPr>
                <w:rFonts w:ascii="Arial Narrow" w:hAnsi="Arial Narrow"/>
                <w:b/>
                <w:sz w:val="20"/>
              </w:rPr>
            </w:pPr>
            <w:proofErr w:type="spellStart"/>
            <w:r>
              <w:rPr>
                <w:rFonts w:ascii="Arial Narrow" w:hAnsi="Arial Narrow"/>
                <w:b/>
                <w:sz w:val="20"/>
              </w:rPr>
              <w:t>Tiotropium</w:t>
            </w:r>
            <w:proofErr w:type="spellEnd"/>
          </w:p>
        </w:tc>
        <w:tc>
          <w:tcPr>
            <w:tcW w:w="1454" w:type="dxa"/>
            <w:gridSpan w:val="2"/>
            <w:vAlign w:val="center"/>
          </w:tcPr>
          <w:p w:rsidR="00DC05E3" w:rsidRPr="00E2771E" w:rsidRDefault="00E70EEB" w:rsidP="00E61788">
            <w:pPr>
              <w:keepNext/>
              <w:widowControl/>
              <w:jc w:val="center"/>
              <w:rPr>
                <w:rFonts w:ascii="Arial Narrow" w:hAnsi="Arial Narrow"/>
                <w:b/>
                <w:color w:val="000000"/>
                <w:sz w:val="20"/>
                <w:szCs w:val="18"/>
              </w:rPr>
            </w:pPr>
            <w:r w:rsidRPr="00E70EEB">
              <w:rPr>
                <w:rFonts w:ascii="Arial Narrow" w:hAnsi="Arial Narrow"/>
                <w:b/>
                <w:color w:val="000000"/>
                <w:sz w:val="20"/>
                <w:szCs w:val="18"/>
              </w:rPr>
              <w:t>Placebo</w:t>
            </w:r>
          </w:p>
        </w:tc>
        <w:tc>
          <w:tcPr>
            <w:tcW w:w="2008" w:type="dxa"/>
            <w:gridSpan w:val="5"/>
            <w:vAlign w:val="center"/>
          </w:tcPr>
          <w:p w:rsidR="00DC05E3" w:rsidRPr="00E2771E" w:rsidRDefault="00DC05E3" w:rsidP="00E61788">
            <w:pPr>
              <w:keepNext/>
              <w:widowControl/>
              <w:jc w:val="center"/>
              <w:rPr>
                <w:rFonts w:ascii="Arial Narrow" w:hAnsi="Arial Narrow"/>
                <w:b/>
                <w:color w:val="000000"/>
                <w:sz w:val="20"/>
                <w:szCs w:val="18"/>
              </w:rPr>
            </w:pPr>
            <w:r w:rsidRPr="00E2771E">
              <w:rPr>
                <w:rFonts w:ascii="Arial Narrow" w:hAnsi="Arial Narrow"/>
                <w:b/>
                <w:color w:val="000000"/>
                <w:sz w:val="20"/>
                <w:szCs w:val="18"/>
              </w:rPr>
              <w:t>Absolute Difference</w:t>
            </w:r>
          </w:p>
        </w:tc>
        <w:tc>
          <w:tcPr>
            <w:tcW w:w="1423" w:type="dxa"/>
            <w:vAlign w:val="center"/>
          </w:tcPr>
          <w:p w:rsidR="00DC05E3" w:rsidRPr="00E2771E" w:rsidRDefault="00DC05E3" w:rsidP="00E61788">
            <w:pPr>
              <w:keepNext/>
              <w:widowControl/>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5F5620" w:rsidRPr="00E2771E" w:rsidTr="005F5620">
        <w:trPr>
          <w:trHeight w:val="20"/>
        </w:trPr>
        <w:tc>
          <w:tcPr>
            <w:tcW w:w="8429" w:type="dxa"/>
            <w:gridSpan w:val="13"/>
            <w:shd w:val="clear" w:color="auto" w:fill="auto"/>
            <w:vAlign w:val="center"/>
          </w:tcPr>
          <w:p w:rsidR="005F5620" w:rsidRPr="00E2771E" w:rsidRDefault="005F5620" w:rsidP="005F5620">
            <w:pPr>
              <w:keepNext/>
              <w:widowControl/>
              <w:jc w:val="left"/>
              <w:rPr>
                <w:rFonts w:ascii="Arial Narrow" w:hAnsi="Arial Narrow"/>
                <w:color w:val="000000"/>
                <w:sz w:val="20"/>
                <w:szCs w:val="18"/>
              </w:rPr>
            </w:pPr>
            <w:r w:rsidRPr="001461E1">
              <w:rPr>
                <w:rFonts w:ascii="Arial Narrow" w:hAnsi="Arial Narrow"/>
                <w:b/>
                <w:color w:val="000000"/>
                <w:sz w:val="20"/>
                <w:szCs w:val="18"/>
              </w:rPr>
              <w:t>Time for first exacerbation (any severity)</w:t>
            </w:r>
            <w:r w:rsidRPr="005F5620">
              <w:rPr>
                <w:rFonts w:ascii="Arial Narrow" w:hAnsi="Arial Narrow"/>
                <w:b/>
                <w:i/>
                <w:color w:val="000000"/>
                <w:sz w:val="20"/>
                <w:szCs w:val="18"/>
                <w:vertAlign w:val="superscript"/>
              </w:rPr>
              <w:t xml:space="preserve"> b</w:t>
            </w:r>
          </w:p>
        </w:tc>
      </w:tr>
      <w:tr w:rsidR="00DC05E3" w:rsidRPr="00E2771E" w:rsidTr="003B7DA4">
        <w:trPr>
          <w:trHeight w:val="20"/>
        </w:trPr>
        <w:tc>
          <w:tcPr>
            <w:tcW w:w="2121" w:type="dxa"/>
            <w:gridSpan w:val="2"/>
            <w:shd w:val="clear" w:color="auto" w:fill="auto"/>
            <w:vAlign w:val="center"/>
          </w:tcPr>
          <w:p w:rsidR="00DC05E3" w:rsidRPr="00E2771E" w:rsidRDefault="00E70EEB" w:rsidP="00E61788">
            <w:pPr>
              <w:keepNext/>
              <w:widowControl/>
              <w:rPr>
                <w:rFonts w:ascii="Arial Narrow" w:hAnsi="Arial Narrow"/>
                <w:color w:val="000000"/>
                <w:sz w:val="20"/>
                <w:szCs w:val="18"/>
              </w:rPr>
            </w:pPr>
            <w:r>
              <w:rPr>
                <w:rFonts w:ascii="Arial Narrow" w:hAnsi="Arial Narrow"/>
                <w:color w:val="000000"/>
                <w:sz w:val="20"/>
                <w:szCs w:val="18"/>
              </w:rPr>
              <w:t>Event</w:t>
            </w:r>
            <w:r w:rsidR="00DC05E3" w:rsidRPr="00E2771E">
              <w:rPr>
                <w:rFonts w:ascii="Arial Narrow" w:hAnsi="Arial Narrow"/>
                <w:color w:val="000000"/>
                <w:sz w:val="20"/>
                <w:szCs w:val="18"/>
              </w:rPr>
              <w:t>*</w:t>
            </w:r>
          </w:p>
        </w:tc>
        <w:tc>
          <w:tcPr>
            <w:tcW w:w="1423" w:type="dxa"/>
            <w:gridSpan w:val="3"/>
          </w:tcPr>
          <w:p w:rsidR="00DC05E3" w:rsidRPr="00E2771E" w:rsidRDefault="00E70EEB" w:rsidP="00E61788">
            <w:pPr>
              <w:keepNext/>
              <w:widowControl/>
              <w:jc w:val="center"/>
              <w:rPr>
                <w:rFonts w:ascii="Arial Narrow" w:hAnsi="Arial Narrow"/>
                <w:sz w:val="20"/>
              </w:rPr>
            </w:pPr>
            <w:r>
              <w:rPr>
                <w:rFonts w:ascii="Arial Narrow" w:hAnsi="Arial Narrow"/>
                <w:sz w:val="20"/>
              </w:rPr>
              <w:t>226/453</w:t>
            </w:r>
          </w:p>
        </w:tc>
        <w:tc>
          <w:tcPr>
            <w:tcW w:w="1454" w:type="dxa"/>
            <w:gridSpan w:val="2"/>
          </w:tcPr>
          <w:p w:rsidR="00DC05E3" w:rsidRPr="00E2771E" w:rsidRDefault="00E70EEB" w:rsidP="00E61788">
            <w:pPr>
              <w:keepNext/>
              <w:widowControl/>
              <w:jc w:val="center"/>
              <w:rPr>
                <w:rFonts w:ascii="Arial Narrow" w:hAnsi="Arial Narrow"/>
                <w:sz w:val="20"/>
              </w:rPr>
            </w:pPr>
            <w:r>
              <w:rPr>
                <w:rFonts w:ascii="Arial Narrow" w:hAnsi="Arial Narrow"/>
                <w:sz w:val="20"/>
              </w:rPr>
              <w:t>287/454</w:t>
            </w:r>
          </w:p>
        </w:tc>
        <w:tc>
          <w:tcPr>
            <w:tcW w:w="2008" w:type="dxa"/>
            <w:gridSpan w:val="5"/>
            <w:vAlign w:val="center"/>
          </w:tcPr>
          <w:p w:rsidR="00DC05E3" w:rsidRPr="00E2771E" w:rsidRDefault="005F6C13" w:rsidP="00E61788">
            <w:pPr>
              <w:keepNext/>
              <w:widowControl/>
              <w:jc w:val="center"/>
              <w:rPr>
                <w:rFonts w:ascii="Arial Narrow" w:hAnsi="Arial Narrow"/>
                <w:color w:val="000000"/>
                <w:sz w:val="20"/>
                <w:szCs w:val="18"/>
              </w:rPr>
            </w:pPr>
            <w:r>
              <w:rPr>
                <w:rFonts w:ascii="Arial Narrow" w:hAnsi="Arial Narrow"/>
                <w:color w:val="000000"/>
                <w:sz w:val="20"/>
                <w:szCs w:val="18"/>
              </w:rPr>
              <w:t>13%</w:t>
            </w:r>
          </w:p>
        </w:tc>
        <w:tc>
          <w:tcPr>
            <w:tcW w:w="1423" w:type="dxa"/>
            <w:vAlign w:val="center"/>
          </w:tcPr>
          <w:p w:rsidR="00DC05E3" w:rsidRPr="00E2771E" w:rsidRDefault="00DC05E3" w:rsidP="00E61788">
            <w:pPr>
              <w:keepNext/>
              <w:widowControl/>
              <w:jc w:val="center"/>
              <w:rPr>
                <w:rFonts w:ascii="Arial Narrow" w:hAnsi="Arial Narrow"/>
                <w:color w:val="000000"/>
                <w:sz w:val="20"/>
                <w:szCs w:val="18"/>
              </w:rPr>
            </w:pPr>
          </w:p>
        </w:tc>
      </w:tr>
      <w:tr w:rsidR="00DC05E3" w:rsidRPr="00E2771E" w:rsidTr="003B7DA4">
        <w:trPr>
          <w:trHeight w:val="20"/>
        </w:trPr>
        <w:tc>
          <w:tcPr>
            <w:tcW w:w="2121" w:type="dxa"/>
            <w:gridSpan w:val="2"/>
            <w:shd w:val="clear" w:color="auto" w:fill="auto"/>
            <w:vAlign w:val="center"/>
          </w:tcPr>
          <w:p w:rsidR="00DC05E3" w:rsidRPr="00E2771E" w:rsidRDefault="00DC05E3" w:rsidP="00E61788">
            <w:pPr>
              <w:keepNext/>
              <w:widowControl/>
              <w:rPr>
                <w:rFonts w:ascii="Arial Narrow" w:hAnsi="Arial Narrow"/>
                <w:color w:val="000000"/>
                <w:sz w:val="20"/>
                <w:szCs w:val="18"/>
              </w:rPr>
            </w:pPr>
            <w:r w:rsidRPr="00E2771E">
              <w:rPr>
                <w:rFonts w:ascii="Arial Narrow" w:hAnsi="Arial Narrow"/>
                <w:color w:val="000000"/>
                <w:sz w:val="20"/>
                <w:szCs w:val="18"/>
              </w:rPr>
              <w:t>Median (</w:t>
            </w:r>
            <w:r w:rsidR="00E70EEB" w:rsidRPr="00E70EEB">
              <w:rPr>
                <w:rFonts w:ascii="Arial Narrow" w:hAnsi="Arial Narrow"/>
                <w:sz w:val="20"/>
              </w:rPr>
              <w:t>days</w:t>
            </w:r>
            <w:r w:rsidRPr="00E2771E">
              <w:rPr>
                <w:rFonts w:ascii="Arial Narrow" w:hAnsi="Arial Narrow"/>
                <w:color w:val="000000"/>
                <w:sz w:val="20"/>
                <w:szCs w:val="18"/>
              </w:rPr>
              <w:t>)</w:t>
            </w:r>
          </w:p>
        </w:tc>
        <w:tc>
          <w:tcPr>
            <w:tcW w:w="1423" w:type="dxa"/>
            <w:gridSpan w:val="3"/>
          </w:tcPr>
          <w:p w:rsidR="00DC05E3" w:rsidRPr="00E2771E" w:rsidRDefault="00E70EEB" w:rsidP="00E61788">
            <w:pPr>
              <w:keepNext/>
              <w:widowControl/>
              <w:jc w:val="center"/>
              <w:rPr>
                <w:rFonts w:ascii="Arial Narrow" w:hAnsi="Arial Narrow"/>
                <w:sz w:val="20"/>
              </w:rPr>
            </w:pPr>
            <w:r w:rsidRPr="00E70EEB">
              <w:rPr>
                <w:rFonts w:ascii="Arial Narrow" w:hAnsi="Arial Narrow"/>
                <w:sz w:val="20"/>
              </w:rPr>
              <w:t>315</w:t>
            </w:r>
            <w:r>
              <w:rPr>
                <w:rFonts w:ascii="Arial Narrow" w:hAnsi="Arial Narrow"/>
                <w:sz w:val="20"/>
              </w:rPr>
              <w:t xml:space="preserve"> (</w:t>
            </w:r>
            <w:r w:rsidR="00706E80" w:rsidRPr="00E70EEB">
              <w:rPr>
                <w:rFonts w:ascii="Arial Narrow" w:hAnsi="Arial Narrow"/>
                <w:sz w:val="20"/>
              </w:rPr>
              <w:t>268</w:t>
            </w:r>
            <w:r w:rsidR="00706E80">
              <w:rPr>
                <w:rFonts w:ascii="Arial Narrow" w:hAnsi="Arial Narrow"/>
                <w:sz w:val="20"/>
              </w:rPr>
              <w:t xml:space="preserve">, </w:t>
            </w:r>
            <w:proofErr w:type="spellStart"/>
            <w:r w:rsidR="00706E80">
              <w:rPr>
                <w:rFonts w:ascii="Arial Narrow" w:hAnsi="Arial Narrow"/>
                <w:sz w:val="20"/>
              </w:rPr>
              <w:t>nc</w:t>
            </w:r>
            <w:proofErr w:type="spellEnd"/>
            <w:r>
              <w:rPr>
                <w:rFonts w:ascii="Arial Narrow" w:hAnsi="Arial Narrow"/>
                <w:sz w:val="20"/>
              </w:rPr>
              <w:t>)</w:t>
            </w:r>
          </w:p>
        </w:tc>
        <w:tc>
          <w:tcPr>
            <w:tcW w:w="1454" w:type="dxa"/>
            <w:gridSpan w:val="2"/>
          </w:tcPr>
          <w:p w:rsidR="00DC05E3" w:rsidRPr="00E2771E" w:rsidRDefault="00E70EEB" w:rsidP="00E61788">
            <w:pPr>
              <w:keepNext/>
              <w:widowControl/>
              <w:jc w:val="center"/>
              <w:rPr>
                <w:rFonts w:ascii="Arial Narrow" w:hAnsi="Arial Narrow"/>
                <w:sz w:val="20"/>
              </w:rPr>
            </w:pPr>
            <w:r>
              <w:rPr>
                <w:rFonts w:ascii="Arial Narrow" w:hAnsi="Arial Narrow"/>
                <w:sz w:val="20"/>
              </w:rPr>
              <w:t>1</w:t>
            </w:r>
            <w:r w:rsidR="00706E80">
              <w:rPr>
                <w:rFonts w:ascii="Arial Narrow" w:hAnsi="Arial Narrow"/>
                <w:sz w:val="20"/>
              </w:rPr>
              <w:t>81</w:t>
            </w:r>
            <w:r>
              <w:rPr>
                <w:rFonts w:ascii="Arial Narrow" w:hAnsi="Arial Narrow"/>
                <w:sz w:val="20"/>
              </w:rPr>
              <w:t xml:space="preserve"> (</w:t>
            </w:r>
            <w:r w:rsidR="00706E80">
              <w:rPr>
                <w:rFonts w:ascii="Arial Narrow" w:hAnsi="Arial Narrow"/>
                <w:sz w:val="20"/>
              </w:rPr>
              <w:t xml:space="preserve">148, </w:t>
            </w:r>
            <w:r w:rsidR="00706E80" w:rsidRPr="00E70EEB">
              <w:rPr>
                <w:rFonts w:ascii="Arial Narrow" w:hAnsi="Arial Narrow"/>
                <w:sz w:val="20"/>
              </w:rPr>
              <w:t>218</w:t>
            </w:r>
            <w:r>
              <w:rPr>
                <w:rFonts w:ascii="Arial Narrow" w:hAnsi="Arial Narrow"/>
                <w:sz w:val="20"/>
              </w:rPr>
              <w:t>)</w:t>
            </w:r>
          </w:p>
        </w:tc>
        <w:tc>
          <w:tcPr>
            <w:tcW w:w="2008" w:type="dxa"/>
            <w:gridSpan w:val="5"/>
            <w:vAlign w:val="center"/>
          </w:tcPr>
          <w:p w:rsidR="00DC05E3" w:rsidRPr="00E2771E" w:rsidRDefault="00E70EEB" w:rsidP="00E61788">
            <w:pPr>
              <w:keepNext/>
              <w:widowControl/>
              <w:jc w:val="center"/>
              <w:rPr>
                <w:rFonts w:ascii="Arial Narrow" w:hAnsi="Arial Narrow"/>
                <w:color w:val="000000"/>
                <w:sz w:val="20"/>
                <w:szCs w:val="18"/>
              </w:rPr>
            </w:pPr>
            <w:r>
              <w:rPr>
                <w:rFonts w:ascii="Arial Narrow" w:hAnsi="Arial Narrow"/>
                <w:color w:val="000000"/>
                <w:sz w:val="20"/>
                <w:szCs w:val="18"/>
              </w:rPr>
              <w:t>134</w:t>
            </w:r>
          </w:p>
        </w:tc>
        <w:tc>
          <w:tcPr>
            <w:tcW w:w="1423" w:type="dxa"/>
            <w:vAlign w:val="center"/>
          </w:tcPr>
          <w:p w:rsidR="00DC05E3" w:rsidRPr="00E2771E" w:rsidRDefault="005F6C13" w:rsidP="00E61788">
            <w:pPr>
              <w:keepNext/>
              <w:widowControl/>
              <w:jc w:val="center"/>
              <w:rPr>
                <w:rFonts w:ascii="Arial Narrow" w:hAnsi="Arial Narrow"/>
                <w:color w:val="000000"/>
                <w:sz w:val="20"/>
                <w:szCs w:val="18"/>
              </w:rPr>
            </w:pPr>
            <w:r w:rsidRPr="002558B2">
              <w:rPr>
                <w:rFonts w:ascii="Arial Narrow" w:hAnsi="Arial Narrow"/>
                <w:b/>
                <w:sz w:val="20"/>
              </w:rPr>
              <w:t>0.69</w:t>
            </w:r>
            <w:r>
              <w:rPr>
                <w:rFonts w:ascii="Arial Narrow" w:hAnsi="Arial Narrow"/>
                <w:b/>
                <w:sz w:val="20"/>
              </w:rPr>
              <w:t xml:space="preserve"> </w:t>
            </w:r>
            <w:r w:rsidRPr="002558B2">
              <w:rPr>
                <w:rFonts w:ascii="Arial Narrow" w:hAnsi="Arial Narrow"/>
                <w:b/>
                <w:sz w:val="20"/>
              </w:rPr>
              <w:t>(0.58, 0.82)</w:t>
            </w:r>
          </w:p>
        </w:tc>
      </w:tr>
      <w:tr w:rsidR="005F5620" w:rsidRPr="00E2771E" w:rsidTr="005F5620">
        <w:trPr>
          <w:trHeight w:val="20"/>
        </w:trPr>
        <w:tc>
          <w:tcPr>
            <w:tcW w:w="8429" w:type="dxa"/>
            <w:gridSpan w:val="13"/>
            <w:shd w:val="clear" w:color="auto" w:fill="auto"/>
            <w:vAlign w:val="center"/>
          </w:tcPr>
          <w:p w:rsidR="005F5620" w:rsidRPr="00872E6F" w:rsidRDefault="005F5620" w:rsidP="005F5620">
            <w:pPr>
              <w:keepNext/>
              <w:widowControl/>
              <w:jc w:val="left"/>
              <w:rPr>
                <w:rFonts w:ascii="Arial Narrow" w:hAnsi="Arial Narrow"/>
                <w:b/>
                <w:sz w:val="20"/>
              </w:rPr>
            </w:pPr>
            <w:r w:rsidRPr="00872E6F">
              <w:rPr>
                <w:rFonts w:ascii="Arial Narrow" w:hAnsi="Arial Narrow"/>
                <w:b/>
                <w:color w:val="000000"/>
                <w:sz w:val="20"/>
                <w:szCs w:val="18"/>
              </w:rPr>
              <w:t>Time to first exacerbation (severe)</w:t>
            </w:r>
            <w:r w:rsidRPr="00872E6F">
              <w:rPr>
                <w:rFonts w:ascii="Arial Narrow" w:hAnsi="Arial Narrow"/>
                <w:b/>
                <w:color w:val="000000"/>
                <w:sz w:val="20"/>
                <w:szCs w:val="18"/>
                <w:vertAlign w:val="superscript"/>
              </w:rPr>
              <w:t xml:space="preserve"> b</w:t>
            </w:r>
          </w:p>
        </w:tc>
      </w:tr>
      <w:tr w:rsidR="005F5620" w:rsidRPr="00E2771E" w:rsidTr="003B7DA4">
        <w:trPr>
          <w:trHeight w:val="20"/>
        </w:trPr>
        <w:tc>
          <w:tcPr>
            <w:tcW w:w="2121" w:type="dxa"/>
            <w:gridSpan w:val="2"/>
            <w:shd w:val="clear" w:color="auto" w:fill="auto"/>
            <w:vAlign w:val="center"/>
          </w:tcPr>
          <w:p w:rsidR="005F5620" w:rsidRPr="00872E6F" w:rsidRDefault="005F5620" w:rsidP="005F5620">
            <w:pPr>
              <w:rPr>
                <w:rFonts w:ascii="Arial Narrow" w:hAnsi="Arial Narrow"/>
                <w:color w:val="000000"/>
                <w:sz w:val="20"/>
                <w:szCs w:val="18"/>
              </w:rPr>
            </w:pPr>
            <w:r w:rsidRPr="00872E6F">
              <w:rPr>
                <w:rFonts w:ascii="Arial Narrow" w:hAnsi="Arial Narrow"/>
                <w:color w:val="000000"/>
                <w:sz w:val="20"/>
                <w:szCs w:val="18"/>
              </w:rPr>
              <w:t>Event*</w:t>
            </w:r>
          </w:p>
        </w:tc>
        <w:tc>
          <w:tcPr>
            <w:tcW w:w="1423" w:type="dxa"/>
            <w:gridSpan w:val="3"/>
          </w:tcPr>
          <w:p w:rsidR="005F5620" w:rsidRPr="00872E6F" w:rsidRDefault="005F5620" w:rsidP="005F5620">
            <w:pPr>
              <w:jc w:val="center"/>
              <w:rPr>
                <w:rFonts w:ascii="Arial Narrow" w:hAnsi="Arial Narrow"/>
                <w:sz w:val="20"/>
              </w:rPr>
            </w:pPr>
            <w:r w:rsidRPr="00872E6F">
              <w:rPr>
                <w:rFonts w:ascii="Arial Narrow" w:hAnsi="Arial Narrow"/>
                <w:sz w:val="20"/>
              </w:rPr>
              <w:t>122/453</w:t>
            </w:r>
          </w:p>
        </w:tc>
        <w:tc>
          <w:tcPr>
            <w:tcW w:w="1454" w:type="dxa"/>
            <w:gridSpan w:val="2"/>
          </w:tcPr>
          <w:p w:rsidR="005F5620" w:rsidRPr="00872E6F" w:rsidRDefault="005F5620" w:rsidP="005F5620">
            <w:pPr>
              <w:jc w:val="center"/>
              <w:rPr>
                <w:rFonts w:ascii="Arial Narrow" w:hAnsi="Arial Narrow"/>
                <w:sz w:val="20"/>
              </w:rPr>
            </w:pPr>
            <w:r w:rsidRPr="00872E6F">
              <w:rPr>
                <w:rFonts w:ascii="Arial Narrow" w:hAnsi="Arial Narrow"/>
                <w:sz w:val="20"/>
              </w:rPr>
              <w:t>149/454</w:t>
            </w:r>
          </w:p>
        </w:tc>
        <w:tc>
          <w:tcPr>
            <w:tcW w:w="2008" w:type="dxa"/>
            <w:gridSpan w:val="5"/>
            <w:vAlign w:val="center"/>
          </w:tcPr>
          <w:p w:rsidR="005F5620" w:rsidRPr="00872E6F" w:rsidRDefault="005F5620" w:rsidP="005F5620">
            <w:pPr>
              <w:jc w:val="center"/>
              <w:rPr>
                <w:rFonts w:ascii="Arial Narrow" w:hAnsi="Arial Narrow"/>
                <w:color w:val="000000"/>
                <w:sz w:val="20"/>
                <w:szCs w:val="18"/>
              </w:rPr>
            </w:pPr>
            <w:r w:rsidRPr="00872E6F">
              <w:rPr>
                <w:rFonts w:ascii="Arial Narrow" w:hAnsi="Arial Narrow"/>
                <w:color w:val="000000"/>
                <w:sz w:val="20"/>
                <w:szCs w:val="18"/>
              </w:rPr>
              <w:t>6%</w:t>
            </w:r>
          </w:p>
        </w:tc>
        <w:tc>
          <w:tcPr>
            <w:tcW w:w="1423" w:type="dxa"/>
            <w:vAlign w:val="center"/>
          </w:tcPr>
          <w:p w:rsidR="005F5620" w:rsidRPr="00872E6F" w:rsidRDefault="005F5620" w:rsidP="005F5620">
            <w:pPr>
              <w:jc w:val="center"/>
              <w:rPr>
                <w:rFonts w:ascii="Arial Narrow" w:hAnsi="Arial Narrow"/>
                <w:b/>
                <w:sz w:val="20"/>
              </w:rPr>
            </w:pPr>
          </w:p>
        </w:tc>
      </w:tr>
      <w:tr w:rsidR="005F5620" w:rsidRPr="00E2771E" w:rsidTr="003B7DA4">
        <w:trPr>
          <w:trHeight w:val="20"/>
        </w:trPr>
        <w:tc>
          <w:tcPr>
            <w:tcW w:w="2121" w:type="dxa"/>
            <w:gridSpan w:val="2"/>
            <w:shd w:val="clear" w:color="auto" w:fill="auto"/>
            <w:vAlign w:val="center"/>
          </w:tcPr>
          <w:p w:rsidR="005F5620" w:rsidRPr="00872E6F" w:rsidRDefault="005F5620" w:rsidP="005F5620">
            <w:pPr>
              <w:rPr>
                <w:rFonts w:ascii="Arial Narrow" w:hAnsi="Arial Narrow"/>
                <w:color w:val="000000"/>
                <w:sz w:val="20"/>
                <w:szCs w:val="18"/>
              </w:rPr>
            </w:pPr>
            <w:r w:rsidRPr="00872E6F">
              <w:rPr>
                <w:rFonts w:ascii="Arial Narrow" w:hAnsi="Arial Narrow"/>
                <w:color w:val="000000"/>
                <w:sz w:val="20"/>
                <w:szCs w:val="18"/>
              </w:rPr>
              <w:t>Median (</w:t>
            </w:r>
            <w:r w:rsidRPr="00872E6F">
              <w:rPr>
                <w:rFonts w:ascii="Arial Narrow" w:hAnsi="Arial Narrow"/>
                <w:sz w:val="20"/>
              </w:rPr>
              <w:t>days</w:t>
            </w:r>
            <w:r w:rsidRPr="00872E6F">
              <w:rPr>
                <w:rFonts w:ascii="Arial Narrow" w:hAnsi="Arial Narrow"/>
                <w:color w:val="000000"/>
                <w:sz w:val="20"/>
                <w:szCs w:val="18"/>
              </w:rPr>
              <w:t>)</w:t>
            </w:r>
          </w:p>
        </w:tc>
        <w:tc>
          <w:tcPr>
            <w:tcW w:w="1423" w:type="dxa"/>
            <w:gridSpan w:val="3"/>
          </w:tcPr>
          <w:p w:rsidR="005F5620" w:rsidRPr="00872E6F" w:rsidRDefault="005F5620" w:rsidP="005F5620">
            <w:pPr>
              <w:jc w:val="center"/>
              <w:rPr>
                <w:rFonts w:ascii="Arial Narrow" w:hAnsi="Arial Narrow"/>
                <w:sz w:val="20"/>
              </w:rPr>
            </w:pPr>
            <w:proofErr w:type="spellStart"/>
            <w:r w:rsidRPr="00872E6F">
              <w:rPr>
                <w:rFonts w:ascii="Arial Narrow" w:hAnsi="Arial Narrow"/>
                <w:sz w:val="20"/>
              </w:rPr>
              <w:t>nc</w:t>
            </w:r>
            <w:proofErr w:type="spellEnd"/>
            <w:r w:rsidRPr="00872E6F">
              <w:rPr>
                <w:rFonts w:ascii="Arial Narrow" w:hAnsi="Arial Narrow"/>
                <w:sz w:val="20"/>
              </w:rPr>
              <w:t xml:space="preserve"> (282, </w:t>
            </w:r>
            <w:proofErr w:type="spellStart"/>
            <w:r w:rsidRPr="00872E6F">
              <w:rPr>
                <w:rFonts w:ascii="Arial Narrow" w:hAnsi="Arial Narrow"/>
                <w:sz w:val="20"/>
              </w:rPr>
              <w:t>nc</w:t>
            </w:r>
            <w:proofErr w:type="spellEnd"/>
            <w:r w:rsidRPr="00872E6F">
              <w:rPr>
                <w:rFonts w:ascii="Arial Narrow" w:hAnsi="Arial Narrow"/>
                <w:sz w:val="20"/>
              </w:rPr>
              <w:t>)</w:t>
            </w:r>
          </w:p>
        </w:tc>
        <w:tc>
          <w:tcPr>
            <w:tcW w:w="1454" w:type="dxa"/>
            <w:gridSpan w:val="2"/>
          </w:tcPr>
          <w:p w:rsidR="005F5620" w:rsidRPr="00872E6F" w:rsidRDefault="005F5620" w:rsidP="005F5620">
            <w:pPr>
              <w:jc w:val="center"/>
              <w:rPr>
                <w:rFonts w:ascii="Arial Narrow" w:hAnsi="Arial Narrow"/>
                <w:sz w:val="20"/>
              </w:rPr>
            </w:pPr>
            <w:proofErr w:type="spellStart"/>
            <w:r w:rsidRPr="00872E6F">
              <w:rPr>
                <w:rFonts w:ascii="Arial Narrow" w:hAnsi="Arial Narrow"/>
                <w:sz w:val="20"/>
              </w:rPr>
              <w:t>nc</w:t>
            </w:r>
            <w:proofErr w:type="spellEnd"/>
            <w:r w:rsidRPr="00872E6F">
              <w:rPr>
                <w:rFonts w:ascii="Arial Narrow" w:hAnsi="Arial Narrow"/>
                <w:sz w:val="20"/>
              </w:rPr>
              <w:t xml:space="preserve"> (226, </w:t>
            </w:r>
            <w:proofErr w:type="spellStart"/>
            <w:r w:rsidRPr="00872E6F">
              <w:rPr>
                <w:rFonts w:ascii="Arial Narrow" w:hAnsi="Arial Narrow"/>
                <w:sz w:val="20"/>
              </w:rPr>
              <w:t>nc</w:t>
            </w:r>
            <w:proofErr w:type="spellEnd"/>
            <w:r w:rsidRPr="00872E6F">
              <w:rPr>
                <w:rFonts w:ascii="Arial Narrow" w:hAnsi="Arial Narrow"/>
                <w:sz w:val="20"/>
              </w:rPr>
              <w:t>)</w:t>
            </w:r>
          </w:p>
        </w:tc>
        <w:tc>
          <w:tcPr>
            <w:tcW w:w="2008" w:type="dxa"/>
            <w:gridSpan w:val="5"/>
            <w:vAlign w:val="center"/>
          </w:tcPr>
          <w:p w:rsidR="005F5620" w:rsidRPr="00872E6F" w:rsidRDefault="005F5620" w:rsidP="005F5620">
            <w:pPr>
              <w:jc w:val="center"/>
              <w:rPr>
                <w:rFonts w:ascii="Arial Narrow" w:hAnsi="Arial Narrow"/>
                <w:color w:val="000000"/>
                <w:sz w:val="20"/>
                <w:szCs w:val="18"/>
              </w:rPr>
            </w:pPr>
            <w:proofErr w:type="spellStart"/>
            <w:r w:rsidRPr="00872E6F">
              <w:rPr>
                <w:rFonts w:ascii="Arial Narrow" w:hAnsi="Arial Narrow"/>
                <w:color w:val="000000"/>
                <w:sz w:val="20"/>
                <w:szCs w:val="18"/>
              </w:rPr>
              <w:t>nc</w:t>
            </w:r>
            <w:proofErr w:type="spellEnd"/>
          </w:p>
        </w:tc>
        <w:tc>
          <w:tcPr>
            <w:tcW w:w="1423" w:type="dxa"/>
            <w:vAlign w:val="center"/>
          </w:tcPr>
          <w:p w:rsidR="005F5620" w:rsidRPr="00872E6F" w:rsidRDefault="005F5620" w:rsidP="005F5620">
            <w:pPr>
              <w:jc w:val="center"/>
              <w:rPr>
                <w:rFonts w:ascii="Arial Narrow" w:hAnsi="Arial Narrow"/>
                <w:b/>
                <w:sz w:val="20"/>
              </w:rPr>
            </w:pPr>
            <w:r w:rsidRPr="00872E6F">
              <w:rPr>
                <w:rFonts w:ascii="Arial Narrow" w:hAnsi="Arial Narrow"/>
                <w:b/>
                <w:sz w:val="20"/>
              </w:rPr>
              <w:t>0.79 (0.62, 1.00)</w:t>
            </w:r>
          </w:p>
        </w:tc>
      </w:tr>
      <w:tr w:rsidR="00DC05E3" w:rsidRPr="00E2771E" w:rsidTr="003B7DA4">
        <w:trPr>
          <w:trHeight w:val="20"/>
        </w:trPr>
        <w:tc>
          <w:tcPr>
            <w:tcW w:w="8429" w:type="dxa"/>
            <w:gridSpan w:val="13"/>
            <w:tcBorders>
              <w:top w:val="double" w:sz="4" w:space="0" w:color="auto"/>
            </w:tcBorders>
            <w:shd w:val="clear" w:color="auto" w:fill="auto"/>
            <w:vAlign w:val="center"/>
          </w:tcPr>
          <w:p w:rsidR="00DC05E3" w:rsidRPr="00E2771E" w:rsidRDefault="00DC05E3" w:rsidP="00E61788">
            <w:pPr>
              <w:keepNext/>
              <w:widowControl/>
              <w:rPr>
                <w:rFonts w:ascii="Arial Narrow" w:hAnsi="Arial Narrow"/>
                <w:b/>
                <w:color w:val="000000"/>
                <w:sz w:val="20"/>
                <w:szCs w:val="18"/>
              </w:rPr>
            </w:pPr>
            <w:r w:rsidRPr="00E2771E">
              <w:rPr>
                <w:rFonts w:ascii="Arial Narrow" w:hAnsi="Arial Narrow"/>
                <w:b/>
                <w:color w:val="000000"/>
                <w:sz w:val="20"/>
                <w:szCs w:val="18"/>
              </w:rPr>
              <w:t>Harms</w:t>
            </w:r>
            <w:r w:rsidR="005F5620">
              <w:rPr>
                <w:rFonts w:ascii="Arial Narrow" w:hAnsi="Arial Narrow"/>
                <w:b/>
                <w:color w:val="000000"/>
                <w:sz w:val="20"/>
                <w:szCs w:val="18"/>
              </w:rPr>
              <w:t xml:space="preserve"> </w:t>
            </w:r>
            <w:r w:rsidR="005F5620" w:rsidRPr="005F5620">
              <w:rPr>
                <w:rFonts w:ascii="Arial Narrow" w:hAnsi="Arial Narrow"/>
                <w:b/>
                <w:i/>
                <w:color w:val="000000"/>
                <w:sz w:val="20"/>
                <w:szCs w:val="18"/>
                <w:vertAlign w:val="superscript"/>
              </w:rPr>
              <w:t>c</w:t>
            </w:r>
          </w:p>
        </w:tc>
      </w:tr>
      <w:tr w:rsidR="00DC05E3" w:rsidRPr="00E2771E" w:rsidTr="003B7DA4">
        <w:trPr>
          <w:trHeight w:val="20"/>
        </w:trPr>
        <w:tc>
          <w:tcPr>
            <w:tcW w:w="1410" w:type="dxa"/>
            <w:vMerge w:val="restart"/>
            <w:shd w:val="clear" w:color="auto" w:fill="auto"/>
            <w:vAlign w:val="center"/>
          </w:tcPr>
          <w:p w:rsidR="00DC05E3" w:rsidRPr="00C4710F" w:rsidRDefault="00DC05E3" w:rsidP="00E61788">
            <w:pPr>
              <w:keepNext/>
              <w:widowControl/>
              <w:rPr>
                <w:rFonts w:ascii="Arial Narrow" w:hAnsi="Arial Narrow"/>
                <w:b/>
                <w:color w:val="000000"/>
                <w:sz w:val="20"/>
              </w:rPr>
            </w:pPr>
          </w:p>
        </w:tc>
        <w:tc>
          <w:tcPr>
            <w:tcW w:w="1308" w:type="dxa"/>
            <w:gridSpan w:val="2"/>
            <w:vMerge w:val="restart"/>
            <w:vAlign w:val="center"/>
          </w:tcPr>
          <w:p w:rsidR="00DC05E3" w:rsidRPr="004E2ADC" w:rsidRDefault="00E70EEB" w:rsidP="00E61788">
            <w:pPr>
              <w:keepNext/>
              <w:widowControl/>
              <w:ind w:right="-108"/>
              <w:jc w:val="center"/>
              <w:rPr>
                <w:rFonts w:ascii="Arial Narrow" w:hAnsi="Arial Narrow"/>
                <w:b/>
                <w:sz w:val="20"/>
              </w:rPr>
            </w:pPr>
            <w:proofErr w:type="spellStart"/>
            <w:r>
              <w:rPr>
                <w:rFonts w:ascii="Arial Narrow" w:hAnsi="Arial Narrow"/>
                <w:b/>
                <w:sz w:val="20"/>
              </w:rPr>
              <w:t>Tiotropium</w:t>
            </w:r>
            <w:proofErr w:type="spellEnd"/>
          </w:p>
          <w:p w:rsidR="00DC05E3" w:rsidRPr="004E2ADC" w:rsidRDefault="00DC05E3" w:rsidP="00E61788">
            <w:pPr>
              <w:keepNext/>
              <w:widowControl/>
              <w:jc w:val="center"/>
              <w:rPr>
                <w:rFonts w:ascii="Arial Narrow" w:hAnsi="Arial Narrow"/>
                <w:sz w:val="20"/>
              </w:rPr>
            </w:pPr>
            <w:r w:rsidRPr="004E2ADC">
              <w:rPr>
                <w:rFonts w:ascii="Arial Narrow" w:hAnsi="Arial Narrow"/>
                <w:b/>
                <w:sz w:val="20"/>
              </w:rPr>
              <w:t xml:space="preserve">n/N </w:t>
            </w:r>
          </w:p>
        </w:tc>
        <w:tc>
          <w:tcPr>
            <w:tcW w:w="1060" w:type="dxa"/>
            <w:gridSpan w:val="3"/>
            <w:vMerge w:val="restart"/>
            <w:vAlign w:val="center"/>
          </w:tcPr>
          <w:p w:rsidR="00DC05E3" w:rsidRPr="004E2ADC" w:rsidRDefault="00DC05E3" w:rsidP="00E61788">
            <w:pPr>
              <w:keepNext/>
              <w:widowControl/>
              <w:jc w:val="center"/>
              <w:rPr>
                <w:rFonts w:ascii="Arial Narrow" w:hAnsi="Arial Narrow"/>
                <w:b/>
                <w:sz w:val="20"/>
              </w:rPr>
            </w:pPr>
            <w:r>
              <w:rPr>
                <w:rFonts w:ascii="Arial Narrow" w:hAnsi="Arial Narrow"/>
                <w:b/>
                <w:sz w:val="20"/>
              </w:rPr>
              <w:t>Placebo</w:t>
            </w:r>
          </w:p>
          <w:p w:rsidR="00DC05E3" w:rsidRPr="004E2ADC" w:rsidRDefault="00DC05E3" w:rsidP="00E61788">
            <w:pPr>
              <w:keepNext/>
              <w:widowControl/>
              <w:jc w:val="center"/>
              <w:rPr>
                <w:rFonts w:ascii="Arial Narrow" w:hAnsi="Arial Narrow"/>
                <w:sz w:val="20"/>
              </w:rPr>
            </w:pPr>
            <w:r w:rsidRPr="004E2ADC">
              <w:rPr>
                <w:rFonts w:ascii="Arial Narrow" w:hAnsi="Arial Narrow"/>
                <w:b/>
                <w:sz w:val="20"/>
              </w:rPr>
              <w:t xml:space="preserve">n/N </w:t>
            </w:r>
          </w:p>
        </w:tc>
        <w:tc>
          <w:tcPr>
            <w:tcW w:w="1364" w:type="dxa"/>
            <w:gridSpan w:val="2"/>
            <w:vMerge w:val="restart"/>
            <w:vAlign w:val="center"/>
          </w:tcPr>
          <w:p w:rsidR="00DC05E3" w:rsidRPr="00C4710F" w:rsidRDefault="00DC05E3" w:rsidP="00E61788">
            <w:pPr>
              <w:keepNext/>
              <w:widowControl/>
              <w:jc w:val="center"/>
              <w:rPr>
                <w:rFonts w:ascii="Arial Narrow" w:hAnsi="Arial Narrow"/>
                <w:b/>
                <w:color w:val="000000"/>
                <w:sz w:val="20"/>
              </w:rPr>
            </w:pPr>
            <w:r w:rsidRPr="00C4710F">
              <w:rPr>
                <w:rFonts w:ascii="Arial Narrow" w:hAnsi="Arial Narrow"/>
                <w:b/>
                <w:color w:val="000000"/>
                <w:sz w:val="20"/>
              </w:rPr>
              <w:t>RR</w:t>
            </w:r>
          </w:p>
          <w:p w:rsidR="00DC05E3" w:rsidRPr="00C4710F" w:rsidRDefault="00DC05E3" w:rsidP="00E61788">
            <w:pPr>
              <w:keepNext/>
              <w:widowControl/>
              <w:jc w:val="center"/>
              <w:rPr>
                <w:rFonts w:ascii="Arial Narrow" w:hAnsi="Arial Narrow"/>
                <w:b/>
                <w:color w:val="000000"/>
                <w:sz w:val="20"/>
              </w:rPr>
            </w:pPr>
            <w:r w:rsidRPr="00C4710F">
              <w:rPr>
                <w:rFonts w:ascii="Arial Narrow" w:hAnsi="Arial Narrow"/>
                <w:b/>
                <w:color w:val="000000"/>
                <w:sz w:val="20"/>
              </w:rPr>
              <w:t>(95% CI)</w:t>
            </w:r>
          </w:p>
        </w:tc>
        <w:tc>
          <w:tcPr>
            <w:tcW w:w="1701" w:type="dxa"/>
            <w:gridSpan w:val="3"/>
            <w:vAlign w:val="center"/>
          </w:tcPr>
          <w:p w:rsidR="00DC05E3" w:rsidRPr="00E2771E" w:rsidRDefault="00DC05E3" w:rsidP="00E61788">
            <w:pPr>
              <w:keepNext/>
              <w:widowControl/>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1586" w:type="dxa"/>
            <w:gridSpan w:val="2"/>
            <w:vMerge w:val="restart"/>
            <w:vAlign w:val="center"/>
          </w:tcPr>
          <w:p w:rsidR="00DC05E3" w:rsidRPr="00E2771E" w:rsidRDefault="00DC05E3" w:rsidP="00E61788">
            <w:pPr>
              <w:keepNext/>
              <w:widowControl/>
              <w:jc w:val="center"/>
              <w:rPr>
                <w:rFonts w:ascii="Arial Narrow" w:hAnsi="Arial Narrow"/>
                <w:b/>
                <w:color w:val="000000"/>
                <w:sz w:val="20"/>
                <w:szCs w:val="18"/>
              </w:rPr>
            </w:pPr>
            <w:r w:rsidRPr="00E2771E">
              <w:rPr>
                <w:rFonts w:ascii="Arial Narrow" w:hAnsi="Arial Narrow"/>
                <w:b/>
                <w:color w:val="000000"/>
                <w:sz w:val="20"/>
                <w:szCs w:val="18"/>
              </w:rPr>
              <w:t>RD</w:t>
            </w:r>
          </w:p>
          <w:p w:rsidR="00DC05E3" w:rsidRPr="00E2771E" w:rsidRDefault="00DC05E3" w:rsidP="00E61788">
            <w:pPr>
              <w:keepNext/>
              <w:widowControl/>
              <w:jc w:val="center"/>
              <w:rPr>
                <w:rFonts w:ascii="Arial Narrow" w:hAnsi="Arial Narrow"/>
                <w:b/>
                <w:color w:val="000000"/>
                <w:sz w:val="20"/>
                <w:szCs w:val="18"/>
              </w:rPr>
            </w:pPr>
            <w:r w:rsidRPr="00E2771E">
              <w:rPr>
                <w:rFonts w:ascii="Arial Narrow" w:hAnsi="Arial Narrow"/>
                <w:b/>
                <w:color w:val="000000"/>
                <w:sz w:val="20"/>
                <w:szCs w:val="18"/>
              </w:rPr>
              <w:t>(95% CI)</w:t>
            </w:r>
          </w:p>
        </w:tc>
      </w:tr>
      <w:tr w:rsidR="00E70EEB" w:rsidRPr="00E2771E" w:rsidTr="003B7DA4">
        <w:trPr>
          <w:trHeight w:val="20"/>
        </w:trPr>
        <w:tc>
          <w:tcPr>
            <w:tcW w:w="1410" w:type="dxa"/>
            <w:vMerge/>
            <w:shd w:val="clear" w:color="auto" w:fill="auto"/>
            <w:vAlign w:val="center"/>
          </w:tcPr>
          <w:p w:rsidR="00E70EEB" w:rsidRPr="00C4710F" w:rsidRDefault="00E70EEB" w:rsidP="00E61788">
            <w:pPr>
              <w:keepNext/>
              <w:widowControl/>
              <w:rPr>
                <w:rFonts w:ascii="Arial Narrow" w:hAnsi="Arial Narrow"/>
                <w:b/>
                <w:color w:val="000000"/>
                <w:sz w:val="20"/>
              </w:rPr>
            </w:pPr>
          </w:p>
        </w:tc>
        <w:tc>
          <w:tcPr>
            <w:tcW w:w="1308" w:type="dxa"/>
            <w:gridSpan w:val="2"/>
            <w:vMerge/>
            <w:vAlign w:val="center"/>
          </w:tcPr>
          <w:p w:rsidR="00E70EEB" w:rsidRPr="00C4710F" w:rsidRDefault="00E70EEB" w:rsidP="00E61788">
            <w:pPr>
              <w:keepNext/>
              <w:widowControl/>
              <w:jc w:val="center"/>
              <w:rPr>
                <w:rFonts w:ascii="Arial Narrow" w:hAnsi="Arial Narrow"/>
                <w:b/>
                <w:color w:val="000000"/>
                <w:sz w:val="20"/>
              </w:rPr>
            </w:pPr>
          </w:p>
        </w:tc>
        <w:tc>
          <w:tcPr>
            <w:tcW w:w="1060" w:type="dxa"/>
            <w:gridSpan w:val="3"/>
            <w:vMerge/>
            <w:vAlign w:val="center"/>
          </w:tcPr>
          <w:p w:rsidR="00E70EEB" w:rsidRPr="00C4710F" w:rsidRDefault="00E70EEB" w:rsidP="00E61788">
            <w:pPr>
              <w:keepNext/>
              <w:widowControl/>
              <w:jc w:val="center"/>
              <w:rPr>
                <w:rFonts w:ascii="Arial Narrow" w:hAnsi="Arial Narrow"/>
                <w:b/>
                <w:color w:val="000000"/>
                <w:sz w:val="20"/>
              </w:rPr>
            </w:pPr>
          </w:p>
        </w:tc>
        <w:tc>
          <w:tcPr>
            <w:tcW w:w="1364" w:type="dxa"/>
            <w:gridSpan w:val="2"/>
            <w:vMerge/>
            <w:vAlign w:val="center"/>
          </w:tcPr>
          <w:p w:rsidR="00E70EEB" w:rsidRPr="00C4710F" w:rsidRDefault="00E70EEB" w:rsidP="00E61788">
            <w:pPr>
              <w:keepNext/>
              <w:widowControl/>
              <w:jc w:val="center"/>
              <w:rPr>
                <w:rFonts w:ascii="Arial Narrow" w:hAnsi="Arial Narrow"/>
                <w:b/>
                <w:color w:val="000000"/>
                <w:sz w:val="20"/>
              </w:rPr>
            </w:pPr>
          </w:p>
        </w:tc>
        <w:tc>
          <w:tcPr>
            <w:tcW w:w="992" w:type="dxa"/>
            <w:vAlign w:val="center"/>
          </w:tcPr>
          <w:p w:rsidR="00E70EEB" w:rsidRPr="00E2771E" w:rsidRDefault="00E70EEB" w:rsidP="00E61788">
            <w:pPr>
              <w:keepNext/>
              <w:widowControl/>
              <w:jc w:val="center"/>
              <w:rPr>
                <w:rFonts w:ascii="Arial Narrow" w:hAnsi="Arial Narrow"/>
                <w:b/>
                <w:color w:val="000000"/>
                <w:sz w:val="20"/>
                <w:szCs w:val="18"/>
              </w:rPr>
            </w:pPr>
            <w:proofErr w:type="spellStart"/>
            <w:r>
              <w:rPr>
                <w:rFonts w:ascii="Arial Narrow" w:hAnsi="Arial Narrow"/>
                <w:b/>
                <w:sz w:val="20"/>
              </w:rPr>
              <w:t>Tiotropium</w:t>
            </w:r>
            <w:proofErr w:type="spellEnd"/>
          </w:p>
        </w:tc>
        <w:tc>
          <w:tcPr>
            <w:tcW w:w="709" w:type="dxa"/>
            <w:gridSpan w:val="2"/>
            <w:vAlign w:val="center"/>
          </w:tcPr>
          <w:p w:rsidR="00E70EEB" w:rsidRPr="00E2771E" w:rsidRDefault="00E70EEB" w:rsidP="00E61788">
            <w:pPr>
              <w:keepNext/>
              <w:widowControl/>
              <w:jc w:val="center"/>
              <w:rPr>
                <w:rFonts w:ascii="Arial Narrow" w:hAnsi="Arial Narrow"/>
                <w:b/>
                <w:color w:val="000000"/>
                <w:sz w:val="20"/>
                <w:szCs w:val="18"/>
              </w:rPr>
            </w:pPr>
            <w:r w:rsidRPr="00DC05E3">
              <w:rPr>
                <w:rFonts w:ascii="Arial Narrow" w:hAnsi="Arial Narrow"/>
                <w:b/>
                <w:color w:val="000000"/>
                <w:sz w:val="20"/>
                <w:szCs w:val="18"/>
              </w:rPr>
              <w:t>Placebo</w:t>
            </w:r>
          </w:p>
        </w:tc>
        <w:tc>
          <w:tcPr>
            <w:tcW w:w="1586" w:type="dxa"/>
            <w:gridSpan w:val="2"/>
            <w:vMerge/>
            <w:vAlign w:val="center"/>
          </w:tcPr>
          <w:p w:rsidR="00E70EEB" w:rsidRPr="00E2771E" w:rsidRDefault="00E70EEB" w:rsidP="00E61788">
            <w:pPr>
              <w:keepNext/>
              <w:widowControl/>
              <w:jc w:val="center"/>
              <w:rPr>
                <w:rFonts w:ascii="Arial Narrow" w:hAnsi="Arial Narrow"/>
                <w:b/>
                <w:color w:val="000000"/>
                <w:sz w:val="20"/>
                <w:szCs w:val="18"/>
              </w:rPr>
            </w:pPr>
          </w:p>
        </w:tc>
      </w:tr>
      <w:tr w:rsidR="00E70EEB" w:rsidRPr="00E2771E" w:rsidTr="003B7DA4">
        <w:trPr>
          <w:trHeight w:val="20"/>
        </w:trPr>
        <w:tc>
          <w:tcPr>
            <w:tcW w:w="8429" w:type="dxa"/>
            <w:gridSpan w:val="13"/>
            <w:shd w:val="clear" w:color="auto" w:fill="auto"/>
            <w:vAlign w:val="center"/>
          </w:tcPr>
          <w:p w:rsidR="00E70EEB" w:rsidRPr="00C4710F" w:rsidRDefault="00E70EEB" w:rsidP="00E61788">
            <w:pPr>
              <w:keepNext/>
              <w:widowControl/>
              <w:rPr>
                <w:rFonts w:ascii="Arial Narrow" w:hAnsi="Arial Narrow"/>
                <w:b/>
                <w:color w:val="000000"/>
                <w:sz w:val="20"/>
              </w:rPr>
            </w:pPr>
            <w:r w:rsidRPr="00C4710F">
              <w:rPr>
                <w:rFonts w:ascii="Arial Narrow" w:hAnsi="Arial Narrow"/>
                <w:b/>
                <w:color w:val="000000"/>
                <w:sz w:val="20"/>
              </w:rPr>
              <w:t xml:space="preserve">Any </w:t>
            </w:r>
            <w:r w:rsidR="003228CE" w:rsidRPr="003228CE">
              <w:rPr>
                <w:rFonts w:ascii="Arial Narrow" w:hAnsi="Arial Narrow"/>
                <w:b/>
                <w:color w:val="000000"/>
                <w:sz w:val="20"/>
              </w:rPr>
              <w:t>adverse event</w:t>
            </w:r>
          </w:p>
        </w:tc>
      </w:tr>
      <w:tr w:rsidR="00E70EEB" w:rsidRPr="00E2771E" w:rsidTr="003B7DA4">
        <w:trPr>
          <w:trHeight w:val="20"/>
        </w:trPr>
        <w:tc>
          <w:tcPr>
            <w:tcW w:w="1410" w:type="dxa"/>
            <w:shd w:val="clear" w:color="auto" w:fill="auto"/>
            <w:vAlign w:val="center"/>
          </w:tcPr>
          <w:p w:rsidR="00E70EEB" w:rsidRPr="00C4710F" w:rsidRDefault="00E70EEB" w:rsidP="00E61788">
            <w:pPr>
              <w:keepNext/>
              <w:widowControl/>
              <w:tabs>
                <w:tab w:val="left" w:pos="150"/>
              </w:tabs>
              <w:jc w:val="left"/>
              <w:rPr>
                <w:rFonts w:ascii="Arial Narrow" w:hAnsi="Arial Narrow"/>
                <w:sz w:val="20"/>
              </w:rPr>
            </w:pPr>
            <w:r w:rsidRPr="00C4710F">
              <w:rPr>
                <w:rFonts w:ascii="Arial Narrow" w:hAnsi="Arial Narrow"/>
                <w:sz w:val="20"/>
              </w:rPr>
              <w:t>205.416</w:t>
            </w:r>
            <w:r w:rsidR="00910785">
              <w:rPr>
                <w:rFonts w:ascii="Arial Narrow" w:hAnsi="Arial Narrow"/>
                <w:sz w:val="20"/>
              </w:rPr>
              <w:t>/</w:t>
            </w:r>
            <w:r w:rsidR="00910785" w:rsidRPr="00C4710F">
              <w:rPr>
                <w:rFonts w:ascii="Arial Narrow" w:hAnsi="Arial Narrow"/>
                <w:sz w:val="20"/>
              </w:rPr>
              <w:t>205.417</w:t>
            </w:r>
          </w:p>
        </w:tc>
        <w:tc>
          <w:tcPr>
            <w:tcW w:w="1308" w:type="dxa"/>
            <w:gridSpan w:val="2"/>
            <w:vAlign w:val="center"/>
          </w:tcPr>
          <w:p w:rsidR="00E70EEB" w:rsidRPr="00C4710F" w:rsidRDefault="00910785" w:rsidP="00E61788">
            <w:pPr>
              <w:keepNext/>
              <w:widowControl/>
              <w:jc w:val="center"/>
              <w:rPr>
                <w:rFonts w:ascii="Arial Narrow" w:hAnsi="Arial Narrow"/>
                <w:sz w:val="20"/>
              </w:rPr>
            </w:pPr>
            <w:r>
              <w:rPr>
                <w:rFonts w:ascii="Arial Narrow" w:hAnsi="Arial Narrow"/>
                <w:sz w:val="20"/>
              </w:rPr>
              <w:t>335/456</w:t>
            </w:r>
          </w:p>
        </w:tc>
        <w:tc>
          <w:tcPr>
            <w:tcW w:w="1060" w:type="dxa"/>
            <w:gridSpan w:val="3"/>
            <w:vAlign w:val="center"/>
          </w:tcPr>
          <w:p w:rsidR="00E70EEB" w:rsidRPr="00C4710F" w:rsidRDefault="00910785" w:rsidP="00E61788">
            <w:pPr>
              <w:keepNext/>
              <w:widowControl/>
              <w:jc w:val="center"/>
              <w:rPr>
                <w:rFonts w:ascii="Arial Narrow" w:hAnsi="Arial Narrow"/>
                <w:sz w:val="20"/>
              </w:rPr>
            </w:pPr>
            <w:r>
              <w:rPr>
                <w:rFonts w:ascii="Arial Narrow" w:hAnsi="Arial Narrow"/>
                <w:sz w:val="20"/>
              </w:rPr>
              <w:t>366/456</w:t>
            </w:r>
          </w:p>
        </w:tc>
        <w:tc>
          <w:tcPr>
            <w:tcW w:w="1364" w:type="dxa"/>
            <w:gridSpan w:val="2"/>
            <w:vAlign w:val="center"/>
          </w:tcPr>
          <w:p w:rsidR="00E70EEB" w:rsidRPr="00C4710F" w:rsidRDefault="00910785" w:rsidP="00E61788">
            <w:pPr>
              <w:keepNext/>
              <w:widowControl/>
              <w:jc w:val="center"/>
              <w:rPr>
                <w:rFonts w:ascii="Arial Narrow" w:hAnsi="Arial Narrow"/>
                <w:sz w:val="20"/>
              </w:rPr>
            </w:pPr>
            <w:r w:rsidRPr="00910785">
              <w:rPr>
                <w:rFonts w:ascii="Arial Narrow" w:hAnsi="Arial Narrow"/>
                <w:b/>
                <w:color w:val="000000"/>
                <w:sz w:val="20"/>
              </w:rPr>
              <w:t>0.92 (0.86, 0.99)</w:t>
            </w:r>
          </w:p>
        </w:tc>
        <w:tc>
          <w:tcPr>
            <w:tcW w:w="992" w:type="dxa"/>
            <w:vAlign w:val="center"/>
          </w:tcPr>
          <w:p w:rsidR="00E70EEB" w:rsidRPr="00E2771E" w:rsidRDefault="00910785" w:rsidP="00E61788">
            <w:pPr>
              <w:keepNext/>
              <w:widowControl/>
              <w:jc w:val="center"/>
              <w:rPr>
                <w:rFonts w:ascii="Arial Narrow" w:hAnsi="Arial Narrow"/>
                <w:color w:val="000000"/>
                <w:sz w:val="20"/>
                <w:szCs w:val="18"/>
              </w:rPr>
            </w:pPr>
            <w:r>
              <w:rPr>
                <w:rFonts w:ascii="Arial Narrow" w:hAnsi="Arial Narrow"/>
                <w:color w:val="000000"/>
                <w:sz w:val="20"/>
                <w:szCs w:val="18"/>
              </w:rPr>
              <w:t>73</w:t>
            </w:r>
          </w:p>
        </w:tc>
        <w:tc>
          <w:tcPr>
            <w:tcW w:w="709" w:type="dxa"/>
            <w:gridSpan w:val="2"/>
            <w:vAlign w:val="center"/>
          </w:tcPr>
          <w:p w:rsidR="00E70EEB" w:rsidRPr="00E2771E" w:rsidRDefault="00910785" w:rsidP="00E61788">
            <w:pPr>
              <w:keepNext/>
              <w:widowControl/>
              <w:jc w:val="center"/>
              <w:rPr>
                <w:rFonts w:ascii="Arial Narrow" w:hAnsi="Arial Narrow"/>
                <w:color w:val="000000"/>
                <w:sz w:val="20"/>
                <w:szCs w:val="18"/>
              </w:rPr>
            </w:pPr>
            <w:r>
              <w:rPr>
                <w:rFonts w:ascii="Arial Narrow" w:hAnsi="Arial Narrow"/>
                <w:color w:val="000000"/>
                <w:sz w:val="20"/>
                <w:szCs w:val="18"/>
              </w:rPr>
              <w:t>80</w:t>
            </w:r>
          </w:p>
        </w:tc>
        <w:tc>
          <w:tcPr>
            <w:tcW w:w="1586" w:type="dxa"/>
            <w:gridSpan w:val="2"/>
            <w:vAlign w:val="center"/>
          </w:tcPr>
          <w:p w:rsidR="00E70EEB" w:rsidRPr="00E2771E" w:rsidRDefault="00910785" w:rsidP="00E61788">
            <w:pPr>
              <w:keepNext/>
              <w:widowControl/>
              <w:jc w:val="center"/>
              <w:rPr>
                <w:rFonts w:ascii="Arial Narrow" w:hAnsi="Arial Narrow"/>
                <w:color w:val="000000"/>
                <w:sz w:val="20"/>
                <w:szCs w:val="18"/>
              </w:rPr>
            </w:pPr>
            <w:r w:rsidRPr="00910785">
              <w:rPr>
                <w:rFonts w:ascii="Arial Narrow" w:hAnsi="Arial Narrow"/>
                <w:b/>
                <w:color w:val="000000"/>
                <w:sz w:val="20"/>
                <w:szCs w:val="18"/>
              </w:rPr>
              <w:t>-0.07 (-0.12, -0.01)</w:t>
            </w:r>
          </w:p>
        </w:tc>
      </w:tr>
      <w:tr w:rsidR="00E70EEB" w:rsidRPr="00E2771E" w:rsidTr="003B7DA4">
        <w:trPr>
          <w:trHeight w:val="20"/>
        </w:trPr>
        <w:tc>
          <w:tcPr>
            <w:tcW w:w="8429" w:type="dxa"/>
            <w:gridSpan w:val="13"/>
            <w:shd w:val="clear" w:color="auto" w:fill="auto"/>
            <w:vAlign w:val="center"/>
          </w:tcPr>
          <w:p w:rsidR="00E70EEB" w:rsidRPr="00C4710F" w:rsidRDefault="00E70EEB" w:rsidP="00E61788">
            <w:pPr>
              <w:keepNext/>
              <w:widowControl/>
              <w:jc w:val="left"/>
              <w:rPr>
                <w:rFonts w:ascii="Arial Narrow" w:hAnsi="Arial Narrow"/>
                <w:b/>
                <w:color w:val="000000"/>
                <w:sz w:val="20"/>
                <w:szCs w:val="18"/>
              </w:rPr>
            </w:pPr>
            <w:r w:rsidRPr="00C4710F">
              <w:rPr>
                <w:rFonts w:ascii="Arial Narrow" w:hAnsi="Arial Narrow"/>
                <w:b/>
                <w:sz w:val="20"/>
              </w:rPr>
              <w:t xml:space="preserve">Any serious </w:t>
            </w:r>
            <w:r w:rsidR="003228CE">
              <w:rPr>
                <w:rFonts w:ascii="Arial Narrow" w:hAnsi="Arial Narrow"/>
                <w:b/>
                <w:sz w:val="20"/>
              </w:rPr>
              <w:t>adverse event</w:t>
            </w:r>
            <w:r w:rsidRPr="00C4710F">
              <w:rPr>
                <w:rFonts w:ascii="Arial Narrow" w:hAnsi="Arial Narrow"/>
                <w:b/>
                <w:sz w:val="20"/>
              </w:rPr>
              <w:t>s</w:t>
            </w:r>
          </w:p>
        </w:tc>
      </w:tr>
      <w:tr w:rsidR="00E70EEB" w:rsidRPr="00E2771E" w:rsidTr="003B7DA4">
        <w:trPr>
          <w:trHeight w:val="20"/>
        </w:trPr>
        <w:tc>
          <w:tcPr>
            <w:tcW w:w="1410" w:type="dxa"/>
            <w:shd w:val="clear" w:color="auto" w:fill="auto"/>
            <w:vAlign w:val="center"/>
          </w:tcPr>
          <w:p w:rsidR="00E70EEB" w:rsidRPr="00C4710F" w:rsidRDefault="00910785" w:rsidP="00E61788">
            <w:pPr>
              <w:pStyle w:val="Tabletext"/>
              <w:keepNext/>
            </w:pPr>
            <w:r w:rsidRPr="00C4710F">
              <w:t>205.416</w:t>
            </w:r>
            <w:r>
              <w:t>/</w:t>
            </w:r>
            <w:r w:rsidRPr="00C4710F">
              <w:t>205.417</w:t>
            </w:r>
          </w:p>
        </w:tc>
        <w:tc>
          <w:tcPr>
            <w:tcW w:w="1308" w:type="dxa"/>
            <w:gridSpan w:val="2"/>
            <w:vAlign w:val="center"/>
          </w:tcPr>
          <w:p w:rsidR="00E70EEB" w:rsidRPr="00C4710F" w:rsidRDefault="00910785" w:rsidP="00E61788">
            <w:pPr>
              <w:pStyle w:val="Tabletext"/>
              <w:keepNext/>
              <w:jc w:val="center"/>
            </w:pPr>
            <w:r>
              <w:t>37/456</w:t>
            </w:r>
          </w:p>
        </w:tc>
        <w:tc>
          <w:tcPr>
            <w:tcW w:w="1060" w:type="dxa"/>
            <w:gridSpan w:val="3"/>
            <w:vAlign w:val="center"/>
          </w:tcPr>
          <w:p w:rsidR="00E70EEB" w:rsidRPr="00C4710F" w:rsidRDefault="00910785" w:rsidP="00E61788">
            <w:pPr>
              <w:pStyle w:val="Tabletext"/>
              <w:keepNext/>
              <w:jc w:val="center"/>
            </w:pPr>
            <w:r>
              <w:t>40/456</w:t>
            </w:r>
          </w:p>
        </w:tc>
        <w:tc>
          <w:tcPr>
            <w:tcW w:w="1364" w:type="dxa"/>
            <w:gridSpan w:val="2"/>
            <w:vAlign w:val="center"/>
          </w:tcPr>
          <w:p w:rsidR="00E70EEB" w:rsidRPr="00C4710F" w:rsidRDefault="00910785" w:rsidP="00E61788">
            <w:pPr>
              <w:pStyle w:val="Tabletext"/>
              <w:keepNext/>
              <w:jc w:val="center"/>
            </w:pPr>
            <w:r w:rsidRPr="00C4710F">
              <w:t>0.93 (0.61, 1.43)</w:t>
            </w:r>
          </w:p>
        </w:tc>
        <w:tc>
          <w:tcPr>
            <w:tcW w:w="992" w:type="dxa"/>
            <w:vAlign w:val="center"/>
          </w:tcPr>
          <w:p w:rsidR="00E70EEB" w:rsidRPr="00E2771E" w:rsidRDefault="00910785" w:rsidP="00E61788">
            <w:pPr>
              <w:keepNext/>
              <w:widowControl/>
              <w:jc w:val="center"/>
              <w:rPr>
                <w:rFonts w:ascii="Arial Narrow" w:hAnsi="Arial Narrow"/>
                <w:color w:val="000000"/>
                <w:sz w:val="20"/>
                <w:szCs w:val="18"/>
              </w:rPr>
            </w:pPr>
            <w:r>
              <w:rPr>
                <w:rFonts w:ascii="Arial Narrow" w:hAnsi="Arial Narrow"/>
                <w:color w:val="000000"/>
                <w:sz w:val="20"/>
                <w:szCs w:val="18"/>
              </w:rPr>
              <w:t>8</w:t>
            </w:r>
          </w:p>
        </w:tc>
        <w:tc>
          <w:tcPr>
            <w:tcW w:w="709" w:type="dxa"/>
            <w:gridSpan w:val="2"/>
            <w:vAlign w:val="center"/>
          </w:tcPr>
          <w:p w:rsidR="00E70EEB" w:rsidRPr="00E2771E" w:rsidRDefault="00910785" w:rsidP="00E61788">
            <w:pPr>
              <w:keepNext/>
              <w:widowControl/>
              <w:jc w:val="center"/>
              <w:rPr>
                <w:rFonts w:ascii="Arial Narrow" w:hAnsi="Arial Narrow"/>
                <w:color w:val="000000"/>
                <w:sz w:val="20"/>
                <w:szCs w:val="18"/>
              </w:rPr>
            </w:pPr>
            <w:r>
              <w:rPr>
                <w:rFonts w:ascii="Arial Narrow" w:hAnsi="Arial Narrow"/>
                <w:color w:val="000000"/>
                <w:sz w:val="20"/>
                <w:szCs w:val="18"/>
              </w:rPr>
              <w:t>9</w:t>
            </w:r>
          </w:p>
        </w:tc>
        <w:tc>
          <w:tcPr>
            <w:tcW w:w="1586" w:type="dxa"/>
            <w:gridSpan w:val="2"/>
            <w:vAlign w:val="center"/>
          </w:tcPr>
          <w:p w:rsidR="00E70EEB" w:rsidRPr="00E2771E" w:rsidRDefault="00910785" w:rsidP="00E61788">
            <w:pPr>
              <w:keepNext/>
              <w:widowControl/>
              <w:jc w:val="center"/>
              <w:rPr>
                <w:rFonts w:ascii="Arial Narrow" w:hAnsi="Arial Narrow"/>
                <w:color w:val="000000"/>
                <w:sz w:val="20"/>
                <w:szCs w:val="18"/>
              </w:rPr>
            </w:pPr>
            <w:r>
              <w:rPr>
                <w:rFonts w:ascii="Arial Narrow" w:hAnsi="Arial Narrow"/>
                <w:color w:val="000000"/>
                <w:sz w:val="20"/>
                <w:szCs w:val="18"/>
              </w:rPr>
              <w:t>-0.01</w:t>
            </w:r>
            <w:r w:rsidRPr="00910785">
              <w:rPr>
                <w:rFonts w:ascii="Arial Narrow" w:hAnsi="Arial Narrow"/>
                <w:color w:val="000000"/>
                <w:sz w:val="20"/>
                <w:szCs w:val="18"/>
              </w:rPr>
              <w:t xml:space="preserve"> (-0.04, 0.03)</w:t>
            </w:r>
          </w:p>
        </w:tc>
      </w:tr>
      <w:tr w:rsidR="00910785" w:rsidRPr="00F41A2B" w:rsidTr="003B7DA4">
        <w:trPr>
          <w:trHeight w:val="20"/>
        </w:trPr>
        <w:tc>
          <w:tcPr>
            <w:tcW w:w="8429" w:type="dxa"/>
            <w:gridSpan w:val="13"/>
            <w:shd w:val="clear" w:color="auto" w:fill="auto"/>
            <w:vAlign w:val="center"/>
          </w:tcPr>
          <w:p w:rsidR="00910785" w:rsidRPr="00F41A2B" w:rsidRDefault="00910785" w:rsidP="00E61788">
            <w:pPr>
              <w:keepNext/>
              <w:widowControl/>
              <w:jc w:val="left"/>
              <w:rPr>
                <w:rFonts w:ascii="Arial Narrow" w:hAnsi="Arial Narrow"/>
                <w:b/>
                <w:color w:val="000000"/>
                <w:sz w:val="20"/>
              </w:rPr>
            </w:pPr>
            <w:r w:rsidRPr="00F41A2B">
              <w:rPr>
                <w:rFonts w:ascii="Arial Narrow" w:hAnsi="Arial Narrow"/>
                <w:b/>
                <w:sz w:val="20"/>
              </w:rPr>
              <w:t>Respiratory, thoracic and mediastinal disorders</w:t>
            </w:r>
          </w:p>
        </w:tc>
      </w:tr>
      <w:tr w:rsidR="00910785" w:rsidRPr="00F41A2B" w:rsidTr="003B7DA4">
        <w:trPr>
          <w:trHeight w:val="20"/>
        </w:trPr>
        <w:tc>
          <w:tcPr>
            <w:tcW w:w="1410" w:type="dxa"/>
            <w:shd w:val="clear" w:color="auto" w:fill="auto"/>
            <w:vAlign w:val="center"/>
          </w:tcPr>
          <w:p w:rsidR="00910785" w:rsidRPr="00B46F3B" w:rsidRDefault="005431F1" w:rsidP="00E61788">
            <w:pPr>
              <w:pStyle w:val="Tabletext"/>
              <w:keepNext/>
            </w:pPr>
            <w:r w:rsidRPr="00B46F3B">
              <w:t>205.416/205.417</w:t>
            </w:r>
          </w:p>
        </w:tc>
        <w:tc>
          <w:tcPr>
            <w:tcW w:w="1308" w:type="dxa"/>
            <w:gridSpan w:val="2"/>
            <w:vAlign w:val="center"/>
          </w:tcPr>
          <w:p w:rsidR="00910785" w:rsidRPr="00F41A2B" w:rsidRDefault="00504B1C" w:rsidP="00E61788">
            <w:pPr>
              <w:pStyle w:val="Tabletext"/>
              <w:keepNext/>
              <w:jc w:val="center"/>
            </w:pPr>
            <w:r>
              <w:rPr>
                <w:noProof/>
                <w:color w:val="000000"/>
                <w:highlight w:val="black"/>
              </w:rPr>
              <w:t>''''''''''</w:t>
            </w:r>
            <w:r w:rsidR="005431F1" w:rsidRPr="00F41A2B">
              <w:t>/</w:t>
            </w:r>
            <w:r>
              <w:rPr>
                <w:noProof/>
                <w:color w:val="000000"/>
                <w:highlight w:val="black"/>
              </w:rPr>
              <w:t>'''''''''</w:t>
            </w:r>
          </w:p>
        </w:tc>
        <w:tc>
          <w:tcPr>
            <w:tcW w:w="1060" w:type="dxa"/>
            <w:gridSpan w:val="3"/>
            <w:vAlign w:val="center"/>
          </w:tcPr>
          <w:p w:rsidR="00910785" w:rsidRPr="00F41A2B" w:rsidRDefault="00504B1C" w:rsidP="00E61788">
            <w:pPr>
              <w:pStyle w:val="Tabletext"/>
              <w:keepNext/>
              <w:jc w:val="center"/>
            </w:pPr>
            <w:r>
              <w:rPr>
                <w:noProof/>
                <w:color w:val="000000"/>
                <w:highlight w:val="black"/>
              </w:rPr>
              <w:t>'''''''''</w:t>
            </w:r>
            <w:r w:rsidR="005431F1" w:rsidRPr="00F41A2B">
              <w:t>/</w:t>
            </w:r>
            <w:r>
              <w:rPr>
                <w:noProof/>
                <w:color w:val="000000"/>
                <w:highlight w:val="black"/>
              </w:rPr>
              <w:t>''''''''''</w:t>
            </w:r>
          </w:p>
        </w:tc>
        <w:tc>
          <w:tcPr>
            <w:tcW w:w="1364" w:type="dxa"/>
            <w:gridSpan w:val="2"/>
            <w:vAlign w:val="center"/>
          </w:tcPr>
          <w:p w:rsidR="00910785" w:rsidRPr="00F41A2B" w:rsidRDefault="00504B1C" w:rsidP="00E61788">
            <w:pPr>
              <w:pStyle w:val="Tabletext"/>
              <w:keepNext/>
              <w:jc w:val="center"/>
            </w:pPr>
            <w:r>
              <w:rPr>
                <w:b/>
                <w:noProof/>
                <w:color w:val="000000"/>
                <w:highlight w:val="black"/>
              </w:rPr>
              <w:t>'''''''''</w:t>
            </w:r>
            <w:r w:rsidR="005431F1" w:rsidRPr="00F41A2B">
              <w:rPr>
                <w:b/>
              </w:rPr>
              <w:t xml:space="preserve"> (</w:t>
            </w:r>
            <w:r>
              <w:rPr>
                <w:b/>
                <w:noProof/>
                <w:color w:val="000000"/>
                <w:highlight w:val="black"/>
              </w:rPr>
              <w:t>''''''''</w:t>
            </w:r>
            <w:r w:rsidR="005431F1" w:rsidRPr="00F41A2B">
              <w:rPr>
                <w:b/>
              </w:rPr>
              <w:t xml:space="preserve">, </w:t>
            </w:r>
            <w:r>
              <w:rPr>
                <w:b/>
                <w:noProof/>
                <w:color w:val="000000"/>
                <w:highlight w:val="black"/>
              </w:rPr>
              <w:t>''''''''</w:t>
            </w:r>
            <w:r w:rsidR="005431F1" w:rsidRPr="00F41A2B">
              <w:rPr>
                <w:b/>
              </w:rPr>
              <w:t>)</w:t>
            </w:r>
          </w:p>
        </w:tc>
        <w:tc>
          <w:tcPr>
            <w:tcW w:w="992" w:type="dxa"/>
            <w:vAlign w:val="center"/>
          </w:tcPr>
          <w:p w:rsidR="00910785" w:rsidRPr="00504B1C" w:rsidRDefault="00504B1C" w:rsidP="00E61788">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09" w:type="dxa"/>
            <w:gridSpan w:val="2"/>
            <w:vAlign w:val="center"/>
          </w:tcPr>
          <w:p w:rsidR="00910785" w:rsidRPr="00504B1C" w:rsidRDefault="00504B1C" w:rsidP="00E61788">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586" w:type="dxa"/>
            <w:gridSpan w:val="2"/>
            <w:vAlign w:val="center"/>
          </w:tcPr>
          <w:p w:rsidR="00910785" w:rsidRPr="00F41A2B" w:rsidRDefault="005431F1" w:rsidP="00E61788">
            <w:pPr>
              <w:keepNext/>
              <w:widowControl/>
              <w:jc w:val="center"/>
              <w:rPr>
                <w:rFonts w:ascii="Arial Narrow" w:hAnsi="Arial Narrow"/>
                <w:b/>
                <w:color w:val="000000"/>
                <w:sz w:val="20"/>
                <w:szCs w:val="18"/>
              </w:rPr>
            </w:pPr>
            <w:r w:rsidRPr="00F41A2B">
              <w:rPr>
                <w:rFonts w:ascii="Arial Narrow" w:hAnsi="Arial Narrow"/>
                <w:b/>
                <w:color w:val="000000"/>
                <w:sz w:val="20"/>
                <w:szCs w:val="18"/>
              </w:rPr>
              <w:t>-</w:t>
            </w:r>
            <w:r w:rsidR="00504B1C">
              <w:rPr>
                <w:rFonts w:ascii="Arial Narrow" w:hAnsi="Arial Narrow"/>
                <w:b/>
                <w:noProof/>
                <w:color w:val="000000"/>
                <w:sz w:val="20"/>
                <w:szCs w:val="18"/>
                <w:highlight w:val="black"/>
              </w:rPr>
              <w:t>''''''''</w:t>
            </w:r>
            <w:r w:rsidRPr="00F41A2B">
              <w:rPr>
                <w:rFonts w:ascii="Arial Narrow" w:hAnsi="Arial Narrow"/>
                <w:b/>
                <w:color w:val="000000"/>
                <w:sz w:val="20"/>
                <w:szCs w:val="18"/>
              </w:rPr>
              <w:t xml:space="preserve"> (-</w:t>
            </w:r>
            <w:r w:rsidR="00504B1C">
              <w:rPr>
                <w:rFonts w:ascii="Arial Narrow" w:hAnsi="Arial Narrow"/>
                <w:b/>
                <w:noProof/>
                <w:color w:val="000000"/>
                <w:sz w:val="20"/>
                <w:szCs w:val="18"/>
                <w:highlight w:val="black"/>
              </w:rPr>
              <w:t>'''''''''</w:t>
            </w:r>
            <w:r w:rsidRPr="00F41A2B">
              <w:rPr>
                <w:rFonts w:ascii="Arial Narrow" w:hAnsi="Arial Narrow"/>
                <w:b/>
                <w:color w:val="000000"/>
                <w:sz w:val="20"/>
                <w:szCs w:val="18"/>
              </w:rPr>
              <w:t>, -</w:t>
            </w:r>
            <w:r w:rsidR="00504B1C">
              <w:rPr>
                <w:rFonts w:ascii="Arial Narrow" w:hAnsi="Arial Narrow"/>
                <w:b/>
                <w:noProof/>
                <w:color w:val="000000"/>
                <w:sz w:val="20"/>
                <w:szCs w:val="18"/>
                <w:highlight w:val="black"/>
              </w:rPr>
              <w:t>'''''''''</w:t>
            </w:r>
            <w:r w:rsidRPr="00F41A2B">
              <w:rPr>
                <w:rFonts w:ascii="Arial Narrow" w:hAnsi="Arial Narrow"/>
                <w:b/>
                <w:color w:val="000000"/>
                <w:sz w:val="20"/>
                <w:szCs w:val="18"/>
              </w:rPr>
              <w:t>)</w:t>
            </w:r>
          </w:p>
        </w:tc>
      </w:tr>
      <w:tr w:rsidR="005431F1" w:rsidRPr="00E2771E" w:rsidTr="003B7DA4">
        <w:trPr>
          <w:trHeight w:val="20"/>
        </w:trPr>
        <w:tc>
          <w:tcPr>
            <w:tcW w:w="8429" w:type="dxa"/>
            <w:gridSpan w:val="13"/>
            <w:shd w:val="clear" w:color="auto" w:fill="auto"/>
            <w:vAlign w:val="center"/>
          </w:tcPr>
          <w:p w:rsidR="005431F1" w:rsidRPr="00C4710F" w:rsidRDefault="005431F1" w:rsidP="00E61788">
            <w:pPr>
              <w:keepNext/>
              <w:widowControl/>
              <w:jc w:val="left"/>
              <w:rPr>
                <w:rFonts w:ascii="Arial Narrow" w:hAnsi="Arial Narrow"/>
                <w:b/>
                <w:color w:val="000000"/>
                <w:sz w:val="20"/>
              </w:rPr>
            </w:pPr>
            <w:r w:rsidRPr="00C4710F">
              <w:rPr>
                <w:rFonts w:ascii="Arial Narrow" w:hAnsi="Arial Narrow"/>
                <w:b/>
                <w:sz w:val="20"/>
              </w:rPr>
              <w:t>Adverse events leading to discontinuation</w:t>
            </w:r>
          </w:p>
        </w:tc>
      </w:tr>
      <w:tr w:rsidR="005431F1" w:rsidRPr="00E2771E" w:rsidTr="003B7DA4">
        <w:trPr>
          <w:trHeight w:val="20"/>
        </w:trPr>
        <w:tc>
          <w:tcPr>
            <w:tcW w:w="1410" w:type="dxa"/>
            <w:shd w:val="clear" w:color="auto" w:fill="auto"/>
            <w:vAlign w:val="center"/>
          </w:tcPr>
          <w:p w:rsidR="005431F1" w:rsidRPr="00C4710F" w:rsidRDefault="005431F1" w:rsidP="00E61788">
            <w:pPr>
              <w:pStyle w:val="Tabletext"/>
              <w:keepNext/>
            </w:pPr>
            <w:r w:rsidRPr="005431F1">
              <w:t>205.416/205.417</w:t>
            </w:r>
          </w:p>
        </w:tc>
        <w:tc>
          <w:tcPr>
            <w:tcW w:w="1308" w:type="dxa"/>
            <w:gridSpan w:val="2"/>
            <w:vAlign w:val="center"/>
          </w:tcPr>
          <w:p w:rsidR="005431F1" w:rsidRPr="00C4710F" w:rsidRDefault="005431F1" w:rsidP="00E61788">
            <w:pPr>
              <w:pStyle w:val="Tabletext"/>
              <w:keepNext/>
              <w:jc w:val="center"/>
            </w:pPr>
            <w:r>
              <w:t>8/456</w:t>
            </w:r>
          </w:p>
        </w:tc>
        <w:tc>
          <w:tcPr>
            <w:tcW w:w="1060" w:type="dxa"/>
            <w:gridSpan w:val="3"/>
            <w:vAlign w:val="center"/>
          </w:tcPr>
          <w:p w:rsidR="005431F1" w:rsidRPr="00C4710F" w:rsidRDefault="005431F1" w:rsidP="00E61788">
            <w:pPr>
              <w:pStyle w:val="Tabletext"/>
              <w:keepNext/>
              <w:jc w:val="center"/>
            </w:pPr>
            <w:r>
              <w:t>14/456</w:t>
            </w:r>
          </w:p>
        </w:tc>
        <w:tc>
          <w:tcPr>
            <w:tcW w:w="1364" w:type="dxa"/>
            <w:gridSpan w:val="2"/>
            <w:vAlign w:val="center"/>
          </w:tcPr>
          <w:p w:rsidR="005431F1" w:rsidRPr="00C4710F" w:rsidRDefault="005431F1" w:rsidP="00E61788">
            <w:pPr>
              <w:pStyle w:val="Tabletext"/>
              <w:keepNext/>
              <w:jc w:val="center"/>
            </w:pPr>
            <w:r w:rsidRPr="00C4710F">
              <w:t>0.56 (0.17, 1.90)</w:t>
            </w:r>
          </w:p>
        </w:tc>
        <w:tc>
          <w:tcPr>
            <w:tcW w:w="992" w:type="dxa"/>
            <w:vAlign w:val="center"/>
          </w:tcPr>
          <w:p w:rsidR="005431F1" w:rsidRPr="00E2771E" w:rsidRDefault="005431F1" w:rsidP="00E61788">
            <w:pPr>
              <w:keepNext/>
              <w:widowControl/>
              <w:jc w:val="center"/>
              <w:rPr>
                <w:rFonts w:ascii="Arial Narrow" w:hAnsi="Arial Narrow"/>
                <w:color w:val="000000"/>
                <w:sz w:val="20"/>
                <w:szCs w:val="18"/>
              </w:rPr>
            </w:pPr>
            <w:r>
              <w:rPr>
                <w:rFonts w:ascii="Arial Narrow" w:hAnsi="Arial Narrow"/>
                <w:color w:val="000000"/>
                <w:sz w:val="20"/>
                <w:szCs w:val="18"/>
              </w:rPr>
              <w:t>2</w:t>
            </w:r>
          </w:p>
        </w:tc>
        <w:tc>
          <w:tcPr>
            <w:tcW w:w="709" w:type="dxa"/>
            <w:gridSpan w:val="2"/>
            <w:vAlign w:val="center"/>
          </w:tcPr>
          <w:p w:rsidR="005431F1" w:rsidRPr="00E2771E" w:rsidRDefault="005431F1" w:rsidP="00E61788">
            <w:pPr>
              <w:keepNext/>
              <w:widowControl/>
              <w:jc w:val="center"/>
              <w:rPr>
                <w:rFonts w:ascii="Arial Narrow" w:hAnsi="Arial Narrow"/>
                <w:color w:val="000000"/>
                <w:sz w:val="20"/>
                <w:szCs w:val="18"/>
              </w:rPr>
            </w:pPr>
            <w:r>
              <w:rPr>
                <w:rFonts w:ascii="Arial Narrow" w:hAnsi="Arial Narrow"/>
                <w:color w:val="000000"/>
                <w:sz w:val="20"/>
                <w:szCs w:val="18"/>
              </w:rPr>
              <w:t>3</w:t>
            </w:r>
          </w:p>
        </w:tc>
        <w:tc>
          <w:tcPr>
            <w:tcW w:w="1586" w:type="dxa"/>
            <w:gridSpan w:val="2"/>
            <w:vAlign w:val="center"/>
          </w:tcPr>
          <w:p w:rsidR="005431F1" w:rsidRPr="00E2771E" w:rsidRDefault="005431F1" w:rsidP="00E61788">
            <w:pPr>
              <w:keepNext/>
              <w:widowControl/>
              <w:jc w:val="center"/>
              <w:rPr>
                <w:rFonts w:ascii="Arial Narrow" w:hAnsi="Arial Narrow"/>
                <w:color w:val="000000"/>
                <w:sz w:val="20"/>
                <w:szCs w:val="18"/>
              </w:rPr>
            </w:pPr>
            <w:r>
              <w:rPr>
                <w:rFonts w:ascii="Arial Narrow" w:hAnsi="Arial Narrow"/>
                <w:color w:val="000000"/>
                <w:sz w:val="20"/>
                <w:szCs w:val="18"/>
              </w:rPr>
              <w:t>-0.01</w:t>
            </w:r>
            <w:r w:rsidRPr="005431F1">
              <w:rPr>
                <w:rFonts w:ascii="Arial Narrow" w:hAnsi="Arial Narrow"/>
                <w:color w:val="000000"/>
                <w:sz w:val="20"/>
                <w:szCs w:val="18"/>
              </w:rPr>
              <w:t xml:space="preserve"> (-0.03, 0.01)</w:t>
            </w:r>
          </w:p>
        </w:tc>
      </w:tr>
    </w:tbl>
    <w:p w:rsidR="00B62715" w:rsidRPr="00B46F3B" w:rsidRDefault="00B62715" w:rsidP="00E61788">
      <w:pPr>
        <w:pStyle w:val="TableFooter"/>
        <w:keepNext/>
        <w:widowControl/>
        <w:ind w:left="720"/>
      </w:pPr>
      <w:r w:rsidRPr="00B46F3B">
        <w:t xml:space="preserve">Source: Table </w:t>
      </w:r>
      <w:r w:rsidR="00F20306" w:rsidRPr="00B46F3B">
        <w:t>B.24,</w:t>
      </w:r>
      <w:r w:rsidR="00760ED0" w:rsidRPr="00B46F3B">
        <w:t xml:space="preserve"> p89</w:t>
      </w:r>
      <w:r w:rsidR="00652B23" w:rsidRPr="00B46F3B">
        <w:t>; Table B.28, p97; Table B.32, p104; Tables</w:t>
      </w:r>
      <w:r w:rsidR="00F20306" w:rsidRPr="00B46F3B">
        <w:t xml:space="preserve"> </w:t>
      </w:r>
      <w:r w:rsidR="00652B23" w:rsidRPr="00B46F3B">
        <w:t>B.33</w:t>
      </w:r>
      <w:r w:rsidR="009E0086" w:rsidRPr="00B46F3B">
        <w:t>-B.34</w:t>
      </w:r>
      <w:r w:rsidR="009E0086" w:rsidRPr="00B46F3B">
        <w:rPr>
          <w:b/>
        </w:rPr>
        <w:t xml:space="preserve">, </w:t>
      </w:r>
      <w:r w:rsidR="00652B23" w:rsidRPr="00B46F3B">
        <w:t xml:space="preserve">pp108-110 and </w:t>
      </w:r>
      <w:r w:rsidR="00F20306" w:rsidRPr="00B46F3B">
        <w:t>Figure B.4</w:t>
      </w:r>
      <w:r w:rsidR="00760ED0" w:rsidRPr="00B46F3B">
        <w:t>,</w:t>
      </w:r>
      <w:r w:rsidR="00F20306" w:rsidRPr="00B46F3B">
        <w:t xml:space="preserve"> </w:t>
      </w:r>
      <w:r w:rsidR="00327617" w:rsidRPr="00B46F3B">
        <w:t>p</w:t>
      </w:r>
      <w:r w:rsidR="00652B23" w:rsidRPr="00B46F3B">
        <w:t>90</w:t>
      </w:r>
      <w:r w:rsidR="00F20306" w:rsidRPr="00B46F3B">
        <w:t xml:space="preserve"> </w:t>
      </w:r>
      <w:r w:rsidRPr="00B46F3B">
        <w:t>of the submission</w:t>
      </w:r>
      <w:r w:rsidR="00327617" w:rsidRPr="00B46F3B">
        <w:t xml:space="preserve"> and compiled during the evaluation</w:t>
      </w:r>
    </w:p>
    <w:p w:rsidR="00327617" w:rsidRPr="0072416F" w:rsidRDefault="00327617" w:rsidP="00E61788">
      <w:pPr>
        <w:pStyle w:val="TableFooter"/>
        <w:keepNext/>
        <w:widowControl/>
        <w:ind w:left="720"/>
      </w:pPr>
      <w:r w:rsidRPr="0072416F">
        <w:t xml:space="preserve">RD = risk difference; RR = </w:t>
      </w:r>
      <w:r>
        <w:t xml:space="preserve">relative </w:t>
      </w:r>
      <w:r w:rsidRPr="0072416F">
        <w:t>risk</w:t>
      </w:r>
      <w:r>
        <w:t xml:space="preserve">; </w:t>
      </w:r>
      <w:proofErr w:type="spellStart"/>
      <w:proofErr w:type="gramStart"/>
      <w:r>
        <w:t>nc</w:t>
      </w:r>
      <w:proofErr w:type="spellEnd"/>
      <w:proofErr w:type="gramEnd"/>
      <w:r>
        <w:t xml:space="preserve"> = </w:t>
      </w:r>
      <w:proofErr w:type="spellStart"/>
      <w:r w:rsidRPr="00E70EEB">
        <w:t>not</w:t>
      </w:r>
      <w:proofErr w:type="spellEnd"/>
      <w:r w:rsidRPr="00E70EEB">
        <w:t xml:space="preserve"> calculable</w:t>
      </w:r>
      <w:r>
        <w:t xml:space="preserve">; MD = mean difference; HR = hazard ratio; SD = standard deviation; </w:t>
      </w:r>
      <w:r w:rsidRPr="00F20306">
        <w:t>CI = confide</w:t>
      </w:r>
      <w:r>
        <w:t xml:space="preserve">nce interval; </w:t>
      </w:r>
      <w:r w:rsidRPr="00F20306">
        <w:t>FEV</w:t>
      </w:r>
      <w:r w:rsidRPr="00F20306">
        <w:rPr>
          <w:vertAlign w:val="subscript"/>
        </w:rPr>
        <w:t>1</w:t>
      </w:r>
      <w:r w:rsidRPr="00F20306">
        <w:t xml:space="preserve"> = forced </w:t>
      </w:r>
      <w:r w:rsidR="00610C30">
        <w:t>expiratory volume in one second</w:t>
      </w:r>
      <w:r w:rsidR="005F5620">
        <w:t xml:space="preserve">; </w:t>
      </w:r>
      <w:r w:rsidR="005F5620" w:rsidRPr="00065112">
        <w:rPr>
          <w:b/>
        </w:rPr>
        <w:t xml:space="preserve">bold </w:t>
      </w:r>
      <w:r w:rsidR="005F5620">
        <w:t>= statistically significant</w:t>
      </w:r>
    </w:p>
    <w:p w:rsidR="00327617" w:rsidRPr="00872E6F" w:rsidRDefault="00327617" w:rsidP="00E61788">
      <w:pPr>
        <w:pStyle w:val="TableFooter"/>
        <w:widowControl/>
        <w:ind w:left="720"/>
      </w:pPr>
      <w:r w:rsidRPr="00872E6F">
        <w:t>* Median duration of follow-up/</w:t>
      </w:r>
      <w:r w:rsidR="00610C30" w:rsidRPr="00872E6F">
        <w:t xml:space="preserve"> </w:t>
      </w:r>
      <w:r w:rsidRPr="00872E6F">
        <w:t xml:space="preserve">exposure = </w:t>
      </w:r>
      <w:r w:rsidR="00610C30" w:rsidRPr="00872E6F">
        <w:t>48 weeks</w:t>
      </w:r>
    </w:p>
    <w:p w:rsidR="005F5620" w:rsidRPr="00872E6F" w:rsidRDefault="005F5620" w:rsidP="005F5620">
      <w:pPr>
        <w:pStyle w:val="TableFooter"/>
        <w:ind w:left="720"/>
      </w:pPr>
      <w:proofErr w:type="gramStart"/>
      <w:r w:rsidRPr="00872E6F">
        <w:rPr>
          <w:vertAlign w:val="superscript"/>
        </w:rPr>
        <w:t>a</w:t>
      </w:r>
      <w:proofErr w:type="gramEnd"/>
      <w:r w:rsidRPr="00872E6F">
        <w:rPr>
          <w:vertAlign w:val="superscript"/>
        </w:rPr>
        <w:t xml:space="preserve"> </w:t>
      </w:r>
      <w:r w:rsidRPr="00872E6F">
        <w:t>57 patients were excluded from the full analysis set for this outcome, with no further explanation in the clinical trial report</w:t>
      </w:r>
    </w:p>
    <w:p w:rsidR="005F5620" w:rsidRPr="00872E6F" w:rsidRDefault="005F5620" w:rsidP="005F5620">
      <w:pPr>
        <w:pStyle w:val="TableFooter"/>
        <w:ind w:left="720"/>
      </w:pPr>
      <w:proofErr w:type="gramStart"/>
      <w:r w:rsidRPr="00872E6F">
        <w:rPr>
          <w:vertAlign w:val="superscript"/>
        </w:rPr>
        <w:t>b</w:t>
      </w:r>
      <w:proofErr w:type="gramEnd"/>
      <w:r w:rsidRPr="00872E6F">
        <w:t xml:space="preserve"> Full analysis set </w:t>
      </w:r>
    </w:p>
    <w:p w:rsidR="005F5620" w:rsidRPr="00872E6F" w:rsidRDefault="005F5620" w:rsidP="005F5620">
      <w:pPr>
        <w:pStyle w:val="TableFooter"/>
        <w:ind w:left="720"/>
      </w:pPr>
      <w:proofErr w:type="gramStart"/>
      <w:r w:rsidRPr="00872E6F">
        <w:rPr>
          <w:vertAlign w:val="superscript"/>
        </w:rPr>
        <w:t>c</w:t>
      </w:r>
      <w:proofErr w:type="gramEnd"/>
      <w:r w:rsidRPr="00872E6F">
        <w:t xml:space="preserve"> Five additional patients were added to the full analysis set, with no further explanation in the clinical trial report</w:t>
      </w:r>
    </w:p>
    <w:p w:rsidR="00B62715" w:rsidRDefault="00B62715" w:rsidP="00E61788">
      <w:pPr>
        <w:widowControl/>
      </w:pPr>
    </w:p>
    <w:p w:rsidR="00DB6D38" w:rsidRPr="00D211ED" w:rsidRDefault="00DB6D38" w:rsidP="00E61788">
      <w:pPr>
        <w:pStyle w:val="ListParagraph"/>
        <w:widowControl/>
        <w:numPr>
          <w:ilvl w:val="1"/>
          <w:numId w:val="9"/>
        </w:numPr>
        <w:rPr>
          <w:szCs w:val="22"/>
        </w:rPr>
      </w:pPr>
      <w:r>
        <w:t xml:space="preserve">On the basis </w:t>
      </w:r>
      <w:r>
        <w:rPr>
          <w:szCs w:val="22"/>
        </w:rPr>
        <w:t xml:space="preserve">the head to head trial, the comparison of </w:t>
      </w:r>
      <w:proofErr w:type="spellStart"/>
      <w:r>
        <w:rPr>
          <w:szCs w:val="22"/>
        </w:rPr>
        <w:t>tiotropium</w:t>
      </w:r>
      <w:proofErr w:type="spellEnd"/>
      <w:r>
        <w:rPr>
          <w:szCs w:val="22"/>
        </w:rPr>
        <w:t xml:space="preserve"> and placebo resulted in:</w:t>
      </w:r>
    </w:p>
    <w:p w:rsidR="00DB6D38" w:rsidRDefault="00DB6D38" w:rsidP="00E61788">
      <w:pPr>
        <w:pStyle w:val="ListParagraph"/>
        <w:widowControl/>
        <w:numPr>
          <w:ilvl w:val="0"/>
          <w:numId w:val="28"/>
        </w:numPr>
        <w:autoSpaceDE w:val="0"/>
        <w:autoSpaceDN w:val="0"/>
        <w:adjustRightInd w:val="0"/>
        <w:rPr>
          <w:lang w:val="en-US"/>
        </w:rPr>
      </w:pPr>
      <w:r>
        <w:t>A</w:t>
      </w:r>
      <w:r w:rsidRPr="00CF6EE4">
        <w:t>pproximately</w:t>
      </w:r>
      <w:r w:rsidRPr="003228CE">
        <w:rPr>
          <w:lang w:val="en-US"/>
        </w:rPr>
        <w:t xml:space="preserve"> a </w:t>
      </w:r>
      <w:r>
        <w:rPr>
          <w:lang w:val="en-US"/>
        </w:rPr>
        <w:t>1</w:t>
      </w:r>
      <w:r w:rsidR="009A24AD">
        <w:rPr>
          <w:lang w:val="en-US"/>
        </w:rPr>
        <w:t>00</w:t>
      </w:r>
      <w:r w:rsidR="0054314A">
        <w:rPr>
          <w:lang w:val="en-US"/>
        </w:rPr>
        <w:t> </w:t>
      </w:r>
      <w:r>
        <w:rPr>
          <w:lang w:val="en-US"/>
        </w:rPr>
        <w:t>m</w:t>
      </w:r>
      <w:r w:rsidR="008D3308">
        <w:rPr>
          <w:lang w:val="en-US"/>
        </w:rPr>
        <w:t>L</w:t>
      </w:r>
      <w:r w:rsidRPr="003228CE">
        <w:rPr>
          <w:lang w:val="en-US"/>
        </w:rPr>
        <w:t xml:space="preserve"> reduction in </w:t>
      </w:r>
      <w:r>
        <w:rPr>
          <w:lang w:val="en-US"/>
        </w:rPr>
        <w:t>trough FEV</w:t>
      </w:r>
      <w:r w:rsidRPr="003228CE">
        <w:rPr>
          <w:vertAlign w:val="subscript"/>
          <w:lang w:val="en-US"/>
        </w:rPr>
        <w:t>1</w:t>
      </w:r>
      <w:r>
        <w:rPr>
          <w:lang w:val="en-US"/>
        </w:rPr>
        <w:t xml:space="preserve"> over a m</w:t>
      </w:r>
      <w:r w:rsidRPr="003228CE">
        <w:rPr>
          <w:lang w:val="en-US"/>
        </w:rPr>
        <w:t>edian</w:t>
      </w:r>
      <w:r>
        <w:rPr>
          <w:lang w:val="en-US"/>
        </w:rPr>
        <w:t xml:space="preserve"> d</w:t>
      </w:r>
      <w:r w:rsidRPr="003228CE">
        <w:rPr>
          <w:lang w:val="en-US"/>
        </w:rPr>
        <w:t xml:space="preserve">uration of follow-up of exposure of </w:t>
      </w:r>
      <w:r>
        <w:rPr>
          <w:lang w:val="en-US"/>
        </w:rPr>
        <w:t>24 weeks</w:t>
      </w:r>
      <w:r w:rsidR="00717661">
        <w:rPr>
          <w:lang w:val="en-US"/>
        </w:rPr>
        <w:t>.  It wa</w:t>
      </w:r>
      <w:r w:rsidRPr="003228CE">
        <w:rPr>
          <w:lang w:val="en-US"/>
        </w:rPr>
        <w:t>s consi</w:t>
      </w:r>
      <w:r>
        <w:rPr>
          <w:lang w:val="en-US"/>
        </w:rPr>
        <w:t>de</w:t>
      </w:r>
      <w:r w:rsidR="009A24AD">
        <w:rPr>
          <w:lang w:val="en-US"/>
        </w:rPr>
        <w:t>red that a reduction of 100</w:t>
      </w:r>
      <w:r w:rsidR="0054314A">
        <w:rPr>
          <w:lang w:val="en-US"/>
        </w:rPr>
        <w:t>−</w:t>
      </w:r>
      <w:r w:rsidR="009A24AD">
        <w:rPr>
          <w:lang w:val="en-US"/>
        </w:rPr>
        <w:t>140</w:t>
      </w:r>
      <w:r w:rsidR="0054314A">
        <w:rPr>
          <w:lang w:val="en-US"/>
        </w:rPr>
        <w:t> </w:t>
      </w:r>
      <w:r w:rsidR="008D3308">
        <w:rPr>
          <w:lang w:val="en-US"/>
        </w:rPr>
        <w:t>mL</w:t>
      </w:r>
      <w:r w:rsidRPr="003228CE">
        <w:rPr>
          <w:lang w:val="en-US"/>
        </w:rPr>
        <w:t xml:space="preserve"> is clinically significant</w:t>
      </w:r>
      <w:r w:rsidR="009A24AD">
        <w:rPr>
          <w:lang w:val="en-US"/>
        </w:rPr>
        <w:t xml:space="preserve"> in COPD, a change of 150</w:t>
      </w:r>
      <w:r w:rsidR="0054314A">
        <w:rPr>
          <w:lang w:val="en-US"/>
        </w:rPr>
        <w:t> </w:t>
      </w:r>
      <w:r>
        <w:rPr>
          <w:lang w:val="en-US"/>
        </w:rPr>
        <w:t>m</w:t>
      </w:r>
      <w:r w:rsidR="008D3308">
        <w:rPr>
          <w:lang w:val="en-US"/>
        </w:rPr>
        <w:t>L</w:t>
      </w:r>
      <w:r>
        <w:rPr>
          <w:lang w:val="en-US"/>
        </w:rPr>
        <w:t xml:space="preserve"> has been considered </w:t>
      </w:r>
      <w:r w:rsidRPr="003228CE">
        <w:rPr>
          <w:lang w:val="en-US"/>
        </w:rPr>
        <w:t>to be clinically meaningful</w:t>
      </w:r>
      <w:r>
        <w:rPr>
          <w:lang w:val="en-US"/>
        </w:rPr>
        <w:t xml:space="preserve"> in asthma </w:t>
      </w:r>
      <w:r w:rsidRPr="00C021B5">
        <w:rPr>
          <w:lang w:val="en-US"/>
        </w:rPr>
        <w:t xml:space="preserve">(fluticasone </w:t>
      </w:r>
      <w:proofErr w:type="spellStart"/>
      <w:r w:rsidRPr="00C021B5">
        <w:rPr>
          <w:lang w:val="en-US"/>
        </w:rPr>
        <w:t>furoate</w:t>
      </w:r>
      <w:proofErr w:type="spellEnd"/>
      <w:r w:rsidRPr="00C021B5">
        <w:rPr>
          <w:lang w:val="en-US"/>
        </w:rPr>
        <w:t xml:space="preserve"> and </w:t>
      </w:r>
      <w:proofErr w:type="spellStart"/>
      <w:r w:rsidRPr="00C021B5">
        <w:rPr>
          <w:lang w:val="en-US"/>
        </w:rPr>
        <w:t>vilanterol</w:t>
      </w:r>
      <w:proofErr w:type="spellEnd"/>
      <w:r w:rsidRPr="00C021B5">
        <w:rPr>
          <w:lang w:val="en-US"/>
        </w:rPr>
        <w:t xml:space="preserve"> </w:t>
      </w:r>
      <w:proofErr w:type="spellStart"/>
      <w:r w:rsidRPr="00C021B5">
        <w:rPr>
          <w:lang w:val="en-US"/>
        </w:rPr>
        <w:t>trifenatate</w:t>
      </w:r>
      <w:proofErr w:type="spellEnd"/>
      <w:r w:rsidRPr="00C021B5">
        <w:rPr>
          <w:lang w:val="en-US"/>
        </w:rPr>
        <w:t xml:space="preserve"> Public Summary Document, March 2014)</w:t>
      </w:r>
      <w:r w:rsidRPr="003228CE">
        <w:rPr>
          <w:lang w:val="en-US"/>
        </w:rPr>
        <w:t>.  </w:t>
      </w:r>
    </w:p>
    <w:p w:rsidR="002F473E" w:rsidRPr="00872E6F" w:rsidRDefault="002F473E" w:rsidP="00E61788">
      <w:pPr>
        <w:pStyle w:val="ListParagraph"/>
        <w:widowControl/>
        <w:numPr>
          <w:ilvl w:val="0"/>
          <w:numId w:val="28"/>
        </w:numPr>
        <w:autoSpaceDE w:val="0"/>
        <w:autoSpaceDN w:val="0"/>
        <w:adjustRightInd w:val="0"/>
        <w:rPr>
          <w:lang w:val="en-US"/>
        </w:rPr>
      </w:pPr>
      <w:r w:rsidRPr="00872E6F">
        <w:rPr>
          <w:lang w:val="en-US"/>
        </w:rPr>
        <w:t>Approximat</w:t>
      </w:r>
      <w:r w:rsidR="005F5620" w:rsidRPr="00872E6F">
        <w:rPr>
          <w:lang w:val="en-US"/>
        </w:rPr>
        <w:t>ely 56</w:t>
      </w:r>
      <w:r w:rsidRPr="00872E6F">
        <w:rPr>
          <w:lang w:val="en-US"/>
        </w:rPr>
        <w:t xml:space="preserve"> days difference in time until at least 25% of patients experienced a severe exacerbation with a 48 week follow up.</w:t>
      </w:r>
    </w:p>
    <w:p w:rsidR="00DB6D38" w:rsidRDefault="00DB6D38" w:rsidP="00E61788">
      <w:pPr>
        <w:pStyle w:val="ListParagraph"/>
        <w:widowControl/>
        <w:numPr>
          <w:ilvl w:val="0"/>
          <w:numId w:val="28"/>
        </w:numPr>
      </w:pPr>
      <w:r w:rsidRPr="00872E6F">
        <w:t>Approximately 134 days difference in time</w:t>
      </w:r>
      <w:r w:rsidR="00D57BBF" w:rsidRPr="00872E6F">
        <w:t xml:space="preserve"> without an exacerbation</w:t>
      </w:r>
      <w:r w:rsidR="002F473E" w:rsidRPr="00872E6F">
        <w:t xml:space="preserve"> (any severity)</w:t>
      </w:r>
      <w:r w:rsidR="00D57BBF">
        <w:t xml:space="preserve"> for 50</w:t>
      </w:r>
      <w:r>
        <w:t>% of the patients with a 48 week follow-up.</w:t>
      </w:r>
    </w:p>
    <w:p w:rsidR="00DB6D38" w:rsidRPr="003228CE" w:rsidRDefault="00DB6D38" w:rsidP="00E61788">
      <w:pPr>
        <w:pStyle w:val="ListParagraph"/>
        <w:widowControl/>
        <w:ind w:left="1080"/>
      </w:pPr>
    </w:p>
    <w:p w:rsidR="00FC1884" w:rsidRPr="00D211ED" w:rsidRDefault="003C4589" w:rsidP="00E61788">
      <w:pPr>
        <w:pStyle w:val="ListParagraph"/>
        <w:widowControl/>
        <w:numPr>
          <w:ilvl w:val="1"/>
          <w:numId w:val="9"/>
        </w:numPr>
        <w:rPr>
          <w:szCs w:val="22"/>
        </w:rPr>
      </w:pPr>
      <w:r>
        <w:t xml:space="preserve">On the basis of </w:t>
      </w:r>
      <w:r w:rsidR="00EC00C9" w:rsidRPr="00CF6EE4">
        <w:t>direct</w:t>
      </w:r>
      <w:r>
        <w:t xml:space="preserve"> comparison</w:t>
      </w:r>
      <w:r w:rsidR="00EC00C9" w:rsidRPr="00CF6EE4">
        <w:t xml:space="preserve"> evidence presented by the submission, for every 100 patients treated with </w:t>
      </w:r>
      <w:proofErr w:type="spellStart"/>
      <w:r>
        <w:t>tiotropium</w:t>
      </w:r>
      <w:proofErr w:type="spellEnd"/>
      <w:r w:rsidR="00EC00C9" w:rsidRPr="00CF6EE4">
        <w:t xml:space="preserve"> in comparison to </w:t>
      </w:r>
      <w:r>
        <w:t>placebo</w:t>
      </w:r>
      <w:r w:rsidR="00DB6D38">
        <w:t xml:space="preserve"> with a 48 week follow-up:</w:t>
      </w:r>
    </w:p>
    <w:p w:rsidR="00FC1884" w:rsidRPr="00CF6EE4" w:rsidRDefault="00FC1884" w:rsidP="00E61788">
      <w:pPr>
        <w:pStyle w:val="ListParagraph"/>
        <w:widowControl/>
        <w:numPr>
          <w:ilvl w:val="0"/>
          <w:numId w:val="28"/>
        </w:numPr>
        <w:jc w:val="left"/>
      </w:pPr>
      <w:r w:rsidRPr="00CF6EE4">
        <w:t xml:space="preserve">Approximately </w:t>
      </w:r>
      <w:r w:rsidR="00504B1C">
        <w:rPr>
          <w:noProof/>
          <w:color w:val="000000"/>
          <w:highlight w:val="black"/>
        </w:rPr>
        <w:t>''''''</w:t>
      </w:r>
      <w:r w:rsidRPr="00CF6EE4">
        <w:t xml:space="preserve"> </w:t>
      </w:r>
      <w:r w:rsidR="00D211ED">
        <w:t>fewer</w:t>
      </w:r>
      <w:r w:rsidRPr="00CF6EE4">
        <w:t xml:space="preserve"> patients would have </w:t>
      </w:r>
      <w:r w:rsidR="00E2737C">
        <w:t xml:space="preserve">had an exacerbation </w:t>
      </w:r>
      <w:r w:rsidR="00D211ED">
        <w:t xml:space="preserve">(any severity) </w:t>
      </w:r>
    </w:p>
    <w:p w:rsidR="003228CE" w:rsidRDefault="008473E0" w:rsidP="00E61788">
      <w:pPr>
        <w:pStyle w:val="ListParagraph"/>
        <w:widowControl/>
        <w:numPr>
          <w:ilvl w:val="0"/>
          <w:numId w:val="28"/>
        </w:numPr>
        <w:jc w:val="left"/>
      </w:pPr>
      <w:r w:rsidRPr="00F41A2B">
        <w:t xml:space="preserve">Approximately </w:t>
      </w:r>
      <w:r w:rsidR="00504B1C">
        <w:rPr>
          <w:noProof/>
          <w:color w:val="000000"/>
          <w:highlight w:val="black"/>
        </w:rPr>
        <w:t>''''</w:t>
      </w:r>
      <w:r w:rsidR="00FC1884" w:rsidRPr="00CF6EE4">
        <w:t xml:space="preserve"> </w:t>
      </w:r>
      <w:r w:rsidR="003228CE" w:rsidRPr="00CF6EE4">
        <w:t xml:space="preserve">fewer patients would have </w:t>
      </w:r>
      <w:r w:rsidR="003228CE">
        <w:t>had a respiratory, thoracic or mediastinal disorder</w:t>
      </w:r>
      <w:r w:rsidR="003228CE" w:rsidRPr="00CF6EE4">
        <w:t xml:space="preserve"> </w:t>
      </w:r>
    </w:p>
    <w:p w:rsidR="00B60939" w:rsidRPr="00882085" w:rsidRDefault="00B60939" w:rsidP="00E61788">
      <w:pPr>
        <w:widowControl/>
      </w:pPr>
    </w:p>
    <w:p w:rsidR="00B60939" w:rsidRPr="002C2775" w:rsidRDefault="00B60939" w:rsidP="00E61788">
      <w:pPr>
        <w:pStyle w:val="Heading2"/>
        <w:widowControl/>
        <w:rPr>
          <w:i/>
        </w:rPr>
      </w:pPr>
      <w:bookmarkStart w:id="15" w:name="_Toc419799912"/>
      <w:r w:rsidRPr="002C2775">
        <w:rPr>
          <w:i/>
        </w:rPr>
        <w:lastRenderedPageBreak/>
        <w:t>Clinical claim</w:t>
      </w:r>
      <w:bookmarkEnd w:id="15"/>
    </w:p>
    <w:p w:rsidR="00B60939" w:rsidRPr="00882085" w:rsidRDefault="00B60939" w:rsidP="00E61788">
      <w:pPr>
        <w:widowControl/>
        <w:ind w:left="720" w:hanging="720"/>
        <w:rPr>
          <w:szCs w:val="22"/>
        </w:rPr>
      </w:pPr>
    </w:p>
    <w:p w:rsidR="00BD166F" w:rsidRPr="00BD166F" w:rsidRDefault="00370553" w:rsidP="00E61788">
      <w:pPr>
        <w:pStyle w:val="ListParagraph"/>
        <w:widowControl/>
        <w:numPr>
          <w:ilvl w:val="1"/>
          <w:numId w:val="9"/>
        </w:numPr>
      </w:pPr>
      <w:r>
        <w:t>The submission described</w:t>
      </w:r>
      <w:r w:rsidR="00BD166F" w:rsidRPr="00BD166F">
        <w:t xml:space="preserve"> </w:t>
      </w:r>
      <w:proofErr w:type="spellStart"/>
      <w:r w:rsidR="00BD166F" w:rsidRPr="00BD166F">
        <w:t>tiotropium</w:t>
      </w:r>
      <w:proofErr w:type="spellEnd"/>
      <w:r w:rsidR="00BD166F" w:rsidRPr="00BD166F">
        <w:t xml:space="preserve"> 5 µg as superior in terms of comparative effectiveness and non-inferior in terms of comparative safety over placebo.</w:t>
      </w:r>
    </w:p>
    <w:p w:rsidR="00BD166F" w:rsidRPr="00BD166F" w:rsidRDefault="00BD166F" w:rsidP="00E61788">
      <w:pPr>
        <w:pStyle w:val="ListParagraph"/>
        <w:widowControl/>
      </w:pPr>
    </w:p>
    <w:p w:rsidR="00BD166F" w:rsidRPr="00B46F3B" w:rsidRDefault="00BD166F" w:rsidP="00E61788">
      <w:pPr>
        <w:pStyle w:val="ListParagraph"/>
        <w:widowControl/>
        <w:numPr>
          <w:ilvl w:val="1"/>
          <w:numId w:val="9"/>
        </w:numPr>
      </w:pPr>
      <w:r w:rsidRPr="00B46F3B">
        <w:t>Th</w:t>
      </w:r>
      <w:r w:rsidR="00047309">
        <w:t>e evaluation considered this</w:t>
      </w:r>
      <w:r w:rsidRPr="00B46F3B">
        <w:t xml:space="preserve"> claim was adequately supported in terms of statistical measures and </w:t>
      </w:r>
      <w:proofErr w:type="spellStart"/>
      <w:r w:rsidRPr="00B46F3B">
        <w:t>tiotropium</w:t>
      </w:r>
      <w:proofErr w:type="spellEnd"/>
      <w:r w:rsidRPr="00B46F3B">
        <w:t xml:space="preserve"> provided superior efficacy to placebo in terms of trough FEV</w:t>
      </w:r>
      <w:r w:rsidRPr="00B46F3B">
        <w:rPr>
          <w:vertAlign w:val="subscript"/>
        </w:rPr>
        <w:t>1</w:t>
      </w:r>
      <w:r w:rsidRPr="00B46F3B">
        <w:t>, time to first exacerbation, time to first severe exacerbation and ACQ</w:t>
      </w:r>
      <w:r w:rsidR="0054314A" w:rsidRPr="00B46F3B">
        <w:t>-7</w:t>
      </w:r>
      <w:r w:rsidRPr="00B46F3B">
        <w:t xml:space="preserve"> score. However these may not translate </w:t>
      </w:r>
      <w:r w:rsidR="00DB6D38" w:rsidRPr="00B46F3B">
        <w:t>in</w:t>
      </w:r>
      <w:r w:rsidR="00047309">
        <w:t>to</w:t>
      </w:r>
      <w:r w:rsidR="00DB6D38" w:rsidRPr="00B46F3B">
        <w:t xml:space="preserve"> </w:t>
      </w:r>
      <w:r w:rsidRPr="00B46F3B">
        <w:t>clinically meaningful differences:</w:t>
      </w:r>
    </w:p>
    <w:p w:rsidR="00BD166F" w:rsidRPr="00B46F3B" w:rsidRDefault="00BD166F" w:rsidP="00E61788">
      <w:pPr>
        <w:pStyle w:val="ListParagraph"/>
        <w:widowControl/>
        <w:numPr>
          <w:ilvl w:val="1"/>
          <w:numId w:val="29"/>
        </w:numPr>
        <w:ind w:left="1134" w:hanging="414"/>
      </w:pPr>
      <w:r w:rsidRPr="00B46F3B">
        <w:t>A value of 150</w:t>
      </w:r>
      <w:r w:rsidR="0054314A" w:rsidRPr="00B46F3B">
        <w:t> </w:t>
      </w:r>
      <w:r w:rsidRPr="00B46F3B">
        <w:t>m</w:t>
      </w:r>
      <w:r w:rsidR="008D3308">
        <w:t>L</w:t>
      </w:r>
      <w:r w:rsidRPr="00B46F3B">
        <w:t xml:space="preserve"> has been used for clinically important difference for detecting non-inferiority in trough FEV</w:t>
      </w:r>
      <w:r w:rsidRPr="00B46F3B">
        <w:rPr>
          <w:vertAlign w:val="subscript"/>
        </w:rPr>
        <w:t>1</w:t>
      </w:r>
      <w:r w:rsidR="00DD1FD5" w:rsidRPr="00B46F3B">
        <w:t xml:space="preserve"> in asthma</w:t>
      </w:r>
      <w:r w:rsidRPr="00B46F3B">
        <w:t>; however the clinic</w:t>
      </w:r>
      <w:r w:rsidR="009A24AD" w:rsidRPr="00B46F3B">
        <w:t>al data only demonstrated a 100</w:t>
      </w:r>
      <w:r w:rsidR="0054314A" w:rsidRPr="00B46F3B">
        <w:t> </w:t>
      </w:r>
      <w:r w:rsidRPr="00B46F3B">
        <w:t>m</w:t>
      </w:r>
      <w:r w:rsidR="008D3308">
        <w:t>L</w:t>
      </w:r>
      <w:r w:rsidRPr="00B46F3B">
        <w:t xml:space="preserve"> difference.</w:t>
      </w:r>
    </w:p>
    <w:p w:rsidR="00BD166F" w:rsidRPr="00B46F3B" w:rsidRDefault="00BD166F" w:rsidP="00E61788">
      <w:pPr>
        <w:pStyle w:val="ListParagraph"/>
        <w:widowControl/>
        <w:numPr>
          <w:ilvl w:val="1"/>
          <w:numId w:val="29"/>
        </w:numPr>
        <w:ind w:left="1134" w:hanging="414"/>
      </w:pPr>
      <w:r w:rsidRPr="00B46F3B">
        <w:t>A clinically meaningful change in ACQ</w:t>
      </w:r>
      <w:r w:rsidR="003F2A2C" w:rsidRPr="00B46F3B">
        <w:t>-7</w:t>
      </w:r>
      <w:r w:rsidRPr="00B46F3B">
        <w:t xml:space="preserve"> score was </w:t>
      </w:r>
      <w:r w:rsidR="00DB6D38" w:rsidRPr="00B46F3B">
        <w:t xml:space="preserve">a </w:t>
      </w:r>
      <w:r w:rsidRPr="00B46F3B">
        <w:t>reduction of 0.5 or more</w:t>
      </w:r>
      <w:r w:rsidR="00323137">
        <w:rPr>
          <w:rStyle w:val="FootnoteReference"/>
        </w:rPr>
        <w:footnoteReference w:id="4"/>
      </w:r>
      <w:r w:rsidRPr="00B46F3B">
        <w:t xml:space="preserve">, while </w:t>
      </w:r>
      <w:r w:rsidR="00D21554" w:rsidRPr="00B46F3B">
        <w:t>1</w:t>
      </w:r>
      <w:r w:rsidRPr="00B46F3B">
        <w:t xml:space="preserve">2% more patients achieved this in the </w:t>
      </w:r>
      <w:proofErr w:type="spellStart"/>
      <w:r w:rsidRPr="00B46F3B">
        <w:t>tiotropium</w:t>
      </w:r>
      <w:proofErr w:type="spellEnd"/>
      <w:r w:rsidRPr="00B46F3B">
        <w:t xml:space="preserve"> arm, the mean reduction was 0.1.</w:t>
      </w:r>
    </w:p>
    <w:p w:rsidR="00B60939" w:rsidRDefault="00B60939" w:rsidP="00E61788">
      <w:pPr>
        <w:widowControl/>
        <w:ind w:left="720" w:hanging="720"/>
        <w:rPr>
          <w:szCs w:val="22"/>
        </w:rPr>
      </w:pPr>
    </w:p>
    <w:p w:rsidR="00690916" w:rsidRDefault="00690916" w:rsidP="00E61788">
      <w:pPr>
        <w:pStyle w:val="ListParagraph"/>
        <w:widowControl/>
        <w:numPr>
          <w:ilvl w:val="1"/>
          <w:numId w:val="9"/>
        </w:numPr>
      </w:pPr>
      <w:r w:rsidRPr="00872E6F">
        <w:t xml:space="preserve">The PSCR </w:t>
      </w:r>
      <w:r w:rsidR="00226C99" w:rsidRPr="00872E6F">
        <w:t xml:space="preserve">disagreed with the </w:t>
      </w:r>
      <w:r w:rsidR="00370553" w:rsidRPr="00872E6F">
        <w:t>evaluation</w:t>
      </w:r>
      <w:r w:rsidR="00226C99" w:rsidRPr="00872E6F">
        <w:t xml:space="preserve"> regarding the clinical significance of the trough FEV</w:t>
      </w:r>
      <w:r w:rsidR="00226C99" w:rsidRPr="002315A5">
        <w:rPr>
          <w:vertAlign w:val="subscript"/>
        </w:rPr>
        <w:t>1</w:t>
      </w:r>
      <w:r w:rsidR="009542B1" w:rsidRPr="00872E6F">
        <w:t xml:space="preserve"> difference</w:t>
      </w:r>
      <w:r w:rsidR="00226C99" w:rsidRPr="00872E6F">
        <w:t xml:space="preserve">, </w:t>
      </w:r>
      <w:r w:rsidR="00AD626C" w:rsidRPr="00872E6F">
        <w:t>stat</w:t>
      </w:r>
      <w:r w:rsidR="00226C99" w:rsidRPr="00872E6F">
        <w:t>ing</w:t>
      </w:r>
      <w:r w:rsidR="00AD626C" w:rsidRPr="00872E6F">
        <w:t xml:space="preserve"> that ‘it is not appropriate to apply a unidirectional non</w:t>
      </w:r>
      <w:r w:rsidR="00226C99" w:rsidRPr="00872E6F">
        <w:t>-</w:t>
      </w:r>
      <w:r w:rsidR="00AD626C" w:rsidRPr="00872E6F">
        <w:t>inferiority threshold</w:t>
      </w:r>
      <w:r w:rsidR="00226C99" w:rsidRPr="00872E6F">
        <w:t xml:space="preserve">, which is intended to exclude inferiority, in a bidirectional manner to assess superiority’. The ESC disagreed with the PSCR, as the ESC considered that the </w:t>
      </w:r>
      <w:r w:rsidR="00370553" w:rsidRPr="00872E6F">
        <w:t>evaluation</w:t>
      </w:r>
      <w:r w:rsidR="00226C99" w:rsidRPr="00872E6F">
        <w:t xml:space="preserve"> </w:t>
      </w:r>
      <w:r w:rsidR="009542B1" w:rsidRPr="00872E6F">
        <w:t>was questioning whether a trough FEV</w:t>
      </w:r>
      <w:r w:rsidR="009542B1" w:rsidRPr="002315A5">
        <w:rPr>
          <w:vertAlign w:val="subscript"/>
        </w:rPr>
        <w:t>1</w:t>
      </w:r>
      <w:r w:rsidR="009542B1" w:rsidRPr="00872E6F">
        <w:t xml:space="preserve"> difference of </w:t>
      </w:r>
      <w:r w:rsidR="009855AA" w:rsidRPr="00872E6F">
        <w:t>10</w:t>
      </w:r>
      <w:r w:rsidR="009542B1" w:rsidRPr="00872E6F">
        <w:t>0</w:t>
      </w:r>
      <w:r w:rsidR="009855AA" w:rsidRPr="00872E6F">
        <w:t> </w:t>
      </w:r>
      <w:r w:rsidR="009542B1" w:rsidRPr="00872E6F">
        <w:t xml:space="preserve">mL has clinical </w:t>
      </w:r>
      <w:r w:rsidR="009855AA" w:rsidRPr="00872E6F">
        <w:t>meaning for patients (given the non-inferiority threshold of 150 mL is supposed to indicate the point beyond which</w:t>
      </w:r>
      <w:r w:rsidR="00A85B27" w:rsidRPr="00872E6F">
        <w:t xml:space="preserve"> there</w:t>
      </w:r>
      <w:r w:rsidR="009855AA" w:rsidRPr="00872E6F">
        <w:t xml:space="preserve"> is </w:t>
      </w:r>
      <w:r w:rsidR="00A85B27" w:rsidRPr="00872E6F">
        <w:t>a</w:t>
      </w:r>
      <w:r w:rsidR="009855AA" w:rsidRPr="00872E6F">
        <w:t xml:space="preserve"> discernible difference between products)</w:t>
      </w:r>
      <w:r w:rsidR="00A85B27" w:rsidRPr="00872E6F">
        <w:t xml:space="preserve">, and was not suggesting </w:t>
      </w:r>
      <w:r w:rsidR="00226C99" w:rsidRPr="00872E6F">
        <w:t xml:space="preserve">a trough </w:t>
      </w:r>
      <w:r w:rsidR="009542B1" w:rsidRPr="00872E6F">
        <w:t>FEV</w:t>
      </w:r>
      <w:r w:rsidR="009542B1" w:rsidRPr="002315A5">
        <w:rPr>
          <w:vertAlign w:val="subscript"/>
        </w:rPr>
        <w:t>1</w:t>
      </w:r>
      <w:r w:rsidR="00226C99" w:rsidRPr="00872E6F">
        <w:t xml:space="preserve"> difference of 150</w:t>
      </w:r>
      <w:r w:rsidR="009855AA" w:rsidRPr="00872E6F">
        <w:t> </w:t>
      </w:r>
      <w:r w:rsidR="00226C99" w:rsidRPr="00872E6F">
        <w:t>mL be used to assess superiority</w:t>
      </w:r>
      <w:r w:rsidR="00A85B27" w:rsidRPr="00872E6F">
        <w:t>.</w:t>
      </w:r>
    </w:p>
    <w:p w:rsidR="00045959" w:rsidRDefault="00045959" w:rsidP="00045959">
      <w:pPr>
        <w:pStyle w:val="ListParagraph"/>
        <w:widowControl/>
      </w:pPr>
    </w:p>
    <w:p w:rsidR="00045959" w:rsidRDefault="00045959" w:rsidP="00045959">
      <w:pPr>
        <w:pStyle w:val="ListParagraph"/>
        <w:widowControl/>
        <w:numPr>
          <w:ilvl w:val="1"/>
          <w:numId w:val="9"/>
        </w:numPr>
      </w:pPr>
      <w:r>
        <w:t xml:space="preserve">The </w:t>
      </w:r>
      <w:r w:rsidR="00047309">
        <w:t>P</w:t>
      </w:r>
      <w:r w:rsidR="009C0263">
        <w:t>re-PBAC response</w:t>
      </w:r>
      <w:r>
        <w:t xml:space="preserve"> </w:t>
      </w:r>
      <w:r w:rsidR="0053431D">
        <w:t xml:space="preserve">noted that the 100 mL improvement in trough </w:t>
      </w:r>
      <w:r w:rsidR="0053431D" w:rsidRPr="00B46F3B">
        <w:t>FEV</w:t>
      </w:r>
      <w:r w:rsidR="0053431D" w:rsidRPr="00B46F3B">
        <w:rPr>
          <w:vertAlign w:val="subscript"/>
        </w:rPr>
        <w:t>1</w:t>
      </w:r>
      <w:r w:rsidR="0053431D">
        <w:t xml:space="preserve"> </w:t>
      </w:r>
      <w:r w:rsidR="00CD4C28">
        <w:t>wa</w:t>
      </w:r>
      <w:r w:rsidR="009C0263">
        <w:t xml:space="preserve">s in addition to improvements already achieved with high doses of ICS and LABA as background therapy; with </w:t>
      </w:r>
      <w:r w:rsidR="00EF3216">
        <w:t xml:space="preserve">the safety profile of </w:t>
      </w:r>
      <w:proofErr w:type="spellStart"/>
      <w:r w:rsidR="00EF3216">
        <w:t>tiotropium</w:t>
      </w:r>
      <w:proofErr w:type="spellEnd"/>
      <w:r w:rsidR="00EF3216">
        <w:t xml:space="preserve"> as add-on to ICS and LABA being </w:t>
      </w:r>
      <w:r w:rsidR="009C0263">
        <w:t xml:space="preserve">non-inferior </w:t>
      </w:r>
      <w:r w:rsidR="00EF3216">
        <w:t>to ICS and LABA alone</w:t>
      </w:r>
      <w:r w:rsidR="009C0263">
        <w:t>.</w:t>
      </w:r>
      <w:r w:rsidR="00CD4C28">
        <w:t xml:space="preserve"> </w:t>
      </w:r>
    </w:p>
    <w:p w:rsidR="002315A5" w:rsidRDefault="002315A5" w:rsidP="002315A5">
      <w:pPr>
        <w:pStyle w:val="ListParagraph"/>
        <w:widowControl/>
      </w:pPr>
    </w:p>
    <w:p w:rsidR="00BD2840" w:rsidRPr="00231BB0" w:rsidRDefault="00BD2840" w:rsidP="00BD2840">
      <w:pPr>
        <w:pStyle w:val="ListParagraph"/>
        <w:widowControl/>
        <w:numPr>
          <w:ilvl w:val="1"/>
          <w:numId w:val="9"/>
        </w:numPr>
        <w:jc w:val="left"/>
        <w:rPr>
          <w:bCs/>
          <w:szCs w:val="22"/>
        </w:rPr>
      </w:pPr>
      <w:r w:rsidRPr="00231BB0">
        <w:rPr>
          <w:bCs/>
          <w:szCs w:val="22"/>
        </w:rPr>
        <w:t>The PBAC considered that the claim of superior comparative effectiveness was reasonable.</w:t>
      </w:r>
    </w:p>
    <w:p w:rsidR="00BD2840" w:rsidRPr="002315A5" w:rsidRDefault="00BD2840" w:rsidP="00BD2840">
      <w:pPr>
        <w:pStyle w:val="ListParagraph"/>
        <w:widowControl/>
        <w:rPr>
          <w:szCs w:val="22"/>
        </w:rPr>
      </w:pPr>
    </w:p>
    <w:p w:rsidR="00BD2840" w:rsidRPr="00651BE5" w:rsidRDefault="00BD2840" w:rsidP="00BD2840">
      <w:pPr>
        <w:pStyle w:val="ListParagraph"/>
        <w:widowControl/>
        <w:numPr>
          <w:ilvl w:val="1"/>
          <w:numId w:val="9"/>
        </w:numPr>
      </w:pPr>
      <w:r w:rsidRPr="00651BE5">
        <w:rPr>
          <w:szCs w:val="22"/>
        </w:rPr>
        <w:t>The PBAC considered that the claim of non-inferior co</w:t>
      </w:r>
      <w:r>
        <w:rPr>
          <w:szCs w:val="22"/>
        </w:rPr>
        <w:t>mparative safety was reasonable</w:t>
      </w:r>
      <w:r w:rsidRPr="00651BE5">
        <w:rPr>
          <w:szCs w:val="22"/>
        </w:rPr>
        <w:t>.</w:t>
      </w:r>
    </w:p>
    <w:p w:rsidR="00690916" w:rsidRDefault="00690916" w:rsidP="00E61788">
      <w:pPr>
        <w:widowControl/>
        <w:ind w:left="720" w:hanging="720"/>
        <w:rPr>
          <w:szCs w:val="22"/>
        </w:rPr>
      </w:pPr>
    </w:p>
    <w:p w:rsidR="00047309" w:rsidRDefault="00047309" w:rsidP="00047309">
      <w:pPr>
        <w:widowControl/>
        <w:ind w:firstLine="709"/>
      </w:pPr>
      <w:r w:rsidRPr="00D35F2F">
        <w:rPr>
          <w:i/>
          <w:szCs w:val="22"/>
        </w:rPr>
        <w:t>For more detail on PBAC’s view, see section 7 “PBAC outcome”</w:t>
      </w:r>
    </w:p>
    <w:p w:rsidR="00047309" w:rsidRPr="00882085" w:rsidRDefault="00047309" w:rsidP="00E61788">
      <w:pPr>
        <w:widowControl/>
        <w:ind w:left="720" w:hanging="720"/>
        <w:rPr>
          <w:szCs w:val="22"/>
        </w:rPr>
      </w:pPr>
    </w:p>
    <w:p w:rsidR="00B60939" w:rsidRPr="002C2775" w:rsidRDefault="00B60939" w:rsidP="00E61788">
      <w:pPr>
        <w:pStyle w:val="Heading2"/>
        <w:widowControl/>
        <w:rPr>
          <w:i/>
        </w:rPr>
      </w:pPr>
      <w:bookmarkStart w:id="16" w:name="_Toc419799913"/>
      <w:r w:rsidRPr="002C2775">
        <w:rPr>
          <w:i/>
        </w:rPr>
        <w:t>Economic analysis</w:t>
      </w:r>
      <w:bookmarkEnd w:id="16"/>
      <w:r w:rsidR="00491B3A" w:rsidRPr="002C2775">
        <w:rPr>
          <w:i/>
        </w:rPr>
        <w:t xml:space="preserve"> </w:t>
      </w:r>
    </w:p>
    <w:p w:rsidR="00B60939" w:rsidRPr="00882085" w:rsidRDefault="00B60939" w:rsidP="00E61788">
      <w:pPr>
        <w:widowControl/>
        <w:ind w:left="720" w:hanging="720"/>
        <w:rPr>
          <w:szCs w:val="22"/>
        </w:rPr>
      </w:pPr>
    </w:p>
    <w:p w:rsidR="00275C5A" w:rsidRPr="00BD166F" w:rsidRDefault="00BD166F" w:rsidP="00E61788">
      <w:pPr>
        <w:pStyle w:val="ListParagraph"/>
        <w:widowControl/>
        <w:numPr>
          <w:ilvl w:val="1"/>
          <w:numId w:val="9"/>
        </w:numPr>
        <w:rPr>
          <w:szCs w:val="22"/>
        </w:rPr>
      </w:pPr>
      <w:r w:rsidRPr="00BD166F">
        <w:t xml:space="preserve">The submission presented a modelled economic analysis. </w:t>
      </w:r>
    </w:p>
    <w:p w:rsidR="00BD166F" w:rsidRPr="00BD166F" w:rsidRDefault="00BD166F" w:rsidP="00E61788">
      <w:pPr>
        <w:pStyle w:val="ListParagraph"/>
        <w:widowControl/>
        <w:rPr>
          <w:szCs w:val="22"/>
        </w:rPr>
      </w:pPr>
    </w:p>
    <w:p w:rsidR="00275C5A" w:rsidRDefault="00275C5A" w:rsidP="00E61788">
      <w:pPr>
        <w:keepNext/>
        <w:widowControl/>
        <w:ind w:firstLine="720"/>
        <w:rPr>
          <w:rStyle w:val="CommentReference"/>
        </w:rPr>
      </w:pPr>
      <w:r w:rsidRPr="00A56B6A">
        <w:rPr>
          <w:rStyle w:val="CommentReference"/>
        </w:rPr>
        <w:lastRenderedPageBreak/>
        <w:t xml:space="preserve">Table </w:t>
      </w:r>
      <w:r w:rsidR="00211C2D">
        <w:rPr>
          <w:rStyle w:val="CommentReference"/>
        </w:rPr>
        <w:t>8</w:t>
      </w:r>
      <w:r w:rsidRPr="00A56B6A">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777"/>
        <w:gridCol w:w="1135"/>
        <w:gridCol w:w="1881"/>
      </w:tblGrid>
      <w:tr w:rsidR="00275C5A" w:rsidRPr="00E2771E" w:rsidTr="005D044D">
        <w:trPr>
          <w:tblHeader/>
        </w:trPr>
        <w:tc>
          <w:tcPr>
            <w:tcW w:w="1529" w:type="pct"/>
            <w:shd w:val="clear" w:color="auto" w:fill="auto"/>
            <w:vAlign w:val="center"/>
          </w:tcPr>
          <w:p w:rsidR="00275C5A" w:rsidRPr="00E2771E" w:rsidRDefault="00275C5A" w:rsidP="00E61788">
            <w:pPr>
              <w:keepNext/>
              <w:widowControl/>
              <w:jc w:val="left"/>
              <w:rPr>
                <w:rFonts w:ascii="Arial Narrow" w:hAnsi="Arial Narrow"/>
                <w:b/>
                <w:sz w:val="20"/>
              </w:rPr>
            </w:pPr>
            <w:r w:rsidRPr="00E2771E">
              <w:rPr>
                <w:rFonts w:ascii="Arial Narrow" w:hAnsi="Arial Narrow"/>
                <w:b/>
                <w:sz w:val="20"/>
              </w:rPr>
              <w:t>Component</w:t>
            </w:r>
          </w:p>
        </w:tc>
        <w:tc>
          <w:tcPr>
            <w:tcW w:w="3471" w:type="pct"/>
            <w:gridSpan w:val="3"/>
            <w:shd w:val="clear" w:color="auto" w:fill="auto"/>
            <w:vAlign w:val="center"/>
          </w:tcPr>
          <w:p w:rsidR="00275C5A" w:rsidRPr="00E2771E" w:rsidRDefault="00275C5A" w:rsidP="00E61788">
            <w:pPr>
              <w:keepNext/>
              <w:widowControl/>
              <w:jc w:val="center"/>
              <w:rPr>
                <w:rFonts w:ascii="Arial Narrow" w:hAnsi="Arial Narrow"/>
                <w:b/>
                <w:sz w:val="20"/>
              </w:rPr>
            </w:pPr>
            <w:r w:rsidRPr="00E2771E">
              <w:rPr>
                <w:rFonts w:ascii="Arial Narrow" w:hAnsi="Arial Narrow"/>
                <w:b/>
                <w:sz w:val="20"/>
              </w:rPr>
              <w:t>Summary</w:t>
            </w:r>
          </w:p>
        </w:tc>
      </w:tr>
      <w:tr w:rsidR="003D141B" w:rsidRPr="00E2771E" w:rsidTr="005D044D">
        <w:tc>
          <w:tcPr>
            <w:tcW w:w="1529" w:type="pct"/>
            <w:shd w:val="clear" w:color="auto" w:fill="auto"/>
            <w:vAlign w:val="center"/>
          </w:tcPr>
          <w:p w:rsidR="003D141B" w:rsidRPr="00E2771E" w:rsidRDefault="003D141B" w:rsidP="00E61788">
            <w:pPr>
              <w:keepNext/>
              <w:widowControl/>
              <w:jc w:val="left"/>
              <w:rPr>
                <w:rFonts w:ascii="Arial Narrow" w:hAnsi="Arial Narrow"/>
                <w:sz w:val="20"/>
              </w:rPr>
            </w:pPr>
            <w:r w:rsidRPr="00E2771E">
              <w:rPr>
                <w:rFonts w:ascii="Arial Narrow" w:hAnsi="Arial Narrow"/>
                <w:sz w:val="20"/>
              </w:rPr>
              <w:t>Time horizon</w:t>
            </w:r>
          </w:p>
        </w:tc>
        <w:tc>
          <w:tcPr>
            <w:tcW w:w="3471" w:type="pct"/>
            <w:gridSpan w:val="3"/>
            <w:shd w:val="clear" w:color="auto" w:fill="auto"/>
            <w:vAlign w:val="center"/>
          </w:tcPr>
          <w:p w:rsidR="003D141B" w:rsidRPr="00E2771E" w:rsidRDefault="003D141B" w:rsidP="00E61788">
            <w:pPr>
              <w:keepNext/>
              <w:widowControl/>
              <w:jc w:val="left"/>
              <w:rPr>
                <w:rFonts w:ascii="Arial Narrow" w:hAnsi="Arial Narrow"/>
                <w:sz w:val="20"/>
              </w:rPr>
            </w:pPr>
            <w:r>
              <w:rPr>
                <w:rFonts w:ascii="Arial Narrow" w:hAnsi="Arial Narrow"/>
                <w:sz w:val="20"/>
              </w:rPr>
              <w:t>15</w:t>
            </w:r>
            <w:r w:rsidRPr="00E2771E">
              <w:rPr>
                <w:rFonts w:ascii="Arial Narrow" w:hAnsi="Arial Narrow"/>
                <w:sz w:val="20"/>
              </w:rPr>
              <w:t xml:space="preserve"> years in the model base case versus </w:t>
            </w:r>
            <w:r>
              <w:rPr>
                <w:rFonts w:ascii="Arial Narrow" w:hAnsi="Arial Narrow"/>
                <w:sz w:val="20"/>
              </w:rPr>
              <w:t>48</w:t>
            </w:r>
            <w:r w:rsidRPr="00E2771E">
              <w:rPr>
                <w:rFonts w:ascii="Arial Narrow" w:hAnsi="Arial Narrow"/>
                <w:sz w:val="20"/>
              </w:rPr>
              <w:t xml:space="preserve"> weeks in trial</w:t>
            </w:r>
          </w:p>
        </w:tc>
      </w:tr>
      <w:tr w:rsidR="003D141B" w:rsidRPr="00E2771E" w:rsidTr="005D044D">
        <w:tc>
          <w:tcPr>
            <w:tcW w:w="1529" w:type="pct"/>
            <w:shd w:val="clear" w:color="auto" w:fill="auto"/>
            <w:vAlign w:val="center"/>
          </w:tcPr>
          <w:p w:rsidR="003D141B" w:rsidRPr="00E2771E" w:rsidRDefault="003D141B" w:rsidP="00E61788">
            <w:pPr>
              <w:keepNext/>
              <w:widowControl/>
              <w:jc w:val="left"/>
              <w:rPr>
                <w:rFonts w:ascii="Arial Narrow" w:hAnsi="Arial Narrow"/>
                <w:sz w:val="20"/>
              </w:rPr>
            </w:pPr>
            <w:r w:rsidRPr="00E2771E">
              <w:rPr>
                <w:rFonts w:ascii="Arial Narrow" w:hAnsi="Arial Narrow"/>
                <w:sz w:val="20"/>
              </w:rPr>
              <w:t>Outcomes</w:t>
            </w:r>
          </w:p>
        </w:tc>
        <w:tc>
          <w:tcPr>
            <w:tcW w:w="3471" w:type="pct"/>
            <w:gridSpan w:val="3"/>
            <w:shd w:val="clear" w:color="auto" w:fill="auto"/>
            <w:vAlign w:val="center"/>
          </w:tcPr>
          <w:p w:rsidR="003D141B" w:rsidRPr="00E2771E" w:rsidRDefault="003D141B" w:rsidP="00E61788">
            <w:pPr>
              <w:keepNext/>
              <w:widowControl/>
              <w:jc w:val="left"/>
              <w:rPr>
                <w:rFonts w:ascii="Arial Narrow" w:hAnsi="Arial Narrow"/>
                <w:sz w:val="20"/>
              </w:rPr>
            </w:pPr>
            <w:r w:rsidRPr="00A577C8">
              <w:rPr>
                <w:rFonts w:ascii="Arial Narrow" w:hAnsi="Arial Narrow"/>
                <w:sz w:val="20"/>
              </w:rPr>
              <w:t>Exacerbations avoided</w:t>
            </w:r>
            <w:r>
              <w:rPr>
                <w:rFonts w:ascii="Arial Narrow" w:hAnsi="Arial Narrow"/>
                <w:sz w:val="20"/>
              </w:rPr>
              <w:t>, patient</w:t>
            </w:r>
            <w:r w:rsidRPr="00A577C8">
              <w:rPr>
                <w:rFonts w:ascii="Arial Narrow" w:hAnsi="Arial Narrow"/>
                <w:sz w:val="20"/>
              </w:rPr>
              <w:t xml:space="preserve"> </w:t>
            </w:r>
            <w:r>
              <w:rPr>
                <w:rFonts w:ascii="Arial Narrow" w:hAnsi="Arial Narrow"/>
                <w:sz w:val="20"/>
              </w:rPr>
              <w:t xml:space="preserve">years </w:t>
            </w:r>
            <w:r w:rsidRPr="00A577C8">
              <w:rPr>
                <w:rFonts w:ascii="Arial Narrow" w:hAnsi="Arial Narrow"/>
                <w:sz w:val="20"/>
              </w:rPr>
              <w:t>free of exacerbation</w:t>
            </w:r>
            <w:r>
              <w:rPr>
                <w:rFonts w:ascii="Arial Narrow" w:hAnsi="Arial Narrow"/>
                <w:sz w:val="20"/>
              </w:rPr>
              <w:t>, life years gained</w:t>
            </w:r>
            <w:r w:rsidRPr="00E2771E">
              <w:rPr>
                <w:rFonts w:ascii="Arial Narrow" w:hAnsi="Arial Narrow"/>
                <w:sz w:val="20"/>
              </w:rPr>
              <w:t xml:space="preserve"> and </w:t>
            </w:r>
            <w:r w:rsidRPr="00A577C8">
              <w:rPr>
                <w:rFonts w:ascii="Arial Narrow" w:hAnsi="Arial Narrow"/>
                <w:sz w:val="20"/>
              </w:rPr>
              <w:t>quality-adjusted life-year</w:t>
            </w:r>
            <w:r>
              <w:rPr>
                <w:rFonts w:ascii="Arial Narrow" w:hAnsi="Arial Narrow"/>
                <w:sz w:val="20"/>
              </w:rPr>
              <w:t>s gained.</w:t>
            </w:r>
          </w:p>
        </w:tc>
      </w:tr>
      <w:tr w:rsidR="003D141B" w:rsidRPr="00E2771E" w:rsidTr="005D044D">
        <w:tc>
          <w:tcPr>
            <w:tcW w:w="1529" w:type="pct"/>
            <w:shd w:val="clear" w:color="auto" w:fill="auto"/>
            <w:vAlign w:val="center"/>
          </w:tcPr>
          <w:p w:rsidR="003D141B" w:rsidRPr="00E2771E" w:rsidRDefault="003D141B" w:rsidP="00E61788">
            <w:pPr>
              <w:keepNext/>
              <w:widowControl/>
              <w:jc w:val="left"/>
              <w:rPr>
                <w:rFonts w:ascii="Arial Narrow" w:hAnsi="Arial Narrow"/>
                <w:sz w:val="20"/>
              </w:rPr>
            </w:pPr>
            <w:r w:rsidRPr="00E2771E">
              <w:rPr>
                <w:rFonts w:ascii="Arial Narrow" w:hAnsi="Arial Narrow"/>
                <w:sz w:val="20"/>
              </w:rPr>
              <w:t>Methods used to generate results</w:t>
            </w:r>
          </w:p>
        </w:tc>
        <w:tc>
          <w:tcPr>
            <w:tcW w:w="3471" w:type="pct"/>
            <w:gridSpan w:val="3"/>
            <w:shd w:val="clear" w:color="auto" w:fill="auto"/>
            <w:vAlign w:val="center"/>
          </w:tcPr>
          <w:p w:rsidR="003D141B" w:rsidRPr="00E2771E" w:rsidRDefault="003D141B" w:rsidP="00E61788">
            <w:pPr>
              <w:keepNext/>
              <w:widowControl/>
              <w:jc w:val="left"/>
              <w:rPr>
                <w:rFonts w:ascii="Arial Narrow" w:hAnsi="Arial Narrow"/>
                <w:sz w:val="20"/>
              </w:rPr>
            </w:pPr>
            <w:r>
              <w:rPr>
                <w:rFonts w:ascii="Arial Narrow" w:hAnsi="Arial Narrow"/>
                <w:sz w:val="20"/>
              </w:rPr>
              <w:t>E</w:t>
            </w:r>
            <w:r w:rsidRPr="003D141B">
              <w:rPr>
                <w:rFonts w:ascii="Arial Narrow" w:hAnsi="Arial Narrow"/>
                <w:sz w:val="20"/>
              </w:rPr>
              <w:t>xtrapolated trial data and Markov model</w:t>
            </w:r>
          </w:p>
        </w:tc>
      </w:tr>
      <w:tr w:rsidR="00FA0188" w:rsidRPr="00E2771E" w:rsidTr="00FA0188">
        <w:trPr>
          <w:trHeight w:val="969"/>
        </w:trPr>
        <w:tc>
          <w:tcPr>
            <w:tcW w:w="1529" w:type="pct"/>
            <w:vMerge w:val="restart"/>
            <w:shd w:val="clear" w:color="auto" w:fill="auto"/>
            <w:vAlign w:val="center"/>
          </w:tcPr>
          <w:p w:rsidR="00FA0188" w:rsidRPr="00E2771E" w:rsidRDefault="00FA0188" w:rsidP="00E61788">
            <w:pPr>
              <w:keepNext/>
              <w:widowControl/>
              <w:jc w:val="left"/>
              <w:rPr>
                <w:rFonts w:ascii="Arial Narrow" w:hAnsi="Arial Narrow"/>
                <w:sz w:val="20"/>
              </w:rPr>
            </w:pPr>
            <w:r w:rsidRPr="00E2771E">
              <w:rPr>
                <w:rFonts w:ascii="Arial Narrow" w:hAnsi="Arial Narrow"/>
                <w:sz w:val="20"/>
              </w:rPr>
              <w:t>Health states</w:t>
            </w:r>
          </w:p>
        </w:tc>
        <w:tc>
          <w:tcPr>
            <w:tcW w:w="3471" w:type="pct"/>
            <w:gridSpan w:val="3"/>
            <w:shd w:val="clear" w:color="auto" w:fill="auto"/>
            <w:vAlign w:val="center"/>
          </w:tcPr>
          <w:p w:rsidR="00FA0188" w:rsidRPr="00E2771E" w:rsidRDefault="00FA0188" w:rsidP="00E61788">
            <w:pPr>
              <w:widowControl/>
              <w:rPr>
                <w:rFonts w:ascii="Arial Narrow" w:hAnsi="Arial Narrow"/>
                <w:sz w:val="20"/>
              </w:rPr>
            </w:pPr>
            <w:r>
              <w:rPr>
                <w:rFonts w:ascii="Arial Narrow" w:hAnsi="Arial Narrow"/>
                <w:sz w:val="20"/>
              </w:rPr>
              <w:t xml:space="preserve">Seven health states: </w:t>
            </w:r>
            <w:r w:rsidRPr="003D141B">
              <w:rPr>
                <w:rFonts w:ascii="Arial Narrow" w:hAnsi="Arial Narrow"/>
                <w:sz w:val="20"/>
              </w:rPr>
              <w:t>1) optimal asthma control; 2) acceptable asthma control; 3) uncontrolled asthma; 4) non-severe exacerbation; 5) severe exacerbation without hospitali</w:t>
            </w:r>
            <w:r>
              <w:rPr>
                <w:rFonts w:ascii="Arial Narrow" w:hAnsi="Arial Narrow"/>
                <w:sz w:val="20"/>
              </w:rPr>
              <w:t xml:space="preserve">sation; 6) severe exacerbation </w:t>
            </w:r>
            <w:r w:rsidRPr="003D141B">
              <w:rPr>
                <w:rFonts w:ascii="Arial Narrow" w:hAnsi="Arial Narrow"/>
                <w:sz w:val="20"/>
              </w:rPr>
              <w:t>with hospitalisation; and 7) death (all-cause</w:t>
            </w:r>
            <w:r w:rsidR="00FC5163">
              <w:rPr>
                <w:rFonts w:ascii="Arial Narrow" w:hAnsi="Arial Narrow"/>
                <w:sz w:val="20"/>
              </w:rPr>
              <w:t>)</w:t>
            </w:r>
          </w:p>
        </w:tc>
      </w:tr>
      <w:tr w:rsidR="00FA0188" w:rsidRPr="00E2771E" w:rsidTr="00FA0188">
        <w:trPr>
          <w:trHeight w:val="65"/>
        </w:trPr>
        <w:tc>
          <w:tcPr>
            <w:tcW w:w="1529" w:type="pct"/>
            <w:vMerge/>
            <w:shd w:val="clear" w:color="auto" w:fill="auto"/>
            <w:vAlign w:val="center"/>
          </w:tcPr>
          <w:p w:rsidR="00FA0188" w:rsidRPr="00E2771E" w:rsidRDefault="00FA0188" w:rsidP="00E61788">
            <w:pPr>
              <w:keepNext/>
              <w:widowControl/>
              <w:jc w:val="left"/>
              <w:rPr>
                <w:rFonts w:ascii="Arial Narrow" w:hAnsi="Arial Narrow"/>
                <w:sz w:val="20"/>
              </w:rPr>
            </w:pPr>
          </w:p>
        </w:tc>
        <w:tc>
          <w:tcPr>
            <w:tcW w:w="1664" w:type="pct"/>
            <w:shd w:val="clear" w:color="auto" w:fill="auto"/>
            <w:vAlign w:val="center"/>
          </w:tcPr>
          <w:p w:rsidR="00FA0188" w:rsidRPr="003F4052" w:rsidRDefault="00FA0188" w:rsidP="00E61788">
            <w:pPr>
              <w:keepNext/>
              <w:widowControl/>
              <w:jc w:val="left"/>
              <w:rPr>
                <w:rFonts w:ascii="Arial Narrow" w:hAnsi="Arial Narrow" w:cs="Times New Roman"/>
                <w:b/>
                <w:sz w:val="20"/>
              </w:rPr>
            </w:pPr>
            <w:r w:rsidRPr="003F4052">
              <w:rPr>
                <w:rFonts w:ascii="Arial Narrow" w:hAnsi="Arial Narrow" w:cs="Times New Roman"/>
                <w:b/>
                <w:sz w:val="20"/>
              </w:rPr>
              <w:t>Health State</w:t>
            </w:r>
          </w:p>
        </w:tc>
        <w:tc>
          <w:tcPr>
            <w:tcW w:w="680" w:type="pct"/>
            <w:shd w:val="clear" w:color="auto" w:fill="auto"/>
            <w:vAlign w:val="center"/>
          </w:tcPr>
          <w:p w:rsidR="00FA0188" w:rsidRPr="00FC5163" w:rsidRDefault="00FA0188" w:rsidP="00E61788">
            <w:pPr>
              <w:keepNext/>
              <w:widowControl/>
              <w:jc w:val="center"/>
              <w:rPr>
                <w:rFonts w:ascii="Arial Narrow" w:hAnsi="Arial Narrow" w:cs="Times New Roman"/>
                <w:b/>
                <w:sz w:val="20"/>
              </w:rPr>
            </w:pPr>
            <w:r w:rsidRPr="00FC5163">
              <w:rPr>
                <w:rFonts w:ascii="Arial Narrow" w:hAnsi="Arial Narrow" w:cs="Times New Roman"/>
                <w:b/>
                <w:sz w:val="20"/>
              </w:rPr>
              <w:t>Utility</w:t>
            </w:r>
            <w:r w:rsidR="00FC5163">
              <w:rPr>
                <w:rFonts w:ascii="Arial Narrow" w:hAnsi="Arial Narrow" w:cs="Times New Roman"/>
                <w:b/>
                <w:sz w:val="20"/>
              </w:rPr>
              <w:t xml:space="preserve"> Values</w:t>
            </w:r>
          </w:p>
        </w:tc>
        <w:tc>
          <w:tcPr>
            <w:tcW w:w="1127" w:type="pct"/>
            <w:shd w:val="clear" w:color="auto" w:fill="auto"/>
            <w:vAlign w:val="center"/>
          </w:tcPr>
          <w:p w:rsidR="00FA0188" w:rsidRPr="00FC5163" w:rsidRDefault="00FA0188" w:rsidP="00E61788">
            <w:pPr>
              <w:keepNext/>
              <w:widowControl/>
              <w:jc w:val="center"/>
              <w:rPr>
                <w:rFonts w:ascii="Arial Narrow" w:hAnsi="Arial Narrow"/>
                <w:b/>
                <w:sz w:val="20"/>
              </w:rPr>
            </w:pPr>
            <w:r w:rsidRPr="00FC5163">
              <w:rPr>
                <w:rFonts w:ascii="Arial Narrow" w:hAnsi="Arial Narrow"/>
                <w:b/>
                <w:sz w:val="20"/>
              </w:rPr>
              <w:t>Source</w:t>
            </w:r>
          </w:p>
        </w:tc>
      </w:tr>
      <w:tr w:rsidR="00FA0188" w:rsidRPr="00E2771E" w:rsidTr="00FA0188">
        <w:trPr>
          <w:trHeight w:val="157"/>
        </w:trPr>
        <w:tc>
          <w:tcPr>
            <w:tcW w:w="1529" w:type="pct"/>
            <w:vMerge/>
            <w:shd w:val="clear" w:color="auto" w:fill="auto"/>
            <w:vAlign w:val="center"/>
          </w:tcPr>
          <w:p w:rsidR="00FA0188" w:rsidRPr="00E2771E" w:rsidRDefault="00FA0188" w:rsidP="00E61788">
            <w:pPr>
              <w:keepNext/>
              <w:widowControl/>
              <w:jc w:val="left"/>
              <w:rPr>
                <w:rFonts w:ascii="Arial Narrow" w:hAnsi="Arial Narrow"/>
                <w:sz w:val="20"/>
              </w:rPr>
            </w:pPr>
          </w:p>
        </w:tc>
        <w:tc>
          <w:tcPr>
            <w:tcW w:w="1664" w:type="pct"/>
            <w:shd w:val="clear" w:color="auto" w:fill="auto"/>
            <w:vAlign w:val="center"/>
          </w:tcPr>
          <w:p w:rsidR="00FA0188" w:rsidRPr="00907E71" w:rsidRDefault="00FA0188" w:rsidP="00E61788">
            <w:pPr>
              <w:widowControl/>
              <w:jc w:val="left"/>
              <w:rPr>
                <w:rFonts w:ascii="Arial Narrow" w:hAnsi="Arial Narrow" w:cs="Times New Roman"/>
                <w:sz w:val="20"/>
              </w:rPr>
            </w:pPr>
            <w:r>
              <w:rPr>
                <w:rFonts w:ascii="Arial Narrow" w:hAnsi="Arial Narrow" w:cs="Times New Roman"/>
                <w:sz w:val="20"/>
              </w:rPr>
              <w:t>O</w:t>
            </w:r>
            <w:r w:rsidRPr="00907E71">
              <w:rPr>
                <w:rFonts w:ascii="Arial Narrow" w:hAnsi="Arial Narrow" w:cs="Times New Roman"/>
                <w:sz w:val="20"/>
              </w:rPr>
              <w:t>ptimal control</w:t>
            </w:r>
          </w:p>
        </w:tc>
        <w:tc>
          <w:tcPr>
            <w:tcW w:w="680" w:type="pct"/>
            <w:shd w:val="clear" w:color="auto" w:fill="auto"/>
            <w:vAlign w:val="center"/>
          </w:tcPr>
          <w:p w:rsidR="00FA0188" w:rsidRPr="00504B1C" w:rsidRDefault="00504B1C" w:rsidP="00E6178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27" w:type="pct"/>
            <w:vMerge w:val="restart"/>
            <w:shd w:val="clear" w:color="auto" w:fill="auto"/>
            <w:vAlign w:val="center"/>
          </w:tcPr>
          <w:p w:rsidR="00FA0188" w:rsidRDefault="00FA0188" w:rsidP="00E61788">
            <w:pPr>
              <w:keepNext/>
              <w:widowControl/>
              <w:jc w:val="left"/>
              <w:rPr>
                <w:rFonts w:ascii="Arial Narrow" w:hAnsi="Arial Narrow"/>
                <w:sz w:val="20"/>
              </w:rPr>
            </w:pPr>
            <w:r w:rsidRPr="00FA0188">
              <w:rPr>
                <w:rFonts w:ascii="Arial Narrow" w:hAnsi="Arial Narrow"/>
                <w:sz w:val="20"/>
              </w:rPr>
              <w:t>Trial 205.416/205.417, EQ-5D-3L</w:t>
            </w:r>
            <w:r w:rsidR="0054314A">
              <w:rPr>
                <w:rFonts w:ascii="Arial Narrow" w:hAnsi="Arial Narrow"/>
                <w:sz w:val="20"/>
              </w:rPr>
              <w:t xml:space="preserve"> (UK weights)</w:t>
            </w:r>
          </w:p>
        </w:tc>
      </w:tr>
      <w:tr w:rsidR="00FA0188" w:rsidRPr="00E2771E" w:rsidTr="00FA0188">
        <w:trPr>
          <w:trHeight w:val="111"/>
        </w:trPr>
        <w:tc>
          <w:tcPr>
            <w:tcW w:w="1529" w:type="pct"/>
            <w:vMerge/>
            <w:shd w:val="clear" w:color="auto" w:fill="auto"/>
            <w:vAlign w:val="center"/>
          </w:tcPr>
          <w:p w:rsidR="00FA0188" w:rsidRPr="00E2771E" w:rsidRDefault="00FA0188" w:rsidP="00E61788">
            <w:pPr>
              <w:keepNext/>
              <w:widowControl/>
              <w:jc w:val="left"/>
              <w:rPr>
                <w:rFonts w:ascii="Arial Narrow" w:hAnsi="Arial Narrow"/>
                <w:sz w:val="20"/>
              </w:rPr>
            </w:pPr>
          </w:p>
        </w:tc>
        <w:tc>
          <w:tcPr>
            <w:tcW w:w="1664" w:type="pct"/>
            <w:shd w:val="clear" w:color="auto" w:fill="auto"/>
            <w:vAlign w:val="center"/>
          </w:tcPr>
          <w:p w:rsidR="00FA0188" w:rsidRPr="00907E71" w:rsidRDefault="00FA0188" w:rsidP="00E61788">
            <w:pPr>
              <w:widowControl/>
              <w:jc w:val="left"/>
              <w:rPr>
                <w:rFonts w:ascii="Arial Narrow" w:hAnsi="Arial Narrow" w:cs="Times New Roman"/>
                <w:sz w:val="20"/>
              </w:rPr>
            </w:pPr>
            <w:r>
              <w:rPr>
                <w:rFonts w:ascii="Arial Narrow" w:hAnsi="Arial Narrow" w:cs="Times New Roman"/>
                <w:sz w:val="20"/>
              </w:rPr>
              <w:t>A</w:t>
            </w:r>
            <w:r w:rsidRPr="00907E71">
              <w:rPr>
                <w:rFonts w:ascii="Arial Narrow" w:hAnsi="Arial Narrow" w:cs="Times New Roman"/>
                <w:sz w:val="20"/>
              </w:rPr>
              <w:t>cceptable control</w:t>
            </w:r>
          </w:p>
        </w:tc>
        <w:tc>
          <w:tcPr>
            <w:tcW w:w="680" w:type="pct"/>
            <w:shd w:val="clear" w:color="auto" w:fill="auto"/>
            <w:vAlign w:val="center"/>
          </w:tcPr>
          <w:p w:rsidR="00FA0188" w:rsidRPr="00504B1C" w:rsidRDefault="00504B1C" w:rsidP="00E6178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27" w:type="pct"/>
            <w:vMerge/>
            <w:shd w:val="clear" w:color="auto" w:fill="auto"/>
            <w:vAlign w:val="center"/>
          </w:tcPr>
          <w:p w:rsidR="00FA0188" w:rsidRDefault="00FA0188" w:rsidP="00E61788">
            <w:pPr>
              <w:keepNext/>
              <w:widowControl/>
              <w:jc w:val="left"/>
              <w:rPr>
                <w:rFonts w:ascii="Arial Narrow" w:hAnsi="Arial Narrow"/>
                <w:sz w:val="20"/>
              </w:rPr>
            </w:pPr>
          </w:p>
        </w:tc>
      </w:tr>
      <w:tr w:rsidR="00FA0188" w:rsidRPr="00E2771E" w:rsidTr="00FA0188">
        <w:trPr>
          <w:trHeight w:val="111"/>
        </w:trPr>
        <w:tc>
          <w:tcPr>
            <w:tcW w:w="1529" w:type="pct"/>
            <w:vMerge/>
            <w:shd w:val="clear" w:color="auto" w:fill="auto"/>
            <w:vAlign w:val="center"/>
          </w:tcPr>
          <w:p w:rsidR="00FA0188" w:rsidRPr="00E2771E" w:rsidRDefault="00FA0188" w:rsidP="00E61788">
            <w:pPr>
              <w:keepNext/>
              <w:widowControl/>
              <w:jc w:val="left"/>
              <w:rPr>
                <w:rFonts w:ascii="Arial Narrow" w:hAnsi="Arial Narrow"/>
                <w:sz w:val="20"/>
              </w:rPr>
            </w:pPr>
          </w:p>
        </w:tc>
        <w:tc>
          <w:tcPr>
            <w:tcW w:w="1664" w:type="pct"/>
            <w:shd w:val="clear" w:color="auto" w:fill="auto"/>
            <w:vAlign w:val="center"/>
          </w:tcPr>
          <w:p w:rsidR="00FA0188" w:rsidRPr="00907E71" w:rsidRDefault="00FA0188" w:rsidP="00E61788">
            <w:pPr>
              <w:widowControl/>
              <w:jc w:val="left"/>
              <w:rPr>
                <w:rFonts w:ascii="Arial Narrow" w:hAnsi="Arial Narrow" w:cs="Times New Roman"/>
                <w:sz w:val="20"/>
              </w:rPr>
            </w:pPr>
            <w:r>
              <w:rPr>
                <w:rFonts w:ascii="Arial Narrow" w:hAnsi="Arial Narrow" w:cs="Times New Roman"/>
                <w:sz w:val="20"/>
              </w:rPr>
              <w:t>U</w:t>
            </w:r>
            <w:r w:rsidRPr="00907E71">
              <w:rPr>
                <w:rFonts w:ascii="Arial Narrow" w:hAnsi="Arial Narrow" w:cs="Times New Roman"/>
                <w:sz w:val="20"/>
              </w:rPr>
              <w:t>ncontrolled</w:t>
            </w:r>
          </w:p>
        </w:tc>
        <w:tc>
          <w:tcPr>
            <w:tcW w:w="680" w:type="pct"/>
            <w:shd w:val="clear" w:color="auto" w:fill="auto"/>
            <w:vAlign w:val="center"/>
          </w:tcPr>
          <w:p w:rsidR="00FA0188" w:rsidRPr="00504B1C" w:rsidRDefault="00504B1C" w:rsidP="00E6178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27" w:type="pct"/>
            <w:vMerge/>
            <w:shd w:val="clear" w:color="auto" w:fill="auto"/>
            <w:vAlign w:val="center"/>
          </w:tcPr>
          <w:p w:rsidR="00FA0188" w:rsidRDefault="00FA0188" w:rsidP="00E61788">
            <w:pPr>
              <w:keepNext/>
              <w:widowControl/>
              <w:jc w:val="left"/>
              <w:rPr>
                <w:rFonts w:ascii="Arial Narrow" w:hAnsi="Arial Narrow"/>
                <w:sz w:val="20"/>
              </w:rPr>
            </w:pPr>
          </w:p>
        </w:tc>
      </w:tr>
      <w:tr w:rsidR="00FA0188" w:rsidRPr="00E2771E" w:rsidTr="00FA0188">
        <w:trPr>
          <w:trHeight w:val="138"/>
        </w:trPr>
        <w:tc>
          <w:tcPr>
            <w:tcW w:w="1529" w:type="pct"/>
            <w:vMerge/>
            <w:shd w:val="clear" w:color="auto" w:fill="auto"/>
            <w:vAlign w:val="center"/>
          </w:tcPr>
          <w:p w:rsidR="00FA0188" w:rsidRPr="00E2771E" w:rsidRDefault="00FA0188" w:rsidP="00E61788">
            <w:pPr>
              <w:keepNext/>
              <w:widowControl/>
              <w:jc w:val="left"/>
              <w:rPr>
                <w:rFonts w:ascii="Arial Narrow" w:hAnsi="Arial Narrow"/>
                <w:sz w:val="20"/>
              </w:rPr>
            </w:pPr>
          </w:p>
        </w:tc>
        <w:tc>
          <w:tcPr>
            <w:tcW w:w="1664" w:type="pct"/>
            <w:shd w:val="clear" w:color="auto" w:fill="auto"/>
            <w:vAlign w:val="center"/>
          </w:tcPr>
          <w:p w:rsidR="00FA0188" w:rsidRPr="00907E71" w:rsidRDefault="00FA0188" w:rsidP="00E61788">
            <w:pPr>
              <w:keepNext/>
              <w:widowControl/>
              <w:jc w:val="left"/>
              <w:rPr>
                <w:rFonts w:ascii="Arial Narrow" w:hAnsi="Arial Narrow" w:cs="Times New Roman"/>
                <w:sz w:val="20"/>
              </w:rPr>
            </w:pPr>
            <w:r>
              <w:rPr>
                <w:rFonts w:ascii="Arial Narrow" w:hAnsi="Arial Narrow" w:cs="Times New Roman"/>
                <w:sz w:val="20"/>
              </w:rPr>
              <w:t>N</w:t>
            </w:r>
            <w:r w:rsidRPr="00907E71">
              <w:rPr>
                <w:rFonts w:ascii="Arial Narrow" w:hAnsi="Arial Narrow" w:cs="Times New Roman"/>
                <w:sz w:val="20"/>
              </w:rPr>
              <w:t>on-severe exacerbation</w:t>
            </w:r>
          </w:p>
        </w:tc>
        <w:tc>
          <w:tcPr>
            <w:tcW w:w="680" w:type="pct"/>
            <w:shd w:val="clear" w:color="auto" w:fill="auto"/>
            <w:vAlign w:val="center"/>
          </w:tcPr>
          <w:p w:rsidR="00FA0188" w:rsidRPr="00504B1C" w:rsidRDefault="00504B1C" w:rsidP="00E6178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27" w:type="pct"/>
            <w:shd w:val="clear" w:color="auto" w:fill="auto"/>
            <w:vAlign w:val="center"/>
          </w:tcPr>
          <w:p w:rsidR="00FA0188" w:rsidRDefault="00FC5163" w:rsidP="00E61788">
            <w:pPr>
              <w:keepNext/>
              <w:widowControl/>
              <w:jc w:val="left"/>
              <w:rPr>
                <w:rFonts w:ascii="Arial Narrow" w:hAnsi="Arial Narrow"/>
                <w:sz w:val="20"/>
              </w:rPr>
            </w:pPr>
            <w:r>
              <w:rPr>
                <w:rFonts w:ascii="Arial Narrow" w:hAnsi="Arial Narrow"/>
                <w:sz w:val="20"/>
              </w:rPr>
              <w:t>A</w:t>
            </w:r>
            <w:r w:rsidR="00FA0188" w:rsidRPr="00FA0188">
              <w:rPr>
                <w:rFonts w:ascii="Arial Narrow" w:hAnsi="Arial Narrow"/>
                <w:sz w:val="20"/>
              </w:rPr>
              <w:t>ssumption</w:t>
            </w:r>
            <w:r w:rsidR="008473E0">
              <w:rPr>
                <w:rFonts w:ascii="Arial Narrow" w:hAnsi="Arial Narrow"/>
                <w:sz w:val="20"/>
              </w:rPr>
              <w:t xml:space="preserve"> -</w:t>
            </w:r>
            <w:r w:rsidR="00F225B9">
              <w:rPr>
                <w:rFonts w:ascii="Arial Narrow" w:hAnsi="Arial Narrow"/>
                <w:sz w:val="20"/>
              </w:rPr>
              <w:t xml:space="preserve"> midpoint uncontrolled and severe</w:t>
            </w:r>
          </w:p>
        </w:tc>
      </w:tr>
      <w:tr w:rsidR="00FA0188" w:rsidRPr="00E2771E" w:rsidTr="00FA0188">
        <w:trPr>
          <w:trHeight w:val="129"/>
        </w:trPr>
        <w:tc>
          <w:tcPr>
            <w:tcW w:w="1529" w:type="pct"/>
            <w:vMerge/>
            <w:shd w:val="clear" w:color="auto" w:fill="auto"/>
            <w:vAlign w:val="center"/>
          </w:tcPr>
          <w:p w:rsidR="00FA0188" w:rsidRPr="00E2771E" w:rsidRDefault="00FA0188" w:rsidP="00E61788">
            <w:pPr>
              <w:keepNext/>
              <w:widowControl/>
              <w:jc w:val="left"/>
              <w:rPr>
                <w:rFonts w:ascii="Arial Narrow" w:hAnsi="Arial Narrow"/>
                <w:sz w:val="20"/>
              </w:rPr>
            </w:pPr>
          </w:p>
        </w:tc>
        <w:tc>
          <w:tcPr>
            <w:tcW w:w="1664" w:type="pct"/>
            <w:shd w:val="clear" w:color="auto" w:fill="auto"/>
            <w:vAlign w:val="center"/>
          </w:tcPr>
          <w:p w:rsidR="00FA0188" w:rsidRPr="00907E71" w:rsidRDefault="00FA0188" w:rsidP="00E61788">
            <w:pPr>
              <w:keepNext/>
              <w:widowControl/>
              <w:jc w:val="left"/>
              <w:rPr>
                <w:rFonts w:ascii="Arial Narrow" w:hAnsi="Arial Narrow" w:cs="Times New Roman"/>
                <w:sz w:val="20"/>
              </w:rPr>
            </w:pPr>
            <w:r>
              <w:rPr>
                <w:rFonts w:ascii="Arial Narrow" w:hAnsi="Arial Narrow" w:cs="Times New Roman"/>
                <w:sz w:val="20"/>
              </w:rPr>
              <w:t xml:space="preserve">Severe exacerbation w/o </w:t>
            </w:r>
            <w:r w:rsidRPr="00907E71">
              <w:rPr>
                <w:rFonts w:ascii="Arial Narrow" w:hAnsi="Arial Narrow" w:cs="Times New Roman"/>
                <w:sz w:val="20"/>
              </w:rPr>
              <w:t xml:space="preserve">hospital </w:t>
            </w:r>
          </w:p>
        </w:tc>
        <w:tc>
          <w:tcPr>
            <w:tcW w:w="680" w:type="pct"/>
            <w:shd w:val="clear" w:color="auto" w:fill="auto"/>
            <w:vAlign w:val="center"/>
          </w:tcPr>
          <w:p w:rsidR="00FA0188" w:rsidRPr="00A13387" w:rsidRDefault="00FA0188" w:rsidP="00E61788">
            <w:pPr>
              <w:keepNext/>
              <w:widowControl/>
              <w:jc w:val="center"/>
              <w:rPr>
                <w:rFonts w:ascii="Arial Narrow" w:hAnsi="Arial Narrow" w:cs="Times New Roman"/>
                <w:sz w:val="20"/>
              </w:rPr>
            </w:pPr>
            <w:r w:rsidRPr="00A13387">
              <w:rPr>
                <w:rFonts w:ascii="Arial Narrow" w:hAnsi="Arial Narrow" w:cs="Times New Roman"/>
                <w:sz w:val="20"/>
              </w:rPr>
              <w:t>0.57</w:t>
            </w:r>
          </w:p>
        </w:tc>
        <w:tc>
          <w:tcPr>
            <w:tcW w:w="1127" w:type="pct"/>
            <w:vMerge w:val="restart"/>
            <w:shd w:val="clear" w:color="auto" w:fill="auto"/>
            <w:vAlign w:val="center"/>
          </w:tcPr>
          <w:p w:rsidR="00FA0188" w:rsidRDefault="00FA0188" w:rsidP="00E61788">
            <w:pPr>
              <w:keepNext/>
              <w:widowControl/>
              <w:jc w:val="left"/>
              <w:rPr>
                <w:rFonts w:ascii="Arial Narrow" w:hAnsi="Arial Narrow"/>
                <w:sz w:val="20"/>
              </w:rPr>
            </w:pPr>
            <w:r w:rsidRPr="00FA0188">
              <w:rPr>
                <w:rFonts w:ascii="Arial Narrow" w:hAnsi="Arial Narrow"/>
                <w:sz w:val="20"/>
              </w:rPr>
              <w:t>Lloyd</w:t>
            </w:r>
            <w:r>
              <w:rPr>
                <w:rFonts w:ascii="Arial Narrow" w:hAnsi="Arial Narrow"/>
                <w:sz w:val="20"/>
              </w:rPr>
              <w:t xml:space="preserve"> </w:t>
            </w:r>
            <w:r w:rsidRPr="00C319E5">
              <w:rPr>
                <w:rFonts w:ascii="Arial Narrow" w:hAnsi="Arial Narrow"/>
                <w:sz w:val="20"/>
              </w:rPr>
              <w:t>et al.</w:t>
            </w:r>
            <w:r w:rsidRPr="00FA0188">
              <w:rPr>
                <w:rFonts w:ascii="Arial Narrow" w:hAnsi="Arial Narrow"/>
                <w:sz w:val="20"/>
              </w:rPr>
              <w:t xml:space="preserve"> 2007</w:t>
            </w:r>
          </w:p>
        </w:tc>
      </w:tr>
      <w:tr w:rsidR="00FA0188" w:rsidRPr="00E2771E" w:rsidTr="00FA0188">
        <w:trPr>
          <w:trHeight w:val="129"/>
        </w:trPr>
        <w:tc>
          <w:tcPr>
            <w:tcW w:w="1529" w:type="pct"/>
            <w:vMerge/>
            <w:shd w:val="clear" w:color="auto" w:fill="auto"/>
            <w:vAlign w:val="center"/>
          </w:tcPr>
          <w:p w:rsidR="00FA0188" w:rsidRPr="00E2771E" w:rsidRDefault="00FA0188" w:rsidP="00E61788">
            <w:pPr>
              <w:keepNext/>
              <w:widowControl/>
              <w:jc w:val="left"/>
              <w:rPr>
                <w:rFonts w:ascii="Arial Narrow" w:hAnsi="Arial Narrow"/>
                <w:sz w:val="20"/>
              </w:rPr>
            </w:pPr>
          </w:p>
        </w:tc>
        <w:tc>
          <w:tcPr>
            <w:tcW w:w="1664" w:type="pct"/>
            <w:shd w:val="clear" w:color="auto" w:fill="auto"/>
            <w:vAlign w:val="center"/>
          </w:tcPr>
          <w:p w:rsidR="00FA0188" w:rsidRPr="00907E71" w:rsidRDefault="00FA0188" w:rsidP="00E61788">
            <w:pPr>
              <w:keepNext/>
              <w:widowControl/>
              <w:jc w:val="left"/>
              <w:rPr>
                <w:rFonts w:ascii="Arial Narrow" w:hAnsi="Arial Narrow" w:cs="Times New Roman"/>
                <w:sz w:val="20"/>
              </w:rPr>
            </w:pPr>
            <w:r>
              <w:rPr>
                <w:rFonts w:ascii="Arial Narrow" w:hAnsi="Arial Narrow" w:cs="Times New Roman"/>
                <w:sz w:val="20"/>
              </w:rPr>
              <w:t>S</w:t>
            </w:r>
            <w:r w:rsidRPr="00907E71">
              <w:rPr>
                <w:rFonts w:ascii="Arial Narrow" w:hAnsi="Arial Narrow" w:cs="Times New Roman"/>
                <w:sz w:val="20"/>
              </w:rPr>
              <w:t>evere exacerbation with hospital</w:t>
            </w:r>
          </w:p>
        </w:tc>
        <w:tc>
          <w:tcPr>
            <w:tcW w:w="680" w:type="pct"/>
            <w:shd w:val="clear" w:color="auto" w:fill="auto"/>
            <w:vAlign w:val="center"/>
          </w:tcPr>
          <w:p w:rsidR="00FA0188" w:rsidRPr="00A13387" w:rsidRDefault="00FA0188" w:rsidP="00E61788">
            <w:pPr>
              <w:keepNext/>
              <w:widowControl/>
              <w:jc w:val="center"/>
              <w:rPr>
                <w:rFonts w:ascii="Arial Narrow" w:hAnsi="Arial Narrow" w:cs="Times New Roman"/>
                <w:sz w:val="20"/>
              </w:rPr>
            </w:pPr>
            <w:r w:rsidRPr="00A13387">
              <w:rPr>
                <w:rFonts w:ascii="Arial Narrow" w:hAnsi="Arial Narrow" w:cs="Times New Roman"/>
                <w:sz w:val="20"/>
              </w:rPr>
              <w:t>0.33</w:t>
            </w:r>
          </w:p>
        </w:tc>
        <w:tc>
          <w:tcPr>
            <w:tcW w:w="1127" w:type="pct"/>
            <w:vMerge/>
            <w:shd w:val="clear" w:color="auto" w:fill="auto"/>
            <w:vAlign w:val="center"/>
          </w:tcPr>
          <w:p w:rsidR="00FA0188" w:rsidRDefault="00FA0188" w:rsidP="00E61788">
            <w:pPr>
              <w:keepNext/>
              <w:widowControl/>
              <w:jc w:val="left"/>
              <w:rPr>
                <w:rFonts w:ascii="Arial Narrow" w:hAnsi="Arial Narrow"/>
                <w:sz w:val="20"/>
              </w:rPr>
            </w:pPr>
          </w:p>
        </w:tc>
      </w:tr>
      <w:tr w:rsidR="00FA0188" w:rsidRPr="00E2771E" w:rsidTr="005D044D">
        <w:tc>
          <w:tcPr>
            <w:tcW w:w="1529" w:type="pct"/>
            <w:shd w:val="clear" w:color="auto" w:fill="auto"/>
            <w:vAlign w:val="center"/>
          </w:tcPr>
          <w:p w:rsidR="00FA0188" w:rsidRPr="00E2771E" w:rsidRDefault="00FA0188" w:rsidP="00E61788">
            <w:pPr>
              <w:keepNext/>
              <w:widowControl/>
              <w:jc w:val="left"/>
              <w:rPr>
                <w:rFonts w:ascii="Arial Narrow" w:hAnsi="Arial Narrow"/>
                <w:sz w:val="20"/>
              </w:rPr>
            </w:pPr>
            <w:r w:rsidRPr="00E2771E">
              <w:rPr>
                <w:rFonts w:ascii="Arial Narrow" w:hAnsi="Arial Narrow"/>
                <w:sz w:val="20"/>
              </w:rPr>
              <w:t>Cycle length</w:t>
            </w:r>
          </w:p>
        </w:tc>
        <w:tc>
          <w:tcPr>
            <w:tcW w:w="3471" w:type="pct"/>
            <w:gridSpan w:val="3"/>
            <w:shd w:val="clear" w:color="auto" w:fill="auto"/>
            <w:vAlign w:val="center"/>
          </w:tcPr>
          <w:p w:rsidR="00FA0188" w:rsidRPr="00E2771E" w:rsidRDefault="00FA0188" w:rsidP="00E61788">
            <w:pPr>
              <w:keepNext/>
              <w:widowControl/>
              <w:jc w:val="left"/>
              <w:rPr>
                <w:rFonts w:ascii="Arial Narrow" w:hAnsi="Arial Narrow"/>
                <w:sz w:val="20"/>
              </w:rPr>
            </w:pPr>
            <w:r>
              <w:rPr>
                <w:rFonts w:ascii="Arial Narrow" w:hAnsi="Arial Narrow"/>
                <w:sz w:val="20"/>
              </w:rPr>
              <w:t xml:space="preserve">1 </w:t>
            </w:r>
            <w:r w:rsidRPr="00E2771E">
              <w:rPr>
                <w:rFonts w:ascii="Arial Narrow" w:hAnsi="Arial Narrow"/>
                <w:sz w:val="20"/>
              </w:rPr>
              <w:t>week</w:t>
            </w:r>
          </w:p>
        </w:tc>
      </w:tr>
      <w:tr w:rsidR="00FA0188" w:rsidRPr="00E2771E" w:rsidTr="005D044D">
        <w:tc>
          <w:tcPr>
            <w:tcW w:w="1529" w:type="pct"/>
            <w:shd w:val="clear" w:color="auto" w:fill="auto"/>
            <w:vAlign w:val="center"/>
          </w:tcPr>
          <w:p w:rsidR="00FA0188" w:rsidRPr="00E2771E" w:rsidRDefault="00FA0188" w:rsidP="00E61788">
            <w:pPr>
              <w:keepNext/>
              <w:widowControl/>
              <w:jc w:val="left"/>
              <w:rPr>
                <w:rFonts w:ascii="Arial Narrow" w:hAnsi="Arial Narrow"/>
                <w:sz w:val="20"/>
              </w:rPr>
            </w:pPr>
            <w:r w:rsidRPr="00E2771E">
              <w:rPr>
                <w:rFonts w:ascii="Arial Narrow" w:hAnsi="Arial Narrow"/>
                <w:sz w:val="20"/>
              </w:rPr>
              <w:t>Transition probabilities</w:t>
            </w:r>
          </w:p>
        </w:tc>
        <w:tc>
          <w:tcPr>
            <w:tcW w:w="3471" w:type="pct"/>
            <w:gridSpan w:val="3"/>
            <w:shd w:val="clear" w:color="auto" w:fill="auto"/>
            <w:vAlign w:val="center"/>
          </w:tcPr>
          <w:p w:rsidR="00FA0188" w:rsidRDefault="00FA0188" w:rsidP="00E61788">
            <w:pPr>
              <w:keepNext/>
              <w:widowControl/>
              <w:jc w:val="left"/>
              <w:rPr>
                <w:rFonts w:ascii="Arial Narrow" w:hAnsi="Arial Narrow"/>
                <w:sz w:val="20"/>
              </w:rPr>
            </w:pPr>
            <w:r>
              <w:rPr>
                <w:rFonts w:ascii="Arial Narrow" w:hAnsi="Arial Narrow"/>
                <w:sz w:val="20"/>
              </w:rPr>
              <w:t>Asthma control states from ACQ-7</w:t>
            </w:r>
            <w:r w:rsidRPr="003D141B">
              <w:rPr>
                <w:rFonts w:ascii="Arial Narrow" w:hAnsi="Arial Narrow"/>
                <w:sz w:val="20"/>
              </w:rPr>
              <w:t xml:space="preserve"> from </w:t>
            </w:r>
            <w:r>
              <w:rPr>
                <w:rFonts w:ascii="Arial Narrow" w:hAnsi="Arial Narrow"/>
                <w:sz w:val="20"/>
              </w:rPr>
              <w:t>trial</w:t>
            </w:r>
            <w:r w:rsidRPr="003D141B">
              <w:rPr>
                <w:rFonts w:ascii="Arial Narrow" w:hAnsi="Arial Narrow"/>
                <w:sz w:val="20"/>
              </w:rPr>
              <w:t xml:space="preserve"> 205.416/205.417</w:t>
            </w:r>
            <w:r>
              <w:rPr>
                <w:rFonts w:ascii="Arial Narrow" w:hAnsi="Arial Narrow"/>
                <w:sz w:val="20"/>
              </w:rPr>
              <w:t>.</w:t>
            </w:r>
            <w:r w:rsidRPr="003D141B">
              <w:rPr>
                <w:rFonts w:ascii="Arial Narrow" w:hAnsi="Arial Narrow"/>
                <w:sz w:val="20"/>
              </w:rPr>
              <w:t xml:space="preserve"> </w:t>
            </w:r>
          </w:p>
          <w:p w:rsidR="00FA0188" w:rsidRDefault="00FA0188" w:rsidP="00E61788">
            <w:pPr>
              <w:keepNext/>
              <w:widowControl/>
              <w:jc w:val="left"/>
              <w:rPr>
                <w:rFonts w:ascii="Arial Narrow" w:hAnsi="Arial Narrow"/>
                <w:sz w:val="20"/>
              </w:rPr>
            </w:pPr>
            <w:r>
              <w:rPr>
                <w:rFonts w:ascii="Arial Narrow" w:hAnsi="Arial Narrow"/>
                <w:sz w:val="20"/>
              </w:rPr>
              <w:t xml:space="preserve">Exacerbation health states </w:t>
            </w:r>
            <w:r w:rsidRPr="003D141B">
              <w:rPr>
                <w:rFonts w:ascii="Arial Narrow" w:hAnsi="Arial Narrow"/>
                <w:sz w:val="20"/>
              </w:rPr>
              <w:t xml:space="preserve">from </w:t>
            </w:r>
            <w:r>
              <w:rPr>
                <w:rFonts w:ascii="Arial Narrow" w:hAnsi="Arial Narrow"/>
                <w:sz w:val="20"/>
              </w:rPr>
              <w:t>trial</w:t>
            </w:r>
            <w:r w:rsidRPr="003D141B">
              <w:rPr>
                <w:rFonts w:ascii="Arial Narrow" w:hAnsi="Arial Narrow"/>
                <w:sz w:val="20"/>
              </w:rPr>
              <w:t xml:space="preserve"> 205.416/205.417</w:t>
            </w:r>
            <w:r>
              <w:rPr>
                <w:rFonts w:ascii="Arial Narrow" w:hAnsi="Arial Narrow"/>
                <w:sz w:val="20"/>
              </w:rPr>
              <w:t>.</w:t>
            </w:r>
            <w:r w:rsidRPr="003D141B">
              <w:rPr>
                <w:rFonts w:ascii="Arial Narrow" w:hAnsi="Arial Narrow"/>
                <w:sz w:val="20"/>
              </w:rPr>
              <w:t xml:space="preserve"> </w:t>
            </w:r>
          </w:p>
          <w:p w:rsidR="00FA0188" w:rsidRPr="00E2771E" w:rsidRDefault="00FA0188" w:rsidP="00E61788">
            <w:pPr>
              <w:keepNext/>
              <w:widowControl/>
              <w:jc w:val="left"/>
              <w:rPr>
                <w:rFonts w:ascii="Arial Narrow" w:hAnsi="Arial Narrow"/>
                <w:sz w:val="20"/>
              </w:rPr>
            </w:pPr>
            <w:r>
              <w:rPr>
                <w:rFonts w:ascii="Arial Narrow" w:hAnsi="Arial Narrow"/>
                <w:sz w:val="20"/>
              </w:rPr>
              <w:t xml:space="preserve">Mortality from </w:t>
            </w:r>
            <w:r w:rsidRPr="003D141B">
              <w:rPr>
                <w:rFonts w:ascii="Arial Narrow" w:hAnsi="Arial Narrow"/>
                <w:sz w:val="20"/>
              </w:rPr>
              <w:t>Australian Bureau of Statistics</w:t>
            </w:r>
            <w:r>
              <w:rPr>
                <w:rFonts w:ascii="Arial Narrow" w:hAnsi="Arial Narrow"/>
                <w:sz w:val="20"/>
              </w:rPr>
              <w:t>.</w:t>
            </w:r>
          </w:p>
        </w:tc>
      </w:tr>
    </w:tbl>
    <w:p w:rsidR="00327617" w:rsidRPr="00B46F3B" w:rsidRDefault="00275C5A" w:rsidP="00E61788">
      <w:pPr>
        <w:pStyle w:val="TableFooter"/>
        <w:widowControl/>
        <w:ind w:left="720"/>
      </w:pPr>
      <w:r w:rsidRPr="00B46F3B">
        <w:t>Source: compiled during the evaluation</w:t>
      </w:r>
    </w:p>
    <w:p w:rsidR="00FC5163" w:rsidRDefault="00FC5163" w:rsidP="00E61788">
      <w:pPr>
        <w:pStyle w:val="TableFooter"/>
        <w:widowControl/>
        <w:ind w:left="720"/>
      </w:pPr>
      <w:r>
        <w:t xml:space="preserve">w/o = without; </w:t>
      </w:r>
      <w:r w:rsidRPr="00932121">
        <w:t>ACQ</w:t>
      </w:r>
      <w:r>
        <w:t xml:space="preserve">-7 = </w:t>
      </w:r>
      <w:r w:rsidRPr="00932121">
        <w:t>asthma control questionnaire</w:t>
      </w:r>
      <w:r>
        <w:t xml:space="preserve"> (7-item version); EQ-5D-3L = </w:t>
      </w:r>
      <w:proofErr w:type="spellStart"/>
      <w:r>
        <w:t>E</w:t>
      </w:r>
      <w:r w:rsidRPr="00483E2E">
        <w:t>uroqol</w:t>
      </w:r>
      <w:proofErr w:type="spellEnd"/>
      <w:r w:rsidRPr="00483E2E">
        <w:t xml:space="preserve"> </w:t>
      </w:r>
      <w:r w:rsidR="00610C30">
        <w:t>5</w:t>
      </w:r>
      <w:r w:rsidRPr="00483E2E">
        <w:t>-dimension</w:t>
      </w:r>
      <w:r>
        <w:t xml:space="preserve"> </w:t>
      </w:r>
      <w:r w:rsidR="00610C30">
        <w:t>3</w:t>
      </w:r>
      <w:r>
        <w:t>-level</w:t>
      </w:r>
      <w:r w:rsidRPr="00483E2E">
        <w:t xml:space="preserve"> instrument</w:t>
      </w:r>
    </w:p>
    <w:p w:rsidR="003137DC" w:rsidRDefault="003137DC" w:rsidP="00E61788">
      <w:pPr>
        <w:pStyle w:val="TableFooter"/>
        <w:widowControl/>
        <w:ind w:left="720"/>
      </w:pPr>
    </w:p>
    <w:p w:rsidR="00BD166F" w:rsidRDefault="00BD166F" w:rsidP="00E61788">
      <w:pPr>
        <w:pStyle w:val="ListParagraph"/>
        <w:widowControl/>
        <w:numPr>
          <w:ilvl w:val="1"/>
          <w:numId w:val="9"/>
        </w:numPr>
      </w:pPr>
      <w:r w:rsidRPr="00E216D0">
        <w:t xml:space="preserve">Table </w:t>
      </w:r>
      <w:r w:rsidR="00211C2D">
        <w:t>9</w:t>
      </w:r>
      <w:r w:rsidRPr="00E216D0">
        <w:t xml:space="preserve"> presents the key </w:t>
      </w:r>
      <w:r>
        <w:t>drivers for the economic model</w:t>
      </w:r>
      <w:r w:rsidRPr="00E216D0">
        <w:t>.</w:t>
      </w:r>
    </w:p>
    <w:p w:rsidR="00036B0D" w:rsidRPr="00E216D0" w:rsidRDefault="00036B0D" w:rsidP="00E61788">
      <w:pPr>
        <w:pStyle w:val="ListParagraph"/>
        <w:widowControl/>
      </w:pPr>
    </w:p>
    <w:p w:rsidR="00D110BD" w:rsidRDefault="00D110BD" w:rsidP="00E61788">
      <w:pPr>
        <w:keepNext/>
        <w:widowControl/>
        <w:ind w:firstLine="720"/>
        <w:rPr>
          <w:rStyle w:val="CommentReference"/>
        </w:rPr>
      </w:pPr>
      <w:r w:rsidRPr="00A56B6A">
        <w:rPr>
          <w:rStyle w:val="CommentReference"/>
        </w:rPr>
        <w:t xml:space="preserve">Table </w:t>
      </w:r>
      <w:r w:rsidR="00211C2D">
        <w:rPr>
          <w:rStyle w:val="CommentReference"/>
        </w:rPr>
        <w:t>9</w:t>
      </w:r>
      <w:r w:rsidRPr="00A56B6A">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6"/>
        <w:gridCol w:w="3969"/>
        <w:gridCol w:w="2250"/>
      </w:tblGrid>
      <w:tr w:rsidR="00D110BD" w:rsidRPr="00E2771E" w:rsidTr="001F08C4">
        <w:trPr>
          <w:tblHeader/>
        </w:trPr>
        <w:tc>
          <w:tcPr>
            <w:tcW w:w="1274" w:type="pct"/>
            <w:shd w:val="clear" w:color="auto" w:fill="auto"/>
            <w:vAlign w:val="center"/>
          </w:tcPr>
          <w:p w:rsidR="00D110BD" w:rsidRPr="00E2771E" w:rsidRDefault="00D110BD" w:rsidP="00E61788">
            <w:pPr>
              <w:keepNext/>
              <w:widowControl/>
              <w:jc w:val="left"/>
              <w:rPr>
                <w:rFonts w:ascii="Arial Narrow" w:hAnsi="Arial Narrow"/>
                <w:b/>
                <w:sz w:val="20"/>
                <w:lang w:val="en-US"/>
              </w:rPr>
            </w:pPr>
            <w:r w:rsidRPr="00E2771E">
              <w:rPr>
                <w:rFonts w:ascii="Arial Narrow" w:hAnsi="Arial Narrow"/>
                <w:b/>
                <w:sz w:val="20"/>
                <w:lang w:val="en-US"/>
              </w:rPr>
              <w:t>Description</w:t>
            </w:r>
          </w:p>
        </w:tc>
        <w:tc>
          <w:tcPr>
            <w:tcW w:w="2378" w:type="pct"/>
            <w:shd w:val="clear" w:color="auto" w:fill="auto"/>
            <w:vAlign w:val="center"/>
          </w:tcPr>
          <w:p w:rsidR="00D110BD" w:rsidRPr="00E2771E" w:rsidRDefault="00D110BD" w:rsidP="00E61788">
            <w:pPr>
              <w:keepNext/>
              <w:widowControl/>
              <w:jc w:val="center"/>
              <w:rPr>
                <w:rFonts w:ascii="Arial Narrow" w:hAnsi="Arial Narrow"/>
                <w:b/>
                <w:sz w:val="20"/>
                <w:lang w:val="en-US"/>
              </w:rPr>
            </w:pPr>
            <w:r w:rsidRPr="00E2771E">
              <w:rPr>
                <w:rFonts w:ascii="Arial Narrow" w:hAnsi="Arial Narrow"/>
                <w:b/>
                <w:sz w:val="20"/>
                <w:lang w:val="en-US"/>
              </w:rPr>
              <w:t>Method/Value</w:t>
            </w:r>
          </w:p>
        </w:tc>
        <w:tc>
          <w:tcPr>
            <w:tcW w:w="1348" w:type="pct"/>
            <w:shd w:val="clear" w:color="auto" w:fill="auto"/>
            <w:vAlign w:val="center"/>
          </w:tcPr>
          <w:p w:rsidR="00D110BD" w:rsidRPr="00E2771E" w:rsidRDefault="00D110BD" w:rsidP="00E61788">
            <w:pPr>
              <w:keepNext/>
              <w:widowControl/>
              <w:jc w:val="center"/>
              <w:rPr>
                <w:rFonts w:ascii="Arial Narrow" w:hAnsi="Arial Narrow"/>
                <w:b/>
                <w:sz w:val="20"/>
                <w:lang w:val="en-US"/>
              </w:rPr>
            </w:pPr>
            <w:r w:rsidRPr="00E2771E">
              <w:rPr>
                <w:rFonts w:ascii="Arial Narrow" w:hAnsi="Arial Narrow"/>
                <w:b/>
                <w:sz w:val="20"/>
                <w:lang w:val="en-US"/>
              </w:rPr>
              <w:t>Impact</w:t>
            </w:r>
          </w:p>
        </w:tc>
      </w:tr>
      <w:tr w:rsidR="00D110BD" w:rsidRPr="00E2771E" w:rsidTr="001F08C4">
        <w:tc>
          <w:tcPr>
            <w:tcW w:w="1274" w:type="pct"/>
            <w:shd w:val="clear" w:color="auto" w:fill="auto"/>
            <w:vAlign w:val="center"/>
          </w:tcPr>
          <w:p w:rsidR="00D110BD" w:rsidRPr="00E2771E" w:rsidRDefault="00D110BD" w:rsidP="00E61788">
            <w:pPr>
              <w:keepNext/>
              <w:widowControl/>
              <w:jc w:val="left"/>
              <w:rPr>
                <w:rFonts w:ascii="Arial Narrow" w:hAnsi="Arial Narrow"/>
                <w:sz w:val="20"/>
                <w:lang w:val="en-US"/>
              </w:rPr>
            </w:pPr>
            <w:r w:rsidRPr="00E2771E">
              <w:rPr>
                <w:rFonts w:ascii="Arial Narrow" w:hAnsi="Arial Narrow"/>
                <w:sz w:val="20"/>
                <w:lang w:val="en-US"/>
              </w:rPr>
              <w:t>Time horizon</w:t>
            </w:r>
          </w:p>
        </w:tc>
        <w:tc>
          <w:tcPr>
            <w:tcW w:w="2378" w:type="pct"/>
            <w:shd w:val="clear" w:color="auto" w:fill="auto"/>
            <w:vAlign w:val="center"/>
          </w:tcPr>
          <w:p w:rsidR="00D110BD" w:rsidRPr="00E2771E" w:rsidRDefault="003D141B" w:rsidP="00E61788">
            <w:pPr>
              <w:keepNext/>
              <w:widowControl/>
              <w:jc w:val="left"/>
              <w:rPr>
                <w:rFonts w:ascii="Arial Narrow" w:hAnsi="Arial Narrow"/>
                <w:sz w:val="20"/>
                <w:lang w:val="en-US"/>
              </w:rPr>
            </w:pPr>
            <w:r>
              <w:rPr>
                <w:rFonts w:ascii="Arial Narrow" w:hAnsi="Arial Narrow"/>
                <w:sz w:val="20"/>
                <w:lang w:val="en-US"/>
              </w:rPr>
              <w:t>15</w:t>
            </w:r>
            <w:r w:rsidR="00D110BD" w:rsidRPr="00E2771E">
              <w:rPr>
                <w:rFonts w:ascii="Arial Narrow" w:hAnsi="Arial Narrow"/>
                <w:sz w:val="20"/>
                <w:lang w:val="en-US"/>
              </w:rPr>
              <w:t xml:space="preserve"> years; assumed from </w:t>
            </w:r>
            <w:r>
              <w:rPr>
                <w:rFonts w:ascii="Arial Narrow" w:hAnsi="Arial Narrow"/>
                <w:sz w:val="20"/>
                <w:lang w:val="en-US"/>
              </w:rPr>
              <w:t>48 week</w:t>
            </w:r>
            <w:r w:rsidR="00D110BD" w:rsidRPr="00E2771E">
              <w:rPr>
                <w:rFonts w:ascii="Arial Narrow" w:hAnsi="Arial Narrow"/>
                <w:sz w:val="20"/>
                <w:lang w:val="en-US"/>
              </w:rPr>
              <w:t xml:space="preserve"> trial duration</w:t>
            </w:r>
          </w:p>
        </w:tc>
        <w:tc>
          <w:tcPr>
            <w:tcW w:w="1348" w:type="pct"/>
            <w:shd w:val="clear" w:color="auto" w:fill="auto"/>
            <w:vAlign w:val="center"/>
          </w:tcPr>
          <w:p w:rsidR="00D110BD" w:rsidRPr="00E2771E" w:rsidRDefault="0022071D" w:rsidP="00E61788">
            <w:pPr>
              <w:keepNext/>
              <w:widowControl/>
              <w:jc w:val="center"/>
              <w:rPr>
                <w:rFonts w:ascii="Arial Narrow" w:hAnsi="Arial Narrow"/>
                <w:sz w:val="20"/>
                <w:lang w:val="en-US"/>
              </w:rPr>
            </w:pPr>
            <w:r>
              <w:rPr>
                <w:rFonts w:ascii="Arial Narrow" w:hAnsi="Arial Narrow"/>
                <w:sz w:val="20"/>
                <w:lang w:val="en-US"/>
              </w:rPr>
              <w:t>Moderate</w:t>
            </w:r>
            <w:r w:rsidR="00D110BD" w:rsidRPr="00E2771E">
              <w:rPr>
                <w:rFonts w:ascii="Arial Narrow" w:hAnsi="Arial Narrow"/>
                <w:sz w:val="20"/>
                <w:lang w:val="en-US"/>
              </w:rPr>
              <w:t xml:space="preserve">, </w:t>
            </w:r>
            <w:proofErr w:type="spellStart"/>
            <w:r w:rsidR="00D110BD" w:rsidRPr="00E2771E">
              <w:rPr>
                <w:rFonts w:ascii="Arial Narrow" w:hAnsi="Arial Narrow"/>
                <w:sz w:val="20"/>
                <w:lang w:val="en-US"/>
              </w:rPr>
              <w:t>favours</w:t>
            </w:r>
            <w:proofErr w:type="spellEnd"/>
            <w:r w:rsidR="00D110BD" w:rsidRPr="00E2771E">
              <w:rPr>
                <w:rFonts w:ascii="Arial Narrow" w:hAnsi="Arial Narrow"/>
                <w:sz w:val="20"/>
                <w:lang w:val="en-US"/>
              </w:rPr>
              <w:t xml:space="preserve"> </w:t>
            </w:r>
            <w:proofErr w:type="spellStart"/>
            <w:r>
              <w:rPr>
                <w:rFonts w:ascii="Arial Narrow" w:hAnsi="Arial Narrow"/>
                <w:sz w:val="20"/>
                <w:lang w:val="en-US"/>
              </w:rPr>
              <w:t>tiotropium</w:t>
            </w:r>
            <w:proofErr w:type="spellEnd"/>
          </w:p>
        </w:tc>
      </w:tr>
      <w:tr w:rsidR="00D110BD" w:rsidRPr="00E2771E" w:rsidTr="001F08C4">
        <w:tc>
          <w:tcPr>
            <w:tcW w:w="1274" w:type="pct"/>
            <w:shd w:val="clear" w:color="auto" w:fill="auto"/>
            <w:vAlign w:val="center"/>
          </w:tcPr>
          <w:p w:rsidR="00D110BD" w:rsidRPr="00E2771E" w:rsidRDefault="0022071D" w:rsidP="00E61788">
            <w:pPr>
              <w:keepNext/>
              <w:widowControl/>
              <w:jc w:val="left"/>
              <w:rPr>
                <w:rFonts w:ascii="Arial Narrow" w:hAnsi="Arial Narrow"/>
                <w:sz w:val="20"/>
                <w:lang w:val="en-US"/>
              </w:rPr>
            </w:pPr>
            <w:r>
              <w:rPr>
                <w:rFonts w:ascii="Arial Narrow" w:hAnsi="Arial Narrow"/>
                <w:sz w:val="20"/>
                <w:lang w:val="en-US"/>
              </w:rPr>
              <w:t>Asthma health state u</w:t>
            </w:r>
            <w:r w:rsidRPr="0022071D">
              <w:rPr>
                <w:rFonts w:ascii="Arial Narrow" w:hAnsi="Arial Narrow"/>
                <w:sz w:val="20"/>
                <w:lang w:val="en-US"/>
              </w:rPr>
              <w:t>tilities</w:t>
            </w:r>
          </w:p>
        </w:tc>
        <w:tc>
          <w:tcPr>
            <w:tcW w:w="2378" w:type="pct"/>
            <w:shd w:val="clear" w:color="auto" w:fill="auto"/>
            <w:vAlign w:val="center"/>
          </w:tcPr>
          <w:p w:rsidR="00D110BD" w:rsidRPr="003441A3" w:rsidRDefault="0022071D" w:rsidP="008C315F">
            <w:pPr>
              <w:keepNext/>
              <w:widowControl/>
              <w:jc w:val="left"/>
              <w:rPr>
                <w:rFonts w:ascii="Arial Narrow" w:hAnsi="Arial Narrow"/>
                <w:sz w:val="20"/>
                <w:lang w:val="en-US"/>
              </w:rPr>
            </w:pPr>
            <w:r w:rsidRPr="003441A3">
              <w:rPr>
                <w:rFonts w:ascii="Arial Narrow" w:hAnsi="Arial Narrow"/>
                <w:sz w:val="20"/>
                <w:lang w:val="en-US"/>
              </w:rPr>
              <w:t>Taken from trial</w:t>
            </w:r>
            <w:r w:rsidR="008C315F">
              <w:rPr>
                <w:rFonts w:ascii="Arial Narrow" w:hAnsi="Arial Narrow"/>
                <w:sz w:val="20"/>
                <w:lang w:val="en-US"/>
              </w:rPr>
              <w:t>.</w:t>
            </w:r>
            <w:r w:rsidR="001F08C4" w:rsidRPr="003441A3">
              <w:rPr>
                <w:rFonts w:ascii="Arial Narrow" w:hAnsi="Arial Narrow"/>
                <w:sz w:val="20"/>
                <w:lang w:val="en-US"/>
              </w:rPr>
              <w:t xml:space="preserve"> </w:t>
            </w:r>
            <w:r w:rsidR="008C315F" w:rsidRPr="00BF04DC">
              <w:rPr>
                <w:rFonts w:ascii="Arial Narrow" w:hAnsi="Arial Narrow"/>
                <w:sz w:val="20"/>
                <w:lang w:val="en-US"/>
              </w:rPr>
              <w:t>Utility weights for the optimal and acceptable control states were relatively high compared</w:t>
            </w:r>
            <w:r w:rsidR="008C315F" w:rsidRPr="00BF04DC" w:rsidDel="000042DA">
              <w:rPr>
                <w:rFonts w:ascii="Arial Narrow" w:hAnsi="Arial Narrow"/>
                <w:sz w:val="20"/>
                <w:lang w:val="en-US"/>
              </w:rPr>
              <w:t xml:space="preserve"> </w:t>
            </w:r>
            <w:r w:rsidR="008C315F" w:rsidRPr="00BF04DC">
              <w:rPr>
                <w:rFonts w:ascii="Arial Narrow" w:hAnsi="Arial Narrow"/>
                <w:sz w:val="20"/>
                <w:lang w:val="en-US"/>
              </w:rPr>
              <w:t>with existing values in the literature.</w:t>
            </w:r>
          </w:p>
        </w:tc>
        <w:tc>
          <w:tcPr>
            <w:tcW w:w="1348" w:type="pct"/>
            <w:shd w:val="clear" w:color="auto" w:fill="auto"/>
            <w:vAlign w:val="center"/>
          </w:tcPr>
          <w:p w:rsidR="00D110BD" w:rsidRPr="00E2771E" w:rsidRDefault="0022071D" w:rsidP="00E61788">
            <w:pPr>
              <w:keepNext/>
              <w:widowControl/>
              <w:jc w:val="center"/>
              <w:rPr>
                <w:rFonts w:ascii="Arial Narrow" w:hAnsi="Arial Narrow"/>
                <w:sz w:val="20"/>
                <w:lang w:val="en-US"/>
              </w:rPr>
            </w:pPr>
            <w:r w:rsidRPr="0022071D">
              <w:rPr>
                <w:rFonts w:ascii="Arial Narrow" w:hAnsi="Arial Narrow"/>
                <w:sz w:val="20"/>
                <w:lang w:val="en-US"/>
              </w:rPr>
              <w:t xml:space="preserve">High, </w:t>
            </w:r>
            <w:proofErr w:type="spellStart"/>
            <w:r w:rsidRPr="0022071D">
              <w:rPr>
                <w:rFonts w:ascii="Arial Narrow" w:hAnsi="Arial Narrow"/>
                <w:sz w:val="20"/>
                <w:lang w:val="en-US"/>
              </w:rPr>
              <w:t>favours</w:t>
            </w:r>
            <w:proofErr w:type="spellEnd"/>
            <w:r w:rsidRPr="0022071D">
              <w:rPr>
                <w:rFonts w:ascii="Arial Narrow" w:hAnsi="Arial Narrow"/>
                <w:sz w:val="20"/>
                <w:lang w:val="en-US"/>
              </w:rPr>
              <w:t xml:space="preserve"> </w:t>
            </w:r>
            <w:proofErr w:type="spellStart"/>
            <w:r w:rsidRPr="0022071D">
              <w:rPr>
                <w:rFonts w:ascii="Arial Narrow" w:hAnsi="Arial Narrow"/>
                <w:sz w:val="20"/>
                <w:lang w:val="en-US"/>
              </w:rPr>
              <w:t>tiotropium</w:t>
            </w:r>
            <w:proofErr w:type="spellEnd"/>
          </w:p>
        </w:tc>
      </w:tr>
      <w:tr w:rsidR="00D110BD" w:rsidRPr="00E2771E" w:rsidTr="001F08C4">
        <w:tc>
          <w:tcPr>
            <w:tcW w:w="1274" w:type="pct"/>
            <w:shd w:val="clear" w:color="auto" w:fill="auto"/>
            <w:vAlign w:val="center"/>
          </w:tcPr>
          <w:p w:rsidR="00D110BD" w:rsidRPr="00E2771E" w:rsidRDefault="00ED1DAD" w:rsidP="00E61788">
            <w:pPr>
              <w:keepNext/>
              <w:widowControl/>
              <w:jc w:val="left"/>
              <w:rPr>
                <w:rFonts w:ascii="Arial Narrow" w:hAnsi="Arial Narrow"/>
                <w:sz w:val="20"/>
                <w:lang w:val="en-US"/>
              </w:rPr>
            </w:pPr>
            <w:r>
              <w:rPr>
                <w:rFonts w:ascii="Arial Narrow" w:hAnsi="Arial Narrow"/>
                <w:sz w:val="20"/>
                <w:lang w:val="en-US"/>
              </w:rPr>
              <w:t>Model structure/</w:t>
            </w:r>
            <w:r w:rsidR="0022071D">
              <w:rPr>
                <w:rFonts w:ascii="Arial Narrow" w:hAnsi="Arial Narrow"/>
                <w:sz w:val="20"/>
                <w:lang w:val="en-US"/>
              </w:rPr>
              <w:t>Transition probabilities</w:t>
            </w:r>
          </w:p>
        </w:tc>
        <w:tc>
          <w:tcPr>
            <w:tcW w:w="2378" w:type="pct"/>
            <w:shd w:val="clear" w:color="auto" w:fill="auto"/>
            <w:vAlign w:val="center"/>
          </w:tcPr>
          <w:p w:rsidR="00D110BD" w:rsidRPr="003441A3" w:rsidRDefault="001F08C4" w:rsidP="00E61788">
            <w:pPr>
              <w:keepNext/>
              <w:widowControl/>
              <w:jc w:val="left"/>
              <w:rPr>
                <w:rFonts w:ascii="Arial Narrow" w:hAnsi="Arial Narrow"/>
                <w:sz w:val="20"/>
                <w:lang w:val="en-US"/>
              </w:rPr>
            </w:pPr>
            <w:r w:rsidRPr="003441A3">
              <w:rPr>
                <w:rFonts w:ascii="Arial Narrow" w:hAnsi="Arial Narrow"/>
                <w:sz w:val="20"/>
                <w:lang w:val="en-US"/>
              </w:rPr>
              <w:t>Transition probabilities were estimated inappropriately. T</w:t>
            </w:r>
            <w:r w:rsidR="0022071D" w:rsidRPr="003441A3">
              <w:rPr>
                <w:rFonts w:ascii="Arial Narrow" w:hAnsi="Arial Narrow"/>
                <w:sz w:val="20"/>
                <w:lang w:val="en-US"/>
              </w:rPr>
              <w:t>reatment effect for the transition probabilities were not tested for significance and were the key drivers in t</w:t>
            </w:r>
            <w:r w:rsidRPr="003441A3">
              <w:rPr>
                <w:rFonts w:ascii="Arial Narrow" w:hAnsi="Arial Narrow"/>
                <w:sz w:val="20"/>
                <w:lang w:val="en-US"/>
              </w:rPr>
              <w:t>he model.</w:t>
            </w:r>
          </w:p>
        </w:tc>
        <w:tc>
          <w:tcPr>
            <w:tcW w:w="1348" w:type="pct"/>
            <w:shd w:val="clear" w:color="auto" w:fill="auto"/>
            <w:vAlign w:val="center"/>
          </w:tcPr>
          <w:p w:rsidR="00D110BD" w:rsidRPr="00E2771E" w:rsidRDefault="0022071D" w:rsidP="00E61788">
            <w:pPr>
              <w:keepNext/>
              <w:widowControl/>
              <w:jc w:val="center"/>
              <w:rPr>
                <w:rFonts w:ascii="Arial Narrow" w:hAnsi="Arial Narrow"/>
                <w:sz w:val="20"/>
                <w:lang w:val="en-US"/>
              </w:rPr>
            </w:pPr>
            <w:r w:rsidRPr="0022071D">
              <w:rPr>
                <w:rFonts w:ascii="Arial Narrow" w:hAnsi="Arial Narrow"/>
                <w:sz w:val="20"/>
                <w:lang w:val="en-US"/>
              </w:rPr>
              <w:t xml:space="preserve">High, </w:t>
            </w:r>
            <w:r w:rsidR="00ED1DAD">
              <w:rPr>
                <w:rFonts w:ascii="Arial Narrow" w:hAnsi="Arial Narrow"/>
                <w:sz w:val="20"/>
                <w:lang w:val="en-US"/>
              </w:rPr>
              <w:t xml:space="preserve">direction uncertain </w:t>
            </w:r>
          </w:p>
        </w:tc>
      </w:tr>
    </w:tbl>
    <w:p w:rsidR="00275C5A" w:rsidRPr="00BD166F" w:rsidRDefault="00D110BD" w:rsidP="00E61788">
      <w:pPr>
        <w:pStyle w:val="TableFooter"/>
        <w:widowControl/>
        <w:ind w:firstLine="720"/>
      </w:pPr>
      <w:r w:rsidRPr="00D110BD">
        <w:t>Source: compiled during the evaluation</w:t>
      </w:r>
      <w:r w:rsidR="008473E0">
        <w:t xml:space="preserve">, </w:t>
      </w:r>
      <w:r w:rsidR="008473E0" w:rsidRPr="00932121">
        <w:t>ACQ</w:t>
      </w:r>
      <w:r w:rsidR="008473E0">
        <w:t xml:space="preserve">-7 = </w:t>
      </w:r>
      <w:r w:rsidR="008473E0" w:rsidRPr="00932121">
        <w:t>asthma control questionnaire</w:t>
      </w:r>
      <w:r w:rsidR="008473E0">
        <w:t xml:space="preserve"> (7-item version)</w:t>
      </w:r>
    </w:p>
    <w:p w:rsidR="003F2A2C" w:rsidRDefault="003F2A2C" w:rsidP="00E61788">
      <w:pPr>
        <w:widowControl/>
        <w:ind w:firstLine="720"/>
        <w:rPr>
          <w:rStyle w:val="CommentReference"/>
        </w:rPr>
      </w:pPr>
    </w:p>
    <w:p w:rsidR="00D110BD" w:rsidRDefault="00D110BD" w:rsidP="001B17D1">
      <w:pPr>
        <w:keepNext/>
        <w:widowControl/>
        <w:ind w:firstLine="720"/>
        <w:rPr>
          <w:rStyle w:val="CommentReference"/>
        </w:rPr>
      </w:pPr>
      <w:r>
        <w:rPr>
          <w:rStyle w:val="CommentReference"/>
        </w:rPr>
        <w:lastRenderedPageBreak/>
        <w:t xml:space="preserve">Table </w:t>
      </w:r>
      <w:r w:rsidR="00211C2D">
        <w:rPr>
          <w:rStyle w:val="CommentReference"/>
        </w:rPr>
        <w:t>10</w:t>
      </w:r>
      <w:r w:rsidRPr="001222FC">
        <w:rPr>
          <w:rStyle w:val="CommentReference"/>
        </w:rPr>
        <w:t>: 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268"/>
        <w:gridCol w:w="2126"/>
        <w:gridCol w:w="1399"/>
      </w:tblGrid>
      <w:tr w:rsidR="001F08C4" w:rsidRPr="004E2ADC" w:rsidTr="007657C0">
        <w:trPr>
          <w:tblHeader/>
        </w:trPr>
        <w:tc>
          <w:tcPr>
            <w:tcW w:w="1529" w:type="pct"/>
            <w:vAlign w:val="center"/>
          </w:tcPr>
          <w:p w:rsidR="001F08C4" w:rsidRPr="004E2ADC" w:rsidRDefault="001F08C4" w:rsidP="001B17D1">
            <w:pPr>
              <w:keepNext/>
              <w:widowControl/>
              <w:jc w:val="left"/>
              <w:rPr>
                <w:rFonts w:ascii="Arial Narrow" w:hAnsi="Arial Narrow" w:cs="Times New Roman"/>
                <w:b/>
                <w:sz w:val="20"/>
              </w:rPr>
            </w:pPr>
            <w:r w:rsidRPr="004E2ADC">
              <w:rPr>
                <w:rFonts w:ascii="Arial Narrow" w:hAnsi="Arial Narrow" w:cs="Times New Roman"/>
                <w:b/>
                <w:sz w:val="20"/>
              </w:rPr>
              <w:t>Step and component</w:t>
            </w:r>
          </w:p>
        </w:tc>
        <w:tc>
          <w:tcPr>
            <w:tcW w:w="1359" w:type="pct"/>
            <w:vAlign w:val="center"/>
          </w:tcPr>
          <w:p w:rsidR="001F08C4" w:rsidRPr="00AF025C" w:rsidRDefault="001F08C4" w:rsidP="001B17D1">
            <w:pPr>
              <w:keepNext/>
              <w:widowControl/>
              <w:jc w:val="center"/>
              <w:rPr>
                <w:rFonts w:ascii="Arial Narrow" w:hAnsi="Arial Narrow" w:cs="Times New Roman"/>
                <w:b/>
                <w:sz w:val="20"/>
              </w:rPr>
            </w:pPr>
            <w:proofErr w:type="spellStart"/>
            <w:r w:rsidRPr="00AF025C">
              <w:rPr>
                <w:rFonts w:ascii="Arial Narrow" w:hAnsi="Arial Narrow" w:cs="Times New Roman"/>
                <w:b/>
                <w:sz w:val="20"/>
              </w:rPr>
              <w:t>Tiotropium</w:t>
            </w:r>
            <w:proofErr w:type="spellEnd"/>
          </w:p>
          <w:p w:rsidR="001F08C4" w:rsidRPr="004E2ADC" w:rsidRDefault="001F08C4" w:rsidP="001B17D1">
            <w:pPr>
              <w:keepNext/>
              <w:widowControl/>
              <w:jc w:val="center"/>
              <w:rPr>
                <w:rFonts w:ascii="Arial Narrow" w:hAnsi="Arial Narrow" w:cs="Times New Roman"/>
                <w:b/>
                <w:sz w:val="20"/>
              </w:rPr>
            </w:pPr>
            <w:r w:rsidRPr="00AF025C">
              <w:rPr>
                <w:rFonts w:ascii="Arial Narrow" w:hAnsi="Arial Narrow" w:cs="Times New Roman"/>
                <w:b/>
                <w:sz w:val="20"/>
              </w:rPr>
              <w:t>(ICS+LABA)</w:t>
            </w:r>
          </w:p>
        </w:tc>
        <w:tc>
          <w:tcPr>
            <w:tcW w:w="1274" w:type="pct"/>
            <w:vAlign w:val="center"/>
          </w:tcPr>
          <w:p w:rsidR="001F08C4" w:rsidRPr="004E2ADC" w:rsidRDefault="001F08C4" w:rsidP="001B17D1">
            <w:pPr>
              <w:keepNext/>
              <w:widowControl/>
              <w:jc w:val="center"/>
              <w:rPr>
                <w:rFonts w:ascii="Arial Narrow" w:hAnsi="Arial Narrow" w:cs="Times New Roman"/>
                <w:b/>
                <w:sz w:val="20"/>
              </w:rPr>
            </w:pPr>
            <w:r w:rsidRPr="00AF025C">
              <w:rPr>
                <w:rFonts w:ascii="Arial Narrow" w:hAnsi="Arial Narrow" w:cs="Times New Roman"/>
                <w:b/>
                <w:sz w:val="20"/>
              </w:rPr>
              <w:t>Placebo (ICS+LABA)</w:t>
            </w:r>
          </w:p>
        </w:tc>
        <w:tc>
          <w:tcPr>
            <w:tcW w:w="838" w:type="pct"/>
          </w:tcPr>
          <w:p w:rsidR="001F08C4" w:rsidRPr="004E2ADC" w:rsidRDefault="001F08C4" w:rsidP="001B17D1">
            <w:pPr>
              <w:keepNext/>
              <w:widowControl/>
              <w:jc w:val="center"/>
              <w:rPr>
                <w:rFonts w:ascii="Arial Narrow" w:hAnsi="Arial Narrow" w:cs="Times New Roman"/>
                <w:b/>
                <w:sz w:val="20"/>
              </w:rPr>
            </w:pPr>
            <w:r w:rsidRPr="004E2ADC">
              <w:rPr>
                <w:rFonts w:ascii="Arial Narrow" w:hAnsi="Arial Narrow" w:cs="Times New Roman"/>
                <w:b/>
                <w:sz w:val="20"/>
              </w:rPr>
              <w:t>Increment</w:t>
            </w:r>
          </w:p>
        </w:tc>
      </w:tr>
      <w:tr w:rsidR="001F08C4" w:rsidRPr="004E2ADC" w:rsidTr="001F08C4">
        <w:tc>
          <w:tcPr>
            <w:tcW w:w="5000" w:type="pct"/>
            <w:gridSpan w:val="4"/>
            <w:vAlign w:val="center"/>
          </w:tcPr>
          <w:p w:rsidR="001F08C4" w:rsidRPr="004E2ADC" w:rsidRDefault="001F08C4" w:rsidP="001B17D1">
            <w:pPr>
              <w:keepNext/>
              <w:widowControl/>
              <w:jc w:val="left"/>
              <w:rPr>
                <w:rFonts w:ascii="Arial Narrow" w:hAnsi="Arial Narrow" w:cs="Arial Narrow"/>
                <w:b/>
                <w:bCs/>
                <w:sz w:val="20"/>
              </w:rPr>
            </w:pPr>
            <w:r w:rsidRPr="004E2ADC">
              <w:rPr>
                <w:rFonts w:ascii="Arial Narrow" w:hAnsi="Arial Narrow" w:cs="Arial Narrow"/>
                <w:b/>
                <w:bCs/>
                <w:sz w:val="20"/>
              </w:rPr>
              <w:t>Step 1: trial-based costs and outcomes</w:t>
            </w:r>
          </w:p>
        </w:tc>
      </w:tr>
      <w:tr w:rsidR="001F08C4" w:rsidRPr="004E2ADC" w:rsidTr="001F08C4">
        <w:tc>
          <w:tcPr>
            <w:tcW w:w="1529" w:type="pct"/>
            <w:vAlign w:val="center"/>
          </w:tcPr>
          <w:p w:rsidR="001F08C4" w:rsidRPr="004E2ADC" w:rsidRDefault="001F08C4" w:rsidP="001B17D1">
            <w:pPr>
              <w:keepNext/>
              <w:widowControl/>
              <w:jc w:val="left"/>
              <w:rPr>
                <w:rFonts w:ascii="Arial Narrow" w:hAnsi="Arial Narrow" w:cs="Times New Roman"/>
                <w:sz w:val="20"/>
              </w:rPr>
            </w:pPr>
            <w:r w:rsidRPr="004E2ADC">
              <w:rPr>
                <w:rFonts w:ascii="Arial Narrow" w:hAnsi="Arial Narrow" w:cs="Times New Roman"/>
                <w:sz w:val="20"/>
              </w:rPr>
              <w:t>Costs</w:t>
            </w:r>
          </w:p>
        </w:tc>
        <w:tc>
          <w:tcPr>
            <w:tcW w:w="1359" w:type="pct"/>
            <w:vAlign w:val="bottom"/>
          </w:tcPr>
          <w:p w:rsidR="001F08C4" w:rsidRPr="00CC47B8" w:rsidRDefault="001F08C4" w:rsidP="001B17D1">
            <w:pPr>
              <w:keepNext/>
              <w:widowControl/>
              <w:jc w:val="center"/>
              <w:rPr>
                <w:rFonts w:ascii="Arial Narrow" w:hAnsi="Arial Narrow"/>
                <w:color w:val="000000"/>
                <w:sz w:val="20"/>
                <w:szCs w:val="22"/>
              </w:rPr>
            </w:pPr>
            <w:r w:rsidRPr="00CC47B8">
              <w:rPr>
                <w:rFonts w:ascii="Arial Narrow" w:hAnsi="Arial Narrow"/>
                <w:color w:val="000000"/>
                <w:sz w:val="20"/>
                <w:szCs w:val="22"/>
              </w:rPr>
              <w:t>$</w:t>
            </w:r>
            <w:r w:rsidR="00504B1C">
              <w:rPr>
                <w:rFonts w:ascii="Arial Narrow" w:hAnsi="Arial Narrow"/>
                <w:noProof/>
                <w:color w:val="000000"/>
                <w:sz w:val="20"/>
                <w:szCs w:val="22"/>
                <w:highlight w:val="black"/>
              </w:rPr>
              <w:t>''''''''''''''</w:t>
            </w:r>
          </w:p>
        </w:tc>
        <w:tc>
          <w:tcPr>
            <w:tcW w:w="1274" w:type="pct"/>
            <w:vAlign w:val="bottom"/>
          </w:tcPr>
          <w:p w:rsidR="001F08C4" w:rsidRPr="00CC47B8" w:rsidRDefault="001F08C4" w:rsidP="001B17D1">
            <w:pPr>
              <w:keepNext/>
              <w:widowControl/>
              <w:jc w:val="center"/>
              <w:rPr>
                <w:rFonts w:ascii="Arial Narrow" w:hAnsi="Arial Narrow"/>
                <w:color w:val="000000"/>
                <w:sz w:val="20"/>
                <w:szCs w:val="22"/>
              </w:rPr>
            </w:pPr>
            <w:r>
              <w:rPr>
                <w:rFonts w:ascii="Arial Narrow" w:hAnsi="Arial Narrow"/>
                <w:color w:val="000000"/>
                <w:sz w:val="20"/>
                <w:szCs w:val="22"/>
              </w:rPr>
              <w:t>$</w:t>
            </w:r>
            <w:r w:rsidR="00504B1C">
              <w:rPr>
                <w:rFonts w:ascii="Arial Narrow" w:hAnsi="Arial Narrow"/>
                <w:noProof/>
                <w:color w:val="000000"/>
                <w:sz w:val="20"/>
                <w:szCs w:val="22"/>
                <w:highlight w:val="black"/>
              </w:rPr>
              <w:t>'''''''''</w:t>
            </w:r>
          </w:p>
        </w:tc>
        <w:tc>
          <w:tcPr>
            <w:tcW w:w="838" w:type="pct"/>
            <w:vAlign w:val="bottom"/>
          </w:tcPr>
          <w:p w:rsidR="001F08C4" w:rsidRPr="00CC47B8" w:rsidRDefault="001F08C4" w:rsidP="001B17D1">
            <w:pPr>
              <w:keepNext/>
              <w:widowControl/>
              <w:jc w:val="center"/>
              <w:rPr>
                <w:rFonts w:ascii="Arial Narrow" w:hAnsi="Arial Narrow"/>
                <w:color w:val="000000"/>
                <w:sz w:val="20"/>
                <w:szCs w:val="22"/>
              </w:rPr>
            </w:pPr>
            <w:r w:rsidRPr="00CC47B8">
              <w:rPr>
                <w:rFonts w:ascii="Arial Narrow" w:hAnsi="Arial Narrow"/>
                <w:color w:val="000000"/>
                <w:sz w:val="20"/>
                <w:szCs w:val="22"/>
              </w:rPr>
              <w:t>$</w:t>
            </w:r>
            <w:r w:rsidR="00504B1C">
              <w:rPr>
                <w:rFonts w:ascii="Arial Narrow" w:hAnsi="Arial Narrow"/>
                <w:noProof/>
                <w:color w:val="000000"/>
                <w:sz w:val="20"/>
                <w:szCs w:val="22"/>
                <w:highlight w:val="black"/>
              </w:rPr>
              <w:t>''''''''''</w:t>
            </w:r>
          </w:p>
        </w:tc>
      </w:tr>
      <w:tr w:rsidR="001F08C4" w:rsidRPr="00A453BC" w:rsidTr="001F08C4">
        <w:tc>
          <w:tcPr>
            <w:tcW w:w="1529" w:type="pct"/>
            <w:vAlign w:val="center"/>
          </w:tcPr>
          <w:p w:rsidR="001F08C4" w:rsidRPr="00A453BC" w:rsidRDefault="001F08C4" w:rsidP="001B17D1">
            <w:pPr>
              <w:keepNext/>
              <w:widowControl/>
              <w:jc w:val="left"/>
              <w:rPr>
                <w:rFonts w:ascii="Arial Narrow" w:hAnsi="Arial Narrow" w:cs="Times New Roman"/>
                <w:sz w:val="20"/>
              </w:rPr>
            </w:pPr>
            <w:r w:rsidRPr="00A453BC">
              <w:rPr>
                <w:rFonts w:ascii="Arial Narrow" w:hAnsi="Arial Narrow" w:cs="Times New Roman"/>
                <w:sz w:val="20"/>
              </w:rPr>
              <w:t>Exacerbations avoided</w:t>
            </w:r>
          </w:p>
        </w:tc>
        <w:tc>
          <w:tcPr>
            <w:tcW w:w="1359"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c>
          <w:tcPr>
            <w:tcW w:w="1274"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c>
          <w:tcPr>
            <w:tcW w:w="838"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r>
      <w:tr w:rsidR="001F08C4" w:rsidRPr="00A453BC" w:rsidTr="001F08C4">
        <w:tc>
          <w:tcPr>
            <w:tcW w:w="4162" w:type="pct"/>
            <w:gridSpan w:val="3"/>
            <w:vAlign w:val="center"/>
          </w:tcPr>
          <w:p w:rsidR="001F08C4" w:rsidRPr="00A453BC" w:rsidRDefault="001F08C4" w:rsidP="001B17D1">
            <w:pPr>
              <w:keepNext/>
              <w:widowControl/>
              <w:jc w:val="left"/>
              <w:rPr>
                <w:rFonts w:ascii="Arial Narrow" w:hAnsi="Arial Narrow" w:cs="Times New Roman"/>
                <w:sz w:val="20"/>
              </w:rPr>
            </w:pPr>
            <w:r w:rsidRPr="00A453BC">
              <w:rPr>
                <w:rFonts w:ascii="Arial Narrow" w:hAnsi="Arial Narrow" w:cs="Times New Roman"/>
                <w:b/>
                <w:snapToGrid/>
                <w:sz w:val="20"/>
              </w:rPr>
              <w:t>Incremental cost/extra exacerbation avoided</w:t>
            </w:r>
          </w:p>
        </w:tc>
        <w:tc>
          <w:tcPr>
            <w:tcW w:w="838" w:type="pct"/>
          </w:tcPr>
          <w:p w:rsidR="001F08C4" w:rsidRPr="00A453BC" w:rsidRDefault="001F08C4" w:rsidP="001B17D1">
            <w:pPr>
              <w:keepNext/>
              <w:widowControl/>
              <w:jc w:val="center"/>
              <w:rPr>
                <w:rFonts w:ascii="Arial Narrow" w:hAnsi="Arial Narrow" w:cs="Times New Roman"/>
                <w:sz w:val="20"/>
              </w:rPr>
            </w:pPr>
            <w:r w:rsidRPr="00A453BC">
              <w:rPr>
                <w:rFonts w:ascii="Arial Narrow" w:hAnsi="Arial Narrow" w:cs="Times New Roman"/>
                <w:b/>
                <w:sz w:val="20"/>
              </w:rPr>
              <w:t>$</w:t>
            </w:r>
            <w:r w:rsidR="00504B1C">
              <w:rPr>
                <w:rFonts w:ascii="Arial Narrow" w:hAnsi="Arial Narrow" w:cs="Times New Roman"/>
                <w:b/>
                <w:noProof/>
                <w:color w:val="000000"/>
                <w:sz w:val="20"/>
                <w:highlight w:val="black"/>
              </w:rPr>
              <w:t>'''''''''''</w:t>
            </w:r>
          </w:p>
        </w:tc>
      </w:tr>
      <w:tr w:rsidR="001F08C4" w:rsidRPr="00A453BC" w:rsidTr="001F08C4">
        <w:tc>
          <w:tcPr>
            <w:tcW w:w="1529" w:type="pct"/>
            <w:vAlign w:val="center"/>
          </w:tcPr>
          <w:p w:rsidR="001F08C4" w:rsidRPr="00A453BC" w:rsidRDefault="001F08C4" w:rsidP="001B17D1">
            <w:pPr>
              <w:keepNext/>
              <w:widowControl/>
              <w:jc w:val="left"/>
              <w:rPr>
                <w:rFonts w:ascii="Arial Narrow" w:hAnsi="Arial Narrow" w:cs="Times New Roman"/>
                <w:sz w:val="20"/>
              </w:rPr>
            </w:pPr>
            <w:r w:rsidRPr="00A453BC">
              <w:rPr>
                <w:rFonts w:ascii="Arial Narrow" w:hAnsi="Arial Narrow" w:cs="Times New Roman"/>
                <w:sz w:val="20"/>
              </w:rPr>
              <w:t>Years free of exacerbation</w:t>
            </w:r>
          </w:p>
        </w:tc>
        <w:tc>
          <w:tcPr>
            <w:tcW w:w="1359"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c>
          <w:tcPr>
            <w:tcW w:w="1274"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c>
          <w:tcPr>
            <w:tcW w:w="838"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r>
      <w:tr w:rsidR="001F08C4" w:rsidRPr="00A453BC" w:rsidTr="001F08C4">
        <w:tc>
          <w:tcPr>
            <w:tcW w:w="4162" w:type="pct"/>
            <w:gridSpan w:val="3"/>
            <w:vAlign w:val="center"/>
          </w:tcPr>
          <w:p w:rsidR="001F08C4" w:rsidRPr="00A453BC" w:rsidRDefault="001F08C4" w:rsidP="001B17D1">
            <w:pPr>
              <w:keepNext/>
              <w:widowControl/>
              <w:jc w:val="left"/>
              <w:rPr>
                <w:rFonts w:ascii="Arial Narrow" w:hAnsi="Arial Narrow" w:cs="Times New Roman"/>
                <w:b/>
                <w:snapToGrid/>
                <w:sz w:val="20"/>
              </w:rPr>
            </w:pPr>
            <w:r w:rsidRPr="00A453BC">
              <w:rPr>
                <w:rFonts w:ascii="Arial Narrow" w:hAnsi="Arial Narrow" w:cs="Times New Roman"/>
                <w:b/>
                <w:snapToGrid/>
                <w:sz w:val="20"/>
              </w:rPr>
              <w:t>Incremental cost/</w:t>
            </w:r>
            <w:r w:rsidRPr="00A453BC">
              <w:rPr>
                <w:rFonts w:ascii="Arial Narrow" w:hAnsi="Arial Narrow"/>
                <w:b/>
                <w:sz w:val="20"/>
              </w:rPr>
              <w:t>p</w:t>
            </w:r>
            <w:r w:rsidRPr="00A453BC">
              <w:rPr>
                <w:rFonts w:ascii="Arial Narrow" w:hAnsi="Arial Narrow" w:cs="Times New Roman"/>
                <w:b/>
                <w:snapToGrid/>
                <w:sz w:val="20"/>
              </w:rPr>
              <w:t>atient year free of exacerbation</w:t>
            </w:r>
          </w:p>
        </w:tc>
        <w:tc>
          <w:tcPr>
            <w:tcW w:w="838" w:type="pct"/>
          </w:tcPr>
          <w:p w:rsidR="001F08C4" w:rsidRPr="00A453BC" w:rsidRDefault="001F08C4" w:rsidP="001B17D1">
            <w:pPr>
              <w:keepNext/>
              <w:widowControl/>
              <w:jc w:val="center"/>
              <w:rPr>
                <w:rFonts w:ascii="Arial Narrow" w:hAnsi="Arial Narrow" w:cs="Times New Roman"/>
                <w:b/>
                <w:sz w:val="20"/>
              </w:rPr>
            </w:pPr>
            <w:r w:rsidRPr="00A453BC">
              <w:rPr>
                <w:rFonts w:ascii="Arial Narrow" w:hAnsi="Arial Narrow" w:cs="Times New Roman"/>
                <w:b/>
                <w:sz w:val="20"/>
              </w:rPr>
              <w:t>$</w:t>
            </w:r>
            <w:r w:rsidR="00504B1C">
              <w:rPr>
                <w:rFonts w:ascii="Arial Narrow" w:hAnsi="Arial Narrow" w:cs="Times New Roman"/>
                <w:b/>
                <w:noProof/>
                <w:color w:val="000000"/>
                <w:sz w:val="20"/>
                <w:highlight w:val="black"/>
              </w:rPr>
              <w:t>''''''''''</w:t>
            </w:r>
          </w:p>
        </w:tc>
      </w:tr>
      <w:tr w:rsidR="001F08C4" w:rsidRPr="00A453BC" w:rsidTr="001F08C4">
        <w:tc>
          <w:tcPr>
            <w:tcW w:w="5000" w:type="pct"/>
            <w:gridSpan w:val="4"/>
            <w:vAlign w:val="center"/>
          </w:tcPr>
          <w:p w:rsidR="001F08C4" w:rsidRPr="00A453BC" w:rsidRDefault="001F08C4" w:rsidP="001B17D1">
            <w:pPr>
              <w:keepNext/>
              <w:widowControl/>
              <w:jc w:val="left"/>
              <w:rPr>
                <w:rFonts w:ascii="Arial Narrow" w:hAnsi="Arial Narrow" w:cs="Arial Narrow"/>
                <w:b/>
                <w:bCs/>
                <w:sz w:val="20"/>
              </w:rPr>
            </w:pPr>
            <w:r w:rsidRPr="00A453BC">
              <w:rPr>
                <w:rFonts w:ascii="Arial Narrow" w:hAnsi="Arial Narrow" w:cs="Arial Narrow"/>
                <w:b/>
                <w:bCs/>
                <w:sz w:val="20"/>
              </w:rPr>
              <w:t xml:space="preserve">Step 2: trial results and </w:t>
            </w:r>
            <w:proofErr w:type="spellStart"/>
            <w:r w:rsidRPr="00A453BC">
              <w:rPr>
                <w:rFonts w:ascii="Arial Narrow" w:hAnsi="Arial Narrow" w:cs="Arial Narrow"/>
                <w:b/>
                <w:bCs/>
                <w:sz w:val="20"/>
              </w:rPr>
              <w:t>premodelling</w:t>
            </w:r>
            <w:proofErr w:type="spellEnd"/>
            <w:r w:rsidRPr="00A453BC">
              <w:rPr>
                <w:rFonts w:ascii="Arial Narrow" w:hAnsi="Arial Narrow" w:cs="Arial Narrow"/>
                <w:b/>
                <w:bCs/>
                <w:sz w:val="20"/>
              </w:rPr>
              <w:t xml:space="preserve"> (including healthcare resource utilisation results)</w:t>
            </w:r>
          </w:p>
        </w:tc>
      </w:tr>
      <w:tr w:rsidR="001F08C4" w:rsidRPr="00A453BC" w:rsidTr="001F08C4">
        <w:tc>
          <w:tcPr>
            <w:tcW w:w="1529" w:type="pct"/>
            <w:vAlign w:val="center"/>
          </w:tcPr>
          <w:p w:rsidR="001F08C4" w:rsidRPr="00A453BC" w:rsidRDefault="001F08C4" w:rsidP="001B17D1">
            <w:pPr>
              <w:keepNext/>
              <w:widowControl/>
              <w:jc w:val="left"/>
              <w:rPr>
                <w:rFonts w:ascii="Arial Narrow" w:hAnsi="Arial Narrow" w:cs="Times New Roman"/>
                <w:sz w:val="20"/>
              </w:rPr>
            </w:pPr>
            <w:r w:rsidRPr="00A453BC">
              <w:rPr>
                <w:rFonts w:ascii="Arial Narrow" w:hAnsi="Arial Narrow" w:cs="Times New Roman"/>
                <w:sz w:val="20"/>
              </w:rPr>
              <w:t>Costs</w:t>
            </w:r>
          </w:p>
        </w:tc>
        <w:tc>
          <w:tcPr>
            <w:tcW w:w="1359" w:type="pct"/>
            <w:vAlign w:val="bottom"/>
          </w:tcPr>
          <w:p w:rsidR="001F08C4" w:rsidRPr="00A453BC" w:rsidRDefault="001F08C4" w:rsidP="001B17D1">
            <w:pPr>
              <w:keepNext/>
              <w:widowControl/>
              <w:jc w:val="center"/>
              <w:rPr>
                <w:rFonts w:ascii="Arial Narrow" w:hAnsi="Arial Narrow"/>
                <w:color w:val="000000"/>
                <w:sz w:val="20"/>
              </w:rPr>
            </w:pPr>
            <w:r w:rsidRPr="00A453BC">
              <w:rPr>
                <w:rFonts w:ascii="Arial Narrow" w:hAnsi="Arial Narrow"/>
                <w:color w:val="000000"/>
                <w:sz w:val="20"/>
              </w:rPr>
              <w:t>$</w:t>
            </w:r>
            <w:r w:rsidR="00504B1C">
              <w:rPr>
                <w:rFonts w:ascii="Arial Narrow" w:hAnsi="Arial Narrow"/>
                <w:noProof/>
                <w:color w:val="000000"/>
                <w:sz w:val="20"/>
                <w:highlight w:val="black"/>
              </w:rPr>
              <w:t>''''''''''''</w:t>
            </w:r>
          </w:p>
        </w:tc>
        <w:tc>
          <w:tcPr>
            <w:tcW w:w="1274" w:type="pct"/>
            <w:vAlign w:val="bottom"/>
          </w:tcPr>
          <w:p w:rsidR="001F08C4" w:rsidRPr="00A453BC" w:rsidRDefault="001F08C4" w:rsidP="001B17D1">
            <w:pPr>
              <w:keepNext/>
              <w:widowControl/>
              <w:jc w:val="center"/>
              <w:rPr>
                <w:rFonts w:ascii="Arial Narrow" w:hAnsi="Arial Narrow"/>
                <w:color w:val="000000"/>
                <w:sz w:val="20"/>
              </w:rPr>
            </w:pPr>
            <w:r w:rsidRPr="00A453BC">
              <w:rPr>
                <w:rFonts w:ascii="Arial Narrow" w:hAnsi="Arial Narrow"/>
                <w:color w:val="000000"/>
                <w:sz w:val="20"/>
              </w:rPr>
              <w:t>$</w:t>
            </w:r>
            <w:r w:rsidR="00504B1C">
              <w:rPr>
                <w:rFonts w:ascii="Arial Narrow" w:hAnsi="Arial Narrow"/>
                <w:noProof/>
                <w:color w:val="000000"/>
                <w:sz w:val="20"/>
                <w:highlight w:val="black"/>
              </w:rPr>
              <w:t>''''''''''''</w:t>
            </w:r>
          </w:p>
        </w:tc>
        <w:tc>
          <w:tcPr>
            <w:tcW w:w="838" w:type="pct"/>
            <w:vAlign w:val="bottom"/>
          </w:tcPr>
          <w:p w:rsidR="001F08C4" w:rsidRPr="00A453BC" w:rsidRDefault="001F08C4" w:rsidP="001B17D1">
            <w:pPr>
              <w:keepNext/>
              <w:widowControl/>
              <w:jc w:val="center"/>
              <w:rPr>
                <w:rFonts w:ascii="Arial Narrow" w:hAnsi="Arial Narrow"/>
                <w:color w:val="000000"/>
                <w:sz w:val="20"/>
              </w:rPr>
            </w:pPr>
            <w:r w:rsidRPr="00A453BC">
              <w:rPr>
                <w:rFonts w:ascii="Arial Narrow" w:hAnsi="Arial Narrow"/>
                <w:color w:val="000000"/>
                <w:sz w:val="20"/>
              </w:rPr>
              <w:t>$</w:t>
            </w:r>
            <w:r w:rsidR="00504B1C">
              <w:rPr>
                <w:rFonts w:ascii="Arial Narrow" w:hAnsi="Arial Narrow"/>
                <w:noProof/>
                <w:color w:val="000000"/>
                <w:sz w:val="20"/>
                <w:highlight w:val="black"/>
              </w:rPr>
              <w:t>'''''''''</w:t>
            </w:r>
          </w:p>
        </w:tc>
      </w:tr>
      <w:tr w:rsidR="001F08C4" w:rsidRPr="00A453BC" w:rsidTr="001F08C4">
        <w:tc>
          <w:tcPr>
            <w:tcW w:w="1529" w:type="pct"/>
            <w:vAlign w:val="center"/>
          </w:tcPr>
          <w:p w:rsidR="001F08C4" w:rsidRPr="00A453BC" w:rsidRDefault="001F08C4" w:rsidP="001B17D1">
            <w:pPr>
              <w:keepNext/>
              <w:widowControl/>
              <w:jc w:val="left"/>
              <w:rPr>
                <w:rFonts w:ascii="Arial Narrow" w:hAnsi="Arial Narrow" w:cs="Times New Roman"/>
                <w:sz w:val="20"/>
              </w:rPr>
            </w:pPr>
            <w:r w:rsidRPr="00A453BC">
              <w:rPr>
                <w:rFonts w:ascii="Arial Narrow" w:hAnsi="Arial Narrow" w:cs="Times New Roman"/>
                <w:sz w:val="20"/>
              </w:rPr>
              <w:t>Exacerbations avoided</w:t>
            </w:r>
          </w:p>
        </w:tc>
        <w:tc>
          <w:tcPr>
            <w:tcW w:w="1359" w:type="pct"/>
            <w:vAlign w:val="bottom"/>
          </w:tcPr>
          <w:p w:rsidR="001F08C4" w:rsidRPr="00504B1C" w:rsidRDefault="00504B1C" w:rsidP="001B17D1">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1274" w:type="pct"/>
            <w:vAlign w:val="bottom"/>
          </w:tcPr>
          <w:p w:rsidR="001F08C4" w:rsidRPr="00504B1C" w:rsidRDefault="00504B1C" w:rsidP="001B17D1">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c>
          <w:tcPr>
            <w:tcW w:w="838" w:type="pct"/>
            <w:vAlign w:val="bottom"/>
          </w:tcPr>
          <w:p w:rsidR="001F08C4" w:rsidRPr="00504B1C" w:rsidRDefault="00504B1C" w:rsidP="001B17D1">
            <w:pPr>
              <w:keepNext/>
              <w:widowControl/>
              <w:jc w:val="center"/>
              <w:rPr>
                <w:rFonts w:ascii="Arial Narrow" w:hAnsi="Arial Narrow"/>
                <w:color w:val="000000"/>
                <w:sz w:val="20"/>
                <w:highlight w:val="black"/>
              </w:rPr>
            </w:pPr>
            <w:r>
              <w:rPr>
                <w:rFonts w:ascii="Arial Narrow" w:hAnsi="Arial Narrow"/>
                <w:noProof/>
                <w:color w:val="000000"/>
                <w:sz w:val="20"/>
                <w:highlight w:val="black"/>
              </w:rPr>
              <w:t>''''''''''</w:t>
            </w:r>
          </w:p>
        </w:tc>
      </w:tr>
      <w:tr w:rsidR="001F08C4" w:rsidRPr="00A453BC" w:rsidTr="001F08C4">
        <w:trPr>
          <w:trHeight w:val="70"/>
        </w:trPr>
        <w:tc>
          <w:tcPr>
            <w:tcW w:w="4162" w:type="pct"/>
            <w:gridSpan w:val="3"/>
            <w:vAlign w:val="center"/>
          </w:tcPr>
          <w:p w:rsidR="001F08C4" w:rsidRPr="00A453BC" w:rsidRDefault="001F08C4" w:rsidP="001B17D1">
            <w:pPr>
              <w:keepNext/>
              <w:widowControl/>
              <w:jc w:val="left"/>
              <w:rPr>
                <w:rFonts w:ascii="Arial Narrow" w:hAnsi="Arial Narrow" w:cs="Times New Roman"/>
                <w:sz w:val="20"/>
              </w:rPr>
            </w:pPr>
            <w:r w:rsidRPr="00A453BC">
              <w:rPr>
                <w:rFonts w:ascii="Arial Narrow" w:hAnsi="Arial Narrow" w:cs="Times New Roman"/>
                <w:b/>
                <w:snapToGrid/>
                <w:sz w:val="20"/>
              </w:rPr>
              <w:t>Incremental cost/extra exacerbation avoided</w:t>
            </w:r>
          </w:p>
        </w:tc>
        <w:tc>
          <w:tcPr>
            <w:tcW w:w="838" w:type="pct"/>
          </w:tcPr>
          <w:p w:rsidR="001F08C4" w:rsidRPr="00A453BC" w:rsidRDefault="001F08C4" w:rsidP="001B17D1">
            <w:pPr>
              <w:keepNext/>
              <w:widowControl/>
              <w:jc w:val="center"/>
              <w:rPr>
                <w:rFonts w:ascii="Arial Narrow" w:hAnsi="Arial Narrow" w:cs="Times New Roman"/>
                <w:sz w:val="20"/>
              </w:rPr>
            </w:pPr>
            <w:r w:rsidRPr="00A453BC">
              <w:rPr>
                <w:rFonts w:ascii="Arial Narrow" w:hAnsi="Arial Narrow" w:cs="Times New Roman"/>
                <w:b/>
                <w:sz w:val="20"/>
              </w:rPr>
              <w:t>$</w:t>
            </w:r>
            <w:r w:rsidR="00504B1C">
              <w:rPr>
                <w:rFonts w:ascii="Arial Narrow" w:hAnsi="Arial Narrow" w:cs="Times New Roman"/>
                <w:b/>
                <w:noProof/>
                <w:color w:val="000000"/>
                <w:sz w:val="20"/>
                <w:highlight w:val="black"/>
              </w:rPr>
              <w:t>''''''''''''</w:t>
            </w:r>
          </w:p>
        </w:tc>
      </w:tr>
      <w:tr w:rsidR="001F08C4" w:rsidRPr="00A453BC" w:rsidTr="001F08C4">
        <w:tc>
          <w:tcPr>
            <w:tcW w:w="1529" w:type="pct"/>
            <w:vAlign w:val="center"/>
          </w:tcPr>
          <w:p w:rsidR="001F08C4" w:rsidRPr="00A453BC" w:rsidRDefault="001F08C4" w:rsidP="001B17D1">
            <w:pPr>
              <w:keepNext/>
              <w:widowControl/>
              <w:jc w:val="left"/>
              <w:rPr>
                <w:rFonts w:ascii="Arial Narrow" w:hAnsi="Arial Narrow" w:cs="Times New Roman"/>
                <w:sz w:val="20"/>
              </w:rPr>
            </w:pPr>
            <w:r w:rsidRPr="00A453BC">
              <w:rPr>
                <w:rFonts w:ascii="Arial Narrow" w:hAnsi="Arial Narrow" w:cs="Times New Roman"/>
                <w:sz w:val="20"/>
              </w:rPr>
              <w:t>Years free of exacerbation</w:t>
            </w:r>
          </w:p>
        </w:tc>
        <w:tc>
          <w:tcPr>
            <w:tcW w:w="1359"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c>
          <w:tcPr>
            <w:tcW w:w="1274"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c>
          <w:tcPr>
            <w:tcW w:w="838"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r>
      <w:tr w:rsidR="001F08C4" w:rsidRPr="00A453BC" w:rsidTr="001F08C4">
        <w:tc>
          <w:tcPr>
            <w:tcW w:w="4162" w:type="pct"/>
            <w:gridSpan w:val="3"/>
            <w:vAlign w:val="center"/>
          </w:tcPr>
          <w:p w:rsidR="001F08C4" w:rsidRPr="00A453BC" w:rsidRDefault="001F08C4" w:rsidP="001B17D1">
            <w:pPr>
              <w:keepNext/>
              <w:widowControl/>
              <w:jc w:val="left"/>
              <w:rPr>
                <w:rFonts w:ascii="Arial Narrow" w:hAnsi="Arial Narrow" w:cs="Times New Roman"/>
                <w:b/>
                <w:snapToGrid/>
                <w:sz w:val="20"/>
              </w:rPr>
            </w:pPr>
            <w:r w:rsidRPr="00A453BC">
              <w:rPr>
                <w:rFonts w:ascii="Arial Narrow" w:hAnsi="Arial Narrow" w:cs="Times New Roman"/>
                <w:b/>
                <w:snapToGrid/>
                <w:sz w:val="20"/>
              </w:rPr>
              <w:t>Incremental cost/</w:t>
            </w:r>
            <w:r w:rsidRPr="00A453BC">
              <w:rPr>
                <w:rFonts w:ascii="Arial Narrow" w:hAnsi="Arial Narrow"/>
                <w:b/>
                <w:sz w:val="20"/>
              </w:rPr>
              <w:t>p</w:t>
            </w:r>
            <w:r w:rsidRPr="00A453BC">
              <w:rPr>
                <w:rFonts w:ascii="Arial Narrow" w:hAnsi="Arial Narrow" w:cs="Times New Roman"/>
                <w:b/>
                <w:snapToGrid/>
                <w:sz w:val="20"/>
              </w:rPr>
              <w:t>atient year free of exacerbation</w:t>
            </w:r>
          </w:p>
        </w:tc>
        <w:tc>
          <w:tcPr>
            <w:tcW w:w="838" w:type="pct"/>
          </w:tcPr>
          <w:p w:rsidR="001F08C4" w:rsidRPr="00A453BC" w:rsidRDefault="001F08C4" w:rsidP="001B17D1">
            <w:pPr>
              <w:keepNext/>
              <w:widowControl/>
              <w:jc w:val="center"/>
              <w:rPr>
                <w:rFonts w:ascii="Arial Narrow" w:hAnsi="Arial Narrow" w:cs="Times New Roman"/>
                <w:b/>
                <w:sz w:val="20"/>
              </w:rPr>
            </w:pPr>
            <w:r w:rsidRPr="00A453BC">
              <w:rPr>
                <w:rFonts w:ascii="Arial Narrow" w:hAnsi="Arial Narrow" w:cs="Times New Roman"/>
                <w:b/>
                <w:sz w:val="20"/>
              </w:rPr>
              <w:t>$</w:t>
            </w:r>
            <w:r w:rsidR="00504B1C">
              <w:rPr>
                <w:rFonts w:ascii="Arial Narrow" w:hAnsi="Arial Narrow" w:cs="Times New Roman"/>
                <w:b/>
                <w:noProof/>
                <w:color w:val="000000"/>
                <w:sz w:val="20"/>
                <w:highlight w:val="black"/>
              </w:rPr>
              <w:t>'''''''''''</w:t>
            </w:r>
          </w:p>
        </w:tc>
      </w:tr>
      <w:tr w:rsidR="001F08C4" w:rsidRPr="00A453BC" w:rsidTr="001F08C4">
        <w:tc>
          <w:tcPr>
            <w:tcW w:w="5000" w:type="pct"/>
            <w:gridSpan w:val="4"/>
            <w:vAlign w:val="center"/>
          </w:tcPr>
          <w:p w:rsidR="001F08C4" w:rsidRPr="00A453BC" w:rsidRDefault="001F08C4" w:rsidP="001B17D1">
            <w:pPr>
              <w:keepNext/>
              <w:widowControl/>
              <w:jc w:val="left"/>
              <w:rPr>
                <w:rFonts w:ascii="Arial Narrow" w:hAnsi="Arial Narrow" w:cs="Arial Narrow"/>
                <w:b/>
                <w:bCs/>
                <w:sz w:val="20"/>
              </w:rPr>
            </w:pPr>
            <w:r w:rsidRPr="00A453BC">
              <w:rPr>
                <w:rFonts w:ascii="Arial Narrow" w:hAnsi="Arial Narrow" w:cs="Arial Narrow"/>
                <w:b/>
                <w:bCs/>
                <w:sz w:val="20"/>
              </w:rPr>
              <w:t>Step 3: modelled evaluation (including extrapolation results)</w:t>
            </w:r>
          </w:p>
        </w:tc>
      </w:tr>
      <w:tr w:rsidR="001F08C4" w:rsidRPr="00A453BC" w:rsidTr="001F08C4">
        <w:tc>
          <w:tcPr>
            <w:tcW w:w="1529" w:type="pct"/>
            <w:vAlign w:val="center"/>
          </w:tcPr>
          <w:p w:rsidR="001F08C4" w:rsidRPr="00A453BC" w:rsidRDefault="001F08C4" w:rsidP="001B17D1">
            <w:pPr>
              <w:keepNext/>
              <w:widowControl/>
              <w:jc w:val="left"/>
              <w:rPr>
                <w:rFonts w:ascii="Arial Narrow" w:hAnsi="Arial Narrow" w:cs="Times New Roman"/>
                <w:sz w:val="20"/>
              </w:rPr>
            </w:pPr>
            <w:r w:rsidRPr="00A453BC">
              <w:rPr>
                <w:rFonts w:ascii="Arial Narrow" w:hAnsi="Arial Narrow" w:cs="Times New Roman"/>
                <w:sz w:val="20"/>
              </w:rPr>
              <w:t>Costs</w:t>
            </w:r>
          </w:p>
        </w:tc>
        <w:tc>
          <w:tcPr>
            <w:tcW w:w="1359" w:type="pct"/>
            <w:vAlign w:val="bottom"/>
          </w:tcPr>
          <w:p w:rsidR="001F08C4" w:rsidRPr="00A453BC" w:rsidRDefault="001F08C4" w:rsidP="001B17D1">
            <w:pPr>
              <w:keepNext/>
              <w:widowControl/>
              <w:jc w:val="center"/>
              <w:rPr>
                <w:rFonts w:ascii="Arial Narrow" w:hAnsi="Arial Narrow"/>
                <w:color w:val="000000"/>
                <w:sz w:val="20"/>
                <w:szCs w:val="22"/>
              </w:rPr>
            </w:pPr>
            <w:r w:rsidRPr="00A453BC">
              <w:rPr>
                <w:rFonts w:ascii="Arial Narrow" w:hAnsi="Arial Narrow"/>
                <w:color w:val="000000"/>
                <w:sz w:val="20"/>
                <w:szCs w:val="22"/>
              </w:rPr>
              <w:t>$</w:t>
            </w:r>
            <w:r w:rsidR="00504B1C">
              <w:rPr>
                <w:rFonts w:ascii="Arial Narrow" w:hAnsi="Arial Narrow"/>
                <w:noProof/>
                <w:color w:val="000000"/>
                <w:sz w:val="20"/>
                <w:szCs w:val="22"/>
                <w:highlight w:val="black"/>
              </w:rPr>
              <w:t>''''''''''''''''''</w:t>
            </w:r>
          </w:p>
        </w:tc>
        <w:tc>
          <w:tcPr>
            <w:tcW w:w="1274" w:type="pct"/>
            <w:vAlign w:val="bottom"/>
          </w:tcPr>
          <w:p w:rsidR="001F08C4" w:rsidRPr="00A453BC" w:rsidRDefault="001F08C4" w:rsidP="001B17D1">
            <w:pPr>
              <w:keepNext/>
              <w:widowControl/>
              <w:jc w:val="center"/>
              <w:rPr>
                <w:rFonts w:ascii="Arial Narrow" w:hAnsi="Arial Narrow"/>
                <w:color w:val="000000"/>
                <w:sz w:val="20"/>
                <w:szCs w:val="22"/>
              </w:rPr>
            </w:pPr>
            <w:r w:rsidRPr="00A453BC">
              <w:rPr>
                <w:rFonts w:ascii="Arial Narrow" w:hAnsi="Arial Narrow"/>
                <w:color w:val="000000"/>
                <w:sz w:val="20"/>
                <w:szCs w:val="22"/>
              </w:rPr>
              <w:t>$</w:t>
            </w:r>
            <w:r w:rsidR="00504B1C">
              <w:rPr>
                <w:rFonts w:ascii="Arial Narrow" w:hAnsi="Arial Narrow"/>
                <w:noProof/>
                <w:color w:val="000000"/>
                <w:sz w:val="20"/>
                <w:szCs w:val="22"/>
                <w:highlight w:val="black"/>
              </w:rPr>
              <w:t>'''''''''''''''''</w:t>
            </w:r>
          </w:p>
        </w:tc>
        <w:tc>
          <w:tcPr>
            <w:tcW w:w="838" w:type="pct"/>
            <w:vAlign w:val="bottom"/>
          </w:tcPr>
          <w:p w:rsidR="001F08C4" w:rsidRPr="00A453BC" w:rsidRDefault="001F08C4" w:rsidP="001B17D1">
            <w:pPr>
              <w:keepNext/>
              <w:widowControl/>
              <w:jc w:val="center"/>
              <w:rPr>
                <w:rFonts w:ascii="Arial Narrow" w:hAnsi="Arial Narrow"/>
                <w:color w:val="000000"/>
                <w:sz w:val="20"/>
                <w:szCs w:val="22"/>
              </w:rPr>
            </w:pPr>
            <w:r w:rsidRPr="00A453BC">
              <w:rPr>
                <w:rFonts w:ascii="Arial Narrow" w:hAnsi="Arial Narrow"/>
                <w:color w:val="000000"/>
                <w:sz w:val="20"/>
                <w:szCs w:val="22"/>
              </w:rPr>
              <w:t>$</w:t>
            </w:r>
            <w:r w:rsidR="00504B1C">
              <w:rPr>
                <w:rFonts w:ascii="Arial Narrow" w:hAnsi="Arial Narrow"/>
                <w:noProof/>
                <w:color w:val="000000"/>
                <w:sz w:val="20"/>
                <w:szCs w:val="22"/>
                <w:highlight w:val="black"/>
              </w:rPr>
              <w:t>''''''''''''</w:t>
            </w:r>
          </w:p>
        </w:tc>
      </w:tr>
      <w:tr w:rsidR="001F08C4" w:rsidRPr="00A453BC" w:rsidTr="001F08C4">
        <w:tc>
          <w:tcPr>
            <w:tcW w:w="1529" w:type="pct"/>
            <w:vAlign w:val="center"/>
          </w:tcPr>
          <w:p w:rsidR="001F08C4" w:rsidRPr="00A453BC" w:rsidRDefault="001F08C4" w:rsidP="001B17D1">
            <w:pPr>
              <w:keepNext/>
              <w:widowControl/>
              <w:jc w:val="left"/>
              <w:rPr>
                <w:rFonts w:ascii="Arial Narrow" w:hAnsi="Arial Narrow" w:cs="Times New Roman"/>
                <w:sz w:val="20"/>
              </w:rPr>
            </w:pPr>
            <w:r w:rsidRPr="00A453BC">
              <w:rPr>
                <w:rFonts w:ascii="Arial Narrow" w:hAnsi="Arial Narrow" w:cs="Times New Roman"/>
                <w:sz w:val="20"/>
              </w:rPr>
              <w:t>Exacerbations avoided</w:t>
            </w:r>
          </w:p>
        </w:tc>
        <w:tc>
          <w:tcPr>
            <w:tcW w:w="1359"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c>
          <w:tcPr>
            <w:tcW w:w="1274"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c>
          <w:tcPr>
            <w:tcW w:w="838"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r>
      <w:tr w:rsidR="001F08C4" w:rsidRPr="00A453BC" w:rsidTr="001F08C4">
        <w:tc>
          <w:tcPr>
            <w:tcW w:w="4162" w:type="pct"/>
            <w:gridSpan w:val="3"/>
            <w:vAlign w:val="center"/>
          </w:tcPr>
          <w:p w:rsidR="001F08C4" w:rsidRPr="00A453BC" w:rsidRDefault="001F08C4" w:rsidP="001B17D1">
            <w:pPr>
              <w:keepNext/>
              <w:widowControl/>
              <w:jc w:val="left"/>
              <w:rPr>
                <w:rFonts w:ascii="Arial Narrow" w:hAnsi="Arial Narrow" w:cs="Times New Roman"/>
                <w:b/>
                <w:sz w:val="20"/>
              </w:rPr>
            </w:pPr>
            <w:r w:rsidRPr="00A453BC">
              <w:rPr>
                <w:rFonts w:ascii="Arial Narrow" w:hAnsi="Arial Narrow" w:cs="Times New Roman"/>
                <w:b/>
                <w:sz w:val="20"/>
              </w:rPr>
              <w:t>Incremental cost/extra exacerbation avoided</w:t>
            </w:r>
          </w:p>
        </w:tc>
        <w:tc>
          <w:tcPr>
            <w:tcW w:w="838" w:type="pct"/>
          </w:tcPr>
          <w:p w:rsidR="001F08C4" w:rsidRPr="00A453BC" w:rsidRDefault="001F08C4" w:rsidP="001B17D1">
            <w:pPr>
              <w:keepNext/>
              <w:widowControl/>
              <w:jc w:val="center"/>
              <w:rPr>
                <w:rFonts w:ascii="Arial Narrow" w:hAnsi="Arial Narrow" w:cs="Times New Roman"/>
                <w:b/>
                <w:sz w:val="20"/>
              </w:rPr>
            </w:pPr>
            <w:r w:rsidRPr="00A453BC">
              <w:rPr>
                <w:rFonts w:ascii="Arial Narrow" w:hAnsi="Arial Narrow" w:cs="Times New Roman"/>
                <w:b/>
                <w:sz w:val="20"/>
              </w:rPr>
              <w:t>$</w:t>
            </w:r>
            <w:r w:rsidR="00504B1C">
              <w:rPr>
                <w:rFonts w:ascii="Arial Narrow" w:hAnsi="Arial Narrow" w:cs="Times New Roman"/>
                <w:b/>
                <w:noProof/>
                <w:color w:val="000000"/>
                <w:sz w:val="20"/>
                <w:highlight w:val="black"/>
              </w:rPr>
              <w:t>'''''''</w:t>
            </w:r>
          </w:p>
        </w:tc>
      </w:tr>
      <w:tr w:rsidR="001F08C4" w:rsidRPr="00A453BC" w:rsidTr="001F08C4">
        <w:tc>
          <w:tcPr>
            <w:tcW w:w="5000" w:type="pct"/>
            <w:gridSpan w:val="4"/>
            <w:vAlign w:val="center"/>
          </w:tcPr>
          <w:p w:rsidR="001F08C4" w:rsidRPr="00A453BC" w:rsidRDefault="001F08C4" w:rsidP="001B17D1">
            <w:pPr>
              <w:keepNext/>
              <w:widowControl/>
              <w:jc w:val="left"/>
              <w:rPr>
                <w:rFonts w:ascii="Arial Narrow" w:hAnsi="Arial Narrow" w:cs="Arial Narrow"/>
                <w:b/>
                <w:bCs/>
                <w:sz w:val="20"/>
              </w:rPr>
            </w:pPr>
            <w:r w:rsidRPr="00A453BC">
              <w:rPr>
                <w:rFonts w:ascii="Arial Narrow" w:hAnsi="Arial Narrow" w:cs="Arial Narrow"/>
                <w:b/>
                <w:bCs/>
                <w:sz w:val="20"/>
              </w:rPr>
              <w:t>Step 4: modelled evaluation (including utilities)</w:t>
            </w:r>
          </w:p>
        </w:tc>
      </w:tr>
      <w:tr w:rsidR="001F08C4" w:rsidRPr="00A453BC" w:rsidTr="001F08C4">
        <w:tc>
          <w:tcPr>
            <w:tcW w:w="1529" w:type="pct"/>
            <w:vAlign w:val="center"/>
          </w:tcPr>
          <w:p w:rsidR="001F08C4" w:rsidRPr="00A453BC" w:rsidRDefault="001F08C4" w:rsidP="001B17D1">
            <w:pPr>
              <w:keepNext/>
              <w:widowControl/>
              <w:jc w:val="left"/>
              <w:rPr>
                <w:rFonts w:ascii="Arial Narrow" w:hAnsi="Arial Narrow" w:cs="Times New Roman"/>
                <w:sz w:val="20"/>
              </w:rPr>
            </w:pPr>
            <w:r w:rsidRPr="00A453BC">
              <w:rPr>
                <w:rFonts w:ascii="Arial Narrow" w:hAnsi="Arial Narrow" w:cs="Times New Roman"/>
                <w:sz w:val="20"/>
              </w:rPr>
              <w:t>Costs</w:t>
            </w:r>
          </w:p>
        </w:tc>
        <w:tc>
          <w:tcPr>
            <w:tcW w:w="1359" w:type="pct"/>
            <w:vAlign w:val="bottom"/>
          </w:tcPr>
          <w:p w:rsidR="001F08C4" w:rsidRPr="00A453BC" w:rsidRDefault="001F08C4" w:rsidP="001B17D1">
            <w:pPr>
              <w:keepNext/>
              <w:widowControl/>
              <w:jc w:val="center"/>
              <w:rPr>
                <w:rFonts w:ascii="Arial Narrow" w:hAnsi="Arial Narrow"/>
                <w:color w:val="000000"/>
                <w:sz w:val="20"/>
                <w:szCs w:val="22"/>
              </w:rPr>
            </w:pPr>
            <w:r w:rsidRPr="00A453BC">
              <w:rPr>
                <w:rFonts w:ascii="Arial Narrow" w:hAnsi="Arial Narrow"/>
                <w:color w:val="000000"/>
                <w:sz w:val="20"/>
                <w:szCs w:val="22"/>
              </w:rPr>
              <w:t>$</w:t>
            </w:r>
            <w:r w:rsidR="00504B1C">
              <w:rPr>
                <w:rFonts w:ascii="Arial Narrow" w:hAnsi="Arial Narrow"/>
                <w:noProof/>
                <w:color w:val="000000"/>
                <w:sz w:val="20"/>
                <w:szCs w:val="22"/>
                <w:highlight w:val="black"/>
              </w:rPr>
              <w:t>'''''''''''''''''</w:t>
            </w:r>
          </w:p>
        </w:tc>
        <w:tc>
          <w:tcPr>
            <w:tcW w:w="1274" w:type="pct"/>
            <w:vAlign w:val="bottom"/>
          </w:tcPr>
          <w:p w:rsidR="001F08C4" w:rsidRPr="00A453BC" w:rsidRDefault="001F08C4" w:rsidP="001B17D1">
            <w:pPr>
              <w:keepNext/>
              <w:widowControl/>
              <w:jc w:val="center"/>
              <w:rPr>
                <w:rFonts w:ascii="Arial Narrow" w:hAnsi="Arial Narrow"/>
                <w:color w:val="000000"/>
                <w:sz w:val="20"/>
                <w:szCs w:val="22"/>
              </w:rPr>
            </w:pPr>
            <w:r w:rsidRPr="00A453BC">
              <w:rPr>
                <w:rFonts w:ascii="Arial Narrow" w:hAnsi="Arial Narrow"/>
                <w:color w:val="000000"/>
                <w:sz w:val="20"/>
                <w:szCs w:val="22"/>
              </w:rPr>
              <w:t>$</w:t>
            </w:r>
            <w:r w:rsidR="00504B1C">
              <w:rPr>
                <w:rFonts w:ascii="Arial Narrow" w:hAnsi="Arial Narrow"/>
                <w:noProof/>
                <w:color w:val="000000"/>
                <w:sz w:val="20"/>
                <w:szCs w:val="22"/>
                <w:highlight w:val="black"/>
              </w:rPr>
              <w:t>''''''''''''''''</w:t>
            </w:r>
          </w:p>
        </w:tc>
        <w:tc>
          <w:tcPr>
            <w:tcW w:w="838" w:type="pct"/>
            <w:vAlign w:val="bottom"/>
          </w:tcPr>
          <w:p w:rsidR="001F08C4" w:rsidRPr="00A453BC" w:rsidRDefault="001F08C4" w:rsidP="001B17D1">
            <w:pPr>
              <w:keepNext/>
              <w:widowControl/>
              <w:jc w:val="center"/>
              <w:rPr>
                <w:rFonts w:ascii="Arial Narrow" w:hAnsi="Arial Narrow"/>
                <w:color w:val="000000"/>
                <w:sz w:val="20"/>
                <w:szCs w:val="22"/>
              </w:rPr>
            </w:pPr>
            <w:r w:rsidRPr="00A453BC">
              <w:rPr>
                <w:rFonts w:ascii="Arial Narrow" w:hAnsi="Arial Narrow"/>
                <w:color w:val="000000"/>
                <w:sz w:val="20"/>
                <w:szCs w:val="22"/>
              </w:rPr>
              <w:t>$</w:t>
            </w:r>
            <w:r w:rsidR="00504B1C">
              <w:rPr>
                <w:rFonts w:ascii="Arial Narrow" w:hAnsi="Arial Narrow"/>
                <w:noProof/>
                <w:color w:val="000000"/>
                <w:sz w:val="20"/>
                <w:szCs w:val="22"/>
                <w:highlight w:val="black"/>
              </w:rPr>
              <w:t>'''''''''''''</w:t>
            </w:r>
          </w:p>
        </w:tc>
      </w:tr>
      <w:tr w:rsidR="001F08C4" w:rsidRPr="00A453BC" w:rsidTr="001F08C4">
        <w:tc>
          <w:tcPr>
            <w:tcW w:w="1529" w:type="pct"/>
            <w:vAlign w:val="center"/>
          </w:tcPr>
          <w:p w:rsidR="001F08C4" w:rsidRPr="00A453BC" w:rsidRDefault="001F08C4" w:rsidP="001B17D1">
            <w:pPr>
              <w:keepNext/>
              <w:widowControl/>
              <w:jc w:val="left"/>
              <w:rPr>
                <w:rFonts w:ascii="Arial Narrow" w:hAnsi="Arial Narrow" w:cs="Times New Roman"/>
                <w:sz w:val="20"/>
              </w:rPr>
            </w:pPr>
            <w:r w:rsidRPr="00A453BC">
              <w:rPr>
                <w:rFonts w:ascii="Arial Narrow" w:hAnsi="Arial Narrow" w:cs="Times New Roman"/>
                <w:sz w:val="20"/>
              </w:rPr>
              <w:t>QALY</w:t>
            </w:r>
          </w:p>
        </w:tc>
        <w:tc>
          <w:tcPr>
            <w:tcW w:w="1359"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c>
          <w:tcPr>
            <w:tcW w:w="1274"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c>
          <w:tcPr>
            <w:tcW w:w="838" w:type="pct"/>
            <w:vAlign w:val="bottom"/>
          </w:tcPr>
          <w:p w:rsidR="001F08C4" w:rsidRPr="00504B1C" w:rsidRDefault="00504B1C" w:rsidP="001B17D1">
            <w:pPr>
              <w:keepNext/>
              <w:widowControl/>
              <w:jc w:val="center"/>
              <w:rPr>
                <w:rFonts w:ascii="Arial Narrow" w:hAnsi="Arial Narrow"/>
                <w:color w:val="000000"/>
                <w:sz w:val="20"/>
                <w:szCs w:val="22"/>
                <w:highlight w:val="black"/>
              </w:rPr>
            </w:pPr>
            <w:r>
              <w:rPr>
                <w:rFonts w:ascii="Arial Narrow" w:hAnsi="Arial Narrow"/>
                <w:noProof/>
                <w:color w:val="000000"/>
                <w:sz w:val="20"/>
                <w:szCs w:val="22"/>
                <w:highlight w:val="black"/>
              </w:rPr>
              <w:t>''''''''''</w:t>
            </w:r>
          </w:p>
        </w:tc>
      </w:tr>
      <w:tr w:rsidR="001F08C4" w:rsidRPr="004E2ADC" w:rsidTr="001F08C4">
        <w:tc>
          <w:tcPr>
            <w:tcW w:w="4162" w:type="pct"/>
            <w:gridSpan w:val="3"/>
            <w:vAlign w:val="center"/>
          </w:tcPr>
          <w:p w:rsidR="001F08C4" w:rsidRPr="00A453BC" w:rsidRDefault="001F08C4" w:rsidP="001B17D1">
            <w:pPr>
              <w:keepNext/>
              <w:widowControl/>
              <w:jc w:val="left"/>
              <w:rPr>
                <w:rFonts w:ascii="Arial Narrow" w:hAnsi="Arial Narrow" w:cs="Times New Roman"/>
                <w:b/>
                <w:sz w:val="20"/>
              </w:rPr>
            </w:pPr>
            <w:r w:rsidRPr="00A453BC">
              <w:rPr>
                <w:rFonts w:ascii="Arial Narrow" w:hAnsi="Arial Narrow" w:cs="Times New Roman"/>
                <w:b/>
                <w:sz w:val="20"/>
              </w:rPr>
              <w:t>Incremental cost/extra QALY gained</w:t>
            </w:r>
          </w:p>
        </w:tc>
        <w:tc>
          <w:tcPr>
            <w:tcW w:w="838" w:type="pct"/>
          </w:tcPr>
          <w:p w:rsidR="001F08C4" w:rsidRPr="00A453BC" w:rsidRDefault="001F08C4" w:rsidP="001B17D1">
            <w:pPr>
              <w:keepNext/>
              <w:widowControl/>
              <w:jc w:val="center"/>
              <w:rPr>
                <w:rFonts w:ascii="Arial Narrow" w:hAnsi="Arial Narrow" w:cs="Times New Roman"/>
                <w:b/>
                <w:sz w:val="20"/>
              </w:rPr>
            </w:pPr>
            <w:r w:rsidRPr="00A453BC">
              <w:rPr>
                <w:rFonts w:ascii="Arial Narrow" w:hAnsi="Arial Narrow" w:cs="Times New Roman"/>
                <w:b/>
                <w:sz w:val="20"/>
              </w:rPr>
              <w:t>$</w:t>
            </w:r>
            <w:r w:rsidR="00504B1C">
              <w:rPr>
                <w:rFonts w:ascii="Arial Narrow" w:hAnsi="Arial Narrow" w:cs="Times New Roman"/>
                <w:b/>
                <w:noProof/>
                <w:color w:val="000000"/>
                <w:sz w:val="20"/>
                <w:highlight w:val="black"/>
              </w:rPr>
              <w:t>''''''''''''''</w:t>
            </w:r>
          </w:p>
        </w:tc>
      </w:tr>
    </w:tbl>
    <w:p w:rsidR="00327617" w:rsidRDefault="001F08C4" w:rsidP="001B17D1">
      <w:pPr>
        <w:pStyle w:val="TableFooter"/>
        <w:keepNext/>
        <w:widowControl/>
        <w:ind w:left="720"/>
      </w:pPr>
      <w:r>
        <w:t xml:space="preserve">Source: </w:t>
      </w:r>
      <w:r w:rsidRPr="00D13A3E">
        <w:t>Table</w:t>
      </w:r>
      <w:r>
        <w:t>s</w:t>
      </w:r>
      <w:r w:rsidRPr="003C6530">
        <w:t xml:space="preserve"> </w:t>
      </w:r>
      <w:r>
        <w:t>D.5-</w:t>
      </w:r>
      <w:r w:rsidRPr="003C6530">
        <w:t>1</w:t>
      </w:r>
      <w:r w:rsidR="00610C30">
        <w:t xml:space="preserve"> to </w:t>
      </w:r>
      <w:r>
        <w:t>D.5-4</w:t>
      </w:r>
      <w:r w:rsidR="00327617">
        <w:t>,</w:t>
      </w:r>
      <w:r>
        <w:t xml:space="preserve"> </w:t>
      </w:r>
      <w:r w:rsidRPr="00D13A3E">
        <w:t>pp</w:t>
      </w:r>
      <w:r>
        <w:t xml:space="preserve">242-245 </w:t>
      </w:r>
      <w:r w:rsidRPr="00D13A3E">
        <w:t>of the subm</w:t>
      </w:r>
      <w:r w:rsidR="00327617">
        <w:t>ission</w:t>
      </w:r>
    </w:p>
    <w:p w:rsidR="001F08C4" w:rsidRPr="00D13A3E" w:rsidRDefault="001F08C4" w:rsidP="00E61788">
      <w:pPr>
        <w:pStyle w:val="TableFooter"/>
        <w:widowControl/>
        <w:ind w:left="720"/>
      </w:pPr>
      <w:r w:rsidRPr="00DB6898">
        <w:t xml:space="preserve">ICS = inhaled corticosteroid; LABA = long-acting </w:t>
      </w:r>
      <w:r w:rsidR="00760ED0" w:rsidRPr="00760ED0">
        <w:t>ß</w:t>
      </w:r>
      <w:r w:rsidR="00760ED0" w:rsidRPr="00760ED0">
        <w:rPr>
          <w:vertAlign w:val="subscript"/>
        </w:rPr>
        <w:t>2</w:t>
      </w:r>
      <w:r w:rsidRPr="00DB6898">
        <w:t xml:space="preserve"> agonist; QA</w:t>
      </w:r>
      <w:r w:rsidR="00327617">
        <w:t>LY = quality-adjusted life year</w:t>
      </w:r>
    </w:p>
    <w:p w:rsidR="00D110BD" w:rsidRDefault="00D110BD" w:rsidP="00E61788">
      <w:pPr>
        <w:widowControl/>
        <w:rPr>
          <w:szCs w:val="22"/>
        </w:rPr>
      </w:pPr>
    </w:p>
    <w:p w:rsidR="00655041" w:rsidRDefault="00BD166F" w:rsidP="00E61788">
      <w:pPr>
        <w:pStyle w:val="ListParagraph"/>
        <w:widowControl/>
        <w:numPr>
          <w:ilvl w:val="1"/>
          <w:numId w:val="9"/>
        </w:numPr>
      </w:pPr>
      <w:r w:rsidRPr="002E251C">
        <w:t xml:space="preserve">The economic evaluation </w:t>
      </w:r>
      <w:r w:rsidR="008536E5">
        <w:t xml:space="preserve">presented in the submission </w:t>
      </w:r>
      <w:r w:rsidRPr="002E251C">
        <w:t>result</w:t>
      </w:r>
      <w:r w:rsidR="008536E5">
        <w:t>ed</w:t>
      </w:r>
      <w:r w:rsidRPr="002E251C">
        <w:t xml:space="preserve"> in </w:t>
      </w:r>
      <w:r w:rsidR="00D21554">
        <w:t xml:space="preserve">an </w:t>
      </w:r>
      <w:r w:rsidR="00FC5163">
        <w:t>ICER</w:t>
      </w:r>
      <w:r w:rsidRPr="002E251C">
        <w:t xml:space="preserve"> of </w:t>
      </w:r>
      <w:r w:rsidR="00C25261" w:rsidRPr="00C25261">
        <w:t>$</w:t>
      </w:r>
      <w:r w:rsidR="000F5C8C">
        <w:t>15,000 - $45,000</w:t>
      </w:r>
      <w:r w:rsidR="00C25261">
        <w:t xml:space="preserve"> </w:t>
      </w:r>
      <w:r w:rsidRPr="0026778F">
        <w:t>per QALY</w:t>
      </w:r>
      <w:r w:rsidRPr="002E251C">
        <w:t xml:space="preserve"> for </w:t>
      </w:r>
      <w:proofErr w:type="spellStart"/>
      <w:r w:rsidR="00C25261">
        <w:t>tiotropium</w:t>
      </w:r>
      <w:proofErr w:type="spellEnd"/>
      <w:r w:rsidRPr="002E251C">
        <w:t xml:space="preserve"> plus</w:t>
      </w:r>
      <w:r w:rsidR="00C25261">
        <w:t xml:space="preserve"> usual care</w:t>
      </w:r>
      <w:r w:rsidRPr="002E251C">
        <w:t xml:space="preserve"> vs. </w:t>
      </w:r>
      <w:r w:rsidR="00C25261">
        <w:t>usual care</w:t>
      </w:r>
      <w:r w:rsidRPr="002E251C">
        <w:t xml:space="preserve">. </w:t>
      </w:r>
    </w:p>
    <w:p w:rsidR="00DC173D" w:rsidRDefault="00DC173D" w:rsidP="00E61788">
      <w:pPr>
        <w:pStyle w:val="ListParagraph"/>
        <w:widowControl/>
      </w:pPr>
    </w:p>
    <w:p w:rsidR="00A46ACC" w:rsidRPr="00872E6F" w:rsidRDefault="00FC5163" w:rsidP="00E61788">
      <w:pPr>
        <w:pStyle w:val="ListParagraph"/>
        <w:widowControl/>
        <w:numPr>
          <w:ilvl w:val="1"/>
          <w:numId w:val="9"/>
        </w:numPr>
      </w:pPr>
      <w:r w:rsidRPr="003441A3">
        <w:t>There were major issues with the approach taken to estimating and applying t</w:t>
      </w:r>
      <w:r w:rsidR="00345B5A" w:rsidRPr="003441A3">
        <w:t xml:space="preserve">ransition probabilities </w:t>
      </w:r>
      <w:r w:rsidRPr="003441A3">
        <w:t>in the submission</w:t>
      </w:r>
      <w:r w:rsidR="00DC173D">
        <w:t>.</w:t>
      </w:r>
      <w:r w:rsidR="00DC173D" w:rsidRPr="00DC173D">
        <w:rPr>
          <w:i/>
        </w:rPr>
        <w:t xml:space="preserve"> </w:t>
      </w:r>
      <w:r w:rsidR="00DC173D" w:rsidRPr="00872E6F">
        <w:t xml:space="preserve">The ESC noted that the submitted model assumed constant transition probabilities across the full time horizon, which resulted in potentially important differences in the modelled and actual trial distribution of health states at 48 weeks. Optimal and acceptable control </w:t>
      </w:r>
      <w:r w:rsidR="008536E5" w:rsidRPr="00872E6F">
        <w:t>was</w:t>
      </w:r>
      <w:r w:rsidR="00DC173D" w:rsidRPr="00872E6F">
        <w:t xml:space="preserve"> overestimated by 4.3% and 2.1% in the intervention and control groups, respectively. Therefore, the ESC considered the model was not internally valid. </w:t>
      </w:r>
    </w:p>
    <w:p w:rsidR="00121C33" w:rsidRPr="00872E6F" w:rsidRDefault="00121C33" w:rsidP="00E61788">
      <w:pPr>
        <w:pStyle w:val="ListParagraph"/>
        <w:widowControl/>
      </w:pPr>
    </w:p>
    <w:p w:rsidR="00655041" w:rsidRPr="00872E6F" w:rsidRDefault="00345B5A" w:rsidP="00E61788">
      <w:pPr>
        <w:pStyle w:val="ListParagraph"/>
        <w:widowControl/>
        <w:numPr>
          <w:ilvl w:val="1"/>
          <w:numId w:val="9"/>
        </w:numPr>
      </w:pPr>
      <w:r w:rsidRPr="00872E6F">
        <w:t xml:space="preserve">The weekly health state transition probabilities were extrapolated for 15 years, using a fixed matrix. This would not reflect clinical practice and would be likely to favour </w:t>
      </w:r>
      <w:proofErr w:type="spellStart"/>
      <w:r w:rsidRPr="00872E6F">
        <w:t>tiotropium</w:t>
      </w:r>
      <w:proofErr w:type="spellEnd"/>
      <w:r w:rsidRPr="00872E6F">
        <w:t>.</w:t>
      </w:r>
    </w:p>
    <w:p w:rsidR="00121C33" w:rsidRPr="00872E6F" w:rsidRDefault="00121C33" w:rsidP="00E61788">
      <w:pPr>
        <w:pStyle w:val="ListParagraph"/>
        <w:widowControl/>
      </w:pPr>
    </w:p>
    <w:p w:rsidR="00655041" w:rsidRPr="00872E6F" w:rsidRDefault="00655041" w:rsidP="00E61788">
      <w:pPr>
        <w:pStyle w:val="ListParagraph"/>
        <w:widowControl/>
        <w:numPr>
          <w:ilvl w:val="1"/>
          <w:numId w:val="9"/>
        </w:numPr>
      </w:pPr>
      <w:r w:rsidRPr="00872E6F">
        <w:t xml:space="preserve">The ESC noted that the model was sensitive to small changes in the transition probabilities; for example, changing the intervention transition probability </w:t>
      </w:r>
      <w:r w:rsidR="005F5620" w:rsidRPr="00872E6F">
        <w:t xml:space="preserve">for </w:t>
      </w:r>
      <w:proofErr w:type="spellStart"/>
      <w:r w:rsidR="005F5620" w:rsidRPr="00872E6F">
        <w:t>tiotropium</w:t>
      </w:r>
      <w:proofErr w:type="spellEnd"/>
      <w:r w:rsidR="005F5620" w:rsidRPr="00872E6F">
        <w:t xml:space="preserve"> patients </w:t>
      </w:r>
      <w:r w:rsidRPr="00872E6F">
        <w:t>from Uncontrolled to Optimal from 0.5% to 0.3% increased</w:t>
      </w:r>
      <w:r w:rsidR="005F5620" w:rsidRPr="00872E6F">
        <w:t xml:space="preserve"> the ICER from $</w:t>
      </w:r>
      <w:r w:rsidR="000F5C8C">
        <w:t>15,000 - $45,000/QALY</w:t>
      </w:r>
      <w:r w:rsidR="005F5620" w:rsidRPr="00872E6F">
        <w:t xml:space="preserve"> to $</w:t>
      </w:r>
      <w:r w:rsidR="000F5C8C">
        <w:t>75,000 - $105,000/QALY</w:t>
      </w:r>
      <w:r w:rsidRPr="00872E6F">
        <w:t>.</w:t>
      </w:r>
    </w:p>
    <w:p w:rsidR="00655041" w:rsidRPr="00872E6F" w:rsidRDefault="00655041" w:rsidP="00E61788">
      <w:pPr>
        <w:pStyle w:val="ListParagraph"/>
        <w:widowControl/>
      </w:pPr>
    </w:p>
    <w:p w:rsidR="00085843" w:rsidRPr="00872E6F" w:rsidRDefault="00655041" w:rsidP="00E61788">
      <w:pPr>
        <w:pStyle w:val="ListParagraph"/>
        <w:widowControl/>
        <w:numPr>
          <w:ilvl w:val="1"/>
          <w:numId w:val="9"/>
        </w:numPr>
      </w:pPr>
      <w:r w:rsidRPr="00872E6F">
        <w:t xml:space="preserve">In response to the </w:t>
      </w:r>
      <w:r w:rsidR="008536E5" w:rsidRPr="00872E6F">
        <w:t>evaluation</w:t>
      </w:r>
      <w:r w:rsidRPr="00872E6F">
        <w:t xml:space="preserve">, the PSCR presented a </w:t>
      </w:r>
      <w:r w:rsidR="008536E5" w:rsidRPr="00872E6F">
        <w:t>revised economic analysis</w:t>
      </w:r>
      <w:r w:rsidRPr="00872E6F">
        <w:t>, which used the asthma states observed in the trials over the first 48 weeks, and extrapolated using transition probabilities estimated from the weeks 40 and 48 follow</w:t>
      </w:r>
      <w:r w:rsidR="008536E5" w:rsidRPr="00872E6F">
        <w:noBreakHyphen/>
      </w:r>
      <w:r w:rsidRPr="00872E6F">
        <w:t>up points. The PSCR reported that this analysis reduce</w:t>
      </w:r>
      <w:r w:rsidR="008536E5" w:rsidRPr="00872E6F">
        <w:t>d</w:t>
      </w:r>
      <w:r w:rsidRPr="00872E6F">
        <w:t xml:space="preserve"> the ICER from $</w:t>
      </w:r>
      <w:r w:rsidR="000F5C8C">
        <w:t>15,000 - $45,000/QALY</w:t>
      </w:r>
      <w:r w:rsidRPr="00872E6F">
        <w:t xml:space="preserve"> to $</w:t>
      </w:r>
      <w:r w:rsidR="000F5C8C">
        <w:t>15,000 - $45,000/QALY</w:t>
      </w:r>
      <w:r w:rsidRPr="00872E6F">
        <w:t>.</w:t>
      </w:r>
      <w:r w:rsidR="0060465A" w:rsidRPr="00872E6F">
        <w:t xml:space="preserve"> Without access to the observed data, Evaluator analyses applying the transition matrices generated for </w:t>
      </w:r>
      <w:r w:rsidR="0060465A" w:rsidRPr="00872E6F">
        <w:lastRenderedPageBreak/>
        <w:t>weeks 41 to 48 (inclusive) to the whole model</w:t>
      </w:r>
      <w:r w:rsidR="0060465A">
        <w:rPr>
          <w:i/>
        </w:rPr>
        <w:t xml:space="preserve"> </w:t>
      </w:r>
      <w:r w:rsidR="0060465A" w:rsidRPr="00872E6F">
        <w:t>resulted in an ICER of $</w:t>
      </w:r>
      <w:r w:rsidR="000F5C8C">
        <w:t>15,000 - $45,000/QALY</w:t>
      </w:r>
      <w:r w:rsidR="0060465A" w:rsidRPr="00872E6F">
        <w:t>. However, applying transition matrices generated for weeks 40 to 48 (inclusive), which includes observed data points at weeks 40 and 48, the ICER increases to $</w:t>
      </w:r>
      <w:r w:rsidR="000F5C8C">
        <w:t>45,000 - $75,000/QALY</w:t>
      </w:r>
      <w:r w:rsidR="0060465A" w:rsidRPr="00872E6F">
        <w:t>.</w:t>
      </w:r>
      <w:r w:rsidR="0060465A" w:rsidRPr="00872E6F" w:rsidDel="008E56BF">
        <w:t xml:space="preserve"> </w:t>
      </w:r>
    </w:p>
    <w:p w:rsidR="00085843" w:rsidRPr="00872E6F" w:rsidRDefault="00085843" w:rsidP="002B2823">
      <w:pPr>
        <w:widowControl/>
      </w:pPr>
    </w:p>
    <w:p w:rsidR="00121C33" w:rsidRPr="00872E6F" w:rsidRDefault="0040219F" w:rsidP="00E61788">
      <w:pPr>
        <w:pStyle w:val="ListParagraph"/>
        <w:widowControl/>
        <w:numPr>
          <w:ilvl w:val="1"/>
          <w:numId w:val="9"/>
        </w:numPr>
      </w:pPr>
      <w:r w:rsidRPr="00872E6F">
        <w:t>The ESC noted that s</w:t>
      </w:r>
      <w:r w:rsidR="00DC173D" w:rsidRPr="00872E6F">
        <w:t xml:space="preserve">ample size </w:t>
      </w:r>
      <w:r w:rsidRPr="00872E6F">
        <w:t>was</w:t>
      </w:r>
      <w:r w:rsidR="00DC173D" w:rsidRPr="00872E6F">
        <w:t xml:space="preserve"> artificially inflated</w:t>
      </w:r>
      <w:r w:rsidRPr="00872E6F">
        <w:t>, as</w:t>
      </w:r>
      <w:r w:rsidR="00655041" w:rsidRPr="00872E6F">
        <w:t xml:space="preserve"> </w:t>
      </w:r>
      <w:r w:rsidR="00DC173D" w:rsidRPr="00872E6F">
        <w:t xml:space="preserve">the </w:t>
      </w:r>
      <w:r w:rsidR="008536E5" w:rsidRPr="00872E6F">
        <w:t>seven</w:t>
      </w:r>
      <w:r w:rsidR="00655041" w:rsidRPr="00872E6F">
        <w:t xml:space="preserve"> follow-up points</w:t>
      </w:r>
      <w:r w:rsidR="00DC173D" w:rsidRPr="00872E6F">
        <w:t xml:space="preserve"> in the trial</w:t>
      </w:r>
      <w:r w:rsidR="00655041" w:rsidRPr="00872E6F">
        <w:t xml:space="preserve"> </w:t>
      </w:r>
      <w:r w:rsidRPr="00872E6F">
        <w:t>were</w:t>
      </w:r>
      <w:r w:rsidR="00655041" w:rsidRPr="00872E6F">
        <w:t xml:space="preserve"> formatted to inform 48 transition probabilities per patient</w:t>
      </w:r>
      <w:r w:rsidR="00DC173D" w:rsidRPr="00872E6F">
        <w:t xml:space="preserve"> in the model</w:t>
      </w:r>
      <w:r w:rsidR="00655041" w:rsidRPr="00872E6F">
        <w:t xml:space="preserve">. The real sample size informing some of the transition probabilities </w:t>
      </w:r>
      <w:r w:rsidRPr="00872E6F">
        <w:t>was</w:t>
      </w:r>
      <w:r w:rsidR="00655041" w:rsidRPr="00872E6F">
        <w:t xml:space="preserve"> small, especially when using the 40 to 48 week data, which result</w:t>
      </w:r>
      <w:r w:rsidRPr="00872E6F">
        <w:t>ed</w:t>
      </w:r>
      <w:r w:rsidR="00655041" w:rsidRPr="00872E6F">
        <w:t xml:space="preserve"> in significant uncertainty around the true value of key transition probabilities.</w:t>
      </w:r>
      <w:r w:rsidR="00121C33" w:rsidRPr="00872E6F">
        <w:t xml:space="preserve"> </w:t>
      </w:r>
    </w:p>
    <w:p w:rsidR="00121C33" w:rsidRPr="00872E6F" w:rsidRDefault="00121C33" w:rsidP="00E61788">
      <w:pPr>
        <w:pStyle w:val="ListParagraph"/>
        <w:widowControl/>
      </w:pPr>
    </w:p>
    <w:p w:rsidR="00655041" w:rsidRDefault="00121C33" w:rsidP="00E61788">
      <w:pPr>
        <w:pStyle w:val="ListParagraph"/>
        <w:widowControl/>
        <w:numPr>
          <w:ilvl w:val="1"/>
          <w:numId w:val="9"/>
        </w:numPr>
      </w:pPr>
      <w:r w:rsidRPr="00872E6F">
        <w:t xml:space="preserve">The ESC considered a better model structure would represent only three health states: optimal, acceptable, and uncontrolled asthma. The costs and quality of life effects of exacerbations could be represented within each state. Separate analyses could assess whether patients receiving the intervention experienced fewer exacerbations within each state. The ESC considered it preferable to use all observed data to week 48, estimating 8-weekly transition probabilities between the asthma control states to extrapolate (with an accompanying </w:t>
      </w:r>
      <w:proofErr w:type="spellStart"/>
      <w:r w:rsidRPr="00872E6F">
        <w:t>Dirichlet</w:t>
      </w:r>
      <w:proofErr w:type="spellEnd"/>
      <w:r w:rsidRPr="00872E6F">
        <w:t xml:space="preserve"> distribution</w:t>
      </w:r>
      <w:r w:rsidR="001C5F2B" w:rsidRPr="00872E6F">
        <w:rPr>
          <w:rStyle w:val="FootnoteReference"/>
        </w:rPr>
        <w:footnoteReference w:id="5"/>
      </w:r>
      <w:r w:rsidRPr="00872E6F">
        <w:t xml:space="preserve"> to represent the uncertainty). </w:t>
      </w:r>
      <w:r w:rsidR="00584A83" w:rsidRPr="00872E6F">
        <w:t xml:space="preserve">Alternatively, </w:t>
      </w:r>
      <w:r w:rsidR="00FB1E19" w:rsidRPr="00872E6F">
        <w:t xml:space="preserve">the ESC considered that </w:t>
      </w:r>
      <w:r w:rsidR="00584A83" w:rsidRPr="00872E6F">
        <w:t>time to event analyses could be undertaken to test for time varying transition probabilities, and treatment effects.</w:t>
      </w:r>
    </w:p>
    <w:p w:rsidR="00936397" w:rsidRDefault="00936397" w:rsidP="006C2AD9">
      <w:pPr>
        <w:pStyle w:val="ListParagraph"/>
      </w:pPr>
    </w:p>
    <w:p w:rsidR="00936397" w:rsidRPr="00872E6F" w:rsidRDefault="00936397" w:rsidP="00E61788">
      <w:pPr>
        <w:pStyle w:val="ListParagraph"/>
        <w:widowControl/>
        <w:numPr>
          <w:ilvl w:val="1"/>
          <w:numId w:val="9"/>
        </w:numPr>
      </w:pPr>
      <w:r>
        <w:t xml:space="preserve">The </w:t>
      </w:r>
      <w:r w:rsidR="00EB0BE9">
        <w:t>P</w:t>
      </w:r>
      <w:r>
        <w:t>re-PBAC response</w:t>
      </w:r>
      <w:r w:rsidR="00EB0BE9">
        <w:t xml:space="preserve"> </w:t>
      </w:r>
      <w:r>
        <w:t>argued that the model structure corresponds with the approaches used in published economic evaluations. This contradicts the view of the Commentary that the majority of published economic evaluations had fewer health states and shorter time horizons.</w:t>
      </w:r>
    </w:p>
    <w:p w:rsidR="00655041" w:rsidRPr="00872E6F" w:rsidRDefault="00655041" w:rsidP="00E61788">
      <w:pPr>
        <w:pStyle w:val="ListParagraph"/>
        <w:widowControl/>
      </w:pPr>
    </w:p>
    <w:p w:rsidR="005C3AB9" w:rsidRPr="00872E6F" w:rsidRDefault="00FC5163" w:rsidP="00E61788">
      <w:pPr>
        <w:pStyle w:val="ListParagraph"/>
        <w:widowControl/>
        <w:numPr>
          <w:ilvl w:val="1"/>
          <w:numId w:val="9"/>
        </w:numPr>
      </w:pPr>
      <w:r w:rsidRPr="00872E6F">
        <w:t xml:space="preserve">There were major issues with </w:t>
      </w:r>
      <w:r w:rsidR="00FB1E19" w:rsidRPr="00872E6F">
        <w:t xml:space="preserve">the approach taken to estimate and apply </w:t>
      </w:r>
      <w:r w:rsidRPr="00872E6F">
        <w:t>utility values in the submission</w:t>
      </w:r>
      <w:r w:rsidR="005C3AB9" w:rsidRPr="00872E6F">
        <w:t xml:space="preserve">. Utility weights for the optimal and acceptable control states </w:t>
      </w:r>
      <w:r w:rsidR="00290276" w:rsidRPr="00872E6F">
        <w:t>were</w:t>
      </w:r>
      <w:r w:rsidR="005C3AB9" w:rsidRPr="00872E6F">
        <w:t xml:space="preserve"> relatively high compared to the literature, whilst the uncontrolled asthma utility weight </w:t>
      </w:r>
      <w:r w:rsidR="00290276" w:rsidRPr="00872E6F">
        <w:t>was</w:t>
      </w:r>
      <w:r w:rsidR="005C3AB9" w:rsidRPr="00872E6F">
        <w:t xml:space="preserve"> consistent with the literature. The model </w:t>
      </w:r>
      <w:r w:rsidR="00290276" w:rsidRPr="00872E6F">
        <w:t>was</w:t>
      </w:r>
      <w:r w:rsidR="005C3AB9" w:rsidRPr="00872E6F">
        <w:t xml:space="preserve"> sensitive to these utility weights and the base case results favour</w:t>
      </w:r>
      <w:r w:rsidR="00290276" w:rsidRPr="00872E6F">
        <w:t>ed</w:t>
      </w:r>
      <w:r w:rsidR="005C3AB9" w:rsidRPr="00872E6F">
        <w:t xml:space="preserve"> </w:t>
      </w:r>
      <w:proofErr w:type="spellStart"/>
      <w:r w:rsidR="005C3AB9" w:rsidRPr="00872E6F">
        <w:t>tiotropium</w:t>
      </w:r>
      <w:proofErr w:type="spellEnd"/>
      <w:r w:rsidR="005C3AB9" w:rsidRPr="00872E6F">
        <w:t>. This may</w:t>
      </w:r>
      <w:r w:rsidR="00290276" w:rsidRPr="00872E6F">
        <w:t xml:space="preserve"> have</w:t>
      </w:r>
      <w:r w:rsidR="005C3AB9" w:rsidRPr="00872E6F">
        <w:t xml:space="preserve"> b</w:t>
      </w:r>
      <w:r w:rsidR="00290276" w:rsidRPr="00872E6F">
        <w:t>e</w:t>
      </w:r>
      <w:r w:rsidR="005C3AB9" w:rsidRPr="00872E6F">
        <w:t>e</w:t>
      </w:r>
      <w:r w:rsidR="00290276" w:rsidRPr="00872E6F">
        <w:t>n</w:t>
      </w:r>
      <w:r w:rsidR="005C3AB9" w:rsidRPr="00872E6F">
        <w:t xml:space="preserve"> due to the use of the </w:t>
      </w:r>
      <w:proofErr w:type="spellStart"/>
      <w:r w:rsidR="005C3AB9" w:rsidRPr="00872E6F">
        <w:t>EuroQoL</w:t>
      </w:r>
      <w:proofErr w:type="spellEnd"/>
      <w:r w:rsidR="005C3AB9" w:rsidRPr="00872E6F">
        <w:t xml:space="preserve"> 5 dimensions, 3 level (EQ-5D-3L) instrument, which lack</w:t>
      </w:r>
      <w:r w:rsidR="00290276" w:rsidRPr="00872E6F">
        <w:t>s</w:t>
      </w:r>
      <w:r w:rsidR="005C3AB9" w:rsidRPr="00872E6F">
        <w:t xml:space="preserve"> sensitivity to small changes in health states. In this case, EQ-5D-3L may not be sensitive to small decrements in quality of life in patients with controlled asthma. </w:t>
      </w:r>
    </w:p>
    <w:p w:rsidR="00B52284" w:rsidRPr="00872E6F" w:rsidRDefault="00B52284" w:rsidP="00E61788">
      <w:pPr>
        <w:pStyle w:val="ListParagraph"/>
        <w:widowControl/>
      </w:pPr>
    </w:p>
    <w:p w:rsidR="00B52284" w:rsidRPr="00872E6F" w:rsidRDefault="00B52284" w:rsidP="00E61788">
      <w:pPr>
        <w:pStyle w:val="ListParagraph"/>
        <w:widowControl/>
        <w:numPr>
          <w:ilvl w:val="1"/>
          <w:numId w:val="9"/>
        </w:numPr>
      </w:pPr>
      <w:r w:rsidRPr="00872E6F">
        <w:t xml:space="preserve">Additionally, the ESC noted that most exacerbations were experienced by patients with uncontrolled asthma, the effects of which may </w:t>
      </w:r>
      <w:r w:rsidR="00290276" w:rsidRPr="00872E6F">
        <w:t xml:space="preserve">have </w:t>
      </w:r>
      <w:r w:rsidRPr="00872E6F">
        <w:t>be</w:t>
      </w:r>
      <w:r w:rsidR="00290276" w:rsidRPr="00872E6F">
        <w:t>en</w:t>
      </w:r>
      <w:r w:rsidRPr="00872E6F">
        <w:t xml:space="preserve"> double counted, i.e. reflected in the reported utility values for the ‘uncontrolled asthma’ group, and the separately defined exacerbation states. This would </w:t>
      </w:r>
      <w:r w:rsidR="00290276" w:rsidRPr="00872E6F">
        <w:t xml:space="preserve">have </w:t>
      </w:r>
      <w:r w:rsidRPr="00872E6F">
        <w:t>favour</w:t>
      </w:r>
      <w:r w:rsidR="00290276" w:rsidRPr="00872E6F">
        <w:t>ed</w:t>
      </w:r>
      <w:r w:rsidRPr="00872E6F">
        <w:t xml:space="preserve"> </w:t>
      </w:r>
      <w:proofErr w:type="spellStart"/>
      <w:r w:rsidRPr="00872E6F">
        <w:t>tiotropium</w:t>
      </w:r>
      <w:proofErr w:type="spellEnd"/>
      <w:r w:rsidRPr="00872E6F">
        <w:t xml:space="preserve"> because fewer exacerbations were experienced in this group. The ESC considered </w:t>
      </w:r>
      <w:r w:rsidRPr="00A754B1">
        <w:t>that this issue would also be addressed by the simpler model structure</w:t>
      </w:r>
      <w:r w:rsidR="00FB1E19" w:rsidRPr="00A754B1">
        <w:t xml:space="preserve"> proposed in paragraph 6.</w:t>
      </w:r>
      <w:r w:rsidR="00EB0BE9" w:rsidRPr="00A754B1">
        <w:t>32</w:t>
      </w:r>
      <w:r w:rsidRPr="00A754B1">
        <w:t>.</w:t>
      </w:r>
    </w:p>
    <w:p w:rsidR="00B52284" w:rsidRPr="00872E6F" w:rsidRDefault="00B52284" w:rsidP="00E61788">
      <w:pPr>
        <w:widowControl/>
      </w:pPr>
    </w:p>
    <w:p w:rsidR="009E1C19" w:rsidRPr="00872E6F" w:rsidRDefault="00523E50" w:rsidP="00E61788">
      <w:pPr>
        <w:pStyle w:val="ListParagraph"/>
        <w:widowControl/>
        <w:numPr>
          <w:ilvl w:val="1"/>
          <w:numId w:val="9"/>
        </w:numPr>
      </w:pPr>
      <w:r w:rsidRPr="00872E6F">
        <w:t>The ESC noted that t</w:t>
      </w:r>
      <w:r w:rsidR="009E1C19" w:rsidRPr="00872E6F">
        <w:t xml:space="preserve">he submission used different cut-points for defining optimal and acceptably controlled asthma to </w:t>
      </w:r>
      <w:r w:rsidR="00EE282B" w:rsidRPr="00872E6F">
        <w:t xml:space="preserve">the </w:t>
      </w:r>
      <w:r w:rsidR="009E1C19" w:rsidRPr="00872E6F">
        <w:t>cut-points for the ACQ-7</w:t>
      </w:r>
      <w:r w:rsidR="00EE282B" w:rsidRPr="00872E6F">
        <w:t xml:space="preserve"> used in the literature and in international clinical guidelines</w:t>
      </w:r>
      <w:r w:rsidR="009E1C19" w:rsidRPr="00872E6F">
        <w:t xml:space="preserve">. </w:t>
      </w:r>
      <w:r w:rsidRPr="00872E6F">
        <w:t xml:space="preserve">The ESC considered this would not have </w:t>
      </w:r>
      <w:r w:rsidR="00636762" w:rsidRPr="00872E6F">
        <w:t>been</w:t>
      </w:r>
      <w:r w:rsidRPr="00872E6F">
        <w:t xml:space="preserve"> </w:t>
      </w:r>
      <w:r w:rsidR="009E1C19" w:rsidRPr="00872E6F">
        <w:lastRenderedPageBreak/>
        <w:t xml:space="preserve">high impact, but </w:t>
      </w:r>
      <w:r w:rsidRPr="00872E6F">
        <w:t>would likely</w:t>
      </w:r>
      <w:r w:rsidR="009E1C19" w:rsidRPr="00872E6F">
        <w:t xml:space="preserve"> </w:t>
      </w:r>
      <w:r w:rsidR="00636762" w:rsidRPr="00872E6F">
        <w:t xml:space="preserve">have </w:t>
      </w:r>
      <w:r w:rsidR="009E1C19" w:rsidRPr="00872E6F">
        <w:t>favour</w:t>
      </w:r>
      <w:r w:rsidR="00636762" w:rsidRPr="00872E6F">
        <w:t>ed</w:t>
      </w:r>
      <w:r w:rsidR="009E1C19" w:rsidRPr="00872E6F">
        <w:t xml:space="preserve"> the intervention</w:t>
      </w:r>
      <w:r w:rsidRPr="00872E6F">
        <w:t>,</w:t>
      </w:r>
      <w:r w:rsidR="009E1C19" w:rsidRPr="00872E6F">
        <w:t xml:space="preserve"> as more intervention patients </w:t>
      </w:r>
      <w:r w:rsidR="00636762" w:rsidRPr="00872E6F">
        <w:t>were</w:t>
      </w:r>
      <w:r w:rsidR="009E1C19" w:rsidRPr="00872E6F">
        <w:t xml:space="preserve"> in the optimal than the acceptable state.</w:t>
      </w:r>
    </w:p>
    <w:p w:rsidR="003137DC" w:rsidRPr="001256C2" w:rsidRDefault="003137DC" w:rsidP="00E61788">
      <w:pPr>
        <w:widowControl/>
        <w:rPr>
          <w:i/>
        </w:rPr>
      </w:pPr>
    </w:p>
    <w:p w:rsidR="00750B3B" w:rsidRPr="004674E8" w:rsidRDefault="00B92259" w:rsidP="00E61788">
      <w:pPr>
        <w:pStyle w:val="ListParagraph"/>
        <w:widowControl/>
        <w:numPr>
          <w:ilvl w:val="1"/>
          <w:numId w:val="9"/>
        </w:numPr>
      </w:pPr>
      <w:r>
        <w:t>The submission presented</w:t>
      </w:r>
      <w:r w:rsidR="00BD166F" w:rsidRPr="004674E8">
        <w:t xml:space="preserve"> various univariate sensitivity analyses and </w:t>
      </w:r>
      <w:r w:rsidR="008473E0" w:rsidRPr="004674E8">
        <w:t>deterministic</w:t>
      </w:r>
      <w:r w:rsidR="00BD166F" w:rsidRPr="004674E8">
        <w:t xml:space="preserve"> sensitivity analyses, and additional sensitivity analyses were performed during evaluation. Table </w:t>
      </w:r>
      <w:r w:rsidR="00211C2D">
        <w:t>11</w:t>
      </w:r>
      <w:r w:rsidR="00BD166F" w:rsidRPr="004674E8">
        <w:t xml:space="preserve"> presents the </w:t>
      </w:r>
      <w:r w:rsidR="00345B5A" w:rsidRPr="004674E8">
        <w:t xml:space="preserve">key </w:t>
      </w:r>
      <w:r w:rsidR="00BD166F" w:rsidRPr="004674E8">
        <w:t>sensitivity analyses.</w:t>
      </w:r>
    </w:p>
    <w:p w:rsidR="00750B3B" w:rsidRPr="004674E8" w:rsidRDefault="00750B3B" w:rsidP="00E61788">
      <w:pPr>
        <w:pStyle w:val="ListParagraph"/>
        <w:widowControl/>
      </w:pPr>
    </w:p>
    <w:p w:rsidR="00750B3B" w:rsidRPr="003137DC" w:rsidRDefault="00750B3B" w:rsidP="001B17D1">
      <w:pPr>
        <w:keepNext/>
        <w:widowControl/>
        <w:ind w:firstLine="720"/>
        <w:rPr>
          <w:rStyle w:val="CommentReference"/>
          <w:rFonts w:ascii="Arial" w:hAnsi="Arial"/>
          <w:b w:val="0"/>
          <w:sz w:val="22"/>
          <w:szCs w:val="20"/>
        </w:rPr>
      </w:pPr>
      <w:r w:rsidRPr="004674E8">
        <w:rPr>
          <w:rStyle w:val="CommentReference"/>
        </w:rPr>
        <w:t xml:space="preserve">Table </w:t>
      </w:r>
      <w:r w:rsidR="00211C2D">
        <w:rPr>
          <w:rStyle w:val="CommentReference"/>
        </w:rPr>
        <w:t>11</w:t>
      </w:r>
      <w:r w:rsidRPr="004674E8">
        <w:rPr>
          <w:rStyle w:val="CommentReference"/>
        </w:rPr>
        <w:t xml:space="preserve">: </w:t>
      </w:r>
      <w:r w:rsidR="00D21554" w:rsidRPr="004674E8">
        <w:rPr>
          <w:rStyle w:val="CommentReference"/>
        </w:rPr>
        <w:t>Key r</w:t>
      </w:r>
      <w:r w:rsidRPr="004674E8">
        <w:rPr>
          <w:rStyle w:val="CommentReference"/>
        </w:rPr>
        <w:t>esults of univariate and multivariate sensitivity analyses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78"/>
        <w:gridCol w:w="1222"/>
        <w:gridCol w:w="1223"/>
        <w:gridCol w:w="1223"/>
      </w:tblGrid>
      <w:tr w:rsidR="001B6A88" w:rsidRPr="004E2ADC" w:rsidTr="00DD1FD5">
        <w:trPr>
          <w:tblHeader/>
        </w:trPr>
        <w:tc>
          <w:tcPr>
            <w:tcW w:w="4678" w:type="dxa"/>
            <w:tcBorders>
              <w:top w:val="single" w:sz="4" w:space="0" w:color="auto"/>
              <w:left w:val="single" w:sz="4" w:space="0" w:color="auto"/>
              <w:bottom w:val="single" w:sz="4" w:space="0" w:color="auto"/>
              <w:right w:val="single" w:sz="4" w:space="0" w:color="auto"/>
            </w:tcBorders>
            <w:vAlign w:val="center"/>
          </w:tcPr>
          <w:p w:rsidR="00750B3B" w:rsidRPr="004E2ADC" w:rsidRDefault="00750B3B" w:rsidP="001B17D1">
            <w:pPr>
              <w:keepNext/>
              <w:widowControl/>
              <w:jc w:val="left"/>
              <w:rPr>
                <w:rFonts w:ascii="Arial Narrow" w:hAnsi="Arial Narrow"/>
                <w:sz w:val="20"/>
              </w:rPr>
            </w:pPr>
            <w:r w:rsidRPr="004E2ADC">
              <w:rPr>
                <w:rFonts w:ascii="Arial Narrow" w:hAnsi="Arial Narrow"/>
                <w:b/>
                <w:sz w:val="20"/>
              </w:rPr>
              <w:t>Univariate analyses</w:t>
            </w:r>
          </w:p>
        </w:tc>
        <w:tc>
          <w:tcPr>
            <w:tcW w:w="1222" w:type="dxa"/>
            <w:tcBorders>
              <w:top w:val="single" w:sz="4" w:space="0" w:color="auto"/>
              <w:left w:val="single" w:sz="4" w:space="0" w:color="auto"/>
              <w:bottom w:val="single" w:sz="4" w:space="0" w:color="auto"/>
              <w:right w:val="single" w:sz="4" w:space="0" w:color="auto"/>
            </w:tcBorders>
            <w:vAlign w:val="center"/>
          </w:tcPr>
          <w:p w:rsidR="00750B3B" w:rsidRPr="004E2ADC" w:rsidRDefault="001B6A88" w:rsidP="001B17D1">
            <w:pPr>
              <w:keepNext/>
              <w:widowControl/>
              <w:jc w:val="center"/>
              <w:rPr>
                <w:rFonts w:ascii="Arial Narrow" w:hAnsi="Arial Narrow"/>
                <w:sz w:val="20"/>
              </w:rPr>
            </w:pPr>
            <w:r>
              <w:rPr>
                <w:rFonts w:ascii="Arial Narrow" w:hAnsi="Arial Narrow"/>
                <w:b/>
                <w:sz w:val="20"/>
              </w:rPr>
              <w:t>Δ</w:t>
            </w:r>
            <w:r w:rsidR="00750B3B" w:rsidRPr="004E2ADC">
              <w:rPr>
                <w:rFonts w:ascii="Arial Narrow" w:hAnsi="Arial Narrow"/>
                <w:b/>
                <w:sz w:val="20"/>
              </w:rPr>
              <w:t xml:space="preserve"> costs</w:t>
            </w:r>
          </w:p>
        </w:tc>
        <w:tc>
          <w:tcPr>
            <w:tcW w:w="1223" w:type="dxa"/>
            <w:tcBorders>
              <w:top w:val="single" w:sz="4" w:space="0" w:color="auto"/>
              <w:left w:val="single" w:sz="4" w:space="0" w:color="auto"/>
              <w:bottom w:val="single" w:sz="4" w:space="0" w:color="auto"/>
              <w:right w:val="single" w:sz="4" w:space="0" w:color="auto"/>
            </w:tcBorders>
            <w:vAlign w:val="center"/>
          </w:tcPr>
          <w:p w:rsidR="00750B3B" w:rsidRPr="004E2ADC" w:rsidRDefault="001B6A88" w:rsidP="001B17D1">
            <w:pPr>
              <w:keepNext/>
              <w:widowControl/>
              <w:jc w:val="center"/>
              <w:rPr>
                <w:rFonts w:ascii="Arial Narrow" w:hAnsi="Arial Narrow"/>
                <w:sz w:val="20"/>
              </w:rPr>
            </w:pPr>
            <w:r>
              <w:rPr>
                <w:rFonts w:ascii="Arial Narrow" w:hAnsi="Arial Narrow"/>
                <w:b/>
                <w:sz w:val="20"/>
              </w:rPr>
              <w:t>Δ QALY</w:t>
            </w:r>
          </w:p>
        </w:tc>
        <w:tc>
          <w:tcPr>
            <w:tcW w:w="1223" w:type="dxa"/>
            <w:tcBorders>
              <w:top w:val="single" w:sz="4" w:space="0" w:color="auto"/>
              <w:left w:val="single" w:sz="4" w:space="0" w:color="auto"/>
              <w:bottom w:val="single" w:sz="4" w:space="0" w:color="auto"/>
              <w:right w:val="single" w:sz="4" w:space="0" w:color="auto"/>
            </w:tcBorders>
            <w:vAlign w:val="center"/>
          </w:tcPr>
          <w:p w:rsidR="00750B3B" w:rsidRPr="004E2ADC" w:rsidRDefault="001B6A88" w:rsidP="001B17D1">
            <w:pPr>
              <w:keepNext/>
              <w:widowControl/>
              <w:jc w:val="center"/>
              <w:rPr>
                <w:rFonts w:ascii="Arial Narrow" w:hAnsi="Arial Narrow"/>
                <w:sz w:val="20"/>
              </w:rPr>
            </w:pPr>
            <w:r>
              <w:rPr>
                <w:rFonts w:ascii="Arial Narrow" w:hAnsi="Arial Narrow"/>
                <w:b/>
                <w:sz w:val="20"/>
              </w:rPr>
              <w:t>ICER</w:t>
            </w:r>
          </w:p>
        </w:tc>
      </w:tr>
      <w:tr w:rsidR="001B6A88" w:rsidRPr="004E2ADC" w:rsidTr="00DD1FD5">
        <w:tc>
          <w:tcPr>
            <w:tcW w:w="4678" w:type="dxa"/>
            <w:tcBorders>
              <w:top w:val="single" w:sz="4" w:space="0" w:color="auto"/>
              <w:left w:val="single" w:sz="4" w:space="0" w:color="auto"/>
              <w:bottom w:val="single" w:sz="4" w:space="0" w:color="auto"/>
              <w:right w:val="single" w:sz="4" w:space="0" w:color="auto"/>
            </w:tcBorders>
            <w:vAlign w:val="bottom"/>
          </w:tcPr>
          <w:p w:rsidR="00750B3B" w:rsidRPr="0057271F" w:rsidRDefault="00750B3B" w:rsidP="001B17D1">
            <w:pPr>
              <w:pStyle w:val="Tabletext"/>
              <w:keepNext/>
              <w:rPr>
                <w:b/>
              </w:rPr>
            </w:pPr>
            <w:r w:rsidRPr="0057271F">
              <w:rPr>
                <w:b/>
              </w:rPr>
              <w:t>Base case</w:t>
            </w:r>
          </w:p>
        </w:tc>
        <w:tc>
          <w:tcPr>
            <w:tcW w:w="1222"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1B17D1">
            <w:pPr>
              <w:pStyle w:val="Tabletext"/>
              <w:keepNext/>
              <w:jc w:val="right"/>
              <w:rPr>
                <w:b/>
              </w:rPr>
            </w:pPr>
            <w:r w:rsidRPr="006A0483">
              <w:rPr>
                <w:b/>
              </w:rPr>
              <w:t>$</w:t>
            </w:r>
            <w:r w:rsidR="00504B1C">
              <w:rPr>
                <w:b/>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504B1C" w:rsidRDefault="00504B1C" w:rsidP="001B17D1">
            <w:pPr>
              <w:pStyle w:val="Tabletext"/>
              <w:keepNext/>
              <w:jc w:val="center"/>
              <w:rPr>
                <w:b/>
                <w:highlight w:val="black"/>
              </w:rPr>
            </w:pPr>
            <w:r>
              <w:rPr>
                <w:b/>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1B17D1">
            <w:pPr>
              <w:pStyle w:val="Tabletext"/>
              <w:keepNext/>
              <w:jc w:val="right"/>
              <w:rPr>
                <w:b/>
              </w:rPr>
            </w:pPr>
            <w:r w:rsidRPr="006A0483">
              <w:rPr>
                <w:b/>
              </w:rPr>
              <w:t>$</w:t>
            </w:r>
            <w:r w:rsidR="00504B1C">
              <w:rPr>
                <w:b/>
                <w:noProof/>
                <w:color w:val="000000"/>
                <w:highlight w:val="black"/>
              </w:rPr>
              <w:t>''''''''''''</w:t>
            </w:r>
          </w:p>
        </w:tc>
      </w:tr>
      <w:tr w:rsidR="001B6A88" w:rsidRPr="004E2ADC" w:rsidTr="00DD1FD5">
        <w:tc>
          <w:tcPr>
            <w:tcW w:w="4678" w:type="dxa"/>
            <w:tcBorders>
              <w:top w:val="single" w:sz="4" w:space="0" w:color="auto"/>
              <w:left w:val="single" w:sz="4" w:space="0" w:color="auto"/>
              <w:bottom w:val="single" w:sz="4" w:space="0" w:color="auto"/>
              <w:right w:val="single" w:sz="4" w:space="0" w:color="auto"/>
            </w:tcBorders>
            <w:vAlign w:val="bottom"/>
          </w:tcPr>
          <w:p w:rsidR="00750B3B" w:rsidRDefault="00750B3B" w:rsidP="001B17D1">
            <w:pPr>
              <w:pStyle w:val="Tabletext"/>
              <w:keepNext/>
            </w:pPr>
            <w:r>
              <w:t>ACQ-6 applied to Health states</w:t>
            </w:r>
          </w:p>
        </w:tc>
        <w:tc>
          <w:tcPr>
            <w:tcW w:w="1222"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1B17D1">
            <w:pPr>
              <w:pStyle w:val="Tabletext"/>
              <w:keepNext/>
              <w:jc w:val="right"/>
            </w:pPr>
            <w:r w:rsidRPr="006A0483">
              <w:t>$</w:t>
            </w:r>
            <w:r w:rsidR="00504B1C">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504B1C" w:rsidRDefault="00504B1C" w:rsidP="001B17D1">
            <w:pPr>
              <w:pStyle w:val="Tabletext"/>
              <w:keepNext/>
              <w:jc w:val="center"/>
              <w:rPr>
                <w:highlight w:val="black"/>
              </w:rPr>
            </w:pPr>
            <w:r>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1B17D1">
            <w:pPr>
              <w:pStyle w:val="Tabletext"/>
              <w:keepNext/>
              <w:jc w:val="right"/>
            </w:pPr>
            <w:r w:rsidRPr="006A0483">
              <w:t>$</w:t>
            </w:r>
            <w:r w:rsidR="00504B1C">
              <w:rPr>
                <w:noProof/>
                <w:color w:val="000000"/>
                <w:highlight w:val="black"/>
              </w:rPr>
              <w:t>''''''''''''''''</w:t>
            </w:r>
          </w:p>
        </w:tc>
      </w:tr>
      <w:tr w:rsidR="001B6A88" w:rsidRPr="004E2ADC" w:rsidTr="00DD1FD5">
        <w:tc>
          <w:tcPr>
            <w:tcW w:w="4678" w:type="dxa"/>
            <w:tcBorders>
              <w:top w:val="single" w:sz="4" w:space="0" w:color="auto"/>
              <w:left w:val="single" w:sz="4" w:space="0" w:color="auto"/>
              <w:bottom w:val="single" w:sz="4" w:space="0" w:color="auto"/>
              <w:right w:val="single" w:sz="4" w:space="0" w:color="auto"/>
            </w:tcBorders>
            <w:vAlign w:val="bottom"/>
          </w:tcPr>
          <w:p w:rsidR="00750B3B" w:rsidRDefault="00750B3B" w:rsidP="001B17D1">
            <w:pPr>
              <w:pStyle w:val="Tabletext"/>
              <w:keepNext/>
            </w:pPr>
            <w:r>
              <w:t>Baseline distribution - trial based</w:t>
            </w:r>
          </w:p>
        </w:tc>
        <w:tc>
          <w:tcPr>
            <w:tcW w:w="1222"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1B17D1">
            <w:pPr>
              <w:pStyle w:val="Tabletext"/>
              <w:keepNext/>
              <w:jc w:val="right"/>
            </w:pPr>
            <w:r w:rsidRPr="006A0483">
              <w:t>$</w:t>
            </w:r>
            <w:r w:rsidR="00504B1C">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504B1C" w:rsidRDefault="00504B1C" w:rsidP="001B17D1">
            <w:pPr>
              <w:pStyle w:val="Tabletext"/>
              <w:keepNext/>
              <w:jc w:val="center"/>
              <w:rPr>
                <w:highlight w:val="black"/>
              </w:rPr>
            </w:pPr>
            <w:r>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1B17D1">
            <w:pPr>
              <w:pStyle w:val="Tabletext"/>
              <w:keepNext/>
              <w:jc w:val="right"/>
            </w:pPr>
            <w:r w:rsidRPr="006A0483">
              <w:t>$</w:t>
            </w:r>
            <w:r w:rsidR="00504B1C">
              <w:rPr>
                <w:noProof/>
                <w:color w:val="000000"/>
                <w:highlight w:val="black"/>
              </w:rPr>
              <w:t>'''''''''''''''</w:t>
            </w:r>
          </w:p>
        </w:tc>
      </w:tr>
      <w:tr w:rsidR="001B6A88" w:rsidRPr="004E2ADC" w:rsidTr="00DD1FD5">
        <w:tc>
          <w:tcPr>
            <w:tcW w:w="4678" w:type="dxa"/>
            <w:tcBorders>
              <w:top w:val="single" w:sz="4" w:space="0" w:color="auto"/>
              <w:left w:val="single" w:sz="4" w:space="0" w:color="auto"/>
              <w:bottom w:val="single" w:sz="4" w:space="0" w:color="auto"/>
              <w:right w:val="single" w:sz="4" w:space="0" w:color="auto"/>
            </w:tcBorders>
            <w:vAlign w:val="bottom"/>
          </w:tcPr>
          <w:p w:rsidR="00750B3B" w:rsidRDefault="00750B3B" w:rsidP="001B17D1">
            <w:pPr>
              <w:pStyle w:val="Tabletext"/>
              <w:keepNext/>
            </w:pPr>
            <w:r>
              <w:t>Compliance - 100%</w:t>
            </w:r>
          </w:p>
        </w:tc>
        <w:tc>
          <w:tcPr>
            <w:tcW w:w="1222"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1B17D1">
            <w:pPr>
              <w:pStyle w:val="Tabletext"/>
              <w:keepNext/>
              <w:jc w:val="right"/>
            </w:pPr>
            <w:r w:rsidRPr="006A0483">
              <w:t>$</w:t>
            </w:r>
            <w:r w:rsidR="00504B1C">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504B1C" w:rsidRDefault="00504B1C" w:rsidP="001B17D1">
            <w:pPr>
              <w:pStyle w:val="Tabletext"/>
              <w:keepNext/>
              <w:jc w:val="center"/>
              <w:rPr>
                <w:highlight w:val="black"/>
              </w:rPr>
            </w:pPr>
            <w:r>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1B17D1">
            <w:pPr>
              <w:pStyle w:val="Tabletext"/>
              <w:keepNext/>
              <w:jc w:val="right"/>
            </w:pPr>
            <w:r w:rsidRPr="006A0483">
              <w:t>$</w:t>
            </w:r>
            <w:r w:rsidR="00504B1C">
              <w:rPr>
                <w:noProof/>
                <w:color w:val="000000"/>
                <w:highlight w:val="black"/>
              </w:rPr>
              <w:t>'''''''''''''''''</w:t>
            </w:r>
          </w:p>
        </w:tc>
      </w:tr>
      <w:tr w:rsidR="001B6A88" w:rsidRPr="00391DFD" w:rsidTr="00DD1FD5">
        <w:tc>
          <w:tcPr>
            <w:tcW w:w="4678" w:type="dxa"/>
            <w:tcBorders>
              <w:top w:val="single" w:sz="4" w:space="0" w:color="auto"/>
              <w:left w:val="single" w:sz="4" w:space="0" w:color="auto"/>
              <w:bottom w:val="single" w:sz="4" w:space="0" w:color="auto"/>
              <w:right w:val="single" w:sz="4" w:space="0" w:color="auto"/>
            </w:tcBorders>
            <w:vAlign w:val="bottom"/>
          </w:tcPr>
          <w:p w:rsidR="001B6A88" w:rsidRPr="00DD1FD5" w:rsidRDefault="001B6A88" w:rsidP="001B17D1">
            <w:pPr>
              <w:pStyle w:val="Tabletext"/>
              <w:keepNext/>
              <w:rPr>
                <w:b/>
              </w:rPr>
            </w:pPr>
            <w:r w:rsidRPr="009E0086">
              <w:rPr>
                <w:b/>
              </w:rPr>
              <w:t>Time horizon (base case 15 year)</w:t>
            </w:r>
          </w:p>
        </w:tc>
        <w:tc>
          <w:tcPr>
            <w:tcW w:w="1222" w:type="dxa"/>
            <w:tcBorders>
              <w:top w:val="single" w:sz="4" w:space="0" w:color="auto"/>
              <w:left w:val="single" w:sz="4" w:space="0" w:color="auto"/>
              <w:bottom w:val="single" w:sz="4" w:space="0" w:color="auto"/>
              <w:right w:val="single" w:sz="4" w:space="0" w:color="auto"/>
            </w:tcBorders>
            <w:vAlign w:val="bottom"/>
          </w:tcPr>
          <w:p w:rsidR="001B6A88" w:rsidRDefault="001B6A88" w:rsidP="001B17D1">
            <w:pPr>
              <w:pStyle w:val="Tabletext"/>
              <w:keepNext/>
              <w:jc w:val="right"/>
              <w:rPr>
                <w:i/>
              </w:rPr>
            </w:pPr>
          </w:p>
        </w:tc>
        <w:tc>
          <w:tcPr>
            <w:tcW w:w="1223" w:type="dxa"/>
            <w:tcBorders>
              <w:top w:val="single" w:sz="4" w:space="0" w:color="auto"/>
              <w:left w:val="single" w:sz="4" w:space="0" w:color="auto"/>
              <w:bottom w:val="single" w:sz="4" w:space="0" w:color="auto"/>
              <w:right w:val="single" w:sz="4" w:space="0" w:color="auto"/>
            </w:tcBorders>
            <w:vAlign w:val="bottom"/>
          </w:tcPr>
          <w:p w:rsidR="001B6A88" w:rsidRPr="00A453BC" w:rsidRDefault="001B6A88" w:rsidP="001B17D1">
            <w:pPr>
              <w:pStyle w:val="Tabletext"/>
              <w:keepNext/>
              <w:jc w:val="center"/>
              <w:rPr>
                <w:i/>
              </w:rPr>
            </w:pPr>
          </w:p>
        </w:tc>
        <w:tc>
          <w:tcPr>
            <w:tcW w:w="1223" w:type="dxa"/>
            <w:tcBorders>
              <w:top w:val="single" w:sz="4" w:space="0" w:color="auto"/>
              <w:left w:val="single" w:sz="4" w:space="0" w:color="auto"/>
              <w:bottom w:val="single" w:sz="4" w:space="0" w:color="auto"/>
              <w:right w:val="single" w:sz="4" w:space="0" w:color="auto"/>
            </w:tcBorders>
            <w:vAlign w:val="bottom"/>
          </w:tcPr>
          <w:p w:rsidR="001B6A88" w:rsidRPr="00391DFD" w:rsidRDefault="001B6A88" w:rsidP="001B17D1">
            <w:pPr>
              <w:pStyle w:val="Tabletext"/>
              <w:keepNext/>
              <w:jc w:val="right"/>
              <w:rPr>
                <w:i/>
              </w:rPr>
            </w:pPr>
          </w:p>
        </w:tc>
      </w:tr>
      <w:tr w:rsidR="001B6A88" w:rsidRPr="00391DFD" w:rsidTr="00DD1FD5">
        <w:tc>
          <w:tcPr>
            <w:tcW w:w="4678" w:type="dxa"/>
            <w:tcBorders>
              <w:top w:val="single" w:sz="4" w:space="0" w:color="auto"/>
              <w:left w:val="single" w:sz="4" w:space="0" w:color="auto"/>
              <w:bottom w:val="single" w:sz="4" w:space="0" w:color="auto"/>
              <w:right w:val="single" w:sz="4" w:space="0" w:color="auto"/>
            </w:tcBorders>
            <w:vAlign w:val="bottom"/>
          </w:tcPr>
          <w:p w:rsidR="00750B3B" w:rsidRPr="003441A3" w:rsidRDefault="00750B3B" w:rsidP="001B17D1">
            <w:pPr>
              <w:pStyle w:val="Tabletext"/>
              <w:keepNext/>
              <w:ind w:firstLine="256"/>
            </w:pPr>
            <w:r w:rsidRPr="003441A3">
              <w:t>48 weeks (trial based)</w:t>
            </w:r>
          </w:p>
        </w:tc>
        <w:tc>
          <w:tcPr>
            <w:tcW w:w="1222"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1B17D1">
            <w:pPr>
              <w:pStyle w:val="Tabletext"/>
              <w:keepNext/>
              <w:jc w:val="right"/>
            </w:pPr>
            <w:r w:rsidRPr="006A0483">
              <w:t>$</w:t>
            </w:r>
            <w:r w:rsidR="00504B1C">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504B1C" w:rsidRDefault="00504B1C" w:rsidP="001B17D1">
            <w:pPr>
              <w:pStyle w:val="Tabletext"/>
              <w:keepNext/>
              <w:jc w:val="center"/>
              <w:rPr>
                <w:highlight w:val="black"/>
              </w:rPr>
            </w:pPr>
            <w:r>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1B17D1">
            <w:pPr>
              <w:pStyle w:val="Tabletext"/>
              <w:keepNext/>
              <w:jc w:val="right"/>
            </w:pPr>
            <w:r w:rsidRPr="006A0483">
              <w:t>$</w:t>
            </w:r>
            <w:r w:rsidR="00504B1C">
              <w:rPr>
                <w:noProof/>
                <w:color w:val="000000"/>
                <w:highlight w:val="black"/>
              </w:rPr>
              <w:t>'''''''''''''''''</w:t>
            </w:r>
          </w:p>
        </w:tc>
      </w:tr>
      <w:tr w:rsidR="001B6A88" w:rsidRPr="004E2ADC" w:rsidTr="00DD1FD5">
        <w:tc>
          <w:tcPr>
            <w:tcW w:w="4678" w:type="dxa"/>
            <w:tcBorders>
              <w:top w:val="single" w:sz="4" w:space="0" w:color="auto"/>
              <w:left w:val="single" w:sz="4" w:space="0" w:color="auto"/>
              <w:bottom w:val="single" w:sz="4" w:space="0" w:color="auto"/>
              <w:right w:val="single" w:sz="4" w:space="0" w:color="auto"/>
            </w:tcBorders>
            <w:vAlign w:val="bottom"/>
          </w:tcPr>
          <w:p w:rsidR="00750B3B" w:rsidRDefault="00750B3B" w:rsidP="00E61788">
            <w:pPr>
              <w:pStyle w:val="Tabletext"/>
              <w:ind w:firstLine="256"/>
            </w:pPr>
            <w:r>
              <w:t>10 years</w:t>
            </w:r>
          </w:p>
        </w:tc>
        <w:tc>
          <w:tcPr>
            <w:tcW w:w="1222"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E61788">
            <w:pPr>
              <w:pStyle w:val="Tabletext"/>
              <w:jc w:val="right"/>
            </w:pPr>
            <w:r w:rsidRPr="006A0483">
              <w:t>$</w:t>
            </w:r>
            <w:r w:rsidR="00504B1C">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504B1C" w:rsidRDefault="00504B1C" w:rsidP="00E61788">
            <w:pPr>
              <w:pStyle w:val="Tabletext"/>
              <w:jc w:val="center"/>
              <w:rPr>
                <w:highlight w:val="black"/>
              </w:rPr>
            </w:pPr>
            <w:r>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E61788">
            <w:pPr>
              <w:pStyle w:val="Tabletext"/>
              <w:jc w:val="right"/>
            </w:pPr>
            <w:r w:rsidRPr="006A0483">
              <w:t>$</w:t>
            </w:r>
            <w:r w:rsidR="00504B1C">
              <w:rPr>
                <w:noProof/>
                <w:color w:val="000000"/>
                <w:highlight w:val="black"/>
              </w:rPr>
              <w:t>''''''''''''''''''</w:t>
            </w:r>
          </w:p>
        </w:tc>
      </w:tr>
      <w:tr w:rsidR="001B6A88" w:rsidRPr="004E2ADC" w:rsidTr="00DD1FD5">
        <w:tc>
          <w:tcPr>
            <w:tcW w:w="4678" w:type="dxa"/>
            <w:tcBorders>
              <w:top w:val="single" w:sz="4" w:space="0" w:color="auto"/>
              <w:left w:val="single" w:sz="4" w:space="0" w:color="auto"/>
              <w:bottom w:val="single" w:sz="4" w:space="0" w:color="auto"/>
              <w:right w:val="single" w:sz="4" w:space="0" w:color="auto"/>
            </w:tcBorders>
            <w:vAlign w:val="bottom"/>
          </w:tcPr>
          <w:p w:rsidR="00750B3B" w:rsidRDefault="00750B3B" w:rsidP="00E61788">
            <w:pPr>
              <w:pStyle w:val="Tabletext"/>
              <w:ind w:firstLine="256"/>
            </w:pPr>
            <w:r>
              <w:t>20 years</w:t>
            </w:r>
          </w:p>
        </w:tc>
        <w:tc>
          <w:tcPr>
            <w:tcW w:w="1222"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E61788">
            <w:pPr>
              <w:pStyle w:val="Tabletext"/>
              <w:jc w:val="right"/>
            </w:pPr>
            <w:r w:rsidRPr="006A0483">
              <w:t>$</w:t>
            </w:r>
            <w:r w:rsidR="00504B1C">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504B1C" w:rsidRDefault="00504B1C" w:rsidP="00E61788">
            <w:pPr>
              <w:pStyle w:val="Tabletext"/>
              <w:jc w:val="center"/>
              <w:rPr>
                <w:highlight w:val="black"/>
              </w:rPr>
            </w:pPr>
            <w:r>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bottom"/>
          </w:tcPr>
          <w:p w:rsidR="00750B3B" w:rsidRPr="006A0483" w:rsidRDefault="00750B3B" w:rsidP="00E61788">
            <w:pPr>
              <w:pStyle w:val="Tabletext"/>
              <w:jc w:val="right"/>
            </w:pPr>
            <w:r w:rsidRPr="006A0483">
              <w:t>$</w:t>
            </w:r>
            <w:r w:rsidR="00504B1C">
              <w:rPr>
                <w:noProof/>
                <w:color w:val="000000"/>
                <w:highlight w:val="black"/>
              </w:rPr>
              <w:t>''''''''''''''''</w:t>
            </w:r>
          </w:p>
        </w:tc>
      </w:tr>
      <w:tr w:rsidR="001B6A88" w:rsidRPr="004E2ADC" w:rsidTr="00DD1FD5">
        <w:tc>
          <w:tcPr>
            <w:tcW w:w="8346" w:type="dxa"/>
            <w:gridSpan w:val="4"/>
            <w:tcBorders>
              <w:top w:val="single" w:sz="4" w:space="0" w:color="auto"/>
              <w:left w:val="single" w:sz="4" w:space="0" w:color="auto"/>
              <w:bottom w:val="single" w:sz="4" w:space="0" w:color="auto"/>
              <w:right w:val="single" w:sz="4" w:space="0" w:color="auto"/>
            </w:tcBorders>
            <w:vAlign w:val="bottom"/>
          </w:tcPr>
          <w:p w:rsidR="001B6A88" w:rsidRPr="00A453BC" w:rsidRDefault="001B6A88" w:rsidP="00E61788">
            <w:pPr>
              <w:pStyle w:val="Tabletext"/>
              <w:rPr>
                <w:b/>
              </w:rPr>
            </w:pPr>
            <w:r w:rsidRPr="00A453BC">
              <w:rPr>
                <w:b/>
              </w:rPr>
              <w:t>Utility values in ACQ-7 health states (base case: EQ-5D-3L; optimal control 0.96, acceptable: 0.93, uncontrolled 0.76)</w:t>
            </w:r>
          </w:p>
        </w:tc>
      </w:tr>
      <w:tr w:rsidR="001B6A88" w:rsidRPr="004E2ADC" w:rsidTr="00DD1FD5">
        <w:tc>
          <w:tcPr>
            <w:tcW w:w="4678" w:type="dxa"/>
            <w:tcBorders>
              <w:top w:val="single" w:sz="4" w:space="0" w:color="auto"/>
              <w:left w:val="single" w:sz="4" w:space="0" w:color="auto"/>
              <w:bottom w:val="single" w:sz="4" w:space="0" w:color="auto"/>
              <w:right w:val="single" w:sz="4" w:space="0" w:color="auto"/>
            </w:tcBorders>
            <w:vAlign w:val="bottom"/>
          </w:tcPr>
          <w:p w:rsidR="00750B3B" w:rsidRPr="003441A3" w:rsidRDefault="00750B3B" w:rsidP="00E61788">
            <w:pPr>
              <w:pStyle w:val="Tabletext"/>
              <w:ind w:firstLine="256"/>
            </w:pPr>
            <w:proofErr w:type="spellStart"/>
            <w:r w:rsidRPr="003441A3">
              <w:t>Gordois</w:t>
            </w:r>
            <w:proofErr w:type="spellEnd"/>
            <w:r w:rsidR="00D21554" w:rsidRPr="003441A3">
              <w:t xml:space="preserve"> et al.</w:t>
            </w:r>
            <w:r w:rsidRPr="003441A3">
              <w:t xml:space="preserve"> (2007) </w:t>
            </w:r>
            <w:proofErr w:type="spellStart"/>
            <w:r w:rsidRPr="003441A3">
              <w:t>AQoL</w:t>
            </w:r>
            <w:proofErr w:type="spellEnd"/>
            <w:r w:rsidR="001B6A88" w:rsidRPr="003441A3">
              <w:t xml:space="preserve"> (0.86, 0.84, 0.71)</w:t>
            </w:r>
          </w:p>
        </w:tc>
        <w:tc>
          <w:tcPr>
            <w:tcW w:w="1222" w:type="dxa"/>
            <w:tcBorders>
              <w:top w:val="single" w:sz="4" w:space="0" w:color="auto"/>
              <w:left w:val="single" w:sz="4" w:space="0" w:color="auto"/>
              <w:bottom w:val="single" w:sz="4" w:space="0" w:color="auto"/>
              <w:right w:val="single" w:sz="4" w:space="0" w:color="auto"/>
            </w:tcBorders>
            <w:vAlign w:val="center"/>
          </w:tcPr>
          <w:p w:rsidR="00750B3B" w:rsidRPr="006A0483" w:rsidRDefault="00750B3B" w:rsidP="00E61788">
            <w:pPr>
              <w:pStyle w:val="Tabletext"/>
              <w:jc w:val="right"/>
            </w:pPr>
            <w:r w:rsidRPr="006A0483">
              <w:t>$</w:t>
            </w:r>
            <w:r w:rsidR="00504B1C">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center"/>
          </w:tcPr>
          <w:p w:rsidR="00750B3B" w:rsidRPr="00504B1C" w:rsidRDefault="00504B1C" w:rsidP="00E61788">
            <w:pPr>
              <w:pStyle w:val="Tabletext"/>
              <w:jc w:val="center"/>
              <w:rPr>
                <w:highlight w:val="black"/>
              </w:rPr>
            </w:pPr>
            <w:r>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center"/>
          </w:tcPr>
          <w:p w:rsidR="00750B3B" w:rsidRPr="006A0483" w:rsidRDefault="00750B3B" w:rsidP="00E61788">
            <w:pPr>
              <w:pStyle w:val="Tabletext"/>
              <w:jc w:val="right"/>
            </w:pPr>
            <w:r w:rsidRPr="006A0483">
              <w:t>$</w:t>
            </w:r>
            <w:r w:rsidR="00504B1C">
              <w:rPr>
                <w:noProof/>
                <w:color w:val="000000"/>
                <w:highlight w:val="black"/>
              </w:rPr>
              <w:t>''''''''''''''''</w:t>
            </w:r>
          </w:p>
        </w:tc>
      </w:tr>
      <w:tr w:rsidR="001B6A88" w:rsidRPr="004E2ADC" w:rsidTr="00DD1FD5">
        <w:tc>
          <w:tcPr>
            <w:tcW w:w="4678" w:type="dxa"/>
            <w:tcBorders>
              <w:top w:val="single" w:sz="4" w:space="0" w:color="auto"/>
              <w:left w:val="single" w:sz="4" w:space="0" w:color="auto"/>
              <w:bottom w:val="single" w:sz="4" w:space="0" w:color="auto"/>
              <w:right w:val="single" w:sz="4" w:space="0" w:color="auto"/>
            </w:tcBorders>
            <w:vAlign w:val="bottom"/>
          </w:tcPr>
          <w:p w:rsidR="00750B3B" w:rsidRPr="003441A3" w:rsidRDefault="00750B3B" w:rsidP="00E61788">
            <w:pPr>
              <w:pStyle w:val="Tabletext"/>
              <w:ind w:firstLine="256"/>
            </w:pPr>
            <w:proofErr w:type="spellStart"/>
            <w:r w:rsidRPr="003441A3">
              <w:t>McTaggart</w:t>
            </w:r>
            <w:proofErr w:type="spellEnd"/>
            <w:r w:rsidRPr="003441A3">
              <w:t>-Cowan</w:t>
            </w:r>
            <w:r w:rsidR="00D21554" w:rsidRPr="003441A3">
              <w:t xml:space="preserve"> et al.</w:t>
            </w:r>
            <w:r w:rsidRPr="003441A3">
              <w:t xml:space="preserve"> (2008)</w:t>
            </w:r>
            <w:r w:rsidR="001B6A88" w:rsidRPr="003441A3">
              <w:t xml:space="preserve"> EQ-5D-3L (0.84, 0.81, 0.80)</w:t>
            </w:r>
          </w:p>
        </w:tc>
        <w:tc>
          <w:tcPr>
            <w:tcW w:w="1222" w:type="dxa"/>
            <w:tcBorders>
              <w:top w:val="single" w:sz="4" w:space="0" w:color="auto"/>
              <w:left w:val="single" w:sz="4" w:space="0" w:color="auto"/>
              <w:bottom w:val="single" w:sz="4" w:space="0" w:color="auto"/>
              <w:right w:val="single" w:sz="4" w:space="0" w:color="auto"/>
            </w:tcBorders>
            <w:vAlign w:val="center"/>
          </w:tcPr>
          <w:p w:rsidR="00750B3B" w:rsidRPr="006A0483" w:rsidRDefault="00750B3B" w:rsidP="00E61788">
            <w:pPr>
              <w:pStyle w:val="Tabletext"/>
              <w:jc w:val="right"/>
            </w:pPr>
            <w:r w:rsidRPr="006A0483">
              <w:t>$</w:t>
            </w:r>
            <w:r w:rsidR="00504B1C">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center"/>
          </w:tcPr>
          <w:p w:rsidR="00750B3B" w:rsidRPr="00504B1C" w:rsidRDefault="00504B1C" w:rsidP="00E61788">
            <w:pPr>
              <w:pStyle w:val="Tabletext"/>
              <w:jc w:val="center"/>
              <w:rPr>
                <w:highlight w:val="black"/>
              </w:rPr>
            </w:pPr>
            <w:r>
              <w:rPr>
                <w:noProof/>
                <w:color w:val="000000"/>
                <w:highlight w:val="black"/>
              </w:rPr>
              <w:t>''''''''''</w:t>
            </w:r>
          </w:p>
        </w:tc>
        <w:tc>
          <w:tcPr>
            <w:tcW w:w="1223" w:type="dxa"/>
            <w:tcBorders>
              <w:top w:val="single" w:sz="4" w:space="0" w:color="auto"/>
              <w:left w:val="single" w:sz="4" w:space="0" w:color="auto"/>
              <w:bottom w:val="single" w:sz="4" w:space="0" w:color="auto"/>
              <w:right w:val="single" w:sz="4" w:space="0" w:color="auto"/>
            </w:tcBorders>
            <w:vAlign w:val="center"/>
          </w:tcPr>
          <w:p w:rsidR="00750B3B" w:rsidRPr="006A0483" w:rsidRDefault="00750B3B" w:rsidP="00E61788">
            <w:pPr>
              <w:pStyle w:val="Tabletext"/>
              <w:jc w:val="right"/>
            </w:pPr>
            <w:r w:rsidRPr="006A0483">
              <w:t>$</w:t>
            </w:r>
            <w:r w:rsidR="00504B1C">
              <w:rPr>
                <w:noProof/>
                <w:color w:val="000000"/>
                <w:highlight w:val="black"/>
              </w:rPr>
              <w:t>'''''''''''''''''''''</w:t>
            </w:r>
          </w:p>
        </w:tc>
      </w:tr>
    </w:tbl>
    <w:p w:rsidR="001B6A88" w:rsidRDefault="00750B3B" w:rsidP="00E61788">
      <w:pPr>
        <w:pStyle w:val="TableFooter"/>
        <w:widowControl/>
        <w:ind w:firstLine="720"/>
      </w:pPr>
      <w:r w:rsidRPr="00D13A3E">
        <w:t>Source: Table</w:t>
      </w:r>
      <w:r>
        <w:t xml:space="preserve"> D.6-1</w:t>
      </w:r>
      <w:r w:rsidR="00610C30">
        <w:t>,</w:t>
      </w:r>
      <w:r>
        <w:t xml:space="preserve"> </w:t>
      </w:r>
      <w:r w:rsidRPr="00D13A3E">
        <w:t>p</w:t>
      </w:r>
      <w:r>
        <w:t xml:space="preserve">246 </w:t>
      </w:r>
      <w:r w:rsidRPr="00D13A3E">
        <w:t>of the submission</w:t>
      </w:r>
    </w:p>
    <w:p w:rsidR="00750B3B" w:rsidRPr="00D13A3E" w:rsidRDefault="00044E88" w:rsidP="00E61788">
      <w:pPr>
        <w:pStyle w:val="TableFooter"/>
        <w:widowControl/>
        <w:ind w:left="709"/>
      </w:pPr>
      <w:r>
        <w:t>QALY = quality-</w:t>
      </w:r>
      <w:r w:rsidR="001B6A88">
        <w:t>adjusted life year; ICER = incremental cost effectiven</w:t>
      </w:r>
      <w:r w:rsidR="00610C30">
        <w:t xml:space="preserve">ess ratio; EQ-5D-3L = </w:t>
      </w:r>
      <w:proofErr w:type="spellStart"/>
      <w:r w:rsidR="00610C30">
        <w:t>EuroQoL</w:t>
      </w:r>
      <w:proofErr w:type="spellEnd"/>
      <w:r w:rsidR="00610C30">
        <w:t xml:space="preserve"> 5-dimensions 3-</w:t>
      </w:r>
      <w:r w:rsidR="001B6A88">
        <w:t>level</w:t>
      </w:r>
      <w:r w:rsidR="00610C30">
        <w:t>s</w:t>
      </w:r>
      <w:r w:rsidR="001B6A88">
        <w:t xml:space="preserve">; </w:t>
      </w:r>
      <w:proofErr w:type="spellStart"/>
      <w:r w:rsidR="00DD1FD5" w:rsidRPr="00DD1FD5">
        <w:t>AQoL</w:t>
      </w:r>
      <w:proofErr w:type="spellEnd"/>
      <w:r w:rsidR="00DD1FD5" w:rsidRPr="00DD1FD5">
        <w:t xml:space="preserve"> = </w:t>
      </w:r>
      <w:r w:rsidR="00652B23">
        <w:t>assessment of quality of life instrument</w:t>
      </w:r>
      <w:r w:rsidR="001B6A88">
        <w:t xml:space="preserve">; </w:t>
      </w:r>
      <w:r w:rsidR="00DD1FD5" w:rsidRPr="00932121">
        <w:t>ACQ</w:t>
      </w:r>
      <w:r w:rsidR="00D21554">
        <w:t>-</w:t>
      </w:r>
      <w:r w:rsidR="0057271F">
        <w:t>6</w:t>
      </w:r>
      <w:r w:rsidR="00DD1FD5">
        <w:t xml:space="preserve"> = </w:t>
      </w:r>
      <w:r w:rsidR="00DD1FD5" w:rsidRPr="00932121">
        <w:t>asthma control questionnaire</w:t>
      </w:r>
      <w:r w:rsidR="00D21554">
        <w:t xml:space="preserve"> (</w:t>
      </w:r>
      <w:r w:rsidR="0057271F">
        <w:t>6</w:t>
      </w:r>
      <w:r>
        <w:t>-item version)</w:t>
      </w:r>
    </w:p>
    <w:p w:rsidR="00BD166F" w:rsidRPr="00750B3B" w:rsidRDefault="00BD166F" w:rsidP="00E61788">
      <w:pPr>
        <w:pStyle w:val="ListParagraph"/>
        <w:widowControl/>
        <w:rPr>
          <w:i/>
        </w:rPr>
      </w:pPr>
    </w:p>
    <w:p w:rsidR="00750B3B" w:rsidRPr="004C30D4" w:rsidRDefault="00750B3B" w:rsidP="00E61788">
      <w:pPr>
        <w:pStyle w:val="ListParagraph"/>
        <w:widowControl/>
        <w:numPr>
          <w:ilvl w:val="1"/>
          <w:numId w:val="9"/>
        </w:numPr>
        <w:rPr>
          <w:szCs w:val="22"/>
        </w:rPr>
      </w:pPr>
      <w:r w:rsidRPr="00247556">
        <w:t>The univariate and multivariate deterministic sensitivity analyses conducted by the submission resulted in an ICER range from $</w:t>
      </w:r>
      <w:r w:rsidR="00014E82">
        <w:t>15,000 - $45,000/QALY</w:t>
      </w:r>
      <w:r w:rsidRPr="00247556">
        <w:t xml:space="preserve"> to $</w:t>
      </w:r>
      <w:r w:rsidR="00014E82">
        <w:t>45,000 - $75,000/QALY</w:t>
      </w:r>
      <w:r w:rsidRPr="00247556">
        <w:t xml:space="preserve"> gained. </w:t>
      </w:r>
      <w:r w:rsidRPr="003441A3">
        <w:t>Analyses performed during evaluation, resulted in higher and lower ICERs ($</w:t>
      </w:r>
      <w:r w:rsidR="00014E82">
        <w:t>15,000</w:t>
      </w:r>
      <w:r w:rsidR="00016A68">
        <w:t xml:space="preserve"> - $45,000/QALY</w:t>
      </w:r>
      <w:r w:rsidRPr="003441A3">
        <w:t xml:space="preserve"> to $</w:t>
      </w:r>
      <w:r w:rsidR="00016A68">
        <w:t>1</w:t>
      </w:r>
      <w:r w:rsidR="00014E82">
        <w:t>00,000</w:t>
      </w:r>
      <w:r w:rsidR="00016A68">
        <w:t xml:space="preserve"> - $200,000</w:t>
      </w:r>
      <w:r w:rsidRPr="003441A3">
        <w:t>/QALY gained), with the key drivers being; utility values, time horizon, and level of compliance.</w:t>
      </w:r>
      <w:r w:rsidR="001B6A88" w:rsidRPr="003441A3">
        <w:t xml:space="preserve"> Various structural concerns with the economic model could not be tested during evaluation.</w:t>
      </w:r>
    </w:p>
    <w:p w:rsidR="004C30D4" w:rsidRPr="004C30D4" w:rsidRDefault="004C30D4" w:rsidP="00E61788">
      <w:pPr>
        <w:pStyle w:val="ListParagraph"/>
        <w:widowControl/>
        <w:rPr>
          <w:szCs w:val="22"/>
        </w:rPr>
      </w:pPr>
    </w:p>
    <w:p w:rsidR="004C30D4" w:rsidRDefault="00395233" w:rsidP="00E61788">
      <w:pPr>
        <w:pStyle w:val="ListParagraph"/>
        <w:widowControl/>
        <w:numPr>
          <w:ilvl w:val="1"/>
          <w:numId w:val="9"/>
        </w:numPr>
      </w:pPr>
      <w:r w:rsidRPr="00872E6F">
        <w:t>The model implied</w:t>
      </w:r>
      <w:r w:rsidR="004C30D4" w:rsidRPr="00872E6F">
        <w:t xml:space="preserve"> that severe exacerbations last for two weeks.</w:t>
      </w:r>
      <w:r w:rsidRPr="00872E6F">
        <w:t xml:space="preserve"> A crude sensitivity analysis, </w:t>
      </w:r>
      <w:r w:rsidR="004C30D4" w:rsidRPr="00872E6F">
        <w:t>applying the utility weight for uncontrolled asthma plus half of the difference between the exacerbation and uncontrolled state utility weights, increase</w:t>
      </w:r>
      <w:r w:rsidRPr="00872E6F">
        <w:t>d</w:t>
      </w:r>
      <w:r w:rsidR="004C30D4" w:rsidRPr="00872E6F">
        <w:t xml:space="preserve"> the IC</w:t>
      </w:r>
      <w:r w:rsidR="00E60080" w:rsidRPr="00872E6F">
        <w:t>ER to $</w:t>
      </w:r>
      <w:r w:rsidR="00014E82">
        <w:t>45,000 - $75,000/QALY</w:t>
      </w:r>
      <w:r w:rsidRPr="00872E6F">
        <w:t>.</w:t>
      </w:r>
    </w:p>
    <w:p w:rsidR="00047309" w:rsidRDefault="00047309" w:rsidP="00047309">
      <w:pPr>
        <w:pStyle w:val="ListParagraph"/>
      </w:pPr>
    </w:p>
    <w:p w:rsidR="00047309" w:rsidRDefault="00047309" w:rsidP="00047309">
      <w:pPr>
        <w:widowControl/>
        <w:ind w:firstLine="709"/>
      </w:pPr>
      <w:r w:rsidRPr="00D35F2F">
        <w:rPr>
          <w:i/>
          <w:szCs w:val="22"/>
        </w:rPr>
        <w:t>For more detail on PBAC’s view, see section 7 “PBAC outcome”</w:t>
      </w:r>
    </w:p>
    <w:p w:rsidR="00C25D9C" w:rsidRPr="00247556" w:rsidRDefault="00C25D9C" w:rsidP="00E61788">
      <w:pPr>
        <w:widowControl/>
        <w:rPr>
          <w:szCs w:val="22"/>
        </w:rPr>
      </w:pPr>
    </w:p>
    <w:p w:rsidR="00C25D9C" w:rsidRPr="00247556" w:rsidRDefault="00C25D9C" w:rsidP="00E61788">
      <w:pPr>
        <w:pStyle w:val="Heading2"/>
        <w:widowControl/>
        <w:rPr>
          <w:i/>
          <w:szCs w:val="22"/>
        </w:rPr>
      </w:pPr>
      <w:bookmarkStart w:id="17" w:name="_Toc419799914"/>
      <w:r w:rsidRPr="00247556">
        <w:rPr>
          <w:i/>
        </w:rPr>
        <w:t>Drug cost/patient</w:t>
      </w:r>
      <w:bookmarkEnd w:id="17"/>
      <w:r w:rsidR="00BE1374">
        <w:rPr>
          <w:i/>
        </w:rPr>
        <w:t>/year</w:t>
      </w:r>
    </w:p>
    <w:p w:rsidR="00C25D9C" w:rsidRPr="00247556" w:rsidRDefault="00C25D9C" w:rsidP="00E61788">
      <w:pPr>
        <w:widowControl/>
        <w:rPr>
          <w:szCs w:val="22"/>
        </w:rPr>
      </w:pPr>
    </w:p>
    <w:p w:rsidR="00247556" w:rsidRPr="00247556" w:rsidRDefault="00247556" w:rsidP="00E61788">
      <w:pPr>
        <w:pStyle w:val="ListParagraph"/>
        <w:widowControl/>
        <w:numPr>
          <w:ilvl w:val="1"/>
          <w:numId w:val="9"/>
        </w:numPr>
        <w:rPr>
          <w:szCs w:val="22"/>
        </w:rPr>
      </w:pPr>
      <w:r w:rsidRPr="00247556">
        <w:rPr>
          <w:szCs w:val="22"/>
        </w:rPr>
        <w:t>Estimated $</w:t>
      </w:r>
      <w:r w:rsidR="00504B1C">
        <w:rPr>
          <w:noProof/>
          <w:color w:val="000000"/>
          <w:szCs w:val="22"/>
          <w:highlight w:val="black"/>
        </w:rPr>
        <w:t>'''''''''</w:t>
      </w:r>
      <w:r w:rsidRPr="00247556">
        <w:rPr>
          <w:szCs w:val="22"/>
        </w:rPr>
        <w:t xml:space="preserve"> per year continuing for the lifetime of</w:t>
      </w:r>
      <w:r w:rsidR="00C13EB9">
        <w:rPr>
          <w:szCs w:val="22"/>
        </w:rPr>
        <w:t xml:space="preserve"> the patient; assumed usage of two</w:t>
      </w:r>
      <w:r w:rsidRPr="00247556">
        <w:rPr>
          <w:szCs w:val="22"/>
        </w:rPr>
        <w:t xml:space="preserve"> puffs once daily and a compliance rate of </w:t>
      </w:r>
      <w:r w:rsidR="00504B1C">
        <w:rPr>
          <w:noProof/>
          <w:color w:val="000000"/>
          <w:szCs w:val="22"/>
          <w:highlight w:val="black"/>
        </w:rPr>
        <w:t>'''''''''''''''</w:t>
      </w:r>
      <w:r w:rsidRPr="00247556">
        <w:rPr>
          <w:szCs w:val="22"/>
        </w:rPr>
        <w:t>%.</w:t>
      </w:r>
    </w:p>
    <w:p w:rsidR="00B60939" w:rsidRDefault="00B60939" w:rsidP="00E61788">
      <w:pPr>
        <w:pStyle w:val="ListParagraph"/>
        <w:widowControl/>
        <w:rPr>
          <w:color w:val="3366FF"/>
          <w:szCs w:val="22"/>
        </w:rPr>
      </w:pPr>
    </w:p>
    <w:p w:rsidR="00B60939" w:rsidRPr="002C2775" w:rsidRDefault="00B60939" w:rsidP="00E61788">
      <w:pPr>
        <w:pStyle w:val="Heading2"/>
        <w:widowControl/>
        <w:rPr>
          <w:i/>
        </w:rPr>
      </w:pPr>
      <w:bookmarkStart w:id="18" w:name="_Toc419799915"/>
      <w:r w:rsidRPr="002C2775">
        <w:rPr>
          <w:i/>
        </w:rPr>
        <w:t>Estimated PBS usage &amp; financial implications</w:t>
      </w:r>
      <w:bookmarkEnd w:id="18"/>
    </w:p>
    <w:p w:rsidR="00B60939" w:rsidRPr="00882085" w:rsidRDefault="00B60939" w:rsidP="00E61788">
      <w:pPr>
        <w:widowControl/>
        <w:ind w:left="720" w:hanging="720"/>
        <w:rPr>
          <w:b/>
          <w:i/>
          <w:szCs w:val="22"/>
        </w:rPr>
      </w:pPr>
    </w:p>
    <w:p w:rsidR="00732BF1" w:rsidRPr="000B68A8" w:rsidRDefault="000B68A8" w:rsidP="00E61788">
      <w:pPr>
        <w:pStyle w:val="ListParagraph"/>
        <w:widowControl/>
        <w:numPr>
          <w:ilvl w:val="1"/>
          <w:numId w:val="9"/>
        </w:numPr>
        <w:rPr>
          <w:szCs w:val="22"/>
        </w:rPr>
      </w:pPr>
      <w:r w:rsidRPr="000B68A8">
        <w:rPr>
          <w:bCs/>
          <w:szCs w:val="22"/>
        </w:rPr>
        <w:t>The submission was considered by DUSC</w:t>
      </w:r>
      <w:r>
        <w:rPr>
          <w:bCs/>
          <w:szCs w:val="22"/>
        </w:rPr>
        <w:t>.</w:t>
      </w:r>
    </w:p>
    <w:p w:rsidR="00EA1BFB" w:rsidRPr="00DC7DA9" w:rsidRDefault="00EA1BFB" w:rsidP="00EA1BFB">
      <w:pPr>
        <w:pStyle w:val="ListParagraph"/>
        <w:widowControl/>
        <w:rPr>
          <w:szCs w:val="22"/>
          <w:highlight w:val="yellow"/>
        </w:rPr>
      </w:pPr>
    </w:p>
    <w:p w:rsidR="00EA1BFB" w:rsidRPr="00933F76" w:rsidRDefault="00EA1BFB" w:rsidP="00EA1BFB">
      <w:pPr>
        <w:pStyle w:val="ListParagraph"/>
        <w:widowControl/>
        <w:numPr>
          <w:ilvl w:val="1"/>
          <w:numId w:val="9"/>
        </w:numPr>
        <w:rPr>
          <w:szCs w:val="22"/>
        </w:rPr>
      </w:pPr>
      <w:r w:rsidRPr="00933F76">
        <w:t xml:space="preserve">The submission took an epidemiological approach to forecast the uptake of </w:t>
      </w:r>
      <w:proofErr w:type="spellStart"/>
      <w:r w:rsidRPr="00933F76">
        <w:t>tiotropium</w:t>
      </w:r>
      <w:proofErr w:type="spellEnd"/>
      <w:r w:rsidRPr="00933F76">
        <w:t xml:space="preserve"> over a five year period using data from, the Australian Bureau of Statistics, the Australian Health Survey 2011-2012 and a review of the literature. The financial </w:t>
      </w:r>
      <w:r w:rsidRPr="00933F76">
        <w:lastRenderedPageBreak/>
        <w:t xml:space="preserve">estimates were based on </w:t>
      </w:r>
      <w:proofErr w:type="spellStart"/>
      <w:r w:rsidRPr="00933F76">
        <w:t>tiotropium</w:t>
      </w:r>
      <w:proofErr w:type="spellEnd"/>
      <w:r w:rsidRPr="00933F76">
        <w:t xml:space="preserve"> being used in adult patients with severe uncontrolled asthma and who were compliant with their prescribed medication. </w:t>
      </w:r>
    </w:p>
    <w:p w:rsidR="00EA1BFB" w:rsidRPr="00933F76" w:rsidRDefault="00EA1BFB" w:rsidP="00EA1BFB">
      <w:pPr>
        <w:pStyle w:val="ListParagraph"/>
        <w:widowControl/>
        <w:rPr>
          <w:szCs w:val="22"/>
        </w:rPr>
      </w:pPr>
    </w:p>
    <w:p w:rsidR="00EA1BFB" w:rsidRPr="00933F76" w:rsidRDefault="00513C75" w:rsidP="00EA1BFB">
      <w:pPr>
        <w:keepNext/>
        <w:ind w:firstLine="709"/>
        <w:rPr>
          <w:rStyle w:val="CommentReference"/>
        </w:rPr>
      </w:pPr>
      <w:r>
        <w:rPr>
          <w:rStyle w:val="CommentReference"/>
        </w:rPr>
        <w:t>Table 12</w:t>
      </w:r>
      <w:r w:rsidR="00EA1BFB" w:rsidRPr="00933F76">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4"/>
        <w:gridCol w:w="1275"/>
        <w:gridCol w:w="1275"/>
        <w:gridCol w:w="1260"/>
      </w:tblGrid>
      <w:tr w:rsidR="00EA1BFB" w:rsidRPr="00933F76" w:rsidTr="00297F38">
        <w:trPr>
          <w:tblHeader/>
        </w:trPr>
        <w:tc>
          <w:tcPr>
            <w:tcW w:w="1359" w:type="pct"/>
            <w:shd w:val="clear" w:color="auto" w:fill="auto"/>
            <w:vAlign w:val="center"/>
          </w:tcPr>
          <w:p w:rsidR="00EA1BFB" w:rsidRPr="00933F76" w:rsidRDefault="00EA1BFB" w:rsidP="00297F38">
            <w:pPr>
              <w:keepNext/>
              <w:tabs>
                <w:tab w:val="left" w:pos="142"/>
              </w:tabs>
              <w:jc w:val="left"/>
              <w:rPr>
                <w:rFonts w:ascii="Arial Narrow" w:hAnsi="Arial Narrow"/>
                <w:b/>
                <w:sz w:val="20"/>
              </w:rPr>
            </w:pPr>
          </w:p>
        </w:tc>
        <w:tc>
          <w:tcPr>
            <w:tcW w:w="679" w:type="pct"/>
            <w:shd w:val="clear" w:color="auto" w:fill="auto"/>
            <w:vAlign w:val="center"/>
          </w:tcPr>
          <w:p w:rsidR="00EA1BFB" w:rsidRPr="00933F76" w:rsidRDefault="00EA1BFB" w:rsidP="00297F38">
            <w:pPr>
              <w:keepNext/>
              <w:jc w:val="center"/>
              <w:rPr>
                <w:rFonts w:ascii="Arial Narrow" w:hAnsi="Arial Narrow"/>
                <w:b/>
                <w:sz w:val="20"/>
              </w:rPr>
            </w:pPr>
            <w:r w:rsidRPr="00933F76">
              <w:rPr>
                <w:rFonts w:ascii="Arial Narrow" w:hAnsi="Arial Narrow"/>
                <w:b/>
                <w:sz w:val="20"/>
              </w:rPr>
              <w:t>Year 1</w:t>
            </w:r>
          </w:p>
        </w:tc>
        <w:tc>
          <w:tcPr>
            <w:tcW w:w="679" w:type="pct"/>
            <w:shd w:val="clear" w:color="auto" w:fill="auto"/>
            <w:vAlign w:val="center"/>
          </w:tcPr>
          <w:p w:rsidR="00EA1BFB" w:rsidRPr="00933F76" w:rsidRDefault="00EA1BFB" w:rsidP="00297F38">
            <w:pPr>
              <w:keepNext/>
              <w:jc w:val="center"/>
              <w:rPr>
                <w:rFonts w:ascii="Arial Narrow" w:hAnsi="Arial Narrow"/>
                <w:b/>
                <w:sz w:val="20"/>
              </w:rPr>
            </w:pPr>
            <w:r w:rsidRPr="00933F76">
              <w:rPr>
                <w:rFonts w:ascii="Arial Narrow" w:hAnsi="Arial Narrow"/>
                <w:b/>
                <w:sz w:val="20"/>
              </w:rPr>
              <w:t>Year 2</w:t>
            </w:r>
          </w:p>
        </w:tc>
        <w:tc>
          <w:tcPr>
            <w:tcW w:w="764" w:type="pct"/>
            <w:shd w:val="clear" w:color="auto" w:fill="auto"/>
            <w:vAlign w:val="center"/>
          </w:tcPr>
          <w:p w:rsidR="00EA1BFB" w:rsidRPr="00933F76" w:rsidRDefault="00EA1BFB" w:rsidP="00297F38">
            <w:pPr>
              <w:keepNext/>
              <w:jc w:val="center"/>
              <w:rPr>
                <w:rFonts w:ascii="Arial Narrow" w:hAnsi="Arial Narrow"/>
                <w:b/>
                <w:sz w:val="20"/>
              </w:rPr>
            </w:pPr>
            <w:r w:rsidRPr="00933F76">
              <w:rPr>
                <w:rFonts w:ascii="Arial Narrow" w:hAnsi="Arial Narrow"/>
                <w:b/>
                <w:sz w:val="20"/>
              </w:rPr>
              <w:t>Year 3</w:t>
            </w:r>
          </w:p>
        </w:tc>
        <w:tc>
          <w:tcPr>
            <w:tcW w:w="764" w:type="pct"/>
            <w:shd w:val="clear" w:color="auto" w:fill="auto"/>
            <w:vAlign w:val="center"/>
          </w:tcPr>
          <w:p w:rsidR="00EA1BFB" w:rsidRPr="00933F76" w:rsidRDefault="00EA1BFB" w:rsidP="00297F38">
            <w:pPr>
              <w:keepNext/>
              <w:jc w:val="center"/>
              <w:rPr>
                <w:rFonts w:ascii="Arial Narrow" w:hAnsi="Arial Narrow"/>
                <w:b/>
                <w:sz w:val="20"/>
              </w:rPr>
            </w:pPr>
            <w:r w:rsidRPr="00933F76">
              <w:rPr>
                <w:rFonts w:ascii="Arial Narrow" w:hAnsi="Arial Narrow"/>
                <w:b/>
                <w:sz w:val="20"/>
              </w:rPr>
              <w:t>Year 4</w:t>
            </w:r>
          </w:p>
        </w:tc>
        <w:tc>
          <w:tcPr>
            <w:tcW w:w="755" w:type="pct"/>
            <w:shd w:val="clear" w:color="auto" w:fill="auto"/>
            <w:vAlign w:val="center"/>
          </w:tcPr>
          <w:p w:rsidR="00EA1BFB" w:rsidRPr="00933F76" w:rsidRDefault="00EA1BFB" w:rsidP="00297F38">
            <w:pPr>
              <w:keepNext/>
              <w:jc w:val="center"/>
              <w:rPr>
                <w:rFonts w:ascii="Arial Narrow" w:hAnsi="Arial Narrow"/>
                <w:b/>
                <w:sz w:val="20"/>
              </w:rPr>
            </w:pPr>
            <w:r w:rsidRPr="00933F76">
              <w:rPr>
                <w:rFonts w:ascii="Arial Narrow" w:hAnsi="Arial Narrow"/>
                <w:b/>
                <w:sz w:val="20"/>
              </w:rPr>
              <w:t>Year 5</w:t>
            </w:r>
          </w:p>
        </w:tc>
      </w:tr>
      <w:tr w:rsidR="00EA1BFB" w:rsidRPr="00933F76" w:rsidTr="00297F38">
        <w:tc>
          <w:tcPr>
            <w:tcW w:w="5000" w:type="pct"/>
            <w:gridSpan w:val="6"/>
            <w:shd w:val="clear" w:color="auto" w:fill="auto"/>
            <w:vAlign w:val="center"/>
          </w:tcPr>
          <w:p w:rsidR="00EA1BFB" w:rsidRPr="00933F76" w:rsidRDefault="00EA1BFB" w:rsidP="00297F38">
            <w:pPr>
              <w:keepNext/>
              <w:jc w:val="left"/>
              <w:rPr>
                <w:rFonts w:ascii="Arial Narrow" w:hAnsi="Arial Narrow"/>
                <w:b/>
                <w:bCs/>
                <w:color w:val="000000"/>
                <w:sz w:val="20"/>
              </w:rPr>
            </w:pPr>
            <w:r w:rsidRPr="00933F76">
              <w:rPr>
                <w:rFonts w:ascii="Arial Narrow" w:hAnsi="Arial Narrow"/>
                <w:b/>
                <w:bCs/>
                <w:color w:val="000000"/>
                <w:sz w:val="20"/>
              </w:rPr>
              <w:t>Estimated extent of use</w:t>
            </w:r>
          </w:p>
        </w:tc>
      </w:tr>
      <w:tr w:rsidR="00EA1BFB" w:rsidRPr="00933F76" w:rsidTr="00297F38">
        <w:tc>
          <w:tcPr>
            <w:tcW w:w="1359" w:type="pct"/>
            <w:shd w:val="clear" w:color="auto" w:fill="auto"/>
            <w:vAlign w:val="center"/>
          </w:tcPr>
          <w:p w:rsidR="00EA1BFB" w:rsidRPr="00933F76" w:rsidRDefault="00EA1BFB" w:rsidP="00297F38">
            <w:pPr>
              <w:keepNext/>
              <w:tabs>
                <w:tab w:val="left" w:pos="142"/>
              </w:tabs>
              <w:jc w:val="left"/>
              <w:rPr>
                <w:rFonts w:ascii="Arial Narrow" w:hAnsi="Arial Narrow"/>
                <w:sz w:val="20"/>
              </w:rPr>
            </w:pPr>
            <w:r w:rsidRPr="00933F76">
              <w:rPr>
                <w:rFonts w:ascii="Arial Narrow" w:hAnsi="Arial Narrow"/>
                <w:sz w:val="20"/>
              </w:rPr>
              <w:t>Number treated</w:t>
            </w:r>
          </w:p>
        </w:tc>
        <w:tc>
          <w:tcPr>
            <w:tcW w:w="679" w:type="pct"/>
            <w:shd w:val="clear" w:color="auto" w:fill="auto"/>
            <w:vAlign w:val="center"/>
          </w:tcPr>
          <w:p w:rsidR="00EA1BFB" w:rsidRPr="00504B1C" w:rsidRDefault="00504B1C" w:rsidP="00297F38">
            <w:pPr>
              <w:pStyle w:val="Tabletext"/>
              <w:keepNext/>
              <w:jc w:val="center"/>
              <w:rPr>
                <w:highlight w:val="black"/>
              </w:rPr>
            </w:pPr>
            <w:r>
              <w:rPr>
                <w:noProof/>
                <w:color w:val="000000"/>
                <w:highlight w:val="black"/>
              </w:rPr>
              <w:t>''''''''''''''''</w:t>
            </w:r>
          </w:p>
        </w:tc>
        <w:tc>
          <w:tcPr>
            <w:tcW w:w="679" w:type="pct"/>
            <w:shd w:val="clear" w:color="auto" w:fill="auto"/>
            <w:vAlign w:val="center"/>
          </w:tcPr>
          <w:p w:rsidR="00EA1BFB" w:rsidRPr="00504B1C" w:rsidRDefault="00504B1C" w:rsidP="00297F38">
            <w:pPr>
              <w:pStyle w:val="Tabletext"/>
              <w:keepNext/>
              <w:jc w:val="center"/>
              <w:rPr>
                <w:highlight w:val="black"/>
              </w:rPr>
            </w:pPr>
            <w:r>
              <w:rPr>
                <w:noProof/>
                <w:color w:val="000000"/>
                <w:highlight w:val="black"/>
              </w:rPr>
              <w:t>'''''''''''''''''</w:t>
            </w:r>
          </w:p>
        </w:tc>
        <w:tc>
          <w:tcPr>
            <w:tcW w:w="764" w:type="pct"/>
            <w:shd w:val="clear" w:color="auto" w:fill="auto"/>
            <w:vAlign w:val="center"/>
          </w:tcPr>
          <w:p w:rsidR="00EA1BFB" w:rsidRPr="00504B1C" w:rsidRDefault="00504B1C" w:rsidP="00297F38">
            <w:pPr>
              <w:pStyle w:val="Tabletext"/>
              <w:keepNext/>
              <w:jc w:val="center"/>
              <w:rPr>
                <w:highlight w:val="black"/>
              </w:rPr>
            </w:pPr>
            <w:r>
              <w:rPr>
                <w:noProof/>
                <w:color w:val="000000"/>
                <w:highlight w:val="black"/>
              </w:rPr>
              <w:t>'''''''''''''''</w:t>
            </w:r>
          </w:p>
        </w:tc>
        <w:tc>
          <w:tcPr>
            <w:tcW w:w="764" w:type="pct"/>
            <w:shd w:val="clear" w:color="auto" w:fill="auto"/>
            <w:vAlign w:val="center"/>
          </w:tcPr>
          <w:p w:rsidR="00EA1BFB" w:rsidRPr="00504B1C" w:rsidRDefault="00504B1C" w:rsidP="00297F38">
            <w:pPr>
              <w:pStyle w:val="Tabletext"/>
              <w:keepNext/>
              <w:jc w:val="center"/>
              <w:rPr>
                <w:highlight w:val="black"/>
              </w:rPr>
            </w:pPr>
            <w:r>
              <w:rPr>
                <w:noProof/>
                <w:color w:val="000000"/>
                <w:highlight w:val="black"/>
              </w:rPr>
              <w:t>'''''''''''''''''</w:t>
            </w:r>
          </w:p>
        </w:tc>
        <w:tc>
          <w:tcPr>
            <w:tcW w:w="755" w:type="pct"/>
            <w:shd w:val="clear" w:color="auto" w:fill="auto"/>
            <w:vAlign w:val="center"/>
          </w:tcPr>
          <w:p w:rsidR="00EA1BFB" w:rsidRPr="00504B1C" w:rsidRDefault="00504B1C" w:rsidP="00297F38">
            <w:pPr>
              <w:pStyle w:val="Tabletext"/>
              <w:keepNext/>
              <w:jc w:val="center"/>
              <w:rPr>
                <w:highlight w:val="black"/>
              </w:rPr>
            </w:pPr>
            <w:r>
              <w:rPr>
                <w:noProof/>
                <w:color w:val="000000"/>
                <w:highlight w:val="black"/>
              </w:rPr>
              <w:t>''''''''''''''''</w:t>
            </w:r>
          </w:p>
        </w:tc>
      </w:tr>
      <w:tr w:rsidR="00EA1BFB" w:rsidRPr="00933F76" w:rsidTr="00297F38">
        <w:tc>
          <w:tcPr>
            <w:tcW w:w="1359" w:type="pct"/>
            <w:shd w:val="clear" w:color="auto" w:fill="auto"/>
            <w:vAlign w:val="center"/>
          </w:tcPr>
          <w:p w:rsidR="00EA1BFB" w:rsidRPr="00933F76" w:rsidRDefault="00EA1BFB" w:rsidP="00297F38">
            <w:pPr>
              <w:tabs>
                <w:tab w:val="left" w:pos="142"/>
              </w:tabs>
              <w:jc w:val="left"/>
              <w:rPr>
                <w:rFonts w:ascii="Arial Narrow" w:hAnsi="Arial Narrow"/>
                <w:sz w:val="20"/>
              </w:rPr>
            </w:pPr>
            <w:r w:rsidRPr="00933F76">
              <w:rPr>
                <w:rFonts w:ascii="Arial Narrow" w:hAnsi="Arial Narrow"/>
                <w:sz w:val="20"/>
              </w:rPr>
              <w:t>Market share</w:t>
            </w:r>
          </w:p>
        </w:tc>
        <w:tc>
          <w:tcPr>
            <w:tcW w:w="679" w:type="pct"/>
            <w:shd w:val="clear" w:color="auto" w:fill="auto"/>
            <w:vAlign w:val="center"/>
          </w:tcPr>
          <w:p w:rsidR="00EA1BFB" w:rsidRPr="00933F76" w:rsidRDefault="00504B1C" w:rsidP="00297F38">
            <w:pPr>
              <w:pStyle w:val="Tabletext"/>
              <w:jc w:val="center"/>
            </w:pPr>
            <w:r>
              <w:rPr>
                <w:noProof/>
                <w:color w:val="000000"/>
                <w:highlight w:val="black"/>
              </w:rPr>
              <w:t>'''''''</w:t>
            </w:r>
            <w:r w:rsidR="00EA1BFB" w:rsidRPr="00933F76">
              <w:t>%</w:t>
            </w:r>
          </w:p>
        </w:tc>
        <w:tc>
          <w:tcPr>
            <w:tcW w:w="679" w:type="pct"/>
            <w:shd w:val="clear" w:color="auto" w:fill="auto"/>
            <w:vAlign w:val="center"/>
          </w:tcPr>
          <w:p w:rsidR="00EA1BFB" w:rsidRPr="00933F76" w:rsidRDefault="00504B1C" w:rsidP="00297F38">
            <w:pPr>
              <w:pStyle w:val="Tabletext"/>
              <w:jc w:val="center"/>
            </w:pPr>
            <w:r>
              <w:rPr>
                <w:noProof/>
                <w:color w:val="000000"/>
                <w:highlight w:val="black"/>
              </w:rPr>
              <w:t>''''''</w:t>
            </w:r>
            <w:r w:rsidR="00EA1BFB" w:rsidRPr="00933F76">
              <w:t>%</w:t>
            </w:r>
          </w:p>
        </w:tc>
        <w:tc>
          <w:tcPr>
            <w:tcW w:w="764" w:type="pct"/>
            <w:shd w:val="clear" w:color="auto" w:fill="auto"/>
            <w:vAlign w:val="center"/>
          </w:tcPr>
          <w:p w:rsidR="00EA1BFB" w:rsidRPr="00933F76" w:rsidRDefault="00504B1C" w:rsidP="00297F38">
            <w:pPr>
              <w:pStyle w:val="Tabletext"/>
              <w:jc w:val="center"/>
            </w:pPr>
            <w:r>
              <w:rPr>
                <w:noProof/>
                <w:color w:val="000000"/>
                <w:highlight w:val="black"/>
              </w:rPr>
              <w:t>'''''''</w:t>
            </w:r>
            <w:r w:rsidR="00EA1BFB" w:rsidRPr="00933F76">
              <w:t>%</w:t>
            </w:r>
          </w:p>
        </w:tc>
        <w:tc>
          <w:tcPr>
            <w:tcW w:w="764" w:type="pct"/>
            <w:shd w:val="clear" w:color="auto" w:fill="auto"/>
            <w:vAlign w:val="center"/>
          </w:tcPr>
          <w:p w:rsidR="00EA1BFB" w:rsidRPr="00933F76" w:rsidRDefault="00504B1C" w:rsidP="00297F38">
            <w:pPr>
              <w:pStyle w:val="Tabletext"/>
              <w:jc w:val="center"/>
            </w:pPr>
            <w:r>
              <w:rPr>
                <w:noProof/>
                <w:color w:val="000000"/>
                <w:highlight w:val="black"/>
              </w:rPr>
              <w:t>''''''</w:t>
            </w:r>
            <w:r w:rsidR="00EA1BFB" w:rsidRPr="00933F76">
              <w:t>%</w:t>
            </w:r>
          </w:p>
        </w:tc>
        <w:tc>
          <w:tcPr>
            <w:tcW w:w="755" w:type="pct"/>
            <w:shd w:val="clear" w:color="auto" w:fill="auto"/>
            <w:vAlign w:val="center"/>
          </w:tcPr>
          <w:p w:rsidR="00EA1BFB" w:rsidRPr="00933F76" w:rsidRDefault="00504B1C" w:rsidP="00297F38">
            <w:pPr>
              <w:pStyle w:val="Tabletext"/>
              <w:jc w:val="center"/>
            </w:pPr>
            <w:r>
              <w:rPr>
                <w:noProof/>
                <w:color w:val="000000"/>
                <w:highlight w:val="black"/>
              </w:rPr>
              <w:t>''''''</w:t>
            </w:r>
            <w:r w:rsidR="00EA1BFB" w:rsidRPr="00933F76">
              <w:t>%</w:t>
            </w:r>
          </w:p>
        </w:tc>
      </w:tr>
      <w:tr w:rsidR="00EA1BFB" w:rsidRPr="00933F76" w:rsidTr="00297F38">
        <w:tc>
          <w:tcPr>
            <w:tcW w:w="1359" w:type="pct"/>
            <w:shd w:val="clear" w:color="auto" w:fill="auto"/>
            <w:vAlign w:val="center"/>
          </w:tcPr>
          <w:p w:rsidR="00EA1BFB" w:rsidRPr="00933F76" w:rsidRDefault="00EA1BFB" w:rsidP="00297F38">
            <w:pPr>
              <w:tabs>
                <w:tab w:val="left" w:pos="142"/>
              </w:tabs>
              <w:jc w:val="left"/>
              <w:rPr>
                <w:rFonts w:ascii="Arial Narrow" w:hAnsi="Arial Narrow"/>
                <w:sz w:val="20"/>
              </w:rPr>
            </w:pPr>
            <w:r w:rsidRPr="00933F76">
              <w:rPr>
                <w:rFonts w:ascii="Arial Narrow" w:hAnsi="Arial Narrow"/>
                <w:sz w:val="20"/>
              </w:rPr>
              <w:t xml:space="preserve">Scripts </w:t>
            </w:r>
            <w:r w:rsidRPr="00933F76">
              <w:rPr>
                <w:rFonts w:ascii="Arial Narrow" w:hAnsi="Arial Narrow"/>
                <w:sz w:val="20"/>
                <w:vertAlign w:val="superscript"/>
              </w:rPr>
              <w:t>a</w:t>
            </w:r>
          </w:p>
        </w:tc>
        <w:tc>
          <w:tcPr>
            <w:tcW w:w="679" w:type="pct"/>
            <w:shd w:val="clear" w:color="auto" w:fill="auto"/>
            <w:vAlign w:val="center"/>
          </w:tcPr>
          <w:p w:rsidR="00EA1BFB" w:rsidRPr="00504B1C" w:rsidRDefault="00504B1C" w:rsidP="00297F38">
            <w:pPr>
              <w:pStyle w:val="Tabletext"/>
              <w:jc w:val="center"/>
              <w:rPr>
                <w:highlight w:val="black"/>
              </w:rPr>
            </w:pPr>
            <w:r>
              <w:rPr>
                <w:noProof/>
                <w:color w:val="000000"/>
                <w:highlight w:val="black"/>
              </w:rPr>
              <w:t>''''''''''''''''''''</w:t>
            </w:r>
          </w:p>
        </w:tc>
        <w:tc>
          <w:tcPr>
            <w:tcW w:w="679" w:type="pct"/>
            <w:shd w:val="clear" w:color="auto" w:fill="auto"/>
            <w:vAlign w:val="center"/>
          </w:tcPr>
          <w:p w:rsidR="00EA1BFB" w:rsidRPr="00504B1C" w:rsidRDefault="00504B1C" w:rsidP="00297F38">
            <w:pPr>
              <w:pStyle w:val="Tabletext"/>
              <w:jc w:val="center"/>
              <w:rPr>
                <w:highlight w:val="black"/>
              </w:rPr>
            </w:pPr>
            <w:r>
              <w:rPr>
                <w:noProof/>
                <w:color w:val="000000"/>
                <w:highlight w:val="black"/>
              </w:rPr>
              <w:t>''''''''''''''''''</w:t>
            </w:r>
          </w:p>
        </w:tc>
        <w:tc>
          <w:tcPr>
            <w:tcW w:w="764" w:type="pct"/>
            <w:shd w:val="clear" w:color="auto" w:fill="auto"/>
            <w:vAlign w:val="center"/>
          </w:tcPr>
          <w:p w:rsidR="00EA1BFB" w:rsidRPr="00504B1C" w:rsidRDefault="00504B1C" w:rsidP="00297F38">
            <w:pPr>
              <w:pStyle w:val="Tabletext"/>
              <w:jc w:val="center"/>
              <w:rPr>
                <w:highlight w:val="black"/>
              </w:rPr>
            </w:pPr>
            <w:r>
              <w:rPr>
                <w:noProof/>
                <w:color w:val="000000"/>
                <w:highlight w:val="black"/>
              </w:rPr>
              <w:t>'''''''''''''''''''''</w:t>
            </w:r>
          </w:p>
        </w:tc>
        <w:tc>
          <w:tcPr>
            <w:tcW w:w="764" w:type="pct"/>
            <w:shd w:val="clear" w:color="auto" w:fill="auto"/>
            <w:vAlign w:val="center"/>
          </w:tcPr>
          <w:p w:rsidR="00EA1BFB" w:rsidRPr="00504B1C" w:rsidRDefault="00504B1C" w:rsidP="00297F38">
            <w:pPr>
              <w:pStyle w:val="Tabletext"/>
              <w:jc w:val="center"/>
              <w:rPr>
                <w:highlight w:val="black"/>
              </w:rPr>
            </w:pPr>
            <w:r>
              <w:rPr>
                <w:noProof/>
                <w:color w:val="000000"/>
                <w:highlight w:val="black"/>
              </w:rPr>
              <w:t>'''''''''''''''''''</w:t>
            </w:r>
          </w:p>
        </w:tc>
        <w:tc>
          <w:tcPr>
            <w:tcW w:w="755" w:type="pct"/>
            <w:shd w:val="clear" w:color="auto" w:fill="auto"/>
            <w:vAlign w:val="center"/>
          </w:tcPr>
          <w:p w:rsidR="00EA1BFB" w:rsidRPr="00504B1C" w:rsidRDefault="00504B1C" w:rsidP="00297F38">
            <w:pPr>
              <w:pStyle w:val="Tabletext"/>
              <w:jc w:val="center"/>
              <w:rPr>
                <w:highlight w:val="black"/>
              </w:rPr>
            </w:pPr>
            <w:r>
              <w:rPr>
                <w:noProof/>
                <w:color w:val="000000"/>
                <w:highlight w:val="black"/>
              </w:rPr>
              <w:t>'''''''''''''''''''''</w:t>
            </w:r>
          </w:p>
        </w:tc>
      </w:tr>
      <w:tr w:rsidR="00EA1BFB" w:rsidRPr="00933F76" w:rsidTr="00297F38">
        <w:tc>
          <w:tcPr>
            <w:tcW w:w="5000" w:type="pct"/>
            <w:gridSpan w:val="6"/>
            <w:shd w:val="clear" w:color="auto" w:fill="auto"/>
            <w:vAlign w:val="center"/>
          </w:tcPr>
          <w:p w:rsidR="00EA1BFB" w:rsidRPr="00933F76" w:rsidRDefault="00EA1BFB" w:rsidP="00297F38">
            <w:pPr>
              <w:jc w:val="left"/>
              <w:rPr>
                <w:rFonts w:ascii="Arial Narrow" w:hAnsi="Arial Narrow"/>
                <w:b/>
                <w:bCs/>
                <w:color w:val="000000"/>
                <w:sz w:val="20"/>
              </w:rPr>
            </w:pPr>
            <w:r w:rsidRPr="00933F76">
              <w:rPr>
                <w:rFonts w:ascii="Arial Narrow" w:hAnsi="Arial Narrow"/>
                <w:b/>
                <w:bCs/>
                <w:color w:val="000000"/>
                <w:sz w:val="20"/>
              </w:rPr>
              <w:t>Estimated net cost to PBS/RPBS/MBS</w:t>
            </w:r>
          </w:p>
        </w:tc>
      </w:tr>
      <w:tr w:rsidR="00EA1BFB" w:rsidRPr="00933F76" w:rsidTr="00297F38">
        <w:tc>
          <w:tcPr>
            <w:tcW w:w="1359" w:type="pct"/>
            <w:shd w:val="clear" w:color="auto" w:fill="auto"/>
            <w:vAlign w:val="center"/>
          </w:tcPr>
          <w:p w:rsidR="00EA1BFB" w:rsidRPr="00933F76" w:rsidRDefault="00EA1BFB" w:rsidP="00297F38">
            <w:pPr>
              <w:tabs>
                <w:tab w:val="left" w:pos="142"/>
              </w:tabs>
              <w:jc w:val="left"/>
              <w:rPr>
                <w:rFonts w:ascii="Arial Narrow" w:hAnsi="Arial Narrow"/>
                <w:sz w:val="20"/>
              </w:rPr>
            </w:pPr>
            <w:r w:rsidRPr="00933F76">
              <w:rPr>
                <w:rFonts w:ascii="Arial Narrow" w:hAnsi="Arial Narrow"/>
                <w:sz w:val="19"/>
                <w:szCs w:val="19"/>
              </w:rPr>
              <w:t>Net cost to PBS/RPBS</w:t>
            </w:r>
          </w:p>
        </w:tc>
        <w:tc>
          <w:tcPr>
            <w:tcW w:w="679" w:type="pct"/>
            <w:shd w:val="clear" w:color="auto" w:fill="auto"/>
            <w:vAlign w:val="center"/>
          </w:tcPr>
          <w:p w:rsidR="00EA1BFB" w:rsidRPr="00BE1374" w:rsidRDefault="00EA1BFB" w:rsidP="00297F38">
            <w:pPr>
              <w:pStyle w:val="Tabletext"/>
              <w:jc w:val="right"/>
              <w:rPr>
                <w:bCs/>
              </w:rPr>
            </w:pPr>
            <w:r w:rsidRPr="00BE1374">
              <w:rPr>
                <w:bCs/>
              </w:rPr>
              <w:t>$</w:t>
            </w:r>
            <w:r w:rsidR="00504B1C">
              <w:rPr>
                <w:bCs/>
                <w:noProof/>
                <w:color w:val="000000"/>
                <w:highlight w:val="black"/>
              </w:rPr>
              <w:t>'''''''''''''''''''''''''</w:t>
            </w:r>
          </w:p>
        </w:tc>
        <w:tc>
          <w:tcPr>
            <w:tcW w:w="679" w:type="pct"/>
            <w:shd w:val="clear" w:color="auto" w:fill="auto"/>
            <w:vAlign w:val="center"/>
          </w:tcPr>
          <w:p w:rsidR="00EA1BFB" w:rsidRPr="00BE1374" w:rsidRDefault="00EA1BFB" w:rsidP="00297F38">
            <w:pPr>
              <w:pStyle w:val="Tabletext"/>
              <w:jc w:val="right"/>
              <w:rPr>
                <w:bCs/>
              </w:rPr>
            </w:pPr>
            <w:r w:rsidRPr="00BE1374">
              <w:rPr>
                <w:bCs/>
              </w:rPr>
              <w:t>$</w:t>
            </w:r>
            <w:r w:rsidR="00504B1C">
              <w:rPr>
                <w:bCs/>
                <w:noProof/>
                <w:color w:val="000000"/>
                <w:highlight w:val="black"/>
              </w:rPr>
              <w:t>'''''''''''''''''''''''''</w:t>
            </w:r>
          </w:p>
        </w:tc>
        <w:tc>
          <w:tcPr>
            <w:tcW w:w="764" w:type="pct"/>
            <w:shd w:val="clear" w:color="auto" w:fill="auto"/>
            <w:vAlign w:val="center"/>
          </w:tcPr>
          <w:p w:rsidR="00EA1BFB" w:rsidRPr="00BE1374" w:rsidRDefault="00EA1BFB" w:rsidP="00297F38">
            <w:pPr>
              <w:pStyle w:val="Tabletext"/>
              <w:jc w:val="right"/>
              <w:rPr>
                <w:bCs/>
              </w:rPr>
            </w:pPr>
            <w:r w:rsidRPr="00BE1374">
              <w:rPr>
                <w:bCs/>
              </w:rPr>
              <w:t>$</w:t>
            </w:r>
            <w:r w:rsidR="00504B1C">
              <w:rPr>
                <w:bCs/>
                <w:noProof/>
                <w:color w:val="000000"/>
                <w:highlight w:val="black"/>
              </w:rPr>
              <w:t>''''''''''''''''''''''''''</w:t>
            </w:r>
          </w:p>
        </w:tc>
        <w:tc>
          <w:tcPr>
            <w:tcW w:w="764" w:type="pct"/>
            <w:shd w:val="clear" w:color="auto" w:fill="auto"/>
            <w:vAlign w:val="center"/>
          </w:tcPr>
          <w:p w:rsidR="00EA1BFB" w:rsidRPr="00BE1374" w:rsidRDefault="00EA1BFB" w:rsidP="00297F38">
            <w:pPr>
              <w:pStyle w:val="Tabletext"/>
              <w:jc w:val="right"/>
              <w:rPr>
                <w:bCs/>
              </w:rPr>
            </w:pPr>
            <w:r w:rsidRPr="00BE1374">
              <w:rPr>
                <w:bCs/>
              </w:rPr>
              <w:t>$</w:t>
            </w:r>
            <w:r w:rsidR="00504B1C">
              <w:rPr>
                <w:bCs/>
                <w:noProof/>
                <w:color w:val="000000"/>
                <w:highlight w:val="black"/>
              </w:rPr>
              <w:t>'''''''''''''''''''''''''''''</w:t>
            </w:r>
          </w:p>
        </w:tc>
        <w:tc>
          <w:tcPr>
            <w:tcW w:w="755" w:type="pct"/>
            <w:shd w:val="clear" w:color="auto" w:fill="auto"/>
            <w:vAlign w:val="center"/>
          </w:tcPr>
          <w:p w:rsidR="00EA1BFB" w:rsidRPr="00BE1374" w:rsidRDefault="00EA1BFB" w:rsidP="00297F38">
            <w:pPr>
              <w:pStyle w:val="Tabletext"/>
              <w:jc w:val="right"/>
              <w:rPr>
                <w:bCs/>
              </w:rPr>
            </w:pPr>
            <w:r w:rsidRPr="00BE1374">
              <w:rPr>
                <w:bCs/>
              </w:rPr>
              <w:t>$</w:t>
            </w:r>
            <w:r w:rsidR="00504B1C">
              <w:rPr>
                <w:bCs/>
                <w:noProof/>
                <w:color w:val="000000"/>
                <w:highlight w:val="black"/>
              </w:rPr>
              <w:t>'''''''''''''''''''''''''''''</w:t>
            </w:r>
          </w:p>
        </w:tc>
      </w:tr>
      <w:tr w:rsidR="00EA1BFB" w:rsidRPr="00933F76" w:rsidTr="00297F38">
        <w:tc>
          <w:tcPr>
            <w:tcW w:w="1359" w:type="pct"/>
            <w:shd w:val="clear" w:color="auto" w:fill="auto"/>
            <w:vAlign w:val="center"/>
          </w:tcPr>
          <w:p w:rsidR="00EA1BFB" w:rsidRPr="00933F76" w:rsidRDefault="00EA1BFB" w:rsidP="00297F38">
            <w:pPr>
              <w:tabs>
                <w:tab w:val="left" w:pos="142"/>
              </w:tabs>
              <w:jc w:val="left"/>
              <w:rPr>
                <w:rFonts w:ascii="Arial Narrow" w:hAnsi="Arial Narrow"/>
                <w:sz w:val="20"/>
              </w:rPr>
            </w:pPr>
            <w:r w:rsidRPr="00933F76">
              <w:rPr>
                <w:rFonts w:ascii="Arial Narrow" w:hAnsi="Arial Narrow"/>
                <w:sz w:val="19"/>
                <w:szCs w:val="19"/>
              </w:rPr>
              <w:t>Net cost to MBS</w:t>
            </w:r>
          </w:p>
        </w:tc>
        <w:tc>
          <w:tcPr>
            <w:tcW w:w="679" w:type="pct"/>
            <w:shd w:val="clear" w:color="auto" w:fill="auto"/>
            <w:vAlign w:val="center"/>
          </w:tcPr>
          <w:p w:rsidR="00EA1BFB" w:rsidRPr="00933F76" w:rsidRDefault="00EA1BFB" w:rsidP="00297F38">
            <w:pPr>
              <w:jc w:val="center"/>
              <w:rPr>
                <w:rFonts w:ascii="Arial Narrow" w:hAnsi="Arial Narrow"/>
                <w:bCs/>
                <w:color w:val="000000"/>
                <w:sz w:val="20"/>
              </w:rPr>
            </w:pPr>
            <w:r w:rsidRPr="00933F76">
              <w:rPr>
                <w:rFonts w:ascii="Arial Narrow" w:hAnsi="Arial Narrow"/>
                <w:bCs/>
                <w:sz w:val="19"/>
                <w:szCs w:val="19"/>
              </w:rPr>
              <w:t>-</w:t>
            </w:r>
          </w:p>
        </w:tc>
        <w:tc>
          <w:tcPr>
            <w:tcW w:w="679" w:type="pct"/>
            <w:shd w:val="clear" w:color="auto" w:fill="auto"/>
            <w:vAlign w:val="center"/>
          </w:tcPr>
          <w:p w:rsidR="00EA1BFB" w:rsidRPr="00933F76" w:rsidRDefault="00EA1BFB" w:rsidP="00297F38">
            <w:pPr>
              <w:jc w:val="center"/>
              <w:rPr>
                <w:rFonts w:ascii="Arial Narrow" w:hAnsi="Arial Narrow"/>
                <w:bCs/>
                <w:color w:val="000000"/>
                <w:sz w:val="20"/>
              </w:rPr>
            </w:pPr>
            <w:r w:rsidRPr="00933F76">
              <w:rPr>
                <w:rFonts w:ascii="Arial Narrow" w:hAnsi="Arial Narrow"/>
                <w:bCs/>
                <w:sz w:val="19"/>
                <w:szCs w:val="19"/>
              </w:rPr>
              <w:t>-</w:t>
            </w:r>
          </w:p>
        </w:tc>
        <w:tc>
          <w:tcPr>
            <w:tcW w:w="764" w:type="pct"/>
            <w:shd w:val="clear" w:color="auto" w:fill="auto"/>
            <w:vAlign w:val="center"/>
          </w:tcPr>
          <w:p w:rsidR="00EA1BFB" w:rsidRPr="00933F76" w:rsidRDefault="00EA1BFB" w:rsidP="00297F38">
            <w:pPr>
              <w:jc w:val="center"/>
              <w:rPr>
                <w:rFonts w:ascii="Arial Narrow" w:hAnsi="Arial Narrow"/>
                <w:bCs/>
                <w:color w:val="000000"/>
                <w:sz w:val="20"/>
              </w:rPr>
            </w:pPr>
            <w:r w:rsidRPr="00933F76">
              <w:rPr>
                <w:rFonts w:ascii="Arial Narrow" w:hAnsi="Arial Narrow"/>
                <w:bCs/>
                <w:sz w:val="19"/>
                <w:szCs w:val="19"/>
              </w:rPr>
              <w:t>-</w:t>
            </w:r>
          </w:p>
        </w:tc>
        <w:tc>
          <w:tcPr>
            <w:tcW w:w="764" w:type="pct"/>
            <w:shd w:val="clear" w:color="auto" w:fill="auto"/>
            <w:vAlign w:val="center"/>
          </w:tcPr>
          <w:p w:rsidR="00EA1BFB" w:rsidRPr="00933F76" w:rsidRDefault="00EA1BFB" w:rsidP="00297F38">
            <w:pPr>
              <w:jc w:val="center"/>
              <w:rPr>
                <w:rFonts w:ascii="Arial Narrow" w:hAnsi="Arial Narrow"/>
                <w:bCs/>
                <w:color w:val="000000"/>
                <w:sz w:val="20"/>
              </w:rPr>
            </w:pPr>
            <w:r w:rsidRPr="00933F76">
              <w:rPr>
                <w:rFonts w:ascii="Arial Narrow" w:hAnsi="Arial Narrow"/>
                <w:bCs/>
                <w:sz w:val="19"/>
                <w:szCs w:val="19"/>
              </w:rPr>
              <w:t>-</w:t>
            </w:r>
          </w:p>
        </w:tc>
        <w:tc>
          <w:tcPr>
            <w:tcW w:w="755" w:type="pct"/>
            <w:shd w:val="clear" w:color="auto" w:fill="auto"/>
            <w:vAlign w:val="center"/>
          </w:tcPr>
          <w:p w:rsidR="00EA1BFB" w:rsidRPr="00933F76" w:rsidRDefault="00EA1BFB" w:rsidP="00297F38">
            <w:pPr>
              <w:jc w:val="center"/>
              <w:rPr>
                <w:rFonts w:ascii="Arial Narrow" w:hAnsi="Arial Narrow"/>
                <w:bCs/>
                <w:color w:val="000000"/>
                <w:sz w:val="20"/>
              </w:rPr>
            </w:pPr>
            <w:r w:rsidRPr="00933F76">
              <w:rPr>
                <w:rFonts w:ascii="Arial Narrow" w:hAnsi="Arial Narrow"/>
                <w:bCs/>
                <w:sz w:val="19"/>
                <w:szCs w:val="19"/>
              </w:rPr>
              <w:t>-</w:t>
            </w:r>
          </w:p>
        </w:tc>
      </w:tr>
      <w:tr w:rsidR="00EA1BFB" w:rsidRPr="00933F76" w:rsidTr="00297F38">
        <w:tc>
          <w:tcPr>
            <w:tcW w:w="5000" w:type="pct"/>
            <w:gridSpan w:val="6"/>
            <w:shd w:val="clear" w:color="auto" w:fill="auto"/>
            <w:vAlign w:val="center"/>
          </w:tcPr>
          <w:p w:rsidR="00EA1BFB" w:rsidRPr="00933F76" w:rsidRDefault="00EA1BFB" w:rsidP="00297F38">
            <w:pPr>
              <w:jc w:val="left"/>
              <w:rPr>
                <w:rFonts w:ascii="Arial Narrow" w:hAnsi="Arial Narrow"/>
                <w:b/>
                <w:color w:val="000000"/>
                <w:sz w:val="20"/>
              </w:rPr>
            </w:pPr>
            <w:r w:rsidRPr="00933F76">
              <w:rPr>
                <w:rFonts w:ascii="Arial Narrow" w:hAnsi="Arial Narrow"/>
                <w:b/>
                <w:color w:val="000000"/>
                <w:sz w:val="20"/>
              </w:rPr>
              <w:t>Estimated total net cost</w:t>
            </w:r>
          </w:p>
        </w:tc>
      </w:tr>
      <w:tr w:rsidR="00EA1BFB" w:rsidRPr="00933F76" w:rsidTr="00297F38">
        <w:tc>
          <w:tcPr>
            <w:tcW w:w="1359" w:type="pct"/>
            <w:shd w:val="clear" w:color="auto" w:fill="auto"/>
            <w:vAlign w:val="center"/>
          </w:tcPr>
          <w:p w:rsidR="00EA1BFB" w:rsidRPr="00933F76" w:rsidRDefault="00EA1BFB" w:rsidP="00297F38">
            <w:pPr>
              <w:tabs>
                <w:tab w:val="left" w:pos="142"/>
              </w:tabs>
              <w:jc w:val="left"/>
              <w:rPr>
                <w:rFonts w:ascii="Arial Narrow" w:hAnsi="Arial Narrow"/>
                <w:b/>
                <w:sz w:val="20"/>
              </w:rPr>
            </w:pPr>
            <w:r w:rsidRPr="00933F76">
              <w:rPr>
                <w:rFonts w:ascii="Arial Narrow" w:hAnsi="Arial Narrow"/>
                <w:b/>
                <w:bCs/>
                <w:color w:val="000000"/>
                <w:sz w:val="20"/>
              </w:rPr>
              <w:t>Net cost to PBS/RPBS/MBS</w:t>
            </w:r>
          </w:p>
        </w:tc>
        <w:tc>
          <w:tcPr>
            <w:tcW w:w="679" w:type="pct"/>
            <w:shd w:val="clear" w:color="auto" w:fill="auto"/>
            <w:vAlign w:val="center"/>
          </w:tcPr>
          <w:p w:rsidR="00EA1BFB" w:rsidRPr="00BE1374" w:rsidRDefault="00EA1BFB" w:rsidP="00297F38">
            <w:pPr>
              <w:pStyle w:val="Tabletext"/>
              <w:jc w:val="right"/>
              <w:rPr>
                <w:b/>
                <w:bCs/>
              </w:rPr>
            </w:pPr>
            <w:r w:rsidRPr="00BE1374">
              <w:rPr>
                <w:b/>
                <w:bCs/>
              </w:rPr>
              <w:t>$</w:t>
            </w:r>
            <w:r w:rsidR="00504B1C">
              <w:rPr>
                <w:b/>
                <w:bCs/>
                <w:noProof/>
                <w:color w:val="000000"/>
                <w:highlight w:val="black"/>
              </w:rPr>
              <w:t>''''''''''''''''''</w:t>
            </w:r>
          </w:p>
        </w:tc>
        <w:tc>
          <w:tcPr>
            <w:tcW w:w="679" w:type="pct"/>
            <w:shd w:val="clear" w:color="auto" w:fill="auto"/>
            <w:vAlign w:val="center"/>
          </w:tcPr>
          <w:p w:rsidR="00EA1BFB" w:rsidRPr="00BE1374" w:rsidRDefault="00EA1BFB" w:rsidP="00297F38">
            <w:pPr>
              <w:pStyle w:val="Tabletext"/>
              <w:jc w:val="right"/>
              <w:rPr>
                <w:b/>
                <w:bCs/>
              </w:rPr>
            </w:pPr>
            <w:r w:rsidRPr="00BE1374">
              <w:rPr>
                <w:b/>
                <w:bCs/>
              </w:rPr>
              <w:t>$</w:t>
            </w:r>
            <w:r w:rsidR="00504B1C">
              <w:rPr>
                <w:b/>
                <w:bCs/>
                <w:noProof/>
                <w:color w:val="000000"/>
                <w:highlight w:val="black"/>
              </w:rPr>
              <w:t>''''''''''''''''''''''''</w:t>
            </w:r>
          </w:p>
        </w:tc>
        <w:tc>
          <w:tcPr>
            <w:tcW w:w="764" w:type="pct"/>
            <w:shd w:val="clear" w:color="auto" w:fill="auto"/>
            <w:vAlign w:val="center"/>
          </w:tcPr>
          <w:p w:rsidR="00EA1BFB" w:rsidRPr="00BE1374" w:rsidRDefault="00EA1BFB" w:rsidP="00297F38">
            <w:pPr>
              <w:pStyle w:val="Tabletext"/>
              <w:jc w:val="right"/>
              <w:rPr>
                <w:b/>
                <w:bCs/>
              </w:rPr>
            </w:pPr>
            <w:r w:rsidRPr="00BE1374">
              <w:rPr>
                <w:b/>
                <w:bCs/>
              </w:rPr>
              <w:t>$</w:t>
            </w:r>
            <w:r w:rsidR="00504B1C">
              <w:rPr>
                <w:b/>
                <w:bCs/>
                <w:noProof/>
                <w:color w:val="000000"/>
                <w:highlight w:val="black"/>
              </w:rPr>
              <w:t>''''''''''''''''''''</w:t>
            </w:r>
          </w:p>
        </w:tc>
        <w:tc>
          <w:tcPr>
            <w:tcW w:w="764" w:type="pct"/>
            <w:shd w:val="clear" w:color="auto" w:fill="auto"/>
            <w:vAlign w:val="center"/>
          </w:tcPr>
          <w:p w:rsidR="00EA1BFB" w:rsidRPr="00BE1374" w:rsidRDefault="00EA1BFB" w:rsidP="00297F38">
            <w:pPr>
              <w:pStyle w:val="Tabletext"/>
              <w:jc w:val="right"/>
              <w:rPr>
                <w:b/>
                <w:bCs/>
              </w:rPr>
            </w:pPr>
            <w:r w:rsidRPr="00BE1374">
              <w:rPr>
                <w:b/>
                <w:bCs/>
              </w:rPr>
              <w:t>$</w:t>
            </w:r>
            <w:r w:rsidR="00504B1C">
              <w:rPr>
                <w:b/>
                <w:bCs/>
                <w:noProof/>
                <w:color w:val="000000"/>
                <w:highlight w:val="black"/>
              </w:rPr>
              <w:t>'''''''''''''''''''''</w:t>
            </w:r>
          </w:p>
        </w:tc>
        <w:tc>
          <w:tcPr>
            <w:tcW w:w="755" w:type="pct"/>
            <w:shd w:val="clear" w:color="auto" w:fill="auto"/>
            <w:vAlign w:val="center"/>
          </w:tcPr>
          <w:p w:rsidR="00EA1BFB" w:rsidRPr="00BE1374" w:rsidRDefault="00EA1BFB" w:rsidP="00297F38">
            <w:pPr>
              <w:pStyle w:val="Tabletext"/>
              <w:jc w:val="right"/>
              <w:rPr>
                <w:b/>
                <w:bCs/>
              </w:rPr>
            </w:pPr>
            <w:r w:rsidRPr="00BE1374">
              <w:rPr>
                <w:b/>
                <w:bCs/>
              </w:rPr>
              <w:t>$</w:t>
            </w:r>
            <w:r w:rsidR="00504B1C">
              <w:rPr>
                <w:b/>
                <w:bCs/>
                <w:noProof/>
                <w:color w:val="000000"/>
                <w:highlight w:val="black"/>
              </w:rPr>
              <w:t>'''''''''''''''''''''</w:t>
            </w:r>
          </w:p>
        </w:tc>
      </w:tr>
    </w:tbl>
    <w:p w:rsidR="00EA1BFB" w:rsidRPr="00933F76" w:rsidRDefault="00EA1BFB" w:rsidP="00EA1BFB">
      <w:pPr>
        <w:pStyle w:val="TableFooter"/>
        <w:ind w:firstLine="720"/>
        <w:rPr>
          <w:vertAlign w:val="superscript"/>
        </w:rPr>
      </w:pPr>
      <w:r w:rsidRPr="00933F76">
        <w:rPr>
          <w:szCs w:val="18"/>
        </w:rPr>
        <w:t>Source: Table E.2-4, p224; Table E.2-6, p225 of the submission</w:t>
      </w:r>
    </w:p>
    <w:p w:rsidR="00EA1BFB" w:rsidRPr="00933F76" w:rsidRDefault="00EA1BFB" w:rsidP="00EA1BFB">
      <w:pPr>
        <w:pStyle w:val="TableFooter"/>
        <w:ind w:firstLine="720"/>
        <w:rPr>
          <w:sz w:val="16"/>
          <w:szCs w:val="18"/>
        </w:rPr>
      </w:pPr>
      <w:proofErr w:type="spellStart"/>
      <w:proofErr w:type="gramStart"/>
      <w:r w:rsidRPr="00933F76">
        <w:rPr>
          <w:vertAlign w:val="superscript"/>
        </w:rPr>
        <w:t>a</w:t>
      </w:r>
      <w:proofErr w:type="spellEnd"/>
      <w:proofErr w:type="gramEnd"/>
      <w:r w:rsidRPr="00933F76">
        <w:t xml:space="preserve"> Assuming 10.67 per year as estimated by the submission</w:t>
      </w:r>
    </w:p>
    <w:p w:rsidR="00EA1BFB" w:rsidRPr="00DC7DA9" w:rsidRDefault="00EA1BFB" w:rsidP="00EA1BFB">
      <w:pPr>
        <w:widowControl/>
        <w:rPr>
          <w:szCs w:val="22"/>
          <w:highlight w:val="yellow"/>
        </w:rPr>
      </w:pPr>
    </w:p>
    <w:p w:rsidR="00BD2840" w:rsidRPr="0041380A" w:rsidRDefault="00BE1374" w:rsidP="00BD2840">
      <w:pPr>
        <w:pStyle w:val="ListParagraph"/>
        <w:widowControl/>
        <w:numPr>
          <w:ilvl w:val="1"/>
          <w:numId w:val="9"/>
        </w:numPr>
        <w:rPr>
          <w:i/>
          <w:szCs w:val="22"/>
        </w:rPr>
      </w:pPr>
      <w:r>
        <w:rPr>
          <w:bCs/>
          <w:szCs w:val="22"/>
        </w:rPr>
        <w:t>The redacted table above shows that a</w:t>
      </w:r>
      <w:r w:rsidR="00BD2840" w:rsidRPr="0041380A">
        <w:rPr>
          <w:bCs/>
          <w:szCs w:val="22"/>
        </w:rPr>
        <w:t xml:space="preserve">t </w:t>
      </w:r>
      <w:r w:rsidR="00BD2840" w:rsidRPr="00323137">
        <w:rPr>
          <w:bCs/>
          <w:szCs w:val="22"/>
        </w:rPr>
        <w:t xml:space="preserve">year 5, the estimated number of patients was </w:t>
      </w:r>
      <w:r w:rsidR="00014E82">
        <w:rPr>
          <w:bCs/>
          <w:szCs w:val="22"/>
        </w:rPr>
        <w:t>50,000 – 100,000</w:t>
      </w:r>
      <w:r w:rsidR="00BD2840" w:rsidRPr="00323137">
        <w:rPr>
          <w:bCs/>
          <w:szCs w:val="22"/>
        </w:rPr>
        <w:t xml:space="preserve"> and the net cost to the PBS would be $</w:t>
      </w:r>
      <w:r w:rsidR="00014E82">
        <w:rPr>
          <w:bCs/>
          <w:szCs w:val="22"/>
        </w:rPr>
        <w:t>30 - $60 million</w:t>
      </w:r>
      <w:r w:rsidR="00BD2840" w:rsidRPr="00323137">
        <w:rPr>
          <w:bCs/>
          <w:szCs w:val="22"/>
        </w:rPr>
        <w:t>.</w:t>
      </w:r>
      <w:r w:rsidR="00BD2840">
        <w:rPr>
          <w:bCs/>
          <w:szCs w:val="22"/>
        </w:rPr>
        <w:t xml:space="preserve"> </w:t>
      </w:r>
    </w:p>
    <w:p w:rsidR="0041380A" w:rsidRPr="00933F76" w:rsidRDefault="0041380A" w:rsidP="0041380A">
      <w:pPr>
        <w:pStyle w:val="ListParagraph"/>
        <w:widowControl/>
        <w:rPr>
          <w:i/>
          <w:szCs w:val="22"/>
        </w:rPr>
      </w:pPr>
    </w:p>
    <w:p w:rsidR="006C4178" w:rsidRPr="0041380A" w:rsidRDefault="00EA1BFB" w:rsidP="006C4178">
      <w:pPr>
        <w:pStyle w:val="ListParagraph"/>
        <w:numPr>
          <w:ilvl w:val="1"/>
          <w:numId w:val="9"/>
        </w:numPr>
      </w:pPr>
      <w:r w:rsidRPr="0041380A">
        <w:t xml:space="preserve">The </w:t>
      </w:r>
      <w:r w:rsidR="006C4178" w:rsidRPr="0041380A">
        <w:t>extent of use within the proposed restriction c</w:t>
      </w:r>
      <w:r w:rsidRPr="0041380A">
        <w:t>ould be higher or lower</w:t>
      </w:r>
      <w:r w:rsidR="0041380A" w:rsidRPr="0041380A">
        <w:t xml:space="preserve"> than the submission estimate</w:t>
      </w:r>
      <w:r w:rsidRPr="0041380A">
        <w:t xml:space="preserve"> due to:</w:t>
      </w:r>
      <w:r w:rsidR="006C4178" w:rsidRPr="0041380A">
        <w:t xml:space="preserve"> </w:t>
      </w:r>
    </w:p>
    <w:p w:rsidR="00EA1BFB" w:rsidRPr="0041380A" w:rsidRDefault="00EA1BFB" w:rsidP="006C4178">
      <w:pPr>
        <w:pStyle w:val="ListParagraph"/>
        <w:numPr>
          <w:ilvl w:val="0"/>
          <w:numId w:val="31"/>
        </w:numPr>
        <w:ind w:left="1276" w:hanging="567"/>
      </w:pPr>
      <w:r w:rsidRPr="0041380A">
        <w:t>Differences between “severe or uncontrolled asthma who are compliant with their prescribed medications” estimated in the submission and “severe uncontrolled asthma despite optimal usual care” defined in the restricted benefit.</w:t>
      </w:r>
      <w:r w:rsidR="006C4178" w:rsidRPr="0041380A">
        <w:t xml:space="preserve"> </w:t>
      </w:r>
      <w:r w:rsidR="00BD2840" w:rsidRPr="0041380A">
        <w:t>DUSC considered it inappropriate to apply a compliance rate to the estimate of eligible patients on ‘optimal usual care’, as optimal usual care implies that patients are compliant.</w:t>
      </w:r>
    </w:p>
    <w:p w:rsidR="00BD2840" w:rsidRPr="0041380A" w:rsidRDefault="00BD2840" w:rsidP="00BD2840">
      <w:pPr>
        <w:pStyle w:val="ListParagraph"/>
        <w:numPr>
          <w:ilvl w:val="0"/>
          <w:numId w:val="31"/>
        </w:numPr>
        <w:ind w:left="1276" w:hanging="567"/>
      </w:pPr>
      <w:r w:rsidRPr="0041380A">
        <w:t>Sources used to determine the proportion of asthmatics with severe asthma and uncontrolled asthma might not be applicable to the Australian context; and the proportions were derived from a wide range of values in the literature. This introduced uncertainty into the financial estimates.</w:t>
      </w:r>
    </w:p>
    <w:p w:rsidR="00EA1BFB" w:rsidRPr="0041380A" w:rsidRDefault="00EA1BFB" w:rsidP="00EA1BFB">
      <w:pPr>
        <w:pStyle w:val="ListParagraph"/>
        <w:numPr>
          <w:ilvl w:val="0"/>
          <w:numId w:val="31"/>
        </w:numPr>
        <w:ind w:left="1276" w:hanging="567"/>
      </w:pPr>
      <w:r w:rsidRPr="0041380A">
        <w:t>A recent Australian cross-sectional web-based survey</w:t>
      </w:r>
      <w:bookmarkStart w:id="19" w:name="_Ref424720618"/>
      <w:r w:rsidR="008A23CA">
        <w:rPr>
          <w:rStyle w:val="FootnoteReference"/>
        </w:rPr>
        <w:footnoteReference w:id="6"/>
      </w:r>
      <w:bookmarkEnd w:id="19"/>
      <w:r w:rsidRPr="0041380A">
        <w:t xml:space="preserve"> indicated that 19.7% of the asthma patients had inadequate asthma control while compliant to ICS or ICS and LABA treatment. Approximately three times as many patients were on ICS and LABA treatment compared to those on ICS only. This would result in a much larger eligible population than calculated by the submission. </w:t>
      </w:r>
    </w:p>
    <w:p w:rsidR="00EA1BFB" w:rsidRPr="0041380A" w:rsidRDefault="00EA1BFB" w:rsidP="00EA1BFB">
      <w:pPr>
        <w:pStyle w:val="ListParagraph"/>
        <w:numPr>
          <w:ilvl w:val="0"/>
          <w:numId w:val="31"/>
        </w:numPr>
        <w:ind w:left="1276" w:hanging="567"/>
      </w:pPr>
      <w:r w:rsidRPr="0041380A">
        <w:t>Uncle</w:t>
      </w:r>
      <w:r w:rsidR="006C4178" w:rsidRPr="0041380A">
        <w:t xml:space="preserve">ar market uptake for </w:t>
      </w:r>
      <w:proofErr w:type="spellStart"/>
      <w:r w:rsidR="006C4178" w:rsidRPr="0041380A">
        <w:t>tiotropium</w:t>
      </w:r>
      <w:proofErr w:type="spellEnd"/>
      <w:r w:rsidR="006C4178" w:rsidRPr="0041380A">
        <w:t>; and</w:t>
      </w:r>
    </w:p>
    <w:p w:rsidR="00EA1BFB" w:rsidRPr="0041380A" w:rsidRDefault="00EA1BFB" w:rsidP="00EA1BFB">
      <w:pPr>
        <w:pStyle w:val="ListParagraph"/>
        <w:numPr>
          <w:ilvl w:val="0"/>
          <w:numId w:val="31"/>
        </w:numPr>
        <w:ind w:left="1276" w:hanging="567"/>
      </w:pPr>
      <w:r w:rsidRPr="0041380A">
        <w:t xml:space="preserve">Current use of </w:t>
      </w:r>
      <w:proofErr w:type="spellStart"/>
      <w:r w:rsidRPr="0041380A">
        <w:t>tiotropium</w:t>
      </w:r>
      <w:proofErr w:type="spellEnd"/>
      <w:r w:rsidRPr="0041380A">
        <w:t xml:space="preserve"> in asthma patients who also have COPD</w:t>
      </w:r>
      <w:r w:rsidR="006C4178" w:rsidRPr="0041380A">
        <w:t>.</w:t>
      </w:r>
    </w:p>
    <w:p w:rsidR="00EA1BFB" w:rsidRPr="0041380A" w:rsidRDefault="00EA1BFB" w:rsidP="00EA1BFB">
      <w:pPr>
        <w:pStyle w:val="ListParagraph"/>
        <w:widowControl/>
        <w:ind w:left="1440"/>
      </w:pPr>
    </w:p>
    <w:p w:rsidR="00EA1BFB" w:rsidRPr="0041380A" w:rsidRDefault="00EA1BFB" w:rsidP="0041380A">
      <w:pPr>
        <w:pStyle w:val="ListParagraph"/>
        <w:numPr>
          <w:ilvl w:val="1"/>
          <w:numId w:val="9"/>
        </w:numPr>
      </w:pPr>
      <w:r w:rsidRPr="0041380A">
        <w:t>The submission presented sensitivity analyses around prevalence of severe and uncontrolled asthma and compliance, with severe asthma prevalence having the largest impact on the overall cost to the PBS/RPBS ($</w:t>
      </w:r>
      <w:r w:rsidR="00BE1374">
        <w:t>60 – 100 million</w:t>
      </w:r>
      <w:r w:rsidR="00BE1374" w:rsidRPr="0026778F">
        <w:t xml:space="preserve"> </w:t>
      </w:r>
      <w:r w:rsidRPr="0026778F">
        <w:t xml:space="preserve">to </w:t>
      </w:r>
      <w:r w:rsidR="00BE1374">
        <w:t xml:space="preserve">more than </w:t>
      </w:r>
      <w:r w:rsidRPr="0026778F">
        <w:t>$</w:t>
      </w:r>
      <w:r w:rsidR="00BE1374">
        <w:t xml:space="preserve">100 </w:t>
      </w:r>
      <w:r w:rsidRPr="0041380A">
        <w:t xml:space="preserve">million over five years). The submission did not test different uptake rates. The commentary presented a sensitivity analysis that included all uncontrolled asthma patients eligible for </w:t>
      </w:r>
      <w:proofErr w:type="spellStart"/>
      <w:r w:rsidRPr="0041380A">
        <w:t>tiotropium</w:t>
      </w:r>
      <w:proofErr w:type="spellEnd"/>
      <w:r w:rsidRPr="0041380A">
        <w:t xml:space="preserve"> treatment with a cost to PBS/RPBS of </w:t>
      </w:r>
      <w:r w:rsidR="00014E82">
        <w:t xml:space="preserve">over </w:t>
      </w:r>
      <w:r w:rsidRPr="0041380A">
        <w:t>$</w:t>
      </w:r>
      <w:r w:rsidR="00014E82">
        <w:t>100</w:t>
      </w:r>
      <w:r w:rsidRPr="0041380A">
        <w:t> million over five years.</w:t>
      </w:r>
    </w:p>
    <w:p w:rsidR="00BF04DC" w:rsidRPr="0041380A" w:rsidRDefault="00BF04DC" w:rsidP="00EA1BFB">
      <w:pPr>
        <w:pStyle w:val="ListParagraph"/>
        <w:widowControl/>
        <w:rPr>
          <w:i/>
        </w:rPr>
      </w:pPr>
    </w:p>
    <w:p w:rsidR="00BD2840" w:rsidRPr="0041380A" w:rsidRDefault="00BD2840" w:rsidP="00BD2840">
      <w:pPr>
        <w:pStyle w:val="ListParagraph"/>
        <w:widowControl/>
        <w:numPr>
          <w:ilvl w:val="1"/>
          <w:numId w:val="9"/>
        </w:numPr>
        <w:rPr>
          <w:szCs w:val="22"/>
        </w:rPr>
      </w:pPr>
      <w:r w:rsidRPr="0041380A">
        <w:rPr>
          <w:szCs w:val="22"/>
        </w:rPr>
        <w:lastRenderedPageBreak/>
        <w:t xml:space="preserve">There is a high risk that </w:t>
      </w:r>
      <w:proofErr w:type="spellStart"/>
      <w:r w:rsidRPr="0041380A">
        <w:rPr>
          <w:szCs w:val="22"/>
        </w:rPr>
        <w:t>tiotropium</w:t>
      </w:r>
      <w:proofErr w:type="spellEnd"/>
      <w:r w:rsidRPr="0041380A">
        <w:rPr>
          <w:szCs w:val="22"/>
        </w:rPr>
        <w:t xml:space="preserve"> would be used beyond the requested restriction in patients with less severe asthma, or instead of a LABA as add-on to ICS. If asthma medicines continue to be used outside of the guidelines, and if the requested restriction for </w:t>
      </w:r>
      <w:proofErr w:type="spellStart"/>
      <w:r w:rsidRPr="0041380A">
        <w:rPr>
          <w:szCs w:val="22"/>
        </w:rPr>
        <w:t>tiotropium</w:t>
      </w:r>
      <w:proofErr w:type="spellEnd"/>
      <w:r w:rsidRPr="0041380A">
        <w:rPr>
          <w:szCs w:val="22"/>
        </w:rPr>
        <w:t xml:space="preserve"> is interpreted liberally, DUSC considered the costs for </w:t>
      </w:r>
      <w:proofErr w:type="spellStart"/>
      <w:r w:rsidRPr="0041380A">
        <w:rPr>
          <w:szCs w:val="22"/>
        </w:rPr>
        <w:t>tiotropium</w:t>
      </w:r>
      <w:proofErr w:type="spellEnd"/>
      <w:r w:rsidRPr="0041380A">
        <w:rPr>
          <w:szCs w:val="22"/>
        </w:rPr>
        <w:t xml:space="preserve"> could be higher than the estimates. </w:t>
      </w:r>
    </w:p>
    <w:p w:rsidR="00EA1BFB" w:rsidRPr="0041380A" w:rsidRDefault="00EA1BFB" w:rsidP="00EA1BFB">
      <w:pPr>
        <w:pStyle w:val="Heading2"/>
        <w:rPr>
          <w:i/>
        </w:rPr>
      </w:pPr>
    </w:p>
    <w:p w:rsidR="00EA1BFB" w:rsidRPr="0041380A" w:rsidRDefault="00EA1BFB" w:rsidP="00EA1BFB">
      <w:pPr>
        <w:pStyle w:val="Heading2"/>
        <w:rPr>
          <w:i/>
        </w:rPr>
      </w:pPr>
      <w:bookmarkStart w:id="20" w:name="_Toc419799916"/>
      <w:r w:rsidRPr="0041380A">
        <w:rPr>
          <w:i/>
        </w:rPr>
        <w:t>Quality Use of Medicines</w:t>
      </w:r>
      <w:bookmarkEnd w:id="20"/>
    </w:p>
    <w:p w:rsidR="00EA1BFB" w:rsidRPr="0041380A" w:rsidRDefault="00EA1BFB" w:rsidP="00EA1BFB">
      <w:pPr>
        <w:widowControl/>
        <w:rPr>
          <w:szCs w:val="22"/>
        </w:rPr>
      </w:pPr>
    </w:p>
    <w:p w:rsidR="00AC76B1" w:rsidRPr="0041380A" w:rsidRDefault="00AC76B1" w:rsidP="00AC76B1">
      <w:pPr>
        <w:pStyle w:val="ListParagraph"/>
        <w:widowControl/>
        <w:numPr>
          <w:ilvl w:val="1"/>
          <w:numId w:val="9"/>
        </w:numPr>
        <w:rPr>
          <w:szCs w:val="22"/>
        </w:rPr>
      </w:pPr>
      <w:r w:rsidRPr="0041380A">
        <w:t>A recent survey indicated that a large proportion of asthma patients were not compliant to chronic asthma medication.</w:t>
      </w:r>
      <w:r w:rsidR="004D1D13">
        <w:rPr>
          <w:vertAlign w:val="superscript"/>
        </w:rPr>
        <w:t>6</w:t>
      </w:r>
    </w:p>
    <w:p w:rsidR="0035082B" w:rsidRDefault="0035082B" w:rsidP="0035082B">
      <w:pPr>
        <w:pStyle w:val="ListParagraph"/>
        <w:widowControl/>
        <w:rPr>
          <w:szCs w:val="22"/>
        </w:rPr>
      </w:pPr>
    </w:p>
    <w:p w:rsidR="00AC76B1" w:rsidRDefault="00AC76B1" w:rsidP="00AC76B1">
      <w:pPr>
        <w:pStyle w:val="ListParagraph"/>
        <w:widowControl/>
        <w:numPr>
          <w:ilvl w:val="1"/>
          <w:numId w:val="9"/>
        </w:numPr>
        <w:rPr>
          <w:szCs w:val="22"/>
        </w:rPr>
      </w:pPr>
      <w:proofErr w:type="spellStart"/>
      <w:r w:rsidRPr="0035082B">
        <w:rPr>
          <w:szCs w:val="22"/>
        </w:rPr>
        <w:t>Tiotropium</w:t>
      </w:r>
      <w:proofErr w:type="spellEnd"/>
      <w:r w:rsidRPr="0035082B">
        <w:rPr>
          <w:szCs w:val="22"/>
        </w:rPr>
        <w:t xml:space="preserve"> is a controller that will provide symptomatic relief as an add-on therapy; patients will need to be educated about the need to continue preventer therapy and not substitute this inhaler for their preventer. If patients replace </w:t>
      </w:r>
      <w:proofErr w:type="spellStart"/>
      <w:r w:rsidRPr="0035082B">
        <w:rPr>
          <w:szCs w:val="22"/>
        </w:rPr>
        <w:t>tiotropium</w:t>
      </w:r>
      <w:proofErr w:type="spellEnd"/>
      <w:r w:rsidRPr="0035082B">
        <w:rPr>
          <w:szCs w:val="22"/>
        </w:rPr>
        <w:t xml:space="preserve"> for their preventer, this would likely lead to worse clinical outcomes and would likely increase the cost to Government.</w:t>
      </w:r>
    </w:p>
    <w:p w:rsidR="00AC76B1" w:rsidRPr="0035082B" w:rsidRDefault="00AC76B1" w:rsidP="00AC76B1">
      <w:pPr>
        <w:widowControl/>
        <w:rPr>
          <w:szCs w:val="22"/>
        </w:rPr>
      </w:pPr>
    </w:p>
    <w:p w:rsidR="00AC76B1" w:rsidRDefault="00AC76B1" w:rsidP="00AC76B1">
      <w:pPr>
        <w:pStyle w:val="ListParagraph"/>
        <w:widowControl/>
        <w:numPr>
          <w:ilvl w:val="1"/>
          <w:numId w:val="9"/>
        </w:numPr>
        <w:rPr>
          <w:szCs w:val="22"/>
        </w:rPr>
      </w:pPr>
      <w:r w:rsidRPr="0035082B">
        <w:rPr>
          <w:szCs w:val="22"/>
        </w:rPr>
        <w:t>This will be a new respiratory device and formulation of a currently approved medicine (</w:t>
      </w:r>
      <w:proofErr w:type="spellStart"/>
      <w:r w:rsidRPr="0035082B">
        <w:rPr>
          <w:szCs w:val="22"/>
        </w:rPr>
        <w:t>tiotropium</w:t>
      </w:r>
      <w:proofErr w:type="spellEnd"/>
      <w:r w:rsidRPr="0035082B">
        <w:rPr>
          <w:szCs w:val="22"/>
        </w:rPr>
        <w:t>, Spiriva®). There are already many different inhalers available which require different inhaler techniques. Adding to the number of inhalers available can cause confusion and increases the likelihood of poor inhaler technique.</w:t>
      </w:r>
    </w:p>
    <w:p w:rsidR="0035082B" w:rsidRPr="0035082B" w:rsidRDefault="0035082B" w:rsidP="0035082B">
      <w:pPr>
        <w:pStyle w:val="ListParagraph"/>
        <w:rPr>
          <w:szCs w:val="22"/>
        </w:rPr>
      </w:pPr>
    </w:p>
    <w:p w:rsidR="00AC76B1" w:rsidRPr="00517987" w:rsidRDefault="00AC76B1" w:rsidP="00AC76B1">
      <w:pPr>
        <w:pStyle w:val="ListParagraph"/>
        <w:widowControl/>
        <w:numPr>
          <w:ilvl w:val="1"/>
          <w:numId w:val="9"/>
        </w:numPr>
        <w:rPr>
          <w:szCs w:val="22"/>
        </w:rPr>
      </w:pPr>
      <w:r w:rsidRPr="00517987">
        <w:rPr>
          <w:szCs w:val="22"/>
        </w:rPr>
        <w:t>In</w:t>
      </w:r>
      <w:r w:rsidR="00EB0BE9">
        <w:rPr>
          <w:szCs w:val="22"/>
        </w:rPr>
        <w:t xml:space="preserve"> the P</w:t>
      </w:r>
      <w:r w:rsidRPr="00517987">
        <w:rPr>
          <w:szCs w:val="22"/>
        </w:rPr>
        <w:t>re-PBAC response, the sponsor committed to provision of educational resources to address quality use of medicines concerns.</w:t>
      </w:r>
    </w:p>
    <w:p w:rsidR="00EA1BFB" w:rsidRPr="00DC7DA9" w:rsidRDefault="00EA1BFB" w:rsidP="00EA1BFB">
      <w:pPr>
        <w:widowControl/>
        <w:rPr>
          <w:szCs w:val="22"/>
          <w:highlight w:val="yellow"/>
        </w:rPr>
      </w:pPr>
    </w:p>
    <w:p w:rsidR="00EA1BFB" w:rsidRPr="00361403" w:rsidRDefault="00EA1BFB" w:rsidP="00EA1BFB">
      <w:pPr>
        <w:pStyle w:val="Heading2"/>
        <w:rPr>
          <w:i/>
          <w:szCs w:val="22"/>
        </w:rPr>
      </w:pPr>
      <w:bookmarkStart w:id="21" w:name="_Toc419799917"/>
      <w:r w:rsidRPr="00361403">
        <w:rPr>
          <w:i/>
        </w:rPr>
        <w:t>Financial Management – Risk Sharing Arrangements</w:t>
      </w:r>
      <w:bookmarkEnd w:id="21"/>
    </w:p>
    <w:p w:rsidR="00EA1BFB" w:rsidRPr="00361403" w:rsidRDefault="00EA1BFB" w:rsidP="00EA1BFB">
      <w:pPr>
        <w:widowControl/>
        <w:rPr>
          <w:szCs w:val="22"/>
        </w:rPr>
      </w:pPr>
    </w:p>
    <w:p w:rsidR="008A23CA" w:rsidRPr="00361403" w:rsidRDefault="00EB0BE9" w:rsidP="008A23CA">
      <w:pPr>
        <w:pStyle w:val="ListParagraph"/>
        <w:widowControl/>
        <w:numPr>
          <w:ilvl w:val="1"/>
          <w:numId w:val="9"/>
        </w:numPr>
        <w:rPr>
          <w:szCs w:val="22"/>
        </w:rPr>
      </w:pPr>
      <w:r>
        <w:rPr>
          <w:szCs w:val="22"/>
        </w:rPr>
        <w:t>In the PSCR, t</w:t>
      </w:r>
      <w:r w:rsidR="008A23CA" w:rsidRPr="00361403">
        <w:rPr>
          <w:szCs w:val="22"/>
        </w:rPr>
        <w:t xml:space="preserve">he sponsor acknowledged the areas of </w:t>
      </w:r>
      <w:r w:rsidR="00D2210E" w:rsidRPr="00361403">
        <w:rPr>
          <w:szCs w:val="22"/>
        </w:rPr>
        <w:t xml:space="preserve">uncertainty </w:t>
      </w:r>
      <w:r w:rsidR="00D2210E">
        <w:rPr>
          <w:szCs w:val="22"/>
        </w:rPr>
        <w:t xml:space="preserve">with the </w:t>
      </w:r>
      <w:r w:rsidR="008A23CA" w:rsidRPr="00361403">
        <w:rPr>
          <w:szCs w:val="22"/>
        </w:rPr>
        <w:t>financial estimate</w:t>
      </w:r>
      <w:r w:rsidR="00D2210E">
        <w:rPr>
          <w:szCs w:val="22"/>
        </w:rPr>
        <w:t>s</w:t>
      </w:r>
      <w:r w:rsidR="008A23CA" w:rsidRPr="00361403">
        <w:rPr>
          <w:szCs w:val="22"/>
        </w:rPr>
        <w:t xml:space="preserve"> and </w:t>
      </w:r>
      <w:r w:rsidR="00D2210E">
        <w:rPr>
          <w:szCs w:val="22"/>
        </w:rPr>
        <w:t>wa</w:t>
      </w:r>
      <w:r w:rsidR="008A23CA" w:rsidRPr="00361403">
        <w:rPr>
          <w:szCs w:val="22"/>
        </w:rPr>
        <w:t xml:space="preserve">s willing to accept a risk sharing arrangement around the financial estimates specific to the severe asthma indication. </w:t>
      </w:r>
    </w:p>
    <w:p w:rsidR="00361403" w:rsidRPr="00361403" w:rsidRDefault="00361403" w:rsidP="00361403">
      <w:pPr>
        <w:pStyle w:val="ListParagraph"/>
        <w:widowControl/>
        <w:rPr>
          <w:szCs w:val="22"/>
        </w:rPr>
      </w:pPr>
    </w:p>
    <w:p w:rsidR="00AE488C" w:rsidRPr="00B10C7A" w:rsidRDefault="00B10C7A" w:rsidP="00517987">
      <w:pPr>
        <w:pStyle w:val="ListParagraph"/>
        <w:widowControl/>
        <w:numPr>
          <w:ilvl w:val="1"/>
          <w:numId w:val="9"/>
        </w:numPr>
        <w:rPr>
          <w:szCs w:val="22"/>
        </w:rPr>
      </w:pPr>
      <w:r w:rsidRPr="00B10C7A">
        <w:rPr>
          <w:szCs w:val="22"/>
        </w:rPr>
        <w:t xml:space="preserve">In the pre-PBAC response, the sponsor proposed a risk sharing arrangement with subsidisation caps amended from the submission estimates to increase the uptake rate in the first three years of listing, due to the level of poor asthma control identified in </w:t>
      </w:r>
      <w:r w:rsidR="00CC481A">
        <w:rPr>
          <w:szCs w:val="22"/>
        </w:rPr>
        <w:t>a recent study</w:t>
      </w:r>
      <w:r w:rsidR="00CC481A" w:rsidRPr="00CC481A">
        <w:rPr>
          <w:szCs w:val="22"/>
          <w:vertAlign w:val="superscript"/>
        </w:rPr>
        <w:t>6</w:t>
      </w:r>
      <w:r w:rsidRPr="00B10C7A">
        <w:rPr>
          <w:szCs w:val="22"/>
        </w:rPr>
        <w:t>, and with the price adjusted according to future price reductions anticipated by the sponsor.</w:t>
      </w:r>
    </w:p>
    <w:p w:rsidR="00AE488C" w:rsidRPr="00F60CFA" w:rsidRDefault="00AE488C" w:rsidP="00AE488C">
      <w:pPr>
        <w:pStyle w:val="ListParagraph"/>
        <w:widowControl/>
        <w:rPr>
          <w:szCs w:val="22"/>
        </w:rPr>
      </w:pPr>
    </w:p>
    <w:p w:rsidR="001F567B" w:rsidRPr="00F60CFA" w:rsidRDefault="00F60CFA" w:rsidP="00517987">
      <w:pPr>
        <w:pStyle w:val="ListParagraph"/>
        <w:widowControl/>
        <w:numPr>
          <w:ilvl w:val="1"/>
          <w:numId w:val="9"/>
        </w:numPr>
        <w:rPr>
          <w:szCs w:val="22"/>
        </w:rPr>
      </w:pPr>
      <w:r w:rsidRPr="00F60CFA">
        <w:rPr>
          <w:szCs w:val="22"/>
        </w:rPr>
        <w:t xml:space="preserve">The PBAC recommended a risk sharing arrangement </w:t>
      </w:r>
      <w:r w:rsidR="00D2210E">
        <w:rPr>
          <w:szCs w:val="22"/>
        </w:rPr>
        <w:t xml:space="preserve">would be appropriate </w:t>
      </w:r>
      <w:r w:rsidRPr="00F60CFA">
        <w:rPr>
          <w:szCs w:val="22"/>
        </w:rPr>
        <w:t xml:space="preserve">due to an uncertain patient population for </w:t>
      </w:r>
      <w:proofErr w:type="spellStart"/>
      <w:r w:rsidRPr="00F60CFA">
        <w:rPr>
          <w:szCs w:val="22"/>
        </w:rPr>
        <w:t>tiotropium</w:t>
      </w:r>
      <w:proofErr w:type="spellEnd"/>
      <w:r w:rsidRPr="00F60CFA">
        <w:rPr>
          <w:szCs w:val="22"/>
        </w:rPr>
        <w:t xml:space="preserve"> in asthma. The PBAC agreed with the DUSC that there is a high risk </w:t>
      </w:r>
      <w:proofErr w:type="spellStart"/>
      <w:r w:rsidRPr="00F60CFA">
        <w:rPr>
          <w:szCs w:val="22"/>
        </w:rPr>
        <w:t>tiotropium</w:t>
      </w:r>
      <w:proofErr w:type="spellEnd"/>
      <w:r w:rsidRPr="00F60CFA">
        <w:rPr>
          <w:szCs w:val="22"/>
        </w:rPr>
        <w:t xml:space="preserve"> would be used outside of the PBS restriction in patients without severe asthma, or instead of a LABA as add-on to ICS.</w:t>
      </w:r>
      <w:r w:rsidR="00323137">
        <w:rPr>
          <w:szCs w:val="22"/>
        </w:rPr>
        <w:t xml:space="preserve"> The PBAC considered it was not appropriate to adjust the financial estimates according to future potential price reductions. </w:t>
      </w:r>
    </w:p>
    <w:p w:rsidR="00EA1BFB" w:rsidRPr="00F60CFA" w:rsidRDefault="00EA1BFB" w:rsidP="00EA1BFB">
      <w:pPr>
        <w:widowControl/>
        <w:contextualSpacing/>
        <w:rPr>
          <w:bCs/>
          <w:szCs w:val="22"/>
        </w:rPr>
      </w:pPr>
    </w:p>
    <w:p w:rsidR="009E44F1" w:rsidRPr="00517987" w:rsidRDefault="002F2006" w:rsidP="00517987">
      <w:pPr>
        <w:widowControl/>
        <w:ind w:firstLine="709"/>
        <w:rPr>
          <w:i/>
          <w:szCs w:val="22"/>
        </w:rPr>
      </w:pPr>
      <w:r w:rsidRPr="00F60CFA">
        <w:rPr>
          <w:i/>
          <w:szCs w:val="22"/>
        </w:rPr>
        <w:t>For more detail on PBAC’s view, see section 7 “PBAC outcome”</w:t>
      </w:r>
    </w:p>
    <w:p w:rsidR="00785252" w:rsidRDefault="00785252" w:rsidP="00E61788">
      <w:pPr>
        <w:widowControl/>
        <w:contextualSpacing/>
        <w:rPr>
          <w:bCs/>
          <w:szCs w:val="22"/>
        </w:rPr>
      </w:pPr>
    </w:p>
    <w:p w:rsidR="009D7969" w:rsidRPr="00872E6F" w:rsidRDefault="009D7969" w:rsidP="00E61788">
      <w:pPr>
        <w:widowControl/>
        <w:contextualSpacing/>
        <w:rPr>
          <w:bCs/>
          <w:szCs w:val="22"/>
        </w:rPr>
      </w:pPr>
    </w:p>
    <w:p w:rsidR="00DC7DA9" w:rsidRPr="009E44F1" w:rsidRDefault="00DC7DA9" w:rsidP="00DC7DA9">
      <w:pPr>
        <w:numPr>
          <w:ilvl w:val="0"/>
          <w:numId w:val="9"/>
        </w:numPr>
        <w:rPr>
          <w:b/>
          <w:bCs/>
          <w:szCs w:val="22"/>
        </w:rPr>
      </w:pPr>
      <w:r w:rsidRPr="009E44F1">
        <w:rPr>
          <w:b/>
          <w:bCs/>
          <w:szCs w:val="22"/>
        </w:rPr>
        <w:t>PBAC Outcome</w:t>
      </w:r>
    </w:p>
    <w:p w:rsidR="00DC7DA9" w:rsidRPr="009E44F1" w:rsidRDefault="00DC7DA9" w:rsidP="00DC7DA9">
      <w:pPr>
        <w:contextualSpacing/>
        <w:rPr>
          <w:b/>
          <w:bCs/>
          <w:szCs w:val="22"/>
          <w:lang w:val="en-GB"/>
        </w:rPr>
      </w:pPr>
    </w:p>
    <w:p w:rsidR="009E44F1" w:rsidRPr="009232EE" w:rsidRDefault="00BE2DD1" w:rsidP="00B659BD">
      <w:pPr>
        <w:numPr>
          <w:ilvl w:val="1"/>
          <w:numId w:val="9"/>
        </w:numPr>
        <w:contextualSpacing/>
        <w:rPr>
          <w:bCs/>
          <w:szCs w:val="22"/>
        </w:rPr>
      </w:pPr>
      <w:r w:rsidRPr="009232EE">
        <w:rPr>
          <w:bCs/>
          <w:szCs w:val="22"/>
          <w:lang w:val="en-GB"/>
        </w:rPr>
        <w:t xml:space="preserve">The PBAC did not recommend the listing of </w:t>
      </w:r>
      <w:proofErr w:type="spellStart"/>
      <w:r w:rsidRPr="009232EE">
        <w:rPr>
          <w:bCs/>
          <w:szCs w:val="22"/>
          <w:lang w:val="en-GB"/>
        </w:rPr>
        <w:t>tiotropium</w:t>
      </w:r>
      <w:proofErr w:type="spellEnd"/>
      <w:r w:rsidRPr="009232EE">
        <w:rPr>
          <w:bCs/>
          <w:szCs w:val="22"/>
          <w:lang w:val="en-GB"/>
        </w:rPr>
        <w:t xml:space="preserve"> </w:t>
      </w:r>
      <w:r w:rsidR="003C134D" w:rsidRPr="009232EE">
        <w:rPr>
          <w:bCs/>
          <w:szCs w:val="22"/>
          <w:lang w:val="en-GB"/>
        </w:rPr>
        <w:t xml:space="preserve">as add-on therapy </w:t>
      </w:r>
      <w:r w:rsidRPr="009232EE">
        <w:rPr>
          <w:bCs/>
          <w:szCs w:val="22"/>
          <w:lang w:val="en-GB"/>
        </w:rPr>
        <w:t>for the treatment of severe</w:t>
      </w:r>
      <w:r w:rsidR="00B22545" w:rsidRPr="009232EE">
        <w:rPr>
          <w:bCs/>
          <w:szCs w:val="22"/>
          <w:lang w:val="en-GB"/>
        </w:rPr>
        <w:t xml:space="preserve"> </w:t>
      </w:r>
      <w:r w:rsidR="00442117" w:rsidRPr="009232EE">
        <w:rPr>
          <w:bCs/>
          <w:szCs w:val="22"/>
          <w:lang w:val="en-GB"/>
        </w:rPr>
        <w:t xml:space="preserve">uncontrolled </w:t>
      </w:r>
      <w:r w:rsidRPr="009232EE">
        <w:rPr>
          <w:bCs/>
          <w:szCs w:val="22"/>
          <w:lang w:val="en-GB"/>
        </w:rPr>
        <w:t>asthma</w:t>
      </w:r>
      <w:r w:rsidR="003C134D" w:rsidRPr="009232EE">
        <w:rPr>
          <w:bCs/>
          <w:szCs w:val="22"/>
        </w:rPr>
        <w:t>.</w:t>
      </w:r>
      <w:r w:rsidRPr="009232EE">
        <w:rPr>
          <w:lang w:val="en-GB"/>
        </w:rPr>
        <w:t xml:space="preserve"> In making its recommendation, the PBAC </w:t>
      </w:r>
      <w:r w:rsidRPr="009232EE">
        <w:rPr>
          <w:lang w:val="en-GB"/>
        </w:rPr>
        <w:lastRenderedPageBreak/>
        <w:t>considered that</w:t>
      </w:r>
      <w:r w:rsidR="003C134D" w:rsidRPr="009232EE">
        <w:rPr>
          <w:lang w:val="en-GB"/>
        </w:rPr>
        <w:t xml:space="preserve"> the economic model</w:t>
      </w:r>
      <w:r w:rsidR="000867E7" w:rsidRPr="009232EE">
        <w:rPr>
          <w:lang w:val="en-GB"/>
        </w:rPr>
        <w:t xml:space="preserve"> was </w:t>
      </w:r>
      <w:r w:rsidR="00B22545" w:rsidRPr="009232EE">
        <w:rPr>
          <w:lang w:val="en-GB"/>
        </w:rPr>
        <w:t>not reliable</w:t>
      </w:r>
      <w:r w:rsidR="009232EE">
        <w:rPr>
          <w:lang w:val="en-GB"/>
        </w:rPr>
        <w:t xml:space="preserve"> and</w:t>
      </w:r>
      <w:r w:rsidR="003C134D" w:rsidRPr="009232EE">
        <w:rPr>
          <w:lang w:val="en-GB"/>
        </w:rPr>
        <w:t xml:space="preserve"> the true cost-effectiveness of </w:t>
      </w:r>
      <w:proofErr w:type="spellStart"/>
      <w:r w:rsidR="003C134D" w:rsidRPr="009232EE">
        <w:rPr>
          <w:lang w:val="en-GB"/>
        </w:rPr>
        <w:t>tiotropium</w:t>
      </w:r>
      <w:proofErr w:type="spellEnd"/>
      <w:r w:rsidR="003C134D" w:rsidRPr="009232EE">
        <w:rPr>
          <w:lang w:val="en-GB"/>
        </w:rPr>
        <w:t xml:space="preserve"> in this setting was </w:t>
      </w:r>
      <w:r w:rsidR="00B659BD" w:rsidRPr="00B659BD">
        <w:rPr>
          <w:lang w:val="en-GB"/>
        </w:rPr>
        <w:t>probably high and highly uncertain</w:t>
      </w:r>
      <w:r w:rsidR="003C134D" w:rsidRPr="009232EE">
        <w:rPr>
          <w:lang w:val="en-GB"/>
        </w:rPr>
        <w:t>.</w:t>
      </w:r>
    </w:p>
    <w:p w:rsidR="009E44F1" w:rsidRPr="003C3927" w:rsidRDefault="009E44F1" w:rsidP="009E44F1">
      <w:pPr>
        <w:ind w:left="720"/>
        <w:contextualSpacing/>
        <w:rPr>
          <w:bCs/>
          <w:szCs w:val="22"/>
          <w:highlight w:val="yellow"/>
          <w:lang w:val="en-GB"/>
        </w:rPr>
      </w:pPr>
    </w:p>
    <w:p w:rsidR="00D2210E" w:rsidRPr="00D2210E" w:rsidRDefault="00D2210E" w:rsidP="00D2210E">
      <w:pPr>
        <w:numPr>
          <w:ilvl w:val="1"/>
          <w:numId w:val="9"/>
        </w:numPr>
        <w:contextualSpacing/>
        <w:rPr>
          <w:bCs/>
          <w:szCs w:val="22"/>
          <w:lang w:val="en-GB"/>
        </w:rPr>
      </w:pPr>
      <w:r w:rsidRPr="001636B2">
        <w:rPr>
          <w:bCs/>
          <w:szCs w:val="22"/>
          <w:lang w:val="en-GB"/>
        </w:rPr>
        <w:t xml:space="preserve">The PBAC accepted the clinical place for </w:t>
      </w:r>
      <w:proofErr w:type="spellStart"/>
      <w:r w:rsidRPr="001636B2">
        <w:rPr>
          <w:bCs/>
          <w:szCs w:val="22"/>
          <w:lang w:val="en-GB"/>
        </w:rPr>
        <w:t>tiotropium</w:t>
      </w:r>
      <w:proofErr w:type="spellEnd"/>
      <w:r w:rsidRPr="001636B2">
        <w:t xml:space="preserve"> as an add-on therapy to an ICS and a LABA for adult patients with severe persistent asthma who have experienced at least one serious exacerbation in the previous year. The PBAC </w:t>
      </w:r>
      <w:r>
        <w:t xml:space="preserve">noted the comments from The Lung Foundation and </w:t>
      </w:r>
      <w:r w:rsidRPr="00DB028A">
        <w:rPr>
          <w:bCs/>
          <w:szCs w:val="22"/>
        </w:rPr>
        <w:t>The Centre of Research Excellence in Severe Asthma</w:t>
      </w:r>
      <w:r>
        <w:rPr>
          <w:bCs/>
          <w:szCs w:val="22"/>
        </w:rPr>
        <w:t xml:space="preserve"> and </w:t>
      </w:r>
      <w:r>
        <w:t>agre</w:t>
      </w:r>
      <w:r w:rsidRPr="001636B2">
        <w:t xml:space="preserve">ed that there is a need for additional treatments for severe </w:t>
      </w:r>
      <w:r>
        <w:t xml:space="preserve">uncontrolled </w:t>
      </w:r>
      <w:r w:rsidRPr="001636B2">
        <w:t>asthma.</w:t>
      </w:r>
    </w:p>
    <w:p w:rsidR="00D2210E" w:rsidRDefault="00D2210E" w:rsidP="00D2210E">
      <w:pPr>
        <w:pStyle w:val="ListParagraph"/>
      </w:pPr>
    </w:p>
    <w:p w:rsidR="009E44F1" w:rsidRPr="00D2210E" w:rsidRDefault="001636B2" w:rsidP="009E44F1">
      <w:pPr>
        <w:numPr>
          <w:ilvl w:val="1"/>
          <w:numId w:val="9"/>
        </w:numPr>
        <w:contextualSpacing/>
        <w:rPr>
          <w:bCs/>
          <w:szCs w:val="22"/>
          <w:lang w:val="en-GB"/>
        </w:rPr>
      </w:pPr>
      <w:r w:rsidRPr="00D2210E">
        <w:rPr>
          <w:bCs/>
          <w:szCs w:val="22"/>
          <w:lang w:val="en-GB"/>
        </w:rPr>
        <w:t xml:space="preserve">The PBAC </w:t>
      </w:r>
      <w:r w:rsidR="00156754" w:rsidRPr="00D2210E">
        <w:rPr>
          <w:bCs/>
          <w:szCs w:val="22"/>
          <w:lang w:val="en-GB"/>
        </w:rPr>
        <w:t>agreed with the changes to the restriction wording that were suggested by the Secretariat, ESC and DUSC</w:t>
      </w:r>
      <w:r w:rsidR="009232EE" w:rsidRPr="00D2210E">
        <w:rPr>
          <w:bCs/>
          <w:szCs w:val="22"/>
          <w:lang w:val="en-GB"/>
        </w:rPr>
        <w:t>; including that the exacerbation in the previous 12 months must have been a se</w:t>
      </w:r>
      <w:r w:rsidR="00D2210E" w:rsidRPr="00D2210E">
        <w:rPr>
          <w:bCs/>
          <w:szCs w:val="22"/>
          <w:lang w:val="en-GB"/>
        </w:rPr>
        <w:t>vere</w:t>
      </w:r>
      <w:r w:rsidR="009232EE" w:rsidRPr="00D2210E">
        <w:rPr>
          <w:bCs/>
          <w:szCs w:val="22"/>
          <w:lang w:val="en-GB"/>
        </w:rPr>
        <w:t xml:space="preserve"> exacerbation, the treatment must be in combination with an ICS and a LABA, and that high dose budesonide should be defined as </w:t>
      </w:r>
      <w:r w:rsidR="009232EE" w:rsidRPr="009232EE">
        <w:t>≥800 µg/day rather than ≥1600 µg/day</w:t>
      </w:r>
      <w:r w:rsidR="00156754" w:rsidRPr="00D2210E">
        <w:rPr>
          <w:bCs/>
          <w:szCs w:val="22"/>
          <w:lang w:val="en-GB"/>
        </w:rPr>
        <w:t>. The PBAC consider</w:t>
      </w:r>
      <w:r w:rsidR="009232EE" w:rsidRPr="00D2210E">
        <w:rPr>
          <w:bCs/>
          <w:szCs w:val="22"/>
          <w:lang w:val="en-GB"/>
        </w:rPr>
        <w:t>ed</w:t>
      </w:r>
      <w:r w:rsidR="00410DAE">
        <w:rPr>
          <w:bCs/>
          <w:szCs w:val="22"/>
          <w:lang w:val="en-GB"/>
        </w:rPr>
        <w:t xml:space="preserve"> the pre</w:t>
      </w:r>
      <w:r w:rsidR="00410DAE">
        <w:rPr>
          <w:bCs/>
          <w:szCs w:val="22"/>
          <w:lang w:val="en-GB"/>
        </w:rPr>
        <w:noBreakHyphen/>
      </w:r>
      <w:r w:rsidR="00156754" w:rsidRPr="00D2210E">
        <w:rPr>
          <w:bCs/>
          <w:szCs w:val="22"/>
          <w:lang w:val="en-GB"/>
        </w:rPr>
        <w:t xml:space="preserve">PBAC suggestion of adding ‘consider consultation with a specialist physician’ </w:t>
      </w:r>
      <w:r w:rsidR="009232EE" w:rsidRPr="00D2210E">
        <w:rPr>
          <w:bCs/>
          <w:szCs w:val="22"/>
          <w:lang w:val="en-GB"/>
        </w:rPr>
        <w:t xml:space="preserve">was not </w:t>
      </w:r>
      <w:r w:rsidR="00156754" w:rsidRPr="00D2210E">
        <w:rPr>
          <w:bCs/>
          <w:szCs w:val="22"/>
          <w:lang w:val="en-GB"/>
        </w:rPr>
        <w:t>necessary.</w:t>
      </w:r>
    </w:p>
    <w:p w:rsidR="009E44F1" w:rsidRPr="001636B2" w:rsidRDefault="009E44F1" w:rsidP="009E44F1">
      <w:pPr>
        <w:ind w:left="720"/>
        <w:contextualSpacing/>
        <w:rPr>
          <w:bCs/>
          <w:szCs w:val="22"/>
          <w:lang w:val="en-GB"/>
        </w:rPr>
      </w:pPr>
    </w:p>
    <w:p w:rsidR="001636B2" w:rsidRPr="0063091A" w:rsidRDefault="001636B2" w:rsidP="001636B2">
      <w:pPr>
        <w:pStyle w:val="ListParagraph"/>
        <w:widowControl/>
        <w:numPr>
          <w:ilvl w:val="1"/>
          <w:numId w:val="9"/>
        </w:numPr>
        <w:rPr>
          <w:szCs w:val="22"/>
        </w:rPr>
      </w:pPr>
      <w:r w:rsidRPr="001636B2">
        <w:rPr>
          <w:bCs/>
          <w:szCs w:val="22"/>
          <w:lang w:val="en-GB"/>
        </w:rPr>
        <w:t xml:space="preserve">The PBAC agreed that </w:t>
      </w:r>
      <w:r w:rsidRPr="001636B2">
        <w:t>placebo plus ICS and LABA was</w:t>
      </w:r>
      <w:r w:rsidRPr="00B46F3B">
        <w:t xml:space="preserve"> the appropriate comparator.</w:t>
      </w:r>
    </w:p>
    <w:p w:rsidR="009E44F1" w:rsidRPr="00EC2841" w:rsidRDefault="009E44F1" w:rsidP="009E44F1">
      <w:pPr>
        <w:ind w:left="720"/>
        <w:contextualSpacing/>
        <w:rPr>
          <w:bCs/>
          <w:szCs w:val="22"/>
          <w:lang w:val="en-GB"/>
        </w:rPr>
      </w:pPr>
    </w:p>
    <w:p w:rsidR="009E44F1" w:rsidRPr="00616742" w:rsidRDefault="00D2210E" w:rsidP="00D869A2">
      <w:pPr>
        <w:pStyle w:val="ListParagraph"/>
        <w:numPr>
          <w:ilvl w:val="1"/>
          <w:numId w:val="9"/>
        </w:numPr>
      </w:pPr>
      <w:r>
        <w:t xml:space="preserve">In considering the key trial evidence, </w:t>
      </w:r>
      <w:r w:rsidR="00D869A2">
        <w:t xml:space="preserve">a combined analysis of Trials 205.416 and </w:t>
      </w:r>
      <w:r w:rsidR="00D869A2" w:rsidRPr="00D869A2">
        <w:t>205.417</w:t>
      </w:r>
      <w:r w:rsidR="00D869A2">
        <w:t>, t</w:t>
      </w:r>
      <w:r w:rsidR="00EE060D" w:rsidRPr="00EE060D">
        <w:t xml:space="preserve">he PBAC agreed that the comparative benefit of add-on </w:t>
      </w:r>
      <w:proofErr w:type="spellStart"/>
      <w:r w:rsidR="00EE060D" w:rsidRPr="00EE060D">
        <w:t>tiotropium</w:t>
      </w:r>
      <w:proofErr w:type="spellEnd"/>
      <w:r w:rsidR="00EE060D" w:rsidRPr="00EE060D">
        <w:t xml:space="preserve"> over placebo was adequately supported in terms of statistical measures and </w:t>
      </w:r>
      <w:proofErr w:type="spellStart"/>
      <w:r w:rsidR="00EE060D" w:rsidRPr="00EE060D">
        <w:t>tiotropium</w:t>
      </w:r>
      <w:proofErr w:type="spellEnd"/>
      <w:r w:rsidR="00EE060D" w:rsidRPr="00EE060D">
        <w:t xml:space="preserve"> provided superior efficacy to placebo in terms of trough FEV</w:t>
      </w:r>
      <w:r w:rsidR="00EE060D" w:rsidRPr="00616742">
        <w:rPr>
          <w:vertAlign w:val="subscript"/>
        </w:rPr>
        <w:t>1</w:t>
      </w:r>
      <w:r w:rsidR="00EE060D" w:rsidRPr="00EE060D">
        <w:t>, time to first exacerbation, time to first severe exacerbation and ACQ-7 score.</w:t>
      </w:r>
      <w:r w:rsidR="00EE060D">
        <w:t xml:space="preserve"> The PBAC considered that the incremental benefit in trough </w:t>
      </w:r>
      <w:r w:rsidR="00EE060D" w:rsidRPr="00EE060D">
        <w:t>FEV</w:t>
      </w:r>
      <w:r w:rsidR="00EE060D" w:rsidRPr="00616742">
        <w:rPr>
          <w:vertAlign w:val="subscript"/>
        </w:rPr>
        <w:t>1</w:t>
      </w:r>
      <w:r w:rsidR="00EE060D">
        <w:t xml:space="preserve"> for patients with persistent severe uncontrolled asthma was likely to be clinically meaningful. However, the PBAC questioned</w:t>
      </w:r>
      <w:r w:rsidR="00616742">
        <w:t xml:space="preserve"> the </w:t>
      </w:r>
      <w:r w:rsidR="00616742" w:rsidRPr="00616742">
        <w:t xml:space="preserve">emphasis on the time to first exacerbation (any), which was more convincing statistically </w:t>
      </w:r>
      <w:r w:rsidR="00616742">
        <w:t xml:space="preserve">than </w:t>
      </w:r>
      <w:r w:rsidR="00616742" w:rsidRPr="00616742">
        <w:t>the time to first severe exacerbation,</w:t>
      </w:r>
      <w:r w:rsidR="00616742">
        <w:t xml:space="preserve"> </w:t>
      </w:r>
      <w:r w:rsidR="00616742" w:rsidRPr="00616742">
        <w:t xml:space="preserve">but may not be </w:t>
      </w:r>
      <w:r w:rsidR="00616742">
        <w:t xml:space="preserve">as </w:t>
      </w:r>
      <w:r w:rsidR="00616742" w:rsidRPr="00616742">
        <w:t>clinically or resource meaningful.</w:t>
      </w:r>
      <w:r w:rsidR="006B13CC">
        <w:t xml:space="preserve"> The PBAC also noted differences in the trough FEV</w:t>
      </w:r>
      <w:r w:rsidR="006B13CC" w:rsidRPr="006B13CC">
        <w:rPr>
          <w:vertAlign w:val="subscript"/>
        </w:rPr>
        <w:t>1</w:t>
      </w:r>
      <w:r w:rsidR="006B13CC">
        <w:t xml:space="preserve"> and peak FEV</w:t>
      </w:r>
      <w:r w:rsidR="006B13CC" w:rsidRPr="006B13CC">
        <w:rPr>
          <w:vertAlign w:val="subscript"/>
        </w:rPr>
        <w:t>1</w:t>
      </w:r>
      <w:r w:rsidR="006B13CC">
        <w:t xml:space="preserve"> values between the two clinical trials.</w:t>
      </w:r>
    </w:p>
    <w:p w:rsidR="009E44F1" w:rsidRPr="00EE060D" w:rsidRDefault="009E44F1" w:rsidP="009E44F1">
      <w:pPr>
        <w:ind w:left="720"/>
        <w:contextualSpacing/>
        <w:rPr>
          <w:bCs/>
          <w:szCs w:val="22"/>
          <w:lang w:val="en-GB"/>
        </w:rPr>
      </w:pPr>
    </w:p>
    <w:p w:rsidR="009E44F1" w:rsidRPr="0018409D" w:rsidRDefault="0018409D" w:rsidP="009E44F1">
      <w:pPr>
        <w:numPr>
          <w:ilvl w:val="1"/>
          <w:numId w:val="9"/>
        </w:numPr>
        <w:contextualSpacing/>
        <w:rPr>
          <w:bCs/>
          <w:szCs w:val="22"/>
          <w:lang w:val="en-GB"/>
        </w:rPr>
      </w:pPr>
      <w:r w:rsidRPr="00EE060D">
        <w:rPr>
          <w:bCs/>
          <w:szCs w:val="22"/>
          <w:lang w:val="en-GB"/>
        </w:rPr>
        <w:t>The PBAC agreed that t</w:t>
      </w:r>
      <w:proofErr w:type="spellStart"/>
      <w:r w:rsidRPr="00EE060D">
        <w:t>iotropium</w:t>
      </w:r>
      <w:proofErr w:type="spellEnd"/>
      <w:r w:rsidRPr="00EE060D">
        <w:t xml:space="preserve"> did not result in any difference</w:t>
      </w:r>
      <w:r w:rsidRPr="0018409D">
        <w:t xml:space="preserve"> in relative risk for adverse events leading to discontinuation, severe adverse events or serious adverse events over placebo controlled usual care.</w:t>
      </w:r>
    </w:p>
    <w:p w:rsidR="009E44F1" w:rsidRPr="009B3F39" w:rsidRDefault="009E44F1" w:rsidP="009E44F1">
      <w:pPr>
        <w:ind w:left="720"/>
        <w:contextualSpacing/>
        <w:rPr>
          <w:bCs/>
          <w:szCs w:val="22"/>
          <w:lang w:val="en-GB"/>
        </w:rPr>
      </w:pPr>
    </w:p>
    <w:p w:rsidR="00563B71" w:rsidRPr="0026787A" w:rsidRDefault="00AE264C" w:rsidP="0026787A">
      <w:pPr>
        <w:numPr>
          <w:ilvl w:val="1"/>
          <w:numId w:val="9"/>
        </w:numPr>
        <w:contextualSpacing/>
        <w:rPr>
          <w:bCs/>
          <w:szCs w:val="22"/>
          <w:lang w:val="en-GB"/>
        </w:rPr>
      </w:pPr>
      <w:r w:rsidRPr="009B3F39">
        <w:rPr>
          <w:bCs/>
          <w:szCs w:val="22"/>
          <w:lang w:val="en-GB"/>
        </w:rPr>
        <w:t xml:space="preserve">The PBAC considered the model structure </w:t>
      </w:r>
      <w:r w:rsidR="00563B71" w:rsidRPr="009B3F39">
        <w:rPr>
          <w:bCs/>
          <w:szCs w:val="22"/>
          <w:lang w:val="en-GB"/>
        </w:rPr>
        <w:t xml:space="preserve">problematic, </w:t>
      </w:r>
      <w:r w:rsidRPr="009B3F39">
        <w:rPr>
          <w:bCs/>
          <w:szCs w:val="22"/>
          <w:lang w:val="en-GB"/>
        </w:rPr>
        <w:t xml:space="preserve">as </w:t>
      </w:r>
      <w:r w:rsidR="00563B71" w:rsidRPr="009B3F39">
        <w:rPr>
          <w:bCs/>
          <w:szCs w:val="22"/>
          <w:lang w:val="en-GB"/>
        </w:rPr>
        <w:t xml:space="preserve">separation of control states from exacerbation states created the possibility that </w:t>
      </w:r>
      <w:r w:rsidR="00A754B1">
        <w:rPr>
          <w:bCs/>
          <w:szCs w:val="22"/>
          <w:lang w:val="en-GB"/>
        </w:rPr>
        <w:t xml:space="preserve">the impact of </w:t>
      </w:r>
      <w:r w:rsidR="00563B71" w:rsidRPr="009B3F39">
        <w:rPr>
          <w:bCs/>
          <w:szCs w:val="22"/>
          <w:lang w:val="en-GB"/>
        </w:rPr>
        <w:t>exacerbations could be double counted.</w:t>
      </w:r>
      <w:r w:rsidR="00B901FA" w:rsidRPr="009B3F39">
        <w:rPr>
          <w:bCs/>
          <w:szCs w:val="22"/>
          <w:lang w:val="en-GB"/>
        </w:rPr>
        <w:t xml:space="preserve"> The PBAC also noted the </w:t>
      </w:r>
      <w:proofErr w:type="spellStart"/>
      <w:r w:rsidR="00B901FA" w:rsidRPr="009B3F39">
        <w:rPr>
          <w:bCs/>
          <w:szCs w:val="22"/>
          <w:lang w:val="en-GB"/>
        </w:rPr>
        <w:t>disjunct</w:t>
      </w:r>
      <w:proofErr w:type="spellEnd"/>
      <w:r w:rsidR="00B901FA" w:rsidRPr="009B3F39">
        <w:rPr>
          <w:bCs/>
          <w:szCs w:val="22"/>
          <w:lang w:val="en-GB"/>
        </w:rPr>
        <w:t xml:space="preserve"> between the trial time horizon and the model duration.</w:t>
      </w:r>
      <w:r w:rsidR="00563B71" w:rsidRPr="009B3F39">
        <w:rPr>
          <w:bCs/>
          <w:szCs w:val="22"/>
          <w:lang w:val="en-GB"/>
        </w:rPr>
        <w:t xml:space="preserve"> The PBAC was concerned that the modelled outcomes were not the clinical outcomes in the key trial and that translating ‘any exacerbation’ </w:t>
      </w:r>
      <w:r w:rsidR="00701D32" w:rsidRPr="009B3F39">
        <w:rPr>
          <w:bCs/>
          <w:szCs w:val="22"/>
          <w:lang w:val="en-GB"/>
        </w:rPr>
        <w:t xml:space="preserve">into the economic model </w:t>
      </w:r>
      <w:r w:rsidR="00563B71" w:rsidRPr="009B3F39">
        <w:rPr>
          <w:bCs/>
          <w:szCs w:val="22"/>
          <w:lang w:val="en-GB"/>
        </w:rPr>
        <w:t xml:space="preserve">rather than ‘severe exacerbations’ </w:t>
      </w:r>
      <w:r w:rsidR="00701D32" w:rsidRPr="009B3F39">
        <w:rPr>
          <w:bCs/>
          <w:szCs w:val="22"/>
          <w:lang w:val="en-GB"/>
        </w:rPr>
        <w:t>may not have been as clinically meaningful.</w:t>
      </w:r>
      <w:r w:rsidR="009B3F39" w:rsidRPr="009B3F39">
        <w:rPr>
          <w:bCs/>
          <w:szCs w:val="22"/>
          <w:lang w:val="en-GB"/>
        </w:rPr>
        <w:t xml:space="preserve"> </w:t>
      </w:r>
      <w:r w:rsidR="009B3F39">
        <w:rPr>
          <w:bCs/>
          <w:szCs w:val="22"/>
          <w:lang w:val="en-GB"/>
        </w:rPr>
        <w:t xml:space="preserve">The PBAC considered the assumption that severe exacerbations last two weeks may have over-represented this health state. </w:t>
      </w:r>
      <w:r w:rsidR="009B3F39" w:rsidRPr="009B3F39">
        <w:rPr>
          <w:bCs/>
          <w:szCs w:val="22"/>
          <w:lang w:val="en-GB"/>
        </w:rPr>
        <w:t>The PBAC noted that the model was highly sensitive to small changes in the transition probabilities. Due to these issues with the economic model, the PBAC was not confident in the ICER presented and considered that the true cost-effectiveness was uncertain.</w:t>
      </w:r>
      <w:r w:rsidR="0026787A">
        <w:rPr>
          <w:bCs/>
          <w:szCs w:val="22"/>
          <w:lang w:val="en-GB"/>
        </w:rPr>
        <w:t xml:space="preserve"> The PBAC considered the variability in the ICER resulting from minor changes to the PSCR revised analysis highlighted the uncertainty of the true c</w:t>
      </w:r>
      <w:r w:rsidR="00410DAE">
        <w:rPr>
          <w:bCs/>
          <w:szCs w:val="22"/>
          <w:lang w:val="en-GB"/>
        </w:rPr>
        <w:t>ost</w:t>
      </w:r>
      <w:r w:rsidR="00410DAE">
        <w:rPr>
          <w:bCs/>
          <w:szCs w:val="22"/>
          <w:lang w:val="en-GB"/>
        </w:rPr>
        <w:noBreakHyphen/>
      </w:r>
      <w:r w:rsidR="0026787A">
        <w:rPr>
          <w:bCs/>
          <w:szCs w:val="22"/>
          <w:lang w:val="en-GB"/>
        </w:rPr>
        <w:t>effectiveness</w:t>
      </w:r>
      <w:r w:rsidR="00052158">
        <w:rPr>
          <w:bCs/>
          <w:szCs w:val="22"/>
          <w:lang w:val="en-GB"/>
        </w:rPr>
        <w:t xml:space="preserve"> of </w:t>
      </w:r>
      <w:proofErr w:type="spellStart"/>
      <w:r w:rsidR="00052158">
        <w:rPr>
          <w:bCs/>
          <w:szCs w:val="22"/>
          <w:lang w:val="en-GB"/>
        </w:rPr>
        <w:t>tiotropium</w:t>
      </w:r>
      <w:proofErr w:type="spellEnd"/>
      <w:r w:rsidR="00052158">
        <w:rPr>
          <w:bCs/>
          <w:szCs w:val="22"/>
          <w:lang w:val="en-GB"/>
        </w:rPr>
        <w:t xml:space="preserve"> in this setting.</w:t>
      </w:r>
    </w:p>
    <w:p w:rsidR="009E44F1" w:rsidRPr="003C3927" w:rsidRDefault="009E44F1" w:rsidP="009E44F1">
      <w:pPr>
        <w:ind w:left="720"/>
        <w:contextualSpacing/>
        <w:rPr>
          <w:bCs/>
          <w:szCs w:val="22"/>
          <w:highlight w:val="yellow"/>
          <w:lang w:val="en-GB"/>
        </w:rPr>
      </w:pPr>
    </w:p>
    <w:p w:rsidR="009E44F1" w:rsidRPr="005343AF" w:rsidRDefault="003C134D" w:rsidP="009E44F1">
      <w:pPr>
        <w:numPr>
          <w:ilvl w:val="1"/>
          <w:numId w:val="9"/>
        </w:numPr>
        <w:contextualSpacing/>
        <w:rPr>
          <w:bCs/>
          <w:szCs w:val="22"/>
          <w:lang w:val="en-GB"/>
        </w:rPr>
      </w:pPr>
      <w:r w:rsidRPr="005343AF">
        <w:rPr>
          <w:bCs/>
          <w:szCs w:val="22"/>
          <w:lang w:val="en-GB"/>
        </w:rPr>
        <w:lastRenderedPageBreak/>
        <w:t>The PBAC considered that</w:t>
      </w:r>
      <w:r w:rsidR="000867E7" w:rsidRPr="005343AF">
        <w:rPr>
          <w:bCs/>
          <w:szCs w:val="22"/>
          <w:lang w:val="en-GB"/>
        </w:rPr>
        <w:t xml:space="preserve"> while the estimates of use within the requested restriction </w:t>
      </w:r>
      <w:r w:rsidR="005343AF">
        <w:rPr>
          <w:bCs/>
          <w:szCs w:val="22"/>
          <w:lang w:val="en-GB"/>
        </w:rPr>
        <w:t>may be</w:t>
      </w:r>
      <w:r w:rsidR="000867E7" w:rsidRPr="005343AF">
        <w:rPr>
          <w:bCs/>
          <w:szCs w:val="22"/>
          <w:lang w:val="en-GB"/>
        </w:rPr>
        <w:t xml:space="preserve"> reasonable,</w:t>
      </w:r>
      <w:r w:rsidRPr="005343AF">
        <w:rPr>
          <w:bCs/>
          <w:szCs w:val="22"/>
          <w:lang w:val="en-GB"/>
        </w:rPr>
        <w:t xml:space="preserve"> the true number of patients who would use </w:t>
      </w:r>
      <w:proofErr w:type="spellStart"/>
      <w:r w:rsidRPr="005343AF">
        <w:rPr>
          <w:bCs/>
          <w:szCs w:val="22"/>
          <w:lang w:val="en-GB"/>
        </w:rPr>
        <w:t>tiotropium</w:t>
      </w:r>
      <w:proofErr w:type="spellEnd"/>
      <w:r w:rsidRPr="005343AF">
        <w:rPr>
          <w:bCs/>
          <w:szCs w:val="22"/>
          <w:lang w:val="en-GB"/>
        </w:rPr>
        <w:t xml:space="preserve"> for asthma was uncertain. </w:t>
      </w:r>
      <w:r w:rsidR="00B22545" w:rsidRPr="005343AF">
        <w:rPr>
          <w:bCs/>
          <w:szCs w:val="22"/>
          <w:lang w:val="en-GB"/>
        </w:rPr>
        <w:t xml:space="preserve">The PBAC was concerned that </w:t>
      </w:r>
      <w:proofErr w:type="spellStart"/>
      <w:r w:rsidR="00B22545" w:rsidRPr="005343AF">
        <w:rPr>
          <w:bCs/>
          <w:szCs w:val="22"/>
          <w:lang w:val="en-GB"/>
        </w:rPr>
        <w:t>tiotropium</w:t>
      </w:r>
      <w:proofErr w:type="spellEnd"/>
      <w:r w:rsidR="00B22545" w:rsidRPr="005343AF">
        <w:rPr>
          <w:bCs/>
          <w:szCs w:val="22"/>
          <w:lang w:val="en-GB"/>
        </w:rPr>
        <w:t xml:space="preserve"> could be used beyond the restriction to treat less severe asthma; a population that was not supported by the clinical evidence and in which cost-effectiveness was not tested. </w:t>
      </w:r>
      <w:r w:rsidRPr="005343AF">
        <w:rPr>
          <w:bCs/>
          <w:szCs w:val="22"/>
          <w:lang w:val="en-GB"/>
        </w:rPr>
        <w:t xml:space="preserve">However the PBAC noted this could be mitigated through a risk sharing arrangement. </w:t>
      </w:r>
    </w:p>
    <w:p w:rsidR="009E44F1" w:rsidRPr="000867E7" w:rsidRDefault="009E44F1" w:rsidP="009E44F1">
      <w:pPr>
        <w:ind w:left="720"/>
        <w:contextualSpacing/>
        <w:rPr>
          <w:bCs/>
          <w:szCs w:val="22"/>
          <w:lang w:val="en-GB"/>
        </w:rPr>
      </w:pPr>
    </w:p>
    <w:p w:rsidR="00DC7DA9" w:rsidRDefault="000867E7" w:rsidP="00DC7DA9">
      <w:pPr>
        <w:numPr>
          <w:ilvl w:val="1"/>
          <w:numId w:val="9"/>
        </w:numPr>
        <w:contextualSpacing/>
        <w:rPr>
          <w:bCs/>
          <w:szCs w:val="22"/>
          <w:lang w:val="en-GB"/>
        </w:rPr>
      </w:pPr>
      <w:r w:rsidRPr="000867E7">
        <w:rPr>
          <w:bCs/>
          <w:szCs w:val="22"/>
          <w:lang w:val="en-GB"/>
        </w:rPr>
        <w:t>The PBAC considered that any re-submission would need a new economic model</w:t>
      </w:r>
      <w:r w:rsidR="00B22545">
        <w:rPr>
          <w:bCs/>
          <w:szCs w:val="22"/>
          <w:lang w:val="en-GB"/>
        </w:rPr>
        <w:t xml:space="preserve"> based on asthma control states</w:t>
      </w:r>
      <w:r w:rsidRPr="000867E7">
        <w:rPr>
          <w:bCs/>
          <w:szCs w:val="22"/>
          <w:lang w:val="en-GB"/>
        </w:rPr>
        <w:t xml:space="preserve">, and would therefore need to be evaluated as a major resubmission. </w:t>
      </w:r>
    </w:p>
    <w:p w:rsidR="009D7969" w:rsidRDefault="009D7969" w:rsidP="009D7969">
      <w:pPr>
        <w:pStyle w:val="ListParagraph"/>
        <w:rPr>
          <w:bCs/>
          <w:szCs w:val="22"/>
          <w:lang w:val="en-GB"/>
        </w:rPr>
      </w:pPr>
    </w:p>
    <w:p w:rsidR="009D7969" w:rsidRPr="004A7CF5" w:rsidRDefault="009D7969" w:rsidP="009D7969">
      <w:pPr>
        <w:numPr>
          <w:ilvl w:val="1"/>
          <w:numId w:val="9"/>
        </w:numPr>
        <w:contextualSpacing/>
        <w:rPr>
          <w:b/>
          <w:bCs/>
          <w:szCs w:val="22"/>
          <w:lang w:val="en-GB"/>
        </w:rPr>
      </w:pPr>
      <w:r w:rsidRPr="004A7CF5">
        <w:rPr>
          <w:bCs/>
          <w:szCs w:val="22"/>
          <w:lang w:val="en-GB"/>
        </w:rPr>
        <w:t xml:space="preserve">The PBAC noted that this submission is eligible for an Independent Review. </w:t>
      </w:r>
    </w:p>
    <w:p w:rsidR="00DC7DA9" w:rsidRPr="006C307E" w:rsidRDefault="00DC7DA9" w:rsidP="00DC7DA9">
      <w:pPr>
        <w:rPr>
          <w:b/>
          <w:bCs/>
          <w:szCs w:val="22"/>
          <w:highlight w:val="yellow"/>
          <w:lang w:val="en-GB"/>
        </w:rPr>
      </w:pPr>
    </w:p>
    <w:p w:rsidR="00DC7DA9" w:rsidRPr="00176BF6" w:rsidRDefault="00DC7DA9" w:rsidP="00DC7DA9">
      <w:pPr>
        <w:rPr>
          <w:b/>
          <w:bCs/>
          <w:szCs w:val="22"/>
          <w:lang w:val="en-GB"/>
        </w:rPr>
      </w:pPr>
      <w:r w:rsidRPr="00176BF6">
        <w:rPr>
          <w:b/>
          <w:bCs/>
          <w:szCs w:val="22"/>
          <w:lang w:val="en-GB"/>
        </w:rPr>
        <w:t>Outcome:</w:t>
      </w:r>
    </w:p>
    <w:p w:rsidR="007A5D55" w:rsidRDefault="009B3F39" w:rsidP="00E107DF">
      <w:pPr>
        <w:rPr>
          <w:bCs/>
          <w:szCs w:val="22"/>
          <w:lang w:val="en-GB"/>
        </w:rPr>
      </w:pPr>
      <w:r w:rsidRPr="00176BF6">
        <w:rPr>
          <w:bCs/>
          <w:szCs w:val="22"/>
          <w:lang w:val="en-GB"/>
        </w:rPr>
        <w:t>Rejected</w:t>
      </w:r>
    </w:p>
    <w:p w:rsidR="00EF4E20" w:rsidRDefault="00EF4E20" w:rsidP="00E107DF">
      <w:pPr>
        <w:rPr>
          <w:bCs/>
          <w:szCs w:val="22"/>
          <w:lang w:val="en-GB"/>
        </w:rPr>
      </w:pPr>
    </w:p>
    <w:p w:rsidR="00410DAE" w:rsidRDefault="00410DAE" w:rsidP="00E107DF">
      <w:pPr>
        <w:rPr>
          <w:bCs/>
          <w:szCs w:val="22"/>
          <w:lang w:val="en-GB"/>
        </w:rPr>
      </w:pPr>
    </w:p>
    <w:p w:rsidR="00EF4E20" w:rsidRPr="00AE36A8" w:rsidRDefault="00AE36A8" w:rsidP="00AE36A8">
      <w:pPr>
        <w:rPr>
          <w:b/>
          <w:bCs/>
          <w:szCs w:val="22"/>
          <w:lang w:val="en-GB" w:eastAsia="en-AU"/>
        </w:rPr>
      </w:pPr>
      <w:r>
        <w:rPr>
          <w:b/>
          <w:bCs/>
          <w:szCs w:val="22"/>
          <w:lang w:val="en-GB" w:eastAsia="en-AU"/>
        </w:rPr>
        <w:t>8</w:t>
      </w:r>
      <w:r>
        <w:rPr>
          <w:b/>
          <w:bCs/>
          <w:szCs w:val="22"/>
          <w:lang w:val="en-GB" w:eastAsia="en-AU"/>
        </w:rPr>
        <w:tab/>
      </w:r>
      <w:r w:rsidR="00EF4E20" w:rsidRPr="00AE36A8">
        <w:rPr>
          <w:b/>
          <w:bCs/>
          <w:szCs w:val="22"/>
          <w:lang w:val="en-GB" w:eastAsia="en-AU"/>
        </w:rPr>
        <w:t xml:space="preserve">Context for Decision </w:t>
      </w:r>
    </w:p>
    <w:p w:rsidR="00EF4E20" w:rsidRPr="00AE36A8" w:rsidRDefault="00EF4E20" w:rsidP="00EF4E20">
      <w:pPr>
        <w:rPr>
          <w:szCs w:val="22"/>
        </w:rPr>
      </w:pPr>
    </w:p>
    <w:p w:rsidR="00EF4E20" w:rsidRPr="006A0483" w:rsidRDefault="00EF4E20" w:rsidP="00EF4E20">
      <w:pPr>
        <w:rPr>
          <w:szCs w:val="22"/>
        </w:rPr>
      </w:pPr>
      <w:r w:rsidRPr="0026778F">
        <w:rPr>
          <w:szCs w:val="22"/>
        </w:rPr>
        <w:t xml:space="preserve">The PBAC helps decide whether and, if so, how medicines should be subsidised in Australia. It considers submissions in this context. A PBAC decision not to recommend listing or not to recommend changing a listing does not represent a final PBAC view about </w:t>
      </w:r>
      <w:r w:rsidRPr="002D197B">
        <w:rPr>
          <w:szCs w:val="22"/>
        </w:rPr>
        <w:t>the merits of the medicine. A company can resubmit to the PBAC or seek independent review of the PBAC decision.</w:t>
      </w:r>
    </w:p>
    <w:p w:rsidR="00EF4E20" w:rsidRDefault="00EF4E20" w:rsidP="00EF4E20">
      <w:pPr>
        <w:rPr>
          <w:szCs w:val="22"/>
        </w:rPr>
      </w:pPr>
    </w:p>
    <w:p w:rsidR="00410DAE" w:rsidRPr="00410DAE" w:rsidRDefault="00410DAE" w:rsidP="00EF4E20">
      <w:pPr>
        <w:rPr>
          <w:szCs w:val="22"/>
        </w:rPr>
      </w:pPr>
    </w:p>
    <w:p w:rsidR="00EF4E20" w:rsidRDefault="00EF4E20" w:rsidP="00E107DF">
      <w:pPr>
        <w:rPr>
          <w:b/>
          <w:szCs w:val="22"/>
        </w:rPr>
      </w:pPr>
      <w:r w:rsidRPr="00AE36A8">
        <w:rPr>
          <w:b/>
          <w:szCs w:val="22"/>
        </w:rPr>
        <w:t>9</w:t>
      </w:r>
      <w:r w:rsidR="00AE36A8">
        <w:rPr>
          <w:b/>
          <w:szCs w:val="22"/>
        </w:rPr>
        <w:tab/>
      </w:r>
      <w:r w:rsidRPr="00AE36A8">
        <w:rPr>
          <w:b/>
          <w:szCs w:val="22"/>
        </w:rPr>
        <w:t xml:space="preserve"> Sponsor’s Comment</w:t>
      </w:r>
    </w:p>
    <w:p w:rsidR="00A453BC" w:rsidRPr="00A453BC" w:rsidRDefault="00A453BC" w:rsidP="00E107DF">
      <w:pPr>
        <w:rPr>
          <w:szCs w:val="22"/>
        </w:rPr>
      </w:pPr>
    </w:p>
    <w:p w:rsidR="00A453BC" w:rsidRPr="00A453BC" w:rsidRDefault="00941886" w:rsidP="00E107DF">
      <w:pPr>
        <w:rPr>
          <w:szCs w:val="22"/>
        </w:rPr>
      </w:pPr>
      <w:r>
        <w:rPr>
          <w:szCs w:val="22"/>
        </w:rPr>
        <w:t>The sponsor had no comment</w:t>
      </w:r>
      <w:r w:rsidR="00A453BC">
        <w:rPr>
          <w:szCs w:val="22"/>
        </w:rPr>
        <w:t>.</w:t>
      </w:r>
    </w:p>
    <w:sectPr w:rsidR="00A453BC" w:rsidRPr="00A453BC" w:rsidSect="00CB7169">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46BD64" w15:done="0"/>
  <w15:commentEx w15:paraId="31DC6338" w15:done="0"/>
  <w15:commentEx w15:paraId="511BC7B6" w15:done="0"/>
  <w15:commentEx w15:paraId="3D80952F" w15:done="0"/>
  <w15:commentEx w15:paraId="1CB1498B" w15:done="0"/>
  <w15:commentEx w15:paraId="603E7F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1C" w:rsidRDefault="00504B1C" w:rsidP="00124A51">
      <w:r>
        <w:separator/>
      </w:r>
    </w:p>
  </w:endnote>
  <w:endnote w:type="continuationSeparator" w:id="0">
    <w:p w:rsidR="00504B1C" w:rsidRDefault="00504B1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eciliaLTStd-Bold">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341129"/>
      <w:docPartObj>
        <w:docPartGallery w:val="Page Numbers (Bottom of Page)"/>
        <w:docPartUnique/>
      </w:docPartObj>
    </w:sdtPr>
    <w:sdtEndPr>
      <w:rPr>
        <w:noProof/>
        <w:sz w:val="20"/>
      </w:rPr>
    </w:sdtEndPr>
    <w:sdtContent>
      <w:p w:rsidR="00E72392" w:rsidRPr="000343E5" w:rsidRDefault="00E72392">
        <w:pPr>
          <w:pStyle w:val="Footer"/>
          <w:jc w:val="center"/>
          <w:rPr>
            <w:sz w:val="20"/>
          </w:rPr>
        </w:pPr>
        <w:r w:rsidRPr="000343E5">
          <w:rPr>
            <w:sz w:val="20"/>
          </w:rPr>
          <w:fldChar w:fldCharType="begin"/>
        </w:r>
        <w:r w:rsidRPr="000343E5">
          <w:rPr>
            <w:sz w:val="20"/>
          </w:rPr>
          <w:instrText xml:space="preserve"> PAGE   \* MERGEFORMAT </w:instrText>
        </w:r>
        <w:r w:rsidRPr="000343E5">
          <w:rPr>
            <w:sz w:val="20"/>
          </w:rPr>
          <w:fldChar w:fldCharType="separate"/>
        </w:r>
        <w:r w:rsidR="00504B1C">
          <w:rPr>
            <w:noProof/>
            <w:sz w:val="20"/>
          </w:rPr>
          <w:t>1</w:t>
        </w:r>
        <w:r w:rsidRPr="000343E5">
          <w:rPr>
            <w:noProof/>
            <w:sz w:val="20"/>
          </w:rPr>
          <w:fldChar w:fldCharType="end"/>
        </w:r>
      </w:p>
    </w:sdtContent>
  </w:sdt>
  <w:p w:rsidR="00E72392" w:rsidRPr="00D13A3E" w:rsidRDefault="00E72392" w:rsidP="00015886">
    <w:pP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1C" w:rsidRDefault="00504B1C" w:rsidP="00124A51">
      <w:r>
        <w:separator/>
      </w:r>
    </w:p>
  </w:footnote>
  <w:footnote w:type="continuationSeparator" w:id="0">
    <w:p w:rsidR="00504B1C" w:rsidRDefault="00504B1C" w:rsidP="00124A51">
      <w:r>
        <w:continuationSeparator/>
      </w:r>
    </w:p>
  </w:footnote>
  <w:footnote w:id="1">
    <w:p w:rsidR="00E72392" w:rsidRDefault="00E72392" w:rsidP="00C46EB7">
      <w:pPr>
        <w:pStyle w:val="FootnoteText"/>
        <w:jc w:val="left"/>
      </w:pPr>
      <w:r>
        <w:rPr>
          <w:rStyle w:val="FootnoteReference"/>
        </w:rPr>
        <w:footnoteRef/>
      </w:r>
      <w:r>
        <w:t xml:space="preserve"> </w:t>
      </w:r>
      <w:proofErr w:type="gramStart"/>
      <w:r w:rsidRPr="005405E9">
        <w:t>National Asthma Council Australia.</w:t>
      </w:r>
      <w:proofErr w:type="gramEnd"/>
      <w:r w:rsidRPr="005405E9">
        <w:t xml:space="preserve"> </w:t>
      </w:r>
      <w:proofErr w:type="gramStart"/>
      <w:r w:rsidRPr="005405E9">
        <w:t>Australian Asthma Handbook – Quick Reference Guide, Version 1.1.</w:t>
      </w:r>
      <w:proofErr w:type="gramEnd"/>
      <w:r w:rsidRPr="005405E9">
        <w:t xml:space="preserve"> National Asthma Council Australia, Melbourne, 2015. Available from: http://www.asthmahandbook.org.au</w:t>
      </w:r>
    </w:p>
  </w:footnote>
  <w:footnote w:id="2">
    <w:p w:rsidR="00E72392" w:rsidRDefault="00E72392" w:rsidP="005F05C9">
      <w:pPr>
        <w:pStyle w:val="FootnoteText"/>
        <w:jc w:val="left"/>
      </w:pPr>
      <w:r>
        <w:rPr>
          <w:rStyle w:val="FootnoteReference"/>
        </w:rPr>
        <w:footnoteRef/>
      </w:r>
      <w:r>
        <w:t xml:space="preserve"> </w:t>
      </w:r>
      <w:proofErr w:type="gramStart"/>
      <w:r>
        <w:t>National Asthma Council Australia.</w:t>
      </w:r>
      <w:proofErr w:type="gramEnd"/>
      <w:r>
        <w:t xml:space="preserve"> </w:t>
      </w:r>
      <w:proofErr w:type="gramStart"/>
      <w:r>
        <w:rPr>
          <w:i/>
        </w:rPr>
        <w:t>Inhaler technique in adults with asthma or COPD</w:t>
      </w:r>
      <w:r>
        <w:t>.</w:t>
      </w:r>
      <w:proofErr w:type="gramEnd"/>
      <w:r>
        <w:t xml:space="preserve"> </w:t>
      </w:r>
      <w:smartTag w:uri="urn:schemas-microsoft-com:office:smarttags" w:element="City">
        <w:r>
          <w:t>Melbourne</w:t>
        </w:r>
      </w:smartTag>
      <w:r>
        <w:t xml:space="preserve">: National Asthma Council </w:t>
      </w:r>
      <w:smartTag w:uri="urn:schemas-microsoft-com:office:smarttags" w:element="place">
        <w:smartTag w:uri="urn:schemas-microsoft-com:office:smarttags" w:element="country-region">
          <w:r>
            <w:t>Australia</w:t>
          </w:r>
        </w:smartTag>
      </w:smartTag>
      <w:r>
        <w:t>, 2008. Available from: http://www.nationalasthma.org.au/publication/inhaler-technique-in-adults-with-asthma-or-copd</w:t>
      </w:r>
    </w:p>
  </w:footnote>
  <w:footnote w:id="3">
    <w:p w:rsidR="00E72392" w:rsidRDefault="00E72392">
      <w:pPr>
        <w:pStyle w:val="FootnoteText"/>
      </w:pPr>
      <w:r>
        <w:rPr>
          <w:rStyle w:val="FootnoteReference"/>
        </w:rPr>
        <w:footnoteRef/>
      </w:r>
      <w:r>
        <w:t xml:space="preserve"> </w:t>
      </w:r>
      <w:r w:rsidRPr="00301490">
        <w:rPr>
          <w:snapToGrid/>
          <w:lang w:eastAsia="en-AU"/>
        </w:rPr>
        <w:t xml:space="preserve">AIHW: </w:t>
      </w:r>
      <w:proofErr w:type="spellStart"/>
      <w:r w:rsidRPr="00301490">
        <w:rPr>
          <w:snapToGrid/>
          <w:lang w:eastAsia="en-AU"/>
        </w:rPr>
        <w:t>Correll</w:t>
      </w:r>
      <w:proofErr w:type="spellEnd"/>
      <w:r w:rsidRPr="00301490">
        <w:rPr>
          <w:snapToGrid/>
          <w:lang w:eastAsia="en-AU"/>
        </w:rPr>
        <w:t xml:space="preserve"> PK, </w:t>
      </w:r>
      <w:proofErr w:type="spellStart"/>
      <w:r w:rsidRPr="00301490">
        <w:rPr>
          <w:snapToGrid/>
          <w:lang w:eastAsia="en-AU"/>
        </w:rPr>
        <w:t>Poulos</w:t>
      </w:r>
      <w:proofErr w:type="spellEnd"/>
      <w:r w:rsidRPr="00301490">
        <w:rPr>
          <w:snapToGrid/>
          <w:lang w:eastAsia="en-AU"/>
        </w:rPr>
        <w:t xml:space="preserve"> LM, </w:t>
      </w:r>
      <w:proofErr w:type="spellStart"/>
      <w:r w:rsidRPr="00301490">
        <w:rPr>
          <w:snapToGrid/>
          <w:lang w:eastAsia="en-AU"/>
        </w:rPr>
        <w:t>Ampon</w:t>
      </w:r>
      <w:proofErr w:type="spellEnd"/>
      <w:r w:rsidRPr="00301490">
        <w:rPr>
          <w:snapToGrid/>
          <w:lang w:eastAsia="en-AU"/>
        </w:rPr>
        <w:t xml:space="preserve"> R, </w:t>
      </w:r>
      <w:proofErr w:type="spellStart"/>
      <w:r w:rsidRPr="00301490">
        <w:rPr>
          <w:snapToGrid/>
          <w:lang w:eastAsia="en-AU"/>
        </w:rPr>
        <w:t>Reddel</w:t>
      </w:r>
      <w:proofErr w:type="spellEnd"/>
      <w:r w:rsidRPr="00301490">
        <w:rPr>
          <w:snapToGrid/>
          <w:lang w:eastAsia="en-AU"/>
        </w:rPr>
        <w:t xml:space="preserve"> HK &amp; Marks GB 2015. Respiratory medication use in Australia 2003–2013: treatment of asthma and COPD. Cat. </w:t>
      </w:r>
      <w:proofErr w:type="gramStart"/>
      <w:r w:rsidRPr="00301490">
        <w:rPr>
          <w:snapToGrid/>
          <w:lang w:eastAsia="en-AU"/>
        </w:rPr>
        <w:t>no</w:t>
      </w:r>
      <w:proofErr w:type="gramEnd"/>
      <w:r w:rsidRPr="00301490">
        <w:rPr>
          <w:snapToGrid/>
          <w:lang w:eastAsia="en-AU"/>
        </w:rPr>
        <w:t xml:space="preserve">. </w:t>
      </w:r>
      <w:proofErr w:type="gramStart"/>
      <w:r w:rsidRPr="00301490">
        <w:rPr>
          <w:snapToGrid/>
          <w:lang w:eastAsia="en-AU"/>
        </w:rPr>
        <w:t>ACM 31.</w:t>
      </w:r>
      <w:proofErr w:type="gramEnd"/>
      <w:r w:rsidRPr="00301490">
        <w:rPr>
          <w:snapToGrid/>
          <w:lang w:eastAsia="en-AU"/>
        </w:rPr>
        <w:t xml:space="preserve"> Canberra: AIHW.</w:t>
      </w:r>
    </w:p>
  </w:footnote>
  <w:footnote w:id="4">
    <w:p w:rsidR="00E72392" w:rsidRDefault="00E72392">
      <w:pPr>
        <w:pStyle w:val="FootnoteText"/>
      </w:pPr>
      <w:r>
        <w:rPr>
          <w:rStyle w:val="FootnoteReference"/>
        </w:rPr>
        <w:footnoteRef/>
      </w:r>
      <w:r>
        <w:t xml:space="preserve"> </w:t>
      </w:r>
      <w:hyperlink r:id="rId1" w:history="1">
        <w:proofErr w:type="gramStart"/>
        <w:r w:rsidRPr="00052158">
          <w:rPr>
            <w:rStyle w:val="Hyperlink"/>
          </w:rPr>
          <w:t>Global Initiative for Asthma</w:t>
        </w:r>
      </w:hyperlink>
      <w:r>
        <w:t>.</w:t>
      </w:r>
      <w:proofErr w:type="gramEnd"/>
      <w:r>
        <w:t xml:space="preserve"> </w:t>
      </w:r>
      <w:proofErr w:type="gramStart"/>
      <w:r>
        <w:t>Global Strategy for Asthma Management and Prevention 2014.</w:t>
      </w:r>
      <w:proofErr w:type="gramEnd"/>
    </w:p>
  </w:footnote>
  <w:footnote w:id="5">
    <w:p w:rsidR="00E72392" w:rsidRDefault="00E72392">
      <w:pPr>
        <w:pStyle w:val="FootnoteText"/>
      </w:pPr>
      <w:r>
        <w:rPr>
          <w:rStyle w:val="FootnoteReference"/>
        </w:rPr>
        <w:footnoteRef/>
      </w:r>
      <w:r>
        <w:t xml:space="preserve"> </w:t>
      </w:r>
      <w:r w:rsidRPr="001C5F2B">
        <w:rPr>
          <w:bCs/>
        </w:rPr>
        <w:t xml:space="preserve">Briggs AH, Ades AE, Price MJ, Probabilistic Sensitivity Analysis for Decision Trees with Multiple Branches: Use of the </w:t>
      </w:r>
      <w:proofErr w:type="spellStart"/>
      <w:r w:rsidRPr="001C5F2B">
        <w:rPr>
          <w:bCs/>
        </w:rPr>
        <w:t>Dirichlet</w:t>
      </w:r>
      <w:proofErr w:type="spellEnd"/>
      <w:r w:rsidRPr="001C5F2B">
        <w:rPr>
          <w:bCs/>
        </w:rPr>
        <w:t xml:space="preserve"> Distribution in a Bayesian Framework, Med </w:t>
      </w:r>
      <w:proofErr w:type="spellStart"/>
      <w:r w:rsidRPr="001C5F2B">
        <w:rPr>
          <w:bCs/>
        </w:rPr>
        <w:t>Decis</w:t>
      </w:r>
      <w:proofErr w:type="spellEnd"/>
      <w:r w:rsidRPr="001C5F2B">
        <w:rPr>
          <w:bCs/>
        </w:rPr>
        <w:t xml:space="preserve"> Making July 2003 vol. 23 no. 4 341-350</w:t>
      </w:r>
    </w:p>
  </w:footnote>
  <w:footnote w:id="6">
    <w:p w:rsidR="00E72392" w:rsidRPr="007F31EC" w:rsidRDefault="00E72392">
      <w:pPr>
        <w:pStyle w:val="FootnoteText"/>
      </w:pPr>
      <w:r w:rsidRPr="007F31EC">
        <w:rPr>
          <w:rStyle w:val="FootnoteReference"/>
        </w:rPr>
        <w:footnoteRef/>
      </w:r>
      <w:r w:rsidRPr="007F31EC">
        <w:t xml:space="preserve"> </w:t>
      </w:r>
      <w:proofErr w:type="spellStart"/>
      <w:r w:rsidRPr="007F31EC">
        <w:t>Reddel</w:t>
      </w:r>
      <w:proofErr w:type="spellEnd"/>
      <w:r w:rsidRPr="007F31EC">
        <w:t xml:space="preserve"> HK, Sawyer SM, Everett PW, </w:t>
      </w:r>
      <w:r w:rsidRPr="007F31EC">
        <w:rPr>
          <w:i/>
        </w:rPr>
        <w:t>et al.</w:t>
      </w:r>
      <w:r w:rsidRPr="007F31EC">
        <w:t xml:space="preserve"> (2015). Asthma control in Australia: a cross-sectional web-based survey in a nationally representative population. </w:t>
      </w:r>
      <w:r w:rsidRPr="007F31EC">
        <w:rPr>
          <w:i/>
        </w:rPr>
        <w:t>MJA</w:t>
      </w:r>
      <w:r w:rsidRPr="007F31EC">
        <w:t xml:space="preserve">, 202(9): p. 492-498.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92" w:rsidRPr="00DF217D" w:rsidRDefault="00E72392" w:rsidP="001A4B10">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E72392" w:rsidRPr="008C7ECB" w:rsidRDefault="00E72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58C08A9"/>
    <w:multiLevelType w:val="hybridMultilevel"/>
    <w:tmpl w:val="436AC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9528CD"/>
    <w:multiLevelType w:val="hybridMultilevel"/>
    <w:tmpl w:val="E99A5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43742"/>
    <w:multiLevelType w:val="hybridMultilevel"/>
    <w:tmpl w:val="1AF23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9B1DBD"/>
    <w:multiLevelType w:val="hybridMultilevel"/>
    <w:tmpl w:val="5E9CDECE"/>
    <w:lvl w:ilvl="0" w:tplc="2AFC5AD8">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B2259B"/>
    <w:multiLevelType w:val="hybridMultilevel"/>
    <w:tmpl w:val="BD30843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0F71582"/>
    <w:multiLevelType w:val="multilevel"/>
    <w:tmpl w:val="ACEE9B3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D46C4C"/>
    <w:multiLevelType w:val="hybridMultilevel"/>
    <w:tmpl w:val="DE1C61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CF325E"/>
    <w:multiLevelType w:val="hybridMultilevel"/>
    <w:tmpl w:val="02C82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C250FF"/>
    <w:multiLevelType w:val="hybridMultilevel"/>
    <w:tmpl w:val="F590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2D557A"/>
    <w:multiLevelType w:val="hybridMultilevel"/>
    <w:tmpl w:val="CBEEF74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72120C"/>
    <w:multiLevelType w:val="hybridMultilevel"/>
    <w:tmpl w:val="0BB8DEB4"/>
    <w:lvl w:ilvl="0" w:tplc="0C090001">
      <w:start w:val="1"/>
      <w:numFmt w:val="bullet"/>
      <w:lvlText w:val=""/>
      <w:lvlJc w:val="left"/>
      <w:pPr>
        <w:ind w:left="720" w:hanging="360"/>
      </w:pPr>
      <w:rPr>
        <w:rFonts w:ascii="Symbol" w:hAnsi="Symbol"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5">
    <w:nsid w:val="377534FF"/>
    <w:multiLevelType w:val="hybridMultilevel"/>
    <w:tmpl w:val="8DEC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9C5FEC"/>
    <w:multiLevelType w:val="hybridMultilevel"/>
    <w:tmpl w:val="6E448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13751F"/>
    <w:multiLevelType w:val="hybridMultilevel"/>
    <w:tmpl w:val="0ADACBB8"/>
    <w:lvl w:ilvl="0" w:tplc="F58245BE">
      <w:start w:val="1"/>
      <w:numFmt w:val="bullet"/>
      <w:lvlText w:val="•"/>
      <w:lvlJc w:val="left"/>
      <w:pPr>
        <w:tabs>
          <w:tab w:val="num" w:pos="720"/>
        </w:tabs>
        <w:ind w:left="720" w:hanging="360"/>
      </w:pPr>
      <w:rPr>
        <w:rFonts w:ascii="Arial" w:hAnsi="Arial" w:hint="default"/>
      </w:rPr>
    </w:lvl>
    <w:lvl w:ilvl="1" w:tplc="D828342E" w:tentative="1">
      <w:start w:val="1"/>
      <w:numFmt w:val="bullet"/>
      <w:lvlText w:val="•"/>
      <w:lvlJc w:val="left"/>
      <w:pPr>
        <w:tabs>
          <w:tab w:val="num" w:pos="1440"/>
        </w:tabs>
        <w:ind w:left="1440" w:hanging="360"/>
      </w:pPr>
      <w:rPr>
        <w:rFonts w:ascii="Arial" w:hAnsi="Arial" w:hint="default"/>
      </w:rPr>
    </w:lvl>
    <w:lvl w:ilvl="2" w:tplc="1DA8146E" w:tentative="1">
      <w:start w:val="1"/>
      <w:numFmt w:val="bullet"/>
      <w:lvlText w:val="•"/>
      <w:lvlJc w:val="left"/>
      <w:pPr>
        <w:tabs>
          <w:tab w:val="num" w:pos="2160"/>
        </w:tabs>
        <w:ind w:left="2160" w:hanging="360"/>
      </w:pPr>
      <w:rPr>
        <w:rFonts w:ascii="Arial" w:hAnsi="Arial" w:hint="default"/>
      </w:rPr>
    </w:lvl>
    <w:lvl w:ilvl="3" w:tplc="0776B5FA" w:tentative="1">
      <w:start w:val="1"/>
      <w:numFmt w:val="bullet"/>
      <w:lvlText w:val="•"/>
      <w:lvlJc w:val="left"/>
      <w:pPr>
        <w:tabs>
          <w:tab w:val="num" w:pos="2880"/>
        </w:tabs>
        <w:ind w:left="2880" w:hanging="360"/>
      </w:pPr>
      <w:rPr>
        <w:rFonts w:ascii="Arial" w:hAnsi="Arial" w:hint="default"/>
      </w:rPr>
    </w:lvl>
    <w:lvl w:ilvl="4" w:tplc="A72E03A0" w:tentative="1">
      <w:start w:val="1"/>
      <w:numFmt w:val="bullet"/>
      <w:lvlText w:val="•"/>
      <w:lvlJc w:val="left"/>
      <w:pPr>
        <w:tabs>
          <w:tab w:val="num" w:pos="3600"/>
        </w:tabs>
        <w:ind w:left="3600" w:hanging="360"/>
      </w:pPr>
      <w:rPr>
        <w:rFonts w:ascii="Arial" w:hAnsi="Arial" w:hint="default"/>
      </w:rPr>
    </w:lvl>
    <w:lvl w:ilvl="5" w:tplc="794AA4B0" w:tentative="1">
      <w:start w:val="1"/>
      <w:numFmt w:val="bullet"/>
      <w:lvlText w:val="•"/>
      <w:lvlJc w:val="left"/>
      <w:pPr>
        <w:tabs>
          <w:tab w:val="num" w:pos="4320"/>
        </w:tabs>
        <w:ind w:left="4320" w:hanging="360"/>
      </w:pPr>
      <w:rPr>
        <w:rFonts w:ascii="Arial" w:hAnsi="Arial" w:hint="default"/>
      </w:rPr>
    </w:lvl>
    <w:lvl w:ilvl="6" w:tplc="87345940" w:tentative="1">
      <w:start w:val="1"/>
      <w:numFmt w:val="bullet"/>
      <w:lvlText w:val="•"/>
      <w:lvlJc w:val="left"/>
      <w:pPr>
        <w:tabs>
          <w:tab w:val="num" w:pos="5040"/>
        </w:tabs>
        <w:ind w:left="5040" w:hanging="360"/>
      </w:pPr>
      <w:rPr>
        <w:rFonts w:ascii="Arial" w:hAnsi="Arial" w:hint="default"/>
      </w:rPr>
    </w:lvl>
    <w:lvl w:ilvl="7" w:tplc="5C545A72" w:tentative="1">
      <w:start w:val="1"/>
      <w:numFmt w:val="bullet"/>
      <w:lvlText w:val="•"/>
      <w:lvlJc w:val="left"/>
      <w:pPr>
        <w:tabs>
          <w:tab w:val="num" w:pos="5760"/>
        </w:tabs>
        <w:ind w:left="5760" w:hanging="360"/>
      </w:pPr>
      <w:rPr>
        <w:rFonts w:ascii="Arial" w:hAnsi="Arial" w:hint="default"/>
      </w:rPr>
    </w:lvl>
    <w:lvl w:ilvl="8" w:tplc="199012FA" w:tentative="1">
      <w:start w:val="1"/>
      <w:numFmt w:val="bullet"/>
      <w:lvlText w:val="•"/>
      <w:lvlJc w:val="left"/>
      <w:pPr>
        <w:tabs>
          <w:tab w:val="num" w:pos="6480"/>
        </w:tabs>
        <w:ind w:left="6480" w:hanging="360"/>
      </w:pPr>
      <w:rPr>
        <w:rFonts w:ascii="Arial" w:hAnsi="Arial" w:hint="default"/>
      </w:rPr>
    </w:lvl>
  </w:abstractNum>
  <w:abstractNum w:abstractNumId="18">
    <w:nsid w:val="3B630402"/>
    <w:multiLevelType w:val="hybridMultilevel"/>
    <w:tmpl w:val="DA4A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7C34E2"/>
    <w:multiLevelType w:val="hybridMultilevel"/>
    <w:tmpl w:val="F7E23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0E542F"/>
    <w:multiLevelType w:val="hybridMultilevel"/>
    <w:tmpl w:val="80B045FA"/>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4333415F"/>
    <w:multiLevelType w:val="hybridMultilevel"/>
    <w:tmpl w:val="307C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E915FC"/>
    <w:multiLevelType w:val="hybridMultilevel"/>
    <w:tmpl w:val="196C93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69F1702"/>
    <w:multiLevelType w:val="hybridMultilevel"/>
    <w:tmpl w:val="D8FCF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4C825040"/>
    <w:multiLevelType w:val="hybridMultilevel"/>
    <w:tmpl w:val="088E6E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4E7A6467"/>
    <w:multiLevelType w:val="hybridMultilevel"/>
    <w:tmpl w:val="90DCB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0B7554C"/>
    <w:multiLevelType w:val="hybridMultilevel"/>
    <w:tmpl w:val="38580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C76F8CC">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1F3E48"/>
    <w:multiLevelType w:val="hybridMultilevel"/>
    <w:tmpl w:val="C692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B66453"/>
    <w:multiLevelType w:val="hybridMultilevel"/>
    <w:tmpl w:val="1A30196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nsid w:val="68B83AA2"/>
    <w:multiLevelType w:val="hybridMultilevel"/>
    <w:tmpl w:val="59E06292"/>
    <w:lvl w:ilvl="0" w:tplc="CBA2AF8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095A3D"/>
    <w:multiLevelType w:val="hybridMultilevel"/>
    <w:tmpl w:val="3448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977882"/>
    <w:multiLevelType w:val="hybridMultilevel"/>
    <w:tmpl w:val="11962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303801"/>
    <w:multiLevelType w:val="hybridMultilevel"/>
    <w:tmpl w:val="89144A32"/>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7">
    <w:nsid w:val="6FC94570"/>
    <w:multiLevelType w:val="hybridMultilevel"/>
    <w:tmpl w:val="088E6E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1410B54"/>
    <w:multiLevelType w:val="hybridMultilevel"/>
    <w:tmpl w:val="A8FE840E"/>
    <w:lvl w:ilvl="0" w:tplc="0C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3A43BB7"/>
    <w:multiLevelType w:val="hybridMultilevel"/>
    <w:tmpl w:val="0646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4D033C"/>
    <w:multiLevelType w:val="multilevel"/>
    <w:tmpl w:val="00CC01E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071B2"/>
    <w:multiLevelType w:val="hybridMultilevel"/>
    <w:tmpl w:val="F912CA4C"/>
    <w:lvl w:ilvl="0" w:tplc="0C090001">
      <w:start w:val="1"/>
      <w:numFmt w:val="bullet"/>
      <w:lvlText w:val=""/>
      <w:lvlJc w:val="left"/>
      <w:pPr>
        <w:ind w:left="3532" w:hanging="360"/>
      </w:pPr>
      <w:rPr>
        <w:rFonts w:ascii="Symbol" w:hAnsi="Symbol" w:hint="default"/>
      </w:rPr>
    </w:lvl>
    <w:lvl w:ilvl="1" w:tplc="0C090003" w:tentative="1">
      <w:start w:val="1"/>
      <w:numFmt w:val="bullet"/>
      <w:lvlText w:val="o"/>
      <w:lvlJc w:val="left"/>
      <w:pPr>
        <w:ind w:left="4252" w:hanging="360"/>
      </w:pPr>
      <w:rPr>
        <w:rFonts w:ascii="Courier New" w:hAnsi="Courier New" w:cs="Courier New" w:hint="default"/>
      </w:rPr>
    </w:lvl>
    <w:lvl w:ilvl="2" w:tplc="0C090005" w:tentative="1">
      <w:start w:val="1"/>
      <w:numFmt w:val="bullet"/>
      <w:lvlText w:val=""/>
      <w:lvlJc w:val="left"/>
      <w:pPr>
        <w:ind w:left="4972" w:hanging="360"/>
      </w:pPr>
      <w:rPr>
        <w:rFonts w:ascii="Wingdings" w:hAnsi="Wingdings" w:hint="default"/>
      </w:rPr>
    </w:lvl>
    <w:lvl w:ilvl="3" w:tplc="0C090001" w:tentative="1">
      <w:start w:val="1"/>
      <w:numFmt w:val="bullet"/>
      <w:lvlText w:val=""/>
      <w:lvlJc w:val="left"/>
      <w:pPr>
        <w:ind w:left="5692" w:hanging="360"/>
      </w:pPr>
      <w:rPr>
        <w:rFonts w:ascii="Symbol" w:hAnsi="Symbol" w:hint="default"/>
      </w:rPr>
    </w:lvl>
    <w:lvl w:ilvl="4" w:tplc="0C090003" w:tentative="1">
      <w:start w:val="1"/>
      <w:numFmt w:val="bullet"/>
      <w:lvlText w:val="o"/>
      <w:lvlJc w:val="left"/>
      <w:pPr>
        <w:ind w:left="6412" w:hanging="360"/>
      </w:pPr>
      <w:rPr>
        <w:rFonts w:ascii="Courier New" w:hAnsi="Courier New" w:cs="Courier New" w:hint="default"/>
      </w:rPr>
    </w:lvl>
    <w:lvl w:ilvl="5" w:tplc="0C090005" w:tentative="1">
      <w:start w:val="1"/>
      <w:numFmt w:val="bullet"/>
      <w:lvlText w:val=""/>
      <w:lvlJc w:val="left"/>
      <w:pPr>
        <w:ind w:left="7132" w:hanging="360"/>
      </w:pPr>
      <w:rPr>
        <w:rFonts w:ascii="Wingdings" w:hAnsi="Wingdings" w:hint="default"/>
      </w:rPr>
    </w:lvl>
    <w:lvl w:ilvl="6" w:tplc="0C090001" w:tentative="1">
      <w:start w:val="1"/>
      <w:numFmt w:val="bullet"/>
      <w:lvlText w:val=""/>
      <w:lvlJc w:val="left"/>
      <w:pPr>
        <w:ind w:left="7852" w:hanging="360"/>
      </w:pPr>
      <w:rPr>
        <w:rFonts w:ascii="Symbol" w:hAnsi="Symbol" w:hint="default"/>
      </w:rPr>
    </w:lvl>
    <w:lvl w:ilvl="7" w:tplc="0C090003" w:tentative="1">
      <w:start w:val="1"/>
      <w:numFmt w:val="bullet"/>
      <w:lvlText w:val="o"/>
      <w:lvlJc w:val="left"/>
      <w:pPr>
        <w:ind w:left="8572" w:hanging="360"/>
      </w:pPr>
      <w:rPr>
        <w:rFonts w:ascii="Courier New" w:hAnsi="Courier New" w:cs="Courier New" w:hint="default"/>
      </w:rPr>
    </w:lvl>
    <w:lvl w:ilvl="8" w:tplc="0C090005" w:tentative="1">
      <w:start w:val="1"/>
      <w:numFmt w:val="bullet"/>
      <w:lvlText w:val=""/>
      <w:lvlJc w:val="left"/>
      <w:pPr>
        <w:ind w:left="9292" w:hanging="360"/>
      </w:pPr>
      <w:rPr>
        <w:rFonts w:ascii="Wingdings" w:hAnsi="Wingdings" w:hint="default"/>
      </w:rPr>
    </w:lvl>
  </w:abstractNum>
  <w:abstractNum w:abstractNumId="42">
    <w:nsid w:val="7ADE6F1B"/>
    <w:multiLevelType w:val="hybridMultilevel"/>
    <w:tmpl w:val="D9B21C4E"/>
    <w:lvl w:ilvl="0" w:tplc="781C4CE8">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D5B5AC2"/>
    <w:multiLevelType w:val="hybridMultilevel"/>
    <w:tmpl w:val="043813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FC32A0D"/>
    <w:multiLevelType w:val="hybridMultilevel"/>
    <w:tmpl w:val="6E1826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E013F2"/>
    <w:multiLevelType w:val="hybridMultilevel"/>
    <w:tmpl w:val="80B045FA"/>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num w:numId="1">
    <w:abstractNumId w:val="30"/>
  </w:num>
  <w:num w:numId="2">
    <w:abstractNumId w:val="20"/>
  </w:num>
  <w:num w:numId="3">
    <w:abstractNumId w:val="14"/>
  </w:num>
  <w:num w:numId="4">
    <w:abstractNumId w:val="7"/>
  </w:num>
  <w:num w:numId="5">
    <w:abstractNumId w:val="44"/>
  </w:num>
  <w:num w:numId="6">
    <w:abstractNumId w:val="24"/>
  </w:num>
  <w:num w:numId="7">
    <w:abstractNumId w:val="19"/>
  </w:num>
  <w:num w:numId="8">
    <w:abstractNumId w:val="0"/>
  </w:num>
  <w:num w:numId="9">
    <w:abstractNumId w:val="40"/>
  </w:num>
  <w:num w:numId="10">
    <w:abstractNumId w:val="23"/>
  </w:num>
  <w:num w:numId="11">
    <w:abstractNumId w:val="39"/>
  </w:num>
  <w:num w:numId="12">
    <w:abstractNumId w:val="39"/>
  </w:num>
  <w:num w:numId="13">
    <w:abstractNumId w:val="11"/>
  </w:num>
  <w:num w:numId="14">
    <w:abstractNumId w:val="37"/>
  </w:num>
  <w:num w:numId="15">
    <w:abstractNumId w:val="25"/>
  </w:num>
  <w:num w:numId="16">
    <w:abstractNumId w:val="10"/>
  </w:num>
  <w:num w:numId="17">
    <w:abstractNumId w:val="46"/>
  </w:num>
  <w:num w:numId="18">
    <w:abstractNumId w:val="21"/>
  </w:num>
  <w:num w:numId="19">
    <w:abstractNumId w:val="31"/>
  </w:num>
  <w:num w:numId="20">
    <w:abstractNumId w:val="34"/>
  </w:num>
  <w:num w:numId="21">
    <w:abstractNumId w:val="45"/>
  </w:num>
  <w:num w:numId="22">
    <w:abstractNumId w:val="3"/>
  </w:num>
  <w:num w:numId="23">
    <w:abstractNumId w:val="35"/>
  </w:num>
  <w:num w:numId="24">
    <w:abstractNumId w:val="9"/>
  </w:num>
  <w:num w:numId="25">
    <w:abstractNumId w:val="12"/>
  </w:num>
  <w:num w:numId="26">
    <w:abstractNumId w:val="2"/>
  </w:num>
  <w:num w:numId="27">
    <w:abstractNumId w:val="41"/>
  </w:num>
  <w:num w:numId="28">
    <w:abstractNumId w:val="22"/>
  </w:num>
  <w:num w:numId="29">
    <w:abstractNumId w:val="6"/>
  </w:num>
  <w:num w:numId="30">
    <w:abstractNumId w:val="5"/>
  </w:num>
  <w:num w:numId="31">
    <w:abstractNumId w:val="27"/>
  </w:num>
  <w:num w:numId="32">
    <w:abstractNumId w:val="16"/>
  </w:num>
  <w:num w:numId="33">
    <w:abstractNumId w:val="18"/>
  </w:num>
  <w:num w:numId="34">
    <w:abstractNumId w:val="32"/>
  </w:num>
  <w:num w:numId="35">
    <w:abstractNumId w:val="15"/>
  </w:num>
  <w:num w:numId="36">
    <w:abstractNumId w:val="38"/>
  </w:num>
  <w:num w:numId="37">
    <w:abstractNumId w:val="1"/>
  </w:num>
  <w:num w:numId="38">
    <w:abstractNumId w:val="40"/>
  </w:num>
  <w:num w:numId="39">
    <w:abstractNumId w:val="4"/>
  </w:num>
  <w:num w:numId="40">
    <w:abstractNumId w:val="42"/>
  </w:num>
  <w:num w:numId="41">
    <w:abstractNumId w:val="33"/>
  </w:num>
  <w:num w:numId="42">
    <w:abstractNumId w:val="28"/>
  </w:num>
  <w:num w:numId="43">
    <w:abstractNumId w:val="36"/>
  </w:num>
  <w:num w:numId="44">
    <w:abstractNumId w:val="13"/>
  </w:num>
  <w:num w:numId="45">
    <w:abstractNumId w:val="29"/>
  </w:num>
  <w:num w:numId="46">
    <w:abstractNumId w:val="43"/>
  </w:num>
  <w:num w:numId="47">
    <w:abstractNumId w:val="17"/>
  </w:num>
  <w:num w:numId="48">
    <w:abstractNumId w:val="26"/>
  </w:num>
  <w:num w:numId="49">
    <w:abstractNumId w:val="8"/>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ey Laba">
    <w15:presenceInfo w15:providerId="None" w15:userId="Tracey L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D6575"/>
    <w:rsid w:val="000004CC"/>
    <w:rsid w:val="00000790"/>
    <w:rsid w:val="00000913"/>
    <w:rsid w:val="0000110B"/>
    <w:rsid w:val="00001B0F"/>
    <w:rsid w:val="00003499"/>
    <w:rsid w:val="000042DA"/>
    <w:rsid w:val="00004E4B"/>
    <w:rsid w:val="00006495"/>
    <w:rsid w:val="000070F2"/>
    <w:rsid w:val="00013247"/>
    <w:rsid w:val="00014E82"/>
    <w:rsid w:val="00015886"/>
    <w:rsid w:val="000162EF"/>
    <w:rsid w:val="00016A68"/>
    <w:rsid w:val="0002225F"/>
    <w:rsid w:val="000224E6"/>
    <w:rsid w:val="00023763"/>
    <w:rsid w:val="00023A7C"/>
    <w:rsid w:val="00024FF5"/>
    <w:rsid w:val="00026FD3"/>
    <w:rsid w:val="00027D40"/>
    <w:rsid w:val="000322B8"/>
    <w:rsid w:val="00034224"/>
    <w:rsid w:val="000343E5"/>
    <w:rsid w:val="00036B0D"/>
    <w:rsid w:val="00040895"/>
    <w:rsid w:val="00040D3E"/>
    <w:rsid w:val="00042107"/>
    <w:rsid w:val="00043503"/>
    <w:rsid w:val="00043C37"/>
    <w:rsid w:val="00044615"/>
    <w:rsid w:val="00044E88"/>
    <w:rsid w:val="00045959"/>
    <w:rsid w:val="000464CB"/>
    <w:rsid w:val="00046CCE"/>
    <w:rsid w:val="00047309"/>
    <w:rsid w:val="00052158"/>
    <w:rsid w:val="00052BE5"/>
    <w:rsid w:val="000546D7"/>
    <w:rsid w:val="00054D5A"/>
    <w:rsid w:val="00054F10"/>
    <w:rsid w:val="00055DF1"/>
    <w:rsid w:val="00061315"/>
    <w:rsid w:val="00061BEC"/>
    <w:rsid w:val="0006212E"/>
    <w:rsid w:val="00062831"/>
    <w:rsid w:val="0006544D"/>
    <w:rsid w:val="000672AB"/>
    <w:rsid w:val="00070E35"/>
    <w:rsid w:val="00071248"/>
    <w:rsid w:val="000720B9"/>
    <w:rsid w:val="0007521D"/>
    <w:rsid w:val="000767D3"/>
    <w:rsid w:val="000812CA"/>
    <w:rsid w:val="00085843"/>
    <w:rsid w:val="0008642C"/>
    <w:rsid w:val="000867E7"/>
    <w:rsid w:val="0009056E"/>
    <w:rsid w:val="00090C7E"/>
    <w:rsid w:val="000A5F7F"/>
    <w:rsid w:val="000A6454"/>
    <w:rsid w:val="000B68A8"/>
    <w:rsid w:val="000B69DD"/>
    <w:rsid w:val="000C1BEA"/>
    <w:rsid w:val="000C28D5"/>
    <w:rsid w:val="000C7D8E"/>
    <w:rsid w:val="000D1BFC"/>
    <w:rsid w:val="000D2FFC"/>
    <w:rsid w:val="000D55DF"/>
    <w:rsid w:val="000D5711"/>
    <w:rsid w:val="000D6D9F"/>
    <w:rsid w:val="000E1DB2"/>
    <w:rsid w:val="000E5767"/>
    <w:rsid w:val="000F4BB8"/>
    <w:rsid w:val="000F5C8C"/>
    <w:rsid w:val="000F7127"/>
    <w:rsid w:val="00100F8A"/>
    <w:rsid w:val="00101C3B"/>
    <w:rsid w:val="00102440"/>
    <w:rsid w:val="001048C9"/>
    <w:rsid w:val="001055D1"/>
    <w:rsid w:val="0011032E"/>
    <w:rsid w:val="0011277B"/>
    <w:rsid w:val="0011348B"/>
    <w:rsid w:val="00115406"/>
    <w:rsid w:val="001170FC"/>
    <w:rsid w:val="00117D62"/>
    <w:rsid w:val="001213E3"/>
    <w:rsid w:val="00121799"/>
    <w:rsid w:val="00121C33"/>
    <w:rsid w:val="00121FDC"/>
    <w:rsid w:val="001222FC"/>
    <w:rsid w:val="0012235B"/>
    <w:rsid w:val="00123A98"/>
    <w:rsid w:val="0012454C"/>
    <w:rsid w:val="00124A51"/>
    <w:rsid w:val="00124BD8"/>
    <w:rsid w:val="001256C2"/>
    <w:rsid w:val="00125A2C"/>
    <w:rsid w:val="00126621"/>
    <w:rsid w:val="001301E9"/>
    <w:rsid w:val="00136092"/>
    <w:rsid w:val="00137645"/>
    <w:rsid w:val="0014015A"/>
    <w:rsid w:val="00140E99"/>
    <w:rsid w:val="001422A1"/>
    <w:rsid w:val="00143BC7"/>
    <w:rsid w:val="00145540"/>
    <w:rsid w:val="001456B0"/>
    <w:rsid w:val="001461E1"/>
    <w:rsid w:val="00151BC5"/>
    <w:rsid w:val="001520B0"/>
    <w:rsid w:val="00152233"/>
    <w:rsid w:val="001552DB"/>
    <w:rsid w:val="00156754"/>
    <w:rsid w:val="00157130"/>
    <w:rsid w:val="00162913"/>
    <w:rsid w:val="001636B2"/>
    <w:rsid w:val="00163A46"/>
    <w:rsid w:val="00163EFF"/>
    <w:rsid w:val="0016498D"/>
    <w:rsid w:val="001661FB"/>
    <w:rsid w:val="00176BF6"/>
    <w:rsid w:val="001770CA"/>
    <w:rsid w:val="00180BD4"/>
    <w:rsid w:val="00181C41"/>
    <w:rsid w:val="0018409D"/>
    <w:rsid w:val="00184672"/>
    <w:rsid w:val="0018488E"/>
    <w:rsid w:val="00186167"/>
    <w:rsid w:val="0018752F"/>
    <w:rsid w:val="0018757F"/>
    <w:rsid w:val="00192C30"/>
    <w:rsid w:val="001947E6"/>
    <w:rsid w:val="00195222"/>
    <w:rsid w:val="001975D8"/>
    <w:rsid w:val="001A2C9D"/>
    <w:rsid w:val="001A429D"/>
    <w:rsid w:val="001A4B10"/>
    <w:rsid w:val="001A4BBA"/>
    <w:rsid w:val="001B17D1"/>
    <w:rsid w:val="001B3443"/>
    <w:rsid w:val="001B6A88"/>
    <w:rsid w:val="001B7008"/>
    <w:rsid w:val="001C5F2B"/>
    <w:rsid w:val="001C6E66"/>
    <w:rsid w:val="001D052F"/>
    <w:rsid w:val="001D45AF"/>
    <w:rsid w:val="001E0459"/>
    <w:rsid w:val="001E16B0"/>
    <w:rsid w:val="001E1A27"/>
    <w:rsid w:val="001E238E"/>
    <w:rsid w:val="001E2B1E"/>
    <w:rsid w:val="001E52EB"/>
    <w:rsid w:val="001E5E79"/>
    <w:rsid w:val="001E6329"/>
    <w:rsid w:val="001E740C"/>
    <w:rsid w:val="001E749C"/>
    <w:rsid w:val="001F08C4"/>
    <w:rsid w:val="001F0DE7"/>
    <w:rsid w:val="001F1235"/>
    <w:rsid w:val="001F1CB3"/>
    <w:rsid w:val="001F2466"/>
    <w:rsid w:val="001F323A"/>
    <w:rsid w:val="001F35F8"/>
    <w:rsid w:val="001F3D19"/>
    <w:rsid w:val="001F567B"/>
    <w:rsid w:val="001F7240"/>
    <w:rsid w:val="001F7361"/>
    <w:rsid w:val="001F7F33"/>
    <w:rsid w:val="00200419"/>
    <w:rsid w:val="002015AE"/>
    <w:rsid w:val="0020385F"/>
    <w:rsid w:val="00207021"/>
    <w:rsid w:val="00207D00"/>
    <w:rsid w:val="002105C1"/>
    <w:rsid w:val="00211AA3"/>
    <w:rsid w:val="00211C2D"/>
    <w:rsid w:val="00213E20"/>
    <w:rsid w:val="0022071D"/>
    <w:rsid w:val="00221DE2"/>
    <w:rsid w:val="00222412"/>
    <w:rsid w:val="00223B49"/>
    <w:rsid w:val="00224521"/>
    <w:rsid w:val="00224DD4"/>
    <w:rsid w:val="0022629A"/>
    <w:rsid w:val="00226C99"/>
    <w:rsid w:val="002309CC"/>
    <w:rsid w:val="002310F4"/>
    <w:rsid w:val="002315A5"/>
    <w:rsid w:val="002315D9"/>
    <w:rsid w:val="00231BB0"/>
    <w:rsid w:val="002321A6"/>
    <w:rsid w:val="00236441"/>
    <w:rsid w:val="002404E5"/>
    <w:rsid w:val="00241EDF"/>
    <w:rsid w:val="00243779"/>
    <w:rsid w:val="00243FCE"/>
    <w:rsid w:val="0024451D"/>
    <w:rsid w:val="00245AC3"/>
    <w:rsid w:val="00246912"/>
    <w:rsid w:val="00247556"/>
    <w:rsid w:val="00247C63"/>
    <w:rsid w:val="00251AF0"/>
    <w:rsid w:val="00254DCF"/>
    <w:rsid w:val="0025534B"/>
    <w:rsid w:val="002558B2"/>
    <w:rsid w:val="00255BB7"/>
    <w:rsid w:val="00262A87"/>
    <w:rsid w:val="002638C2"/>
    <w:rsid w:val="002646C8"/>
    <w:rsid w:val="00265DB7"/>
    <w:rsid w:val="0026778F"/>
    <w:rsid w:val="0026787A"/>
    <w:rsid w:val="002742AE"/>
    <w:rsid w:val="00274B7E"/>
    <w:rsid w:val="00275C5A"/>
    <w:rsid w:val="00276E32"/>
    <w:rsid w:val="00280CF8"/>
    <w:rsid w:val="00281014"/>
    <w:rsid w:val="00284361"/>
    <w:rsid w:val="00287683"/>
    <w:rsid w:val="00290276"/>
    <w:rsid w:val="00297F38"/>
    <w:rsid w:val="002A14AB"/>
    <w:rsid w:val="002A2EA0"/>
    <w:rsid w:val="002A43DF"/>
    <w:rsid w:val="002A6E94"/>
    <w:rsid w:val="002A78EC"/>
    <w:rsid w:val="002B1C1F"/>
    <w:rsid w:val="002B2823"/>
    <w:rsid w:val="002B432F"/>
    <w:rsid w:val="002B6564"/>
    <w:rsid w:val="002B6AB1"/>
    <w:rsid w:val="002B6CCE"/>
    <w:rsid w:val="002B7BAA"/>
    <w:rsid w:val="002C0621"/>
    <w:rsid w:val="002C068E"/>
    <w:rsid w:val="002C16DB"/>
    <w:rsid w:val="002C19F9"/>
    <w:rsid w:val="002C213D"/>
    <w:rsid w:val="002C2775"/>
    <w:rsid w:val="002C27C1"/>
    <w:rsid w:val="002C31C3"/>
    <w:rsid w:val="002C3650"/>
    <w:rsid w:val="002C613D"/>
    <w:rsid w:val="002D197B"/>
    <w:rsid w:val="002D7E9C"/>
    <w:rsid w:val="002E1176"/>
    <w:rsid w:val="002E505A"/>
    <w:rsid w:val="002E71FE"/>
    <w:rsid w:val="002F1722"/>
    <w:rsid w:val="002F2006"/>
    <w:rsid w:val="002F473E"/>
    <w:rsid w:val="00301017"/>
    <w:rsid w:val="00301490"/>
    <w:rsid w:val="00301D5F"/>
    <w:rsid w:val="0030313F"/>
    <w:rsid w:val="00303E6C"/>
    <w:rsid w:val="0030786C"/>
    <w:rsid w:val="0031031A"/>
    <w:rsid w:val="00310981"/>
    <w:rsid w:val="00311784"/>
    <w:rsid w:val="00311A12"/>
    <w:rsid w:val="0031261E"/>
    <w:rsid w:val="003137DC"/>
    <w:rsid w:val="00315498"/>
    <w:rsid w:val="0031673F"/>
    <w:rsid w:val="00317FE1"/>
    <w:rsid w:val="00320A2F"/>
    <w:rsid w:val="00321C2F"/>
    <w:rsid w:val="003228CE"/>
    <w:rsid w:val="003230C2"/>
    <w:rsid w:val="00323137"/>
    <w:rsid w:val="00327617"/>
    <w:rsid w:val="003302F2"/>
    <w:rsid w:val="00330A49"/>
    <w:rsid w:val="00333B58"/>
    <w:rsid w:val="003366C9"/>
    <w:rsid w:val="003371B0"/>
    <w:rsid w:val="0034349E"/>
    <w:rsid w:val="003441A3"/>
    <w:rsid w:val="003445FB"/>
    <w:rsid w:val="00345B5A"/>
    <w:rsid w:val="00346DCB"/>
    <w:rsid w:val="0035082B"/>
    <w:rsid w:val="0035620E"/>
    <w:rsid w:val="00356BB2"/>
    <w:rsid w:val="00361403"/>
    <w:rsid w:val="00361DB9"/>
    <w:rsid w:val="0037025D"/>
    <w:rsid w:val="00370553"/>
    <w:rsid w:val="003708DC"/>
    <w:rsid w:val="00371B03"/>
    <w:rsid w:val="00371EA8"/>
    <w:rsid w:val="00372BC1"/>
    <w:rsid w:val="0037449F"/>
    <w:rsid w:val="00375A81"/>
    <w:rsid w:val="00377EA0"/>
    <w:rsid w:val="0038092F"/>
    <w:rsid w:val="0038365C"/>
    <w:rsid w:val="0038367D"/>
    <w:rsid w:val="0038542B"/>
    <w:rsid w:val="00385D93"/>
    <w:rsid w:val="003877F7"/>
    <w:rsid w:val="00391DFD"/>
    <w:rsid w:val="00391F29"/>
    <w:rsid w:val="00392503"/>
    <w:rsid w:val="00392939"/>
    <w:rsid w:val="0039406D"/>
    <w:rsid w:val="00395233"/>
    <w:rsid w:val="00396FD0"/>
    <w:rsid w:val="003A17A5"/>
    <w:rsid w:val="003A1A7A"/>
    <w:rsid w:val="003A2585"/>
    <w:rsid w:val="003A2C1E"/>
    <w:rsid w:val="003A3625"/>
    <w:rsid w:val="003A4F32"/>
    <w:rsid w:val="003A546F"/>
    <w:rsid w:val="003A590A"/>
    <w:rsid w:val="003A6CF1"/>
    <w:rsid w:val="003B282D"/>
    <w:rsid w:val="003B5596"/>
    <w:rsid w:val="003B765F"/>
    <w:rsid w:val="003B7DA4"/>
    <w:rsid w:val="003C134D"/>
    <w:rsid w:val="003C1B35"/>
    <w:rsid w:val="003C4589"/>
    <w:rsid w:val="003C6530"/>
    <w:rsid w:val="003C6E4D"/>
    <w:rsid w:val="003D013D"/>
    <w:rsid w:val="003D1026"/>
    <w:rsid w:val="003D141B"/>
    <w:rsid w:val="003D1828"/>
    <w:rsid w:val="003D2422"/>
    <w:rsid w:val="003D4350"/>
    <w:rsid w:val="003E1D54"/>
    <w:rsid w:val="003E2E2F"/>
    <w:rsid w:val="003E317B"/>
    <w:rsid w:val="003F2A2C"/>
    <w:rsid w:val="003F2B63"/>
    <w:rsid w:val="003F3757"/>
    <w:rsid w:val="003F4052"/>
    <w:rsid w:val="003F4156"/>
    <w:rsid w:val="003F4384"/>
    <w:rsid w:val="003F6A6A"/>
    <w:rsid w:val="00400320"/>
    <w:rsid w:val="0040219F"/>
    <w:rsid w:val="00402686"/>
    <w:rsid w:val="00402C35"/>
    <w:rsid w:val="004042B6"/>
    <w:rsid w:val="00404D61"/>
    <w:rsid w:val="0040614B"/>
    <w:rsid w:val="00407640"/>
    <w:rsid w:val="00410708"/>
    <w:rsid w:val="00410DAE"/>
    <w:rsid w:val="00410EC7"/>
    <w:rsid w:val="0041132E"/>
    <w:rsid w:val="0041380A"/>
    <w:rsid w:val="00414476"/>
    <w:rsid w:val="00415153"/>
    <w:rsid w:val="00420B9F"/>
    <w:rsid w:val="00423164"/>
    <w:rsid w:val="004319F8"/>
    <w:rsid w:val="00433044"/>
    <w:rsid w:val="004374B9"/>
    <w:rsid w:val="0044126C"/>
    <w:rsid w:val="00442117"/>
    <w:rsid w:val="004422C7"/>
    <w:rsid w:val="00442C0B"/>
    <w:rsid w:val="00443699"/>
    <w:rsid w:val="00443A62"/>
    <w:rsid w:val="00443FB7"/>
    <w:rsid w:val="00444104"/>
    <w:rsid w:val="004443A7"/>
    <w:rsid w:val="00444C0C"/>
    <w:rsid w:val="004451A4"/>
    <w:rsid w:val="004463D0"/>
    <w:rsid w:val="004464EB"/>
    <w:rsid w:val="004476DA"/>
    <w:rsid w:val="00450EE4"/>
    <w:rsid w:val="004512F4"/>
    <w:rsid w:val="004529B5"/>
    <w:rsid w:val="004534EE"/>
    <w:rsid w:val="00453597"/>
    <w:rsid w:val="00455887"/>
    <w:rsid w:val="00455D45"/>
    <w:rsid w:val="004623A9"/>
    <w:rsid w:val="00462DD0"/>
    <w:rsid w:val="00464595"/>
    <w:rsid w:val="00467134"/>
    <w:rsid w:val="004674E8"/>
    <w:rsid w:val="00473FFC"/>
    <w:rsid w:val="00474790"/>
    <w:rsid w:val="00475400"/>
    <w:rsid w:val="00476B29"/>
    <w:rsid w:val="00476C06"/>
    <w:rsid w:val="00480759"/>
    <w:rsid w:val="004821EC"/>
    <w:rsid w:val="004838A8"/>
    <w:rsid w:val="00483E2E"/>
    <w:rsid w:val="00484E54"/>
    <w:rsid w:val="00485C51"/>
    <w:rsid w:val="004867E2"/>
    <w:rsid w:val="004916CC"/>
    <w:rsid w:val="00491B3A"/>
    <w:rsid w:val="0049249F"/>
    <w:rsid w:val="00492CFD"/>
    <w:rsid w:val="00493BF8"/>
    <w:rsid w:val="004962D2"/>
    <w:rsid w:val="004A0DA1"/>
    <w:rsid w:val="004A6597"/>
    <w:rsid w:val="004B1252"/>
    <w:rsid w:val="004B1CB4"/>
    <w:rsid w:val="004B2F18"/>
    <w:rsid w:val="004B3DDB"/>
    <w:rsid w:val="004B44FD"/>
    <w:rsid w:val="004B553A"/>
    <w:rsid w:val="004B5CFC"/>
    <w:rsid w:val="004C30D4"/>
    <w:rsid w:val="004C4130"/>
    <w:rsid w:val="004C4432"/>
    <w:rsid w:val="004C4AED"/>
    <w:rsid w:val="004D144C"/>
    <w:rsid w:val="004D1D13"/>
    <w:rsid w:val="004D2919"/>
    <w:rsid w:val="004D54E9"/>
    <w:rsid w:val="004D6B27"/>
    <w:rsid w:val="004E0948"/>
    <w:rsid w:val="004E0BBA"/>
    <w:rsid w:val="004E0EB8"/>
    <w:rsid w:val="004E12A9"/>
    <w:rsid w:val="004E2ADC"/>
    <w:rsid w:val="004E43B2"/>
    <w:rsid w:val="004F1D02"/>
    <w:rsid w:val="004F2679"/>
    <w:rsid w:val="004F7865"/>
    <w:rsid w:val="00500435"/>
    <w:rsid w:val="00504B1C"/>
    <w:rsid w:val="00504B3C"/>
    <w:rsid w:val="00506928"/>
    <w:rsid w:val="00507BCF"/>
    <w:rsid w:val="00511EA9"/>
    <w:rsid w:val="00513C75"/>
    <w:rsid w:val="005152B5"/>
    <w:rsid w:val="00515CD3"/>
    <w:rsid w:val="00517987"/>
    <w:rsid w:val="00521319"/>
    <w:rsid w:val="0052396D"/>
    <w:rsid w:val="00523C28"/>
    <w:rsid w:val="00523E50"/>
    <w:rsid w:val="0052543E"/>
    <w:rsid w:val="00525B7B"/>
    <w:rsid w:val="00531D31"/>
    <w:rsid w:val="00533DCC"/>
    <w:rsid w:val="0053431D"/>
    <w:rsid w:val="005343AF"/>
    <w:rsid w:val="00536A01"/>
    <w:rsid w:val="005374D5"/>
    <w:rsid w:val="005405E9"/>
    <w:rsid w:val="0054225F"/>
    <w:rsid w:val="0054314A"/>
    <w:rsid w:val="005431F1"/>
    <w:rsid w:val="00546EC1"/>
    <w:rsid w:val="00552BD3"/>
    <w:rsid w:val="00553BA9"/>
    <w:rsid w:val="00555109"/>
    <w:rsid w:val="005554A3"/>
    <w:rsid w:val="00560EA5"/>
    <w:rsid w:val="00563B71"/>
    <w:rsid w:val="00566852"/>
    <w:rsid w:val="0056696F"/>
    <w:rsid w:val="005671AD"/>
    <w:rsid w:val="0057084B"/>
    <w:rsid w:val="0057271F"/>
    <w:rsid w:val="00574BE6"/>
    <w:rsid w:val="00575A5F"/>
    <w:rsid w:val="00575D8D"/>
    <w:rsid w:val="00576972"/>
    <w:rsid w:val="00580E84"/>
    <w:rsid w:val="00583109"/>
    <w:rsid w:val="00583699"/>
    <w:rsid w:val="00584A83"/>
    <w:rsid w:val="0059329B"/>
    <w:rsid w:val="00595D52"/>
    <w:rsid w:val="005960EB"/>
    <w:rsid w:val="005969BB"/>
    <w:rsid w:val="00597678"/>
    <w:rsid w:val="005A1966"/>
    <w:rsid w:val="005A28A9"/>
    <w:rsid w:val="005B264B"/>
    <w:rsid w:val="005B31CC"/>
    <w:rsid w:val="005B5857"/>
    <w:rsid w:val="005C0626"/>
    <w:rsid w:val="005C0879"/>
    <w:rsid w:val="005C1B83"/>
    <w:rsid w:val="005C2FB9"/>
    <w:rsid w:val="005C346B"/>
    <w:rsid w:val="005C3AB9"/>
    <w:rsid w:val="005C67C8"/>
    <w:rsid w:val="005C7537"/>
    <w:rsid w:val="005D044D"/>
    <w:rsid w:val="005D18AD"/>
    <w:rsid w:val="005D19DE"/>
    <w:rsid w:val="005D2A51"/>
    <w:rsid w:val="005D4ECE"/>
    <w:rsid w:val="005E6088"/>
    <w:rsid w:val="005E73C0"/>
    <w:rsid w:val="005F05C9"/>
    <w:rsid w:val="005F2706"/>
    <w:rsid w:val="005F4D32"/>
    <w:rsid w:val="005F5620"/>
    <w:rsid w:val="005F6A8F"/>
    <w:rsid w:val="005F6C13"/>
    <w:rsid w:val="005F7C96"/>
    <w:rsid w:val="00600120"/>
    <w:rsid w:val="0060062E"/>
    <w:rsid w:val="006008AE"/>
    <w:rsid w:val="006011B8"/>
    <w:rsid w:val="0060151F"/>
    <w:rsid w:val="006017FD"/>
    <w:rsid w:val="0060465A"/>
    <w:rsid w:val="00605E85"/>
    <w:rsid w:val="00607669"/>
    <w:rsid w:val="00610C30"/>
    <w:rsid w:val="006115E2"/>
    <w:rsid w:val="00612B95"/>
    <w:rsid w:val="00612F97"/>
    <w:rsid w:val="006159E9"/>
    <w:rsid w:val="00616742"/>
    <w:rsid w:val="00616802"/>
    <w:rsid w:val="00617E12"/>
    <w:rsid w:val="00620107"/>
    <w:rsid w:val="00621477"/>
    <w:rsid w:val="006226C1"/>
    <w:rsid w:val="0062409C"/>
    <w:rsid w:val="00625024"/>
    <w:rsid w:val="00630723"/>
    <w:rsid w:val="0063091A"/>
    <w:rsid w:val="00631D6B"/>
    <w:rsid w:val="00633CF6"/>
    <w:rsid w:val="0063479F"/>
    <w:rsid w:val="00634A3F"/>
    <w:rsid w:val="006364A1"/>
    <w:rsid w:val="00636762"/>
    <w:rsid w:val="00637BFD"/>
    <w:rsid w:val="00644216"/>
    <w:rsid w:val="00646E98"/>
    <w:rsid w:val="006471CC"/>
    <w:rsid w:val="0065079F"/>
    <w:rsid w:val="00651BE5"/>
    <w:rsid w:val="00652B23"/>
    <w:rsid w:val="00654915"/>
    <w:rsid w:val="00655041"/>
    <w:rsid w:val="00661103"/>
    <w:rsid w:val="00663DAF"/>
    <w:rsid w:val="00663E2D"/>
    <w:rsid w:val="00663F30"/>
    <w:rsid w:val="006640A4"/>
    <w:rsid w:val="006652F7"/>
    <w:rsid w:val="00674E42"/>
    <w:rsid w:val="0068000B"/>
    <w:rsid w:val="00682112"/>
    <w:rsid w:val="00682576"/>
    <w:rsid w:val="00684F3A"/>
    <w:rsid w:val="006872BA"/>
    <w:rsid w:val="00690916"/>
    <w:rsid w:val="006917D7"/>
    <w:rsid w:val="00691A75"/>
    <w:rsid w:val="00694F44"/>
    <w:rsid w:val="006A0483"/>
    <w:rsid w:val="006A151D"/>
    <w:rsid w:val="006A6550"/>
    <w:rsid w:val="006A6643"/>
    <w:rsid w:val="006A7710"/>
    <w:rsid w:val="006A7B9C"/>
    <w:rsid w:val="006B13CC"/>
    <w:rsid w:val="006C2A8E"/>
    <w:rsid w:val="006C2AD9"/>
    <w:rsid w:val="006C4178"/>
    <w:rsid w:val="006D3C7D"/>
    <w:rsid w:val="006D5D5F"/>
    <w:rsid w:val="006D6575"/>
    <w:rsid w:val="006E2F88"/>
    <w:rsid w:val="006E7888"/>
    <w:rsid w:val="006F35D2"/>
    <w:rsid w:val="006F592E"/>
    <w:rsid w:val="006F63A5"/>
    <w:rsid w:val="006F72B4"/>
    <w:rsid w:val="007001EA"/>
    <w:rsid w:val="00701D32"/>
    <w:rsid w:val="0070276E"/>
    <w:rsid w:val="00702F8F"/>
    <w:rsid w:val="00704DBF"/>
    <w:rsid w:val="00706E80"/>
    <w:rsid w:val="00710179"/>
    <w:rsid w:val="00711A36"/>
    <w:rsid w:val="0071257F"/>
    <w:rsid w:val="007133D9"/>
    <w:rsid w:val="00713C0E"/>
    <w:rsid w:val="00713F78"/>
    <w:rsid w:val="00715846"/>
    <w:rsid w:val="00715ABB"/>
    <w:rsid w:val="007172AD"/>
    <w:rsid w:val="00717339"/>
    <w:rsid w:val="00717661"/>
    <w:rsid w:val="00721BC7"/>
    <w:rsid w:val="00722CE2"/>
    <w:rsid w:val="0072416F"/>
    <w:rsid w:val="00724449"/>
    <w:rsid w:val="007249FC"/>
    <w:rsid w:val="00731A9C"/>
    <w:rsid w:val="0073293C"/>
    <w:rsid w:val="00732BF1"/>
    <w:rsid w:val="007342A8"/>
    <w:rsid w:val="00735328"/>
    <w:rsid w:val="00736127"/>
    <w:rsid w:val="007362AB"/>
    <w:rsid w:val="0073685B"/>
    <w:rsid w:val="007409BD"/>
    <w:rsid w:val="007418B8"/>
    <w:rsid w:val="007447F4"/>
    <w:rsid w:val="007453BD"/>
    <w:rsid w:val="007465FC"/>
    <w:rsid w:val="00750B3B"/>
    <w:rsid w:val="0075148C"/>
    <w:rsid w:val="007543F5"/>
    <w:rsid w:val="00760ED0"/>
    <w:rsid w:val="007657C0"/>
    <w:rsid w:val="00767FE8"/>
    <w:rsid w:val="007715DD"/>
    <w:rsid w:val="007717DA"/>
    <w:rsid w:val="007775D5"/>
    <w:rsid w:val="007801E4"/>
    <w:rsid w:val="00780F4E"/>
    <w:rsid w:val="007837D2"/>
    <w:rsid w:val="00785252"/>
    <w:rsid w:val="00785CE4"/>
    <w:rsid w:val="00795AD6"/>
    <w:rsid w:val="007969E6"/>
    <w:rsid w:val="007A0A12"/>
    <w:rsid w:val="007A16E1"/>
    <w:rsid w:val="007A2807"/>
    <w:rsid w:val="007A3389"/>
    <w:rsid w:val="007A3517"/>
    <w:rsid w:val="007A39E8"/>
    <w:rsid w:val="007A5247"/>
    <w:rsid w:val="007A5D55"/>
    <w:rsid w:val="007B137C"/>
    <w:rsid w:val="007B19C7"/>
    <w:rsid w:val="007B251D"/>
    <w:rsid w:val="007B4C66"/>
    <w:rsid w:val="007B5E16"/>
    <w:rsid w:val="007B77D1"/>
    <w:rsid w:val="007C1053"/>
    <w:rsid w:val="007C1134"/>
    <w:rsid w:val="007C1BF0"/>
    <w:rsid w:val="007C339F"/>
    <w:rsid w:val="007C361D"/>
    <w:rsid w:val="007C6238"/>
    <w:rsid w:val="007D0B38"/>
    <w:rsid w:val="007D1323"/>
    <w:rsid w:val="007D461A"/>
    <w:rsid w:val="007E1208"/>
    <w:rsid w:val="007E1441"/>
    <w:rsid w:val="007E16A9"/>
    <w:rsid w:val="007E359C"/>
    <w:rsid w:val="007E3E20"/>
    <w:rsid w:val="007E4347"/>
    <w:rsid w:val="007E6408"/>
    <w:rsid w:val="007E6A2B"/>
    <w:rsid w:val="007F1017"/>
    <w:rsid w:val="007F31EC"/>
    <w:rsid w:val="007F34C4"/>
    <w:rsid w:val="007F4A3F"/>
    <w:rsid w:val="007F653F"/>
    <w:rsid w:val="00803DAC"/>
    <w:rsid w:val="00805142"/>
    <w:rsid w:val="00805A5F"/>
    <w:rsid w:val="008061B0"/>
    <w:rsid w:val="00807A8B"/>
    <w:rsid w:val="00810C95"/>
    <w:rsid w:val="00812149"/>
    <w:rsid w:val="00812E16"/>
    <w:rsid w:val="00815043"/>
    <w:rsid w:val="00816475"/>
    <w:rsid w:val="008166EF"/>
    <w:rsid w:val="008172ED"/>
    <w:rsid w:val="00820BFE"/>
    <w:rsid w:val="0082322A"/>
    <w:rsid w:val="00823550"/>
    <w:rsid w:val="00825872"/>
    <w:rsid w:val="008264EB"/>
    <w:rsid w:val="00831C10"/>
    <w:rsid w:val="00832739"/>
    <w:rsid w:val="008336F9"/>
    <w:rsid w:val="00833B05"/>
    <w:rsid w:val="00837666"/>
    <w:rsid w:val="0083791C"/>
    <w:rsid w:val="00840CA2"/>
    <w:rsid w:val="00843D35"/>
    <w:rsid w:val="008473E0"/>
    <w:rsid w:val="00851019"/>
    <w:rsid w:val="008515A7"/>
    <w:rsid w:val="00851980"/>
    <w:rsid w:val="008536E5"/>
    <w:rsid w:val="00856E9A"/>
    <w:rsid w:val="0086070F"/>
    <w:rsid w:val="00862502"/>
    <w:rsid w:val="008649CE"/>
    <w:rsid w:val="00870C0D"/>
    <w:rsid w:val="00871A2A"/>
    <w:rsid w:val="00872E6F"/>
    <w:rsid w:val="008755C2"/>
    <w:rsid w:val="008760D5"/>
    <w:rsid w:val="00881B6F"/>
    <w:rsid w:val="00882874"/>
    <w:rsid w:val="00883787"/>
    <w:rsid w:val="00892CF4"/>
    <w:rsid w:val="00894489"/>
    <w:rsid w:val="008963A5"/>
    <w:rsid w:val="008A1962"/>
    <w:rsid w:val="008A23CA"/>
    <w:rsid w:val="008A3C3E"/>
    <w:rsid w:val="008A6D3B"/>
    <w:rsid w:val="008A6F88"/>
    <w:rsid w:val="008A79DE"/>
    <w:rsid w:val="008B6A1E"/>
    <w:rsid w:val="008B7D7E"/>
    <w:rsid w:val="008C315F"/>
    <w:rsid w:val="008C516A"/>
    <w:rsid w:val="008C79A3"/>
    <w:rsid w:val="008C7ECB"/>
    <w:rsid w:val="008D1738"/>
    <w:rsid w:val="008D1E09"/>
    <w:rsid w:val="008D3308"/>
    <w:rsid w:val="008D3365"/>
    <w:rsid w:val="008D624D"/>
    <w:rsid w:val="008E047C"/>
    <w:rsid w:val="008E1B9E"/>
    <w:rsid w:val="008E1FAD"/>
    <w:rsid w:val="008E5569"/>
    <w:rsid w:val="008E5926"/>
    <w:rsid w:val="008E6506"/>
    <w:rsid w:val="008E6DA6"/>
    <w:rsid w:val="008F120A"/>
    <w:rsid w:val="008F2725"/>
    <w:rsid w:val="008F2EA0"/>
    <w:rsid w:val="008F46C0"/>
    <w:rsid w:val="008F48EB"/>
    <w:rsid w:val="008F4F0B"/>
    <w:rsid w:val="008F52C9"/>
    <w:rsid w:val="009018C2"/>
    <w:rsid w:val="009026D0"/>
    <w:rsid w:val="009050DD"/>
    <w:rsid w:val="00906078"/>
    <w:rsid w:val="009062A5"/>
    <w:rsid w:val="009079EA"/>
    <w:rsid w:val="00907AEF"/>
    <w:rsid w:val="00907E71"/>
    <w:rsid w:val="0091043C"/>
    <w:rsid w:val="00910785"/>
    <w:rsid w:val="00911272"/>
    <w:rsid w:val="009178BE"/>
    <w:rsid w:val="00917D1A"/>
    <w:rsid w:val="00923022"/>
    <w:rsid w:val="009232EE"/>
    <w:rsid w:val="0092456A"/>
    <w:rsid w:val="00924647"/>
    <w:rsid w:val="0092798B"/>
    <w:rsid w:val="009315D8"/>
    <w:rsid w:val="00932121"/>
    <w:rsid w:val="0093333F"/>
    <w:rsid w:val="00933F76"/>
    <w:rsid w:val="00935EAC"/>
    <w:rsid w:val="00936397"/>
    <w:rsid w:val="00941886"/>
    <w:rsid w:val="00946B25"/>
    <w:rsid w:val="0094779E"/>
    <w:rsid w:val="009502D4"/>
    <w:rsid w:val="00952467"/>
    <w:rsid w:val="009542B1"/>
    <w:rsid w:val="00960DCA"/>
    <w:rsid w:val="00962CB9"/>
    <w:rsid w:val="0096421A"/>
    <w:rsid w:val="00964312"/>
    <w:rsid w:val="00975989"/>
    <w:rsid w:val="00976872"/>
    <w:rsid w:val="0097756D"/>
    <w:rsid w:val="00980948"/>
    <w:rsid w:val="00983E57"/>
    <w:rsid w:val="009855AA"/>
    <w:rsid w:val="00986A12"/>
    <w:rsid w:val="00992A3D"/>
    <w:rsid w:val="009934B0"/>
    <w:rsid w:val="00996B1A"/>
    <w:rsid w:val="00996D89"/>
    <w:rsid w:val="009974E8"/>
    <w:rsid w:val="009A2114"/>
    <w:rsid w:val="009A24AD"/>
    <w:rsid w:val="009A3023"/>
    <w:rsid w:val="009A35C7"/>
    <w:rsid w:val="009A5BB0"/>
    <w:rsid w:val="009A63B5"/>
    <w:rsid w:val="009B0343"/>
    <w:rsid w:val="009B3E26"/>
    <w:rsid w:val="009B3F39"/>
    <w:rsid w:val="009B42F8"/>
    <w:rsid w:val="009B5E37"/>
    <w:rsid w:val="009B7B31"/>
    <w:rsid w:val="009C0263"/>
    <w:rsid w:val="009C0D3B"/>
    <w:rsid w:val="009D2EE6"/>
    <w:rsid w:val="009D5B91"/>
    <w:rsid w:val="009D6115"/>
    <w:rsid w:val="009D6EA9"/>
    <w:rsid w:val="009D7969"/>
    <w:rsid w:val="009D7AEE"/>
    <w:rsid w:val="009E0086"/>
    <w:rsid w:val="009E0580"/>
    <w:rsid w:val="009E1C19"/>
    <w:rsid w:val="009E2595"/>
    <w:rsid w:val="009E2931"/>
    <w:rsid w:val="009E33E6"/>
    <w:rsid w:val="009E3416"/>
    <w:rsid w:val="009E44F1"/>
    <w:rsid w:val="009E4C07"/>
    <w:rsid w:val="009E5B33"/>
    <w:rsid w:val="009F1C05"/>
    <w:rsid w:val="00A03D43"/>
    <w:rsid w:val="00A04380"/>
    <w:rsid w:val="00A04E42"/>
    <w:rsid w:val="00A1072A"/>
    <w:rsid w:val="00A13239"/>
    <w:rsid w:val="00A13387"/>
    <w:rsid w:val="00A13553"/>
    <w:rsid w:val="00A13948"/>
    <w:rsid w:val="00A2085E"/>
    <w:rsid w:val="00A224EF"/>
    <w:rsid w:val="00A233B6"/>
    <w:rsid w:val="00A2456C"/>
    <w:rsid w:val="00A25D18"/>
    <w:rsid w:val="00A26147"/>
    <w:rsid w:val="00A27AEC"/>
    <w:rsid w:val="00A33433"/>
    <w:rsid w:val="00A35D16"/>
    <w:rsid w:val="00A41028"/>
    <w:rsid w:val="00A4175A"/>
    <w:rsid w:val="00A432D7"/>
    <w:rsid w:val="00A43C59"/>
    <w:rsid w:val="00A453BC"/>
    <w:rsid w:val="00A46ACC"/>
    <w:rsid w:val="00A502C0"/>
    <w:rsid w:val="00A50ECD"/>
    <w:rsid w:val="00A52729"/>
    <w:rsid w:val="00A53675"/>
    <w:rsid w:val="00A55B6F"/>
    <w:rsid w:val="00A55E85"/>
    <w:rsid w:val="00A56B6A"/>
    <w:rsid w:val="00A578DC"/>
    <w:rsid w:val="00A57C7D"/>
    <w:rsid w:val="00A6036B"/>
    <w:rsid w:val="00A6099A"/>
    <w:rsid w:val="00A60C6B"/>
    <w:rsid w:val="00A60F7D"/>
    <w:rsid w:val="00A61453"/>
    <w:rsid w:val="00A65144"/>
    <w:rsid w:val="00A6725B"/>
    <w:rsid w:val="00A70184"/>
    <w:rsid w:val="00A706A1"/>
    <w:rsid w:val="00A754B1"/>
    <w:rsid w:val="00A75881"/>
    <w:rsid w:val="00A81FB4"/>
    <w:rsid w:val="00A83FE7"/>
    <w:rsid w:val="00A847D2"/>
    <w:rsid w:val="00A85B27"/>
    <w:rsid w:val="00A86891"/>
    <w:rsid w:val="00A86E8B"/>
    <w:rsid w:val="00A87A89"/>
    <w:rsid w:val="00A91393"/>
    <w:rsid w:val="00A91436"/>
    <w:rsid w:val="00A93072"/>
    <w:rsid w:val="00A93FE0"/>
    <w:rsid w:val="00A959D8"/>
    <w:rsid w:val="00AA34A1"/>
    <w:rsid w:val="00AA42DE"/>
    <w:rsid w:val="00AA4F2C"/>
    <w:rsid w:val="00AB027D"/>
    <w:rsid w:val="00AB042A"/>
    <w:rsid w:val="00AB2096"/>
    <w:rsid w:val="00AB2D34"/>
    <w:rsid w:val="00AB3430"/>
    <w:rsid w:val="00AB44FF"/>
    <w:rsid w:val="00AB51A5"/>
    <w:rsid w:val="00AB7CFA"/>
    <w:rsid w:val="00AC76B1"/>
    <w:rsid w:val="00AD2517"/>
    <w:rsid w:val="00AD626C"/>
    <w:rsid w:val="00AD62F8"/>
    <w:rsid w:val="00AE119F"/>
    <w:rsid w:val="00AE2074"/>
    <w:rsid w:val="00AE264C"/>
    <w:rsid w:val="00AE36A8"/>
    <w:rsid w:val="00AE488C"/>
    <w:rsid w:val="00AF025C"/>
    <w:rsid w:val="00AF16E7"/>
    <w:rsid w:val="00B01A60"/>
    <w:rsid w:val="00B04999"/>
    <w:rsid w:val="00B06E59"/>
    <w:rsid w:val="00B10C7A"/>
    <w:rsid w:val="00B1169B"/>
    <w:rsid w:val="00B11A29"/>
    <w:rsid w:val="00B133B4"/>
    <w:rsid w:val="00B14736"/>
    <w:rsid w:val="00B218E9"/>
    <w:rsid w:val="00B21AC1"/>
    <w:rsid w:val="00B22545"/>
    <w:rsid w:val="00B23ED4"/>
    <w:rsid w:val="00B25E11"/>
    <w:rsid w:val="00B3081D"/>
    <w:rsid w:val="00B318D5"/>
    <w:rsid w:val="00B33F42"/>
    <w:rsid w:val="00B340C9"/>
    <w:rsid w:val="00B34C4B"/>
    <w:rsid w:val="00B35A22"/>
    <w:rsid w:val="00B416F2"/>
    <w:rsid w:val="00B41850"/>
    <w:rsid w:val="00B42851"/>
    <w:rsid w:val="00B43A7B"/>
    <w:rsid w:val="00B445A0"/>
    <w:rsid w:val="00B45906"/>
    <w:rsid w:val="00B46F3B"/>
    <w:rsid w:val="00B50C16"/>
    <w:rsid w:val="00B50DB8"/>
    <w:rsid w:val="00B52284"/>
    <w:rsid w:val="00B527AB"/>
    <w:rsid w:val="00B53905"/>
    <w:rsid w:val="00B53BF2"/>
    <w:rsid w:val="00B54B5B"/>
    <w:rsid w:val="00B5539F"/>
    <w:rsid w:val="00B5562E"/>
    <w:rsid w:val="00B5599E"/>
    <w:rsid w:val="00B57000"/>
    <w:rsid w:val="00B60939"/>
    <w:rsid w:val="00B60AFD"/>
    <w:rsid w:val="00B6183D"/>
    <w:rsid w:val="00B61E5D"/>
    <w:rsid w:val="00B62715"/>
    <w:rsid w:val="00B659BD"/>
    <w:rsid w:val="00B659BE"/>
    <w:rsid w:val="00B66124"/>
    <w:rsid w:val="00B72893"/>
    <w:rsid w:val="00B7308A"/>
    <w:rsid w:val="00B738CB"/>
    <w:rsid w:val="00B818A4"/>
    <w:rsid w:val="00B8434D"/>
    <w:rsid w:val="00B8649C"/>
    <w:rsid w:val="00B901FA"/>
    <w:rsid w:val="00B914A2"/>
    <w:rsid w:val="00B92259"/>
    <w:rsid w:val="00B92D0B"/>
    <w:rsid w:val="00B94945"/>
    <w:rsid w:val="00BA1913"/>
    <w:rsid w:val="00BB58E7"/>
    <w:rsid w:val="00BB7405"/>
    <w:rsid w:val="00BC701A"/>
    <w:rsid w:val="00BC7F50"/>
    <w:rsid w:val="00BD11F3"/>
    <w:rsid w:val="00BD166F"/>
    <w:rsid w:val="00BD2840"/>
    <w:rsid w:val="00BD4F8F"/>
    <w:rsid w:val="00BD6CF3"/>
    <w:rsid w:val="00BE1374"/>
    <w:rsid w:val="00BE2180"/>
    <w:rsid w:val="00BE2DD1"/>
    <w:rsid w:val="00BE4275"/>
    <w:rsid w:val="00BE5407"/>
    <w:rsid w:val="00BF04DC"/>
    <w:rsid w:val="00BF2433"/>
    <w:rsid w:val="00BF565B"/>
    <w:rsid w:val="00BF61C9"/>
    <w:rsid w:val="00C021B5"/>
    <w:rsid w:val="00C05852"/>
    <w:rsid w:val="00C13EB9"/>
    <w:rsid w:val="00C14009"/>
    <w:rsid w:val="00C14F28"/>
    <w:rsid w:val="00C1541B"/>
    <w:rsid w:val="00C17F44"/>
    <w:rsid w:val="00C25261"/>
    <w:rsid w:val="00C25418"/>
    <w:rsid w:val="00C25D9C"/>
    <w:rsid w:val="00C31649"/>
    <w:rsid w:val="00C319E5"/>
    <w:rsid w:val="00C3311D"/>
    <w:rsid w:val="00C3599E"/>
    <w:rsid w:val="00C369C3"/>
    <w:rsid w:val="00C40385"/>
    <w:rsid w:val="00C46EB7"/>
    <w:rsid w:val="00C4710F"/>
    <w:rsid w:val="00C473D1"/>
    <w:rsid w:val="00C50B96"/>
    <w:rsid w:val="00C65576"/>
    <w:rsid w:val="00C66165"/>
    <w:rsid w:val="00C67739"/>
    <w:rsid w:val="00C71344"/>
    <w:rsid w:val="00C750C8"/>
    <w:rsid w:val="00C75D8E"/>
    <w:rsid w:val="00C80681"/>
    <w:rsid w:val="00C8213F"/>
    <w:rsid w:val="00C83AD4"/>
    <w:rsid w:val="00C85369"/>
    <w:rsid w:val="00C87755"/>
    <w:rsid w:val="00C8797A"/>
    <w:rsid w:val="00C9000D"/>
    <w:rsid w:val="00C90A0D"/>
    <w:rsid w:val="00C938CF"/>
    <w:rsid w:val="00C953BE"/>
    <w:rsid w:val="00CA1587"/>
    <w:rsid w:val="00CA2599"/>
    <w:rsid w:val="00CA5245"/>
    <w:rsid w:val="00CA5BBD"/>
    <w:rsid w:val="00CA7B09"/>
    <w:rsid w:val="00CB043E"/>
    <w:rsid w:val="00CB1CE2"/>
    <w:rsid w:val="00CB1DBD"/>
    <w:rsid w:val="00CB2F68"/>
    <w:rsid w:val="00CB5B1A"/>
    <w:rsid w:val="00CB7169"/>
    <w:rsid w:val="00CC10D3"/>
    <w:rsid w:val="00CC156E"/>
    <w:rsid w:val="00CC34D6"/>
    <w:rsid w:val="00CC3875"/>
    <w:rsid w:val="00CC47B8"/>
    <w:rsid w:val="00CC481A"/>
    <w:rsid w:val="00CC5F7D"/>
    <w:rsid w:val="00CD4C28"/>
    <w:rsid w:val="00CD6ADC"/>
    <w:rsid w:val="00CD74EA"/>
    <w:rsid w:val="00CD7998"/>
    <w:rsid w:val="00CE4CD4"/>
    <w:rsid w:val="00CE599C"/>
    <w:rsid w:val="00CE6274"/>
    <w:rsid w:val="00CF3456"/>
    <w:rsid w:val="00CF456B"/>
    <w:rsid w:val="00CF484E"/>
    <w:rsid w:val="00CF58FD"/>
    <w:rsid w:val="00CF5A22"/>
    <w:rsid w:val="00D009E8"/>
    <w:rsid w:val="00D0164E"/>
    <w:rsid w:val="00D0262E"/>
    <w:rsid w:val="00D02832"/>
    <w:rsid w:val="00D02B3B"/>
    <w:rsid w:val="00D054C1"/>
    <w:rsid w:val="00D110BD"/>
    <w:rsid w:val="00D12BA5"/>
    <w:rsid w:val="00D12C9A"/>
    <w:rsid w:val="00D12CEB"/>
    <w:rsid w:val="00D1351C"/>
    <w:rsid w:val="00D13E97"/>
    <w:rsid w:val="00D163E8"/>
    <w:rsid w:val="00D17D6C"/>
    <w:rsid w:val="00D207D5"/>
    <w:rsid w:val="00D211ED"/>
    <w:rsid w:val="00D21554"/>
    <w:rsid w:val="00D21E6F"/>
    <w:rsid w:val="00D2210E"/>
    <w:rsid w:val="00D2272A"/>
    <w:rsid w:val="00D31C05"/>
    <w:rsid w:val="00D357FF"/>
    <w:rsid w:val="00D35F2F"/>
    <w:rsid w:val="00D37B0E"/>
    <w:rsid w:val="00D40F2F"/>
    <w:rsid w:val="00D428CB"/>
    <w:rsid w:val="00D430FD"/>
    <w:rsid w:val="00D467A0"/>
    <w:rsid w:val="00D5202A"/>
    <w:rsid w:val="00D5208E"/>
    <w:rsid w:val="00D551A6"/>
    <w:rsid w:val="00D57BBF"/>
    <w:rsid w:val="00D60E72"/>
    <w:rsid w:val="00D61B20"/>
    <w:rsid w:val="00D644CC"/>
    <w:rsid w:val="00D6549E"/>
    <w:rsid w:val="00D71854"/>
    <w:rsid w:val="00D71B4A"/>
    <w:rsid w:val="00D7302B"/>
    <w:rsid w:val="00D73AD4"/>
    <w:rsid w:val="00D74B98"/>
    <w:rsid w:val="00D76A44"/>
    <w:rsid w:val="00D76CCD"/>
    <w:rsid w:val="00D82A05"/>
    <w:rsid w:val="00D836CD"/>
    <w:rsid w:val="00D8403F"/>
    <w:rsid w:val="00D84D0E"/>
    <w:rsid w:val="00D864AC"/>
    <w:rsid w:val="00D869A2"/>
    <w:rsid w:val="00D90414"/>
    <w:rsid w:val="00D93753"/>
    <w:rsid w:val="00D97202"/>
    <w:rsid w:val="00DA697C"/>
    <w:rsid w:val="00DA7186"/>
    <w:rsid w:val="00DA77A5"/>
    <w:rsid w:val="00DA77F4"/>
    <w:rsid w:val="00DB028A"/>
    <w:rsid w:val="00DB06D9"/>
    <w:rsid w:val="00DB6898"/>
    <w:rsid w:val="00DB6D38"/>
    <w:rsid w:val="00DC05E3"/>
    <w:rsid w:val="00DC10EF"/>
    <w:rsid w:val="00DC130B"/>
    <w:rsid w:val="00DC173D"/>
    <w:rsid w:val="00DC5501"/>
    <w:rsid w:val="00DC628F"/>
    <w:rsid w:val="00DC65BF"/>
    <w:rsid w:val="00DC7823"/>
    <w:rsid w:val="00DC7DA9"/>
    <w:rsid w:val="00DC7FDD"/>
    <w:rsid w:val="00DD0F11"/>
    <w:rsid w:val="00DD1FD5"/>
    <w:rsid w:val="00DD27E2"/>
    <w:rsid w:val="00DD2B91"/>
    <w:rsid w:val="00DD2FAA"/>
    <w:rsid w:val="00DD3F28"/>
    <w:rsid w:val="00DD4537"/>
    <w:rsid w:val="00DD4A95"/>
    <w:rsid w:val="00DD4E15"/>
    <w:rsid w:val="00DD7CDC"/>
    <w:rsid w:val="00DE0B86"/>
    <w:rsid w:val="00DE4FCB"/>
    <w:rsid w:val="00DF03D9"/>
    <w:rsid w:val="00DF2E0D"/>
    <w:rsid w:val="00DF5D2B"/>
    <w:rsid w:val="00DF656A"/>
    <w:rsid w:val="00E07212"/>
    <w:rsid w:val="00E07803"/>
    <w:rsid w:val="00E10149"/>
    <w:rsid w:val="00E10314"/>
    <w:rsid w:val="00E107DF"/>
    <w:rsid w:val="00E1301E"/>
    <w:rsid w:val="00E16372"/>
    <w:rsid w:val="00E17131"/>
    <w:rsid w:val="00E17C2D"/>
    <w:rsid w:val="00E20ED6"/>
    <w:rsid w:val="00E21358"/>
    <w:rsid w:val="00E2249B"/>
    <w:rsid w:val="00E22A0D"/>
    <w:rsid w:val="00E241B1"/>
    <w:rsid w:val="00E2512D"/>
    <w:rsid w:val="00E263CA"/>
    <w:rsid w:val="00E2737C"/>
    <w:rsid w:val="00E2771E"/>
    <w:rsid w:val="00E27A89"/>
    <w:rsid w:val="00E30094"/>
    <w:rsid w:val="00E33816"/>
    <w:rsid w:val="00E348E7"/>
    <w:rsid w:val="00E35600"/>
    <w:rsid w:val="00E37569"/>
    <w:rsid w:val="00E4083F"/>
    <w:rsid w:val="00E41E30"/>
    <w:rsid w:val="00E43D70"/>
    <w:rsid w:val="00E44A83"/>
    <w:rsid w:val="00E44F95"/>
    <w:rsid w:val="00E46E8A"/>
    <w:rsid w:val="00E46F39"/>
    <w:rsid w:val="00E47751"/>
    <w:rsid w:val="00E47B2C"/>
    <w:rsid w:val="00E51560"/>
    <w:rsid w:val="00E51FFE"/>
    <w:rsid w:val="00E53C7E"/>
    <w:rsid w:val="00E55424"/>
    <w:rsid w:val="00E55BB5"/>
    <w:rsid w:val="00E568DE"/>
    <w:rsid w:val="00E57613"/>
    <w:rsid w:val="00E60080"/>
    <w:rsid w:val="00E60537"/>
    <w:rsid w:val="00E61788"/>
    <w:rsid w:val="00E62FE7"/>
    <w:rsid w:val="00E64002"/>
    <w:rsid w:val="00E646F8"/>
    <w:rsid w:val="00E65E79"/>
    <w:rsid w:val="00E67416"/>
    <w:rsid w:val="00E70E8F"/>
    <w:rsid w:val="00E70EEB"/>
    <w:rsid w:val="00E711C9"/>
    <w:rsid w:val="00E718B6"/>
    <w:rsid w:val="00E72392"/>
    <w:rsid w:val="00E73581"/>
    <w:rsid w:val="00E81792"/>
    <w:rsid w:val="00E83BDF"/>
    <w:rsid w:val="00E854DA"/>
    <w:rsid w:val="00EA1BFB"/>
    <w:rsid w:val="00EA3864"/>
    <w:rsid w:val="00EA7D28"/>
    <w:rsid w:val="00EB0BE9"/>
    <w:rsid w:val="00EB15B6"/>
    <w:rsid w:val="00EB36B9"/>
    <w:rsid w:val="00EB4916"/>
    <w:rsid w:val="00EB4DFF"/>
    <w:rsid w:val="00EC00C9"/>
    <w:rsid w:val="00EC0F09"/>
    <w:rsid w:val="00EC0F61"/>
    <w:rsid w:val="00EC2841"/>
    <w:rsid w:val="00EC54CC"/>
    <w:rsid w:val="00ED1DAD"/>
    <w:rsid w:val="00ED2D36"/>
    <w:rsid w:val="00ED301A"/>
    <w:rsid w:val="00ED5E9F"/>
    <w:rsid w:val="00ED6112"/>
    <w:rsid w:val="00EE060D"/>
    <w:rsid w:val="00EE07D3"/>
    <w:rsid w:val="00EE0EAF"/>
    <w:rsid w:val="00EE282B"/>
    <w:rsid w:val="00EE39D2"/>
    <w:rsid w:val="00EE500E"/>
    <w:rsid w:val="00EF3216"/>
    <w:rsid w:val="00EF4E20"/>
    <w:rsid w:val="00EF5B2F"/>
    <w:rsid w:val="00EF5E37"/>
    <w:rsid w:val="00F00EA8"/>
    <w:rsid w:val="00F00F01"/>
    <w:rsid w:val="00F067A2"/>
    <w:rsid w:val="00F12EE1"/>
    <w:rsid w:val="00F15E99"/>
    <w:rsid w:val="00F20306"/>
    <w:rsid w:val="00F225B9"/>
    <w:rsid w:val="00F22995"/>
    <w:rsid w:val="00F24837"/>
    <w:rsid w:val="00F248AB"/>
    <w:rsid w:val="00F2575F"/>
    <w:rsid w:val="00F25AF6"/>
    <w:rsid w:val="00F25C53"/>
    <w:rsid w:val="00F31403"/>
    <w:rsid w:val="00F315B4"/>
    <w:rsid w:val="00F33DE9"/>
    <w:rsid w:val="00F3619A"/>
    <w:rsid w:val="00F41A2B"/>
    <w:rsid w:val="00F439E1"/>
    <w:rsid w:val="00F43E7A"/>
    <w:rsid w:val="00F46CB6"/>
    <w:rsid w:val="00F54A75"/>
    <w:rsid w:val="00F55E73"/>
    <w:rsid w:val="00F60092"/>
    <w:rsid w:val="00F60511"/>
    <w:rsid w:val="00F605B1"/>
    <w:rsid w:val="00F60CFA"/>
    <w:rsid w:val="00F60F20"/>
    <w:rsid w:val="00F622FA"/>
    <w:rsid w:val="00F648BB"/>
    <w:rsid w:val="00F6643D"/>
    <w:rsid w:val="00F75810"/>
    <w:rsid w:val="00F80E5D"/>
    <w:rsid w:val="00F812C6"/>
    <w:rsid w:val="00F82A7F"/>
    <w:rsid w:val="00F82EB3"/>
    <w:rsid w:val="00F8419C"/>
    <w:rsid w:val="00F851CE"/>
    <w:rsid w:val="00F871D5"/>
    <w:rsid w:val="00F9146E"/>
    <w:rsid w:val="00F94649"/>
    <w:rsid w:val="00F97A78"/>
    <w:rsid w:val="00FA0188"/>
    <w:rsid w:val="00FA24E7"/>
    <w:rsid w:val="00FB1E19"/>
    <w:rsid w:val="00FB29CF"/>
    <w:rsid w:val="00FB2FCB"/>
    <w:rsid w:val="00FB62CB"/>
    <w:rsid w:val="00FB7F86"/>
    <w:rsid w:val="00FC1074"/>
    <w:rsid w:val="00FC1884"/>
    <w:rsid w:val="00FC5163"/>
    <w:rsid w:val="00FD0030"/>
    <w:rsid w:val="00FD1AF4"/>
    <w:rsid w:val="00FD2100"/>
    <w:rsid w:val="00FD446D"/>
    <w:rsid w:val="00FD606A"/>
    <w:rsid w:val="00FD609E"/>
    <w:rsid w:val="00FE0C36"/>
    <w:rsid w:val="00FE0EF9"/>
    <w:rsid w:val="00FE15E2"/>
    <w:rsid w:val="00FE1CEB"/>
    <w:rsid w:val="00FE5E6B"/>
    <w:rsid w:val="00FF1302"/>
    <w:rsid w:val="00FF2980"/>
    <w:rsid w:val="00FF354C"/>
    <w:rsid w:val="00FF3DCF"/>
    <w:rsid w:val="00FF43A6"/>
    <w:rsid w:val="00FF5589"/>
    <w:rsid w:val="00FF5AA3"/>
    <w:rsid w:val="00FF7990"/>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4E15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F7990"/>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9"/>
      </w:numPr>
    </w:pPr>
    <w:rPr>
      <w:rFonts w:ascii="Arial" w:hAnsi="Arial" w:cs="Arial"/>
      <w:b/>
      <w:snapToGrid w:val="0"/>
      <w:sz w:val="22"/>
      <w:szCs w:val="22"/>
      <w:lang w:eastAsia="en-US"/>
    </w:rPr>
  </w:style>
  <w:style w:type="table" w:customStyle="1" w:styleId="Summarybox2">
    <w:name w:val="Summary box2"/>
    <w:basedOn w:val="TableNormal"/>
    <w:uiPriority w:val="59"/>
    <w:rsid w:val="00DA7186"/>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00" w:beforeAutospacing="1" w:afterLines="0" w:after="100" w:afterAutospacing="1" w:line="360" w:lineRule="auto"/>
      </w:pPr>
      <w:rPr>
        <w:rFonts w:ascii="CaeciliaLTStd-Bold" w:hAnsi="CaeciliaLTStd-Bold" w:hint="defaul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TableText1">
    <w:name w:val="Table Text"/>
    <w:basedOn w:val="DefaultParagraphFont"/>
    <w:uiPriority w:val="4"/>
    <w:qFormat/>
    <w:rsid w:val="00361DB9"/>
    <w:rPr>
      <w:rFonts w:ascii="Arial Narrow" w:hAnsi="Arial Narrow" w:hint="default"/>
      <w:sz w:val="20"/>
    </w:rPr>
  </w:style>
  <w:style w:type="character" w:customStyle="1" w:styleId="apple-converted-space">
    <w:name w:val="apple-converted-space"/>
    <w:basedOn w:val="DefaultParagraphFont"/>
    <w:rsid w:val="00CA2599"/>
  </w:style>
  <w:style w:type="table" w:customStyle="1" w:styleId="Summarybox3">
    <w:name w:val="Summary box3"/>
    <w:basedOn w:val="TableNormal"/>
    <w:next w:val="TableGrid"/>
    <w:uiPriority w:val="59"/>
    <w:rsid w:val="00A81FB4"/>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CaeciliaLTStd-Bold" w:hAnsi="CaeciliaLTStd-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E33E6"/>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9050DD"/>
    <w:rPr>
      <w:sz w:val="20"/>
    </w:rPr>
  </w:style>
  <w:style w:type="character" w:customStyle="1" w:styleId="FootnoteTextChar">
    <w:name w:val="Footnote Text Char"/>
    <w:basedOn w:val="DefaultParagraphFont"/>
    <w:link w:val="FootnoteText"/>
    <w:semiHidden/>
    <w:rsid w:val="009050DD"/>
    <w:rPr>
      <w:rFonts w:ascii="Arial" w:hAnsi="Arial" w:cs="Arial"/>
      <w:snapToGrid w:val="0"/>
      <w:lang w:eastAsia="en-US"/>
    </w:rPr>
  </w:style>
  <w:style w:type="character" w:styleId="FootnoteReference">
    <w:name w:val="footnote reference"/>
    <w:basedOn w:val="DefaultParagraphFont"/>
    <w:semiHidden/>
    <w:unhideWhenUsed/>
    <w:rsid w:val="009050DD"/>
    <w:rPr>
      <w:vertAlign w:val="superscript"/>
    </w:rPr>
  </w:style>
  <w:style w:type="character" w:customStyle="1" w:styleId="Heading5Char">
    <w:name w:val="Heading 5 Char"/>
    <w:basedOn w:val="DefaultParagraphFont"/>
    <w:link w:val="Heading5"/>
    <w:rsid w:val="005F5620"/>
    <w:rPr>
      <w:rFonts w:ascii="Arial" w:hAnsi="Arial" w:cs="Arial"/>
      <w:b/>
      <w:bCs/>
      <w:iCs/>
      <w:snapToGrid w:val="0"/>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F7990"/>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9"/>
      </w:numPr>
    </w:pPr>
    <w:rPr>
      <w:rFonts w:ascii="Arial" w:hAnsi="Arial" w:cs="Arial"/>
      <w:b/>
      <w:snapToGrid w:val="0"/>
      <w:sz w:val="22"/>
      <w:szCs w:val="22"/>
      <w:lang w:eastAsia="en-US"/>
    </w:rPr>
  </w:style>
  <w:style w:type="table" w:customStyle="1" w:styleId="Summarybox2">
    <w:name w:val="Summary box2"/>
    <w:basedOn w:val="TableNormal"/>
    <w:uiPriority w:val="59"/>
    <w:rsid w:val="00DA7186"/>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00" w:beforeAutospacing="1" w:afterLines="0" w:after="100" w:afterAutospacing="1" w:line="360" w:lineRule="auto"/>
      </w:pPr>
      <w:rPr>
        <w:rFonts w:ascii="CaeciliaLTStd-Bold" w:hAnsi="CaeciliaLTStd-Bold" w:hint="defaul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TableText1">
    <w:name w:val="Table Text"/>
    <w:basedOn w:val="DefaultParagraphFont"/>
    <w:uiPriority w:val="4"/>
    <w:qFormat/>
    <w:rsid w:val="00361DB9"/>
    <w:rPr>
      <w:rFonts w:ascii="Arial Narrow" w:hAnsi="Arial Narrow" w:hint="default"/>
      <w:sz w:val="20"/>
    </w:rPr>
  </w:style>
  <w:style w:type="character" w:customStyle="1" w:styleId="apple-converted-space">
    <w:name w:val="apple-converted-space"/>
    <w:basedOn w:val="DefaultParagraphFont"/>
    <w:rsid w:val="00CA2599"/>
  </w:style>
  <w:style w:type="table" w:customStyle="1" w:styleId="Summarybox3">
    <w:name w:val="Summary box3"/>
    <w:basedOn w:val="TableNormal"/>
    <w:next w:val="TableGrid"/>
    <w:uiPriority w:val="59"/>
    <w:rsid w:val="00A81FB4"/>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CaeciliaLTStd-Bold" w:hAnsi="CaeciliaLTStd-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E33E6"/>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9050DD"/>
    <w:rPr>
      <w:sz w:val="20"/>
    </w:rPr>
  </w:style>
  <w:style w:type="character" w:customStyle="1" w:styleId="FootnoteTextChar">
    <w:name w:val="Footnote Text Char"/>
    <w:basedOn w:val="DefaultParagraphFont"/>
    <w:link w:val="FootnoteText"/>
    <w:semiHidden/>
    <w:rsid w:val="009050DD"/>
    <w:rPr>
      <w:rFonts w:ascii="Arial" w:hAnsi="Arial" w:cs="Arial"/>
      <w:snapToGrid w:val="0"/>
      <w:lang w:eastAsia="en-US"/>
    </w:rPr>
  </w:style>
  <w:style w:type="character" w:styleId="FootnoteReference">
    <w:name w:val="footnote reference"/>
    <w:basedOn w:val="DefaultParagraphFont"/>
    <w:semiHidden/>
    <w:unhideWhenUsed/>
    <w:rsid w:val="009050DD"/>
    <w:rPr>
      <w:vertAlign w:val="superscript"/>
    </w:rPr>
  </w:style>
  <w:style w:type="character" w:customStyle="1" w:styleId="Heading5Char">
    <w:name w:val="Heading 5 Char"/>
    <w:basedOn w:val="DefaultParagraphFont"/>
    <w:link w:val="Heading5"/>
    <w:rsid w:val="005F5620"/>
    <w:rPr>
      <w:rFonts w:ascii="Arial" w:hAnsi="Arial" w:cs="Arial"/>
      <w:b/>
      <w:bCs/>
      <w:iCs/>
      <w:snapToGrid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108">
      <w:bodyDiv w:val="1"/>
      <w:marLeft w:val="0"/>
      <w:marRight w:val="0"/>
      <w:marTop w:val="0"/>
      <w:marBottom w:val="0"/>
      <w:divBdr>
        <w:top w:val="none" w:sz="0" w:space="0" w:color="auto"/>
        <w:left w:val="none" w:sz="0" w:space="0" w:color="auto"/>
        <w:bottom w:val="none" w:sz="0" w:space="0" w:color="auto"/>
        <w:right w:val="none" w:sz="0" w:space="0" w:color="auto"/>
      </w:divBdr>
    </w:div>
    <w:div w:id="25109481">
      <w:bodyDiv w:val="1"/>
      <w:marLeft w:val="0"/>
      <w:marRight w:val="0"/>
      <w:marTop w:val="0"/>
      <w:marBottom w:val="0"/>
      <w:divBdr>
        <w:top w:val="none" w:sz="0" w:space="0" w:color="auto"/>
        <w:left w:val="none" w:sz="0" w:space="0" w:color="auto"/>
        <w:bottom w:val="none" w:sz="0" w:space="0" w:color="auto"/>
        <w:right w:val="none" w:sz="0" w:space="0" w:color="auto"/>
      </w:divBdr>
    </w:div>
    <w:div w:id="53235851">
      <w:bodyDiv w:val="1"/>
      <w:marLeft w:val="0"/>
      <w:marRight w:val="0"/>
      <w:marTop w:val="0"/>
      <w:marBottom w:val="0"/>
      <w:divBdr>
        <w:top w:val="none" w:sz="0" w:space="0" w:color="auto"/>
        <w:left w:val="none" w:sz="0" w:space="0" w:color="auto"/>
        <w:bottom w:val="none" w:sz="0" w:space="0" w:color="auto"/>
        <w:right w:val="none" w:sz="0" w:space="0" w:color="auto"/>
      </w:divBdr>
    </w:div>
    <w:div w:id="80686130">
      <w:bodyDiv w:val="1"/>
      <w:marLeft w:val="0"/>
      <w:marRight w:val="0"/>
      <w:marTop w:val="0"/>
      <w:marBottom w:val="0"/>
      <w:divBdr>
        <w:top w:val="none" w:sz="0" w:space="0" w:color="auto"/>
        <w:left w:val="none" w:sz="0" w:space="0" w:color="auto"/>
        <w:bottom w:val="none" w:sz="0" w:space="0" w:color="auto"/>
        <w:right w:val="none" w:sz="0" w:space="0" w:color="auto"/>
      </w:divBdr>
    </w:div>
    <w:div w:id="102389336">
      <w:bodyDiv w:val="1"/>
      <w:marLeft w:val="0"/>
      <w:marRight w:val="0"/>
      <w:marTop w:val="0"/>
      <w:marBottom w:val="0"/>
      <w:divBdr>
        <w:top w:val="none" w:sz="0" w:space="0" w:color="auto"/>
        <w:left w:val="none" w:sz="0" w:space="0" w:color="auto"/>
        <w:bottom w:val="none" w:sz="0" w:space="0" w:color="auto"/>
        <w:right w:val="none" w:sz="0" w:space="0" w:color="auto"/>
      </w:divBdr>
    </w:div>
    <w:div w:id="188417290">
      <w:bodyDiv w:val="1"/>
      <w:marLeft w:val="0"/>
      <w:marRight w:val="0"/>
      <w:marTop w:val="0"/>
      <w:marBottom w:val="0"/>
      <w:divBdr>
        <w:top w:val="none" w:sz="0" w:space="0" w:color="auto"/>
        <w:left w:val="none" w:sz="0" w:space="0" w:color="auto"/>
        <w:bottom w:val="none" w:sz="0" w:space="0" w:color="auto"/>
        <w:right w:val="none" w:sz="0" w:space="0" w:color="auto"/>
      </w:divBdr>
    </w:div>
    <w:div w:id="190070895">
      <w:bodyDiv w:val="1"/>
      <w:marLeft w:val="0"/>
      <w:marRight w:val="0"/>
      <w:marTop w:val="0"/>
      <w:marBottom w:val="0"/>
      <w:divBdr>
        <w:top w:val="none" w:sz="0" w:space="0" w:color="auto"/>
        <w:left w:val="none" w:sz="0" w:space="0" w:color="auto"/>
        <w:bottom w:val="none" w:sz="0" w:space="0" w:color="auto"/>
        <w:right w:val="none" w:sz="0" w:space="0" w:color="auto"/>
      </w:divBdr>
    </w:div>
    <w:div w:id="198055966">
      <w:bodyDiv w:val="1"/>
      <w:marLeft w:val="0"/>
      <w:marRight w:val="0"/>
      <w:marTop w:val="0"/>
      <w:marBottom w:val="0"/>
      <w:divBdr>
        <w:top w:val="none" w:sz="0" w:space="0" w:color="auto"/>
        <w:left w:val="none" w:sz="0" w:space="0" w:color="auto"/>
        <w:bottom w:val="none" w:sz="0" w:space="0" w:color="auto"/>
        <w:right w:val="none" w:sz="0" w:space="0" w:color="auto"/>
      </w:divBdr>
    </w:div>
    <w:div w:id="202598583">
      <w:bodyDiv w:val="1"/>
      <w:marLeft w:val="0"/>
      <w:marRight w:val="0"/>
      <w:marTop w:val="0"/>
      <w:marBottom w:val="0"/>
      <w:divBdr>
        <w:top w:val="none" w:sz="0" w:space="0" w:color="auto"/>
        <w:left w:val="none" w:sz="0" w:space="0" w:color="auto"/>
        <w:bottom w:val="none" w:sz="0" w:space="0" w:color="auto"/>
        <w:right w:val="none" w:sz="0" w:space="0" w:color="auto"/>
      </w:divBdr>
    </w:div>
    <w:div w:id="312031435">
      <w:bodyDiv w:val="1"/>
      <w:marLeft w:val="0"/>
      <w:marRight w:val="0"/>
      <w:marTop w:val="0"/>
      <w:marBottom w:val="0"/>
      <w:divBdr>
        <w:top w:val="none" w:sz="0" w:space="0" w:color="auto"/>
        <w:left w:val="none" w:sz="0" w:space="0" w:color="auto"/>
        <w:bottom w:val="none" w:sz="0" w:space="0" w:color="auto"/>
        <w:right w:val="none" w:sz="0" w:space="0" w:color="auto"/>
      </w:divBdr>
    </w:div>
    <w:div w:id="347486515">
      <w:bodyDiv w:val="1"/>
      <w:marLeft w:val="0"/>
      <w:marRight w:val="0"/>
      <w:marTop w:val="0"/>
      <w:marBottom w:val="0"/>
      <w:divBdr>
        <w:top w:val="none" w:sz="0" w:space="0" w:color="auto"/>
        <w:left w:val="none" w:sz="0" w:space="0" w:color="auto"/>
        <w:bottom w:val="none" w:sz="0" w:space="0" w:color="auto"/>
        <w:right w:val="none" w:sz="0" w:space="0" w:color="auto"/>
      </w:divBdr>
    </w:div>
    <w:div w:id="408113953">
      <w:bodyDiv w:val="1"/>
      <w:marLeft w:val="0"/>
      <w:marRight w:val="0"/>
      <w:marTop w:val="0"/>
      <w:marBottom w:val="0"/>
      <w:divBdr>
        <w:top w:val="none" w:sz="0" w:space="0" w:color="auto"/>
        <w:left w:val="none" w:sz="0" w:space="0" w:color="auto"/>
        <w:bottom w:val="none" w:sz="0" w:space="0" w:color="auto"/>
        <w:right w:val="none" w:sz="0" w:space="0" w:color="auto"/>
      </w:divBdr>
    </w:div>
    <w:div w:id="432166468">
      <w:bodyDiv w:val="1"/>
      <w:marLeft w:val="0"/>
      <w:marRight w:val="0"/>
      <w:marTop w:val="0"/>
      <w:marBottom w:val="0"/>
      <w:divBdr>
        <w:top w:val="none" w:sz="0" w:space="0" w:color="auto"/>
        <w:left w:val="none" w:sz="0" w:space="0" w:color="auto"/>
        <w:bottom w:val="none" w:sz="0" w:space="0" w:color="auto"/>
        <w:right w:val="none" w:sz="0" w:space="0" w:color="auto"/>
      </w:divBdr>
    </w:div>
    <w:div w:id="444351315">
      <w:bodyDiv w:val="1"/>
      <w:marLeft w:val="0"/>
      <w:marRight w:val="0"/>
      <w:marTop w:val="0"/>
      <w:marBottom w:val="0"/>
      <w:divBdr>
        <w:top w:val="none" w:sz="0" w:space="0" w:color="auto"/>
        <w:left w:val="none" w:sz="0" w:space="0" w:color="auto"/>
        <w:bottom w:val="none" w:sz="0" w:space="0" w:color="auto"/>
        <w:right w:val="none" w:sz="0" w:space="0" w:color="auto"/>
      </w:divBdr>
    </w:div>
    <w:div w:id="445853737">
      <w:bodyDiv w:val="1"/>
      <w:marLeft w:val="0"/>
      <w:marRight w:val="0"/>
      <w:marTop w:val="0"/>
      <w:marBottom w:val="0"/>
      <w:divBdr>
        <w:top w:val="none" w:sz="0" w:space="0" w:color="auto"/>
        <w:left w:val="none" w:sz="0" w:space="0" w:color="auto"/>
        <w:bottom w:val="none" w:sz="0" w:space="0" w:color="auto"/>
        <w:right w:val="none" w:sz="0" w:space="0" w:color="auto"/>
      </w:divBdr>
    </w:div>
    <w:div w:id="486212391">
      <w:bodyDiv w:val="1"/>
      <w:marLeft w:val="0"/>
      <w:marRight w:val="0"/>
      <w:marTop w:val="0"/>
      <w:marBottom w:val="0"/>
      <w:divBdr>
        <w:top w:val="none" w:sz="0" w:space="0" w:color="auto"/>
        <w:left w:val="none" w:sz="0" w:space="0" w:color="auto"/>
        <w:bottom w:val="none" w:sz="0" w:space="0" w:color="auto"/>
        <w:right w:val="none" w:sz="0" w:space="0" w:color="auto"/>
      </w:divBdr>
    </w:div>
    <w:div w:id="584922571">
      <w:bodyDiv w:val="1"/>
      <w:marLeft w:val="0"/>
      <w:marRight w:val="0"/>
      <w:marTop w:val="0"/>
      <w:marBottom w:val="0"/>
      <w:divBdr>
        <w:top w:val="none" w:sz="0" w:space="0" w:color="auto"/>
        <w:left w:val="none" w:sz="0" w:space="0" w:color="auto"/>
        <w:bottom w:val="none" w:sz="0" w:space="0" w:color="auto"/>
        <w:right w:val="none" w:sz="0" w:space="0" w:color="auto"/>
      </w:divBdr>
    </w:div>
    <w:div w:id="611397565">
      <w:bodyDiv w:val="1"/>
      <w:marLeft w:val="0"/>
      <w:marRight w:val="0"/>
      <w:marTop w:val="0"/>
      <w:marBottom w:val="0"/>
      <w:divBdr>
        <w:top w:val="none" w:sz="0" w:space="0" w:color="auto"/>
        <w:left w:val="none" w:sz="0" w:space="0" w:color="auto"/>
        <w:bottom w:val="none" w:sz="0" w:space="0" w:color="auto"/>
        <w:right w:val="none" w:sz="0" w:space="0" w:color="auto"/>
      </w:divBdr>
    </w:div>
    <w:div w:id="617680643">
      <w:bodyDiv w:val="1"/>
      <w:marLeft w:val="0"/>
      <w:marRight w:val="0"/>
      <w:marTop w:val="0"/>
      <w:marBottom w:val="0"/>
      <w:divBdr>
        <w:top w:val="none" w:sz="0" w:space="0" w:color="auto"/>
        <w:left w:val="none" w:sz="0" w:space="0" w:color="auto"/>
        <w:bottom w:val="none" w:sz="0" w:space="0" w:color="auto"/>
        <w:right w:val="none" w:sz="0" w:space="0" w:color="auto"/>
      </w:divBdr>
    </w:div>
    <w:div w:id="638728562">
      <w:bodyDiv w:val="1"/>
      <w:marLeft w:val="0"/>
      <w:marRight w:val="0"/>
      <w:marTop w:val="0"/>
      <w:marBottom w:val="0"/>
      <w:divBdr>
        <w:top w:val="none" w:sz="0" w:space="0" w:color="auto"/>
        <w:left w:val="none" w:sz="0" w:space="0" w:color="auto"/>
        <w:bottom w:val="none" w:sz="0" w:space="0" w:color="auto"/>
        <w:right w:val="none" w:sz="0" w:space="0" w:color="auto"/>
      </w:divBdr>
    </w:div>
    <w:div w:id="699551813">
      <w:bodyDiv w:val="1"/>
      <w:marLeft w:val="0"/>
      <w:marRight w:val="0"/>
      <w:marTop w:val="0"/>
      <w:marBottom w:val="0"/>
      <w:divBdr>
        <w:top w:val="none" w:sz="0" w:space="0" w:color="auto"/>
        <w:left w:val="none" w:sz="0" w:space="0" w:color="auto"/>
        <w:bottom w:val="none" w:sz="0" w:space="0" w:color="auto"/>
        <w:right w:val="none" w:sz="0" w:space="0" w:color="auto"/>
      </w:divBdr>
    </w:div>
    <w:div w:id="720834876">
      <w:bodyDiv w:val="1"/>
      <w:marLeft w:val="0"/>
      <w:marRight w:val="0"/>
      <w:marTop w:val="0"/>
      <w:marBottom w:val="0"/>
      <w:divBdr>
        <w:top w:val="none" w:sz="0" w:space="0" w:color="auto"/>
        <w:left w:val="none" w:sz="0" w:space="0" w:color="auto"/>
        <w:bottom w:val="none" w:sz="0" w:space="0" w:color="auto"/>
        <w:right w:val="none" w:sz="0" w:space="0" w:color="auto"/>
      </w:divBdr>
    </w:div>
    <w:div w:id="750734266">
      <w:bodyDiv w:val="1"/>
      <w:marLeft w:val="0"/>
      <w:marRight w:val="0"/>
      <w:marTop w:val="0"/>
      <w:marBottom w:val="0"/>
      <w:divBdr>
        <w:top w:val="none" w:sz="0" w:space="0" w:color="auto"/>
        <w:left w:val="none" w:sz="0" w:space="0" w:color="auto"/>
        <w:bottom w:val="none" w:sz="0" w:space="0" w:color="auto"/>
        <w:right w:val="none" w:sz="0" w:space="0" w:color="auto"/>
      </w:divBdr>
    </w:div>
    <w:div w:id="906307189">
      <w:bodyDiv w:val="1"/>
      <w:marLeft w:val="0"/>
      <w:marRight w:val="0"/>
      <w:marTop w:val="0"/>
      <w:marBottom w:val="0"/>
      <w:divBdr>
        <w:top w:val="none" w:sz="0" w:space="0" w:color="auto"/>
        <w:left w:val="none" w:sz="0" w:space="0" w:color="auto"/>
        <w:bottom w:val="none" w:sz="0" w:space="0" w:color="auto"/>
        <w:right w:val="none" w:sz="0" w:space="0" w:color="auto"/>
      </w:divBdr>
    </w:div>
    <w:div w:id="1028260275">
      <w:bodyDiv w:val="1"/>
      <w:marLeft w:val="0"/>
      <w:marRight w:val="0"/>
      <w:marTop w:val="0"/>
      <w:marBottom w:val="0"/>
      <w:divBdr>
        <w:top w:val="none" w:sz="0" w:space="0" w:color="auto"/>
        <w:left w:val="none" w:sz="0" w:space="0" w:color="auto"/>
        <w:bottom w:val="none" w:sz="0" w:space="0" w:color="auto"/>
        <w:right w:val="none" w:sz="0" w:space="0" w:color="auto"/>
      </w:divBdr>
    </w:div>
    <w:div w:id="1082919956">
      <w:bodyDiv w:val="1"/>
      <w:marLeft w:val="0"/>
      <w:marRight w:val="0"/>
      <w:marTop w:val="0"/>
      <w:marBottom w:val="0"/>
      <w:divBdr>
        <w:top w:val="none" w:sz="0" w:space="0" w:color="auto"/>
        <w:left w:val="none" w:sz="0" w:space="0" w:color="auto"/>
        <w:bottom w:val="none" w:sz="0" w:space="0" w:color="auto"/>
        <w:right w:val="none" w:sz="0" w:space="0" w:color="auto"/>
      </w:divBdr>
    </w:div>
    <w:div w:id="1094396991">
      <w:bodyDiv w:val="1"/>
      <w:marLeft w:val="0"/>
      <w:marRight w:val="0"/>
      <w:marTop w:val="0"/>
      <w:marBottom w:val="0"/>
      <w:divBdr>
        <w:top w:val="none" w:sz="0" w:space="0" w:color="auto"/>
        <w:left w:val="none" w:sz="0" w:space="0" w:color="auto"/>
        <w:bottom w:val="none" w:sz="0" w:space="0" w:color="auto"/>
        <w:right w:val="none" w:sz="0" w:space="0" w:color="auto"/>
      </w:divBdr>
    </w:div>
    <w:div w:id="1170020710">
      <w:bodyDiv w:val="1"/>
      <w:marLeft w:val="0"/>
      <w:marRight w:val="0"/>
      <w:marTop w:val="0"/>
      <w:marBottom w:val="0"/>
      <w:divBdr>
        <w:top w:val="none" w:sz="0" w:space="0" w:color="auto"/>
        <w:left w:val="none" w:sz="0" w:space="0" w:color="auto"/>
        <w:bottom w:val="none" w:sz="0" w:space="0" w:color="auto"/>
        <w:right w:val="none" w:sz="0" w:space="0" w:color="auto"/>
      </w:divBdr>
    </w:div>
    <w:div w:id="1194536098">
      <w:bodyDiv w:val="1"/>
      <w:marLeft w:val="0"/>
      <w:marRight w:val="0"/>
      <w:marTop w:val="0"/>
      <w:marBottom w:val="0"/>
      <w:divBdr>
        <w:top w:val="none" w:sz="0" w:space="0" w:color="auto"/>
        <w:left w:val="none" w:sz="0" w:space="0" w:color="auto"/>
        <w:bottom w:val="none" w:sz="0" w:space="0" w:color="auto"/>
        <w:right w:val="none" w:sz="0" w:space="0" w:color="auto"/>
      </w:divBdr>
    </w:div>
    <w:div w:id="1207258236">
      <w:bodyDiv w:val="1"/>
      <w:marLeft w:val="0"/>
      <w:marRight w:val="0"/>
      <w:marTop w:val="0"/>
      <w:marBottom w:val="0"/>
      <w:divBdr>
        <w:top w:val="none" w:sz="0" w:space="0" w:color="auto"/>
        <w:left w:val="none" w:sz="0" w:space="0" w:color="auto"/>
        <w:bottom w:val="none" w:sz="0" w:space="0" w:color="auto"/>
        <w:right w:val="none" w:sz="0" w:space="0" w:color="auto"/>
      </w:divBdr>
    </w:div>
    <w:div w:id="1258753635">
      <w:bodyDiv w:val="1"/>
      <w:marLeft w:val="0"/>
      <w:marRight w:val="0"/>
      <w:marTop w:val="0"/>
      <w:marBottom w:val="0"/>
      <w:divBdr>
        <w:top w:val="none" w:sz="0" w:space="0" w:color="auto"/>
        <w:left w:val="none" w:sz="0" w:space="0" w:color="auto"/>
        <w:bottom w:val="none" w:sz="0" w:space="0" w:color="auto"/>
        <w:right w:val="none" w:sz="0" w:space="0" w:color="auto"/>
      </w:divBdr>
    </w:div>
    <w:div w:id="1268197583">
      <w:bodyDiv w:val="1"/>
      <w:marLeft w:val="0"/>
      <w:marRight w:val="0"/>
      <w:marTop w:val="0"/>
      <w:marBottom w:val="0"/>
      <w:divBdr>
        <w:top w:val="none" w:sz="0" w:space="0" w:color="auto"/>
        <w:left w:val="none" w:sz="0" w:space="0" w:color="auto"/>
        <w:bottom w:val="none" w:sz="0" w:space="0" w:color="auto"/>
        <w:right w:val="none" w:sz="0" w:space="0" w:color="auto"/>
      </w:divBdr>
    </w:div>
    <w:div w:id="1340497842">
      <w:bodyDiv w:val="1"/>
      <w:marLeft w:val="0"/>
      <w:marRight w:val="0"/>
      <w:marTop w:val="0"/>
      <w:marBottom w:val="0"/>
      <w:divBdr>
        <w:top w:val="none" w:sz="0" w:space="0" w:color="auto"/>
        <w:left w:val="none" w:sz="0" w:space="0" w:color="auto"/>
        <w:bottom w:val="none" w:sz="0" w:space="0" w:color="auto"/>
        <w:right w:val="none" w:sz="0" w:space="0" w:color="auto"/>
      </w:divBdr>
    </w:div>
    <w:div w:id="1348412863">
      <w:bodyDiv w:val="1"/>
      <w:marLeft w:val="0"/>
      <w:marRight w:val="0"/>
      <w:marTop w:val="0"/>
      <w:marBottom w:val="0"/>
      <w:divBdr>
        <w:top w:val="none" w:sz="0" w:space="0" w:color="auto"/>
        <w:left w:val="none" w:sz="0" w:space="0" w:color="auto"/>
        <w:bottom w:val="none" w:sz="0" w:space="0" w:color="auto"/>
        <w:right w:val="none" w:sz="0" w:space="0" w:color="auto"/>
      </w:divBdr>
    </w:div>
    <w:div w:id="1376195913">
      <w:bodyDiv w:val="1"/>
      <w:marLeft w:val="0"/>
      <w:marRight w:val="0"/>
      <w:marTop w:val="0"/>
      <w:marBottom w:val="0"/>
      <w:divBdr>
        <w:top w:val="none" w:sz="0" w:space="0" w:color="auto"/>
        <w:left w:val="none" w:sz="0" w:space="0" w:color="auto"/>
        <w:bottom w:val="none" w:sz="0" w:space="0" w:color="auto"/>
        <w:right w:val="none" w:sz="0" w:space="0" w:color="auto"/>
      </w:divBdr>
    </w:div>
    <w:div w:id="1408840147">
      <w:bodyDiv w:val="1"/>
      <w:marLeft w:val="0"/>
      <w:marRight w:val="0"/>
      <w:marTop w:val="0"/>
      <w:marBottom w:val="0"/>
      <w:divBdr>
        <w:top w:val="none" w:sz="0" w:space="0" w:color="auto"/>
        <w:left w:val="none" w:sz="0" w:space="0" w:color="auto"/>
        <w:bottom w:val="none" w:sz="0" w:space="0" w:color="auto"/>
        <w:right w:val="none" w:sz="0" w:space="0" w:color="auto"/>
      </w:divBdr>
    </w:div>
    <w:div w:id="1418333405">
      <w:bodyDiv w:val="1"/>
      <w:marLeft w:val="0"/>
      <w:marRight w:val="0"/>
      <w:marTop w:val="0"/>
      <w:marBottom w:val="0"/>
      <w:divBdr>
        <w:top w:val="none" w:sz="0" w:space="0" w:color="auto"/>
        <w:left w:val="none" w:sz="0" w:space="0" w:color="auto"/>
        <w:bottom w:val="none" w:sz="0" w:space="0" w:color="auto"/>
        <w:right w:val="none" w:sz="0" w:space="0" w:color="auto"/>
      </w:divBdr>
    </w:div>
    <w:div w:id="1480418289">
      <w:bodyDiv w:val="1"/>
      <w:marLeft w:val="0"/>
      <w:marRight w:val="0"/>
      <w:marTop w:val="0"/>
      <w:marBottom w:val="0"/>
      <w:divBdr>
        <w:top w:val="none" w:sz="0" w:space="0" w:color="auto"/>
        <w:left w:val="none" w:sz="0" w:space="0" w:color="auto"/>
        <w:bottom w:val="none" w:sz="0" w:space="0" w:color="auto"/>
        <w:right w:val="none" w:sz="0" w:space="0" w:color="auto"/>
      </w:divBdr>
    </w:div>
    <w:div w:id="1592936113">
      <w:bodyDiv w:val="1"/>
      <w:marLeft w:val="0"/>
      <w:marRight w:val="0"/>
      <w:marTop w:val="0"/>
      <w:marBottom w:val="0"/>
      <w:divBdr>
        <w:top w:val="none" w:sz="0" w:space="0" w:color="auto"/>
        <w:left w:val="none" w:sz="0" w:space="0" w:color="auto"/>
        <w:bottom w:val="none" w:sz="0" w:space="0" w:color="auto"/>
        <w:right w:val="none" w:sz="0" w:space="0" w:color="auto"/>
      </w:divBdr>
    </w:div>
    <w:div w:id="1604994286">
      <w:bodyDiv w:val="1"/>
      <w:marLeft w:val="0"/>
      <w:marRight w:val="0"/>
      <w:marTop w:val="0"/>
      <w:marBottom w:val="0"/>
      <w:divBdr>
        <w:top w:val="none" w:sz="0" w:space="0" w:color="auto"/>
        <w:left w:val="none" w:sz="0" w:space="0" w:color="auto"/>
        <w:bottom w:val="none" w:sz="0" w:space="0" w:color="auto"/>
        <w:right w:val="none" w:sz="0" w:space="0" w:color="auto"/>
      </w:divBdr>
    </w:div>
    <w:div w:id="1606690657">
      <w:bodyDiv w:val="1"/>
      <w:marLeft w:val="0"/>
      <w:marRight w:val="0"/>
      <w:marTop w:val="0"/>
      <w:marBottom w:val="0"/>
      <w:divBdr>
        <w:top w:val="none" w:sz="0" w:space="0" w:color="auto"/>
        <w:left w:val="none" w:sz="0" w:space="0" w:color="auto"/>
        <w:bottom w:val="none" w:sz="0" w:space="0" w:color="auto"/>
        <w:right w:val="none" w:sz="0" w:space="0" w:color="auto"/>
      </w:divBdr>
    </w:div>
    <w:div w:id="1616793692">
      <w:bodyDiv w:val="1"/>
      <w:marLeft w:val="0"/>
      <w:marRight w:val="0"/>
      <w:marTop w:val="0"/>
      <w:marBottom w:val="0"/>
      <w:divBdr>
        <w:top w:val="none" w:sz="0" w:space="0" w:color="auto"/>
        <w:left w:val="none" w:sz="0" w:space="0" w:color="auto"/>
        <w:bottom w:val="none" w:sz="0" w:space="0" w:color="auto"/>
        <w:right w:val="none" w:sz="0" w:space="0" w:color="auto"/>
      </w:divBdr>
    </w:div>
    <w:div w:id="1629627950">
      <w:bodyDiv w:val="1"/>
      <w:marLeft w:val="0"/>
      <w:marRight w:val="0"/>
      <w:marTop w:val="0"/>
      <w:marBottom w:val="0"/>
      <w:divBdr>
        <w:top w:val="none" w:sz="0" w:space="0" w:color="auto"/>
        <w:left w:val="none" w:sz="0" w:space="0" w:color="auto"/>
        <w:bottom w:val="none" w:sz="0" w:space="0" w:color="auto"/>
        <w:right w:val="none" w:sz="0" w:space="0" w:color="auto"/>
      </w:divBdr>
    </w:div>
    <w:div w:id="1636642341">
      <w:bodyDiv w:val="1"/>
      <w:marLeft w:val="0"/>
      <w:marRight w:val="0"/>
      <w:marTop w:val="0"/>
      <w:marBottom w:val="0"/>
      <w:divBdr>
        <w:top w:val="none" w:sz="0" w:space="0" w:color="auto"/>
        <w:left w:val="none" w:sz="0" w:space="0" w:color="auto"/>
        <w:bottom w:val="none" w:sz="0" w:space="0" w:color="auto"/>
        <w:right w:val="none" w:sz="0" w:space="0" w:color="auto"/>
      </w:divBdr>
    </w:div>
    <w:div w:id="1644656043">
      <w:bodyDiv w:val="1"/>
      <w:marLeft w:val="0"/>
      <w:marRight w:val="0"/>
      <w:marTop w:val="0"/>
      <w:marBottom w:val="0"/>
      <w:divBdr>
        <w:top w:val="none" w:sz="0" w:space="0" w:color="auto"/>
        <w:left w:val="none" w:sz="0" w:space="0" w:color="auto"/>
        <w:bottom w:val="none" w:sz="0" w:space="0" w:color="auto"/>
        <w:right w:val="none" w:sz="0" w:space="0" w:color="auto"/>
      </w:divBdr>
    </w:div>
    <w:div w:id="1684741698">
      <w:bodyDiv w:val="1"/>
      <w:marLeft w:val="0"/>
      <w:marRight w:val="0"/>
      <w:marTop w:val="0"/>
      <w:marBottom w:val="0"/>
      <w:divBdr>
        <w:top w:val="none" w:sz="0" w:space="0" w:color="auto"/>
        <w:left w:val="none" w:sz="0" w:space="0" w:color="auto"/>
        <w:bottom w:val="none" w:sz="0" w:space="0" w:color="auto"/>
        <w:right w:val="none" w:sz="0" w:space="0" w:color="auto"/>
      </w:divBdr>
    </w:div>
    <w:div w:id="1685479887">
      <w:bodyDiv w:val="1"/>
      <w:marLeft w:val="0"/>
      <w:marRight w:val="0"/>
      <w:marTop w:val="0"/>
      <w:marBottom w:val="0"/>
      <w:divBdr>
        <w:top w:val="none" w:sz="0" w:space="0" w:color="auto"/>
        <w:left w:val="none" w:sz="0" w:space="0" w:color="auto"/>
        <w:bottom w:val="none" w:sz="0" w:space="0" w:color="auto"/>
        <w:right w:val="none" w:sz="0" w:space="0" w:color="auto"/>
      </w:divBdr>
    </w:div>
    <w:div w:id="1697077516">
      <w:bodyDiv w:val="1"/>
      <w:marLeft w:val="0"/>
      <w:marRight w:val="0"/>
      <w:marTop w:val="0"/>
      <w:marBottom w:val="0"/>
      <w:divBdr>
        <w:top w:val="none" w:sz="0" w:space="0" w:color="auto"/>
        <w:left w:val="none" w:sz="0" w:space="0" w:color="auto"/>
        <w:bottom w:val="none" w:sz="0" w:space="0" w:color="auto"/>
        <w:right w:val="none" w:sz="0" w:space="0" w:color="auto"/>
      </w:divBdr>
    </w:div>
    <w:div w:id="1699692920">
      <w:bodyDiv w:val="1"/>
      <w:marLeft w:val="0"/>
      <w:marRight w:val="0"/>
      <w:marTop w:val="0"/>
      <w:marBottom w:val="0"/>
      <w:divBdr>
        <w:top w:val="none" w:sz="0" w:space="0" w:color="auto"/>
        <w:left w:val="none" w:sz="0" w:space="0" w:color="auto"/>
        <w:bottom w:val="none" w:sz="0" w:space="0" w:color="auto"/>
        <w:right w:val="none" w:sz="0" w:space="0" w:color="auto"/>
      </w:divBdr>
    </w:div>
    <w:div w:id="1725368045">
      <w:bodyDiv w:val="1"/>
      <w:marLeft w:val="0"/>
      <w:marRight w:val="0"/>
      <w:marTop w:val="0"/>
      <w:marBottom w:val="0"/>
      <w:divBdr>
        <w:top w:val="none" w:sz="0" w:space="0" w:color="auto"/>
        <w:left w:val="none" w:sz="0" w:space="0" w:color="auto"/>
        <w:bottom w:val="none" w:sz="0" w:space="0" w:color="auto"/>
        <w:right w:val="none" w:sz="0" w:space="0" w:color="auto"/>
      </w:divBdr>
    </w:div>
    <w:div w:id="1786658581">
      <w:bodyDiv w:val="1"/>
      <w:marLeft w:val="0"/>
      <w:marRight w:val="0"/>
      <w:marTop w:val="0"/>
      <w:marBottom w:val="0"/>
      <w:divBdr>
        <w:top w:val="none" w:sz="0" w:space="0" w:color="auto"/>
        <w:left w:val="none" w:sz="0" w:space="0" w:color="auto"/>
        <w:bottom w:val="none" w:sz="0" w:space="0" w:color="auto"/>
        <w:right w:val="none" w:sz="0" w:space="0" w:color="auto"/>
      </w:divBdr>
    </w:div>
    <w:div w:id="1801876162">
      <w:bodyDiv w:val="1"/>
      <w:marLeft w:val="0"/>
      <w:marRight w:val="0"/>
      <w:marTop w:val="0"/>
      <w:marBottom w:val="0"/>
      <w:divBdr>
        <w:top w:val="none" w:sz="0" w:space="0" w:color="auto"/>
        <w:left w:val="none" w:sz="0" w:space="0" w:color="auto"/>
        <w:bottom w:val="none" w:sz="0" w:space="0" w:color="auto"/>
        <w:right w:val="none" w:sz="0" w:space="0" w:color="auto"/>
      </w:divBdr>
    </w:div>
    <w:div w:id="1844661723">
      <w:bodyDiv w:val="1"/>
      <w:marLeft w:val="0"/>
      <w:marRight w:val="0"/>
      <w:marTop w:val="0"/>
      <w:marBottom w:val="0"/>
      <w:divBdr>
        <w:top w:val="none" w:sz="0" w:space="0" w:color="auto"/>
        <w:left w:val="none" w:sz="0" w:space="0" w:color="auto"/>
        <w:bottom w:val="none" w:sz="0" w:space="0" w:color="auto"/>
        <w:right w:val="none" w:sz="0" w:space="0" w:color="auto"/>
      </w:divBdr>
    </w:div>
    <w:div w:id="1847480787">
      <w:bodyDiv w:val="1"/>
      <w:marLeft w:val="0"/>
      <w:marRight w:val="0"/>
      <w:marTop w:val="0"/>
      <w:marBottom w:val="0"/>
      <w:divBdr>
        <w:top w:val="none" w:sz="0" w:space="0" w:color="auto"/>
        <w:left w:val="none" w:sz="0" w:space="0" w:color="auto"/>
        <w:bottom w:val="none" w:sz="0" w:space="0" w:color="auto"/>
        <w:right w:val="none" w:sz="0" w:space="0" w:color="auto"/>
      </w:divBdr>
    </w:div>
    <w:div w:id="1882522232">
      <w:bodyDiv w:val="1"/>
      <w:marLeft w:val="0"/>
      <w:marRight w:val="0"/>
      <w:marTop w:val="0"/>
      <w:marBottom w:val="0"/>
      <w:divBdr>
        <w:top w:val="none" w:sz="0" w:space="0" w:color="auto"/>
        <w:left w:val="none" w:sz="0" w:space="0" w:color="auto"/>
        <w:bottom w:val="none" w:sz="0" w:space="0" w:color="auto"/>
        <w:right w:val="none" w:sz="0" w:space="0" w:color="auto"/>
      </w:divBdr>
    </w:div>
    <w:div w:id="1889685254">
      <w:bodyDiv w:val="1"/>
      <w:marLeft w:val="0"/>
      <w:marRight w:val="0"/>
      <w:marTop w:val="0"/>
      <w:marBottom w:val="0"/>
      <w:divBdr>
        <w:top w:val="none" w:sz="0" w:space="0" w:color="auto"/>
        <w:left w:val="none" w:sz="0" w:space="0" w:color="auto"/>
        <w:bottom w:val="none" w:sz="0" w:space="0" w:color="auto"/>
        <w:right w:val="none" w:sz="0" w:space="0" w:color="auto"/>
      </w:divBdr>
    </w:div>
    <w:div w:id="1906597789">
      <w:bodyDiv w:val="1"/>
      <w:marLeft w:val="0"/>
      <w:marRight w:val="0"/>
      <w:marTop w:val="0"/>
      <w:marBottom w:val="0"/>
      <w:divBdr>
        <w:top w:val="none" w:sz="0" w:space="0" w:color="auto"/>
        <w:left w:val="none" w:sz="0" w:space="0" w:color="auto"/>
        <w:bottom w:val="none" w:sz="0" w:space="0" w:color="auto"/>
        <w:right w:val="none" w:sz="0" w:space="0" w:color="auto"/>
      </w:divBdr>
    </w:div>
    <w:div w:id="1911455449">
      <w:bodyDiv w:val="1"/>
      <w:marLeft w:val="0"/>
      <w:marRight w:val="0"/>
      <w:marTop w:val="0"/>
      <w:marBottom w:val="0"/>
      <w:divBdr>
        <w:top w:val="none" w:sz="0" w:space="0" w:color="auto"/>
        <w:left w:val="none" w:sz="0" w:space="0" w:color="auto"/>
        <w:bottom w:val="none" w:sz="0" w:space="0" w:color="auto"/>
        <w:right w:val="none" w:sz="0" w:space="0" w:color="auto"/>
      </w:divBdr>
    </w:div>
    <w:div w:id="1925217967">
      <w:bodyDiv w:val="1"/>
      <w:marLeft w:val="0"/>
      <w:marRight w:val="0"/>
      <w:marTop w:val="0"/>
      <w:marBottom w:val="0"/>
      <w:divBdr>
        <w:top w:val="none" w:sz="0" w:space="0" w:color="auto"/>
        <w:left w:val="none" w:sz="0" w:space="0" w:color="auto"/>
        <w:bottom w:val="none" w:sz="0" w:space="0" w:color="auto"/>
        <w:right w:val="none" w:sz="0" w:space="0" w:color="auto"/>
      </w:divBdr>
    </w:div>
    <w:div w:id="1941641590">
      <w:bodyDiv w:val="1"/>
      <w:marLeft w:val="0"/>
      <w:marRight w:val="0"/>
      <w:marTop w:val="0"/>
      <w:marBottom w:val="0"/>
      <w:divBdr>
        <w:top w:val="none" w:sz="0" w:space="0" w:color="auto"/>
        <w:left w:val="none" w:sz="0" w:space="0" w:color="auto"/>
        <w:bottom w:val="none" w:sz="0" w:space="0" w:color="auto"/>
        <w:right w:val="none" w:sz="0" w:space="0" w:color="auto"/>
      </w:divBdr>
    </w:div>
    <w:div w:id="2059236867">
      <w:bodyDiv w:val="1"/>
      <w:marLeft w:val="0"/>
      <w:marRight w:val="0"/>
      <w:marTop w:val="0"/>
      <w:marBottom w:val="0"/>
      <w:divBdr>
        <w:top w:val="none" w:sz="0" w:space="0" w:color="auto"/>
        <w:left w:val="none" w:sz="0" w:space="0" w:color="auto"/>
        <w:bottom w:val="none" w:sz="0" w:space="0" w:color="auto"/>
        <w:right w:val="none" w:sz="0" w:space="0" w:color="auto"/>
      </w:divBdr>
    </w:div>
    <w:div w:id="2123110780">
      <w:bodyDiv w:val="1"/>
      <w:marLeft w:val="0"/>
      <w:marRight w:val="0"/>
      <w:marTop w:val="0"/>
      <w:marBottom w:val="0"/>
      <w:divBdr>
        <w:top w:val="none" w:sz="0" w:space="0" w:color="auto"/>
        <w:left w:val="none" w:sz="0" w:space="0" w:color="auto"/>
        <w:bottom w:val="none" w:sz="0" w:space="0" w:color="auto"/>
        <w:right w:val="none" w:sz="0" w:space="0" w:color="auto"/>
      </w:divBdr>
      <w:divsChild>
        <w:div w:id="1843814854">
          <w:marLeft w:val="547"/>
          <w:marRight w:val="0"/>
          <w:marTop w:val="130"/>
          <w:marBottom w:val="0"/>
          <w:divBdr>
            <w:top w:val="none" w:sz="0" w:space="0" w:color="auto"/>
            <w:left w:val="none" w:sz="0" w:space="0" w:color="auto"/>
            <w:bottom w:val="none" w:sz="0" w:space="0" w:color="auto"/>
            <w:right w:val="none" w:sz="0" w:space="0" w:color="auto"/>
          </w:divBdr>
        </w:div>
      </w:divsChild>
    </w:div>
    <w:div w:id="21460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inasth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9A3E-A993-49D1-950B-9F069AA3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7039</Words>
  <Characters>40125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2015-10-29T23:14:00Z</dcterms:created>
  <dcterms:modified xsi:type="dcterms:W3CDTF">2015-10-29T23:16:00Z</dcterms:modified>
</cp:coreProperties>
</file>