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C9" w:rsidRDefault="00DA54AF" w:rsidP="00075D48">
      <w:pPr>
        <w:pStyle w:val="Heading1"/>
        <w:widowControl/>
        <w:jc w:val="left"/>
        <w:rPr>
          <w:sz w:val="28"/>
        </w:rPr>
      </w:pPr>
      <w:bookmarkStart w:id="0" w:name="_Toc419800797"/>
      <w:bookmarkStart w:id="1" w:name="_GoBack"/>
      <w:bookmarkEnd w:id="1"/>
      <w:r>
        <w:rPr>
          <w:sz w:val="28"/>
        </w:rPr>
        <w:t>5</w:t>
      </w:r>
      <w:r w:rsidR="00433044">
        <w:rPr>
          <w:sz w:val="28"/>
        </w:rPr>
        <w:t>.</w:t>
      </w:r>
      <w:r>
        <w:rPr>
          <w:sz w:val="28"/>
        </w:rPr>
        <w:t>13</w:t>
      </w:r>
      <w:r w:rsidR="00B60939" w:rsidRPr="00207D00">
        <w:rPr>
          <w:sz w:val="28"/>
        </w:rPr>
        <w:tab/>
      </w:r>
      <w:r w:rsidR="00A52406">
        <w:rPr>
          <w:sz w:val="28"/>
        </w:rPr>
        <w:t>Tiotropium bromide plus olodaterol hydrochloride</w:t>
      </w:r>
    </w:p>
    <w:p w:rsidR="000629C9" w:rsidRDefault="00A52406" w:rsidP="00075D48">
      <w:pPr>
        <w:pStyle w:val="Heading1"/>
        <w:widowControl/>
        <w:ind w:firstLine="0"/>
        <w:rPr>
          <w:sz w:val="28"/>
        </w:rPr>
      </w:pPr>
      <w:r>
        <w:rPr>
          <w:caps w:val="0"/>
          <w:sz w:val="28"/>
        </w:rPr>
        <w:t>solution for inhalation</w:t>
      </w:r>
      <w:r w:rsidR="00B60939" w:rsidRPr="00207D00">
        <w:rPr>
          <w:sz w:val="28"/>
        </w:rPr>
        <w:t xml:space="preserve">, </w:t>
      </w:r>
      <w:r>
        <w:rPr>
          <w:sz w:val="28"/>
        </w:rPr>
        <w:t>2.5 µ</w:t>
      </w:r>
      <w:r>
        <w:rPr>
          <w:caps w:val="0"/>
          <w:sz w:val="28"/>
        </w:rPr>
        <w:t>g plus 2.5 µg per puff</w:t>
      </w:r>
      <w:r w:rsidR="003A08AA">
        <w:rPr>
          <w:caps w:val="0"/>
          <w:sz w:val="28"/>
        </w:rPr>
        <w:t>, 60</w:t>
      </w:r>
      <w:r w:rsidR="003E4003">
        <w:rPr>
          <w:rFonts w:hint="eastAsia"/>
          <w:caps w:val="0"/>
          <w:sz w:val="28"/>
        </w:rPr>
        <w:t> </w:t>
      </w:r>
      <w:r w:rsidR="003A08AA">
        <w:rPr>
          <w:caps w:val="0"/>
          <w:sz w:val="28"/>
        </w:rPr>
        <w:t>actuations</w:t>
      </w:r>
    </w:p>
    <w:p w:rsidR="000629C9" w:rsidRDefault="00A52406" w:rsidP="00075D48">
      <w:pPr>
        <w:pStyle w:val="Heading1"/>
        <w:widowControl/>
        <w:ind w:firstLine="0"/>
        <w:rPr>
          <w:sz w:val="28"/>
        </w:rPr>
      </w:pPr>
      <w:r>
        <w:rPr>
          <w:caps w:val="0"/>
          <w:sz w:val="28"/>
        </w:rPr>
        <w:t>Spiolto</w:t>
      </w:r>
      <w:r w:rsidRPr="00207D00">
        <w:rPr>
          <w:sz w:val="28"/>
          <w:vertAlign w:val="superscript"/>
        </w:rPr>
        <w:t>®</w:t>
      </w:r>
      <w:r>
        <w:rPr>
          <w:caps w:val="0"/>
          <w:sz w:val="28"/>
        </w:rPr>
        <w:t xml:space="preserve"> Respimat</w:t>
      </w:r>
      <w:r w:rsidR="00B60939" w:rsidRPr="00207D00">
        <w:rPr>
          <w:sz w:val="28"/>
          <w:vertAlign w:val="superscript"/>
        </w:rPr>
        <w:t>®</w:t>
      </w:r>
    </w:p>
    <w:p w:rsidR="00B60939" w:rsidRPr="00207D00" w:rsidRDefault="000A53EA" w:rsidP="00075D48">
      <w:pPr>
        <w:pStyle w:val="Heading1"/>
        <w:widowControl/>
        <w:ind w:firstLine="0"/>
        <w:rPr>
          <w:sz w:val="28"/>
        </w:rPr>
      </w:pPr>
      <w:r>
        <w:rPr>
          <w:caps w:val="0"/>
          <w:sz w:val="28"/>
        </w:rPr>
        <w:t>Boehringer</w:t>
      </w:r>
      <w:r w:rsidR="00A52406">
        <w:rPr>
          <w:caps w:val="0"/>
          <w:sz w:val="28"/>
        </w:rPr>
        <w:t xml:space="preserve"> Ingelheim</w:t>
      </w:r>
      <w:bookmarkEnd w:id="0"/>
    </w:p>
    <w:p w:rsidR="00433044" w:rsidRPr="000B64DB" w:rsidRDefault="00433044" w:rsidP="00075D48">
      <w:pPr>
        <w:pStyle w:val="Heading2"/>
        <w:widowControl/>
        <w:rPr>
          <w:highlight w:val="yellow"/>
        </w:rPr>
      </w:pPr>
    </w:p>
    <w:p w:rsidR="00433044" w:rsidRDefault="00433044" w:rsidP="00075D48">
      <w:pPr>
        <w:widowControl/>
      </w:pPr>
    </w:p>
    <w:p w:rsidR="00B50DB8" w:rsidRPr="00407F2D" w:rsidRDefault="00B50DB8" w:rsidP="00AD10AE">
      <w:pPr>
        <w:pStyle w:val="PBACHeading1"/>
        <w:keepNext/>
      </w:pPr>
      <w:bookmarkStart w:id="2" w:name="_Toc419800799"/>
      <w:r w:rsidRPr="00407F2D">
        <w:t>Purpose of Application</w:t>
      </w:r>
      <w:bookmarkEnd w:id="2"/>
    </w:p>
    <w:p w:rsidR="00B60939" w:rsidRPr="00882085" w:rsidRDefault="00B60939" w:rsidP="00AD10AE">
      <w:pPr>
        <w:keepNext/>
        <w:widowControl/>
        <w:rPr>
          <w:szCs w:val="22"/>
        </w:rPr>
      </w:pPr>
    </w:p>
    <w:p w:rsidR="00B60939" w:rsidRDefault="00075D48" w:rsidP="00075D48">
      <w:pPr>
        <w:pStyle w:val="ListParagraph"/>
        <w:widowControl/>
        <w:numPr>
          <w:ilvl w:val="1"/>
          <w:numId w:val="4"/>
        </w:numPr>
      </w:pPr>
      <w:r>
        <w:t xml:space="preserve">The submission requested </w:t>
      </w:r>
      <w:r w:rsidR="001E238E" w:rsidRPr="004B3DDB">
        <w:t>Authority Required</w:t>
      </w:r>
      <w:r w:rsidR="002775BF">
        <w:t xml:space="preserve"> (streamlined)</w:t>
      </w:r>
      <w:r w:rsidR="001E238E" w:rsidRPr="004B3DDB">
        <w:t xml:space="preserve"> listing for </w:t>
      </w:r>
      <w:r w:rsidR="002775BF">
        <w:t>tiotropium plus olodaterol fixed dose combination (FDC)</w:t>
      </w:r>
      <w:r w:rsidR="001E238E" w:rsidRPr="004B3DDB">
        <w:t xml:space="preserve"> for treatment of </w:t>
      </w:r>
      <w:r w:rsidR="002775BF">
        <w:t>chronic obstructive pulmonary disease (COPD).</w:t>
      </w:r>
    </w:p>
    <w:p w:rsidR="00A87F14" w:rsidRDefault="00A87F14" w:rsidP="00075D48">
      <w:pPr>
        <w:widowControl/>
      </w:pPr>
    </w:p>
    <w:p w:rsidR="00B50DB8" w:rsidRPr="00407F2D" w:rsidRDefault="00B50DB8" w:rsidP="00075D48">
      <w:pPr>
        <w:pStyle w:val="PBACHeading1"/>
      </w:pPr>
      <w:bookmarkStart w:id="3" w:name="_Toc419800800"/>
      <w:r w:rsidRPr="00407F2D">
        <w:t>Requested listing</w:t>
      </w:r>
      <w:bookmarkEnd w:id="3"/>
    </w:p>
    <w:p w:rsidR="00B60939" w:rsidRPr="00882085" w:rsidRDefault="00B60939" w:rsidP="00075D48">
      <w:pPr>
        <w:widowControl/>
      </w:pPr>
    </w:p>
    <w:p w:rsidR="00617E12" w:rsidRDefault="00D4047F" w:rsidP="00075D48">
      <w:pPr>
        <w:pStyle w:val="ListParagraph"/>
        <w:widowControl/>
        <w:numPr>
          <w:ilvl w:val="1"/>
          <w:numId w:val="4"/>
        </w:numPr>
        <w:rPr>
          <w:szCs w:val="22"/>
        </w:rPr>
      </w:pPr>
      <w:r>
        <w:rPr>
          <w:szCs w:val="22"/>
        </w:rPr>
        <w:t>The requested listing is presented b</w:t>
      </w:r>
      <w:r w:rsidRPr="000B64DB">
        <w:rPr>
          <w:szCs w:val="22"/>
        </w:rPr>
        <w:t>elow.</w:t>
      </w:r>
      <w:r w:rsidR="007B1E65" w:rsidRPr="000B64DB">
        <w:rPr>
          <w:szCs w:val="22"/>
        </w:rPr>
        <w:t xml:space="preserve"> Suggestions and additions proposed by the Secretariat to the requested listing are added in italics.</w:t>
      </w:r>
    </w:p>
    <w:p w:rsidR="007B1E65" w:rsidRDefault="007B1E65" w:rsidP="00075D48">
      <w:pPr>
        <w:pStyle w:val="ListParagraph"/>
        <w:widowControl/>
        <w:rPr>
          <w:szCs w:val="22"/>
        </w:rPr>
      </w:pPr>
    </w:p>
    <w:tbl>
      <w:tblPr>
        <w:tblW w:w="8363" w:type="dxa"/>
        <w:tblInd w:w="817" w:type="dxa"/>
        <w:tblLayout w:type="fixed"/>
        <w:tblLook w:val="0000" w:firstRow="0" w:lastRow="0" w:firstColumn="0" w:lastColumn="0" w:noHBand="0" w:noVBand="0"/>
      </w:tblPr>
      <w:tblGrid>
        <w:gridCol w:w="2835"/>
        <w:gridCol w:w="426"/>
        <w:gridCol w:w="567"/>
        <w:gridCol w:w="567"/>
        <w:gridCol w:w="1417"/>
        <w:gridCol w:w="1417"/>
        <w:gridCol w:w="1134"/>
      </w:tblGrid>
      <w:tr w:rsidR="007B1E65" w:rsidRPr="00260CE3" w:rsidTr="007B1E65">
        <w:trPr>
          <w:cantSplit/>
          <w:trHeight w:val="471"/>
        </w:trPr>
        <w:tc>
          <w:tcPr>
            <w:tcW w:w="3261" w:type="dxa"/>
            <w:gridSpan w:val="2"/>
            <w:tcBorders>
              <w:bottom w:val="single" w:sz="4" w:space="0" w:color="auto"/>
            </w:tcBorders>
          </w:tcPr>
          <w:p w:rsidR="007B1E65" w:rsidRPr="00260CE3" w:rsidRDefault="007B1E65" w:rsidP="00075D48">
            <w:pPr>
              <w:keepNext/>
              <w:widowControl/>
              <w:ind w:left="-108"/>
              <w:rPr>
                <w:rFonts w:ascii="Arial Narrow" w:hAnsi="Arial Narrow"/>
                <w:sz w:val="20"/>
              </w:rPr>
            </w:pPr>
            <w:r w:rsidRPr="00260CE3">
              <w:rPr>
                <w:rFonts w:ascii="Arial Narrow" w:hAnsi="Arial Narrow"/>
                <w:sz w:val="20"/>
              </w:rPr>
              <w:t>Name, Restriction,</w:t>
            </w:r>
          </w:p>
          <w:p w:rsidR="007B1E65" w:rsidRPr="00260CE3" w:rsidRDefault="007B1E65" w:rsidP="00075D48">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7B1E65" w:rsidRPr="00260CE3" w:rsidRDefault="007B1E65" w:rsidP="00075D48">
            <w:pPr>
              <w:keepNext/>
              <w:widowControl/>
              <w:ind w:left="-108"/>
              <w:rPr>
                <w:rFonts w:ascii="Arial Narrow" w:hAnsi="Arial Narrow"/>
                <w:sz w:val="20"/>
              </w:rPr>
            </w:pPr>
            <w:r w:rsidRPr="00260CE3">
              <w:rPr>
                <w:rFonts w:ascii="Arial Narrow" w:hAnsi="Arial Narrow"/>
                <w:sz w:val="20"/>
              </w:rPr>
              <w:t>Max.</w:t>
            </w:r>
          </w:p>
          <w:p w:rsidR="007B1E65" w:rsidRPr="00260CE3" w:rsidRDefault="007B1E65" w:rsidP="00075D48">
            <w:pPr>
              <w:keepNext/>
              <w:widowControl/>
              <w:ind w:left="-108"/>
              <w:rPr>
                <w:rFonts w:ascii="Arial Narrow" w:hAnsi="Arial Narrow"/>
                <w:sz w:val="20"/>
              </w:rPr>
            </w:pPr>
            <w:r w:rsidRPr="00260CE3">
              <w:rPr>
                <w:rFonts w:ascii="Arial Narrow" w:hAnsi="Arial Narrow"/>
                <w:sz w:val="20"/>
              </w:rPr>
              <w:t>Qty</w:t>
            </w:r>
          </w:p>
        </w:tc>
        <w:tc>
          <w:tcPr>
            <w:tcW w:w="567" w:type="dxa"/>
            <w:tcBorders>
              <w:bottom w:val="single" w:sz="4" w:space="0" w:color="auto"/>
            </w:tcBorders>
          </w:tcPr>
          <w:p w:rsidR="007B1E65" w:rsidRPr="00260CE3" w:rsidRDefault="007B1E65" w:rsidP="00075D48">
            <w:pPr>
              <w:keepNext/>
              <w:widowControl/>
              <w:ind w:left="-108"/>
              <w:rPr>
                <w:rFonts w:ascii="Arial Narrow" w:hAnsi="Arial Narrow"/>
                <w:sz w:val="20"/>
              </w:rPr>
            </w:pPr>
            <w:r w:rsidRPr="00260CE3">
              <w:rPr>
                <w:rFonts w:ascii="Arial Narrow" w:hAnsi="Arial Narrow"/>
                <w:sz w:val="20"/>
              </w:rPr>
              <w:t>№.of</w:t>
            </w:r>
          </w:p>
          <w:p w:rsidR="007B1E65" w:rsidRPr="00260CE3" w:rsidRDefault="007B1E65" w:rsidP="00075D48">
            <w:pPr>
              <w:keepNext/>
              <w:widowControl/>
              <w:ind w:left="-108"/>
              <w:rPr>
                <w:rFonts w:ascii="Arial Narrow" w:hAnsi="Arial Narrow"/>
                <w:sz w:val="20"/>
              </w:rPr>
            </w:pPr>
            <w:r w:rsidRPr="00260CE3">
              <w:rPr>
                <w:rFonts w:ascii="Arial Narrow" w:hAnsi="Arial Narrow"/>
                <w:sz w:val="20"/>
              </w:rPr>
              <w:t>Rpts</w:t>
            </w:r>
          </w:p>
        </w:tc>
        <w:tc>
          <w:tcPr>
            <w:tcW w:w="1417" w:type="dxa"/>
            <w:tcBorders>
              <w:bottom w:val="single" w:sz="4" w:space="0" w:color="auto"/>
            </w:tcBorders>
          </w:tcPr>
          <w:p w:rsidR="007B1E65" w:rsidRPr="00260CE3" w:rsidRDefault="007B1E65" w:rsidP="00075D48">
            <w:pPr>
              <w:keepNext/>
              <w:widowControl/>
              <w:ind w:left="-108"/>
              <w:rPr>
                <w:rFonts w:ascii="Arial Narrow" w:hAnsi="Arial Narrow"/>
                <w:sz w:val="20"/>
              </w:rPr>
            </w:pPr>
            <w:r w:rsidRPr="00260CE3">
              <w:rPr>
                <w:rFonts w:ascii="Arial Narrow" w:hAnsi="Arial Narrow"/>
                <w:sz w:val="20"/>
              </w:rPr>
              <w:t>Dispensed Price for Max. Qty</w:t>
            </w:r>
          </w:p>
        </w:tc>
        <w:tc>
          <w:tcPr>
            <w:tcW w:w="2551" w:type="dxa"/>
            <w:gridSpan w:val="2"/>
            <w:tcBorders>
              <w:bottom w:val="single" w:sz="4" w:space="0" w:color="auto"/>
            </w:tcBorders>
          </w:tcPr>
          <w:p w:rsidR="007B1E65" w:rsidRPr="00260CE3" w:rsidRDefault="007B1E65" w:rsidP="00075D48">
            <w:pPr>
              <w:keepNext/>
              <w:widowControl/>
              <w:rPr>
                <w:rFonts w:ascii="Arial Narrow" w:hAnsi="Arial Narrow"/>
                <w:sz w:val="20"/>
                <w:lang w:val="fr-FR"/>
              </w:rPr>
            </w:pPr>
            <w:r w:rsidRPr="00260CE3">
              <w:rPr>
                <w:rFonts w:ascii="Arial Narrow" w:hAnsi="Arial Narrow"/>
                <w:sz w:val="20"/>
              </w:rPr>
              <w:t>Proprietary Name and Manufacturer</w:t>
            </w:r>
          </w:p>
        </w:tc>
      </w:tr>
      <w:tr w:rsidR="007B1E65" w:rsidRPr="00260CE3" w:rsidTr="007B1E65">
        <w:trPr>
          <w:cantSplit/>
          <w:trHeight w:val="577"/>
        </w:trPr>
        <w:tc>
          <w:tcPr>
            <w:tcW w:w="3261" w:type="dxa"/>
            <w:gridSpan w:val="2"/>
          </w:tcPr>
          <w:p w:rsidR="007B1E65" w:rsidRPr="00260CE3" w:rsidRDefault="007B1E65" w:rsidP="00075D48">
            <w:pPr>
              <w:keepNext/>
              <w:widowControl/>
              <w:ind w:left="-108"/>
              <w:rPr>
                <w:rFonts w:ascii="Arial Narrow" w:hAnsi="Arial Narrow"/>
                <w:sz w:val="20"/>
              </w:rPr>
            </w:pPr>
            <w:r>
              <w:rPr>
                <w:rFonts w:ascii="Arial Narrow" w:hAnsi="Arial Narrow"/>
                <w:smallCaps/>
                <w:sz w:val="20"/>
              </w:rPr>
              <w:t>TIOTROPIUM + OLODATEROL</w:t>
            </w:r>
          </w:p>
          <w:p w:rsidR="007B1E65" w:rsidRPr="00260CE3" w:rsidRDefault="007B1E65" w:rsidP="00075D48">
            <w:pPr>
              <w:keepNext/>
              <w:widowControl/>
              <w:ind w:left="-108"/>
              <w:rPr>
                <w:rFonts w:ascii="Arial Narrow" w:hAnsi="Arial Narrow"/>
                <w:sz w:val="20"/>
              </w:rPr>
            </w:pPr>
            <w:r>
              <w:rPr>
                <w:rFonts w:ascii="Arial Narrow" w:hAnsi="Arial Narrow"/>
                <w:sz w:val="20"/>
              </w:rPr>
              <w:t>Tiotropium 2.5 microgram/actuation + olodaterol 2.5 microgram/actuation inhalation: solution for, 60 actuations</w:t>
            </w:r>
          </w:p>
        </w:tc>
        <w:tc>
          <w:tcPr>
            <w:tcW w:w="567" w:type="dxa"/>
          </w:tcPr>
          <w:p w:rsidR="007B1E65" w:rsidRPr="00260CE3" w:rsidRDefault="007B1E65" w:rsidP="00075D48">
            <w:pPr>
              <w:keepNext/>
              <w:widowControl/>
              <w:ind w:left="-108"/>
              <w:rPr>
                <w:rFonts w:ascii="Arial Narrow" w:hAnsi="Arial Narrow"/>
                <w:sz w:val="20"/>
              </w:rPr>
            </w:pPr>
          </w:p>
          <w:p w:rsidR="007B1E65" w:rsidRPr="00260CE3" w:rsidRDefault="007B1E65" w:rsidP="00075D48">
            <w:pPr>
              <w:keepNext/>
              <w:widowControl/>
              <w:ind w:left="-108"/>
              <w:rPr>
                <w:rFonts w:ascii="Arial Narrow" w:hAnsi="Arial Narrow"/>
                <w:sz w:val="20"/>
              </w:rPr>
            </w:pPr>
            <w:r>
              <w:rPr>
                <w:rFonts w:ascii="Arial Narrow" w:hAnsi="Arial Narrow"/>
                <w:sz w:val="20"/>
              </w:rPr>
              <w:t>1</w:t>
            </w:r>
          </w:p>
        </w:tc>
        <w:tc>
          <w:tcPr>
            <w:tcW w:w="567" w:type="dxa"/>
          </w:tcPr>
          <w:p w:rsidR="007B1E65" w:rsidRPr="00260CE3" w:rsidRDefault="007B1E65" w:rsidP="00075D48">
            <w:pPr>
              <w:keepNext/>
              <w:widowControl/>
              <w:ind w:left="-108"/>
              <w:rPr>
                <w:rFonts w:ascii="Arial Narrow" w:hAnsi="Arial Narrow"/>
                <w:sz w:val="20"/>
              </w:rPr>
            </w:pPr>
          </w:p>
          <w:p w:rsidR="007B1E65" w:rsidRPr="00260CE3" w:rsidRDefault="007B1E65" w:rsidP="00075D48">
            <w:pPr>
              <w:keepNext/>
              <w:widowControl/>
              <w:ind w:left="-108"/>
              <w:rPr>
                <w:rFonts w:ascii="Arial Narrow" w:hAnsi="Arial Narrow"/>
                <w:sz w:val="20"/>
              </w:rPr>
            </w:pPr>
            <w:r>
              <w:rPr>
                <w:rFonts w:ascii="Arial Narrow" w:hAnsi="Arial Narrow"/>
                <w:sz w:val="20"/>
              </w:rPr>
              <w:t>5</w:t>
            </w:r>
          </w:p>
        </w:tc>
        <w:tc>
          <w:tcPr>
            <w:tcW w:w="1417" w:type="dxa"/>
          </w:tcPr>
          <w:p w:rsidR="007B1E65" w:rsidRPr="00260CE3" w:rsidRDefault="007B1E65" w:rsidP="00075D48">
            <w:pPr>
              <w:keepNext/>
              <w:widowControl/>
              <w:ind w:left="-108"/>
              <w:rPr>
                <w:rFonts w:ascii="Arial Narrow" w:hAnsi="Arial Narrow"/>
                <w:sz w:val="20"/>
              </w:rPr>
            </w:pPr>
          </w:p>
          <w:p w:rsidR="007B1E65" w:rsidRPr="00260CE3" w:rsidRDefault="007B1E65" w:rsidP="00075D48">
            <w:pPr>
              <w:keepNext/>
              <w:widowControl/>
              <w:ind w:left="-108"/>
              <w:rPr>
                <w:rFonts w:ascii="Arial Narrow" w:hAnsi="Arial Narrow"/>
                <w:sz w:val="20"/>
              </w:rPr>
            </w:pPr>
            <w:r>
              <w:rPr>
                <w:rFonts w:ascii="Arial Narrow" w:hAnsi="Arial Narrow"/>
                <w:sz w:val="20"/>
              </w:rPr>
              <w:t>$</w:t>
            </w:r>
            <w:r w:rsidRPr="00233AF1">
              <w:rPr>
                <w:rFonts w:ascii="Arial Narrow" w:hAnsi="Arial Narrow"/>
                <w:sz w:val="20"/>
              </w:rPr>
              <w:t>96.38</w:t>
            </w:r>
          </w:p>
        </w:tc>
        <w:tc>
          <w:tcPr>
            <w:tcW w:w="1417" w:type="dxa"/>
          </w:tcPr>
          <w:p w:rsidR="007B1E65" w:rsidRPr="00260CE3" w:rsidRDefault="007B1E65" w:rsidP="00075D48">
            <w:pPr>
              <w:keepNext/>
              <w:widowControl/>
              <w:rPr>
                <w:rFonts w:ascii="Arial Narrow" w:hAnsi="Arial Narrow"/>
                <w:sz w:val="20"/>
              </w:rPr>
            </w:pPr>
            <w:r>
              <w:rPr>
                <w:rFonts w:ascii="Arial Narrow" w:hAnsi="Arial Narrow"/>
                <w:sz w:val="20"/>
              </w:rPr>
              <w:t>Spiolto</w:t>
            </w:r>
            <w:r w:rsidRPr="006967A6">
              <w:rPr>
                <w:rFonts w:ascii="Arial Narrow" w:hAnsi="Arial Narrow"/>
                <w:sz w:val="20"/>
                <w:vertAlign w:val="superscript"/>
              </w:rPr>
              <w:t>®</w:t>
            </w:r>
            <w:r>
              <w:rPr>
                <w:rFonts w:ascii="Arial Narrow" w:hAnsi="Arial Narrow"/>
                <w:sz w:val="20"/>
              </w:rPr>
              <w:t xml:space="preserve"> Respimat</w:t>
            </w:r>
            <w:r w:rsidRPr="006967A6">
              <w:rPr>
                <w:rFonts w:ascii="Arial Narrow" w:hAnsi="Arial Narrow"/>
                <w:sz w:val="20"/>
                <w:vertAlign w:val="superscript"/>
              </w:rPr>
              <w:t>®</w:t>
            </w:r>
          </w:p>
        </w:tc>
        <w:tc>
          <w:tcPr>
            <w:tcW w:w="1134" w:type="dxa"/>
          </w:tcPr>
          <w:p w:rsidR="007B1E65" w:rsidRPr="00260CE3" w:rsidRDefault="000A53EA" w:rsidP="000A53EA">
            <w:pPr>
              <w:keepNext/>
              <w:widowControl/>
              <w:rPr>
                <w:rFonts w:ascii="Arial Narrow" w:hAnsi="Arial Narrow"/>
                <w:sz w:val="20"/>
              </w:rPr>
            </w:pPr>
            <w:r>
              <w:rPr>
                <w:rFonts w:ascii="Arial Narrow" w:hAnsi="Arial Narrow"/>
                <w:sz w:val="20"/>
              </w:rPr>
              <w:t>Boehringer</w:t>
            </w:r>
            <w:r w:rsidR="007B1E65">
              <w:rPr>
                <w:rFonts w:ascii="Arial Narrow" w:hAnsi="Arial Narrow"/>
                <w:sz w:val="20"/>
              </w:rPr>
              <w:t xml:space="preserve"> Ingelheim</w:t>
            </w:r>
          </w:p>
        </w:tc>
      </w:tr>
      <w:tr w:rsidR="007B1E65" w:rsidRPr="00260CE3" w:rsidTr="007B1E65">
        <w:trPr>
          <w:cantSplit/>
          <w:trHeight w:val="360"/>
        </w:trPr>
        <w:tc>
          <w:tcPr>
            <w:tcW w:w="8363" w:type="dxa"/>
            <w:gridSpan w:val="7"/>
            <w:tcBorders>
              <w:bottom w:val="single" w:sz="4" w:space="0" w:color="auto"/>
            </w:tcBorders>
          </w:tcPr>
          <w:p w:rsidR="007B1E65" w:rsidRPr="00260CE3" w:rsidRDefault="007B1E65" w:rsidP="00075D48">
            <w:pPr>
              <w:widowControl/>
              <w:rPr>
                <w:rFonts w:ascii="Arial Narrow" w:hAnsi="Arial Narrow"/>
                <w:sz w:val="20"/>
              </w:rPr>
            </w:pPr>
          </w:p>
        </w:tc>
      </w:tr>
      <w:tr w:rsidR="007B1E65" w:rsidRPr="00260CE3" w:rsidTr="007B1E6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sz w:val="20"/>
              </w:rPr>
            </w:pPr>
            <w:r w:rsidRPr="00260CE3">
              <w:rPr>
                <w:rFonts w:ascii="Arial Narrow" w:hAnsi="Arial Narrow"/>
                <w:sz w:val="20"/>
              </w:rPr>
              <w:t>GENERAL – General Schedule (Code GE)</w:t>
            </w:r>
          </w:p>
          <w:p w:rsidR="007B1E65" w:rsidRPr="00260CE3" w:rsidRDefault="007B1E65" w:rsidP="00075D48">
            <w:pPr>
              <w:widowControl/>
              <w:rPr>
                <w:rFonts w:ascii="Arial Narrow" w:hAnsi="Arial Narrow"/>
                <w:sz w:val="20"/>
              </w:rPr>
            </w:pPr>
          </w:p>
        </w:tc>
      </w:tr>
      <w:tr w:rsidR="007B1E65" w:rsidRPr="00260CE3" w:rsidTr="007B1E6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B1E65" w:rsidRDefault="007B1E65" w:rsidP="00075D48">
            <w:pPr>
              <w:widowControl/>
              <w:rPr>
                <w:rFonts w:ascii="Arial Narrow" w:hAnsi="Arial Narrow"/>
                <w:b/>
                <w:sz w:val="20"/>
              </w:rPr>
            </w:pPr>
            <w:r w:rsidRPr="00260CE3">
              <w:rPr>
                <w:rFonts w:ascii="Arial Narrow" w:hAnsi="Arial Narrow"/>
                <w:b/>
                <w:sz w:val="20"/>
              </w:rPr>
              <w:t>Prescriber type:</w:t>
            </w:r>
          </w:p>
          <w:p w:rsidR="007B1E65" w:rsidRPr="00260CE3" w:rsidRDefault="007B1E65" w:rsidP="00075D48">
            <w:pPr>
              <w:widowControl/>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Pr>
                <w:rFonts w:ascii="Arial Narrow" w:hAnsi="Arial Narrow"/>
                <w:sz w:val="20"/>
              </w:rPr>
              <w:fldChar w:fldCharType="end"/>
            </w:r>
            <w:bookmarkEnd w:id="4"/>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7B1E65" w:rsidRPr="00260CE3" w:rsidRDefault="007B1E65" w:rsidP="00075D48">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7B1E65" w:rsidRPr="00260CE3" w:rsidTr="007B1E6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sz w:val="20"/>
              </w:rPr>
            </w:pPr>
            <w:r>
              <w:rPr>
                <w:rFonts w:ascii="Arial Narrow" w:hAnsi="Arial Narrow"/>
                <w:sz w:val="20"/>
              </w:rPr>
              <w:t>Chronic obstructive pulmonary disease (COPD)</w:t>
            </w:r>
          </w:p>
        </w:tc>
      </w:tr>
      <w:tr w:rsidR="007B1E65" w:rsidRPr="00260CE3" w:rsidTr="007B1E6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b/>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sz w:val="20"/>
              </w:rPr>
            </w:pPr>
            <w:r>
              <w:rPr>
                <w:rFonts w:ascii="Arial Narrow" w:hAnsi="Arial Narrow"/>
                <w:sz w:val="20"/>
              </w:rPr>
              <w:t>Chronic obstructive pulmonary disease (COPD)</w:t>
            </w:r>
          </w:p>
        </w:tc>
      </w:tr>
      <w:tr w:rsidR="007B1E65" w:rsidRPr="00260CE3" w:rsidTr="007B1E6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B1E65" w:rsidRPr="006967A6" w:rsidRDefault="007B1E65" w:rsidP="00075D48">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6"/>
            <w:tcBorders>
              <w:top w:val="single" w:sz="4" w:space="0" w:color="auto"/>
              <w:left w:val="single" w:sz="4" w:space="0" w:color="auto"/>
              <w:bottom w:val="single" w:sz="4" w:space="0" w:color="auto"/>
              <w:right w:val="single" w:sz="4" w:space="0" w:color="auto"/>
            </w:tcBorders>
          </w:tcPr>
          <w:p w:rsidR="007B1E65" w:rsidRPr="00106BCF" w:rsidRDefault="007B1E65" w:rsidP="00075D48">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7B1E65" w:rsidRPr="00106BCF" w:rsidRDefault="007B1E65" w:rsidP="00075D48">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7B1E65" w:rsidRPr="00106BCF" w:rsidRDefault="007B1E65" w:rsidP="00075D48">
            <w:pPr>
              <w:widowControl/>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7B1E65" w:rsidRPr="00106BCF" w:rsidRDefault="007B1E65" w:rsidP="00075D48">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7B1E65" w:rsidRPr="00106BCF" w:rsidRDefault="007B1E65" w:rsidP="00075D48">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7B1E65" w:rsidRPr="00260CE3" w:rsidRDefault="007B1E65" w:rsidP="00075D48">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5" w:name="Check5"/>
            <w:r>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Pr>
                <w:rFonts w:ascii="Arial Narrow" w:hAnsi="Arial Narrow"/>
                <w:sz w:val="20"/>
              </w:rPr>
              <w:fldChar w:fldCharType="end"/>
            </w:r>
            <w:bookmarkEnd w:id="5"/>
            <w:r w:rsidRPr="00106BCF">
              <w:rPr>
                <w:rFonts w:ascii="Arial Narrow" w:hAnsi="Arial Narrow"/>
                <w:sz w:val="20"/>
              </w:rPr>
              <w:t>Streamlined</w:t>
            </w:r>
          </w:p>
        </w:tc>
      </w:tr>
      <w:tr w:rsidR="007B1E65" w:rsidRPr="00260CE3" w:rsidTr="007B1E65">
        <w:trPr>
          <w:cantSplit/>
          <w:trHeight w:val="617"/>
        </w:trPr>
        <w:tc>
          <w:tcPr>
            <w:tcW w:w="2835" w:type="dxa"/>
            <w:tcBorders>
              <w:top w:val="single" w:sz="4" w:space="0" w:color="auto"/>
              <w:left w:val="single" w:sz="4" w:space="0" w:color="auto"/>
              <w:bottom w:val="single" w:sz="4" w:space="0" w:color="auto"/>
              <w:right w:val="single" w:sz="4" w:space="0" w:color="auto"/>
            </w:tcBorders>
          </w:tcPr>
          <w:p w:rsidR="007B1E65" w:rsidRPr="006967A6" w:rsidRDefault="007B1E65" w:rsidP="00075D48">
            <w:pPr>
              <w:widowControl/>
              <w:rPr>
                <w:rFonts w:ascii="Arial Narrow" w:hAnsi="Arial Narrow"/>
                <w:b/>
                <w:sz w:val="20"/>
              </w:rPr>
            </w:pPr>
            <w:r w:rsidRPr="00260CE3">
              <w:rPr>
                <w:rFonts w:ascii="Arial Narrow" w:hAnsi="Arial Narrow"/>
                <w:b/>
                <w:sz w:val="20"/>
              </w:rPr>
              <w:t>Clinical criteria:</w:t>
            </w:r>
          </w:p>
        </w:tc>
        <w:tc>
          <w:tcPr>
            <w:tcW w:w="5528" w:type="dxa"/>
            <w:gridSpan w:val="6"/>
            <w:tcBorders>
              <w:top w:val="single" w:sz="4" w:space="0" w:color="auto"/>
              <w:left w:val="single" w:sz="4" w:space="0" w:color="auto"/>
              <w:bottom w:val="single" w:sz="4" w:space="0" w:color="auto"/>
              <w:right w:val="single" w:sz="4" w:space="0" w:color="auto"/>
            </w:tcBorders>
          </w:tcPr>
          <w:p w:rsidR="007B1E65" w:rsidRPr="00260CE3" w:rsidRDefault="007B1E65" w:rsidP="00075D48">
            <w:pPr>
              <w:widowControl/>
              <w:rPr>
                <w:rFonts w:ascii="Arial Narrow" w:hAnsi="Arial Narrow"/>
                <w:sz w:val="20"/>
              </w:rPr>
            </w:pPr>
            <w:r w:rsidRPr="00B24CE8">
              <w:rPr>
                <w:rFonts w:ascii="Arial Narrow" w:hAnsi="Arial Narrow"/>
                <w:sz w:val="20"/>
              </w:rPr>
              <w:t>Patient must have been stabilised on a combination of a long acting muscarinic antagonist and long acting beta-2 agonist.</w:t>
            </w:r>
          </w:p>
        </w:tc>
      </w:tr>
      <w:tr w:rsidR="007B1E65" w:rsidRPr="00260CE3" w:rsidTr="007B1E6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B1E65" w:rsidRPr="006967A6" w:rsidRDefault="007B1E65" w:rsidP="00075D48">
            <w:pPr>
              <w:widowControl/>
              <w:rPr>
                <w:rFonts w:ascii="Arial Narrow" w:hAnsi="Arial Narrow"/>
                <w:b/>
                <w:sz w:val="20"/>
              </w:rPr>
            </w:pPr>
            <w:r w:rsidRPr="00260CE3">
              <w:rPr>
                <w:rFonts w:ascii="Arial Narrow" w:hAnsi="Arial Narrow"/>
                <w:b/>
                <w:sz w:val="20"/>
              </w:rPr>
              <w:lastRenderedPageBreak/>
              <w:t>Administrative Advice</w:t>
            </w:r>
          </w:p>
        </w:tc>
        <w:tc>
          <w:tcPr>
            <w:tcW w:w="5528" w:type="dxa"/>
            <w:gridSpan w:val="6"/>
            <w:tcBorders>
              <w:top w:val="single" w:sz="4" w:space="0" w:color="auto"/>
              <w:left w:val="single" w:sz="4" w:space="0" w:color="auto"/>
              <w:bottom w:val="single" w:sz="4" w:space="0" w:color="auto"/>
              <w:right w:val="single" w:sz="4" w:space="0" w:color="auto"/>
            </w:tcBorders>
          </w:tcPr>
          <w:p w:rsidR="007B1E65" w:rsidRDefault="007B1E65" w:rsidP="00075D48">
            <w:pPr>
              <w:widowControl/>
              <w:rPr>
                <w:rFonts w:ascii="Arial Narrow" w:hAnsi="Arial Narrow"/>
                <w:sz w:val="20"/>
              </w:rPr>
            </w:pPr>
            <w:r w:rsidRPr="00B24CE8">
              <w:rPr>
                <w:rFonts w:ascii="Arial Narrow" w:hAnsi="Arial Narrow"/>
                <w:sz w:val="20"/>
              </w:rPr>
              <w:t>The treatment must not be used in combination with an ICS/LABA, or LAMA or LABA monotherapy.</w:t>
            </w:r>
          </w:p>
          <w:p w:rsidR="007B1E65" w:rsidRDefault="007B1E65" w:rsidP="00075D48">
            <w:pPr>
              <w:widowControl/>
              <w:rPr>
                <w:rFonts w:ascii="Arial Narrow" w:hAnsi="Arial Narrow"/>
                <w:sz w:val="20"/>
              </w:rPr>
            </w:pPr>
          </w:p>
          <w:p w:rsidR="007B1E65" w:rsidRDefault="007B1E65" w:rsidP="00075D48">
            <w:pPr>
              <w:widowControl/>
              <w:rPr>
                <w:rFonts w:ascii="Arial Narrow" w:hAnsi="Arial Narrow"/>
                <w:sz w:val="20"/>
              </w:rPr>
            </w:pPr>
            <w:r w:rsidRPr="00B24CE8">
              <w:rPr>
                <w:rFonts w:ascii="Arial Narrow" w:hAnsi="Arial Narrow"/>
                <w:sz w:val="20"/>
              </w:rPr>
              <w:t>A LAMA includes tiotropium, glycopyrronium, aclidinium or umeclidinium.</w:t>
            </w:r>
          </w:p>
          <w:p w:rsidR="007B1E65" w:rsidRDefault="007B1E65" w:rsidP="00075D48">
            <w:pPr>
              <w:widowControl/>
              <w:rPr>
                <w:rFonts w:ascii="Arial Narrow" w:hAnsi="Arial Narrow"/>
                <w:sz w:val="20"/>
              </w:rPr>
            </w:pPr>
          </w:p>
          <w:p w:rsidR="007B1E65" w:rsidRDefault="007B1E65" w:rsidP="00075D48">
            <w:pPr>
              <w:widowControl/>
              <w:rPr>
                <w:rFonts w:ascii="Arial Narrow" w:hAnsi="Arial Narrow"/>
                <w:sz w:val="20"/>
              </w:rPr>
            </w:pPr>
            <w:r w:rsidRPr="00B24CE8">
              <w:rPr>
                <w:rFonts w:ascii="Arial Narrow" w:hAnsi="Arial Narrow"/>
                <w:sz w:val="20"/>
              </w:rPr>
              <w:t>A LABA includes indacaterol, salmeterol, eformoterol</w:t>
            </w:r>
            <w:r>
              <w:rPr>
                <w:rFonts w:ascii="Arial Narrow" w:hAnsi="Arial Narrow"/>
                <w:sz w:val="20"/>
              </w:rPr>
              <w:t>,</w:t>
            </w:r>
            <w:r w:rsidRPr="00B24CE8">
              <w:rPr>
                <w:rFonts w:ascii="Arial Narrow" w:hAnsi="Arial Narrow"/>
                <w:sz w:val="20"/>
              </w:rPr>
              <w:t xml:space="preserve"> </w:t>
            </w:r>
            <w:r w:rsidRPr="002A25A2">
              <w:rPr>
                <w:rFonts w:ascii="Arial Narrow" w:hAnsi="Arial Narrow"/>
                <w:i/>
                <w:sz w:val="20"/>
              </w:rPr>
              <w:t>vilanterol</w:t>
            </w:r>
            <w:r w:rsidRPr="00B24CE8">
              <w:rPr>
                <w:rFonts w:ascii="Arial Narrow" w:hAnsi="Arial Narrow"/>
                <w:sz w:val="20"/>
              </w:rPr>
              <w:t xml:space="preserve"> </w:t>
            </w:r>
            <w:r>
              <w:rPr>
                <w:rFonts w:ascii="Arial Narrow" w:hAnsi="Arial Narrow"/>
                <w:i/>
                <w:sz w:val="20"/>
              </w:rPr>
              <w:t>or olodaterol</w:t>
            </w:r>
            <w:r w:rsidRPr="00B24CE8">
              <w:rPr>
                <w:rFonts w:ascii="Arial Narrow" w:hAnsi="Arial Narrow"/>
                <w:sz w:val="20"/>
              </w:rPr>
              <w:t>.</w:t>
            </w:r>
          </w:p>
          <w:p w:rsidR="007B1E65" w:rsidRDefault="007B1E65" w:rsidP="00075D48">
            <w:pPr>
              <w:widowControl/>
              <w:rPr>
                <w:rFonts w:ascii="Arial Narrow" w:hAnsi="Arial Narrow"/>
                <w:sz w:val="20"/>
              </w:rPr>
            </w:pPr>
          </w:p>
          <w:p w:rsidR="007B1E65" w:rsidRDefault="007B1E65" w:rsidP="00075D48">
            <w:pPr>
              <w:widowControl/>
              <w:rPr>
                <w:rFonts w:ascii="Arial Narrow" w:hAnsi="Arial Narrow"/>
                <w:sz w:val="20"/>
              </w:rPr>
            </w:pPr>
            <w:r w:rsidRPr="00B24CE8">
              <w:rPr>
                <w:rFonts w:ascii="Arial Narrow" w:hAnsi="Arial Narrow"/>
                <w:sz w:val="20"/>
              </w:rPr>
              <w:t>This product is not PBS-subsidised for the treatment of asthma.</w:t>
            </w:r>
          </w:p>
          <w:p w:rsidR="007B1E65" w:rsidRDefault="007B1E65" w:rsidP="00075D48">
            <w:pPr>
              <w:widowControl/>
              <w:rPr>
                <w:rFonts w:ascii="Arial Narrow" w:hAnsi="Arial Narrow"/>
                <w:sz w:val="20"/>
              </w:rPr>
            </w:pPr>
          </w:p>
          <w:p w:rsidR="007B1E65" w:rsidRPr="00260CE3" w:rsidRDefault="007B1E65" w:rsidP="00075D48">
            <w:pPr>
              <w:widowControl/>
              <w:rPr>
                <w:rFonts w:ascii="Arial Narrow" w:hAnsi="Arial Narrow"/>
                <w:sz w:val="20"/>
              </w:rPr>
            </w:pPr>
            <w:r w:rsidRPr="00A557B3">
              <w:rPr>
                <w:rFonts w:ascii="Arial Narrow" w:hAnsi="Arial Narrow"/>
                <w:sz w:val="20"/>
              </w:rPr>
              <w:t>This product is not indicated for the initiation of bronchodilator therapy in COPD.</w:t>
            </w:r>
          </w:p>
        </w:tc>
      </w:tr>
    </w:tbl>
    <w:p w:rsidR="00617E12" w:rsidRPr="007C609A" w:rsidRDefault="00617E12" w:rsidP="00075D48">
      <w:pPr>
        <w:widowControl/>
      </w:pPr>
    </w:p>
    <w:p w:rsidR="002C2775" w:rsidRPr="004F4B29" w:rsidRDefault="004F4B29" w:rsidP="00075D48">
      <w:pPr>
        <w:pStyle w:val="ListParagraph"/>
        <w:widowControl/>
        <w:numPr>
          <w:ilvl w:val="1"/>
          <w:numId w:val="4"/>
        </w:numPr>
        <w:rPr>
          <w:szCs w:val="22"/>
        </w:rPr>
      </w:pPr>
      <w:r w:rsidRPr="004F4B29">
        <w:rPr>
          <w:szCs w:val="22"/>
        </w:rPr>
        <w:t xml:space="preserve">The basis of listing is a </w:t>
      </w:r>
      <w:r w:rsidR="005F5567" w:rsidRPr="004F4B29">
        <w:rPr>
          <w:szCs w:val="22"/>
        </w:rPr>
        <w:t>cost</w:t>
      </w:r>
      <w:r w:rsidR="005F5567">
        <w:rPr>
          <w:szCs w:val="22"/>
        </w:rPr>
        <w:t>-</w:t>
      </w:r>
      <w:r w:rsidRPr="004F4B29">
        <w:rPr>
          <w:szCs w:val="22"/>
        </w:rPr>
        <w:t>minimisation to two main comparators</w:t>
      </w:r>
      <w:r w:rsidR="008F3EA1">
        <w:rPr>
          <w:szCs w:val="22"/>
        </w:rPr>
        <w:t>;</w:t>
      </w:r>
      <w:r w:rsidRPr="004F4B29">
        <w:rPr>
          <w:szCs w:val="22"/>
        </w:rPr>
        <w:t xml:space="preserve"> glycopyrronium/indacaterol FDC and umeclidinium/vilanterol FDC.</w:t>
      </w:r>
      <w:r w:rsidR="0020385F" w:rsidRPr="004F4B29">
        <w:rPr>
          <w:szCs w:val="22"/>
        </w:rPr>
        <w:t xml:space="preserve"> </w:t>
      </w:r>
    </w:p>
    <w:p w:rsidR="00F97A78" w:rsidRDefault="00F97A78" w:rsidP="00075D48">
      <w:pPr>
        <w:widowControl/>
        <w:rPr>
          <w:szCs w:val="22"/>
        </w:rPr>
      </w:pPr>
    </w:p>
    <w:p w:rsidR="000B64DB" w:rsidRDefault="000B64DB" w:rsidP="0093012D">
      <w:pPr>
        <w:widowControl/>
        <w:ind w:firstLine="720"/>
        <w:rPr>
          <w:i/>
          <w:szCs w:val="22"/>
        </w:rPr>
      </w:pPr>
      <w:r w:rsidRPr="0093012D">
        <w:rPr>
          <w:i/>
          <w:szCs w:val="22"/>
        </w:rPr>
        <w:t>For more detail on PBAC’s view, see section 7 “PBAC outcome”</w:t>
      </w:r>
    </w:p>
    <w:p w:rsidR="000B64DB" w:rsidRDefault="000B64DB" w:rsidP="00075D48">
      <w:pPr>
        <w:widowControl/>
        <w:rPr>
          <w:szCs w:val="22"/>
        </w:rPr>
      </w:pPr>
    </w:p>
    <w:p w:rsidR="00DD10A2" w:rsidRDefault="00DD10A2" w:rsidP="00075D48">
      <w:pPr>
        <w:widowControl/>
        <w:rPr>
          <w:szCs w:val="22"/>
        </w:rPr>
      </w:pPr>
    </w:p>
    <w:p w:rsidR="00B50DB8" w:rsidRPr="00407F2D" w:rsidRDefault="00B50DB8" w:rsidP="00075D48">
      <w:pPr>
        <w:pStyle w:val="PBACHeading1"/>
      </w:pPr>
      <w:bookmarkStart w:id="6" w:name="_Toc419800801"/>
      <w:r w:rsidRPr="00407F2D">
        <w:t>Background</w:t>
      </w:r>
      <w:bookmarkEnd w:id="6"/>
    </w:p>
    <w:p w:rsidR="00B60939" w:rsidRPr="00882085" w:rsidRDefault="00B60939" w:rsidP="00075D48">
      <w:pPr>
        <w:widowControl/>
        <w:rPr>
          <w:szCs w:val="22"/>
        </w:rPr>
      </w:pPr>
    </w:p>
    <w:p w:rsidR="00E02232" w:rsidRPr="007708BA" w:rsidRDefault="0025601D" w:rsidP="00075D48">
      <w:pPr>
        <w:pStyle w:val="ListParagraph"/>
        <w:widowControl/>
        <w:numPr>
          <w:ilvl w:val="1"/>
          <w:numId w:val="4"/>
        </w:numPr>
      </w:pPr>
      <w:r w:rsidRPr="00F53B62">
        <w:rPr>
          <w:bCs/>
          <w:szCs w:val="22"/>
        </w:rPr>
        <w:t>TGA status:</w:t>
      </w:r>
      <w:r w:rsidRPr="007708BA">
        <w:rPr>
          <w:bCs/>
          <w:szCs w:val="22"/>
        </w:rPr>
        <w:t xml:space="preserve"> </w:t>
      </w:r>
      <w:r w:rsidR="00075D48" w:rsidRPr="007708BA">
        <w:t xml:space="preserve">The submission was made under TGA/PBAC Parallel Process. </w:t>
      </w:r>
      <w:r w:rsidR="002C1218">
        <w:t>Tiotropium/olodaterol FDC was included on the Australian Register of Therapeutic Goods (ARTG) on 10 June 2015.</w:t>
      </w:r>
    </w:p>
    <w:p w:rsidR="00B60939" w:rsidRPr="00882085" w:rsidRDefault="00B60939" w:rsidP="00075D48">
      <w:pPr>
        <w:pStyle w:val="ListParagraph"/>
        <w:widowControl/>
        <w:rPr>
          <w:szCs w:val="22"/>
        </w:rPr>
      </w:pPr>
    </w:p>
    <w:p w:rsidR="004F4B29" w:rsidRPr="004F4B29" w:rsidRDefault="00F042CE" w:rsidP="00075D48">
      <w:pPr>
        <w:pStyle w:val="ListParagraph"/>
        <w:widowControl/>
        <w:numPr>
          <w:ilvl w:val="1"/>
          <w:numId w:val="4"/>
        </w:numPr>
        <w:rPr>
          <w:szCs w:val="22"/>
        </w:rPr>
      </w:pPr>
      <w:r>
        <w:t>Since 2002, t</w:t>
      </w:r>
      <w:r w:rsidR="004F4B29">
        <w:t>iotropium (</w:t>
      </w:r>
      <w:r w:rsidR="006E4E9A">
        <w:t xml:space="preserve">capsule, </w:t>
      </w:r>
      <w:r w:rsidR="004F4B29">
        <w:t xml:space="preserve">18 µg) using the Handihaler has been listed on the PBS. The PBAC recommended listing of the tiotropium </w:t>
      </w:r>
      <w:r w:rsidR="005F5567">
        <w:t xml:space="preserve">Respimat inhaler </w:t>
      </w:r>
      <w:r w:rsidR="004F4B29">
        <w:t>(</w:t>
      </w:r>
      <w:r w:rsidR="006E4E9A">
        <w:t xml:space="preserve">inhalation solution, </w:t>
      </w:r>
      <w:r w:rsidR="004F4B29">
        <w:t>5</w:t>
      </w:r>
      <w:r w:rsidR="006E4E9A">
        <w:t> </w:t>
      </w:r>
      <w:r w:rsidR="004F4B29">
        <w:t>µg) based on a cost-minimisation to the Handihaler in July 2009. Tiotropium 5 µg has not been listed on the PBS and the submission stated that it intends to have the product listed in October 2015, pending supply.</w:t>
      </w:r>
    </w:p>
    <w:p w:rsidR="004F4B29" w:rsidRPr="00C66F4E" w:rsidRDefault="004F4B29" w:rsidP="00075D48">
      <w:pPr>
        <w:pStyle w:val="ListParagraph"/>
        <w:widowControl/>
        <w:rPr>
          <w:szCs w:val="22"/>
        </w:rPr>
      </w:pPr>
    </w:p>
    <w:p w:rsidR="00B60939" w:rsidRDefault="004F4B29" w:rsidP="00075D48">
      <w:pPr>
        <w:pStyle w:val="ListParagraph"/>
        <w:widowControl/>
        <w:numPr>
          <w:ilvl w:val="1"/>
          <w:numId w:val="4"/>
        </w:numPr>
      </w:pPr>
      <w:r>
        <w:t xml:space="preserve">The submission acknowledged that olodaterol would not be listed as a monotherapy agent. </w:t>
      </w:r>
      <w:r w:rsidR="002E7075">
        <w:t>The PBAC rejected ol</w:t>
      </w:r>
      <w:r>
        <w:t>odaterol in July 2014. The PBAC considered that the proposed comparator, tiotropium, was inappropriate and the clinical evidence did not support the claim of non-inferiority between olodaterol and indacaterol.</w:t>
      </w:r>
    </w:p>
    <w:p w:rsidR="000B64DB" w:rsidRDefault="000B64DB" w:rsidP="00075D48">
      <w:pPr>
        <w:widowControl/>
      </w:pPr>
    </w:p>
    <w:p w:rsidR="00B50DB8" w:rsidRPr="00407F2D" w:rsidRDefault="00B50DB8" w:rsidP="00075D48">
      <w:pPr>
        <w:pStyle w:val="PBACHeading1"/>
        <w:keepNext/>
      </w:pPr>
      <w:bookmarkStart w:id="7" w:name="_Toc419800802"/>
      <w:r w:rsidRPr="00407F2D">
        <w:t>Clinical place for the proposed therapy</w:t>
      </w:r>
      <w:bookmarkEnd w:id="7"/>
    </w:p>
    <w:p w:rsidR="00B60939" w:rsidRPr="00882085" w:rsidRDefault="00B60939" w:rsidP="00075D48">
      <w:pPr>
        <w:keepNext/>
        <w:widowControl/>
        <w:rPr>
          <w:szCs w:val="22"/>
        </w:rPr>
      </w:pPr>
    </w:p>
    <w:p w:rsidR="004F4B29" w:rsidRPr="004F4B29" w:rsidRDefault="004F4B29" w:rsidP="00075D48">
      <w:pPr>
        <w:pStyle w:val="ListParagraph"/>
        <w:keepNext/>
        <w:widowControl/>
        <w:numPr>
          <w:ilvl w:val="1"/>
          <w:numId w:val="4"/>
        </w:numPr>
      </w:pPr>
      <w:r w:rsidRPr="004F4B29">
        <w:t xml:space="preserve">The submission argued that the listing of tiotropium/olodaterol FDC would provide an alternative to other available </w:t>
      </w:r>
      <w:r w:rsidR="00A57A61">
        <w:t>long-acting muscarinic receptor antagonist</w:t>
      </w:r>
      <w:r w:rsidR="00A57A61" w:rsidRPr="004F4B29">
        <w:t xml:space="preserve"> </w:t>
      </w:r>
      <w:r w:rsidR="00A57A61">
        <w:t>(</w:t>
      </w:r>
      <w:r w:rsidRPr="004F4B29">
        <w:t>LAMA</w:t>
      </w:r>
      <w:r w:rsidR="00A57A61">
        <w:t>)</w:t>
      </w:r>
      <w:r w:rsidRPr="004F4B29">
        <w:t>/</w:t>
      </w:r>
      <w:r w:rsidR="00A57A61">
        <w:t xml:space="preserve"> long-acting selective β</w:t>
      </w:r>
      <w:r w:rsidR="00A57A61" w:rsidRPr="00472546">
        <w:rPr>
          <w:vertAlign w:val="subscript"/>
        </w:rPr>
        <w:t>2</w:t>
      </w:r>
      <w:r w:rsidR="00B32D2D">
        <w:t xml:space="preserve"> agonist</w:t>
      </w:r>
      <w:r w:rsidR="00A57A61">
        <w:t xml:space="preserve"> (</w:t>
      </w:r>
      <w:r w:rsidRPr="004F4B29">
        <w:t>LABA</w:t>
      </w:r>
      <w:r w:rsidR="00A57A61">
        <w:t>)</w:t>
      </w:r>
      <w:r w:rsidRPr="004F4B29">
        <w:t xml:space="preserve"> FDC inhalers.</w:t>
      </w:r>
    </w:p>
    <w:p w:rsidR="00B60939" w:rsidRDefault="00B60939" w:rsidP="00075D48">
      <w:pPr>
        <w:pStyle w:val="ListParagraph"/>
        <w:widowControl/>
        <w:rPr>
          <w:szCs w:val="22"/>
        </w:rPr>
      </w:pPr>
    </w:p>
    <w:p w:rsidR="00E55BB5" w:rsidRPr="00882085" w:rsidRDefault="00E55BB5" w:rsidP="00075D48">
      <w:pPr>
        <w:pStyle w:val="Header"/>
        <w:widowControl/>
        <w:rPr>
          <w:szCs w:val="22"/>
        </w:rPr>
      </w:pPr>
    </w:p>
    <w:p w:rsidR="00B50DB8" w:rsidRPr="00407F2D" w:rsidRDefault="00B50DB8" w:rsidP="00075D48">
      <w:pPr>
        <w:pStyle w:val="PBACHeading1"/>
      </w:pPr>
      <w:bookmarkStart w:id="8" w:name="_Toc419800803"/>
      <w:r w:rsidRPr="00407F2D">
        <w:t>Comparator</w:t>
      </w:r>
      <w:bookmarkEnd w:id="8"/>
    </w:p>
    <w:p w:rsidR="00B60939" w:rsidRPr="00882085" w:rsidRDefault="00B60939" w:rsidP="00075D48">
      <w:pPr>
        <w:widowControl/>
      </w:pPr>
    </w:p>
    <w:p w:rsidR="004F7C1E" w:rsidRDefault="004F7C1E" w:rsidP="00075D48">
      <w:pPr>
        <w:pStyle w:val="ListParagraph"/>
        <w:widowControl/>
        <w:numPr>
          <w:ilvl w:val="1"/>
          <w:numId w:val="4"/>
        </w:numPr>
        <w:rPr>
          <w:szCs w:val="22"/>
        </w:rPr>
      </w:pPr>
      <w:r>
        <w:rPr>
          <w:szCs w:val="22"/>
        </w:rPr>
        <w:t>The submission nominate</w:t>
      </w:r>
      <w:r w:rsidR="004F4B29">
        <w:rPr>
          <w:szCs w:val="22"/>
        </w:rPr>
        <w:t>d</w:t>
      </w:r>
      <w:r>
        <w:rPr>
          <w:szCs w:val="22"/>
        </w:rPr>
        <w:t xml:space="preserve"> the two following main comparators:</w:t>
      </w:r>
    </w:p>
    <w:p w:rsidR="004F7C1E" w:rsidRDefault="004F7C1E" w:rsidP="00075D48">
      <w:pPr>
        <w:pStyle w:val="ListParagraph"/>
        <w:widowControl/>
        <w:rPr>
          <w:szCs w:val="22"/>
        </w:rPr>
      </w:pPr>
      <w:r>
        <w:rPr>
          <w:szCs w:val="22"/>
        </w:rPr>
        <w:t>1) glycopyrronium/indacaterol FDC</w:t>
      </w:r>
    </w:p>
    <w:p w:rsidR="004F7C1E" w:rsidRDefault="004F7C1E" w:rsidP="00075D48">
      <w:pPr>
        <w:pStyle w:val="ListParagraph"/>
        <w:widowControl/>
        <w:rPr>
          <w:szCs w:val="22"/>
        </w:rPr>
      </w:pPr>
      <w:r>
        <w:rPr>
          <w:szCs w:val="22"/>
        </w:rPr>
        <w:t>2) umeclidinium/vilanterol FDC</w:t>
      </w:r>
    </w:p>
    <w:p w:rsidR="004F7C1E" w:rsidRDefault="004F7C1E" w:rsidP="00075D48">
      <w:pPr>
        <w:pStyle w:val="PBACHeading1"/>
        <w:numPr>
          <w:ilvl w:val="0"/>
          <w:numId w:val="0"/>
        </w:numPr>
        <w:ind w:left="720"/>
      </w:pPr>
    </w:p>
    <w:p w:rsidR="00E76675" w:rsidRPr="00B50DB8" w:rsidRDefault="00E76675" w:rsidP="00075D48">
      <w:pPr>
        <w:pStyle w:val="ListParagraph"/>
        <w:widowControl/>
        <w:numPr>
          <w:ilvl w:val="1"/>
          <w:numId w:val="4"/>
        </w:numPr>
        <w:rPr>
          <w:szCs w:val="22"/>
        </w:rPr>
      </w:pPr>
      <w:r w:rsidRPr="005F5567">
        <w:t>The</w:t>
      </w:r>
      <w:r>
        <w:rPr>
          <w:i/>
        </w:rPr>
        <w:t xml:space="preserve"> </w:t>
      </w:r>
      <w:r>
        <w:t>submission also nominated additional s</w:t>
      </w:r>
      <w:r w:rsidRPr="004F7C1E">
        <w:t>upportive comparators</w:t>
      </w:r>
      <w:r>
        <w:t>:</w:t>
      </w:r>
      <w:r w:rsidRPr="00B50DB8">
        <w:rPr>
          <w:i/>
        </w:rPr>
        <w:t xml:space="preserve"> </w:t>
      </w:r>
    </w:p>
    <w:p w:rsidR="004F7C1E" w:rsidRPr="004F7C1E" w:rsidRDefault="004F7C1E" w:rsidP="00075D48">
      <w:pPr>
        <w:pStyle w:val="ListParagraph"/>
        <w:widowControl/>
      </w:pPr>
      <w:r w:rsidRPr="004F7C1E">
        <w:t>3) tiotropium monotherapy or olodaterol monotherapy</w:t>
      </w:r>
    </w:p>
    <w:p w:rsidR="004F7C1E" w:rsidRPr="004F7C1E" w:rsidRDefault="004F7C1E" w:rsidP="00075D48">
      <w:pPr>
        <w:pStyle w:val="ListParagraph"/>
        <w:widowControl/>
      </w:pPr>
      <w:r w:rsidRPr="004F7C1E">
        <w:t>4) tiotropium plus olodaterol concurrently</w:t>
      </w:r>
    </w:p>
    <w:p w:rsidR="004F7C1E" w:rsidRPr="004F7C1E" w:rsidRDefault="004F7C1E" w:rsidP="00075D48">
      <w:pPr>
        <w:pStyle w:val="ListParagraph"/>
        <w:widowControl/>
        <w:rPr>
          <w:szCs w:val="22"/>
        </w:rPr>
      </w:pPr>
    </w:p>
    <w:p w:rsidR="002C2775" w:rsidRPr="00E360C6" w:rsidRDefault="00B66859" w:rsidP="00075D48">
      <w:pPr>
        <w:pStyle w:val="ListParagraph"/>
        <w:widowControl/>
        <w:numPr>
          <w:ilvl w:val="1"/>
          <w:numId w:val="4"/>
        </w:numPr>
        <w:rPr>
          <w:szCs w:val="22"/>
        </w:rPr>
      </w:pPr>
      <w:r>
        <w:t>The PBAC considered that t</w:t>
      </w:r>
      <w:r w:rsidR="004F7C1E" w:rsidRPr="00E360C6">
        <w:t>he</w:t>
      </w:r>
      <w:r w:rsidR="00F067A2" w:rsidRPr="00E360C6">
        <w:t>s</w:t>
      </w:r>
      <w:r w:rsidR="004F7C1E" w:rsidRPr="00E360C6">
        <w:t xml:space="preserve">e </w:t>
      </w:r>
      <w:r w:rsidR="004F4B29" w:rsidRPr="00E360C6">
        <w:t>we</w:t>
      </w:r>
      <w:r w:rsidR="004F7C1E" w:rsidRPr="00E360C6">
        <w:t>re the appropriate comparators</w:t>
      </w:r>
      <w:r w:rsidR="00F067A2" w:rsidRPr="00E360C6">
        <w:t>.</w:t>
      </w:r>
    </w:p>
    <w:p w:rsidR="00B60939" w:rsidRDefault="00B60939" w:rsidP="00075D48">
      <w:pPr>
        <w:widowControl/>
        <w:rPr>
          <w:szCs w:val="22"/>
        </w:rPr>
      </w:pPr>
    </w:p>
    <w:p w:rsidR="00DD10A2" w:rsidRDefault="00DD10A2" w:rsidP="00075D48">
      <w:pPr>
        <w:widowControl/>
        <w:rPr>
          <w:szCs w:val="22"/>
        </w:rPr>
      </w:pPr>
    </w:p>
    <w:p w:rsidR="00B50DB8" w:rsidRPr="00407F2D" w:rsidRDefault="00BD6CF3" w:rsidP="00075D48">
      <w:pPr>
        <w:pStyle w:val="PBACHeading1"/>
      </w:pPr>
      <w:bookmarkStart w:id="9" w:name="_Toc419800804"/>
      <w:r>
        <w:t>C</w:t>
      </w:r>
      <w:r w:rsidR="00B50DB8" w:rsidRPr="00407F2D">
        <w:t>onsideration of the evidence</w:t>
      </w:r>
      <w:bookmarkEnd w:id="9"/>
    </w:p>
    <w:p w:rsidR="00B60939" w:rsidRDefault="00B60939" w:rsidP="000B64DB">
      <w:pPr>
        <w:widowControl/>
      </w:pPr>
    </w:p>
    <w:p w:rsidR="002C1218" w:rsidRDefault="002C1218" w:rsidP="008237ED">
      <w:pPr>
        <w:pStyle w:val="Heading2"/>
        <w:widowControl/>
        <w:rPr>
          <w:bCs/>
          <w:i/>
          <w:szCs w:val="22"/>
        </w:rPr>
      </w:pPr>
      <w:r w:rsidRPr="008237ED">
        <w:rPr>
          <w:i/>
        </w:rPr>
        <w:t>Sp</w:t>
      </w:r>
      <w:r w:rsidRPr="008237ED">
        <w:rPr>
          <w:bCs/>
          <w:i/>
          <w:szCs w:val="22"/>
        </w:rPr>
        <w:t>onsor hearing</w:t>
      </w:r>
    </w:p>
    <w:p w:rsidR="008237ED" w:rsidRPr="008237ED" w:rsidRDefault="008237ED" w:rsidP="008237ED"/>
    <w:p w:rsidR="002C1218" w:rsidRPr="002C1218" w:rsidRDefault="002C1218" w:rsidP="002C1218">
      <w:pPr>
        <w:numPr>
          <w:ilvl w:val="1"/>
          <w:numId w:val="4"/>
        </w:numPr>
        <w:contextualSpacing/>
        <w:rPr>
          <w:bCs/>
          <w:szCs w:val="22"/>
        </w:rPr>
      </w:pPr>
      <w:r w:rsidRPr="002C1218">
        <w:rPr>
          <w:bCs/>
          <w:szCs w:val="22"/>
        </w:rPr>
        <w:t>There was no hearing for this item.</w:t>
      </w:r>
    </w:p>
    <w:p w:rsidR="00427542" w:rsidRPr="00427542" w:rsidRDefault="00427542" w:rsidP="00427542">
      <w:pPr>
        <w:rPr>
          <w:bCs/>
          <w:szCs w:val="22"/>
        </w:rPr>
      </w:pPr>
    </w:p>
    <w:p w:rsidR="00427542" w:rsidRDefault="00427542" w:rsidP="008237ED">
      <w:pPr>
        <w:pStyle w:val="Heading2"/>
        <w:widowControl/>
        <w:rPr>
          <w:bCs/>
          <w:i/>
          <w:szCs w:val="22"/>
        </w:rPr>
      </w:pPr>
      <w:r w:rsidRPr="008237ED">
        <w:rPr>
          <w:bCs/>
          <w:i/>
          <w:szCs w:val="22"/>
        </w:rPr>
        <w:t>Consumer comments</w:t>
      </w:r>
    </w:p>
    <w:p w:rsidR="008237ED" w:rsidRPr="008237ED" w:rsidRDefault="008237ED" w:rsidP="008237ED"/>
    <w:p w:rsidR="00427542" w:rsidRPr="00427542" w:rsidRDefault="00427542" w:rsidP="00427542">
      <w:pPr>
        <w:numPr>
          <w:ilvl w:val="1"/>
          <w:numId w:val="4"/>
        </w:numPr>
        <w:contextualSpacing/>
        <w:rPr>
          <w:bCs/>
          <w:szCs w:val="22"/>
        </w:rPr>
      </w:pPr>
      <w:r w:rsidRPr="00427542">
        <w:rPr>
          <w:bCs/>
          <w:szCs w:val="22"/>
        </w:rPr>
        <w:t>The PBAC noted that no consumer comments were received for this item.</w:t>
      </w:r>
    </w:p>
    <w:p w:rsidR="000B64DB" w:rsidRPr="00882085" w:rsidRDefault="000B64DB" w:rsidP="000B64DB">
      <w:pPr>
        <w:widowControl/>
      </w:pPr>
    </w:p>
    <w:p w:rsidR="00B60939" w:rsidRPr="002C2775" w:rsidRDefault="00B60939" w:rsidP="000B64DB">
      <w:pPr>
        <w:pStyle w:val="Heading2"/>
        <w:widowControl/>
        <w:rPr>
          <w:i/>
        </w:rPr>
      </w:pPr>
      <w:bookmarkStart w:id="10" w:name="_Toc419800805"/>
      <w:r w:rsidRPr="002C2775">
        <w:rPr>
          <w:i/>
        </w:rPr>
        <w:t>Clinical trials</w:t>
      </w:r>
      <w:bookmarkEnd w:id="10"/>
    </w:p>
    <w:p w:rsidR="00B60939" w:rsidRPr="00882085" w:rsidRDefault="00B60939" w:rsidP="00075D48">
      <w:pPr>
        <w:widowControl/>
        <w:rPr>
          <w:szCs w:val="22"/>
        </w:rPr>
      </w:pPr>
    </w:p>
    <w:p w:rsidR="00862502" w:rsidRPr="004F4B29" w:rsidRDefault="004F4B29" w:rsidP="00075D48">
      <w:pPr>
        <w:pStyle w:val="ListParagraph"/>
        <w:widowControl/>
        <w:numPr>
          <w:ilvl w:val="1"/>
          <w:numId w:val="4"/>
        </w:numPr>
        <w:rPr>
          <w:szCs w:val="22"/>
        </w:rPr>
      </w:pPr>
      <w:r w:rsidRPr="00443E81">
        <w:t>The submission was based on 1</w:t>
      </w:r>
      <w:r w:rsidR="00E43F4A">
        <w:t>3</w:t>
      </w:r>
      <w:r w:rsidRPr="00443E81">
        <w:t xml:space="preserve"> randomised trials informing the four comparisons. </w:t>
      </w:r>
    </w:p>
    <w:p w:rsidR="004F4B29" w:rsidRPr="005708A1" w:rsidRDefault="004F4B29" w:rsidP="00075D48">
      <w:pPr>
        <w:pStyle w:val="ListParagraph"/>
        <w:widowControl/>
        <w:rPr>
          <w:szCs w:val="22"/>
        </w:rPr>
      </w:pPr>
    </w:p>
    <w:p w:rsidR="00862502" w:rsidRPr="00B50DB8" w:rsidRDefault="00862502" w:rsidP="00075D48">
      <w:pPr>
        <w:pStyle w:val="ListParagraph"/>
        <w:widowControl/>
        <w:numPr>
          <w:ilvl w:val="1"/>
          <w:numId w:val="4"/>
        </w:numPr>
        <w:rPr>
          <w:szCs w:val="22"/>
        </w:rPr>
      </w:pPr>
      <w:r w:rsidRPr="00B50DB8">
        <w:rPr>
          <w:szCs w:val="22"/>
        </w:rPr>
        <w:t>Details of the trials presented in the submission are provided in the table below.</w:t>
      </w:r>
    </w:p>
    <w:p w:rsidR="00862502" w:rsidRPr="00862502" w:rsidRDefault="00862502" w:rsidP="00075D48">
      <w:pPr>
        <w:widowControl/>
        <w:rPr>
          <w:szCs w:val="22"/>
        </w:rPr>
      </w:pPr>
    </w:p>
    <w:p w:rsidR="008F120A" w:rsidRDefault="008F120A" w:rsidP="00AD10AE">
      <w:pPr>
        <w:keepNext/>
        <w:widowControl/>
        <w:ind w:firstLine="720"/>
        <w:rPr>
          <w:rStyle w:val="CommentReference"/>
        </w:rPr>
      </w:pPr>
      <w:r w:rsidRPr="000812CA">
        <w:rPr>
          <w:rStyle w:val="CommentReference"/>
        </w:rPr>
        <w:t xml:space="preserve">Table </w:t>
      </w:r>
      <w:r w:rsidR="004F4B29">
        <w:rPr>
          <w:rStyle w:val="CommentReference"/>
        </w:rPr>
        <w:t>1</w:t>
      </w:r>
      <w:r w:rsidRPr="000812CA">
        <w:rPr>
          <w:rStyle w:val="CommentReference"/>
        </w:rPr>
        <w:t>: Trials and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2"/>
        <w:gridCol w:w="5812"/>
        <w:gridCol w:w="1541"/>
      </w:tblGrid>
      <w:tr w:rsidR="003222A9" w:rsidRPr="004E2ADC" w:rsidTr="00E43F4A">
        <w:trPr>
          <w:cantSplit/>
          <w:tblHeader/>
        </w:trPr>
        <w:tc>
          <w:tcPr>
            <w:tcW w:w="992" w:type="dxa"/>
          </w:tcPr>
          <w:p w:rsidR="003222A9" w:rsidRPr="004E2ADC" w:rsidRDefault="003222A9" w:rsidP="00AD10AE">
            <w:pPr>
              <w:keepNext/>
              <w:widowControl/>
              <w:jc w:val="left"/>
              <w:rPr>
                <w:rFonts w:ascii="Arial Narrow" w:hAnsi="Arial Narrow"/>
                <w:b/>
                <w:sz w:val="20"/>
              </w:rPr>
            </w:pPr>
            <w:r w:rsidRPr="004E2ADC">
              <w:rPr>
                <w:rFonts w:ascii="Arial Narrow" w:hAnsi="Arial Narrow"/>
                <w:b/>
                <w:sz w:val="20"/>
              </w:rPr>
              <w:t>Trial ID</w:t>
            </w:r>
          </w:p>
        </w:tc>
        <w:tc>
          <w:tcPr>
            <w:tcW w:w="5812" w:type="dxa"/>
          </w:tcPr>
          <w:p w:rsidR="003222A9" w:rsidRPr="004E2ADC" w:rsidRDefault="003222A9" w:rsidP="00AD10AE">
            <w:pPr>
              <w:keepNext/>
              <w:widowControl/>
              <w:jc w:val="left"/>
              <w:rPr>
                <w:rFonts w:ascii="Arial Narrow" w:hAnsi="Arial Narrow"/>
                <w:b/>
                <w:sz w:val="20"/>
              </w:rPr>
            </w:pPr>
            <w:r w:rsidRPr="004E2ADC">
              <w:rPr>
                <w:rFonts w:ascii="Arial Narrow" w:hAnsi="Arial Narrow"/>
                <w:b/>
                <w:sz w:val="20"/>
              </w:rPr>
              <w:t>Protocol title/ Publication title</w:t>
            </w:r>
          </w:p>
        </w:tc>
        <w:tc>
          <w:tcPr>
            <w:tcW w:w="1541" w:type="dxa"/>
          </w:tcPr>
          <w:p w:rsidR="003222A9" w:rsidRPr="004E2ADC" w:rsidRDefault="003222A9" w:rsidP="00AD10AE">
            <w:pPr>
              <w:keepNext/>
              <w:widowControl/>
              <w:jc w:val="left"/>
              <w:rPr>
                <w:rFonts w:ascii="Arial Narrow" w:hAnsi="Arial Narrow"/>
                <w:b/>
                <w:sz w:val="20"/>
              </w:rPr>
            </w:pPr>
            <w:r w:rsidRPr="004E2ADC">
              <w:rPr>
                <w:rFonts w:ascii="Arial Narrow" w:hAnsi="Arial Narrow"/>
                <w:b/>
                <w:sz w:val="20"/>
              </w:rPr>
              <w:t>Publication citation</w:t>
            </w:r>
          </w:p>
        </w:tc>
      </w:tr>
      <w:tr w:rsidR="003222A9" w:rsidRPr="006F6145" w:rsidTr="000367E7">
        <w:trPr>
          <w:cantSplit/>
        </w:trPr>
        <w:tc>
          <w:tcPr>
            <w:tcW w:w="8345" w:type="dxa"/>
            <w:gridSpan w:val="3"/>
          </w:tcPr>
          <w:p w:rsidR="003222A9" w:rsidRPr="006F6145" w:rsidRDefault="003222A9" w:rsidP="00AD10AE">
            <w:pPr>
              <w:keepNext/>
              <w:widowControl/>
              <w:jc w:val="left"/>
              <w:rPr>
                <w:rFonts w:ascii="Arial Narrow" w:hAnsi="Arial Narrow"/>
                <w:b/>
                <w:sz w:val="20"/>
                <w:lang w:val="sv-SE"/>
              </w:rPr>
            </w:pPr>
            <w:r w:rsidRPr="006F6145">
              <w:rPr>
                <w:rFonts w:ascii="Arial Narrow" w:hAnsi="Arial Narrow"/>
                <w:b/>
                <w:sz w:val="20"/>
                <w:lang w:val="sv-SE"/>
              </w:rPr>
              <w:t>Tiotropium/olodaterol vs. tiotropium trials</w:t>
            </w:r>
          </w:p>
        </w:tc>
      </w:tr>
      <w:tr w:rsidR="003222A9" w:rsidRPr="00BA08C1" w:rsidTr="00E43F4A">
        <w:trPr>
          <w:cantSplit/>
          <w:trHeight w:val="5069"/>
        </w:trPr>
        <w:tc>
          <w:tcPr>
            <w:tcW w:w="992" w:type="dxa"/>
            <w:tcBorders>
              <w:bottom w:val="single" w:sz="4" w:space="0" w:color="auto"/>
            </w:tcBorders>
          </w:tcPr>
          <w:p w:rsidR="003222A9" w:rsidRDefault="003222A9" w:rsidP="00075D48">
            <w:pPr>
              <w:pStyle w:val="Tabletext"/>
            </w:pPr>
            <w:r w:rsidRPr="00BA08C1">
              <w:t>TONADO 1</w:t>
            </w:r>
            <w:r>
              <w:t xml:space="preserve"> </w:t>
            </w:r>
          </w:p>
          <w:p w:rsidR="003222A9" w:rsidRDefault="003222A9" w:rsidP="00075D48">
            <w:pPr>
              <w:pStyle w:val="Tabletext"/>
            </w:pPr>
          </w:p>
          <w:p w:rsidR="003222A9" w:rsidRDefault="003222A9" w:rsidP="00075D48">
            <w:pPr>
              <w:pStyle w:val="Tabletext"/>
            </w:pPr>
            <w:r>
              <w:t>and</w:t>
            </w:r>
          </w:p>
          <w:p w:rsidR="003222A9" w:rsidRDefault="003222A9" w:rsidP="00075D48">
            <w:pPr>
              <w:pStyle w:val="Tabletext"/>
            </w:pPr>
          </w:p>
          <w:p w:rsidR="003222A9" w:rsidRPr="00BA08C1" w:rsidRDefault="003222A9" w:rsidP="00075D48">
            <w:pPr>
              <w:pStyle w:val="Tabletext"/>
            </w:pPr>
            <w:r>
              <w:t>TONADO 2</w:t>
            </w:r>
          </w:p>
        </w:tc>
        <w:tc>
          <w:tcPr>
            <w:tcW w:w="5812" w:type="dxa"/>
            <w:tcBorders>
              <w:bottom w:val="single" w:sz="4" w:space="0" w:color="auto"/>
            </w:tcBorders>
          </w:tcPr>
          <w:p w:rsidR="003222A9" w:rsidRDefault="003222A9" w:rsidP="00075D48">
            <w:pPr>
              <w:pStyle w:val="Tabletext"/>
            </w:pPr>
            <w:r w:rsidRPr="00BA08C1">
              <w:t>A randomised, double-blind, parallel group study to assess the efficacy and safety of 52 weeks of once daily treatment of orally inhaled tiotropium + olodaterol fixed dose combination (2.5 μg / 5 μg; 5 μg /5 μg) (delivered by the Respimat® Inhaler) compared with the individual components (2.5 μg and 5 μg tiotropium, 5 μg olodaterol) (delivered by the Respimat® Inhaler) in patients with Chronic Obstructive Pulmonary Disease (COPD) [TOnado</w:t>
            </w:r>
            <w:r w:rsidRPr="00BA08C1">
              <w:rPr>
                <w:vertAlign w:val="superscript"/>
              </w:rPr>
              <w:t>TM</w:t>
            </w:r>
            <w:r w:rsidRPr="00BA08C1">
              <w:t xml:space="preserve"> 1]</w:t>
            </w:r>
            <w:r>
              <w:t>. Clinical trial report</w:t>
            </w:r>
            <w:r w:rsidR="00E43F4A">
              <w:t>.</w:t>
            </w:r>
          </w:p>
          <w:p w:rsidR="003222A9" w:rsidRPr="00BA08C1" w:rsidRDefault="003222A9" w:rsidP="00075D48">
            <w:pPr>
              <w:pStyle w:val="Tabletext"/>
            </w:pPr>
          </w:p>
          <w:p w:rsidR="003222A9" w:rsidRDefault="003222A9" w:rsidP="00075D48">
            <w:pPr>
              <w:pStyle w:val="Tabletext"/>
            </w:pPr>
            <w:r w:rsidRPr="00BA08C1">
              <w:t>A randomised, double-blind, parallel group study to assess the efficacy and safety of 52 weeks of once daily treatment of orally inhaled tiotropium + olodaterol fixed dose combination (2.5 μg / 5 μg; 5 μg /5 μg) (delivered by the Respimat® Inhaler) compared with the individual components (2.5 μg and 5 μg tiotropium, 5 μg olodaterol) (delivered by the Respimat® Inhaler) in patients with Chronic Obstructive Pulmonary Disease (COPD) [TOnado</w:t>
            </w:r>
            <w:r w:rsidRPr="00BA08C1">
              <w:rPr>
                <w:vertAlign w:val="superscript"/>
              </w:rPr>
              <w:t>TM</w:t>
            </w:r>
            <w:r w:rsidRPr="00BA08C1">
              <w:t xml:space="preserve"> 2]</w:t>
            </w:r>
            <w:r>
              <w:t>. Clinical trial report</w:t>
            </w:r>
            <w:r w:rsidR="00E43F4A">
              <w:t>.</w:t>
            </w:r>
          </w:p>
          <w:p w:rsidR="003222A9" w:rsidRPr="00BA08C1" w:rsidRDefault="003222A9" w:rsidP="00075D48">
            <w:pPr>
              <w:pStyle w:val="Tabletext"/>
            </w:pPr>
          </w:p>
          <w:p w:rsidR="003222A9" w:rsidRDefault="003222A9" w:rsidP="00075D48">
            <w:pPr>
              <w:pStyle w:val="Tabletext"/>
            </w:pPr>
            <w:r w:rsidRPr="00BA08C1">
              <w:t>Combined analysis of efficacy data obtained in the twin studies 1237.5 and 1237.6 - Randomised, double-blind, parallel group studies to assess the efficacy and safety of 52 weeks of once daily treatment of orally inhaled tiotropium + olodaterol fixed dose combination (2.5 μg / 5 μg; 5 μg / 5 μg  (delivered by the Respimat® Inhaler) compared with the individual components (2.5 μg and 5 μg tiotropium, 5 μg olodaterol) (delivered by the Respimat® Inhaler) in patients with Chronic Obstructive Pulmonary Disease (COPD) [TOnadoTM 1 and TOnadoTM 2]</w:t>
            </w:r>
            <w:r>
              <w:t>. Clinical trial report.</w:t>
            </w:r>
          </w:p>
          <w:p w:rsidR="00D4047F" w:rsidRDefault="00D4047F" w:rsidP="00075D48">
            <w:pPr>
              <w:pStyle w:val="Tabletext"/>
            </w:pPr>
          </w:p>
          <w:p w:rsidR="00D4047F" w:rsidRPr="00BA08C1" w:rsidRDefault="00D4047F" w:rsidP="00075D48">
            <w:pPr>
              <w:pStyle w:val="Tabletext"/>
            </w:pPr>
            <w:r w:rsidRPr="00827660">
              <w:rPr>
                <w:i/>
              </w:rPr>
              <w:t xml:space="preserve">Buhl </w:t>
            </w:r>
            <w:r w:rsidR="000367E7">
              <w:rPr>
                <w:i/>
              </w:rPr>
              <w:t>R,</w:t>
            </w:r>
            <w:r w:rsidRPr="00827660">
              <w:rPr>
                <w:i/>
              </w:rPr>
              <w:t xml:space="preserve"> Maltais F, Abrahams R </w:t>
            </w:r>
            <w:r w:rsidRPr="00E43F4A">
              <w:t>et al</w:t>
            </w:r>
            <w:r w:rsidRPr="00827660">
              <w:rPr>
                <w:i/>
              </w:rPr>
              <w:t>. Tiotropium and olodaterol fixed-dose combination versus mono-components in COPD (GOLD 2-4).</w:t>
            </w:r>
          </w:p>
        </w:tc>
        <w:tc>
          <w:tcPr>
            <w:tcW w:w="1541" w:type="dxa"/>
            <w:tcBorders>
              <w:bottom w:val="single" w:sz="4" w:space="0" w:color="auto"/>
            </w:tcBorders>
          </w:tcPr>
          <w:p w:rsidR="003222A9" w:rsidRDefault="003222A9" w:rsidP="00075D48">
            <w:pPr>
              <w:pStyle w:val="Tabletext"/>
            </w:pPr>
            <w:r>
              <w:t>10 April 2014</w:t>
            </w:r>
          </w:p>
          <w:p w:rsidR="00D4047F" w:rsidRPr="00FD6FFC" w:rsidRDefault="00D4047F" w:rsidP="00075D48">
            <w:pPr>
              <w:pStyle w:val="Tabletext"/>
              <w:rPr>
                <w:i/>
              </w:rPr>
            </w:pPr>
            <w:r w:rsidRPr="00FD6FFC">
              <w:rPr>
                <w:i/>
              </w:rPr>
              <w:t>NCT01431274</w:t>
            </w: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r>
              <w:t>10 April 2014</w:t>
            </w:r>
          </w:p>
          <w:p w:rsidR="00D4047F" w:rsidRPr="00FD6FFC" w:rsidRDefault="00D4047F" w:rsidP="00075D48">
            <w:pPr>
              <w:pStyle w:val="Tabletext"/>
              <w:rPr>
                <w:i/>
              </w:rPr>
            </w:pPr>
            <w:r w:rsidRPr="00FD6FFC">
              <w:rPr>
                <w:i/>
              </w:rPr>
              <w:t>NCT01431287</w:t>
            </w: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r>
              <w:t>9 April 2014</w:t>
            </w:r>
          </w:p>
          <w:p w:rsidR="00D4047F" w:rsidRDefault="00D4047F" w:rsidP="00075D48">
            <w:pPr>
              <w:pStyle w:val="Tabletext"/>
            </w:pPr>
          </w:p>
          <w:p w:rsidR="00D4047F" w:rsidRDefault="00D4047F" w:rsidP="00075D48">
            <w:pPr>
              <w:pStyle w:val="Tabletext"/>
            </w:pPr>
          </w:p>
          <w:p w:rsidR="00D4047F" w:rsidRDefault="00D4047F" w:rsidP="00075D48">
            <w:pPr>
              <w:pStyle w:val="Tabletext"/>
            </w:pPr>
          </w:p>
          <w:p w:rsidR="00D4047F" w:rsidRDefault="00D4047F" w:rsidP="00075D48">
            <w:pPr>
              <w:pStyle w:val="Tabletext"/>
            </w:pPr>
          </w:p>
          <w:p w:rsidR="00D4047F" w:rsidRDefault="00D4047F" w:rsidP="00075D48">
            <w:pPr>
              <w:pStyle w:val="Tabletext"/>
            </w:pPr>
          </w:p>
          <w:p w:rsidR="00D4047F" w:rsidRDefault="00D4047F" w:rsidP="00075D48">
            <w:pPr>
              <w:pStyle w:val="Tabletext"/>
            </w:pPr>
          </w:p>
          <w:p w:rsidR="00D4047F" w:rsidRPr="00D4047F" w:rsidRDefault="00D4047F" w:rsidP="00075D48">
            <w:pPr>
              <w:pStyle w:val="Tabletext"/>
              <w:rPr>
                <w:i/>
              </w:rPr>
            </w:pPr>
            <w:r w:rsidRPr="00D4047F">
              <w:rPr>
                <w:i/>
              </w:rPr>
              <w:t>Eur Resp J 2015 Epub ahead of print doi:10.1183/09031936.00136014</w:t>
            </w:r>
          </w:p>
        </w:tc>
      </w:tr>
      <w:tr w:rsidR="003222A9" w:rsidRPr="004E2ADC" w:rsidTr="000367E7">
        <w:trPr>
          <w:cantSplit/>
        </w:trPr>
        <w:tc>
          <w:tcPr>
            <w:tcW w:w="8345" w:type="dxa"/>
            <w:gridSpan w:val="3"/>
          </w:tcPr>
          <w:p w:rsidR="003222A9" w:rsidRPr="004E2ADC" w:rsidRDefault="003222A9" w:rsidP="00075D48">
            <w:pPr>
              <w:keepNext/>
              <w:widowControl/>
              <w:jc w:val="left"/>
              <w:rPr>
                <w:rFonts w:ascii="Arial Narrow" w:hAnsi="Arial Narrow"/>
                <w:b/>
                <w:sz w:val="20"/>
              </w:rPr>
            </w:pPr>
            <w:r>
              <w:rPr>
                <w:rFonts w:ascii="Arial Narrow" w:hAnsi="Arial Narrow"/>
                <w:b/>
                <w:sz w:val="20"/>
              </w:rPr>
              <w:t>Glycopyrronium/indacaterol trials</w:t>
            </w:r>
          </w:p>
        </w:tc>
      </w:tr>
      <w:tr w:rsidR="003222A9" w:rsidRPr="004E5C36" w:rsidTr="00E43F4A">
        <w:trPr>
          <w:cantSplit/>
        </w:trPr>
        <w:tc>
          <w:tcPr>
            <w:tcW w:w="992" w:type="dxa"/>
          </w:tcPr>
          <w:p w:rsidR="003222A9" w:rsidRPr="00BA08C1" w:rsidRDefault="003222A9" w:rsidP="00075D48">
            <w:pPr>
              <w:pStyle w:val="Tabletext"/>
              <w:keepNext/>
            </w:pPr>
            <w:r w:rsidRPr="00BA08C1">
              <w:t>SHINE</w:t>
            </w:r>
          </w:p>
        </w:tc>
        <w:tc>
          <w:tcPr>
            <w:tcW w:w="5812" w:type="dxa"/>
          </w:tcPr>
          <w:p w:rsidR="003222A9" w:rsidRPr="00BA08C1" w:rsidRDefault="003222A9" w:rsidP="00075D48">
            <w:pPr>
              <w:pStyle w:val="Tabletext"/>
              <w:keepNext/>
            </w:pPr>
            <w:r w:rsidRPr="00BA08C1">
              <w:t xml:space="preserve">Bateman ED, Ferguson GT, Barnes N </w:t>
            </w:r>
            <w:r w:rsidRPr="000367E7">
              <w:rPr>
                <w:i/>
              </w:rPr>
              <w:t>et al</w:t>
            </w:r>
            <w:r w:rsidRPr="00BA08C1">
              <w:t>. Dual bronchodilation with QVA149 versus single bronchodilator therapy: The SHINE study</w:t>
            </w:r>
            <w:r w:rsidR="000367E7">
              <w:t>.</w:t>
            </w:r>
            <w:r w:rsidRPr="00BA08C1">
              <w:t xml:space="preserve"> </w:t>
            </w:r>
          </w:p>
        </w:tc>
        <w:tc>
          <w:tcPr>
            <w:tcW w:w="1541" w:type="dxa"/>
          </w:tcPr>
          <w:p w:rsidR="003222A9" w:rsidRPr="003E0FC5" w:rsidRDefault="003222A9" w:rsidP="00075D48">
            <w:pPr>
              <w:pStyle w:val="Tabletext"/>
              <w:keepNext/>
              <w:rPr>
                <w:lang w:val="fr-FR"/>
              </w:rPr>
            </w:pPr>
            <w:r w:rsidRPr="003E0FC5">
              <w:rPr>
                <w:bCs/>
                <w:lang w:val="fr-FR"/>
              </w:rPr>
              <w:t>Eur Respir J</w:t>
            </w:r>
            <w:r w:rsidRPr="003E0FC5">
              <w:rPr>
                <w:b/>
                <w:bCs/>
                <w:lang w:val="fr-FR"/>
              </w:rPr>
              <w:t xml:space="preserve"> </w:t>
            </w:r>
            <w:r w:rsidRPr="003E0FC5">
              <w:rPr>
                <w:lang w:val="fr-FR"/>
              </w:rPr>
              <w:t xml:space="preserve">2013; 42 (6): 1484-1494 </w:t>
            </w:r>
          </w:p>
          <w:p w:rsidR="003222A9" w:rsidRPr="003E0FC5" w:rsidRDefault="003222A9" w:rsidP="00075D48">
            <w:pPr>
              <w:pStyle w:val="Tabletext"/>
              <w:keepNext/>
              <w:rPr>
                <w:lang w:val="fr-FR"/>
              </w:rPr>
            </w:pPr>
            <w:r w:rsidRPr="003E0FC5">
              <w:rPr>
                <w:lang w:val="fr-FR"/>
              </w:rPr>
              <w:t>NCT01202188</w:t>
            </w:r>
          </w:p>
        </w:tc>
      </w:tr>
      <w:tr w:rsidR="003222A9" w:rsidRPr="004E2ADC" w:rsidTr="00E43F4A">
        <w:trPr>
          <w:cantSplit/>
        </w:trPr>
        <w:tc>
          <w:tcPr>
            <w:tcW w:w="992" w:type="dxa"/>
          </w:tcPr>
          <w:p w:rsidR="003222A9" w:rsidRPr="00BA08C1" w:rsidRDefault="003222A9" w:rsidP="00075D48">
            <w:pPr>
              <w:pStyle w:val="Tabletext"/>
            </w:pPr>
            <w:r w:rsidRPr="00BA08C1">
              <w:t>SPARK</w:t>
            </w:r>
          </w:p>
        </w:tc>
        <w:tc>
          <w:tcPr>
            <w:tcW w:w="5812" w:type="dxa"/>
          </w:tcPr>
          <w:p w:rsidR="003222A9" w:rsidRPr="00BA08C1" w:rsidRDefault="003222A9" w:rsidP="00075D48">
            <w:pPr>
              <w:pStyle w:val="Tabletext"/>
            </w:pPr>
            <w:r w:rsidRPr="006F6145">
              <w:rPr>
                <w:lang w:val="sv-SE"/>
              </w:rPr>
              <w:t xml:space="preserve">Wedzicha JA, Decramer M, Ficker JH </w:t>
            </w:r>
            <w:r w:rsidRPr="006F6145">
              <w:rPr>
                <w:i/>
                <w:lang w:val="sv-SE"/>
              </w:rPr>
              <w:t>et al</w:t>
            </w:r>
            <w:r w:rsidRPr="006F6145">
              <w:rPr>
                <w:lang w:val="sv-SE"/>
              </w:rPr>
              <w:t xml:space="preserve">. </w:t>
            </w:r>
            <w:r w:rsidRPr="00BA08C1">
              <w:t>Analysis of chronic obstructive pulmonary disease exacerbations with the dual bronchodilator QVA149 compared with glycopyrronium and tiotropium (SPARK): A randomised, double-blind, parallel-group study</w:t>
            </w:r>
            <w:r w:rsidR="000367E7">
              <w:t>.</w:t>
            </w:r>
            <w:r w:rsidRPr="00BA08C1">
              <w:t xml:space="preserve"> </w:t>
            </w:r>
          </w:p>
        </w:tc>
        <w:tc>
          <w:tcPr>
            <w:tcW w:w="1541" w:type="dxa"/>
          </w:tcPr>
          <w:p w:rsidR="003222A9" w:rsidRPr="00202320" w:rsidRDefault="003222A9" w:rsidP="00075D48">
            <w:pPr>
              <w:pStyle w:val="Tabletext"/>
            </w:pPr>
            <w:r w:rsidRPr="00202320">
              <w:rPr>
                <w:rStyle w:val="jrnl"/>
              </w:rPr>
              <w:t>Lancet Respir Med</w:t>
            </w:r>
            <w:r w:rsidRPr="00202320">
              <w:t xml:space="preserve"> 2013; 1 (3): 199-209 </w:t>
            </w:r>
          </w:p>
          <w:p w:rsidR="003222A9" w:rsidRPr="00BA08C1" w:rsidRDefault="003222A9" w:rsidP="00075D48">
            <w:pPr>
              <w:pStyle w:val="Tabletext"/>
            </w:pPr>
            <w:r w:rsidRPr="00202320">
              <w:t>NCT01285492^</w:t>
            </w:r>
          </w:p>
        </w:tc>
      </w:tr>
      <w:tr w:rsidR="003222A9" w:rsidRPr="004E2ADC" w:rsidTr="00E43F4A">
        <w:trPr>
          <w:cantSplit/>
        </w:trPr>
        <w:tc>
          <w:tcPr>
            <w:tcW w:w="992" w:type="dxa"/>
          </w:tcPr>
          <w:p w:rsidR="003222A9" w:rsidRPr="00BA08C1" w:rsidRDefault="003222A9" w:rsidP="00075D48">
            <w:pPr>
              <w:pStyle w:val="Tabletext"/>
            </w:pPr>
            <w:r w:rsidRPr="00BA08C1">
              <w:t>ARISE</w:t>
            </w:r>
          </w:p>
        </w:tc>
        <w:tc>
          <w:tcPr>
            <w:tcW w:w="5812" w:type="dxa"/>
          </w:tcPr>
          <w:p w:rsidR="003222A9" w:rsidRPr="00BA08C1" w:rsidRDefault="003222A9" w:rsidP="00075D48">
            <w:pPr>
              <w:pStyle w:val="Tabletext"/>
            </w:pPr>
            <w:r w:rsidRPr="006F6145">
              <w:t xml:space="preserve">Asai K, Minakata Y, Hirata K </w:t>
            </w:r>
            <w:r w:rsidRPr="006F6145">
              <w:rPr>
                <w:i/>
              </w:rPr>
              <w:t>et al</w:t>
            </w:r>
            <w:r w:rsidRPr="006F6145">
              <w:t xml:space="preserve">. </w:t>
            </w:r>
            <w:r w:rsidRPr="00BA08C1">
              <w:t>QVA149 once-daily is safe and well tolerated and improves lung function and health status in Japanese patients with COPD: The ARISE study</w:t>
            </w:r>
            <w:r>
              <w:t>.</w:t>
            </w:r>
            <w:r w:rsidRPr="00BA08C1">
              <w:t xml:space="preserve"> [Abstract]</w:t>
            </w:r>
          </w:p>
          <w:p w:rsidR="003222A9" w:rsidRPr="00BA08C1" w:rsidRDefault="003222A9" w:rsidP="00075D48">
            <w:pPr>
              <w:pStyle w:val="Tabletext"/>
            </w:pPr>
          </w:p>
          <w:p w:rsidR="003222A9" w:rsidRPr="00BA08C1" w:rsidRDefault="003222A9" w:rsidP="00075D48">
            <w:pPr>
              <w:pStyle w:val="Tabletext"/>
            </w:pPr>
            <w:r w:rsidRPr="00BA08C1">
              <w:t>Frampton JE. QVA149 (indacaterol/glycopyrronium fixed-dose combination): A review of its use in patients with chronic obstructive pulmonary disease</w:t>
            </w:r>
            <w:r w:rsidR="000367E7">
              <w:t>.</w:t>
            </w:r>
            <w:r w:rsidRPr="00BA08C1">
              <w:t xml:space="preserve"> </w:t>
            </w:r>
          </w:p>
        </w:tc>
        <w:tc>
          <w:tcPr>
            <w:tcW w:w="1541" w:type="dxa"/>
          </w:tcPr>
          <w:p w:rsidR="003222A9" w:rsidRDefault="003222A9" w:rsidP="00075D48">
            <w:pPr>
              <w:pStyle w:val="Tabletext"/>
            </w:pPr>
            <w:r w:rsidRPr="00D842CE">
              <w:t xml:space="preserve">Eur Resp Soc Annual Congress, 2013. 42: </w:t>
            </w:r>
            <w:r>
              <w:t>694</w:t>
            </w:r>
            <w:r w:rsidRPr="00D842CE">
              <w:t xml:space="preserve">s </w:t>
            </w:r>
          </w:p>
          <w:p w:rsidR="003222A9" w:rsidRDefault="003222A9" w:rsidP="00075D48">
            <w:pPr>
              <w:pStyle w:val="Tabletext"/>
            </w:pPr>
            <w:r>
              <w:t>D</w:t>
            </w:r>
            <w:r w:rsidRPr="00BA08C1">
              <w:t>rugs 2014; 74 (4): 465-488</w:t>
            </w:r>
          </w:p>
          <w:p w:rsidR="00D4047F" w:rsidRPr="00BA08C1" w:rsidRDefault="00D4047F" w:rsidP="00075D48">
            <w:pPr>
              <w:pStyle w:val="Tabletext"/>
            </w:pPr>
            <w:r w:rsidRPr="00202320">
              <w:t>NCT01285492</w:t>
            </w:r>
          </w:p>
        </w:tc>
      </w:tr>
      <w:tr w:rsidR="003222A9" w:rsidRPr="004E2ADC" w:rsidTr="000367E7">
        <w:trPr>
          <w:cantSplit/>
        </w:trPr>
        <w:tc>
          <w:tcPr>
            <w:tcW w:w="8345" w:type="dxa"/>
            <w:gridSpan w:val="3"/>
          </w:tcPr>
          <w:p w:rsidR="003222A9" w:rsidRPr="004E2ADC" w:rsidRDefault="003222A9" w:rsidP="00075D48">
            <w:pPr>
              <w:widowControl/>
              <w:jc w:val="left"/>
              <w:rPr>
                <w:rFonts w:ascii="Arial Narrow" w:hAnsi="Arial Narrow"/>
                <w:b/>
                <w:sz w:val="20"/>
              </w:rPr>
            </w:pPr>
            <w:r>
              <w:rPr>
                <w:rFonts w:ascii="Arial Narrow" w:hAnsi="Arial Narrow"/>
                <w:b/>
                <w:sz w:val="20"/>
              </w:rPr>
              <w:t>Umeclidinium/vilanterol FDC</w:t>
            </w:r>
          </w:p>
        </w:tc>
      </w:tr>
      <w:tr w:rsidR="003222A9" w:rsidRPr="00D842CE" w:rsidTr="00E43F4A">
        <w:trPr>
          <w:cantSplit/>
        </w:trPr>
        <w:tc>
          <w:tcPr>
            <w:tcW w:w="992" w:type="dxa"/>
          </w:tcPr>
          <w:p w:rsidR="003222A9" w:rsidRDefault="003222A9" w:rsidP="00AD10AE">
            <w:pPr>
              <w:pStyle w:val="Tabletext"/>
            </w:pPr>
            <w:r w:rsidRPr="00D842CE">
              <w:t>Decramer 1</w:t>
            </w:r>
          </w:p>
          <w:p w:rsidR="003222A9" w:rsidRDefault="003222A9" w:rsidP="00AD10AE">
            <w:pPr>
              <w:pStyle w:val="Tabletext"/>
            </w:pPr>
            <w:r>
              <w:t xml:space="preserve">and </w:t>
            </w:r>
          </w:p>
          <w:p w:rsidR="003222A9" w:rsidRPr="00D842CE" w:rsidRDefault="003222A9" w:rsidP="00AD10AE">
            <w:pPr>
              <w:pStyle w:val="Tabletext"/>
            </w:pPr>
            <w:r>
              <w:t>Decramer 2</w:t>
            </w:r>
          </w:p>
        </w:tc>
        <w:tc>
          <w:tcPr>
            <w:tcW w:w="5812" w:type="dxa"/>
          </w:tcPr>
          <w:p w:rsidR="003222A9" w:rsidRPr="006F6145" w:rsidRDefault="003222A9" w:rsidP="00AD10AE">
            <w:pPr>
              <w:pStyle w:val="Tabletext"/>
              <w:rPr>
                <w:lang w:val="it-IT"/>
              </w:rPr>
            </w:pPr>
            <w:r w:rsidRPr="006F6145">
              <w:rPr>
                <w:lang w:val="it-IT"/>
              </w:rPr>
              <w:t>Decramer M</w:t>
            </w:r>
            <w:r w:rsidR="000367E7" w:rsidRPr="006F6145">
              <w:rPr>
                <w:lang w:val="it-IT"/>
              </w:rPr>
              <w:t>,</w:t>
            </w:r>
            <w:r w:rsidRPr="006F6145">
              <w:rPr>
                <w:lang w:val="it-IT"/>
              </w:rPr>
              <w:t xml:space="preserve"> Anzueto A, Kerwin E </w:t>
            </w:r>
            <w:r w:rsidRPr="006F6145">
              <w:rPr>
                <w:i/>
                <w:lang w:val="it-IT"/>
              </w:rPr>
              <w:t>et al</w:t>
            </w:r>
            <w:r w:rsidRPr="006F6145">
              <w:rPr>
                <w:lang w:val="it-IT"/>
              </w:rPr>
              <w:t xml:space="preserve">. Efficacy and safety of umeclidinium plus vilanterol versus tiotropium, vilanterol, or umeclidinium monotherapies over 24 weeks in patients with chronic obstructive pulmonary disease: Results from two multicentre, blinded, randomised controlled trials. </w:t>
            </w:r>
          </w:p>
        </w:tc>
        <w:tc>
          <w:tcPr>
            <w:tcW w:w="1541" w:type="dxa"/>
          </w:tcPr>
          <w:p w:rsidR="003222A9" w:rsidRDefault="003222A9" w:rsidP="00AD10AE">
            <w:pPr>
              <w:pStyle w:val="Tabletext"/>
            </w:pPr>
            <w:r w:rsidRPr="00202320">
              <w:rPr>
                <w:rStyle w:val="jrnl"/>
              </w:rPr>
              <w:t>Lancet Respir Med</w:t>
            </w:r>
            <w:r w:rsidRPr="00202320">
              <w:t xml:space="preserve"> </w:t>
            </w:r>
            <w:r w:rsidRPr="00D842CE">
              <w:t>2014; 2 (6): 472-486</w:t>
            </w:r>
          </w:p>
          <w:p w:rsidR="003222A9" w:rsidRPr="00D842CE" w:rsidRDefault="00D4047F" w:rsidP="00AD10AE">
            <w:pPr>
              <w:pStyle w:val="Tabletext"/>
            </w:pPr>
            <w:r w:rsidRPr="00D842CE">
              <w:t>NCT01316900</w:t>
            </w:r>
            <w:r w:rsidR="003222A9" w:rsidRPr="00D842CE">
              <w:t xml:space="preserve"> </w:t>
            </w:r>
          </w:p>
        </w:tc>
      </w:tr>
      <w:tr w:rsidR="00900548" w:rsidRPr="006F6145" w:rsidTr="000367E7">
        <w:trPr>
          <w:cantSplit/>
        </w:trPr>
        <w:tc>
          <w:tcPr>
            <w:tcW w:w="8345" w:type="dxa"/>
            <w:gridSpan w:val="3"/>
          </w:tcPr>
          <w:p w:rsidR="00900548" w:rsidRPr="006F6145" w:rsidRDefault="00900548" w:rsidP="00AD10AE">
            <w:pPr>
              <w:pStyle w:val="Tabletext"/>
              <w:keepNext/>
              <w:widowControl w:val="0"/>
              <w:rPr>
                <w:b/>
                <w:lang w:val="sv-SE"/>
              </w:rPr>
            </w:pPr>
            <w:r w:rsidRPr="006F6145">
              <w:rPr>
                <w:b/>
                <w:lang w:val="sv-SE"/>
              </w:rPr>
              <w:t>Tiotropium plus olodaterol vs. tiotropium</w:t>
            </w:r>
          </w:p>
        </w:tc>
      </w:tr>
      <w:tr w:rsidR="003222A9" w:rsidRPr="008222A3" w:rsidTr="00E43F4A">
        <w:trPr>
          <w:cantSplit/>
        </w:trPr>
        <w:tc>
          <w:tcPr>
            <w:tcW w:w="992" w:type="dxa"/>
          </w:tcPr>
          <w:p w:rsidR="003222A9" w:rsidRDefault="003222A9" w:rsidP="00075D48">
            <w:pPr>
              <w:pStyle w:val="Tabletext"/>
            </w:pPr>
            <w:r w:rsidRPr="003437F6">
              <w:t>ANHELTO 1</w:t>
            </w:r>
          </w:p>
          <w:p w:rsidR="003222A9" w:rsidRDefault="003222A9" w:rsidP="00075D48">
            <w:pPr>
              <w:pStyle w:val="Tabletext"/>
            </w:pPr>
          </w:p>
          <w:p w:rsidR="003222A9" w:rsidRDefault="003222A9" w:rsidP="00075D48">
            <w:pPr>
              <w:pStyle w:val="Tabletext"/>
            </w:pPr>
            <w:r>
              <w:t>and</w:t>
            </w:r>
          </w:p>
          <w:p w:rsidR="003222A9" w:rsidRDefault="003222A9" w:rsidP="00075D48">
            <w:pPr>
              <w:pStyle w:val="Tabletext"/>
            </w:pPr>
          </w:p>
          <w:p w:rsidR="003222A9" w:rsidRPr="004E2ADC" w:rsidRDefault="003222A9" w:rsidP="00075D48">
            <w:pPr>
              <w:pStyle w:val="Tabletext"/>
            </w:pPr>
            <w:r w:rsidRPr="003437F6">
              <w:t xml:space="preserve">ANHELTO 2 </w:t>
            </w:r>
          </w:p>
        </w:tc>
        <w:tc>
          <w:tcPr>
            <w:tcW w:w="5812" w:type="dxa"/>
          </w:tcPr>
          <w:p w:rsidR="003222A9" w:rsidRDefault="003222A9" w:rsidP="00075D48">
            <w:pPr>
              <w:pStyle w:val="Tabletext"/>
            </w:pPr>
            <w:r w:rsidRPr="003437F6">
              <w:t>A randomised, double blind, parallel group study to assess the efficacy and safety of 12 weeks of once daily, orally inhaled, co-administration of olodaterol 5μg (delivered by the Respimat® Inhaler) and tiotropium 18μg (delivered by the HandiHaler®) compared to once daily, orally inhaled, co-administration of placebo (delivered by the Respimat® Inhaler) and tiotropium 18μg (delivered by the HandiHaler®) in patients with Chronic Obstructive Pulmonary Disease (COPD) [ANHELTO™1]</w:t>
            </w:r>
            <w:r>
              <w:t>. Clinical trial report</w:t>
            </w:r>
          </w:p>
          <w:p w:rsidR="003222A9" w:rsidRDefault="003222A9" w:rsidP="00075D48">
            <w:pPr>
              <w:pStyle w:val="Tabletext"/>
            </w:pPr>
          </w:p>
          <w:p w:rsidR="003222A9" w:rsidRDefault="003222A9" w:rsidP="00075D48">
            <w:pPr>
              <w:pStyle w:val="Tabletext"/>
            </w:pPr>
            <w:r w:rsidRPr="003437F6">
              <w:t>A randomised, double blind, parallel group study to assess the efficacy and safety of 12 weeks of once daily, orally inhaled, co-administration of olodaterol 5μg (delivered by the Respimat® Inhaler) and tiotropium 18μg (delivered by the HandiHaler®) compared to once daily, orally inhaled, co-administration of placebo (delivered by the Respimat® Inhaler) and tiotropium 18μg (delivered by the HandiHaler®) in patients with Chronic Obstructive Pulmonary Disease (COPD) [ANHELTO™2]</w:t>
            </w:r>
            <w:r>
              <w:t xml:space="preserve"> Clinical trial report</w:t>
            </w:r>
          </w:p>
          <w:p w:rsidR="003222A9" w:rsidRDefault="003222A9" w:rsidP="00075D48">
            <w:pPr>
              <w:pStyle w:val="Tabletext"/>
            </w:pPr>
          </w:p>
          <w:p w:rsidR="003222A9" w:rsidRPr="004E2ADC" w:rsidRDefault="003222A9" w:rsidP="00075D48">
            <w:pPr>
              <w:pStyle w:val="Tabletext"/>
            </w:pPr>
            <w:r w:rsidRPr="00723F9D">
              <w:t>ZuWallack R, Allen L, Hernandez</w:t>
            </w:r>
            <w:r>
              <w:t xml:space="preserve"> G </w:t>
            </w:r>
            <w:r w:rsidRPr="000367E7">
              <w:rPr>
                <w:i/>
              </w:rPr>
              <w:t>et al</w:t>
            </w:r>
            <w:r>
              <w:t xml:space="preserve">. </w:t>
            </w:r>
            <w:r w:rsidRPr="00723F9D">
              <w:t>Efficacy and safety of combining olodaterol Res</w:t>
            </w:r>
            <w:r>
              <w:t>pimat</w:t>
            </w:r>
            <w:r w:rsidR="002E7075">
              <w:t xml:space="preserve">® </w:t>
            </w:r>
            <w:r>
              <w:t xml:space="preserve">and </w:t>
            </w:r>
            <w:r w:rsidRPr="00723F9D">
              <w:t>tiotropium HandiHaler</w:t>
            </w:r>
            <w:r w:rsidR="002E7075">
              <w:t xml:space="preserve"> ® </w:t>
            </w:r>
            <w:r w:rsidRPr="00723F9D">
              <w:t>patients with COPD: Results of two randomized, double-blind, active-controlled</w:t>
            </w:r>
            <w:r>
              <w:t xml:space="preserve"> studies. </w:t>
            </w:r>
          </w:p>
        </w:tc>
        <w:tc>
          <w:tcPr>
            <w:tcW w:w="1541" w:type="dxa"/>
          </w:tcPr>
          <w:p w:rsidR="003222A9" w:rsidRDefault="003222A9" w:rsidP="00075D48">
            <w:pPr>
              <w:widowControl/>
              <w:jc w:val="left"/>
              <w:rPr>
                <w:rFonts w:ascii="Arial Narrow" w:hAnsi="Arial Narrow"/>
                <w:sz w:val="20"/>
              </w:rPr>
            </w:pPr>
            <w:r>
              <w:rPr>
                <w:rFonts w:ascii="Arial Narrow" w:hAnsi="Arial Narrow"/>
                <w:sz w:val="20"/>
              </w:rPr>
              <w:t>3 March 2014</w:t>
            </w:r>
          </w:p>
          <w:p w:rsidR="003222A9" w:rsidRDefault="000367E7" w:rsidP="00075D48">
            <w:pPr>
              <w:widowControl/>
              <w:jc w:val="left"/>
              <w:rPr>
                <w:rFonts w:ascii="Arial Narrow" w:hAnsi="Arial Narrow"/>
                <w:sz w:val="20"/>
              </w:rPr>
            </w:pPr>
            <w:r w:rsidRPr="00FD6FFC">
              <w:rPr>
                <w:rFonts w:ascii="Arial Narrow" w:hAnsi="Arial Narrow"/>
                <w:i/>
                <w:sz w:val="20"/>
              </w:rPr>
              <w:t>NCT01694771</w:t>
            </w: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r>
              <w:rPr>
                <w:rFonts w:ascii="Arial Narrow" w:hAnsi="Arial Narrow"/>
                <w:sz w:val="20"/>
              </w:rPr>
              <w:t>3 March 2014</w:t>
            </w:r>
          </w:p>
          <w:p w:rsidR="000367E7" w:rsidRPr="00FD6FFC" w:rsidRDefault="000367E7" w:rsidP="00075D48">
            <w:pPr>
              <w:widowControl/>
              <w:jc w:val="left"/>
              <w:rPr>
                <w:rFonts w:ascii="Arial Narrow" w:hAnsi="Arial Narrow"/>
                <w:i/>
                <w:sz w:val="20"/>
              </w:rPr>
            </w:pPr>
            <w:r w:rsidRPr="00FD6FFC">
              <w:rPr>
                <w:rFonts w:ascii="Arial Narrow" w:hAnsi="Arial Narrow"/>
                <w:i/>
                <w:sz w:val="20"/>
              </w:rPr>
              <w:t>NCT01696058</w:t>
            </w: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Pr="004E2ADC" w:rsidRDefault="003222A9" w:rsidP="00075D48">
            <w:pPr>
              <w:widowControl/>
              <w:jc w:val="left"/>
              <w:rPr>
                <w:rFonts w:ascii="Arial Narrow" w:hAnsi="Arial Narrow"/>
                <w:sz w:val="20"/>
              </w:rPr>
            </w:pPr>
            <w:r w:rsidRPr="00BB4542">
              <w:rPr>
                <w:rFonts w:ascii="Arial Narrow" w:hAnsi="Arial Narrow"/>
                <w:sz w:val="20"/>
              </w:rPr>
              <w:t xml:space="preserve">Int J Chron Obstruct Pulmon Dis </w:t>
            </w:r>
            <w:r w:rsidRPr="00D842CE">
              <w:rPr>
                <w:rFonts w:ascii="Arial Narrow" w:hAnsi="Arial Narrow"/>
                <w:sz w:val="20"/>
              </w:rPr>
              <w:t xml:space="preserve">2014; </w:t>
            </w:r>
            <w:r>
              <w:rPr>
                <w:rFonts w:ascii="Arial Narrow" w:hAnsi="Arial Narrow"/>
                <w:sz w:val="20"/>
              </w:rPr>
              <w:t>(</w:t>
            </w:r>
            <w:r w:rsidRPr="00D842CE">
              <w:rPr>
                <w:rFonts w:ascii="Arial Narrow" w:hAnsi="Arial Narrow"/>
                <w:sz w:val="20"/>
              </w:rPr>
              <w:t>9): 1133-1144</w:t>
            </w:r>
          </w:p>
        </w:tc>
      </w:tr>
      <w:tr w:rsidR="003222A9" w:rsidRPr="004E2ADC" w:rsidTr="00E43F4A">
        <w:trPr>
          <w:cantSplit/>
          <w:trHeight w:val="5059"/>
        </w:trPr>
        <w:tc>
          <w:tcPr>
            <w:tcW w:w="992" w:type="dxa"/>
            <w:tcBorders>
              <w:bottom w:val="single" w:sz="4" w:space="0" w:color="auto"/>
            </w:tcBorders>
          </w:tcPr>
          <w:p w:rsidR="003222A9" w:rsidRDefault="003222A9" w:rsidP="00075D48">
            <w:pPr>
              <w:pStyle w:val="Tabletext"/>
            </w:pPr>
            <w:r w:rsidRPr="003437F6">
              <w:t xml:space="preserve">Study 11 </w:t>
            </w:r>
          </w:p>
          <w:p w:rsidR="003222A9" w:rsidRDefault="003222A9" w:rsidP="00075D48">
            <w:pPr>
              <w:pStyle w:val="Tabletext"/>
            </w:pPr>
          </w:p>
          <w:p w:rsidR="003222A9" w:rsidRDefault="003222A9" w:rsidP="00075D48">
            <w:pPr>
              <w:pStyle w:val="Tabletext"/>
            </w:pPr>
            <w:r>
              <w:t xml:space="preserve">and </w:t>
            </w:r>
          </w:p>
          <w:p w:rsidR="003222A9" w:rsidRDefault="003222A9" w:rsidP="00075D48">
            <w:pPr>
              <w:pStyle w:val="Tabletext"/>
            </w:pPr>
          </w:p>
          <w:p w:rsidR="003222A9" w:rsidRPr="003437F6" w:rsidRDefault="003222A9" w:rsidP="00075D48">
            <w:pPr>
              <w:pStyle w:val="Tabletext"/>
            </w:pPr>
            <w:r w:rsidRPr="003437F6">
              <w:t xml:space="preserve">Study 12 </w:t>
            </w:r>
          </w:p>
          <w:p w:rsidR="003222A9" w:rsidRPr="003437F6" w:rsidRDefault="003222A9" w:rsidP="00075D48">
            <w:pPr>
              <w:pStyle w:val="Tabletext"/>
            </w:pPr>
          </w:p>
        </w:tc>
        <w:tc>
          <w:tcPr>
            <w:tcW w:w="5812" w:type="dxa"/>
            <w:tcBorders>
              <w:bottom w:val="single" w:sz="4" w:space="0" w:color="auto"/>
            </w:tcBorders>
          </w:tcPr>
          <w:p w:rsidR="003222A9" w:rsidRDefault="003222A9" w:rsidP="00075D48">
            <w:pPr>
              <w:pStyle w:val="Tabletext"/>
            </w:pPr>
            <w:r w:rsidRPr="003437F6">
              <w:t>Randomised, double-blind, placebo-controlled, parallel group study to assess the efficacy and safety of 48 weeks of once daily treatment of orally inhaled BI 1744 CL (5 µg [2 actuations of 2.5 µg] and 10 µg [2 actuations of 5 µg]) delivered by the Respimat® inhaler, in patients with Chronic Obstructive Pulmonary Disease (COPD)</w:t>
            </w:r>
            <w:r>
              <w:t>. Clinical trial report</w:t>
            </w:r>
          </w:p>
          <w:p w:rsidR="003222A9" w:rsidRDefault="003222A9" w:rsidP="00075D48">
            <w:pPr>
              <w:pStyle w:val="Tabletext"/>
            </w:pPr>
          </w:p>
          <w:p w:rsidR="003222A9" w:rsidRDefault="003222A9" w:rsidP="00075D48">
            <w:pPr>
              <w:pStyle w:val="Tabletext"/>
            </w:pPr>
            <w:r w:rsidRPr="003437F6">
              <w:t>Randomised, double-blind, placebo-controlled, parallel group study to assess the efficacy and safety of 48 weeks of once daily treatment of orally inhaled BI 1744 CL (5 µg [2 actuations of 2.5 µg] and 10 µg [2 actuations of 5 µg]) delivered by the Respimat® inhaler, in patients with Chronic Obstructive Pulmonary Disease (COPD)</w:t>
            </w:r>
            <w:r>
              <w:t>. Clinical trial report</w:t>
            </w:r>
          </w:p>
          <w:p w:rsidR="003222A9" w:rsidRPr="003437F6" w:rsidRDefault="003222A9" w:rsidP="00075D48">
            <w:pPr>
              <w:pStyle w:val="Tabletext"/>
            </w:pPr>
          </w:p>
          <w:p w:rsidR="003222A9" w:rsidRDefault="003222A9" w:rsidP="00075D48">
            <w:pPr>
              <w:pStyle w:val="Tabletext"/>
            </w:pPr>
            <w:r w:rsidRPr="003437F6">
              <w:t>Combined analysis of efficacy and safety data obtained in Studies 1222.11 and 1222.12 - Randomised, double-blind, placebo-controlled, parallel group studies to assess the efficacy and safety of 48 weeks of once daily treatment of orally inhaled BI 1744 CL (5 µg [2 actuations of 2.5 µg] and 10 µg [2 actuations of 5 µg]) delivered by the Respimat® inhaler, in patients with chronic obstructive pulmonary disease (COPD)</w:t>
            </w:r>
            <w:r>
              <w:t>. Clinical trial report</w:t>
            </w:r>
          </w:p>
          <w:p w:rsidR="003222A9" w:rsidRDefault="003222A9" w:rsidP="00075D48">
            <w:pPr>
              <w:pStyle w:val="Tabletext"/>
            </w:pPr>
          </w:p>
          <w:p w:rsidR="003222A9" w:rsidRPr="004E2ADC" w:rsidRDefault="003222A9" w:rsidP="00075D48">
            <w:pPr>
              <w:pStyle w:val="Tabletext"/>
            </w:pPr>
            <w:r w:rsidRPr="0014307D">
              <w:t>Ferguson GT, Feldman GJ, Hofbauer P</w:t>
            </w:r>
            <w:r>
              <w:t xml:space="preserve"> </w:t>
            </w:r>
            <w:r w:rsidRPr="000367E7">
              <w:rPr>
                <w:i/>
              </w:rPr>
              <w:t>et al</w:t>
            </w:r>
            <w:r w:rsidRPr="0014307D">
              <w:t>. Efficacy and safety of olodaterol once daily delivered via Respimat</w:t>
            </w:r>
            <w:r w:rsidR="002E7075">
              <w:t>®</w:t>
            </w:r>
            <w:r w:rsidRPr="0014307D">
              <w:t xml:space="preserve"> in patients with GOLD 2-4 COPD: Results from two replicate 48-week studies </w:t>
            </w:r>
          </w:p>
        </w:tc>
        <w:tc>
          <w:tcPr>
            <w:tcW w:w="1541" w:type="dxa"/>
            <w:tcBorders>
              <w:bottom w:val="single" w:sz="4" w:space="0" w:color="auto"/>
            </w:tcBorders>
          </w:tcPr>
          <w:p w:rsidR="003222A9" w:rsidRDefault="003222A9" w:rsidP="00075D48">
            <w:pPr>
              <w:widowControl/>
              <w:jc w:val="left"/>
              <w:rPr>
                <w:rFonts w:ascii="Arial Narrow" w:hAnsi="Arial Narrow"/>
                <w:sz w:val="20"/>
              </w:rPr>
            </w:pPr>
            <w:r>
              <w:rPr>
                <w:rFonts w:ascii="Arial Narrow" w:hAnsi="Arial Narrow"/>
                <w:sz w:val="20"/>
              </w:rPr>
              <w:t>28 December 2011</w:t>
            </w:r>
          </w:p>
          <w:p w:rsidR="000367E7" w:rsidRPr="006A7C2B" w:rsidRDefault="000367E7" w:rsidP="00075D48">
            <w:pPr>
              <w:pStyle w:val="Tabletext"/>
              <w:rPr>
                <w:i/>
              </w:rPr>
            </w:pPr>
            <w:r w:rsidRPr="006A7C2B">
              <w:rPr>
                <w:i/>
                <w:shd w:val="clear" w:color="auto" w:fill="FFFFFF"/>
              </w:rPr>
              <w:t>NCT00782210</w:t>
            </w: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p>
          <w:p w:rsidR="003222A9" w:rsidRDefault="003222A9" w:rsidP="00075D48">
            <w:pPr>
              <w:widowControl/>
              <w:jc w:val="left"/>
              <w:rPr>
                <w:rFonts w:ascii="Arial Narrow" w:hAnsi="Arial Narrow"/>
                <w:sz w:val="20"/>
              </w:rPr>
            </w:pPr>
            <w:r>
              <w:rPr>
                <w:rFonts w:ascii="Arial Narrow" w:hAnsi="Arial Narrow"/>
                <w:sz w:val="20"/>
              </w:rPr>
              <w:t>9 January 2012</w:t>
            </w:r>
          </w:p>
          <w:p w:rsidR="000367E7" w:rsidRPr="006A7C2B" w:rsidRDefault="000367E7" w:rsidP="00075D48">
            <w:pPr>
              <w:pStyle w:val="Tabletext"/>
              <w:rPr>
                <w:i/>
              </w:rPr>
            </w:pPr>
            <w:r w:rsidRPr="006A7C2B">
              <w:rPr>
                <w:i/>
                <w:shd w:val="clear" w:color="auto" w:fill="FFFFFF"/>
              </w:rPr>
              <w:t>NCT00782210</w:t>
            </w: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r>
              <w:t>9 January 2012</w:t>
            </w: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Default="003222A9" w:rsidP="00075D48">
            <w:pPr>
              <w:pStyle w:val="Tabletext"/>
            </w:pPr>
          </w:p>
          <w:p w:rsidR="003222A9" w:rsidRPr="004E2ADC" w:rsidRDefault="003222A9" w:rsidP="00075D48">
            <w:pPr>
              <w:pStyle w:val="Tabletext"/>
            </w:pPr>
            <w:r w:rsidRPr="00BB4542">
              <w:t xml:space="preserve">Int J Chron Obstruct Pulmon Dis </w:t>
            </w:r>
            <w:r w:rsidRPr="0014307D">
              <w:t>2014; 9): 629-645</w:t>
            </w:r>
          </w:p>
        </w:tc>
      </w:tr>
      <w:tr w:rsidR="003222A9" w:rsidRPr="004E2ADC" w:rsidTr="00E43F4A">
        <w:trPr>
          <w:cantSplit/>
          <w:trHeight w:val="5898"/>
        </w:trPr>
        <w:tc>
          <w:tcPr>
            <w:tcW w:w="992" w:type="dxa"/>
          </w:tcPr>
          <w:p w:rsidR="003222A9" w:rsidRDefault="003222A9" w:rsidP="00075D48">
            <w:pPr>
              <w:pStyle w:val="Tabletext"/>
            </w:pPr>
            <w:r w:rsidRPr="003437F6">
              <w:t>Study 13</w:t>
            </w:r>
          </w:p>
          <w:p w:rsidR="003222A9" w:rsidRDefault="003222A9" w:rsidP="00075D48">
            <w:pPr>
              <w:pStyle w:val="Tabletext"/>
            </w:pPr>
          </w:p>
          <w:p w:rsidR="003222A9" w:rsidRDefault="003222A9" w:rsidP="00075D48">
            <w:pPr>
              <w:pStyle w:val="Tabletext"/>
            </w:pPr>
            <w:r>
              <w:t>and</w:t>
            </w:r>
          </w:p>
          <w:p w:rsidR="003222A9" w:rsidRDefault="003222A9" w:rsidP="00075D48">
            <w:pPr>
              <w:pStyle w:val="Tabletext"/>
            </w:pPr>
          </w:p>
          <w:p w:rsidR="003222A9" w:rsidRPr="003437F6" w:rsidRDefault="003222A9" w:rsidP="00075D48">
            <w:pPr>
              <w:pStyle w:val="Tabletext"/>
            </w:pPr>
            <w:r w:rsidRPr="003437F6">
              <w:t xml:space="preserve">Study 14 </w:t>
            </w:r>
          </w:p>
          <w:p w:rsidR="003222A9" w:rsidRPr="003437F6" w:rsidRDefault="003222A9" w:rsidP="00075D48">
            <w:pPr>
              <w:pStyle w:val="Tabletext"/>
            </w:pPr>
          </w:p>
        </w:tc>
        <w:tc>
          <w:tcPr>
            <w:tcW w:w="5812" w:type="dxa"/>
          </w:tcPr>
          <w:p w:rsidR="003222A9" w:rsidRDefault="003222A9" w:rsidP="00075D48">
            <w:pPr>
              <w:pStyle w:val="Tabletext"/>
            </w:pPr>
            <w:r w:rsidRPr="003437F6">
              <w:t>A randomised, double-blind, double-dummy, placebo controlled, parallel group study to assess the efficacy and safety of 48 weeks of once daily treatment of orally inhaled BI 1744 CL (5 µg [2 actuations of 2.5 µg] and 10 µg [2 actuations of 5 µg]) delivered by the Respimat® Inhaler, and 48 weeks of twice daily Foradil® (12 µg) delivered by the Aerolizer® Inhaler, in patients with Chronic Obstructive Pulmonary Disease (COPD)</w:t>
            </w:r>
            <w:r>
              <w:t>. Clinical trial report</w:t>
            </w:r>
          </w:p>
          <w:p w:rsidR="003222A9" w:rsidRDefault="003222A9" w:rsidP="00075D48">
            <w:pPr>
              <w:pStyle w:val="Tabletext"/>
            </w:pPr>
          </w:p>
          <w:p w:rsidR="003222A9" w:rsidRDefault="003222A9" w:rsidP="00075D48">
            <w:pPr>
              <w:pStyle w:val="Tabletext"/>
            </w:pPr>
            <w:r w:rsidRPr="003437F6">
              <w:t>A randomised, double-blind, double-dummy, placebo-controlled, parallel group study to assess the efficacy and safety of 48 weeks of once daily treatment of orally inhaled BI 1744 CL (5 µg [2 actuations of 2.5 µg] and 10 µg [2 actuations of 5 µg]) delivered by the Respimat® Inhaler, and 48 weeks of twice daily Foradil® (12 µg) delivered by the Aerolizer® Inhaler, in patients with Chronic Obstructive Pulmonary Disease (COPD)</w:t>
            </w:r>
            <w:r>
              <w:t>. Clinical trial report</w:t>
            </w:r>
          </w:p>
          <w:p w:rsidR="003222A9" w:rsidRPr="004E2ADC" w:rsidRDefault="003222A9" w:rsidP="00075D48">
            <w:pPr>
              <w:pStyle w:val="Tabletext"/>
            </w:pPr>
          </w:p>
          <w:p w:rsidR="003222A9" w:rsidRPr="006F6145" w:rsidRDefault="003222A9" w:rsidP="00075D48">
            <w:pPr>
              <w:pStyle w:val="Tabletext"/>
              <w:rPr>
                <w:lang w:val="it-IT"/>
              </w:rPr>
            </w:pPr>
            <w:r w:rsidRPr="003437F6">
              <w:t>Combined analysis of studies 1222.13 and 1222.14: randomised, double-blind, double-dummy, placebo-controlled, parallel group studies to assess the efficacy and safety of 48 weeks of once daily treatment of orally inhaled BI 1744 CL (5 µg [2 actuations of 2.5 µg] and 10 µg [2 actuations of 5 µg]) delivered by the Respimat® Inhaler, and 48 weeks of twice daily Foradil® (12 µg) delivered by the Aerolizer® Inhaler, in patients with chronic obstructive pulmonary disease (COPD)</w:t>
            </w:r>
            <w:r>
              <w:t xml:space="preserve">. </w:t>
            </w:r>
            <w:r w:rsidRPr="006F6145">
              <w:rPr>
                <w:lang w:val="it-IT"/>
              </w:rPr>
              <w:t>Clinical trial report</w:t>
            </w:r>
          </w:p>
          <w:p w:rsidR="003222A9" w:rsidRPr="006F6145" w:rsidRDefault="003222A9" w:rsidP="00075D48">
            <w:pPr>
              <w:pStyle w:val="Tabletext"/>
              <w:rPr>
                <w:lang w:val="it-IT"/>
              </w:rPr>
            </w:pPr>
          </w:p>
          <w:p w:rsidR="003222A9" w:rsidRPr="004E2ADC" w:rsidRDefault="003222A9" w:rsidP="00075D48">
            <w:pPr>
              <w:pStyle w:val="Tabletext"/>
            </w:pPr>
            <w:r w:rsidRPr="006F6145">
              <w:rPr>
                <w:lang w:val="it-IT"/>
              </w:rPr>
              <w:t xml:space="preserve">Koch A, Pizzichini E, Hamilton A </w:t>
            </w:r>
            <w:r w:rsidRPr="006F6145">
              <w:rPr>
                <w:i/>
                <w:lang w:val="it-IT"/>
              </w:rPr>
              <w:t>et al</w:t>
            </w:r>
            <w:r w:rsidRPr="006F6145">
              <w:rPr>
                <w:lang w:val="it-IT"/>
              </w:rPr>
              <w:t xml:space="preserve">. </w:t>
            </w:r>
            <w:r w:rsidRPr="0014307D">
              <w:t>Lung function efficacy and symptomatic benefit of olodaterol once daily delivered via Respimat</w:t>
            </w:r>
            <w:r w:rsidR="002E7075">
              <w:t>®</w:t>
            </w:r>
            <w:r w:rsidRPr="0014307D">
              <w:t xml:space="preserve"> versus placebo and formoterol twice daily </w:t>
            </w:r>
            <w:r>
              <w:t xml:space="preserve">in patients with GOLD 2-4 COPD: </w:t>
            </w:r>
            <w:r w:rsidRPr="0014307D">
              <w:t>Results from two replicate 48-week studies</w:t>
            </w:r>
            <w:r>
              <w:t>.</w:t>
            </w:r>
          </w:p>
        </w:tc>
        <w:tc>
          <w:tcPr>
            <w:tcW w:w="1541" w:type="dxa"/>
          </w:tcPr>
          <w:p w:rsidR="000367E7" w:rsidRDefault="000367E7" w:rsidP="00075D48">
            <w:pPr>
              <w:widowControl/>
              <w:jc w:val="left"/>
              <w:rPr>
                <w:rFonts w:ascii="Arial Narrow" w:hAnsi="Arial Narrow"/>
                <w:sz w:val="20"/>
              </w:rPr>
            </w:pPr>
            <w:r>
              <w:rPr>
                <w:rFonts w:ascii="Arial Narrow" w:hAnsi="Arial Narrow"/>
                <w:sz w:val="20"/>
              </w:rPr>
              <w:t>27 January 2012</w:t>
            </w:r>
          </w:p>
          <w:p w:rsidR="000367E7" w:rsidRPr="006A7C2B" w:rsidRDefault="000367E7" w:rsidP="00075D48">
            <w:pPr>
              <w:widowControl/>
              <w:jc w:val="left"/>
              <w:rPr>
                <w:rFonts w:ascii="Arial Narrow" w:hAnsi="Arial Narrow"/>
                <w:i/>
                <w:sz w:val="20"/>
              </w:rPr>
            </w:pPr>
            <w:r w:rsidRPr="006A7C2B">
              <w:rPr>
                <w:rFonts w:ascii="Arial Narrow" w:hAnsi="Arial Narrow"/>
                <w:i/>
                <w:sz w:val="20"/>
              </w:rPr>
              <w:t>NCT00793624</w:t>
            </w: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r>
              <w:rPr>
                <w:rFonts w:ascii="Arial Narrow" w:hAnsi="Arial Narrow"/>
                <w:sz w:val="20"/>
              </w:rPr>
              <w:t>31 January 2012</w:t>
            </w:r>
          </w:p>
          <w:p w:rsidR="000367E7" w:rsidRPr="006A7C2B" w:rsidRDefault="000367E7" w:rsidP="00075D48">
            <w:pPr>
              <w:widowControl/>
              <w:jc w:val="left"/>
              <w:rPr>
                <w:rFonts w:ascii="Arial Narrow" w:hAnsi="Arial Narrow"/>
                <w:i/>
                <w:sz w:val="20"/>
              </w:rPr>
            </w:pPr>
            <w:r w:rsidRPr="006A7C2B">
              <w:rPr>
                <w:rFonts w:ascii="Arial Narrow" w:hAnsi="Arial Narrow"/>
                <w:i/>
                <w:sz w:val="20"/>
              </w:rPr>
              <w:t>NCT00796653</w:t>
            </w: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widowControl/>
              <w:jc w:val="left"/>
              <w:rPr>
                <w:rFonts w:ascii="Arial Narrow" w:hAnsi="Arial Narrow"/>
                <w:sz w:val="20"/>
              </w:rPr>
            </w:pPr>
          </w:p>
          <w:p w:rsidR="000367E7" w:rsidRDefault="000367E7" w:rsidP="00075D48">
            <w:pPr>
              <w:pStyle w:val="Tabletext"/>
            </w:pPr>
            <w:r>
              <w:t>2 March 2012</w:t>
            </w:r>
          </w:p>
          <w:p w:rsidR="000367E7" w:rsidRDefault="000367E7" w:rsidP="00075D48">
            <w:pPr>
              <w:pStyle w:val="Tabletext"/>
            </w:pPr>
          </w:p>
          <w:p w:rsidR="000367E7" w:rsidRDefault="000367E7" w:rsidP="00075D48">
            <w:pPr>
              <w:pStyle w:val="Tabletext"/>
            </w:pPr>
          </w:p>
          <w:p w:rsidR="000367E7" w:rsidRDefault="000367E7" w:rsidP="00075D48">
            <w:pPr>
              <w:pStyle w:val="Tabletext"/>
            </w:pPr>
          </w:p>
          <w:p w:rsidR="000367E7" w:rsidRDefault="000367E7" w:rsidP="00075D48">
            <w:pPr>
              <w:pStyle w:val="Tabletext"/>
            </w:pPr>
          </w:p>
          <w:p w:rsidR="000367E7" w:rsidRDefault="000367E7" w:rsidP="00075D48">
            <w:pPr>
              <w:pStyle w:val="Tabletext"/>
            </w:pPr>
          </w:p>
          <w:p w:rsidR="000367E7" w:rsidRDefault="000367E7" w:rsidP="00075D48">
            <w:pPr>
              <w:pStyle w:val="Tabletext"/>
            </w:pPr>
          </w:p>
          <w:p w:rsidR="000367E7" w:rsidRDefault="000367E7" w:rsidP="00075D48">
            <w:pPr>
              <w:pStyle w:val="Tabletext"/>
            </w:pPr>
          </w:p>
          <w:p w:rsidR="003222A9" w:rsidRPr="004E2ADC" w:rsidRDefault="000367E7" w:rsidP="00075D48">
            <w:pPr>
              <w:pStyle w:val="Tabletext"/>
            </w:pPr>
            <w:r w:rsidRPr="00BB4542">
              <w:t xml:space="preserve">Int J Chron Obstruct Pulmon Dis </w:t>
            </w:r>
            <w:r w:rsidRPr="0014307D">
              <w:t>2014; 9): 697-714</w:t>
            </w:r>
          </w:p>
        </w:tc>
      </w:tr>
    </w:tbl>
    <w:p w:rsidR="003222A9" w:rsidRPr="00D13A3E" w:rsidRDefault="003222A9" w:rsidP="00075D48">
      <w:pPr>
        <w:pStyle w:val="TableFooter"/>
        <w:widowControl/>
        <w:ind w:left="720"/>
      </w:pPr>
      <w:r w:rsidRPr="00D13A3E">
        <w:t xml:space="preserve">Source: </w:t>
      </w:r>
    </w:p>
    <w:p w:rsidR="00862502" w:rsidRPr="008F120A" w:rsidRDefault="00862502" w:rsidP="00075D48">
      <w:pPr>
        <w:widowControl/>
        <w:rPr>
          <w:szCs w:val="22"/>
        </w:rPr>
      </w:pPr>
    </w:p>
    <w:p w:rsidR="00375549" w:rsidRDefault="008F120A" w:rsidP="00075D48">
      <w:pPr>
        <w:pStyle w:val="ListParagraph"/>
        <w:widowControl/>
        <w:numPr>
          <w:ilvl w:val="1"/>
          <w:numId w:val="4"/>
        </w:numPr>
        <w:rPr>
          <w:szCs w:val="22"/>
        </w:rPr>
      </w:pPr>
      <w:r w:rsidRPr="00B50DB8">
        <w:rPr>
          <w:szCs w:val="22"/>
        </w:rPr>
        <w:t xml:space="preserve">The </w:t>
      </w:r>
      <w:r w:rsidR="00847E1F">
        <w:rPr>
          <w:szCs w:val="22"/>
        </w:rPr>
        <w:t xml:space="preserve">clinical evidence presented in the submission is presented </w:t>
      </w:r>
      <w:r w:rsidR="00273729">
        <w:rPr>
          <w:szCs w:val="22"/>
        </w:rPr>
        <w:t xml:space="preserve">diagrammatically </w:t>
      </w:r>
      <w:r w:rsidR="00847E1F">
        <w:rPr>
          <w:szCs w:val="22"/>
        </w:rPr>
        <w:t>in Figure 1.</w:t>
      </w:r>
    </w:p>
    <w:p w:rsidR="00A87F14" w:rsidRDefault="00A87F14" w:rsidP="00075D48">
      <w:pPr>
        <w:pStyle w:val="ListParagraph"/>
        <w:widowControl/>
        <w:rPr>
          <w:szCs w:val="22"/>
        </w:rPr>
      </w:pPr>
    </w:p>
    <w:p w:rsidR="00774B79" w:rsidRDefault="00774B79" w:rsidP="00075D48">
      <w:pPr>
        <w:widowControl/>
        <w:jc w:val="left"/>
        <w:rPr>
          <w:rStyle w:val="CommentReference"/>
        </w:rPr>
      </w:pPr>
    </w:p>
    <w:p w:rsidR="00375549" w:rsidRDefault="00375549" w:rsidP="00075D48">
      <w:pPr>
        <w:keepNext/>
        <w:widowControl/>
        <w:ind w:left="720"/>
        <w:rPr>
          <w:rStyle w:val="CommentReference"/>
        </w:rPr>
      </w:pPr>
      <w:r w:rsidRPr="0053165C">
        <w:rPr>
          <w:rStyle w:val="CommentReference"/>
        </w:rPr>
        <w:t>Figure</w:t>
      </w:r>
      <w:r>
        <w:rPr>
          <w:rStyle w:val="CommentReference"/>
        </w:rPr>
        <w:t xml:space="preserve"> </w:t>
      </w:r>
      <w:r w:rsidRPr="0053165C">
        <w:rPr>
          <w:rStyle w:val="CommentReference"/>
        </w:rPr>
        <w:t>1: Clinical evidence presented in the submission</w:t>
      </w:r>
    </w:p>
    <w:p w:rsidR="00375549" w:rsidRDefault="007A5C72" w:rsidP="00075D48">
      <w:pPr>
        <w:keepNext/>
        <w:widowControl/>
        <w:ind w:left="720"/>
      </w:pPr>
      <w:r>
        <w:rPr>
          <w:noProof/>
          <w:snapToGrid/>
          <w:lang w:eastAsia="en-AU"/>
        </w:rPr>
        <w:drawing>
          <wp:inline distT="0" distB="0" distL="0" distR="0" wp14:anchorId="71DB3B69" wp14:editId="028329B4">
            <wp:extent cx="4050614" cy="3074537"/>
            <wp:effectExtent l="0" t="0" r="7620" b="0"/>
            <wp:docPr id="2" name="Picture 2"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evidence 0204.png"/>
                    <pic:cNvPicPr/>
                  </pic:nvPicPr>
                  <pic:blipFill>
                    <a:blip r:embed="rId9">
                      <a:extLst>
                        <a:ext uri="{28A0092B-C50C-407E-A947-70E740481C1C}">
                          <a14:useLocalDpi xmlns:a14="http://schemas.microsoft.com/office/drawing/2010/main" val="0"/>
                        </a:ext>
                      </a:extLst>
                    </a:blip>
                    <a:stretch>
                      <a:fillRect/>
                    </a:stretch>
                  </pic:blipFill>
                  <pic:spPr>
                    <a:xfrm>
                      <a:off x="0" y="0"/>
                      <a:ext cx="4051566" cy="3075259"/>
                    </a:xfrm>
                    <a:prstGeom prst="rect">
                      <a:avLst/>
                    </a:prstGeom>
                  </pic:spPr>
                </pic:pic>
              </a:graphicData>
            </a:graphic>
          </wp:inline>
        </w:drawing>
      </w:r>
    </w:p>
    <w:p w:rsidR="00375549" w:rsidRPr="00E360C6" w:rsidRDefault="00375549" w:rsidP="00075D48">
      <w:pPr>
        <w:pStyle w:val="TableFooter"/>
        <w:widowControl/>
        <w:ind w:left="720"/>
        <w:rPr>
          <w:rStyle w:val="CommentReference"/>
          <w:b w:val="0"/>
          <w:sz w:val="18"/>
          <w:szCs w:val="20"/>
        </w:rPr>
      </w:pPr>
      <w:r w:rsidRPr="00E360C6">
        <w:rPr>
          <w:rStyle w:val="CommentReference"/>
          <w:b w:val="0"/>
          <w:sz w:val="18"/>
          <w:szCs w:val="20"/>
        </w:rPr>
        <w:t>Source: Constructed during evaluation</w:t>
      </w:r>
    </w:p>
    <w:p w:rsidR="00375549" w:rsidRPr="0053165C" w:rsidRDefault="00375549" w:rsidP="00075D48">
      <w:pPr>
        <w:pStyle w:val="TableFooter"/>
        <w:widowControl/>
        <w:ind w:left="720"/>
        <w:rPr>
          <w:rStyle w:val="CommentReference"/>
          <w:b w:val="0"/>
          <w:sz w:val="18"/>
          <w:szCs w:val="20"/>
        </w:rPr>
      </w:pPr>
      <w:r>
        <w:rPr>
          <w:rStyle w:val="CommentReference"/>
          <w:b w:val="0"/>
          <w:sz w:val="18"/>
          <w:szCs w:val="20"/>
        </w:rPr>
        <w:t>Tio = tiotropium; Olo = olodaterol; Gly = glycopyrronium; Ind = indacaterol; Umec = umeclidinium; VI = vilanterol; PBS</w:t>
      </w:r>
      <w:r w:rsidR="00380558">
        <w:rPr>
          <w:rStyle w:val="CommentReference"/>
          <w:b w:val="0"/>
          <w:sz w:val="18"/>
          <w:szCs w:val="20"/>
        </w:rPr>
        <w:t> </w:t>
      </w:r>
      <w:r>
        <w:rPr>
          <w:rStyle w:val="CommentReference"/>
          <w:b w:val="0"/>
          <w:sz w:val="18"/>
          <w:szCs w:val="20"/>
        </w:rPr>
        <w:t>=</w:t>
      </w:r>
      <w:r w:rsidR="00380558">
        <w:rPr>
          <w:rStyle w:val="CommentReference"/>
          <w:b w:val="0"/>
          <w:sz w:val="18"/>
          <w:szCs w:val="20"/>
        </w:rPr>
        <w:t> </w:t>
      </w:r>
      <w:r>
        <w:rPr>
          <w:rStyle w:val="CommentReference"/>
          <w:b w:val="0"/>
          <w:sz w:val="18"/>
          <w:szCs w:val="20"/>
        </w:rPr>
        <w:t>Pharmaceutical Benefits Scheme</w:t>
      </w:r>
      <w:r w:rsidR="00F548A3">
        <w:rPr>
          <w:rStyle w:val="CommentReference"/>
          <w:b w:val="0"/>
          <w:sz w:val="18"/>
          <w:szCs w:val="20"/>
        </w:rPr>
        <w:t>; wks = weeks</w:t>
      </w:r>
    </w:p>
    <w:p w:rsidR="00B86CAA" w:rsidRDefault="00B86CAA" w:rsidP="00075D48">
      <w:pPr>
        <w:pStyle w:val="TableFooter"/>
        <w:widowControl/>
        <w:ind w:left="720"/>
        <w:rPr>
          <w:rStyle w:val="CommentReference"/>
          <w:b w:val="0"/>
          <w:sz w:val="18"/>
          <w:szCs w:val="20"/>
        </w:rPr>
      </w:pPr>
      <w:r>
        <w:rPr>
          <w:rStyle w:val="CommentReference"/>
          <w:b w:val="0"/>
          <w:sz w:val="18"/>
          <w:szCs w:val="20"/>
        </w:rPr>
        <w:t xml:space="preserve">The ARISE trial was presented in brackets as the submission considered this trial as supplementary. All analyses were performed with and without the inclusion of this trial. </w:t>
      </w:r>
    </w:p>
    <w:p w:rsidR="001D5070" w:rsidRDefault="001D5070" w:rsidP="00075D48">
      <w:pPr>
        <w:pStyle w:val="TableFooter"/>
        <w:widowControl/>
        <w:ind w:left="720"/>
        <w:rPr>
          <w:rStyle w:val="CommentReference"/>
          <w:b w:val="0"/>
          <w:sz w:val="18"/>
          <w:szCs w:val="20"/>
        </w:rPr>
      </w:pPr>
      <w:r>
        <w:rPr>
          <w:rStyle w:val="CommentReference"/>
          <w:b w:val="0"/>
          <w:sz w:val="18"/>
          <w:szCs w:val="20"/>
        </w:rPr>
        <w:t>Dashed line indicates assumed non-inferiority by the submission</w:t>
      </w:r>
    </w:p>
    <w:p w:rsidR="002B6C7F" w:rsidRPr="002B6C7F" w:rsidRDefault="002B6C7F" w:rsidP="00075D48">
      <w:pPr>
        <w:pStyle w:val="ListParagraph"/>
        <w:widowControl/>
        <w:rPr>
          <w:szCs w:val="22"/>
        </w:rPr>
      </w:pPr>
    </w:p>
    <w:p w:rsidR="00847E1F" w:rsidRDefault="00847E1F" w:rsidP="00075D48">
      <w:pPr>
        <w:pStyle w:val="ListParagraph"/>
        <w:widowControl/>
        <w:numPr>
          <w:ilvl w:val="1"/>
          <w:numId w:val="4"/>
        </w:numPr>
        <w:rPr>
          <w:i/>
        </w:rPr>
      </w:pPr>
      <w:r>
        <w:t>Comparisons 1, 2, and 4 wer</w:t>
      </w:r>
      <w:r w:rsidRPr="00330B68">
        <w:t xml:space="preserve">e based on indirect comparisons </w:t>
      </w:r>
      <w:r w:rsidR="00F548A3">
        <w:t>while c</w:t>
      </w:r>
      <w:r>
        <w:t>omparison 3 wa</w:t>
      </w:r>
      <w:r w:rsidRPr="00330B68">
        <w:t xml:space="preserve">s based on a direct comparison. </w:t>
      </w:r>
      <w:r>
        <w:t xml:space="preserve">For the indirect comparisons, tiotropium was used as the common comparator. </w:t>
      </w:r>
      <w:r w:rsidRPr="00847E1F">
        <w:t>The submission acknowledged that the tiotropium form was different in the trials for tiotropium/olodaterol FDC and the trials for comparator 1, 2, and 4 (5 μg vs. 18 μg</w:t>
      </w:r>
      <w:r w:rsidR="00B86CAA">
        <w:t>, respectively</w:t>
      </w:r>
      <w:r w:rsidRPr="00847E1F">
        <w:t xml:space="preserve">). The submission argued that the PBAC considered in July 2009 that tiotropium 5 µg (using Respimat) was non-inferior to tiotropium 18 µg (using Handihaler). This was based on a </w:t>
      </w:r>
      <w:r w:rsidR="00F548A3" w:rsidRPr="00847E1F">
        <w:t>four</w:t>
      </w:r>
      <w:r w:rsidR="00F548A3">
        <w:t>-</w:t>
      </w:r>
      <w:r w:rsidRPr="00847E1F">
        <w:t xml:space="preserve">week crossover trial (Van Noord, 2009), comparing two doses </w:t>
      </w:r>
      <w:r w:rsidRPr="00E360C6">
        <w:t xml:space="preserve">of tiotropium using Respimat with one dose using Handihaler. During </w:t>
      </w:r>
      <w:r w:rsidR="00B86CAA" w:rsidRPr="00E360C6">
        <w:t xml:space="preserve">the </w:t>
      </w:r>
      <w:r w:rsidRPr="00E360C6">
        <w:t>evaluation</w:t>
      </w:r>
      <w:r w:rsidR="00B86CAA" w:rsidRPr="00E360C6">
        <w:t>,</w:t>
      </w:r>
      <w:r w:rsidRPr="00E360C6">
        <w:t xml:space="preserve"> one long-term safety trial (TIOSPIR with a median follow-up of 2.3</w:t>
      </w:r>
      <w:r w:rsidR="002E7075" w:rsidRPr="00E360C6">
        <w:t> </w:t>
      </w:r>
      <w:r w:rsidRPr="00E360C6">
        <w:t xml:space="preserve">years) was identified comparing tiotropium using the Respimat with Handihaler inhaler. This trial found no </w:t>
      </w:r>
      <w:r w:rsidR="00273729" w:rsidRPr="00E360C6">
        <w:t xml:space="preserve">statistically significant </w:t>
      </w:r>
      <w:r w:rsidRPr="00E360C6">
        <w:t xml:space="preserve">differences in long-term safety, </w:t>
      </w:r>
      <w:r w:rsidR="0055677A" w:rsidRPr="00E360C6">
        <w:t xml:space="preserve">such as </w:t>
      </w:r>
      <w:r w:rsidRPr="00E360C6">
        <w:t xml:space="preserve">cardiovascular death, mortality and COPD exacerbations </w:t>
      </w:r>
      <w:r w:rsidR="002E7075" w:rsidRPr="00E360C6">
        <w:t>between the two tiotropium strengths</w:t>
      </w:r>
      <w:r w:rsidR="007B1E65">
        <w:t>.</w:t>
      </w:r>
    </w:p>
    <w:p w:rsidR="00847E1F" w:rsidRPr="00847E1F" w:rsidRDefault="00847E1F" w:rsidP="00075D48">
      <w:pPr>
        <w:pStyle w:val="ListParagraph"/>
        <w:widowControl/>
        <w:rPr>
          <w:i/>
        </w:rPr>
      </w:pPr>
    </w:p>
    <w:p w:rsidR="00847E1F" w:rsidRPr="00847E1F" w:rsidRDefault="00847E1F" w:rsidP="00075D48">
      <w:pPr>
        <w:pStyle w:val="ListParagraph"/>
        <w:widowControl/>
        <w:numPr>
          <w:ilvl w:val="1"/>
          <w:numId w:val="4"/>
        </w:numPr>
        <w:rPr>
          <w:szCs w:val="22"/>
        </w:rPr>
      </w:pPr>
      <w:r w:rsidRPr="00847E1F">
        <w:t xml:space="preserve">The </w:t>
      </w:r>
      <w:r w:rsidR="00AD10AE">
        <w:t xml:space="preserve">following </w:t>
      </w:r>
      <w:r w:rsidRPr="00847E1F">
        <w:t>table presents the key fea</w:t>
      </w:r>
      <w:r w:rsidR="00075D48">
        <w:t>tures of the included evidence.</w:t>
      </w:r>
    </w:p>
    <w:p w:rsidR="007F1017" w:rsidRPr="00E22A0D" w:rsidRDefault="007F1017" w:rsidP="00075D48">
      <w:pPr>
        <w:widowControl/>
      </w:pPr>
    </w:p>
    <w:p w:rsidR="007F1017" w:rsidRDefault="007F1017" w:rsidP="00075D48">
      <w:pPr>
        <w:keepNext/>
        <w:widowControl/>
        <w:ind w:firstLine="720"/>
        <w:rPr>
          <w:rStyle w:val="CommentReference"/>
        </w:rPr>
      </w:pPr>
      <w:r>
        <w:rPr>
          <w:rStyle w:val="CommentReference"/>
        </w:rPr>
        <w:t xml:space="preserve">Table </w:t>
      </w:r>
      <w:r w:rsidR="00847E1F">
        <w:rPr>
          <w:rStyle w:val="CommentReference"/>
        </w:rPr>
        <w:t>2</w:t>
      </w:r>
      <w:r>
        <w:rPr>
          <w:rStyle w:val="CommentReference"/>
        </w:rPr>
        <w:t xml:space="preserve">: </w:t>
      </w:r>
      <w:r w:rsidRPr="00A13948">
        <w:rPr>
          <w:rStyle w:val="CommentReference"/>
        </w:rPr>
        <w:t xml:space="preserve">Key features of the included evidence – </w:t>
      </w:r>
      <w:r w:rsidR="00F548A3">
        <w:rPr>
          <w:rStyle w:val="CommentReference"/>
        </w:rPr>
        <w:t xml:space="preserve">direct and </w:t>
      </w:r>
      <w:r w:rsidRPr="00A13948">
        <w:rPr>
          <w:rStyle w:val="CommentReference"/>
        </w:rPr>
        <w:t>indirect comparison</w:t>
      </w:r>
      <w:r w:rsidR="00F548A3">
        <w:rPr>
          <w:rStyle w:val="CommentReference"/>
        </w:rPr>
        <w:t>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0"/>
        <w:gridCol w:w="876"/>
        <w:gridCol w:w="1681"/>
        <w:gridCol w:w="828"/>
        <w:gridCol w:w="2023"/>
        <w:gridCol w:w="1257"/>
      </w:tblGrid>
      <w:tr w:rsidR="008222A3" w:rsidRPr="00E2771E" w:rsidTr="007B7B6B">
        <w:trPr>
          <w:tblHeader/>
        </w:trPr>
        <w:tc>
          <w:tcPr>
            <w:tcW w:w="1007" w:type="pct"/>
            <w:shd w:val="clear" w:color="auto" w:fill="auto"/>
            <w:vAlign w:val="center"/>
          </w:tcPr>
          <w:p w:rsidR="008222A3" w:rsidRPr="00E2771E" w:rsidRDefault="008222A3" w:rsidP="00075D48">
            <w:pPr>
              <w:keepNext/>
              <w:widowControl/>
              <w:jc w:val="left"/>
              <w:rPr>
                <w:rFonts w:ascii="Arial Narrow" w:hAnsi="Arial Narrow"/>
                <w:b/>
                <w:sz w:val="20"/>
                <w:szCs w:val="16"/>
                <w:lang w:val="en-US"/>
              </w:rPr>
            </w:pPr>
            <w:r w:rsidRPr="00E2771E">
              <w:rPr>
                <w:rFonts w:ascii="Arial Narrow" w:hAnsi="Arial Narrow"/>
                <w:b/>
                <w:sz w:val="20"/>
                <w:szCs w:val="16"/>
                <w:lang w:val="en-US"/>
              </w:rPr>
              <w:t>Trial</w:t>
            </w:r>
          </w:p>
        </w:tc>
        <w:tc>
          <w:tcPr>
            <w:tcW w:w="525" w:type="pct"/>
            <w:shd w:val="clear" w:color="auto" w:fill="auto"/>
            <w:vAlign w:val="center"/>
          </w:tcPr>
          <w:p w:rsidR="008222A3" w:rsidRPr="00E2771E" w:rsidRDefault="002B6C7F" w:rsidP="00075D48">
            <w:pPr>
              <w:keepNext/>
              <w:widowControl/>
              <w:jc w:val="center"/>
              <w:rPr>
                <w:rFonts w:ascii="Arial Narrow" w:hAnsi="Arial Narrow"/>
                <w:b/>
                <w:sz w:val="20"/>
                <w:szCs w:val="16"/>
                <w:lang w:val="en-US"/>
              </w:rPr>
            </w:pPr>
            <w:r w:rsidRPr="00E2771E">
              <w:rPr>
                <w:rFonts w:ascii="Arial Narrow" w:hAnsi="Arial Narrow"/>
                <w:b/>
                <w:sz w:val="20"/>
                <w:szCs w:val="16"/>
                <w:lang w:val="en-US"/>
              </w:rPr>
              <w:t>N</w:t>
            </w:r>
            <w:r>
              <w:rPr>
                <w:rFonts w:ascii="Arial Narrow" w:hAnsi="Arial Narrow"/>
                <w:b/>
                <w:sz w:val="20"/>
                <w:szCs w:val="16"/>
                <w:lang w:val="en-US"/>
              </w:rPr>
              <w:t xml:space="preserve"> </w:t>
            </w:r>
            <w:r w:rsidRPr="00502829">
              <w:rPr>
                <w:rFonts w:ascii="Arial Narrow" w:hAnsi="Arial Narrow"/>
                <w:b/>
                <w:sz w:val="20"/>
                <w:szCs w:val="16"/>
                <w:vertAlign w:val="superscript"/>
                <w:lang w:val="en-US"/>
              </w:rPr>
              <w:t>a</w:t>
            </w:r>
          </w:p>
        </w:tc>
        <w:tc>
          <w:tcPr>
            <w:tcW w:w="1007" w:type="pct"/>
            <w:shd w:val="clear" w:color="auto" w:fill="auto"/>
            <w:vAlign w:val="center"/>
          </w:tcPr>
          <w:p w:rsidR="008222A3" w:rsidRPr="00E2771E" w:rsidRDefault="008222A3" w:rsidP="00075D48">
            <w:pPr>
              <w:keepNext/>
              <w:widowControl/>
              <w:jc w:val="center"/>
              <w:rPr>
                <w:rFonts w:ascii="Arial Narrow" w:hAnsi="Arial Narrow"/>
                <w:b/>
                <w:sz w:val="20"/>
                <w:szCs w:val="16"/>
                <w:lang w:val="en-US"/>
              </w:rPr>
            </w:pPr>
            <w:r w:rsidRPr="00E2771E">
              <w:rPr>
                <w:rFonts w:ascii="Arial Narrow" w:hAnsi="Arial Narrow"/>
                <w:b/>
                <w:sz w:val="20"/>
                <w:szCs w:val="16"/>
                <w:lang w:val="en-US"/>
              </w:rPr>
              <w:t>Design/ duration</w:t>
            </w:r>
          </w:p>
        </w:tc>
        <w:tc>
          <w:tcPr>
            <w:tcW w:w="496" w:type="pct"/>
            <w:shd w:val="clear" w:color="auto" w:fill="auto"/>
            <w:vAlign w:val="center"/>
          </w:tcPr>
          <w:p w:rsidR="008222A3" w:rsidRPr="00E2771E" w:rsidRDefault="008222A3" w:rsidP="00075D48">
            <w:pPr>
              <w:keepNext/>
              <w:widowControl/>
              <w:jc w:val="center"/>
              <w:rPr>
                <w:rFonts w:ascii="Arial Narrow" w:hAnsi="Arial Narrow"/>
                <w:b/>
                <w:sz w:val="20"/>
                <w:szCs w:val="16"/>
                <w:lang w:val="en-US"/>
              </w:rPr>
            </w:pPr>
            <w:r w:rsidRPr="00E2771E">
              <w:rPr>
                <w:rFonts w:ascii="Arial Narrow" w:hAnsi="Arial Narrow"/>
                <w:b/>
                <w:sz w:val="20"/>
                <w:szCs w:val="16"/>
                <w:lang w:val="en-US"/>
              </w:rPr>
              <w:t>Risk of bias</w:t>
            </w:r>
          </w:p>
        </w:tc>
        <w:tc>
          <w:tcPr>
            <w:tcW w:w="1212" w:type="pct"/>
            <w:shd w:val="clear" w:color="auto" w:fill="auto"/>
            <w:vAlign w:val="center"/>
          </w:tcPr>
          <w:p w:rsidR="008222A3" w:rsidRPr="00E2771E" w:rsidRDefault="008222A3" w:rsidP="00075D48">
            <w:pPr>
              <w:keepNext/>
              <w:widowControl/>
              <w:jc w:val="center"/>
              <w:rPr>
                <w:rFonts w:ascii="Arial Narrow" w:hAnsi="Arial Narrow"/>
                <w:b/>
                <w:sz w:val="20"/>
                <w:szCs w:val="16"/>
                <w:lang w:val="en-US"/>
              </w:rPr>
            </w:pPr>
            <w:r w:rsidRPr="00E2771E">
              <w:rPr>
                <w:rFonts w:ascii="Arial Narrow" w:hAnsi="Arial Narrow"/>
                <w:b/>
                <w:sz w:val="20"/>
                <w:szCs w:val="16"/>
                <w:lang w:val="en-US"/>
              </w:rPr>
              <w:t>Patient population</w:t>
            </w:r>
          </w:p>
        </w:tc>
        <w:tc>
          <w:tcPr>
            <w:tcW w:w="753" w:type="pct"/>
            <w:shd w:val="clear" w:color="auto" w:fill="auto"/>
            <w:vAlign w:val="center"/>
          </w:tcPr>
          <w:p w:rsidR="008222A3" w:rsidRPr="00E2771E" w:rsidRDefault="004F7C1E" w:rsidP="00075D48">
            <w:pPr>
              <w:keepNext/>
              <w:widowControl/>
              <w:jc w:val="center"/>
              <w:rPr>
                <w:rFonts w:ascii="Arial Narrow" w:hAnsi="Arial Narrow"/>
                <w:b/>
                <w:sz w:val="20"/>
                <w:szCs w:val="16"/>
                <w:lang w:val="en-US"/>
              </w:rPr>
            </w:pPr>
            <w:r>
              <w:rPr>
                <w:rFonts w:ascii="Arial Narrow" w:hAnsi="Arial Narrow"/>
                <w:b/>
                <w:sz w:val="20"/>
                <w:szCs w:val="16"/>
                <w:lang w:val="en-US"/>
              </w:rPr>
              <w:t>Key o</w:t>
            </w:r>
            <w:r w:rsidR="008222A3" w:rsidRPr="00E2771E">
              <w:rPr>
                <w:rFonts w:ascii="Arial Narrow" w:hAnsi="Arial Narrow"/>
                <w:b/>
                <w:sz w:val="20"/>
                <w:szCs w:val="16"/>
                <w:lang w:val="en-US"/>
              </w:rPr>
              <w:t>utcomes</w:t>
            </w:r>
          </w:p>
        </w:tc>
      </w:tr>
      <w:tr w:rsidR="007F1017" w:rsidRPr="006F6145" w:rsidTr="00E22A0D">
        <w:tc>
          <w:tcPr>
            <w:tcW w:w="5000" w:type="pct"/>
            <w:gridSpan w:val="6"/>
            <w:shd w:val="clear" w:color="auto" w:fill="auto"/>
            <w:vAlign w:val="center"/>
          </w:tcPr>
          <w:p w:rsidR="007F1017" w:rsidRPr="006F6145" w:rsidRDefault="00F548A3" w:rsidP="00075D48">
            <w:pPr>
              <w:keepNext/>
              <w:widowControl/>
              <w:jc w:val="left"/>
              <w:rPr>
                <w:rFonts w:ascii="Arial Narrow" w:hAnsi="Arial Narrow"/>
                <w:b/>
                <w:sz w:val="20"/>
                <w:szCs w:val="16"/>
                <w:lang w:val="sv-SE"/>
              </w:rPr>
            </w:pPr>
            <w:r w:rsidRPr="006F6145">
              <w:rPr>
                <w:rFonts w:ascii="Arial Narrow" w:hAnsi="Arial Narrow"/>
                <w:b/>
                <w:sz w:val="20"/>
                <w:szCs w:val="16"/>
                <w:lang w:val="sv-SE"/>
              </w:rPr>
              <w:t xml:space="preserve">Comparator 1: </w:t>
            </w:r>
            <w:r w:rsidR="006A64BC" w:rsidRPr="006F6145">
              <w:rPr>
                <w:rFonts w:ascii="Arial Narrow" w:hAnsi="Arial Narrow"/>
                <w:b/>
                <w:sz w:val="20"/>
                <w:szCs w:val="16"/>
                <w:lang w:val="sv-SE"/>
              </w:rPr>
              <w:t>Glycopyrronium/indacaterol FDC vs. tiotropium 18 µg</w:t>
            </w:r>
          </w:p>
        </w:tc>
      </w:tr>
      <w:tr w:rsidR="002B6C7F" w:rsidRPr="00E2771E" w:rsidTr="007B7B6B">
        <w:trPr>
          <w:trHeight w:val="233"/>
        </w:trPr>
        <w:tc>
          <w:tcPr>
            <w:tcW w:w="1007" w:type="pct"/>
            <w:shd w:val="clear" w:color="auto" w:fill="auto"/>
            <w:vAlign w:val="center"/>
          </w:tcPr>
          <w:p w:rsidR="002B6C7F" w:rsidRPr="00E2771E" w:rsidRDefault="002B6C7F" w:rsidP="00075D48">
            <w:pPr>
              <w:keepNext/>
              <w:widowControl/>
              <w:jc w:val="left"/>
              <w:rPr>
                <w:rFonts w:ascii="Arial Narrow" w:hAnsi="Arial Narrow"/>
                <w:sz w:val="20"/>
                <w:szCs w:val="16"/>
                <w:lang w:val="en-US"/>
              </w:rPr>
            </w:pPr>
            <w:r>
              <w:rPr>
                <w:rFonts w:ascii="Arial Narrow" w:hAnsi="Arial Narrow"/>
                <w:sz w:val="20"/>
                <w:szCs w:val="16"/>
                <w:lang w:val="en-US"/>
              </w:rPr>
              <w:t>SHINE</w:t>
            </w:r>
          </w:p>
        </w:tc>
        <w:tc>
          <w:tcPr>
            <w:tcW w:w="525" w:type="pct"/>
            <w:shd w:val="clear" w:color="auto" w:fill="auto"/>
          </w:tcPr>
          <w:p w:rsidR="002B6C7F" w:rsidRPr="002E6EDF" w:rsidRDefault="00625B31" w:rsidP="00075D48">
            <w:pPr>
              <w:pStyle w:val="Tabletext"/>
              <w:keepNext/>
              <w:jc w:val="center"/>
            </w:pPr>
            <w:r>
              <w:t>958</w:t>
            </w:r>
            <w:r>
              <w:rPr>
                <w:vertAlign w:val="superscript"/>
              </w:rPr>
              <w:t>b</w:t>
            </w:r>
          </w:p>
        </w:tc>
        <w:tc>
          <w:tcPr>
            <w:tcW w:w="1007"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R, OL 26 wks</w:t>
            </w:r>
          </w:p>
        </w:tc>
        <w:tc>
          <w:tcPr>
            <w:tcW w:w="496"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Unclear</w:t>
            </w:r>
          </w:p>
        </w:tc>
        <w:tc>
          <w:tcPr>
            <w:tcW w:w="1212"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Moderate to severe COPD, FEV</w:t>
            </w:r>
            <w:r w:rsidRPr="006A64BC">
              <w:rPr>
                <w:rFonts w:ascii="Arial Narrow" w:hAnsi="Arial Narrow"/>
                <w:sz w:val="20"/>
                <w:szCs w:val="16"/>
                <w:vertAlign w:val="subscript"/>
                <w:lang w:val="en-US"/>
              </w:rPr>
              <w:t>1</w:t>
            </w:r>
            <w:r>
              <w:rPr>
                <w:rFonts w:ascii="Arial Narrow" w:hAnsi="Arial Narrow"/>
                <w:sz w:val="20"/>
                <w:szCs w:val="16"/>
                <w:lang w:val="en-US"/>
              </w:rPr>
              <w:t>&lt;80%, ≥30%</w:t>
            </w:r>
          </w:p>
        </w:tc>
        <w:tc>
          <w:tcPr>
            <w:tcW w:w="753"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Trough FEV</w:t>
            </w:r>
            <w:r w:rsidRPr="006A64BC">
              <w:rPr>
                <w:rFonts w:ascii="Arial Narrow" w:hAnsi="Arial Narrow"/>
                <w:sz w:val="20"/>
                <w:szCs w:val="16"/>
                <w:vertAlign w:val="subscript"/>
                <w:lang w:val="en-US"/>
              </w:rPr>
              <w:t>1</w:t>
            </w:r>
            <w:r>
              <w:rPr>
                <w:rFonts w:ascii="Arial Narrow" w:hAnsi="Arial Narrow"/>
                <w:sz w:val="20"/>
                <w:szCs w:val="16"/>
                <w:lang w:val="en-US"/>
              </w:rPr>
              <w:t xml:space="preserve"> </w:t>
            </w:r>
          </w:p>
        </w:tc>
      </w:tr>
      <w:tr w:rsidR="002B6C7F" w:rsidRPr="00E2771E" w:rsidTr="007B7B6B">
        <w:tc>
          <w:tcPr>
            <w:tcW w:w="1007" w:type="pct"/>
            <w:shd w:val="clear" w:color="auto" w:fill="auto"/>
            <w:vAlign w:val="center"/>
          </w:tcPr>
          <w:p w:rsidR="002B6C7F" w:rsidRPr="00E2771E" w:rsidRDefault="002B6C7F" w:rsidP="00075D48">
            <w:pPr>
              <w:keepNext/>
              <w:widowControl/>
              <w:jc w:val="left"/>
              <w:rPr>
                <w:rFonts w:ascii="Arial Narrow" w:hAnsi="Arial Narrow"/>
                <w:sz w:val="20"/>
                <w:szCs w:val="16"/>
                <w:lang w:val="en-US"/>
              </w:rPr>
            </w:pPr>
            <w:r>
              <w:rPr>
                <w:rFonts w:ascii="Arial Narrow" w:hAnsi="Arial Narrow"/>
                <w:sz w:val="20"/>
                <w:szCs w:val="16"/>
                <w:lang w:val="en-US"/>
              </w:rPr>
              <w:t>SPARK</w:t>
            </w:r>
          </w:p>
        </w:tc>
        <w:tc>
          <w:tcPr>
            <w:tcW w:w="525" w:type="pct"/>
            <w:shd w:val="clear" w:color="auto" w:fill="auto"/>
          </w:tcPr>
          <w:p w:rsidR="002B6C7F" w:rsidRDefault="002B6C7F" w:rsidP="00075D48">
            <w:pPr>
              <w:pStyle w:val="Tabletext"/>
              <w:keepNext/>
              <w:jc w:val="center"/>
            </w:pPr>
            <w:r>
              <w:t>1,</w:t>
            </w:r>
            <w:r w:rsidR="00625B31">
              <w:t>483</w:t>
            </w:r>
            <w:r w:rsidR="00625B31">
              <w:rPr>
                <w:vertAlign w:val="superscript"/>
              </w:rPr>
              <w:t>c</w:t>
            </w:r>
          </w:p>
        </w:tc>
        <w:tc>
          <w:tcPr>
            <w:tcW w:w="1007"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R, OL 64 wks</w:t>
            </w:r>
          </w:p>
        </w:tc>
        <w:tc>
          <w:tcPr>
            <w:tcW w:w="496"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Unclear</w:t>
            </w:r>
          </w:p>
        </w:tc>
        <w:tc>
          <w:tcPr>
            <w:tcW w:w="1212" w:type="pct"/>
            <w:shd w:val="clear" w:color="auto" w:fill="auto"/>
            <w:vAlign w:val="center"/>
          </w:tcPr>
          <w:p w:rsidR="002B6C7F" w:rsidRPr="00E2771E" w:rsidRDefault="00C63FB9" w:rsidP="00075D48">
            <w:pPr>
              <w:keepNext/>
              <w:widowControl/>
              <w:jc w:val="center"/>
              <w:rPr>
                <w:rFonts w:ascii="Arial Narrow" w:hAnsi="Arial Narrow"/>
                <w:sz w:val="20"/>
                <w:szCs w:val="16"/>
                <w:lang w:val="en-US"/>
              </w:rPr>
            </w:pPr>
            <w:r>
              <w:rPr>
                <w:rFonts w:ascii="Arial Narrow" w:hAnsi="Arial Narrow"/>
                <w:sz w:val="20"/>
                <w:szCs w:val="16"/>
                <w:lang w:val="en-US"/>
              </w:rPr>
              <w:t>S</w:t>
            </w:r>
            <w:r w:rsidR="002B6C7F">
              <w:rPr>
                <w:rFonts w:ascii="Arial Narrow" w:hAnsi="Arial Narrow"/>
                <w:sz w:val="20"/>
                <w:szCs w:val="16"/>
                <w:lang w:val="en-US"/>
              </w:rPr>
              <w:t>evere to very severe COPD , FEV</w:t>
            </w:r>
            <w:r w:rsidR="002B6C7F" w:rsidRPr="006A64BC">
              <w:rPr>
                <w:rFonts w:ascii="Arial Narrow" w:hAnsi="Arial Narrow"/>
                <w:sz w:val="20"/>
                <w:szCs w:val="16"/>
                <w:vertAlign w:val="subscript"/>
                <w:lang w:val="en-US"/>
              </w:rPr>
              <w:t>1</w:t>
            </w:r>
            <w:r w:rsidR="002B6C7F">
              <w:rPr>
                <w:rFonts w:ascii="Arial Narrow" w:hAnsi="Arial Narrow"/>
                <w:sz w:val="20"/>
                <w:szCs w:val="16"/>
                <w:lang w:val="en-US"/>
              </w:rPr>
              <w:t>&lt;50%, ≥30%</w:t>
            </w:r>
          </w:p>
        </w:tc>
        <w:tc>
          <w:tcPr>
            <w:tcW w:w="753"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Trough FEV</w:t>
            </w:r>
            <w:r w:rsidRPr="006A64BC">
              <w:rPr>
                <w:rFonts w:ascii="Arial Narrow" w:hAnsi="Arial Narrow"/>
                <w:sz w:val="20"/>
                <w:szCs w:val="16"/>
                <w:vertAlign w:val="subscript"/>
                <w:lang w:val="en-US"/>
              </w:rPr>
              <w:t>1</w:t>
            </w:r>
            <w:r>
              <w:rPr>
                <w:rFonts w:ascii="Arial Narrow" w:hAnsi="Arial Narrow"/>
                <w:sz w:val="20"/>
                <w:szCs w:val="16"/>
                <w:lang w:val="en-US"/>
              </w:rPr>
              <w:t xml:space="preserve"> exacerbations</w:t>
            </w:r>
          </w:p>
        </w:tc>
      </w:tr>
      <w:tr w:rsidR="002B6C7F" w:rsidRPr="00E2771E" w:rsidTr="007B7B6B">
        <w:tc>
          <w:tcPr>
            <w:tcW w:w="1007" w:type="pct"/>
            <w:shd w:val="clear" w:color="auto" w:fill="auto"/>
            <w:vAlign w:val="center"/>
          </w:tcPr>
          <w:p w:rsidR="002B6C7F" w:rsidRPr="00E2771E" w:rsidRDefault="002B6C7F" w:rsidP="00075D48">
            <w:pPr>
              <w:keepNext/>
              <w:widowControl/>
              <w:jc w:val="left"/>
              <w:rPr>
                <w:rFonts w:ascii="Arial Narrow" w:hAnsi="Arial Narrow"/>
                <w:sz w:val="20"/>
                <w:szCs w:val="16"/>
                <w:lang w:val="en-US"/>
              </w:rPr>
            </w:pPr>
            <w:r>
              <w:rPr>
                <w:rFonts w:ascii="Arial Narrow" w:hAnsi="Arial Narrow"/>
                <w:sz w:val="20"/>
                <w:szCs w:val="16"/>
                <w:lang w:val="en-US"/>
              </w:rPr>
              <w:t>ARISE</w:t>
            </w:r>
          </w:p>
        </w:tc>
        <w:tc>
          <w:tcPr>
            <w:tcW w:w="525" w:type="pct"/>
            <w:shd w:val="clear" w:color="auto" w:fill="auto"/>
            <w:vAlign w:val="center"/>
          </w:tcPr>
          <w:p w:rsidR="002B6C7F" w:rsidRPr="00E2771E" w:rsidRDefault="00625B31" w:rsidP="00075D48">
            <w:pPr>
              <w:keepNext/>
              <w:widowControl/>
              <w:jc w:val="center"/>
              <w:rPr>
                <w:rFonts w:ascii="Arial Narrow" w:hAnsi="Arial Narrow"/>
                <w:sz w:val="20"/>
                <w:szCs w:val="16"/>
                <w:lang w:val="en-US"/>
              </w:rPr>
            </w:pPr>
            <w:r>
              <w:rPr>
                <w:rFonts w:ascii="Arial Narrow" w:hAnsi="Arial Narrow"/>
                <w:sz w:val="20"/>
                <w:szCs w:val="16"/>
                <w:lang w:val="en-US"/>
              </w:rPr>
              <w:t>160</w:t>
            </w:r>
            <w:r>
              <w:rPr>
                <w:rFonts w:ascii="Arial Narrow" w:hAnsi="Arial Narrow"/>
                <w:sz w:val="20"/>
                <w:szCs w:val="16"/>
                <w:vertAlign w:val="superscript"/>
                <w:lang w:val="en-US"/>
              </w:rPr>
              <w:t>d</w:t>
            </w:r>
          </w:p>
        </w:tc>
        <w:tc>
          <w:tcPr>
            <w:tcW w:w="1007"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R, OL, 52 wks</w:t>
            </w:r>
          </w:p>
        </w:tc>
        <w:tc>
          <w:tcPr>
            <w:tcW w:w="496"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Unclear</w:t>
            </w:r>
          </w:p>
        </w:tc>
        <w:tc>
          <w:tcPr>
            <w:tcW w:w="1212"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Moderate to severe COPD, FEV</w:t>
            </w:r>
            <w:r w:rsidRPr="006A64BC">
              <w:rPr>
                <w:rFonts w:ascii="Arial Narrow" w:hAnsi="Arial Narrow"/>
                <w:sz w:val="20"/>
                <w:szCs w:val="16"/>
                <w:vertAlign w:val="subscript"/>
                <w:lang w:val="en-US"/>
              </w:rPr>
              <w:t>1</w:t>
            </w:r>
            <w:r>
              <w:rPr>
                <w:rFonts w:ascii="Arial Narrow" w:hAnsi="Arial Narrow"/>
                <w:sz w:val="20"/>
                <w:szCs w:val="16"/>
                <w:lang w:val="en-US"/>
              </w:rPr>
              <w:t>&lt;80%,</w:t>
            </w:r>
          </w:p>
        </w:tc>
        <w:tc>
          <w:tcPr>
            <w:tcW w:w="753"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Trough FEV</w:t>
            </w:r>
            <w:r w:rsidRPr="006A64BC">
              <w:rPr>
                <w:rFonts w:ascii="Arial Narrow" w:hAnsi="Arial Narrow"/>
                <w:sz w:val="20"/>
                <w:szCs w:val="16"/>
                <w:vertAlign w:val="subscript"/>
                <w:lang w:val="en-US"/>
              </w:rPr>
              <w:t>1</w:t>
            </w:r>
            <w:r>
              <w:rPr>
                <w:rFonts w:ascii="Arial Narrow" w:hAnsi="Arial Narrow"/>
                <w:sz w:val="20"/>
                <w:szCs w:val="16"/>
                <w:lang w:val="en-US"/>
              </w:rPr>
              <w:t xml:space="preserve"> </w:t>
            </w:r>
          </w:p>
        </w:tc>
      </w:tr>
      <w:tr w:rsidR="006A64BC" w:rsidRPr="00E2771E" w:rsidTr="006A64BC">
        <w:tc>
          <w:tcPr>
            <w:tcW w:w="5000" w:type="pct"/>
            <w:gridSpan w:val="6"/>
            <w:shd w:val="clear" w:color="auto" w:fill="auto"/>
            <w:vAlign w:val="center"/>
          </w:tcPr>
          <w:p w:rsidR="006A64BC" w:rsidRPr="006A64BC" w:rsidRDefault="00F548A3" w:rsidP="00075D48">
            <w:pPr>
              <w:keepNext/>
              <w:widowControl/>
              <w:jc w:val="left"/>
              <w:rPr>
                <w:rFonts w:ascii="Arial Narrow" w:hAnsi="Arial Narrow"/>
                <w:b/>
                <w:sz w:val="20"/>
                <w:szCs w:val="16"/>
                <w:lang w:val="en-US"/>
              </w:rPr>
            </w:pPr>
            <w:r>
              <w:rPr>
                <w:rFonts w:ascii="Arial Narrow" w:hAnsi="Arial Narrow"/>
                <w:b/>
                <w:sz w:val="20"/>
                <w:szCs w:val="16"/>
                <w:lang w:val="en-US"/>
              </w:rPr>
              <w:t xml:space="preserve">Comparator 2: </w:t>
            </w:r>
            <w:r w:rsidR="006A64BC" w:rsidRPr="006A64BC">
              <w:rPr>
                <w:rFonts w:ascii="Arial Narrow" w:hAnsi="Arial Narrow"/>
                <w:b/>
                <w:sz w:val="20"/>
                <w:szCs w:val="16"/>
                <w:lang w:val="en-US"/>
              </w:rPr>
              <w:t>Umeclidinium/vilanterol FDC vs. tiotropium 18 µg</w:t>
            </w:r>
          </w:p>
        </w:tc>
      </w:tr>
      <w:tr w:rsidR="002B6C7F" w:rsidRPr="00E2771E" w:rsidTr="007B7B6B">
        <w:tc>
          <w:tcPr>
            <w:tcW w:w="1007" w:type="pct"/>
            <w:shd w:val="clear" w:color="auto" w:fill="auto"/>
            <w:vAlign w:val="center"/>
          </w:tcPr>
          <w:p w:rsidR="002B6C7F" w:rsidRPr="00E2771E" w:rsidRDefault="002B6C7F" w:rsidP="00075D48">
            <w:pPr>
              <w:keepNext/>
              <w:widowControl/>
              <w:jc w:val="left"/>
              <w:rPr>
                <w:rFonts w:ascii="Arial Narrow" w:hAnsi="Arial Narrow"/>
                <w:sz w:val="20"/>
                <w:szCs w:val="16"/>
                <w:lang w:val="en-US"/>
              </w:rPr>
            </w:pPr>
            <w:r>
              <w:rPr>
                <w:rFonts w:ascii="Arial Narrow" w:hAnsi="Arial Narrow"/>
                <w:sz w:val="20"/>
                <w:szCs w:val="16"/>
                <w:lang w:val="en-US"/>
              </w:rPr>
              <w:t>Decramer 1</w:t>
            </w:r>
          </w:p>
        </w:tc>
        <w:tc>
          <w:tcPr>
            <w:tcW w:w="525" w:type="pct"/>
            <w:shd w:val="clear" w:color="auto" w:fill="auto"/>
            <w:vAlign w:val="center"/>
          </w:tcPr>
          <w:p w:rsidR="002B6C7F" w:rsidRPr="00C30047" w:rsidRDefault="00625B31" w:rsidP="00075D48">
            <w:pPr>
              <w:pStyle w:val="Tabletext"/>
              <w:keepNext/>
              <w:jc w:val="center"/>
            </w:pPr>
            <w:r>
              <w:t>421</w:t>
            </w:r>
            <w:r>
              <w:rPr>
                <w:vertAlign w:val="superscript"/>
              </w:rPr>
              <w:t>e</w:t>
            </w:r>
          </w:p>
        </w:tc>
        <w:tc>
          <w:tcPr>
            <w:tcW w:w="1007"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R, DB, 24 wks</w:t>
            </w:r>
          </w:p>
        </w:tc>
        <w:tc>
          <w:tcPr>
            <w:tcW w:w="496"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Low</w:t>
            </w:r>
          </w:p>
        </w:tc>
        <w:tc>
          <w:tcPr>
            <w:tcW w:w="1212" w:type="pct"/>
            <w:vMerge w:val="restar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Moderate to severe COPD FEV</w:t>
            </w:r>
            <w:r w:rsidRPr="006A64BC">
              <w:rPr>
                <w:rFonts w:ascii="Arial Narrow" w:hAnsi="Arial Narrow"/>
                <w:sz w:val="20"/>
                <w:szCs w:val="16"/>
                <w:vertAlign w:val="subscript"/>
                <w:lang w:val="en-US"/>
              </w:rPr>
              <w:t>1</w:t>
            </w:r>
            <w:r>
              <w:rPr>
                <w:rFonts w:ascii="Arial Narrow" w:hAnsi="Arial Narrow"/>
                <w:sz w:val="20"/>
                <w:szCs w:val="16"/>
                <w:lang w:val="en-US"/>
              </w:rPr>
              <w:t xml:space="preserve">&lt;70% </w:t>
            </w:r>
          </w:p>
        </w:tc>
        <w:tc>
          <w:tcPr>
            <w:tcW w:w="753" w:type="pct"/>
            <w:vMerge w:val="restart"/>
            <w:shd w:val="clear" w:color="auto" w:fill="auto"/>
          </w:tcPr>
          <w:p w:rsidR="002B6C7F" w:rsidRDefault="002B6C7F" w:rsidP="00075D48">
            <w:pPr>
              <w:pStyle w:val="Tabletext"/>
              <w:keepNext/>
              <w:jc w:val="center"/>
            </w:pPr>
            <w:r w:rsidRPr="00D40876">
              <w:t>Trough FEV</w:t>
            </w:r>
            <w:r w:rsidRPr="00D40876">
              <w:rPr>
                <w:vertAlign w:val="subscript"/>
              </w:rPr>
              <w:t>1</w:t>
            </w:r>
          </w:p>
        </w:tc>
      </w:tr>
      <w:tr w:rsidR="002B6C7F" w:rsidRPr="00E2771E" w:rsidTr="007B7B6B">
        <w:tc>
          <w:tcPr>
            <w:tcW w:w="1007" w:type="pct"/>
            <w:shd w:val="clear" w:color="auto" w:fill="auto"/>
            <w:vAlign w:val="center"/>
          </w:tcPr>
          <w:p w:rsidR="002B6C7F" w:rsidRPr="00E2771E" w:rsidRDefault="002B6C7F" w:rsidP="00075D48">
            <w:pPr>
              <w:keepNext/>
              <w:widowControl/>
              <w:jc w:val="left"/>
              <w:rPr>
                <w:rFonts w:ascii="Arial Narrow" w:hAnsi="Arial Narrow"/>
                <w:sz w:val="20"/>
                <w:szCs w:val="16"/>
                <w:lang w:val="en-US"/>
              </w:rPr>
            </w:pPr>
            <w:r>
              <w:rPr>
                <w:rFonts w:ascii="Arial Narrow" w:hAnsi="Arial Narrow"/>
                <w:sz w:val="20"/>
                <w:szCs w:val="16"/>
                <w:lang w:val="en-US"/>
              </w:rPr>
              <w:t>Decramer 2</w:t>
            </w:r>
          </w:p>
        </w:tc>
        <w:tc>
          <w:tcPr>
            <w:tcW w:w="525" w:type="pct"/>
            <w:shd w:val="clear" w:color="auto" w:fill="auto"/>
            <w:vAlign w:val="center"/>
          </w:tcPr>
          <w:p w:rsidR="002B6C7F" w:rsidRPr="00C30047" w:rsidRDefault="00625B31" w:rsidP="00075D48">
            <w:pPr>
              <w:pStyle w:val="Tabletext"/>
              <w:keepNext/>
              <w:jc w:val="center"/>
            </w:pPr>
            <w:r>
              <w:t>433</w:t>
            </w:r>
            <w:r>
              <w:rPr>
                <w:vertAlign w:val="superscript"/>
              </w:rPr>
              <w:t>f</w:t>
            </w:r>
          </w:p>
        </w:tc>
        <w:tc>
          <w:tcPr>
            <w:tcW w:w="1007"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R, DB, 24 wks</w:t>
            </w:r>
          </w:p>
        </w:tc>
        <w:tc>
          <w:tcPr>
            <w:tcW w:w="496" w:type="pct"/>
            <w:shd w:val="clear" w:color="auto" w:fill="auto"/>
            <w:vAlign w:val="center"/>
          </w:tcPr>
          <w:p w:rsidR="002B6C7F" w:rsidRPr="00E2771E" w:rsidRDefault="002B6C7F" w:rsidP="00075D48">
            <w:pPr>
              <w:keepNext/>
              <w:widowControl/>
              <w:jc w:val="center"/>
              <w:rPr>
                <w:rFonts w:ascii="Arial Narrow" w:hAnsi="Arial Narrow"/>
                <w:sz w:val="20"/>
                <w:szCs w:val="16"/>
                <w:lang w:val="en-US"/>
              </w:rPr>
            </w:pPr>
            <w:r>
              <w:rPr>
                <w:rFonts w:ascii="Arial Narrow" w:hAnsi="Arial Narrow"/>
                <w:sz w:val="20"/>
                <w:szCs w:val="16"/>
                <w:lang w:val="en-US"/>
              </w:rPr>
              <w:t>Low</w:t>
            </w:r>
          </w:p>
        </w:tc>
        <w:tc>
          <w:tcPr>
            <w:tcW w:w="1212" w:type="pct"/>
            <w:vMerge/>
            <w:shd w:val="clear" w:color="auto" w:fill="auto"/>
            <w:vAlign w:val="center"/>
          </w:tcPr>
          <w:p w:rsidR="002B6C7F" w:rsidRPr="00E2771E" w:rsidRDefault="002B6C7F" w:rsidP="00075D48">
            <w:pPr>
              <w:keepNext/>
              <w:widowControl/>
              <w:jc w:val="center"/>
              <w:rPr>
                <w:rFonts w:ascii="Arial Narrow" w:hAnsi="Arial Narrow"/>
                <w:sz w:val="20"/>
                <w:szCs w:val="16"/>
                <w:lang w:val="en-US"/>
              </w:rPr>
            </w:pPr>
          </w:p>
        </w:tc>
        <w:tc>
          <w:tcPr>
            <w:tcW w:w="753" w:type="pct"/>
            <w:vMerge/>
            <w:shd w:val="clear" w:color="auto" w:fill="auto"/>
          </w:tcPr>
          <w:p w:rsidR="002B6C7F" w:rsidRDefault="002B6C7F" w:rsidP="00075D48">
            <w:pPr>
              <w:pStyle w:val="Tabletext"/>
              <w:keepNext/>
            </w:pPr>
          </w:p>
        </w:tc>
      </w:tr>
      <w:tr w:rsidR="00F548A3" w:rsidRPr="00E2771E" w:rsidTr="00C767EE">
        <w:tc>
          <w:tcPr>
            <w:tcW w:w="5000" w:type="pct"/>
            <w:gridSpan w:val="6"/>
            <w:shd w:val="clear" w:color="auto" w:fill="auto"/>
            <w:vAlign w:val="center"/>
          </w:tcPr>
          <w:p w:rsidR="00F548A3" w:rsidRPr="00E2771E" w:rsidRDefault="00F548A3" w:rsidP="00075D48">
            <w:pPr>
              <w:keepNext/>
              <w:widowControl/>
              <w:jc w:val="left"/>
              <w:rPr>
                <w:rFonts w:ascii="Arial Narrow" w:hAnsi="Arial Narrow"/>
                <w:b/>
                <w:sz w:val="20"/>
                <w:szCs w:val="16"/>
                <w:lang w:val="en-US"/>
              </w:rPr>
            </w:pPr>
            <w:r>
              <w:rPr>
                <w:rFonts w:ascii="Arial Narrow" w:hAnsi="Arial Narrow"/>
                <w:b/>
                <w:sz w:val="20"/>
                <w:szCs w:val="16"/>
                <w:lang w:val="en-US"/>
              </w:rPr>
              <w:t xml:space="preserve">Comparator 3: Tiotropium/olodaterol FDC vs. tiotropium 5 µg or olodaterol 5 µg </w:t>
            </w:r>
          </w:p>
        </w:tc>
      </w:tr>
      <w:tr w:rsidR="00F548A3" w:rsidRPr="00E2771E" w:rsidTr="00C767EE">
        <w:tc>
          <w:tcPr>
            <w:tcW w:w="1007" w:type="pct"/>
            <w:shd w:val="clear" w:color="auto" w:fill="auto"/>
            <w:vAlign w:val="center"/>
          </w:tcPr>
          <w:p w:rsidR="00F548A3" w:rsidRPr="00E2771E" w:rsidRDefault="00F548A3" w:rsidP="00075D48">
            <w:pPr>
              <w:keepNext/>
              <w:widowControl/>
              <w:jc w:val="left"/>
              <w:rPr>
                <w:rFonts w:ascii="Arial Narrow" w:hAnsi="Arial Narrow"/>
                <w:sz w:val="20"/>
                <w:szCs w:val="16"/>
                <w:lang w:val="en-US"/>
              </w:rPr>
            </w:pPr>
            <w:r>
              <w:rPr>
                <w:rFonts w:ascii="Arial Narrow" w:hAnsi="Arial Narrow"/>
                <w:sz w:val="20"/>
                <w:szCs w:val="16"/>
                <w:lang w:val="en-US"/>
              </w:rPr>
              <w:t>TONADO 1</w:t>
            </w:r>
          </w:p>
        </w:tc>
        <w:tc>
          <w:tcPr>
            <w:tcW w:w="525" w:type="pc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1,577</w:t>
            </w:r>
            <w:r w:rsidR="00625B31">
              <w:rPr>
                <w:rFonts w:ascii="Arial Narrow" w:hAnsi="Arial Narrow"/>
                <w:sz w:val="20"/>
                <w:szCs w:val="16"/>
                <w:vertAlign w:val="superscript"/>
                <w:lang w:val="en-US"/>
              </w:rPr>
              <w:t>g</w:t>
            </w:r>
          </w:p>
        </w:tc>
        <w:tc>
          <w:tcPr>
            <w:tcW w:w="1007" w:type="pc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R, DB, 52 wks</w:t>
            </w:r>
          </w:p>
        </w:tc>
        <w:tc>
          <w:tcPr>
            <w:tcW w:w="496" w:type="pc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Low</w:t>
            </w:r>
          </w:p>
        </w:tc>
        <w:tc>
          <w:tcPr>
            <w:tcW w:w="1212" w:type="pct"/>
            <w:vMerge w:val="restar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Moderate to severe COPD, FEV</w:t>
            </w:r>
            <w:r w:rsidRPr="006A64BC">
              <w:rPr>
                <w:rFonts w:ascii="Arial Narrow" w:hAnsi="Arial Narrow"/>
                <w:sz w:val="20"/>
                <w:szCs w:val="16"/>
                <w:vertAlign w:val="subscript"/>
                <w:lang w:val="en-US"/>
              </w:rPr>
              <w:t>1</w:t>
            </w:r>
            <w:r>
              <w:rPr>
                <w:rFonts w:ascii="Arial Narrow" w:hAnsi="Arial Narrow"/>
                <w:sz w:val="20"/>
                <w:szCs w:val="16"/>
                <w:lang w:val="en-US"/>
              </w:rPr>
              <w:t>&lt;80%,</w:t>
            </w:r>
          </w:p>
        </w:tc>
        <w:tc>
          <w:tcPr>
            <w:tcW w:w="753" w:type="pct"/>
            <w:vMerge w:val="restar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Trough FEV</w:t>
            </w:r>
            <w:r w:rsidRPr="006A64BC">
              <w:rPr>
                <w:rFonts w:ascii="Arial Narrow" w:hAnsi="Arial Narrow"/>
                <w:sz w:val="20"/>
                <w:szCs w:val="16"/>
                <w:vertAlign w:val="subscript"/>
                <w:lang w:val="en-US"/>
              </w:rPr>
              <w:t>1</w:t>
            </w:r>
            <w:r>
              <w:rPr>
                <w:rFonts w:ascii="Arial Narrow" w:hAnsi="Arial Narrow"/>
                <w:sz w:val="20"/>
                <w:szCs w:val="16"/>
                <w:lang w:val="en-US"/>
              </w:rPr>
              <w:t xml:space="preserve"> exacerbations</w:t>
            </w:r>
          </w:p>
        </w:tc>
      </w:tr>
      <w:tr w:rsidR="00F548A3" w:rsidRPr="00E2771E" w:rsidTr="00C767EE">
        <w:tc>
          <w:tcPr>
            <w:tcW w:w="1007" w:type="pct"/>
            <w:shd w:val="clear" w:color="auto" w:fill="auto"/>
            <w:vAlign w:val="center"/>
          </w:tcPr>
          <w:p w:rsidR="00F548A3" w:rsidRPr="00E2771E" w:rsidRDefault="00F548A3" w:rsidP="00075D48">
            <w:pPr>
              <w:keepNext/>
              <w:widowControl/>
              <w:jc w:val="left"/>
              <w:rPr>
                <w:rFonts w:ascii="Arial Narrow" w:hAnsi="Arial Narrow"/>
                <w:sz w:val="20"/>
                <w:szCs w:val="16"/>
                <w:lang w:val="en-US"/>
              </w:rPr>
            </w:pPr>
            <w:r>
              <w:rPr>
                <w:rFonts w:ascii="Arial Narrow" w:hAnsi="Arial Narrow"/>
                <w:sz w:val="20"/>
                <w:szCs w:val="16"/>
                <w:lang w:val="en-US"/>
              </w:rPr>
              <w:t>TONADO 2</w:t>
            </w:r>
          </w:p>
        </w:tc>
        <w:tc>
          <w:tcPr>
            <w:tcW w:w="525" w:type="pc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1,524</w:t>
            </w:r>
            <w:r w:rsidR="00625B31">
              <w:rPr>
                <w:rFonts w:ascii="Arial Narrow" w:hAnsi="Arial Narrow"/>
                <w:sz w:val="20"/>
                <w:szCs w:val="16"/>
                <w:vertAlign w:val="superscript"/>
                <w:lang w:val="en-US"/>
              </w:rPr>
              <w:t>h</w:t>
            </w:r>
          </w:p>
        </w:tc>
        <w:tc>
          <w:tcPr>
            <w:tcW w:w="1007" w:type="pc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R, DB, 52 wks</w:t>
            </w:r>
          </w:p>
        </w:tc>
        <w:tc>
          <w:tcPr>
            <w:tcW w:w="496" w:type="pct"/>
            <w:shd w:val="clear" w:color="auto" w:fill="auto"/>
            <w:vAlign w:val="center"/>
          </w:tcPr>
          <w:p w:rsidR="00F548A3" w:rsidRPr="00E2771E" w:rsidRDefault="00F548A3" w:rsidP="00075D48">
            <w:pPr>
              <w:keepNext/>
              <w:widowControl/>
              <w:jc w:val="center"/>
              <w:rPr>
                <w:rFonts w:ascii="Arial Narrow" w:hAnsi="Arial Narrow"/>
                <w:sz w:val="20"/>
                <w:szCs w:val="16"/>
                <w:lang w:val="en-US"/>
              </w:rPr>
            </w:pPr>
            <w:r>
              <w:rPr>
                <w:rFonts w:ascii="Arial Narrow" w:hAnsi="Arial Narrow"/>
                <w:sz w:val="20"/>
                <w:szCs w:val="16"/>
                <w:lang w:val="en-US"/>
              </w:rPr>
              <w:t>Low</w:t>
            </w:r>
          </w:p>
        </w:tc>
        <w:tc>
          <w:tcPr>
            <w:tcW w:w="1212" w:type="pct"/>
            <w:vMerge/>
            <w:shd w:val="clear" w:color="auto" w:fill="auto"/>
            <w:vAlign w:val="center"/>
          </w:tcPr>
          <w:p w:rsidR="00F548A3" w:rsidRPr="00E2771E" w:rsidRDefault="00F548A3" w:rsidP="00075D48">
            <w:pPr>
              <w:keepNext/>
              <w:widowControl/>
              <w:jc w:val="center"/>
              <w:rPr>
                <w:rFonts w:ascii="Arial Narrow" w:hAnsi="Arial Narrow"/>
                <w:sz w:val="20"/>
                <w:szCs w:val="16"/>
                <w:lang w:val="en-US"/>
              </w:rPr>
            </w:pPr>
          </w:p>
        </w:tc>
        <w:tc>
          <w:tcPr>
            <w:tcW w:w="753" w:type="pct"/>
            <w:vMerge/>
            <w:shd w:val="clear" w:color="auto" w:fill="auto"/>
            <w:vAlign w:val="center"/>
          </w:tcPr>
          <w:p w:rsidR="00F548A3" w:rsidRPr="00E2771E" w:rsidRDefault="00F548A3" w:rsidP="00075D48">
            <w:pPr>
              <w:keepNext/>
              <w:widowControl/>
              <w:jc w:val="center"/>
              <w:rPr>
                <w:rFonts w:ascii="Arial Narrow" w:hAnsi="Arial Narrow"/>
                <w:sz w:val="20"/>
                <w:szCs w:val="16"/>
                <w:lang w:val="en-US"/>
              </w:rPr>
            </w:pPr>
          </w:p>
        </w:tc>
      </w:tr>
      <w:tr w:rsidR="006A64BC" w:rsidRPr="00E2771E" w:rsidTr="006A64BC">
        <w:tc>
          <w:tcPr>
            <w:tcW w:w="5000" w:type="pct"/>
            <w:gridSpan w:val="6"/>
            <w:shd w:val="clear" w:color="auto" w:fill="auto"/>
            <w:vAlign w:val="center"/>
          </w:tcPr>
          <w:p w:rsidR="006A64BC" w:rsidRPr="006A64BC" w:rsidRDefault="00F548A3" w:rsidP="00075D48">
            <w:pPr>
              <w:keepNext/>
              <w:widowControl/>
              <w:jc w:val="left"/>
              <w:rPr>
                <w:rFonts w:ascii="Arial Narrow" w:hAnsi="Arial Narrow"/>
                <w:b/>
                <w:sz w:val="20"/>
                <w:szCs w:val="16"/>
                <w:lang w:val="en-US"/>
              </w:rPr>
            </w:pPr>
            <w:r>
              <w:rPr>
                <w:rFonts w:ascii="Arial Narrow" w:hAnsi="Arial Narrow"/>
                <w:b/>
                <w:sz w:val="20"/>
                <w:szCs w:val="16"/>
                <w:lang w:val="en-US"/>
              </w:rPr>
              <w:t xml:space="preserve">Comparator 4: </w:t>
            </w:r>
            <w:r w:rsidR="006A64BC" w:rsidRPr="006A64BC">
              <w:rPr>
                <w:rFonts w:ascii="Arial Narrow" w:hAnsi="Arial Narrow"/>
                <w:b/>
                <w:sz w:val="20"/>
                <w:szCs w:val="16"/>
                <w:lang w:val="en-US"/>
              </w:rPr>
              <w:t>Tiotropium 18 µg plus olodaterol vs. tiotropium 18 µg</w:t>
            </w:r>
          </w:p>
        </w:tc>
      </w:tr>
      <w:tr w:rsidR="006D0996" w:rsidRPr="00E2771E" w:rsidTr="007B7B6B">
        <w:tc>
          <w:tcPr>
            <w:tcW w:w="1007" w:type="pct"/>
            <w:shd w:val="clear" w:color="auto" w:fill="auto"/>
            <w:vAlign w:val="center"/>
          </w:tcPr>
          <w:p w:rsidR="006D0996" w:rsidRDefault="006D0996" w:rsidP="00075D48">
            <w:pPr>
              <w:keepNext/>
              <w:widowControl/>
              <w:jc w:val="left"/>
              <w:rPr>
                <w:rFonts w:ascii="Arial Narrow" w:hAnsi="Arial Narrow"/>
                <w:sz w:val="20"/>
                <w:szCs w:val="16"/>
                <w:lang w:val="en-US"/>
              </w:rPr>
            </w:pPr>
            <w:r>
              <w:rPr>
                <w:rFonts w:ascii="Arial Narrow" w:hAnsi="Arial Narrow"/>
                <w:sz w:val="20"/>
                <w:szCs w:val="16"/>
                <w:lang w:val="en-US"/>
              </w:rPr>
              <w:t>ANHELTO 1</w:t>
            </w:r>
          </w:p>
        </w:tc>
        <w:tc>
          <w:tcPr>
            <w:tcW w:w="525" w:type="pc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Pr>
                <w:rFonts w:ascii="Arial Narrow" w:hAnsi="Arial Narrow"/>
                <w:sz w:val="20"/>
                <w:szCs w:val="16"/>
                <w:lang w:val="en-US"/>
              </w:rPr>
              <w:t>1,132</w:t>
            </w:r>
          </w:p>
        </w:tc>
        <w:tc>
          <w:tcPr>
            <w:tcW w:w="1007" w:type="pc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Pr>
                <w:rFonts w:ascii="Arial Narrow" w:hAnsi="Arial Narrow"/>
                <w:sz w:val="20"/>
                <w:szCs w:val="16"/>
                <w:lang w:val="en-US"/>
              </w:rPr>
              <w:t>R, DB, 12 wks</w:t>
            </w:r>
          </w:p>
        </w:tc>
        <w:tc>
          <w:tcPr>
            <w:tcW w:w="496" w:type="pc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Pr>
                <w:rFonts w:ascii="Arial Narrow" w:hAnsi="Arial Narrow"/>
                <w:sz w:val="20"/>
                <w:szCs w:val="16"/>
                <w:lang w:val="en-US"/>
              </w:rPr>
              <w:t>Low</w:t>
            </w:r>
          </w:p>
        </w:tc>
        <w:tc>
          <w:tcPr>
            <w:tcW w:w="1212" w:type="pct"/>
            <w:vMerge w:val="restar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Pr>
                <w:rFonts w:ascii="Arial Narrow" w:hAnsi="Arial Narrow"/>
                <w:sz w:val="20"/>
                <w:szCs w:val="16"/>
                <w:lang w:val="en-US"/>
              </w:rPr>
              <w:t>Moderate to severe COPD</w:t>
            </w:r>
            <w:r>
              <w:rPr>
                <w:rFonts w:ascii="Arial Narrow" w:hAnsi="Arial Narrow" w:cs="Times New Roman"/>
                <w:snapToGrid/>
                <w:color w:val="000000"/>
                <w:sz w:val="20"/>
                <w:lang w:val="en-GB" w:eastAsia="en-GB"/>
              </w:rPr>
              <w:t xml:space="preserve">, </w:t>
            </w:r>
            <w:r>
              <w:rPr>
                <w:rFonts w:ascii="Arial Narrow" w:hAnsi="Arial Narrow"/>
                <w:sz w:val="20"/>
                <w:szCs w:val="16"/>
                <w:lang w:val="en-US"/>
              </w:rPr>
              <w:t>FEV</w:t>
            </w:r>
            <w:r w:rsidRPr="006A64BC">
              <w:rPr>
                <w:rFonts w:ascii="Arial Narrow" w:hAnsi="Arial Narrow"/>
                <w:sz w:val="20"/>
                <w:szCs w:val="16"/>
                <w:vertAlign w:val="subscript"/>
                <w:lang w:val="en-US"/>
              </w:rPr>
              <w:t>1</w:t>
            </w:r>
            <w:r w:rsidRPr="00C518BA">
              <w:rPr>
                <w:rFonts w:ascii="Arial Narrow" w:hAnsi="Arial Narrow" w:cs="Times New Roman"/>
                <w:snapToGrid/>
                <w:color w:val="000000"/>
                <w:sz w:val="20"/>
                <w:lang w:val="en-GB" w:eastAsia="en-GB"/>
              </w:rPr>
              <w:t>&lt;80%, ≥30%</w:t>
            </w:r>
          </w:p>
        </w:tc>
        <w:tc>
          <w:tcPr>
            <w:tcW w:w="753" w:type="pct"/>
            <w:vMerge w:val="restar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sidRPr="007B7B6B">
              <w:rPr>
                <w:rFonts w:ascii="Arial Narrow" w:hAnsi="Arial Narrow"/>
                <w:sz w:val="20"/>
                <w:szCs w:val="16"/>
              </w:rPr>
              <w:t>Trough FEV</w:t>
            </w:r>
            <w:r w:rsidRPr="007B7B6B">
              <w:rPr>
                <w:rFonts w:ascii="Arial Narrow" w:hAnsi="Arial Narrow"/>
                <w:sz w:val="20"/>
                <w:szCs w:val="16"/>
                <w:vertAlign w:val="subscript"/>
              </w:rPr>
              <w:t>1</w:t>
            </w:r>
          </w:p>
        </w:tc>
      </w:tr>
      <w:tr w:rsidR="006D0996" w:rsidRPr="00E2771E" w:rsidTr="007B7B6B">
        <w:tc>
          <w:tcPr>
            <w:tcW w:w="1007" w:type="pct"/>
            <w:shd w:val="clear" w:color="auto" w:fill="auto"/>
            <w:vAlign w:val="center"/>
          </w:tcPr>
          <w:p w:rsidR="006D0996" w:rsidRDefault="006D0996" w:rsidP="00075D48">
            <w:pPr>
              <w:keepNext/>
              <w:widowControl/>
              <w:jc w:val="left"/>
              <w:rPr>
                <w:rFonts w:ascii="Arial Narrow" w:hAnsi="Arial Narrow"/>
                <w:sz w:val="20"/>
                <w:szCs w:val="16"/>
                <w:lang w:val="en-US"/>
              </w:rPr>
            </w:pPr>
            <w:r>
              <w:rPr>
                <w:rFonts w:ascii="Arial Narrow" w:hAnsi="Arial Narrow"/>
                <w:sz w:val="20"/>
                <w:szCs w:val="16"/>
                <w:lang w:val="en-US"/>
              </w:rPr>
              <w:t>ANHELTO 2</w:t>
            </w:r>
          </w:p>
        </w:tc>
        <w:tc>
          <w:tcPr>
            <w:tcW w:w="525" w:type="pc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Pr>
                <w:rFonts w:ascii="Arial Narrow" w:hAnsi="Arial Narrow"/>
                <w:sz w:val="20"/>
                <w:szCs w:val="16"/>
                <w:lang w:val="en-US"/>
              </w:rPr>
              <w:t>1,135</w:t>
            </w:r>
          </w:p>
        </w:tc>
        <w:tc>
          <w:tcPr>
            <w:tcW w:w="1007" w:type="pc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Pr>
                <w:rFonts w:ascii="Arial Narrow" w:hAnsi="Arial Narrow"/>
                <w:sz w:val="20"/>
                <w:szCs w:val="16"/>
                <w:lang w:val="en-US"/>
              </w:rPr>
              <w:t>R, DB, 12 wks</w:t>
            </w:r>
          </w:p>
        </w:tc>
        <w:tc>
          <w:tcPr>
            <w:tcW w:w="496" w:type="pc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Pr>
                <w:rFonts w:ascii="Arial Narrow" w:hAnsi="Arial Narrow"/>
                <w:sz w:val="20"/>
                <w:szCs w:val="16"/>
                <w:lang w:val="en-US"/>
              </w:rPr>
              <w:t>Low</w:t>
            </w:r>
          </w:p>
        </w:tc>
        <w:tc>
          <w:tcPr>
            <w:tcW w:w="1212" w:type="pct"/>
            <w:vMerge/>
            <w:shd w:val="clear" w:color="auto" w:fill="auto"/>
            <w:vAlign w:val="center"/>
          </w:tcPr>
          <w:p w:rsidR="006D0996" w:rsidRPr="00C518BA" w:rsidRDefault="006D0996" w:rsidP="00075D48">
            <w:pPr>
              <w:keepNext/>
              <w:widowControl/>
              <w:jc w:val="center"/>
              <w:rPr>
                <w:rFonts w:ascii="Arial Narrow" w:hAnsi="Arial Narrow" w:cs="Times New Roman"/>
                <w:snapToGrid/>
                <w:color w:val="000000"/>
                <w:sz w:val="20"/>
                <w:lang w:val="en-GB" w:eastAsia="en-GB"/>
              </w:rPr>
            </w:pPr>
          </w:p>
        </w:tc>
        <w:tc>
          <w:tcPr>
            <w:tcW w:w="753" w:type="pct"/>
            <w:vMerge/>
            <w:shd w:val="clear" w:color="auto" w:fill="auto"/>
            <w:vAlign w:val="center"/>
          </w:tcPr>
          <w:p w:rsidR="006D0996" w:rsidRPr="00E2771E" w:rsidRDefault="006D0996" w:rsidP="00075D48">
            <w:pPr>
              <w:keepNext/>
              <w:widowControl/>
              <w:jc w:val="center"/>
              <w:rPr>
                <w:rFonts w:ascii="Arial Narrow" w:hAnsi="Arial Narrow"/>
                <w:sz w:val="20"/>
                <w:szCs w:val="16"/>
                <w:lang w:val="en-US"/>
              </w:rPr>
            </w:pPr>
          </w:p>
        </w:tc>
      </w:tr>
      <w:tr w:rsidR="006D0996" w:rsidRPr="00E2771E" w:rsidTr="007B7B6B">
        <w:tc>
          <w:tcPr>
            <w:tcW w:w="1007" w:type="pct"/>
            <w:shd w:val="clear" w:color="auto" w:fill="auto"/>
            <w:vAlign w:val="center"/>
          </w:tcPr>
          <w:p w:rsidR="006D0996" w:rsidRDefault="006D0996" w:rsidP="00075D48">
            <w:pPr>
              <w:keepNext/>
              <w:widowControl/>
              <w:jc w:val="left"/>
              <w:rPr>
                <w:rFonts w:ascii="Arial Narrow" w:hAnsi="Arial Narrow"/>
                <w:sz w:val="20"/>
                <w:szCs w:val="16"/>
                <w:lang w:val="en-US"/>
              </w:rPr>
            </w:pPr>
            <w:r>
              <w:rPr>
                <w:rFonts w:ascii="Arial Narrow" w:hAnsi="Arial Narrow"/>
                <w:sz w:val="20"/>
                <w:szCs w:val="16"/>
                <w:lang w:val="en-US"/>
              </w:rPr>
              <w:t>Study 11</w:t>
            </w:r>
            <w:r w:rsidRPr="006D0996">
              <w:rPr>
                <w:rFonts w:ascii="Arial Narrow" w:hAnsi="Arial Narrow"/>
                <w:sz w:val="20"/>
                <w:vertAlign w:val="superscript"/>
                <w:lang w:val="en-US"/>
              </w:rPr>
              <w:t xml:space="preserve"> i</w:t>
            </w:r>
          </w:p>
        </w:tc>
        <w:tc>
          <w:tcPr>
            <w:tcW w:w="525" w:type="pct"/>
            <w:shd w:val="clear" w:color="auto" w:fill="auto"/>
            <w:vAlign w:val="center"/>
          </w:tcPr>
          <w:p w:rsidR="006D0996" w:rsidRPr="00AD005B" w:rsidRDefault="006D0996" w:rsidP="00075D48">
            <w:pPr>
              <w:keepNext/>
              <w:widowControl/>
              <w:jc w:val="center"/>
              <w:rPr>
                <w:rFonts w:ascii="Arial Narrow" w:hAnsi="Arial Narrow"/>
                <w:sz w:val="20"/>
                <w:lang w:val="en-US"/>
              </w:rPr>
            </w:pPr>
            <w:r>
              <w:rPr>
                <w:rFonts w:ascii="Arial Narrow" w:hAnsi="Arial Narrow"/>
                <w:sz w:val="20"/>
                <w:lang w:val="en-US"/>
              </w:rPr>
              <w:t>96</w:t>
            </w:r>
          </w:p>
        </w:tc>
        <w:tc>
          <w:tcPr>
            <w:tcW w:w="1007" w:type="pct"/>
            <w:shd w:val="clear" w:color="auto" w:fill="auto"/>
          </w:tcPr>
          <w:p w:rsidR="006D0996" w:rsidRPr="00AD005B" w:rsidRDefault="006D0996" w:rsidP="00075D48">
            <w:pPr>
              <w:keepNext/>
              <w:widowControl/>
              <w:jc w:val="center"/>
              <w:rPr>
                <w:rFonts w:ascii="Arial Narrow" w:hAnsi="Arial Narrow"/>
                <w:sz w:val="20"/>
              </w:rPr>
            </w:pPr>
            <w:r w:rsidRPr="00AD005B">
              <w:rPr>
                <w:rFonts w:ascii="Arial Narrow" w:hAnsi="Arial Narrow"/>
                <w:sz w:val="20"/>
                <w:lang w:val="en-US"/>
              </w:rPr>
              <w:t>R, DB, MC,</w:t>
            </w:r>
            <w:r>
              <w:rPr>
                <w:rFonts w:ascii="Arial Narrow" w:hAnsi="Arial Narrow"/>
                <w:sz w:val="20"/>
                <w:lang w:val="en-US"/>
              </w:rPr>
              <w:t xml:space="preserve"> 48</w:t>
            </w:r>
            <w:r w:rsidRPr="00AD005B">
              <w:rPr>
                <w:rFonts w:ascii="Arial Narrow" w:hAnsi="Arial Narrow"/>
                <w:sz w:val="20"/>
                <w:lang w:eastAsia="en-AU"/>
              </w:rPr>
              <w:t xml:space="preserve"> wks</w:t>
            </w:r>
          </w:p>
        </w:tc>
        <w:tc>
          <w:tcPr>
            <w:tcW w:w="496" w:type="pct"/>
            <w:shd w:val="clear" w:color="auto" w:fill="auto"/>
            <w:vAlign w:val="center"/>
          </w:tcPr>
          <w:p w:rsidR="006D0996" w:rsidRPr="00AD005B" w:rsidRDefault="006D0996" w:rsidP="00075D48">
            <w:pPr>
              <w:keepNext/>
              <w:widowControl/>
              <w:jc w:val="center"/>
              <w:rPr>
                <w:rFonts w:ascii="Arial Narrow" w:hAnsi="Arial Narrow"/>
                <w:sz w:val="20"/>
                <w:lang w:val="en-US"/>
              </w:rPr>
            </w:pPr>
            <w:r w:rsidRPr="00AD005B">
              <w:rPr>
                <w:rFonts w:ascii="Arial Narrow" w:hAnsi="Arial Narrow"/>
                <w:sz w:val="20"/>
                <w:lang w:val="en-US"/>
              </w:rPr>
              <w:t>Low</w:t>
            </w:r>
          </w:p>
        </w:tc>
        <w:tc>
          <w:tcPr>
            <w:tcW w:w="1212" w:type="pct"/>
            <w:vMerge w:val="restart"/>
            <w:shd w:val="clear" w:color="auto" w:fill="auto"/>
            <w:vAlign w:val="center"/>
          </w:tcPr>
          <w:p w:rsidR="006D0996" w:rsidRPr="00C518BA" w:rsidRDefault="006D0996" w:rsidP="00075D48">
            <w:pPr>
              <w:keepNext/>
              <w:widowControl/>
              <w:jc w:val="center"/>
              <w:rPr>
                <w:rFonts w:ascii="Arial Narrow" w:hAnsi="Arial Narrow" w:cs="Times New Roman"/>
                <w:snapToGrid/>
                <w:color w:val="000000"/>
                <w:sz w:val="20"/>
                <w:lang w:val="en-GB" w:eastAsia="en-GB"/>
              </w:rPr>
            </w:pPr>
            <w:r>
              <w:rPr>
                <w:rFonts w:ascii="Arial Narrow" w:hAnsi="Arial Narrow"/>
                <w:sz w:val="20"/>
                <w:szCs w:val="16"/>
                <w:lang w:val="en-US"/>
              </w:rPr>
              <w:t>Moderate to severe COPD FEV</w:t>
            </w:r>
            <w:r w:rsidRPr="006A64BC">
              <w:rPr>
                <w:rFonts w:ascii="Arial Narrow" w:hAnsi="Arial Narrow"/>
                <w:sz w:val="20"/>
                <w:szCs w:val="16"/>
                <w:vertAlign w:val="subscript"/>
                <w:lang w:val="en-US"/>
              </w:rPr>
              <w:t>1</w:t>
            </w:r>
            <w:r w:rsidRPr="00C518BA">
              <w:rPr>
                <w:rFonts w:ascii="Arial Narrow" w:hAnsi="Arial Narrow" w:cs="Times New Roman"/>
                <w:snapToGrid/>
                <w:color w:val="000000"/>
                <w:sz w:val="20"/>
                <w:lang w:val="en-GB" w:eastAsia="en-GB"/>
              </w:rPr>
              <w:t>&lt;80%</w:t>
            </w:r>
          </w:p>
        </w:tc>
        <w:tc>
          <w:tcPr>
            <w:tcW w:w="753" w:type="pct"/>
            <w:vMerge w:val="restart"/>
            <w:shd w:val="clear" w:color="auto" w:fill="auto"/>
            <w:vAlign w:val="center"/>
          </w:tcPr>
          <w:p w:rsidR="006D0996" w:rsidRPr="00E2771E" w:rsidRDefault="006D0996" w:rsidP="00075D48">
            <w:pPr>
              <w:keepNext/>
              <w:widowControl/>
              <w:jc w:val="center"/>
              <w:rPr>
                <w:rFonts w:ascii="Arial Narrow" w:hAnsi="Arial Narrow"/>
                <w:sz w:val="20"/>
                <w:szCs w:val="16"/>
                <w:lang w:val="en-US"/>
              </w:rPr>
            </w:pPr>
            <w:r w:rsidRPr="007B7B6B">
              <w:rPr>
                <w:rFonts w:ascii="Arial Narrow" w:hAnsi="Arial Narrow"/>
                <w:sz w:val="20"/>
                <w:szCs w:val="16"/>
              </w:rPr>
              <w:t>Trough FEV</w:t>
            </w:r>
            <w:r w:rsidRPr="007B7B6B">
              <w:rPr>
                <w:rFonts w:ascii="Arial Narrow" w:hAnsi="Arial Narrow"/>
                <w:sz w:val="20"/>
                <w:szCs w:val="16"/>
                <w:vertAlign w:val="subscript"/>
              </w:rPr>
              <w:t>1</w:t>
            </w:r>
          </w:p>
        </w:tc>
      </w:tr>
      <w:tr w:rsidR="006D0996" w:rsidRPr="00E2771E" w:rsidTr="007B7B6B">
        <w:tc>
          <w:tcPr>
            <w:tcW w:w="1007" w:type="pct"/>
            <w:shd w:val="clear" w:color="auto" w:fill="auto"/>
            <w:vAlign w:val="center"/>
          </w:tcPr>
          <w:p w:rsidR="006D0996" w:rsidRDefault="006D0996" w:rsidP="00075D48">
            <w:pPr>
              <w:keepNext/>
              <w:widowControl/>
              <w:jc w:val="left"/>
              <w:rPr>
                <w:rFonts w:ascii="Arial Narrow" w:hAnsi="Arial Narrow"/>
                <w:sz w:val="20"/>
                <w:szCs w:val="16"/>
                <w:lang w:val="en-US"/>
              </w:rPr>
            </w:pPr>
            <w:r>
              <w:rPr>
                <w:rFonts w:ascii="Arial Narrow" w:hAnsi="Arial Narrow"/>
                <w:sz w:val="20"/>
                <w:szCs w:val="16"/>
                <w:lang w:val="en-US"/>
              </w:rPr>
              <w:t>Study 12</w:t>
            </w:r>
            <w:r w:rsidRPr="006D0996">
              <w:rPr>
                <w:rFonts w:ascii="Arial Narrow" w:hAnsi="Arial Narrow"/>
                <w:sz w:val="20"/>
                <w:vertAlign w:val="superscript"/>
                <w:lang w:val="en-US"/>
              </w:rPr>
              <w:t xml:space="preserve"> i</w:t>
            </w:r>
          </w:p>
        </w:tc>
        <w:tc>
          <w:tcPr>
            <w:tcW w:w="525" w:type="pct"/>
            <w:shd w:val="clear" w:color="auto" w:fill="auto"/>
            <w:vAlign w:val="center"/>
          </w:tcPr>
          <w:p w:rsidR="006D0996" w:rsidRPr="000B6A5E" w:rsidRDefault="006D0996" w:rsidP="00075D48">
            <w:pPr>
              <w:keepNext/>
              <w:widowControl/>
              <w:jc w:val="center"/>
              <w:rPr>
                <w:rFonts w:ascii="Arial Narrow" w:hAnsi="Arial Narrow"/>
                <w:sz w:val="20"/>
                <w:lang w:val="en-US"/>
              </w:rPr>
            </w:pPr>
            <w:r>
              <w:rPr>
                <w:rFonts w:ascii="Arial Narrow" w:hAnsi="Arial Narrow"/>
                <w:sz w:val="20"/>
                <w:lang w:val="en-US"/>
              </w:rPr>
              <w:t>80</w:t>
            </w:r>
            <w:r w:rsidRPr="006D0996">
              <w:rPr>
                <w:rFonts w:ascii="Arial Narrow" w:hAnsi="Arial Narrow"/>
                <w:sz w:val="20"/>
                <w:vertAlign w:val="superscript"/>
                <w:lang w:val="en-US"/>
              </w:rPr>
              <w:t xml:space="preserve"> </w:t>
            </w:r>
          </w:p>
        </w:tc>
        <w:tc>
          <w:tcPr>
            <w:tcW w:w="1007" w:type="pct"/>
            <w:shd w:val="clear" w:color="auto" w:fill="auto"/>
          </w:tcPr>
          <w:p w:rsidR="006D0996" w:rsidRPr="000B6A5E" w:rsidRDefault="006D0996" w:rsidP="00075D48">
            <w:pPr>
              <w:keepNext/>
              <w:widowControl/>
              <w:jc w:val="center"/>
              <w:rPr>
                <w:rFonts w:ascii="Arial Narrow" w:hAnsi="Arial Narrow"/>
                <w:sz w:val="20"/>
              </w:rPr>
            </w:pPr>
            <w:r w:rsidRPr="000B6A5E">
              <w:rPr>
                <w:rFonts w:ascii="Arial Narrow" w:hAnsi="Arial Narrow"/>
                <w:sz w:val="20"/>
                <w:lang w:val="en-US"/>
              </w:rPr>
              <w:t>R, DB, MC</w:t>
            </w:r>
            <w:r>
              <w:rPr>
                <w:rFonts w:ascii="Arial Narrow" w:hAnsi="Arial Narrow"/>
                <w:sz w:val="20"/>
                <w:lang w:val="en-US"/>
              </w:rPr>
              <w:t>, 48</w:t>
            </w:r>
            <w:r w:rsidRPr="000B6A5E">
              <w:rPr>
                <w:rFonts w:ascii="Arial Narrow" w:hAnsi="Arial Narrow"/>
                <w:sz w:val="20"/>
                <w:lang w:eastAsia="en-AU"/>
              </w:rPr>
              <w:t xml:space="preserve"> wks</w:t>
            </w:r>
          </w:p>
        </w:tc>
        <w:tc>
          <w:tcPr>
            <w:tcW w:w="496" w:type="pct"/>
            <w:shd w:val="clear" w:color="auto" w:fill="auto"/>
            <w:vAlign w:val="center"/>
          </w:tcPr>
          <w:p w:rsidR="006D0996" w:rsidRPr="000B6A5E" w:rsidRDefault="006D0996" w:rsidP="00075D48">
            <w:pPr>
              <w:keepNext/>
              <w:widowControl/>
              <w:jc w:val="center"/>
              <w:rPr>
                <w:rFonts w:ascii="Arial Narrow" w:hAnsi="Arial Narrow"/>
                <w:sz w:val="20"/>
                <w:lang w:val="en-US"/>
              </w:rPr>
            </w:pPr>
            <w:r w:rsidRPr="000B6A5E">
              <w:rPr>
                <w:rFonts w:ascii="Arial Narrow" w:hAnsi="Arial Narrow"/>
                <w:sz w:val="20"/>
                <w:lang w:val="en-US"/>
              </w:rPr>
              <w:t>Low</w:t>
            </w:r>
          </w:p>
        </w:tc>
        <w:tc>
          <w:tcPr>
            <w:tcW w:w="1212" w:type="pct"/>
            <w:vMerge/>
            <w:shd w:val="clear" w:color="auto" w:fill="auto"/>
            <w:vAlign w:val="center"/>
          </w:tcPr>
          <w:p w:rsidR="006D0996" w:rsidRPr="00C518BA" w:rsidRDefault="006D0996" w:rsidP="00075D48">
            <w:pPr>
              <w:keepNext/>
              <w:widowControl/>
              <w:jc w:val="center"/>
              <w:rPr>
                <w:rFonts w:ascii="Arial Narrow" w:hAnsi="Arial Narrow" w:cs="Times New Roman"/>
                <w:snapToGrid/>
                <w:color w:val="000000"/>
                <w:sz w:val="20"/>
                <w:lang w:val="en-GB" w:eastAsia="en-GB"/>
              </w:rPr>
            </w:pPr>
          </w:p>
        </w:tc>
        <w:tc>
          <w:tcPr>
            <w:tcW w:w="753" w:type="pct"/>
            <w:vMerge/>
            <w:shd w:val="clear" w:color="auto" w:fill="auto"/>
            <w:vAlign w:val="center"/>
          </w:tcPr>
          <w:p w:rsidR="006D0996" w:rsidRPr="00E2771E" w:rsidRDefault="006D0996" w:rsidP="00075D48">
            <w:pPr>
              <w:keepNext/>
              <w:widowControl/>
              <w:jc w:val="center"/>
              <w:rPr>
                <w:rFonts w:ascii="Arial Narrow" w:hAnsi="Arial Narrow"/>
                <w:sz w:val="20"/>
                <w:szCs w:val="16"/>
                <w:lang w:val="en-US"/>
              </w:rPr>
            </w:pPr>
          </w:p>
        </w:tc>
      </w:tr>
      <w:tr w:rsidR="006D0996" w:rsidRPr="00E2771E" w:rsidTr="007B7B6B">
        <w:tc>
          <w:tcPr>
            <w:tcW w:w="1007" w:type="pct"/>
            <w:shd w:val="clear" w:color="auto" w:fill="auto"/>
            <w:vAlign w:val="center"/>
          </w:tcPr>
          <w:p w:rsidR="006D0996" w:rsidRDefault="006D0996" w:rsidP="00075D48">
            <w:pPr>
              <w:keepNext/>
              <w:widowControl/>
              <w:jc w:val="left"/>
              <w:rPr>
                <w:rFonts w:ascii="Arial Narrow" w:hAnsi="Arial Narrow"/>
                <w:sz w:val="20"/>
                <w:szCs w:val="16"/>
                <w:lang w:val="en-US"/>
              </w:rPr>
            </w:pPr>
            <w:r>
              <w:rPr>
                <w:rFonts w:ascii="Arial Narrow" w:hAnsi="Arial Narrow"/>
                <w:sz w:val="20"/>
                <w:szCs w:val="16"/>
                <w:lang w:val="en-US"/>
              </w:rPr>
              <w:t>Study 13</w:t>
            </w:r>
            <w:r w:rsidRPr="006D0996">
              <w:rPr>
                <w:rFonts w:ascii="Arial Narrow" w:hAnsi="Arial Narrow"/>
                <w:sz w:val="20"/>
                <w:vertAlign w:val="superscript"/>
                <w:lang w:val="en-US"/>
              </w:rPr>
              <w:t xml:space="preserve"> i</w:t>
            </w:r>
          </w:p>
        </w:tc>
        <w:tc>
          <w:tcPr>
            <w:tcW w:w="525" w:type="pct"/>
            <w:shd w:val="clear" w:color="auto" w:fill="auto"/>
            <w:vAlign w:val="center"/>
          </w:tcPr>
          <w:p w:rsidR="006D0996" w:rsidRPr="000B6A5E" w:rsidRDefault="006D0996" w:rsidP="00075D48">
            <w:pPr>
              <w:keepNext/>
              <w:widowControl/>
              <w:jc w:val="center"/>
              <w:rPr>
                <w:rFonts w:ascii="Arial Narrow" w:hAnsi="Arial Narrow"/>
                <w:sz w:val="20"/>
                <w:lang w:val="en-US"/>
              </w:rPr>
            </w:pPr>
            <w:r>
              <w:rPr>
                <w:rFonts w:ascii="Arial Narrow" w:hAnsi="Arial Narrow"/>
                <w:sz w:val="20"/>
                <w:lang w:val="en-US"/>
              </w:rPr>
              <w:t>117</w:t>
            </w:r>
            <w:r w:rsidRPr="006D0996">
              <w:rPr>
                <w:rFonts w:ascii="Arial Narrow" w:hAnsi="Arial Narrow"/>
                <w:sz w:val="20"/>
                <w:vertAlign w:val="superscript"/>
                <w:lang w:val="en-US"/>
              </w:rPr>
              <w:t xml:space="preserve"> </w:t>
            </w:r>
          </w:p>
        </w:tc>
        <w:tc>
          <w:tcPr>
            <w:tcW w:w="1007" w:type="pct"/>
            <w:shd w:val="clear" w:color="auto" w:fill="auto"/>
          </w:tcPr>
          <w:p w:rsidR="006D0996" w:rsidRPr="000B6A5E" w:rsidRDefault="006D0996" w:rsidP="00075D48">
            <w:pPr>
              <w:keepNext/>
              <w:widowControl/>
              <w:jc w:val="center"/>
              <w:rPr>
                <w:rFonts w:ascii="Arial Narrow" w:hAnsi="Arial Narrow"/>
                <w:sz w:val="20"/>
              </w:rPr>
            </w:pPr>
            <w:r w:rsidRPr="000B6A5E">
              <w:rPr>
                <w:rFonts w:ascii="Arial Narrow" w:hAnsi="Arial Narrow"/>
                <w:sz w:val="20"/>
                <w:lang w:val="en-US"/>
              </w:rPr>
              <w:t>R, DB, MC</w:t>
            </w:r>
            <w:r>
              <w:rPr>
                <w:rFonts w:ascii="Arial Narrow" w:hAnsi="Arial Narrow"/>
                <w:sz w:val="20"/>
                <w:lang w:val="en-US"/>
              </w:rPr>
              <w:t xml:space="preserve">, </w:t>
            </w:r>
            <w:r>
              <w:rPr>
                <w:rFonts w:ascii="Arial Narrow" w:hAnsi="Arial Narrow"/>
                <w:sz w:val="20"/>
                <w:lang w:eastAsia="en-AU"/>
              </w:rPr>
              <w:t>48</w:t>
            </w:r>
            <w:r w:rsidRPr="000B6A5E">
              <w:rPr>
                <w:rFonts w:ascii="Arial Narrow" w:hAnsi="Arial Narrow"/>
                <w:sz w:val="20"/>
                <w:lang w:eastAsia="en-AU"/>
              </w:rPr>
              <w:t xml:space="preserve"> wks</w:t>
            </w:r>
          </w:p>
        </w:tc>
        <w:tc>
          <w:tcPr>
            <w:tcW w:w="496" w:type="pct"/>
            <w:shd w:val="clear" w:color="auto" w:fill="auto"/>
            <w:vAlign w:val="center"/>
          </w:tcPr>
          <w:p w:rsidR="006D0996" w:rsidRPr="000B6A5E" w:rsidRDefault="006D0996" w:rsidP="00075D48">
            <w:pPr>
              <w:keepNext/>
              <w:widowControl/>
              <w:jc w:val="center"/>
              <w:rPr>
                <w:rFonts w:ascii="Arial Narrow" w:hAnsi="Arial Narrow"/>
                <w:sz w:val="20"/>
                <w:lang w:val="en-US"/>
              </w:rPr>
            </w:pPr>
            <w:r w:rsidRPr="000B6A5E">
              <w:rPr>
                <w:rFonts w:ascii="Arial Narrow" w:hAnsi="Arial Narrow"/>
                <w:sz w:val="20"/>
                <w:lang w:val="en-US"/>
              </w:rPr>
              <w:t>Low</w:t>
            </w:r>
          </w:p>
        </w:tc>
        <w:tc>
          <w:tcPr>
            <w:tcW w:w="1212" w:type="pct"/>
            <w:vMerge/>
            <w:shd w:val="clear" w:color="auto" w:fill="auto"/>
            <w:vAlign w:val="center"/>
          </w:tcPr>
          <w:p w:rsidR="006D0996" w:rsidRPr="000B6A5E" w:rsidRDefault="006D0996" w:rsidP="00075D48">
            <w:pPr>
              <w:keepNext/>
              <w:widowControl/>
              <w:jc w:val="center"/>
              <w:rPr>
                <w:rFonts w:ascii="Arial Narrow" w:hAnsi="Arial Narrow"/>
                <w:sz w:val="20"/>
                <w:lang w:val="en-US"/>
              </w:rPr>
            </w:pPr>
          </w:p>
        </w:tc>
        <w:tc>
          <w:tcPr>
            <w:tcW w:w="753" w:type="pct"/>
            <w:vMerge/>
            <w:shd w:val="clear" w:color="auto" w:fill="auto"/>
            <w:vAlign w:val="center"/>
          </w:tcPr>
          <w:p w:rsidR="006D0996" w:rsidRPr="00E2771E" w:rsidRDefault="006D0996" w:rsidP="00075D48">
            <w:pPr>
              <w:keepNext/>
              <w:widowControl/>
              <w:jc w:val="center"/>
              <w:rPr>
                <w:rFonts w:ascii="Arial Narrow" w:hAnsi="Arial Narrow"/>
                <w:sz w:val="20"/>
                <w:szCs w:val="16"/>
                <w:lang w:val="en-US"/>
              </w:rPr>
            </w:pPr>
          </w:p>
        </w:tc>
      </w:tr>
      <w:tr w:rsidR="006D0996" w:rsidRPr="00E2771E" w:rsidTr="007B7B6B">
        <w:tc>
          <w:tcPr>
            <w:tcW w:w="1007" w:type="pct"/>
            <w:shd w:val="clear" w:color="auto" w:fill="auto"/>
            <w:vAlign w:val="center"/>
          </w:tcPr>
          <w:p w:rsidR="006D0996" w:rsidRDefault="006D0996" w:rsidP="00075D48">
            <w:pPr>
              <w:keepNext/>
              <w:widowControl/>
              <w:jc w:val="left"/>
              <w:rPr>
                <w:rFonts w:ascii="Arial Narrow" w:hAnsi="Arial Narrow"/>
                <w:sz w:val="20"/>
                <w:szCs w:val="16"/>
                <w:lang w:val="en-US"/>
              </w:rPr>
            </w:pPr>
            <w:r>
              <w:rPr>
                <w:rFonts w:ascii="Arial Narrow" w:hAnsi="Arial Narrow"/>
                <w:sz w:val="20"/>
                <w:szCs w:val="16"/>
                <w:lang w:val="en-US"/>
              </w:rPr>
              <w:t>Study 14</w:t>
            </w:r>
            <w:r w:rsidRPr="006D0996">
              <w:rPr>
                <w:rFonts w:ascii="Arial Narrow" w:hAnsi="Arial Narrow"/>
                <w:sz w:val="20"/>
                <w:vertAlign w:val="superscript"/>
                <w:lang w:val="en-US"/>
              </w:rPr>
              <w:t xml:space="preserve"> i</w:t>
            </w:r>
          </w:p>
        </w:tc>
        <w:tc>
          <w:tcPr>
            <w:tcW w:w="525" w:type="pct"/>
            <w:shd w:val="clear" w:color="auto" w:fill="auto"/>
            <w:vAlign w:val="center"/>
          </w:tcPr>
          <w:p w:rsidR="006D0996" w:rsidRPr="000B6A5E" w:rsidRDefault="006D0996" w:rsidP="00075D48">
            <w:pPr>
              <w:keepNext/>
              <w:widowControl/>
              <w:jc w:val="center"/>
              <w:rPr>
                <w:rFonts w:ascii="Arial Narrow" w:hAnsi="Arial Narrow"/>
                <w:sz w:val="20"/>
                <w:lang w:val="en-US"/>
              </w:rPr>
            </w:pPr>
            <w:r>
              <w:rPr>
                <w:rFonts w:ascii="Arial Narrow" w:hAnsi="Arial Narrow"/>
                <w:sz w:val="20"/>
                <w:lang w:val="en-US"/>
              </w:rPr>
              <w:t>120</w:t>
            </w:r>
            <w:r w:rsidRPr="006D0996">
              <w:rPr>
                <w:rFonts w:ascii="Arial Narrow" w:hAnsi="Arial Narrow"/>
                <w:sz w:val="20"/>
                <w:vertAlign w:val="superscript"/>
                <w:lang w:val="en-US"/>
              </w:rPr>
              <w:t xml:space="preserve"> </w:t>
            </w:r>
          </w:p>
        </w:tc>
        <w:tc>
          <w:tcPr>
            <w:tcW w:w="1007" w:type="pct"/>
            <w:shd w:val="clear" w:color="auto" w:fill="auto"/>
          </w:tcPr>
          <w:p w:rsidR="006D0996" w:rsidRPr="000B6A5E" w:rsidRDefault="006D0996" w:rsidP="00075D48">
            <w:pPr>
              <w:keepNext/>
              <w:widowControl/>
              <w:jc w:val="center"/>
              <w:rPr>
                <w:rFonts w:ascii="Arial Narrow" w:hAnsi="Arial Narrow"/>
                <w:sz w:val="20"/>
              </w:rPr>
            </w:pPr>
            <w:r w:rsidRPr="000B6A5E">
              <w:rPr>
                <w:rFonts w:ascii="Arial Narrow" w:hAnsi="Arial Narrow"/>
                <w:sz w:val="20"/>
                <w:lang w:val="en-US"/>
              </w:rPr>
              <w:t>R, DB, MC</w:t>
            </w:r>
            <w:r>
              <w:rPr>
                <w:rFonts w:ascii="Arial Narrow" w:hAnsi="Arial Narrow"/>
                <w:sz w:val="20"/>
                <w:lang w:val="en-US"/>
              </w:rPr>
              <w:t>, 48</w:t>
            </w:r>
            <w:r w:rsidRPr="000B6A5E">
              <w:rPr>
                <w:rFonts w:ascii="Arial Narrow" w:hAnsi="Arial Narrow"/>
                <w:sz w:val="20"/>
                <w:lang w:eastAsia="en-AU"/>
              </w:rPr>
              <w:t xml:space="preserve"> wks</w:t>
            </w:r>
          </w:p>
        </w:tc>
        <w:tc>
          <w:tcPr>
            <w:tcW w:w="496" w:type="pct"/>
            <w:shd w:val="clear" w:color="auto" w:fill="auto"/>
            <w:vAlign w:val="center"/>
          </w:tcPr>
          <w:p w:rsidR="006D0996" w:rsidRPr="000B6A5E" w:rsidRDefault="006D0996" w:rsidP="00075D48">
            <w:pPr>
              <w:keepNext/>
              <w:widowControl/>
              <w:jc w:val="center"/>
              <w:rPr>
                <w:rFonts w:ascii="Arial Narrow" w:hAnsi="Arial Narrow"/>
                <w:sz w:val="20"/>
                <w:lang w:val="en-US"/>
              </w:rPr>
            </w:pPr>
            <w:r w:rsidRPr="000B6A5E">
              <w:rPr>
                <w:rFonts w:ascii="Arial Narrow" w:hAnsi="Arial Narrow"/>
                <w:sz w:val="20"/>
                <w:lang w:val="en-US"/>
              </w:rPr>
              <w:t>Low</w:t>
            </w:r>
          </w:p>
        </w:tc>
        <w:tc>
          <w:tcPr>
            <w:tcW w:w="1212" w:type="pct"/>
            <w:vMerge/>
            <w:shd w:val="clear" w:color="auto" w:fill="auto"/>
            <w:vAlign w:val="center"/>
          </w:tcPr>
          <w:p w:rsidR="006D0996" w:rsidRPr="000B6A5E" w:rsidRDefault="006D0996" w:rsidP="00075D48">
            <w:pPr>
              <w:keepNext/>
              <w:widowControl/>
              <w:jc w:val="center"/>
              <w:rPr>
                <w:rFonts w:ascii="Arial Narrow" w:hAnsi="Arial Narrow"/>
                <w:sz w:val="20"/>
                <w:lang w:val="en-US"/>
              </w:rPr>
            </w:pPr>
          </w:p>
        </w:tc>
        <w:tc>
          <w:tcPr>
            <w:tcW w:w="753" w:type="pct"/>
            <w:vMerge/>
            <w:shd w:val="clear" w:color="auto" w:fill="auto"/>
            <w:vAlign w:val="center"/>
          </w:tcPr>
          <w:p w:rsidR="006D0996" w:rsidRPr="00E2771E" w:rsidRDefault="006D0996" w:rsidP="00075D48">
            <w:pPr>
              <w:keepNext/>
              <w:widowControl/>
              <w:jc w:val="center"/>
              <w:rPr>
                <w:rFonts w:ascii="Arial Narrow" w:hAnsi="Arial Narrow"/>
                <w:sz w:val="20"/>
                <w:szCs w:val="16"/>
                <w:lang w:val="en-US"/>
              </w:rPr>
            </w:pPr>
          </w:p>
        </w:tc>
      </w:tr>
    </w:tbl>
    <w:p w:rsidR="00031808" w:rsidRDefault="00031808" w:rsidP="00075D48">
      <w:pPr>
        <w:pStyle w:val="TableFooter"/>
        <w:keepNext/>
        <w:widowControl/>
        <w:ind w:firstLine="720"/>
        <w:rPr>
          <w:szCs w:val="18"/>
        </w:rPr>
      </w:pPr>
      <w:r w:rsidRPr="007F1017">
        <w:rPr>
          <w:szCs w:val="18"/>
        </w:rPr>
        <w:t>Source: compiled during the evaluation</w:t>
      </w:r>
    </w:p>
    <w:p w:rsidR="002B6C7F" w:rsidRDefault="002B6C7F" w:rsidP="00075D48">
      <w:pPr>
        <w:pStyle w:val="TableFooter"/>
        <w:keepNext/>
        <w:widowControl/>
        <w:ind w:left="720"/>
      </w:pPr>
      <w:r w:rsidRPr="009A6831">
        <w:t>DB</w:t>
      </w:r>
      <w:r w:rsidR="00380558">
        <w:t xml:space="preserve"> </w:t>
      </w:r>
      <w:r w:rsidRPr="009A6831">
        <w:t>=</w:t>
      </w:r>
      <w:r w:rsidR="00380558">
        <w:t xml:space="preserve"> </w:t>
      </w:r>
      <w:r w:rsidRPr="009A6831">
        <w:t xml:space="preserve">double blind; </w:t>
      </w:r>
      <w:r w:rsidR="00F548A3">
        <w:t xml:space="preserve">MC = multi-centre; </w:t>
      </w:r>
      <w:r w:rsidRPr="009A6831">
        <w:t>OL</w:t>
      </w:r>
      <w:r w:rsidR="00380558">
        <w:t xml:space="preserve"> </w:t>
      </w:r>
      <w:r w:rsidRPr="009A6831">
        <w:t>=</w:t>
      </w:r>
      <w:r w:rsidR="00380558">
        <w:t xml:space="preserve"> </w:t>
      </w:r>
      <w:r w:rsidRPr="009A6831">
        <w:t>open</w:t>
      </w:r>
      <w:r w:rsidR="00380558">
        <w:t>-</w:t>
      </w:r>
      <w:r w:rsidRPr="009A6831">
        <w:t xml:space="preserve">label; </w:t>
      </w:r>
      <w:r w:rsidRPr="00D13A3E">
        <w:t>R</w:t>
      </w:r>
      <w:r w:rsidR="00380558">
        <w:t xml:space="preserve"> </w:t>
      </w:r>
      <w:r w:rsidRPr="00D13A3E">
        <w:t>=</w:t>
      </w:r>
      <w:r w:rsidR="00380558">
        <w:t xml:space="preserve"> </w:t>
      </w:r>
      <w:r w:rsidRPr="00D13A3E">
        <w:t>randomised</w:t>
      </w:r>
      <w:r>
        <w:t xml:space="preserve">; FDC = fixed dose combination; </w:t>
      </w:r>
      <w:r w:rsidR="00A57A61">
        <w:t xml:space="preserve">COPD = chronic obstructive pulmonary disease; </w:t>
      </w:r>
      <w:r w:rsidR="00031808" w:rsidRPr="00903F77">
        <w:t>FEV</w:t>
      </w:r>
      <w:r w:rsidR="00031808" w:rsidRPr="00903F77">
        <w:rPr>
          <w:vertAlign w:val="subscript"/>
        </w:rPr>
        <w:t>1</w:t>
      </w:r>
      <w:r w:rsidR="00031808" w:rsidRPr="00903F77">
        <w:t xml:space="preserve"> = forced expiratory volume in one second</w:t>
      </w:r>
      <w:r w:rsidR="00F548A3">
        <w:t>; wks = weeks</w:t>
      </w:r>
      <w:r w:rsidR="0055677A">
        <w:t>; Gly = glycopyrronium; Ind = indacaterol; Tio = tiotropium; Umec = umeclidinium; Vi = vilanterol</w:t>
      </w:r>
    </w:p>
    <w:p w:rsidR="002B6C7F" w:rsidRPr="006D0996" w:rsidRDefault="002B6C7F" w:rsidP="00075D48">
      <w:pPr>
        <w:pStyle w:val="TableFooter"/>
        <w:keepNext/>
        <w:widowControl/>
        <w:ind w:left="720"/>
        <w:rPr>
          <w:szCs w:val="18"/>
        </w:rPr>
      </w:pPr>
      <w:r w:rsidRPr="00502829">
        <w:rPr>
          <w:szCs w:val="18"/>
          <w:vertAlign w:val="superscript"/>
        </w:rPr>
        <w:t>a</w:t>
      </w:r>
      <w:r>
        <w:rPr>
          <w:szCs w:val="18"/>
        </w:rPr>
        <w:t xml:space="preserve"> Intention to treat population, N includes only the trial arms relevant for the submission; </w:t>
      </w:r>
      <w:r w:rsidR="00625B31">
        <w:rPr>
          <w:szCs w:val="18"/>
          <w:vertAlign w:val="superscript"/>
        </w:rPr>
        <w:t>b</w:t>
      </w:r>
      <w:r>
        <w:rPr>
          <w:szCs w:val="18"/>
        </w:rPr>
        <w:t xml:space="preserve"> Gly/Ind = 475, Tio = 483; </w:t>
      </w:r>
      <w:r w:rsidR="00625B31">
        <w:rPr>
          <w:szCs w:val="18"/>
          <w:vertAlign w:val="superscript"/>
        </w:rPr>
        <w:t>c</w:t>
      </w:r>
      <w:r w:rsidR="00380558">
        <w:rPr>
          <w:szCs w:val="18"/>
        </w:rPr>
        <w:t> </w:t>
      </w:r>
      <w:r>
        <w:rPr>
          <w:szCs w:val="18"/>
        </w:rPr>
        <w:t>Gly/Ind</w:t>
      </w:r>
      <w:r w:rsidR="00380558">
        <w:rPr>
          <w:szCs w:val="18"/>
        </w:rPr>
        <w:t> </w:t>
      </w:r>
      <w:r>
        <w:rPr>
          <w:szCs w:val="18"/>
        </w:rPr>
        <w:t>=</w:t>
      </w:r>
      <w:r w:rsidR="00380558">
        <w:rPr>
          <w:szCs w:val="18"/>
        </w:rPr>
        <w:t> </w:t>
      </w:r>
      <w:r>
        <w:rPr>
          <w:szCs w:val="18"/>
        </w:rPr>
        <w:t xml:space="preserve">741, Tio = 742; </w:t>
      </w:r>
      <w:r w:rsidR="00625B31">
        <w:rPr>
          <w:szCs w:val="18"/>
          <w:vertAlign w:val="superscript"/>
        </w:rPr>
        <w:t>d</w:t>
      </w:r>
      <w:r w:rsidR="00625B31">
        <w:rPr>
          <w:szCs w:val="18"/>
        </w:rPr>
        <w:t xml:space="preserve"> </w:t>
      </w:r>
      <w:r>
        <w:rPr>
          <w:szCs w:val="18"/>
        </w:rPr>
        <w:t xml:space="preserve">Gly/Ind = 121, Tio = 39; </w:t>
      </w:r>
      <w:r w:rsidR="00625B31">
        <w:rPr>
          <w:szCs w:val="18"/>
          <w:vertAlign w:val="superscript"/>
        </w:rPr>
        <w:t>e</w:t>
      </w:r>
      <w:r w:rsidR="00625B31">
        <w:rPr>
          <w:szCs w:val="18"/>
        </w:rPr>
        <w:t xml:space="preserve"> </w:t>
      </w:r>
      <w:r>
        <w:rPr>
          <w:szCs w:val="18"/>
        </w:rPr>
        <w:t xml:space="preserve">Umec/Vi = 212, Tio = 209; </w:t>
      </w:r>
      <w:r w:rsidR="00625B31">
        <w:rPr>
          <w:szCs w:val="18"/>
          <w:vertAlign w:val="superscript"/>
        </w:rPr>
        <w:t>f </w:t>
      </w:r>
      <w:r>
        <w:rPr>
          <w:szCs w:val="18"/>
        </w:rPr>
        <w:t>Umec/Vi = 218, Tio -215</w:t>
      </w:r>
      <w:r w:rsidR="006D0996">
        <w:rPr>
          <w:szCs w:val="18"/>
        </w:rPr>
        <w:t>;</w:t>
      </w:r>
      <w:r w:rsidR="00625B31" w:rsidRPr="00625B31">
        <w:rPr>
          <w:szCs w:val="18"/>
          <w:vertAlign w:val="superscript"/>
        </w:rPr>
        <w:t xml:space="preserve"> </w:t>
      </w:r>
      <w:r w:rsidR="00625B31">
        <w:rPr>
          <w:szCs w:val="18"/>
          <w:vertAlign w:val="superscript"/>
        </w:rPr>
        <w:t>g</w:t>
      </w:r>
      <w:r w:rsidR="00625B31">
        <w:rPr>
          <w:szCs w:val="18"/>
        </w:rPr>
        <w:t xml:space="preserve"> Tio/Olo = 522, Tio</w:t>
      </w:r>
      <w:r w:rsidR="00380558">
        <w:rPr>
          <w:szCs w:val="18"/>
        </w:rPr>
        <w:t> </w:t>
      </w:r>
      <w:r w:rsidR="00625B31">
        <w:rPr>
          <w:szCs w:val="18"/>
        </w:rPr>
        <w:t xml:space="preserve">= 527; Olo = 528; </w:t>
      </w:r>
      <w:r w:rsidR="00625B31">
        <w:rPr>
          <w:szCs w:val="18"/>
          <w:vertAlign w:val="superscript"/>
        </w:rPr>
        <w:t>h</w:t>
      </w:r>
      <w:r w:rsidR="00625B31">
        <w:rPr>
          <w:szCs w:val="18"/>
        </w:rPr>
        <w:t xml:space="preserve"> Tio/Olo = 507; Tio = 507, Olo = 510; </w:t>
      </w:r>
      <w:r w:rsidR="006D0996">
        <w:rPr>
          <w:szCs w:val="18"/>
        </w:rPr>
        <w:t xml:space="preserve"> </w:t>
      </w:r>
      <w:r w:rsidR="006D0996" w:rsidRPr="006D0996">
        <w:rPr>
          <w:szCs w:val="18"/>
          <w:vertAlign w:val="superscript"/>
        </w:rPr>
        <w:t>i</w:t>
      </w:r>
      <w:r w:rsidR="006D0996">
        <w:rPr>
          <w:szCs w:val="18"/>
        </w:rPr>
        <w:t xml:space="preserve"> Patients included in the tiotropium strata of the trial only</w:t>
      </w:r>
      <w:r w:rsidR="00625B31">
        <w:rPr>
          <w:szCs w:val="18"/>
        </w:rPr>
        <w:t>.</w:t>
      </w:r>
    </w:p>
    <w:p w:rsidR="00B60939" w:rsidRDefault="00B60939" w:rsidP="00075D48">
      <w:pPr>
        <w:widowControl/>
        <w:rPr>
          <w:szCs w:val="22"/>
        </w:rPr>
      </w:pPr>
    </w:p>
    <w:p w:rsidR="00B60939" w:rsidRPr="002C2775" w:rsidRDefault="00B60939" w:rsidP="00075D48">
      <w:pPr>
        <w:pStyle w:val="Heading2"/>
        <w:widowControl/>
        <w:rPr>
          <w:i/>
        </w:rPr>
      </w:pPr>
      <w:bookmarkStart w:id="11" w:name="_Toc419800806"/>
      <w:r w:rsidRPr="002C2775">
        <w:rPr>
          <w:i/>
        </w:rPr>
        <w:t>Comparative effectiveness</w:t>
      </w:r>
      <w:bookmarkEnd w:id="11"/>
    </w:p>
    <w:p w:rsidR="00B60939" w:rsidRPr="00882085" w:rsidRDefault="00B60939" w:rsidP="00075D48">
      <w:pPr>
        <w:widowControl/>
        <w:rPr>
          <w:szCs w:val="22"/>
        </w:rPr>
      </w:pPr>
    </w:p>
    <w:p w:rsidR="002C2775" w:rsidRPr="002E7075" w:rsidRDefault="002E7075" w:rsidP="00075D48">
      <w:pPr>
        <w:pStyle w:val="ListParagraph"/>
        <w:widowControl/>
        <w:numPr>
          <w:ilvl w:val="1"/>
          <w:numId w:val="4"/>
        </w:numPr>
        <w:rPr>
          <w:szCs w:val="22"/>
        </w:rPr>
      </w:pPr>
      <w:r w:rsidRPr="002E7075">
        <w:rPr>
          <w:szCs w:val="22"/>
        </w:rPr>
        <w:t xml:space="preserve">Table 3 presents the trough </w:t>
      </w:r>
      <w:r w:rsidR="00A57A61" w:rsidRPr="00903F77">
        <w:t>forced expiratory volume in one second</w:t>
      </w:r>
      <w:r w:rsidR="00A57A61" w:rsidRPr="002E7075">
        <w:rPr>
          <w:szCs w:val="22"/>
        </w:rPr>
        <w:t xml:space="preserve"> </w:t>
      </w:r>
      <w:r w:rsidR="00A57A61">
        <w:rPr>
          <w:szCs w:val="22"/>
        </w:rPr>
        <w:t>(</w:t>
      </w:r>
      <w:r w:rsidRPr="002E7075">
        <w:rPr>
          <w:szCs w:val="22"/>
        </w:rPr>
        <w:t>FEV</w:t>
      </w:r>
      <w:r w:rsidRPr="002E7075">
        <w:rPr>
          <w:szCs w:val="22"/>
          <w:vertAlign w:val="subscript"/>
        </w:rPr>
        <w:t>1</w:t>
      </w:r>
      <w:r w:rsidR="00A57A61">
        <w:rPr>
          <w:szCs w:val="22"/>
        </w:rPr>
        <w:t>)</w:t>
      </w:r>
      <w:r w:rsidRPr="002E7075">
        <w:rPr>
          <w:szCs w:val="22"/>
        </w:rPr>
        <w:t xml:space="preserve"> at 24</w:t>
      </w:r>
      <w:r w:rsidR="00031808">
        <w:rPr>
          <w:szCs w:val="22"/>
        </w:rPr>
        <w:t> </w:t>
      </w:r>
      <w:r w:rsidRPr="002E7075">
        <w:rPr>
          <w:szCs w:val="22"/>
        </w:rPr>
        <w:t>weeks for the indirect comparisons and Table</w:t>
      </w:r>
      <w:r>
        <w:rPr>
          <w:szCs w:val="22"/>
        </w:rPr>
        <w:t> </w:t>
      </w:r>
      <w:r w:rsidRPr="002E7075">
        <w:rPr>
          <w:szCs w:val="22"/>
        </w:rPr>
        <w:t>4 presents the trough FEV</w:t>
      </w:r>
      <w:r w:rsidRPr="002E7075">
        <w:rPr>
          <w:szCs w:val="22"/>
          <w:vertAlign w:val="subscript"/>
        </w:rPr>
        <w:t>1</w:t>
      </w:r>
      <w:r w:rsidRPr="002E7075">
        <w:rPr>
          <w:szCs w:val="22"/>
        </w:rPr>
        <w:t xml:space="preserve"> at 24</w:t>
      </w:r>
      <w:r w:rsidR="00031808">
        <w:rPr>
          <w:szCs w:val="22"/>
        </w:rPr>
        <w:t> </w:t>
      </w:r>
      <w:r w:rsidRPr="002E7075">
        <w:rPr>
          <w:szCs w:val="22"/>
        </w:rPr>
        <w:t>weeks for the direct comparison</w:t>
      </w:r>
      <w:r w:rsidR="007F1017" w:rsidRPr="002E7075">
        <w:rPr>
          <w:szCs w:val="22"/>
        </w:rPr>
        <w:t>.</w:t>
      </w:r>
      <w:r w:rsidR="009E7136">
        <w:rPr>
          <w:szCs w:val="22"/>
        </w:rPr>
        <w:t xml:space="preserve"> </w:t>
      </w:r>
    </w:p>
    <w:p w:rsidR="007F1017" w:rsidRDefault="007F1017" w:rsidP="00075D48">
      <w:pPr>
        <w:widowControl/>
        <w:rPr>
          <w:szCs w:val="22"/>
        </w:rPr>
      </w:pPr>
    </w:p>
    <w:p w:rsidR="00847E1F" w:rsidRPr="00B60AB1" w:rsidRDefault="00847E1F" w:rsidP="00075D48">
      <w:pPr>
        <w:keepNext/>
        <w:widowControl/>
        <w:ind w:left="720"/>
        <w:rPr>
          <w:rStyle w:val="CommentReference"/>
        </w:rPr>
      </w:pPr>
      <w:r w:rsidRPr="00B60AB1">
        <w:rPr>
          <w:rStyle w:val="CommentReference"/>
        </w:rPr>
        <w:t xml:space="preserve">Table </w:t>
      </w:r>
      <w:r w:rsidR="00690D3B">
        <w:rPr>
          <w:rStyle w:val="CommentReference"/>
        </w:rPr>
        <w:t>3</w:t>
      </w:r>
      <w:r w:rsidRPr="00B60AB1">
        <w:rPr>
          <w:rStyle w:val="CommentReference"/>
        </w:rPr>
        <w:t>: The results of change</w:t>
      </w:r>
      <w:r w:rsidR="00086B63">
        <w:rPr>
          <w:rStyle w:val="CommentReference"/>
        </w:rPr>
        <w:t xml:space="preserve"> from baseline </w:t>
      </w:r>
      <w:r w:rsidRPr="00B60AB1">
        <w:rPr>
          <w:rStyle w:val="CommentReference"/>
        </w:rPr>
        <w:t>in trough FEV</w:t>
      </w:r>
      <w:r w:rsidRPr="000D1D6F">
        <w:rPr>
          <w:rStyle w:val="CommentReference"/>
          <w:vertAlign w:val="subscript"/>
        </w:rPr>
        <w:t>1</w:t>
      </w:r>
      <w:r w:rsidRPr="00B60AB1">
        <w:rPr>
          <w:rStyle w:val="CommentReference"/>
        </w:rPr>
        <w:t xml:space="preserve"> </w:t>
      </w:r>
      <w:r w:rsidR="009E1635">
        <w:rPr>
          <w:rStyle w:val="CommentReference"/>
        </w:rPr>
        <w:t xml:space="preserve">(L) </w:t>
      </w:r>
      <w:r w:rsidRPr="00B60AB1">
        <w:rPr>
          <w:rStyle w:val="CommentReference"/>
        </w:rPr>
        <w:t xml:space="preserve">at </w:t>
      </w:r>
      <w:r w:rsidR="00690D3B">
        <w:rPr>
          <w:rStyle w:val="CommentReference"/>
        </w:rPr>
        <w:t>24</w:t>
      </w:r>
      <w:r w:rsidRPr="00B60AB1">
        <w:rPr>
          <w:rStyle w:val="CommentReference"/>
        </w:rPr>
        <w:t xml:space="preserve"> weeks (</w:t>
      </w:r>
      <w:r>
        <w:rPr>
          <w:rStyle w:val="CommentReference"/>
        </w:rPr>
        <w:t>indirect comparison</w:t>
      </w:r>
      <w:r w:rsidR="009E1635">
        <w:rPr>
          <w:rStyle w:val="CommentReference"/>
        </w:rPr>
        <w:t>s</w:t>
      </w:r>
      <w:r w:rsidRPr="00B60AB1">
        <w:rPr>
          <w:rStyle w:val="CommentReference"/>
        </w:rPr>
        <w:t>)</w:t>
      </w:r>
    </w:p>
    <w:tbl>
      <w:tblPr>
        <w:tblW w:w="0" w:type="auto"/>
        <w:tblInd w:w="737" w:type="dxa"/>
        <w:tblLayout w:type="fixed"/>
        <w:tblCellMar>
          <w:left w:w="28" w:type="dxa"/>
          <w:right w:w="28" w:type="dxa"/>
        </w:tblCellMar>
        <w:tblLook w:val="04A0" w:firstRow="1" w:lastRow="0" w:firstColumn="1" w:lastColumn="0" w:noHBand="0" w:noVBand="1"/>
      </w:tblPr>
      <w:tblGrid>
        <w:gridCol w:w="992"/>
        <w:gridCol w:w="1020"/>
        <w:gridCol w:w="965"/>
        <w:gridCol w:w="850"/>
        <w:gridCol w:w="1134"/>
        <w:gridCol w:w="1134"/>
        <w:gridCol w:w="1300"/>
        <w:gridCol w:w="950"/>
      </w:tblGrid>
      <w:tr w:rsidR="009E1635" w:rsidRPr="00581523" w:rsidTr="00690D3B">
        <w:trPr>
          <w:trHeight w:val="20"/>
          <w:tblHead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E1F" w:rsidRPr="00581523" w:rsidRDefault="00847E1F"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 </w:t>
            </w:r>
          </w:p>
        </w:tc>
        <w:tc>
          <w:tcPr>
            <w:tcW w:w="2835" w:type="dxa"/>
            <w:gridSpan w:val="3"/>
            <w:tcBorders>
              <w:top w:val="single" w:sz="4" w:space="0" w:color="auto"/>
              <w:left w:val="nil"/>
              <w:bottom w:val="single" w:sz="4" w:space="0" w:color="auto"/>
              <w:right w:val="double" w:sz="4" w:space="0" w:color="auto"/>
            </w:tcBorders>
            <w:shd w:val="clear" w:color="auto" w:fill="auto"/>
            <w:vAlign w:val="center"/>
            <w:hideMark/>
          </w:tcPr>
          <w:p w:rsidR="00847E1F" w:rsidRPr="006F6145" w:rsidRDefault="00847E1F" w:rsidP="00075D48">
            <w:pPr>
              <w:keepNext/>
              <w:widowControl/>
              <w:jc w:val="center"/>
              <w:rPr>
                <w:rFonts w:ascii="Arial Narrow" w:hAnsi="Arial Narrow" w:cs="Times New Roman"/>
                <w:b/>
                <w:bCs/>
                <w:snapToGrid/>
                <w:color w:val="000000"/>
                <w:sz w:val="20"/>
                <w:lang w:val="sv-SE" w:eastAsia="en-GB"/>
              </w:rPr>
            </w:pPr>
            <w:r w:rsidRPr="006F6145">
              <w:rPr>
                <w:rFonts w:ascii="Arial Narrow" w:hAnsi="Arial Narrow" w:cs="Times New Roman"/>
                <w:b/>
                <w:bCs/>
                <w:snapToGrid/>
                <w:color w:val="000000"/>
                <w:sz w:val="20"/>
                <w:lang w:val="sv-SE" w:eastAsia="en-GB"/>
              </w:rPr>
              <w:t>Tio/Olo FDC vs. Tio</w:t>
            </w:r>
          </w:p>
        </w:tc>
        <w:tc>
          <w:tcPr>
            <w:tcW w:w="3568" w:type="dxa"/>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Comparator</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47E1F" w:rsidRPr="00581523" w:rsidRDefault="00847E1F" w:rsidP="00075D48">
            <w:pPr>
              <w:keepNext/>
              <w:widowControl/>
              <w:jc w:val="left"/>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val="en-GB" w:eastAsia="en-GB"/>
              </w:rPr>
              <w:t>Indirect</w:t>
            </w:r>
          </w:p>
        </w:tc>
      </w:tr>
      <w:tr w:rsidR="00690D3B" w:rsidRPr="00581523" w:rsidTr="00690D3B">
        <w:trPr>
          <w:trHeight w:val="20"/>
          <w:tblHeader/>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47E1F" w:rsidRPr="00581523" w:rsidRDefault="00847E1F"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 </w:t>
            </w:r>
          </w:p>
        </w:tc>
        <w:tc>
          <w:tcPr>
            <w:tcW w:w="1020" w:type="dxa"/>
            <w:vMerge w:val="restart"/>
            <w:tcBorders>
              <w:top w:val="nil"/>
              <w:left w:val="nil"/>
              <w:right w:val="single" w:sz="4" w:space="0" w:color="auto"/>
            </w:tcBorders>
            <w:shd w:val="clear" w:color="auto" w:fill="auto"/>
            <w:vAlign w:val="center"/>
            <w:hideMark/>
          </w:tcPr>
          <w:p w:rsidR="00690D3B" w:rsidRDefault="00847E1F" w:rsidP="00075D48">
            <w:pPr>
              <w:keepNext/>
              <w:widowControl/>
              <w:jc w:val="center"/>
              <w:rPr>
                <w:rFonts w:ascii="Arial Narrow" w:hAnsi="Arial Narrow" w:cs="Times New Roman"/>
                <w:b/>
                <w:bCs/>
                <w:snapToGrid/>
                <w:color w:val="000000"/>
                <w:sz w:val="20"/>
                <w:lang w:eastAsia="en-GB"/>
              </w:rPr>
            </w:pPr>
            <w:r w:rsidRPr="00581523">
              <w:rPr>
                <w:rFonts w:ascii="Arial Narrow" w:hAnsi="Arial Narrow" w:cs="Times New Roman"/>
                <w:b/>
                <w:bCs/>
                <w:snapToGrid/>
                <w:color w:val="000000"/>
                <w:sz w:val="20"/>
                <w:lang w:eastAsia="en-GB"/>
              </w:rPr>
              <w:t>MD</w:t>
            </w:r>
          </w:p>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(95% CI)</w:t>
            </w:r>
            <w:r w:rsidRPr="00581523">
              <w:rPr>
                <w:rFonts w:ascii="Arial Narrow" w:hAnsi="Arial Narrow" w:cs="Times New Roman"/>
                <w:b/>
                <w:bCs/>
                <w:snapToGrid/>
                <w:color w:val="000000"/>
                <w:sz w:val="20"/>
                <w:lang w:val="en-GB" w:eastAsia="en-GB"/>
              </w:rPr>
              <w:t> </w:t>
            </w:r>
          </w:p>
        </w:tc>
        <w:tc>
          <w:tcPr>
            <w:tcW w:w="965" w:type="dxa"/>
            <w:tcBorders>
              <w:top w:val="nil"/>
              <w:left w:val="nil"/>
              <w:bottom w:val="single" w:sz="4" w:space="0" w:color="auto"/>
              <w:right w:val="single" w:sz="4" w:space="0" w:color="auto"/>
            </w:tcBorders>
            <w:shd w:val="clear" w:color="auto" w:fill="auto"/>
            <w:vAlign w:val="center"/>
            <w:hideMark/>
          </w:tcPr>
          <w:p w:rsidR="00847E1F" w:rsidRPr="00581523" w:rsidRDefault="00847E1F" w:rsidP="00075D48">
            <w:pPr>
              <w:keepNext/>
              <w:widowControl/>
              <w:jc w:val="left"/>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 xml:space="preserve">Tio/Olo </w:t>
            </w:r>
          </w:p>
        </w:tc>
        <w:tc>
          <w:tcPr>
            <w:tcW w:w="850" w:type="dxa"/>
            <w:tcBorders>
              <w:top w:val="nil"/>
              <w:left w:val="nil"/>
              <w:bottom w:val="single" w:sz="4" w:space="0" w:color="auto"/>
              <w:right w:val="doub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Tio 5 µg</w:t>
            </w:r>
          </w:p>
        </w:tc>
        <w:tc>
          <w:tcPr>
            <w:tcW w:w="1134" w:type="dxa"/>
            <w:tcBorders>
              <w:top w:val="nil"/>
              <w:left w:val="double" w:sz="4" w:space="0" w:color="auto"/>
              <w:bottom w:val="single" w:sz="4" w:space="0" w:color="auto"/>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Tio 18 µg</w:t>
            </w:r>
          </w:p>
        </w:tc>
        <w:tc>
          <w:tcPr>
            <w:tcW w:w="1134" w:type="dxa"/>
            <w:tcBorders>
              <w:top w:val="nil"/>
              <w:left w:val="nil"/>
              <w:bottom w:val="single" w:sz="4" w:space="0" w:color="auto"/>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Pr>
                <w:rFonts w:ascii="Arial Narrow" w:hAnsi="Arial Narrow" w:cs="Times New Roman"/>
                <w:b/>
                <w:bCs/>
                <w:snapToGrid/>
                <w:color w:val="000000"/>
                <w:sz w:val="20"/>
                <w:lang w:eastAsia="en-GB"/>
              </w:rPr>
              <w:t>Comp</w:t>
            </w:r>
            <w:r w:rsidRPr="00581523">
              <w:rPr>
                <w:rFonts w:ascii="Arial Narrow" w:hAnsi="Arial Narrow" w:cs="Times New Roman"/>
                <w:b/>
                <w:bCs/>
                <w:snapToGrid/>
                <w:color w:val="000000"/>
                <w:sz w:val="20"/>
                <w:lang w:eastAsia="en-GB"/>
              </w:rPr>
              <w:t xml:space="preserve"> FDC</w:t>
            </w:r>
          </w:p>
        </w:tc>
        <w:tc>
          <w:tcPr>
            <w:tcW w:w="1300" w:type="dxa"/>
            <w:vMerge w:val="restart"/>
            <w:tcBorders>
              <w:top w:val="nil"/>
              <w:left w:val="nil"/>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MD (95% CI)</w:t>
            </w:r>
            <w:r w:rsidRPr="00581523">
              <w:rPr>
                <w:rFonts w:ascii="Arial Narrow" w:hAnsi="Arial Narrow" w:cs="Times New Roman"/>
                <w:b/>
                <w:bCs/>
                <w:snapToGrid/>
                <w:color w:val="000000"/>
                <w:sz w:val="20"/>
                <w:lang w:val="en-GB" w:eastAsia="en-GB"/>
              </w:rPr>
              <w:t> </w:t>
            </w:r>
          </w:p>
        </w:tc>
        <w:tc>
          <w:tcPr>
            <w:tcW w:w="950" w:type="dxa"/>
            <w:vMerge w:val="restart"/>
            <w:tcBorders>
              <w:top w:val="nil"/>
              <w:left w:val="nil"/>
              <w:right w:val="single" w:sz="4" w:space="0" w:color="auto"/>
            </w:tcBorders>
            <w:shd w:val="clear" w:color="auto" w:fill="auto"/>
            <w:vAlign w:val="center"/>
            <w:hideMark/>
          </w:tcPr>
          <w:p w:rsidR="00847E1F" w:rsidRDefault="00847E1F" w:rsidP="00075D48">
            <w:pPr>
              <w:keepNext/>
              <w:widowControl/>
              <w:jc w:val="center"/>
              <w:rPr>
                <w:rFonts w:ascii="Arial Narrow" w:hAnsi="Arial Narrow" w:cs="Times New Roman"/>
                <w:b/>
                <w:bCs/>
                <w:snapToGrid/>
                <w:color w:val="000000"/>
                <w:sz w:val="20"/>
                <w:lang w:eastAsia="en-GB"/>
              </w:rPr>
            </w:pPr>
            <w:r w:rsidRPr="00581523">
              <w:rPr>
                <w:rFonts w:ascii="Arial Narrow" w:hAnsi="Arial Narrow" w:cs="Times New Roman"/>
                <w:b/>
                <w:bCs/>
                <w:snapToGrid/>
                <w:color w:val="000000"/>
                <w:sz w:val="20"/>
                <w:lang w:eastAsia="en-GB"/>
              </w:rPr>
              <w:t>MD</w:t>
            </w:r>
          </w:p>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(95% CI)</w:t>
            </w:r>
            <w:r w:rsidRPr="00581523">
              <w:rPr>
                <w:rFonts w:ascii="Arial Narrow" w:hAnsi="Arial Narrow" w:cs="Times New Roman"/>
                <w:snapToGrid/>
                <w:color w:val="000000"/>
                <w:sz w:val="20"/>
                <w:lang w:val="en-GB" w:eastAsia="en-GB"/>
              </w:rPr>
              <w:t> </w:t>
            </w:r>
          </w:p>
        </w:tc>
      </w:tr>
      <w:tr w:rsidR="00690D3B" w:rsidRPr="00581523" w:rsidTr="00690D3B">
        <w:trPr>
          <w:trHeight w:val="20"/>
          <w:tblHeader/>
        </w:trPr>
        <w:tc>
          <w:tcPr>
            <w:tcW w:w="992" w:type="dxa"/>
            <w:vMerge/>
            <w:tcBorders>
              <w:top w:val="nil"/>
              <w:left w:val="single" w:sz="4" w:space="0" w:color="auto"/>
              <w:bottom w:val="single" w:sz="4" w:space="0" w:color="auto"/>
              <w:right w:val="single" w:sz="4" w:space="0" w:color="auto"/>
            </w:tcBorders>
            <w:vAlign w:val="center"/>
            <w:hideMark/>
          </w:tcPr>
          <w:p w:rsidR="00847E1F" w:rsidRPr="00581523" w:rsidRDefault="00847E1F" w:rsidP="00075D48">
            <w:pPr>
              <w:keepNext/>
              <w:widowControl/>
              <w:jc w:val="left"/>
              <w:rPr>
                <w:rFonts w:ascii="Arial Narrow" w:hAnsi="Arial Narrow" w:cs="Times New Roman"/>
                <w:snapToGrid/>
                <w:color w:val="000000"/>
                <w:sz w:val="20"/>
                <w:lang w:val="en-GB" w:eastAsia="en-GB"/>
              </w:rPr>
            </w:pPr>
          </w:p>
        </w:tc>
        <w:tc>
          <w:tcPr>
            <w:tcW w:w="1020" w:type="dxa"/>
            <w:vMerge/>
            <w:tcBorders>
              <w:left w:val="nil"/>
              <w:bottom w:val="single" w:sz="4" w:space="0" w:color="auto"/>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p>
        </w:tc>
        <w:tc>
          <w:tcPr>
            <w:tcW w:w="965" w:type="dxa"/>
            <w:tcBorders>
              <w:top w:val="nil"/>
              <w:left w:val="nil"/>
              <w:bottom w:val="single" w:sz="4" w:space="0" w:color="auto"/>
              <w:right w:val="single" w:sz="4" w:space="0" w:color="auto"/>
            </w:tcBorders>
            <w:shd w:val="clear" w:color="auto" w:fill="auto"/>
            <w:vAlign w:val="center"/>
            <w:hideMark/>
          </w:tcPr>
          <w:p w:rsidR="00847E1F" w:rsidRPr="00581523" w:rsidRDefault="00847E1F" w:rsidP="00075D48">
            <w:pPr>
              <w:keepNext/>
              <w:widowControl/>
              <w:jc w:val="left"/>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Mean (SE)</w:t>
            </w:r>
          </w:p>
        </w:tc>
        <w:tc>
          <w:tcPr>
            <w:tcW w:w="850" w:type="dxa"/>
            <w:tcBorders>
              <w:top w:val="nil"/>
              <w:left w:val="nil"/>
              <w:bottom w:val="single" w:sz="4" w:space="0" w:color="auto"/>
              <w:right w:val="doub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Mean (SE)</w:t>
            </w:r>
          </w:p>
        </w:tc>
        <w:tc>
          <w:tcPr>
            <w:tcW w:w="1134" w:type="dxa"/>
            <w:tcBorders>
              <w:top w:val="nil"/>
              <w:left w:val="double" w:sz="4" w:space="0" w:color="auto"/>
              <w:bottom w:val="single" w:sz="4" w:space="0" w:color="auto"/>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Mean (SE)</w:t>
            </w:r>
          </w:p>
        </w:tc>
        <w:tc>
          <w:tcPr>
            <w:tcW w:w="1134" w:type="dxa"/>
            <w:tcBorders>
              <w:top w:val="nil"/>
              <w:left w:val="nil"/>
              <w:bottom w:val="single" w:sz="4" w:space="0" w:color="auto"/>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Mean (SE)</w:t>
            </w:r>
          </w:p>
        </w:tc>
        <w:tc>
          <w:tcPr>
            <w:tcW w:w="1300" w:type="dxa"/>
            <w:vMerge/>
            <w:tcBorders>
              <w:left w:val="nil"/>
              <w:bottom w:val="single" w:sz="4" w:space="0" w:color="auto"/>
              <w:right w:val="single" w:sz="4" w:space="0" w:color="auto"/>
            </w:tcBorders>
            <w:shd w:val="clear" w:color="auto" w:fill="auto"/>
            <w:vAlign w:val="center"/>
            <w:hideMark/>
          </w:tcPr>
          <w:p w:rsidR="00847E1F" w:rsidRPr="00581523" w:rsidRDefault="00847E1F" w:rsidP="00075D48">
            <w:pPr>
              <w:keepNext/>
              <w:widowControl/>
              <w:jc w:val="center"/>
              <w:rPr>
                <w:rFonts w:ascii="Arial Narrow" w:hAnsi="Arial Narrow" w:cs="Times New Roman"/>
                <w:b/>
                <w:bCs/>
                <w:snapToGrid/>
                <w:color w:val="000000"/>
                <w:sz w:val="20"/>
                <w:lang w:val="en-GB" w:eastAsia="en-GB"/>
              </w:rPr>
            </w:pPr>
          </w:p>
        </w:tc>
        <w:tc>
          <w:tcPr>
            <w:tcW w:w="950" w:type="dxa"/>
            <w:vMerge/>
            <w:tcBorders>
              <w:left w:val="nil"/>
              <w:bottom w:val="single" w:sz="4" w:space="0" w:color="auto"/>
              <w:right w:val="single" w:sz="4" w:space="0" w:color="auto"/>
            </w:tcBorders>
            <w:shd w:val="clear" w:color="auto" w:fill="auto"/>
            <w:noWrap/>
            <w:vAlign w:val="bottom"/>
            <w:hideMark/>
          </w:tcPr>
          <w:p w:rsidR="00847E1F" w:rsidRPr="00581523" w:rsidRDefault="00847E1F" w:rsidP="00075D48">
            <w:pPr>
              <w:keepNext/>
              <w:widowControl/>
              <w:jc w:val="left"/>
              <w:rPr>
                <w:rFonts w:ascii="Arial Narrow" w:hAnsi="Arial Narrow" w:cs="Times New Roman"/>
                <w:snapToGrid/>
                <w:color w:val="000000"/>
                <w:sz w:val="20"/>
                <w:lang w:val="en-GB" w:eastAsia="en-GB"/>
              </w:rPr>
            </w:pPr>
          </w:p>
        </w:tc>
      </w:tr>
      <w:tr w:rsidR="00690D3B" w:rsidRPr="00581523" w:rsidTr="00690D3B">
        <w:trPr>
          <w:trHeight w:val="20"/>
        </w:trPr>
        <w:tc>
          <w:tcPr>
            <w:tcW w:w="3827" w:type="dxa"/>
            <w:gridSpan w:val="4"/>
            <w:tcBorders>
              <w:top w:val="nil"/>
              <w:left w:val="single" w:sz="4" w:space="0" w:color="auto"/>
              <w:bottom w:val="single" w:sz="4" w:space="0" w:color="auto"/>
              <w:right w:val="double" w:sz="4" w:space="0" w:color="auto"/>
            </w:tcBorders>
            <w:shd w:val="clear" w:color="auto" w:fill="auto"/>
            <w:vAlign w:val="center"/>
          </w:tcPr>
          <w:p w:rsidR="00847E1F" w:rsidRPr="00847E1F" w:rsidRDefault="00690D3B" w:rsidP="00075D48">
            <w:pPr>
              <w:keepNext/>
              <w:widowControl/>
              <w:jc w:val="left"/>
              <w:rPr>
                <w:rFonts w:ascii="Arial Narrow" w:hAnsi="Arial Narrow" w:cs="Times New Roman"/>
                <w:b/>
                <w:snapToGrid/>
                <w:color w:val="000000"/>
                <w:sz w:val="20"/>
                <w:lang w:eastAsia="en-GB"/>
              </w:rPr>
            </w:pPr>
            <w:r>
              <w:rPr>
                <w:rFonts w:ascii="Arial Narrow" w:hAnsi="Arial Narrow" w:cs="Times New Roman"/>
                <w:b/>
                <w:snapToGrid/>
                <w:color w:val="000000"/>
                <w:sz w:val="20"/>
                <w:lang w:eastAsia="en-GB"/>
              </w:rPr>
              <w:t>Comparison 1: v</w:t>
            </w:r>
            <w:r w:rsidR="00847E1F" w:rsidRPr="00847E1F">
              <w:rPr>
                <w:rFonts w:ascii="Arial Narrow" w:hAnsi="Arial Narrow" w:cs="Times New Roman"/>
                <w:b/>
                <w:snapToGrid/>
                <w:color w:val="000000"/>
                <w:sz w:val="20"/>
                <w:lang w:eastAsia="en-GB"/>
              </w:rPr>
              <w:t>s. Gly/Ind FDC</w:t>
            </w:r>
          </w:p>
        </w:tc>
        <w:tc>
          <w:tcPr>
            <w:tcW w:w="1134" w:type="dxa"/>
            <w:tcBorders>
              <w:top w:val="nil"/>
              <w:left w:val="double" w:sz="4" w:space="0" w:color="auto"/>
              <w:bottom w:val="single" w:sz="4" w:space="0" w:color="auto"/>
              <w:right w:val="single" w:sz="4" w:space="0" w:color="auto"/>
            </w:tcBorders>
            <w:shd w:val="clear" w:color="auto" w:fill="auto"/>
            <w:vAlign w:val="center"/>
          </w:tcPr>
          <w:p w:rsidR="00847E1F" w:rsidRPr="00847E1F" w:rsidRDefault="009E1635" w:rsidP="00075D48">
            <w:pPr>
              <w:keepNext/>
              <w:widowControl/>
              <w:jc w:val="center"/>
              <w:rPr>
                <w:rFonts w:ascii="Arial Narrow" w:hAnsi="Arial Narrow" w:cs="Times New Roman"/>
                <w:b/>
                <w:snapToGrid/>
                <w:color w:val="000000"/>
                <w:sz w:val="20"/>
                <w:lang w:val="en-GB" w:eastAsia="en-GB"/>
              </w:rPr>
            </w:pPr>
            <w:r w:rsidRPr="00581523">
              <w:rPr>
                <w:rFonts w:ascii="Arial Narrow" w:hAnsi="Arial Narrow" w:cs="Times New Roman"/>
                <w:b/>
                <w:bCs/>
                <w:snapToGrid/>
                <w:color w:val="000000"/>
                <w:sz w:val="20"/>
                <w:lang w:eastAsia="en-GB"/>
              </w:rPr>
              <w:t>Tio 18 µg</w:t>
            </w:r>
          </w:p>
        </w:tc>
        <w:tc>
          <w:tcPr>
            <w:tcW w:w="1134" w:type="dxa"/>
            <w:tcBorders>
              <w:top w:val="nil"/>
              <w:left w:val="nil"/>
              <w:bottom w:val="single" w:sz="4" w:space="0" w:color="auto"/>
              <w:right w:val="single" w:sz="4" w:space="0" w:color="auto"/>
            </w:tcBorders>
            <w:shd w:val="clear" w:color="auto" w:fill="auto"/>
            <w:vAlign w:val="center"/>
          </w:tcPr>
          <w:p w:rsidR="00847E1F" w:rsidRPr="00847E1F" w:rsidRDefault="00847E1F" w:rsidP="00075D48">
            <w:pPr>
              <w:keepNext/>
              <w:widowControl/>
              <w:jc w:val="center"/>
              <w:rPr>
                <w:rFonts w:ascii="Arial Narrow" w:hAnsi="Arial Narrow" w:cs="Times New Roman"/>
                <w:b/>
                <w:snapToGrid/>
                <w:color w:val="000000"/>
                <w:sz w:val="20"/>
                <w:lang w:val="en-GB" w:eastAsia="en-GB"/>
              </w:rPr>
            </w:pPr>
            <w:r w:rsidRPr="00847E1F">
              <w:rPr>
                <w:rFonts w:ascii="Arial Narrow" w:hAnsi="Arial Narrow" w:cs="Times New Roman"/>
                <w:b/>
                <w:snapToGrid/>
                <w:color w:val="000000"/>
                <w:sz w:val="20"/>
                <w:lang w:val="en-GB" w:eastAsia="en-GB"/>
              </w:rPr>
              <w:t>Gly/Ind FDC</w:t>
            </w:r>
          </w:p>
        </w:tc>
        <w:tc>
          <w:tcPr>
            <w:tcW w:w="1300" w:type="dxa"/>
            <w:tcBorders>
              <w:top w:val="nil"/>
              <w:left w:val="nil"/>
              <w:bottom w:val="single" w:sz="4" w:space="0" w:color="auto"/>
              <w:right w:val="single" w:sz="4" w:space="0" w:color="auto"/>
            </w:tcBorders>
            <w:shd w:val="clear" w:color="auto" w:fill="auto"/>
            <w:vAlign w:val="center"/>
          </w:tcPr>
          <w:p w:rsidR="00847E1F" w:rsidRPr="00581523" w:rsidRDefault="00847E1F" w:rsidP="00075D48">
            <w:pPr>
              <w:keepNext/>
              <w:widowControl/>
              <w:jc w:val="center"/>
              <w:rPr>
                <w:rFonts w:ascii="Arial Narrow" w:hAnsi="Arial Narrow" w:cs="Times New Roman"/>
                <w:snapToGrid/>
                <w:color w:val="000000"/>
                <w:sz w:val="20"/>
                <w:lang w:val="en-GB" w:eastAsia="en-GB"/>
              </w:rPr>
            </w:pPr>
          </w:p>
        </w:tc>
        <w:tc>
          <w:tcPr>
            <w:tcW w:w="950" w:type="dxa"/>
            <w:tcBorders>
              <w:top w:val="nil"/>
              <w:left w:val="nil"/>
              <w:bottom w:val="single" w:sz="4" w:space="0" w:color="auto"/>
              <w:right w:val="single" w:sz="4" w:space="0" w:color="auto"/>
            </w:tcBorders>
            <w:shd w:val="clear" w:color="auto" w:fill="auto"/>
            <w:noWrap/>
            <w:vAlign w:val="center"/>
          </w:tcPr>
          <w:p w:rsidR="00847E1F" w:rsidRPr="00581523" w:rsidRDefault="00847E1F" w:rsidP="00075D48">
            <w:pPr>
              <w:keepNext/>
              <w:widowControl/>
              <w:jc w:val="center"/>
              <w:rPr>
                <w:rFonts w:ascii="Arial Narrow" w:hAnsi="Arial Narrow" w:cs="Times New Roman"/>
                <w:snapToGrid/>
                <w:color w:val="000000"/>
                <w:sz w:val="20"/>
                <w:lang w:val="en-GB" w:eastAsia="en-GB"/>
              </w:rPr>
            </w:pPr>
          </w:p>
        </w:tc>
      </w:tr>
      <w:tr w:rsidR="00690D3B" w:rsidRPr="00581523" w:rsidTr="00690D3B">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TONADO 1</w:t>
            </w:r>
          </w:p>
        </w:tc>
        <w:tc>
          <w:tcPr>
            <w:tcW w:w="1020" w:type="dxa"/>
            <w:tcBorders>
              <w:top w:val="nil"/>
              <w:left w:val="nil"/>
              <w:bottom w:val="single" w:sz="4" w:space="0" w:color="auto"/>
              <w:right w:val="single" w:sz="4" w:space="0" w:color="auto"/>
            </w:tcBorders>
            <w:shd w:val="clear" w:color="auto" w:fill="auto"/>
            <w:vAlign w:val="center"/>
            <w:hideMark/>
          </w:tcPr>
          <w:p w:rsidR="0026694D" w:rsidRDefault="00690D3B" w:rsidP="00075D48">
            <w:pPr>
              <w:keepNext/>
              <w:widowControl/>
              <w:jc w:val="center"/>
              <w:rPr>
                <w:rFonts w:ascii="Arial Narrow" w:hAnsi="Arial Narrow" w:cs="Times New Roman"/>
                <w:b/>
                <w:bCs/>
                <w:snapToGrid/>
                <w:color w:val="000000"/>
                <w:sz w:val="20"/>
                <w:lang w:eastAsia="en-GB"/>
              </w:rPr>
            </w:pPr>
            <w:r w:rsidRPr="00581523">
              <w:rPr>
                <w:rFonts w:ascii="Arial Narrow" w:hAnsi="Arial Narrow" w:cs="Times New Roman"/>
                <w:b/>
                <w:bCs/>
                <w:snapToGrid/>
                <w:color w:val="000000"/>
                <w:sz w:val="20"/>
                <w:lang w:eastAsia="en-GB"/>
              </w:rPr>
              <w:t xml:space="preserve">0.07 </w:t>
            </w:r>
          </w:p>
          <w:p w:rsidR="00690D3B" w:rsidRPr="00581523" w:rsidRDefault="00690D3B"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(0.05, 0.09)</w:t>
            </w:r>
          </w:p>
        </w:tc>
        <w:tc>
          <w:tcPr>
            <w:tcW w:w="965"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0.136 (0.008)</w:t>
            </w:r>
          </w:p>
        </w:tc>
        <w:tc>
          <w:tcPr>
            <w:tcW w:w="850" w:type="dxa"/>
            <w:tcBorders>
              <w:top w:val="nil"/>
              <w:left w:val="nil"/>
              <w:bottom w:val="single" w:sz="4" w:space="0" w:color="auto"/>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0.065 (0.008)</w:t>
            </w:r>
          </w:p>
        </w:tc>
        <w:tc>
          <w:tcPr>
            <w:tcW w:w="1134" w:type="dxa"/>
            <w:tcBorders>
              <w:top w:val="nil"/>
              <w:left w:val="doub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1134"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1300"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950"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r>
      <w:tr w:rsidR="00690D3B" w:rsidRPr="00581523" w:rsidTr="00690D3B">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TONADO 2</w:t>
            </w:r>
          </w:p>
        </w:tc>
        <w:tc>
          <w:tcPr>
            <w:tcW w:w="1020" w:type="dxa"/>
            <w:tcBorders>
              <w:top w:val="nil"/>
              <w:left w:val="nil"/>
              <w:bottom w:val="single" w:sz="4" w:space="0" w:color="auto"/>
              <w:right w:val="single" w:sz="4" w:space="0" w:color="auto"/>
            </w:tcBorders>
            <w:shd w:val="clear" w:color="auto" w:fill="auto"/>
            <w:vAlign w:val="center"/>
            <w:hideMark/>
          </w:tcPr>
          <w:p w:rsidR="0026694D" w:rsidRDefault="00690D3B" w:rsidP="00075D48">
            <w:pPr>
              <w:keepNext/>
              <w:widowControl/>
              <w:jc w:val="center"/>
              <w:rPr>
                <w:rFonts w:ascii="Arial Narrow" w:hAnsi="Arial Narrow" w:cs="Times New Roman"/>
                <w:b/>
                <w:bCs/>
                <w:snapToGrid/>
                <w:color w:val="000000"/>
                <w:sz w:val="20"/>
                <w:lang w:eastAsia="en-GB"/>
              </w:rPr>
            </w:pPr>
            <w:r w:rsidRPr="00581523">
              <w:rPr>
                <w:rFonts w:ascii="Arial Narrow" w:hAnsi="Arial Narrow" w:cs="Times New Roman"/>
                <w:b/>
                <w:bCs/>
                <w:snapToGrid/>
                <w:color w:val="000000"/>
                <w:sz w:val="20"/>
                <w:lang w:eastAsia="en-GB"/>
              </w:rPr>
              <w:t xml:space="preserve">0.05 </w:t>
            </w:r>
          </w:p>
          <w:p w:rsidR="00690D3B" w:rsidRPr="00581523" w:rsidRDefault="00690D3B"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(0.02, 0.07)</w:t>
            </w:r>
          </w:p>
        </w:tc>
        <w:tc>
          <w:tcPr>
            <w:tcW w:w="965"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0.145 (0.009)</w:t>
            </w:r>
          </w:p>
        </w:tc>
        <w:tc>
          <w:tcPr>
            <w:tcW w:w="850" w:type="dxa"/>
            <w:tcBorders>
              <w:top w:val="nil"/>
              <w:left w:val="nil"/>
              <w:bottom w:val="single" w:sz="4" w:space="0" w:color="auto"/>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0.096 (0.009)</w:t>
            </w:r>
          </w:p>
        </w:tc>
        <w:tc>
          <w:tcPr>
            <w:tcW w:w="1134" w:type="dxa"/>
            <w:tcBorders>
              <w:top w:val="nil"/>
              <w:left w:val="doub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1134"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1300"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950"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r>
      <w:tr w:rsidR="00585C81" w:rsidRPr="00581523" w:rsidTr="00690D3B">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585C81" w:rsidRPr="00581523" w:rsidRDefault="00585C81"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SHINE</w:t>
            </w:r>
            <w:r>
              <w:rPr>
                <w:rFonts w:ascii="Arial Narrow" w:hAnsi="Arial Narrow" w:cs="Times New Roman"/>
                <w:snapToGrid/>
                <w:color w:val="000000"/>
                <w:sz w:val="20"/>
                <w:lang w:eastAsia="en-GB"/>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c>
          <w:tcPr>
            <w:tcW w:w="965"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c>
          <w:tcPr>
            <w:tcW w:w="850" w:type="dxa"/>
            <w:tcBorders>
              <w:top w:val="nil"/>
              <w:left w:val="nil"/>
              <w:bottom w:val="single" w:sz="4" w:space="0" w:color="auto"/>
              <w:right w:val="doub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c>
          <w:tcPr>
            <w:tcW w:w="1134" w:type="dxa"/>
            <w:tcBorders>
              <w:top w:val="nil"/>
              <w:left w:val="double" w:sz="4" w:space="0" w:color="auto"/>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1.37 (0.01)</w:t>
            </w:r>
            <w:r w:rsidRPr="008402D1">
              <w:rPr>
                <w:rFonts w:ascii="Arial Narrow" w:hAnsi="Arial Narrow" w:cs="Times New Roman"/>
                <w:snapToGrid/>
                <w:color w:val="000000"/>
                <w:sz w:val="20"/>
                <w:vertAlign w:val="superscript"/>
                <w:lang w:eastAsia="en-GB"/>
              </w:rPr>
              <w:t xml:space="preserve"> a</w:t>
            </w:r>
          </w:p>
        </w:tc>
        <w:tc>
          <w:tcPr>
            <w:tcW w:w="1134"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1.45 (0.01)</w:t>
            </w:r>
            <w:r w:rsidRPr="008402D1">
              <w:rPr>
                <w:rFonts w:ascii="Arial Narrow" w:hAnsi="Arial Narrow" w:cs="Times New Roman"/>
                <w:snapToGrid/>
                <w:color w:val="000000"/>
                <w:sz w:val="20"/>
                <w:vertAlign w:val="superscript"/>
                <w:lang w:eastAsia="en-GB"/>
              </w:rPr>
              <w:t xml:space="preserve"> a</w:t>
            </w:r>
          </w:p>
        </w:tc>
        <w:tc>
          <w:tcPr>
            <w:tcW w:w="1300"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0.08 (0.05, 0.1</w:t>
            </w:r>
            <w:r w:rsidRPr="008402D1">
              <w:rPr>
                <w:rFonts w:ascii="Arial Narrow" w:hAnsi="Arial Narrow" w:cs="Times New Roman"/>
                <w:b/>
                <w:bCs/>
                <w:i/>
                <w:snapToGrid/>
                <w:color w:val="000000"/>
                <w:sz w:val="20"/>
                <w:lang w:eastAsia="en-GB"/>
              </w:rPr>
              <w:t>0</w:t>
            </w:r>
            <w:r w:rsidRPr="00581523">
              <w:rPr>
                <w:rFonts w:ascii="Arial Narrow" w:hAnsi="Arial Narrow" w:cs="Times New Roman"/>
                <w:b/>
                <w:bCs/>
                <w:snapToGrid/>
                <w:color w:val="000000"/>
                <w:sz w:val="20"/>
                <w:lang w:eastAsia="en-GB"/>
              </w:rPr>
              <w:t>)</w:t>
            </w:r>
          </w:p>
        </w:tc>
        <w:tc>
          <w:tcPr>
            <w:tcW w:w="950" w:type="dxa"/>
            <w:tcBorders>
              <w:top w:val="nil"/>
              <w:left w:val="nil"/>
              <w:bottom w:val="single" w:sz="4" w:space="0" w:color="auto"/>
              <w:right w:val="single" w:sz="4" w:space="0" w:color="auto"/>
            </w:tcBorders>
            <w:shd w:val="clear" w:color="auto" w:fill="auto"/>
            <w:noWrap/>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r>
      <w:tr w:rsidR="00585C81" w:rsidRPr="00581523" w:rsidTr="00690D3B">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585C81" w:rsidRPr="00581523" w:rsidRDefault="00585C81"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SPARK</w:t>
            </w:r>
          </w:p>
        </w:tc>
        <w:tc>
          <w:tcPr>
            <w:tcW w:w="1020"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c>
          <w:tcPr>
            <w:tcW w:w="965"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c>
          <w:tcPr>
            <w:tcW w:w="850" w:type="dxa"/>
            <w:tcBorders>
              <w:top w:val="nil"/>
              <w:left w:val="nil"/>
              <w:bottom w:val="single" w:sz="4" w:space="0" w:color="auto"/>
              <w:right w:val="doub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c>
          <w:tcPr>
            <w:tcW w:w="1134" w:type="dxa"/>
            <w:tcBorders>
              <w:top w:val="nil"/>
              <w:left w:val="double" w:sz="4" w:space="0" w:color="auto"/>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1.00 (0.01)</w:t>
            </w:r>
            <w:r w:rsidRPr="008402D1">
              <w:rPr>
                <w:rFonts w:ascii="Arial Narrow" w:hAnsi="Arial Narrow" w:cs="Times New Roman"/>
                <w:snapToGrid/>
                <w:color w:val="000000"/>
                <w:sz w:val="20"/>
                <w:vertAlign w:val="superscript"/>
                <w:lang w:eastAsia="en-GB"/>
              </w:rPr>
              <w:t xml:space="preserve"> a </w:t>
            </w:r>
          </w:p>
        </w:tc>
        <w:tc>
          <w:tcPr>
            <w:tcW w:w="1134"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1.07 (0.01)</w:t>
            </w:r>
            <w:r w:rsidRPr="008402D1">
              <w:rPr>
                <w:rFonts w:ascii="Arial Narrow" w:hAnsi="Arial Narrow" w:cs="Times New Roman"/>
                <w:snapToGrid/>
                <w:color w:val="000000"/>
                <w:sz w:val="20"/>
                <w:vertAlign w:val="superscript"/>
                <w:lang w:eastAsia="en-GB"/>
              </w:rPr>
              <w:t xml:space="preserve"> a </w:t>
            </w:r>
          </w:p>
        </w:tc>
        <w:tc>
          <w:tcPr>
            <w:tcW w:w="1300" w:type="dxa"/>
            <w:tcBorders>
              <w:top w:val="nil"/>
              <w:left w:val="nil"/>
              <w:bottom w:val="single" w:sz="4" w:space="0" w:color="auto"/>
              <w:right w:val="single" w:sz="4" w:space="0" w:color="auto"/>
            </w:tcBorders>
            <w:shd w:val="clear" w:color="auto" w:fill="auto"/>
            <w:vAlign w:val="center"/>
            <w:hideMark/>
          </w:tcPr>
          <w:p w:rsidR="00585C81" w:rsidRPr="00581523" w:rsidRDefault="00585C81"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0.07 (0.04,0.10)</w:t>
            </w:r>
          </w:p>
        </w:tc>
        <w:tc>
          <w:tcPr>
            <w:tcW w:w="950" w:type="dxa"/>
            <w:tcBorders>
              <w:top w:val="nil"/>
              <w:left w:val="nil"/>
              <w:bottom w:val="single" w:sz="4" w:space="0" w:color="auto"/>
              <w:right w:val="single" w:sz="4" w:space="0" w:color="auto"/>
            </w:tcBorders>
            <w:shd w:val="clear" w:color="auto" w:fill="auto"/>
            <w:noWrap/>
            <w:vAlign w:val="center"/>
            <w:hideMark/>
          </w:tcPr>
          <w:p w:rsidR="00585C81" w:rsidRPr="00581523" w:rsidRDefault="00585C81" w:rsidP="00075D48">
            <w:pPr>
              <w:keepNext/>
              <w:widowControl/>
              <w:jc w:val="center"/>
              <w:rPr>
                <w:rFonts w:ascii="Arial Narrow" w:hAnsi="Arial Narrow" w:cs="Times New Roman"/>
                <w:snapToGrid/>
                <w:color w:val="000000"/>
                <w:sz w:val="20"/>
                <w:lang w:val="en-GB" w:eastAsia="en-GB"/>
              </w:rPr>
            </w:pPr>
          </w:p>
        </w:tc>
      </w:tr>
      <w:tr w:rsidR="00690D3B" w:rsidRPr="00581523" w:rsidTr="00690D3B">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ARISE</w:t>
            </w:r>
            <w:r w:rsidRPr="008402D1">
              <w:rPr>
                <w:rFonts w:ascii="Arial Narrow" w:hAnsi="Arial Narrow" w:cs="Times New Roman"/>
                <w:snapToGrid/>
                <w:color w:val="000000"/>
                <w:sz w:val="20"/>
                <w:vertAlign w:val="superscript"/>
                <w:lang w:eastAsia="en-GB"/>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965"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850" w:type="dxa"/>
            <w:tcBorders>
              <w:top w:val="nil"/>
              <w:left w:val="nil"/>
              <w:bottom w:val="single" w:sz="4" w:space="0" w:color="auto"/>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1134" w:type="dxa"/>
            <w:tcBorders>
              <w:top w:val="nil"/>
              <w:left w:val="doub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0.115 (0.022)</w:t>
            </w:r>
            <w:r w:rsidRPr="008402D1">
              <w:rPr>
                <w:rFonts w:ascii="Arial Narrow" w:hAnsi="Arial Narrow" w:cs="Times New Roman"/>
                <w:snapToGrid/>
                <w:color w:val="000000"/>
                <w:sz w:val="20"/>
                <w:vertAlign w:val="superscript"/>
                <w:lang w:eastAsia="en-GB"/>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0.198 (0.016)</w:t>
            </w:r>
            <w:r w:rsidRPr="008402D1">
              <w:rPr>
                <w:rFonts w:ascii="Arial Narrow" w:hAnsi="Arial Narrow" w:cs="Times New Roman"/>
                <w:snapToGrid/>
                <w:color w:val="000000"/>
                <w:sz w:val="20"/>
                <w:vertAlign w:val="superscript"/>
                <w:lang w:eastAsia="en-GB"/>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0.08 (0.03, 0.14)</w:t>
            </w:r>
          </w:p>
        </w:tc>
        <w:tc>
          <w:tcPr>
            <w:tcW w:w="950"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r>
      <w:tr w:rsidR="00690D3B" w:rsidRPr="00581523" w:rsidTr="00690D3B">
        <w:trPr>
          <w:trHeight w:val="20"/>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val="en-GB" w:eastAsia="en-GB"/>
              </w:rPr>
              <w:t>Meta-analysis</w:t>
            </w:r>
          </w:p>
        </w:tc>
        <w:tc>
          <w:tcPr>
            <w:tcW w:w="1020" w:type="dxa"/>
            <w:vMerge w:val="restart"/>
            <w:tcBorders>
              <w:top w:val="nil"/>
              <w:left w:val="nil"/>
              <w:right w:val="single" w:sz="4" w:space="0" w:color="auto"/>
            </w:tcBorders>
            <w:shd w:val="clear" w:color="auto" w:fill="auto"/>
            <w:vAlign w:val="center"/>
          </w:tcPr>
          <w:p w:rsidR="00690D3B" w:rsidRDefault="00690D3B" w:rsidP="00075D48">
            <w:pPr>
              <w:keepNext/>
              <w:widowControl/>
              <w:jc w:val="center"/>
              <w:rPr>
                <w:rFonts w:ascii="Arial Narrow" w:hAnsi="Arial Narrow" w:cs="Times New Roman"/>
                <w:b/>
                <w:bCs/>
                <w:snapToGrid/>
                <w:color w:val="000000"/>
                <w:sz w:val="20"/>
                <w:lang w:eastAsia="en-GB"/>
              </w:rPr>
            </w:pPr>
            <w:r w:rsidRPr="00581523">
              <w:rPr>
                <w:rFonts w:ascii="Arial Narrow" w:hAnsi="Arial Narrow" w:cs="Times New Roman"/>
                <w:b/>
                <w:bCs/>
                <w:snapToGrid/>
                <w:color w:val="000000"/>
                <w:sz w:val="20"/>
                <w:lang w:eastAsia="en-GB"/>
              </w:rPr>
              <w:t>0.06</w:t>
            </w:r>
            <w:r>
              <w:rPr>
                <w:rFonts w:ascii="Arial Narrow" w:hAnsi="Arial Narrow" w:cs="Times New Roman"/>
                <w:b/>
                <w:bCs/>
                <w:snapToGrid/>
                <w:color w:val="000000"/>
                <w:sz w:val="20"/>
                <w:lang w:eastAsia="en-GB"/>
              </w:rPr>
              <w:t xml:space="preserve"> </w:t>
            </w:r>
          </w:p>
          <w:p w:rsidR="00690D3B" w:rsidRDefault="00690D3B" w:rsidP="00075D48">
            <w:pPr>
              <w:keepNext/>
              <w:widowControl/>
              <w:jc w:val="center"/>
              <w:rPr>
                <w:rFonts w:ascii="Arial Narrow" w:hAnsi="Arial Narrow" w:cs="Times New Roman"/>
                <w:b/>
                <w:bCs/>
                <w:snapToGrid/>
                <w:color w:val="000000"/>
                <w:sz w:val="20"/>
                <w:lang w:eastAsia="en-GB"/>
              </w:rPr>
            </w:pPr>
            <w:r w:rsidRPr="00581523">
              <w:rPr>
                <w:rFonts w:ascii="Arial Narrow" w:hAnsi="Arial Narrow" w:cs="Times New Roman"/>
                <w:b/>
                <w:bCs/>
                <w:snapToGrid/>
                <w:color w:val="000000"/>
                <w:sz w:val="20"/>
                <w:lang w:eastAsia="en-GB"/>
              </w:rPr>
              <w:t>(0.04, 0.08)</w:t>
            </w:r>
          </w:p>
          <w:p w:rsidR="00690D3B" w:rsidRPr="00581523" w:rsidRDefault="00690D3B" w:rsidP="00075D48">
            <w:pPr>
              <w:keepNext/>
              <w:widowControl/>
              <w:jc w:val="center"/>
              <w:rPr>
                <w:rFonts w:ascii="Arial Narrow" w:hAnsi="Arial Narrow" w:cs="Times New Roman"/>
                <w:snapToGrid/>
                <w:color w:val="000000"/>
                <w:sz w:val="20"/>
                <w:lang w:val="en-GB" w:eastAsia="en-GB"/>
              </w:rPr>
            </w:pPr>
            <w:r w:rsidRPr="00581523">
              <w:rPr>
                <w:rFonts w:ascii="Arial Narrow" w:hAnsi="Arial Narrow" w:cs="Times New Roman"/>
                <w:b/>
                <w:bCs/>
                <w:snapToGrid/>
                <w:color w:val="000000"/>
                <w:sz w:val="20"/>
                <w:lang w:eastAsia="en-GB"/>
              </w:rPr>
              <w:t>I</w:t>
            </w:r>
            <w:r w:rsidRPr="00B5504C">
              <w:rPr>
                <w:rFonts w:ascii="Arial Narrow" w:hAnsi="Arial Narrow" w:cs="Times New Roman"/>
                <w:b/>
                <w:bCs/>
                <w:snapToGrid/>
                <w:color w:val="000000"/>
                <w:sz w:val="20"/>
                <w:vertAlign w:val="superscript"/>
                <w:lang w:eastAsia="en-GB"/>
              </w:rPr>
              <w:t>2</w:t>
            </w:r>
            <w:r w:rsidRPr="00581523">
              <w:rPr>
                <w:rFonts w:ascii="Arial Narrow" w:hAnsi="Arial Narrow" w:cs="Times New Roman"/>
                <w:b/>
                <w:bCs/>
                <w:snapToGrid/>
                <w:color w:val="000000"/>
                <w:sz w:val="20"/>
                <w:lang w:eastAsia="en-GB"/>
              </w:rPr>
              <w:t>=40%</w:t>
            </w:r>
          </w:p>
        </w:tc>
        <w:tc>
          <w:tcPr>
            <w:tcW w:w="965" w:type="dxa"/>
            <w:vMerge w:val="restart"/>
            <w:tcBorders>
              <w:top w:val="nil"/>
              <w:left w:val="nil"/>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p>
        </w:tc>
        <w:tc>
          <w:tcPr>
            <w:tcW w:w="850" w:type="dxa"/>
            <w:vMerge w:val="restart"/>
            <w:tcBorders>
              <w:top w:val="nil"/>
              <w:left w:val="nil"/>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p>
        </w:tc>
        <w:tc>
          <w:tcPr>
            <w:tcW w:w="2268" w:type="dxa"/>
            <w:gridSpan w:val="2"/>
            <w:tcBorders>
              <w:top w:val="nil"/>
              <w:left w:val="doub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snapToGrid/>
                <w:color w:val="000000"/>
                <w:sz w:val="20"/>
                <w:lang w:val="en-GB" w:eastAsia="en-GB"/>
              </w:rPr>
              <w:t>-ARISE</w:t>
            </w:r>
          </w:p>
        </w:tc>
        <w:tc>
          <w:tcPr>
            <w:tcW w:w="1300" w:type="dxa"/>
            <w:tcBorders>
              <w:top w:val="nil"/>
              <w:left w:val="nil"/>
              <w:bottom w:val="single" w:sz="4" w:space="0" w:color="auto"/>
              <w:right w:val="single" w:sz="4" w:space="0" w:color="auto"/>
            </w:tcBorders>
            <w:shd w:val="clear" w:color="auto" w:fill="auto"/>
            <w:vAlign w:val="center"/>
            <w:hideMark/>
          </w:tcPr>
          <w:p w:rsidR="00690D3B" w:rsidRPr="00245A86" w:rsidRDefault="00962738" w:rsidP="00075D48">
            <w:pPr>
              <w:keepNext/>
              <w:widowControl/>
              <w:jc w:val="center"/>
              <w:rPr>
                <w:rFonts w:ascii="Arial Narrow" w:hAnsi="Arial Narrow" w:cs="Times New Roman"/>
                <w:b/>
                <w:bCs/>
                <w:snapToGrid/>
                <w:color w:val="000000"/>
                <w:sz w:val="20"/>
                <w:lang w:val="en-GB" w:eastAsia="en-GB"/>
              </w:rPr>
            </w:pP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 xml:space="preserve"> (</w:t>
            </w: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 xml:space="preserve">, </w:t>
            </w: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 I</w:t>
            </w:r>
            <w:r w:rsidR="00690D3B" w:rsidRPr="00245A86">
              <w:rPr>
                <w:rFonts w:ascii="Arial Narrow" w:hAnsi="Arial Narrow" w:cs="Times New Roman"/>
                <w:b/>
                <w:bCs/>
                <w:snapToGrid/>
                <w:color w:val="000000"/>
                <w:sz w:val="20"/>
                <w:vertAlign w:val="superscript"/>
                <w:lang w:val="it-IT" w:eastAsia="en-GB"/>
              </w:rPr>
              <w:t>2</w:t>
            </w:r>
            <w:r w:rsidR="00690D3B" w:rsidRPr="00245A86">
              <w:rPr>
                <w:rFonts w:ascii="Arial Narrow" w:hAnsi="Arial Narrow" w:cs="Times New Roman"/>
                <w:b/>
                <w:bCs/>
                <w:snapToGrid/>
                <w:color w:val="000000"/>
                <w:sz w:val="20"/>
                <w:lang w:val="it-IT" w:eastAsia="en-GB"/>
              </w:rPr>
              <w:t>=</w:t>
            </w: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w:t>
            </w:r>
          </w:p>
        </w:tc>
        <w:tc>
          <w:tcPr>
            <w:tcW w:w="950" w:type="dxa"/>
            <w:tcBorders>
              <w:top w:val="nil"/>
              <w:left w:val="nil"/>
              <w:bottom w:val="single" w:sz="4" w:space="0" w:color="auto"/>
              <w:right w:val="single" w:sz="4" w:space="0" w:color="auto"/>
            </w:tcBorders>
            <w:shd w:val="clear" w:color="auto" w:fill="auto"/>
            <w:noWrap/>
            <w:vAlign w:val="center"/>
            <w:hideMark/>
          </w:tcPr>
          <w:p w:rsidR="00690D3B" w:rsidRPr="00245A86" w:rsidRDefault="00690D3B" w:rsidP="00075D48">
            <w:pPr>
              <w:keepNext/>
              <w:widowControl/>
              <w:jc w:val="center"/>
              <w:rPr>
                <w:rFonts w:ascii="Arial Narrow" w:hAnsi="Arial Narrow" w:cs="Times New Roman"/>
                <w:bCs/>
                <w:snapToGrid/>
                <w:color w:val="000000"/>
                <w:sz w:val="20"/>
                <w:lang w:eastAsia="en-GB"/>
              </w:rPr>
            </w:pPr>
            <w:r w:rsidRPr="00245A86">
              <w:rPr>
                <w:rFonts w:ascii="Arial Narrow" w:hAnsi="Arial Narrow" w:cs="Times New Roman"/>
                <w:bCs/>
                <w:snapToGrid/>
                <w:color w:val="000000"/>
                <w:sz w:val="20"/>
                <w:lang w:eastAsia="en-GB"/>
              </w:rPr>
              <w:t>-</w:t>
            </w:r>
            <w:r w:rsidR="00962738">
              <w:rPr>
                <w:rFonts w:ascii="Arial Narrow" w:hAnsi="Arial Narrow" w:cs="Times New Roman"/>
                <w:bCs/>
                <w:noProof/>
                <w:snapToGrid/>
                <w:color w:val="000000"/>
                <w:sz w:val="20"/>
                <w:highlight w:val="black"/>
                <w:lang w:eastAsia="en-GB"/>
              </w:rPr>
              <w:t>'''''''''''</w:t>
            </w:r>
          </w:p>
          <w:p w:rsidR="00690D3B" w:rsidRPr="00245A86" w:rsidRDefault="00690D3B" w:rsidP="00075D48">
            <w:pPr>
              <w:keepNext/>
              <w:widowControl/>
              <w:jc w:val="center"/>
              <w:rPr>
                <w:rFonts w:ascii="Arial Narrow" w:hAnsi="Arial Narrow" w:cs="Times New Roman"/>
                <w:bCs/>
                <w:snapToGrid/>
                <w:color w:val="000000"/>
                <w:sz w:val="20"/>
                <w:lang w:val="en-GB" w:eastAsia="en-GB"/>
              </w:rPr>
            </w:pPr>
            <w:r w:rsidRPr="00245A86">
              <w:rPr>
                <w:rFonts w:ascii="Arial Narrow" w:hAnsi="Arial Narrow" w:cs="Times New Roman"/>
                <w:bCs/>
                <w:snapToGrid/>
                <w:color w:val="000000"/>
                <w:sz w:val="20"/>
                <w:lang w:eastAsia="en-GB"/>
              </w:rPr>
              <w:t>(-</w:t>
            </w:r>
            <w:r w:rsidR="00962738">
              <w:rPr>
                <w:rFonts w:ascii="Arial Narrow" w:hAnsi="Arial Narrow" w:cs="Times New Roman"/>
                <w:bCs/>
                <w:noProof/>
                <w:snapToGrid/>
                <w:color w:val="000000"/>
                <w:sz w:val="20"/>
                <w:highlight w:val="black"/>
                <w:lang w:eastAsia="en-GB"/>
              </w:rPr>
              <w:t>''''''''''</w:t>
            </w:r>
            <w:r w:rsidRPr="00245A86">
              <w:rPr>
                <w:rFonts w:ascii="Arial Narrow" w:hAnsi="Arial Narrow" w:cs="Times New Roman"/>
                <w:bCs/>
                <w:snapToGrid/>
                <w:color w:val="000000"/>
                <w:sz w:val="20"/>
                <w:lang w:eastAsia="en-GB"/>
              </w:rPr>
              <w:t xml:space="preserve">, </w:t>
            </w:r>
            <w:r w:rsidR="00962738">
              <w:rPr>
                <w:rFonts w:ascii="Arial Narrow" w:hAnsi="Arial Narrow" w:cs="Times New Roman"/>
                <w:bCs/>
                <w:noProof/>
                <w:snapToGrid/>
                <w:color w:val="000000"/>
                <w:sz w:val="20"/>
                <w:highlight w:val="black"/>
                <w:lang w:eastAsia="en-GB"/>
              </w:rPr>
              <w:t>'''''''''''</w:t>
            </w:r>
            <w:r w:rsidRPr="00245A86">
              <w:rPr>
                <w:rFonts w:ascii="Arial Narrow" w:hAnsi="Arial Narrow" w:cs="Times New Roman"/>
                <w:bCs/>
                <w:snapToGrid/>
                <w:color w:val="000000"/>
                <w:sz w:val="20"/>
                <w:lang w:eastAsia="en-GB"/>
              </w:rPr>
              <w:t>)</w:t>
            </w:r>
          </w:p>
        </w:tc>
      </w:tr>
      <w:tr w:rsidR="00690D3B" w:rsidRPr="00581523" w:rsidTr="00690D3B">
        <w:trPr>
          <w:trHeight w:val="20"/>
        </w:trPr>
        <w:tc>
          <w:tcPr>
            <w:tcW w:w="992" w:type="dxa"/>
            <w:vMerge/>
            <w:tcBorders>
              <w:top w:val="nil"/>
              <w:left w:val="single" w:sz="4" w:space="0" w:color="auto"/>
              <w:bottom w:val="single" w:sz="4" w:space="0" w:color="auto"/>
              <w:right w:val="single" w:sz="4" w:space="0" w:color="auto"/>
            </w:tcBorders>
            <w:vAlign w:val="center"/>
            <w:hideMark/>
          </w:tcPr>
          <w:p w:rsidR="00690D3B" w:rsidRPr="00581523" w:rsidRDefault="00690D3B" w:rsidP="00075D48">
            <w:pPr>
              <w:keepNext/>
              <w:widowControl/>
              <w:jc w:val="left"/>
              <w:rPr>
                <w:rFonts w:ascii="Arial Narrow" w:hAnsi="Arial Narrow" w:cs="Times New Roman"/>
                <w:snapToGrid/>
                <w:color w:val="000000"/>
                <w:sz w:val="20"/>
                <w:lang w:val="en-GB" w:eastAsia="en-GB"/>
              </w:rPr>
            </w:pPr>
          </w:p>
        </w:tc>
        <w:tc>
          <w:tcPr>
            <w:tcW w:w="1020" w:type="dxa"/>
            <w:vMerge/>
            <w:tcBorders>
              <w:left w:val="nil"/>
              <w:bottom w:val="single" w:sz="4" w:space="0" w:color="auto"/>
              <w:right w:val="single" w:sz="4" w:space="0" w:color="auto"/>
            </w:tcBorders>
            <w:shd w:val="clear" w:color="auto" w:fill="auto"/>
            <w:vAlign w:val="center"/>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965" w:type="dxa"/>
            <w:vMerge/>
            <w:tcBorders>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p>
        </w:tc>
        <w:tc>
          <w:tcPr>
            <w:tcW w:w="850" w:type="dxa"/>
            <w:vMerge/>
            <w:tcBorders>
              <w:left w:val="nil"/>
              <w:bottom w:val="single" w:sz="4" w:space="0" w:color="auto"/>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p>
        </w:tc>
        <w:tc>
          <w:tcPr>
            <w:tcW w:w="2268" w:type="dxa"/>
            <w:gridSpan w:val="2"/>
            <w:tcBorders>
              <w:top w:val="nil"/>
              <w:left w:val="doub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r w:rsidRPr="00581523">
              <w:rPr>
                <w:rFonts w:ascii="Arial Narrow" w:hAnsi="Arial Narrow" w:cs="Times New Roman"/>
                <w:snapToGrid/>
                <w:color w:val="000000"/>
                <w:sz w:val="20"/>
                <w:lang w:eastAsia="en-GB"/>
              </w:rPr>
              <w:t>+ARISE</w:t>
            </w:r>
          </w:p>
        </w:tc>
        <w:tc>
          <w:tcPr>
            <w:tcW w:w="1300" w:type="dxa"/>
            <w:tcBorders>
              <w:top w:val="nil"/>
              <w:left w:val="nil"/>
              <w:bottom w:val="single" w:sz="4" w:space="0" w:color="auto"/>
              <w:right w:val="single" w:sz="4" w:space="0" w:color="auto"/>
            </w:tcBorders>
            <w:shd w:val="clear" w:color="auto" w:fill="auto"/>
            <w:vAlign w:val="center"/>
            <w:hideMark/>
          </w:tcPr>
          <w:p w:rsidR="00690D3B" w:rsidRPr="00245A86" w:rsidRDefault="00962738" w:rsidP="00075D48">
            <w:pPr>
              <w:keepNext/>
              <w:widowControl/>
              <w:jc w:val="center"/>
              <w:rPr>
                <w:rFonts w:ascii="Arial Narrow" w:hAnsi="Arial Narrow" w:cs="Times New Roman"/>
                <w:b/>
                <w:bCs/>
                <w:snapToGrid/>
                <w:color w:val="000000"/>
                <w:sz w:val="20"/>
                <w:lang w:val="en-GB" w:eastAsia="en-GB"/>
              </w:rPr>
            </w:pP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 xml:space="preserve"> (</w:t>
            </w: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 xml:space="preserve">, </w:t>
            </w: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 I</w:t>
            </w:r>
            <w:r w:rsidR="00690D3B" w:rsidRPr="00245A86">
              <w:rPr>
                <w:rFonts w:ascii="Arial Narrow" w:hAnsi="Arial Narrow" w:cs="Times New Roman"/>
                <w:b/>
                <w:bCs/>
                <w:snapToGrid/>
                <w:color w:val="000000"/>
                <w:sz w:val="20"/>
                <w:vertAlign w:val="superscript"/>
                <w:lang w:val="it-IT" w:eastAsia="en-GB"/>
              </w:rPr>
              <w:t>2</w:t>
            </w:r>
            <w:r w:rsidR="00690D3B" w:rsidRPr="00245A86">
              <w:rPr>
                <w:rFonts w:ascii="Arial Narrow" w:hAnsi="Arial Narrow" w:cs="Times New Roman"/>
                <w:b/>
                <w:bCs/>
                <w:snapToGrid/>
                <w:color w:val="000000"/>
                <w:sz w:val="20"/>
                <w:lang w:val="it-IT" w:eastAsia="en-GB"/>
              </w:rPr>
              <w:t>=</w:t>
            </w:r>
            <w:r>
              <w:rPr>
                <w:rFonts w:ascii="Arial Narrow" w:hAnsi="Arial Narrow" w:cs="Times New Roman"/>
                <w:b/>
                <w:bCs/>
                <w:noProof/>
                <w:snapToGrid/>
                <w:color w:val="000000"/>
                <w:sz w:val="20"/>
                <w:highlight w:val="black"/>
                <w:lang w:val="it-IT" w:eastAsia="en-GB"/>
              </w:rPr>
              <w:t>'''</w:t>
            </w:r>
            <w:r w:rsidR="00690D3B" w:rsidRPr="00245A86">
              <w:rPr>
                <w:rFonts w:ascii="Arial Narrow" w:hAnsi="Arial Narrow" w:cs="Times New Roman"/>
                <w:b/>
                <w:bCs/>
                <w:snapToGrid/>
                <w:color w:val="000000"/>
                <w:sz w:val="20"/>
                <w:lang w:val="it-IT" w:eastAsia="en-GB"/>
              </w:rPr>
              <w:t>%</w:t>
            </w:r>
          </w:p>
        </w:tc>
        <w:tc>
          <w:tcPr>
            <w:tcW w:w="950" w:type="dxa"/>
            <w:tcBorders>
              <w:top w:val="nil"/>
              <w:left w:val="nil"/>
              <w:bottom w:val="single" w:sz="4" w:space="0" w:color="auto"/>
              <w:right w:val="single" w:sz="4" w:space="0" w:color="auto"/>
            </w:tcBorders>
            <w:shd w:val="clear" w:color="auto" w:fill="auto"/>
            <w:noWrap/>
            <w:vAlign w:val="center"/>
            <w:hideMark/>
          </w:tcPr>
          <w:p w:rsidR="00690D3B" w:rsidRPr="00245A86" w:rsidRDefault="00690D3B" w:rsidP="00075D48">
            <w:pPr>
              <w:keepNext/>
              <w:widowControl/>
              <w:jc w:val="center"/>
              <w:rPr>
                <w:rFonts w:ascii="Arial Narrow" w:hAnsi="Arial Narrow" w:cs="Times New Roman"/>
                <w:bCs/>
                <w:snapToGrid/>
                <w:color w:val="000000"/>
                <w:sz w:val="20"/>
                <w:lang w:eastAsia="en-GB"/>
              </w:rPr>
            </w:pPr>
            <w:r w:rsidRPr="00245A86">
              <w:rPr>
                <w:rFonts w:ascii="Arial Narrow" w:hAnsi="Arial Narrow" w:cs="Times New Roman"/>
                <w:bCs/>
                <w:snapToGrid/>
                <w:color w:val="000000"/>
                <w:sz w:val="20"/>
                <w:lang w:eastAsia="en-GB"/>
              </w:rPr>
              <w:t>-</w:t>
            </w:r>
            <w:r w:rsidR="00962738">
              <w:rPr>
                <w:rFonts w:ascii="Arial Narrow" w:hAnsi="Arial Narrow" w:cs="Times New Roman"/>
                <w:bCs/>
                <w:noProof/>
                <w:snapToGrid/>
                <w:color w:val="000000"/>
                <w:sz w:val="20"/>
                <w:highlight w:val="black"/>
                <w:lang w:eastAsia="en-GB"/>
              </w:rPr>
              <w:t>''''''''''</w:t>
            </w:r>
            <w:r w:rsidRPr="00245A86">
              <w:rPr>
                <w:rFonts w:ascii="Arial Narrow" w:hAnsi="Arial Narrow" w:cs="Times New Roman"/>
                <w:bCs/>
                <w:snapToGrid/>
                <w:color w:val="000000"/>
                <w:sz w:val="20"/>
                <w:lang w:eastAsia="en-GB"/>
              </w:rPr>
              <w:t xml:space="preserve"> </w:t>
            </w:r>
          </w:p>
          <w:p w:rsidR="00690D3B" w:rsidRPr="00245A86" w:rsidRDefault="00690D3B" w:rsidP="00075D48">
            <w:pPr>
              <w:keepNext/>
              <w:widowControl/>
              <w:jc w:val="center"/>
              <w:rPr>
                <w:rFonts w:ascii="Arial Narrow" w:hAnsi="Arial Narrow" w:cs="Times New Roman"/>
                <w:bCs/>
                <w:snapToGrid/>
                <w:color w:val="000000"/>
                <w:sz w:val="20"/>
                <w:lang w:val="en-GB" w:eastAsia="en-GB"/>
              </w:rPr>
            </w:pPr>
            <w:r w:rsidRPr="00245A86">
              <w:rPr>
                <w:rFonts w:ascii="Arial Narrow" w:hAnsi="Arial Narrow" w:cs="Times New Roman"/>
                <w:bCs/>
                <w:snapToGrid/>
                <w:color w:val="000000"/>
                <w:sz w:val="20"/>
                <w:lang w:eastAsia="en-GB"/>
              </w:rPr>
              <w:t>(-</w:t>
            </w:r>
            <w:r w:rsidR="00962738">
              <w:rPr>
                <w:rFonts w:ascii="Arial Narrow" w:hAnsi="Arial Narrow" w:cs="Times New Roman"/>
                <w:bCs/>
                <w:noProof/>
                <w:snapToGrid/>
                <w:color w:val="000000"/>
                <w:sz w:val="20"/>
                <w:highlight w:val="black"/>
                <w:lang w:eastAsia="en-GB"/>
              </w:rPr>
              <w:t>''''''''''''</w:t>
            </w:r>
            <w:r w:rsidRPr="00245A86">
              <w:rPr>
                <w:rFonts w:ascii="Arial Narrow" w:hAnsi="Arial Narrow" w:cs="Times New Roman"/>
                <w:bCs/>
                <w:snapToGrid/>
                <w:color w:val="000000"/>
                <w:sz w:val="20"/>
                <w:lang w:eastAsia="en-GB"/>
              </w:rPr>
              <w:t xml:space="preserve">, </w:t>
            </w:r>
            <w:r w:rsidR="00962738">
              <w:rPr>
                <w:rFonts w:ascii="Arial Narrow" w:hAnsi="Arial Narrow" w:cs="Times New Roman"/>
                <w:bCs/>
                <w:noProof/>
                <w:snapToGrid/>
                <w:color w:val="000000"/>
                <w:sz w:val="20"/>
                <w:highlight w:val="black"/>
                <w:lang w:eastAsia="en-GB"/>
              </w:rPr>
              <w:t>''''''''''</w:t>
            </w:r>
            <w:r w:rsidRPr="00245A86">
              <w:rPr>
                <w:rFonts w:ascii="Arial Narrow" w:hAnsi="Arial Narrow" w:cs="Times New Roman"/>
                <w:bCs/>
                <w:snapToGrid/>
                <w:color w:val="000000"/>
                <w:sz w:val="20"/>
                <w:lang w:eastAsia="en-GB"/>
              </w:rPr>
              <w:t>)</w:t>
            </w:r>
          </w:p>
        </w:tc>
      </w:tr>
      <w:tr w:rsidR="00847E1F" w:rsidRPr="00581523" w:rsidTr="00690D3B">
        <w:trPr>
          <w:trHeight w:val="20"/>
        </w:trPr>
        <w:tc>
          <w:tcPr>
            <w:tcW w:w="3827" w:type="dxa"/>
            <w:gridSpan w:val="4"/>
            <w:tcBorders>
              <w:top w:val="nil"/>
              <w:left w:val="single" w:sz="4" w:space="0" w:color="auto"/>
              <w:bottom w:val="single" w:sz="4" w:space="0" w:color="auto"/>
              <w:right w:val="double" w:sz="4" w:space="0" w:color="auto"/>
            </w:tcBorders>
            <w:shd w:val="clear" w:color="auto" w:fill="auto"/>
            <w:vAlign w:val="center"/>
          </w:tcPr>
          <w:p w:rsidR="00847E1F" w:rsidRPr="006F6145" w:rsidRDefault="00690D3B" w:rsidP="00075D48">
            <w:pPr>
              <w:keepNext/>
              <w:widowControl/>
              <w:jc w:val="left"/>
              <w:rPr>
                <w:rFonts w:ascii="Arial Narrow" w:hAnsi="Arial Narrow" w:cs="Times New Roman"/>
                <w:snapToGrid/>
                <w:color w:val="000000"/>
                <w:sz w:val="20"/>
                <w:lang w:val="it-IT" w:eastAsia="en-GB"/>
              </w:rPr>
            </w:pPr>
            <w:r w:rsidRPr="006F6145">
              <w:rPr>
                <w:rFonts w:ascii="Arial Narrow" w:hAnsi="Arial Narrow" w:cs="Times New Roman"/>
                <w:b/>
                <w:bCs/>
                <w:snapToGrid/>
                <w:color w:val="000000"/>
                <w:sz w:val="20"/>
                <w:lang w:val="it-IT" w:eastAsia="en-GB"/>
              </w:rPr>
              <w:t>Comparison 2: v</w:t>
            </w:r>
            <w:r w:rsidR="00847E1F" w:rsidRPr="006F6145">
              <w:rPr>
                <w:rFonts w:ascii="Arial Narrow" w:hAnsi="Arial Narrow" w:cs="Times New Roman"/>
                <w:b/>
                <w:bCs/>
                <w:snapToGrid/>
                <w:color w:val="000000"/>
                <w:sz w:val="20"/>
                <w:lang w:val="it-IT" w:eastAsia="en-GB"/>
              </w:rPr>
              <w:t>s. Umec/Vi FDC</w:t>
            </w:r>
          </w:p>
        </w:tc>
        <w:tc>
          <w:tcPr>
            <w:tcW w:w="1134" w:type="dxa"/>
            <w:tcBorders>
              <w:top w:val="nil"/>
              <w:left w:val="double" w:sz="4" w:space="0" w:color="auto"/>
              <w:bottom w:val="single" w:sz="4" w:space="0" w:color="auto"/>
              <w:right w:val="single" w:sz="4" w:space="0" w:color="auto"/>
            </w:tcBorders>
            <w:shd w:val="clear" w:color="auto" w:fill="auto"/>
            <w:vAlign w:val="center"/>
          </w:tcPr>
          <w:p w:rsidR="00847E1F" w:rsidRPr="00847E1F" w:rsidRDefault="009E1635" w:rsidP="00075D48">
            <w:pPr>
              <w:keepNext/>
              <w:widowControl/>
              <w:jc w:val="center"/>
              <w:rPr>
                <w:rFonts w:ascii="Arial Narrow" w:hAnsi="Arial Narrow" w:cs="Times New Roman"/>
                <w:b/>
                <w:snapToGrid/>
                <w:color w:val="000000"/>
                <w:sz w:val="20"/>
                <w:lang w:val="en-GB" w:eastAsia="en-GB"/>
              </w:rPr>
            </w:pPr>
            <w:r w:rsidRPr="00581523">
              <w:rPr>
                <w:rFonts w:ascii="Arial Narrow" w:hAnsi="Arial Narrow" w:cs="Times New Roman"/>
                <w:b/>
                <w:bCs/>
                <w:snapToGrid/>
                <w:color w:val="000000"/>
                <w:sz w:val="20"/>
                <w:lang w:eastAsia="en-GB"/>
              </w:rPr>
              <w:t>Tio 18 µg</w:t>
            </w:r>
          </w:p>
        </w:tc>
        <w:tc>
          <w:tcPr>
            <w:tcW w:w="1134" w:type="dxa"/>
            <w:tcBorders>
              <w:top w:val="nil"/>
              <w:left w:val="nil"/>
              <w:bottom w:val="single" w:sz="4" w:space="0" w:color="auto"/>
              <w:right w:val="single" w:sz="4" w:space="0" w:color="auto"/>
            </w:tcBorders>
            <w:shd w:val="clear" w:color="auto" w:fill="auto"/>
            <w:vAlign w:val="center"/>
          </w:tcPr>
          <w:p w:rsidR="00847E1F" w:rsidRPr="00847E1F" w:rsidRDefault="00847E1F" w:rsidP="00075D48">
            <w:pPr>
              <w:keepNext/>
              <w:widowControl/>
              <w:jc w:val="center"/>
              <w:rPr>
                <w:rFonts w:ascii="Arial Narrow" w:hAnsi="Arial Narrow" w:cs="Times New Roman"/>
                <w:b/>
                <w:snapToGrid/>
                <w:color w:val="000000"/>
                <w:sz w:val="20"/>
                <w:lang w:val="en-GB" w:eastAsia="en-GB"/>
              </w:rPr>
            </w:pPr>
            <w:r w:rsidRPr="00847E1F">
              <w:rPr>
                <w:rFonts w:ascii="Arial Narrow" w:hAnsi="Arial Narrow" w:cs="Times New Roman"/>
                <w:b/>
                <w:snapToGrid/>
                <w:color w:val="000000"/>
                <w:sz w:val="20"/>
                <w:lang w:val="en-GB" w:eastAsia="en-GB"/>
              </w:rPr>
              <w:t>Umec/Vi FDC</w:t>
            </w:r>
          </w:p>
        </w:tc>
        <w:tc>
          <w:tcPr>
            <w:tcW w:w="1300" w:type="dxa"/>
            <w:tcBorders>
              <w:top w:val="nil"/>
              <w:left w:val="nil"/>
              <w:bottom w:val="single" w:sz="4" w:space="0" w:color="auto"/>
              <w:right w:val="single" w:sz="4" w:space="0" w:color="auto"/>
            </w:tcBorders>
            <w:shd w:val="clear" w:color="auto" w:fill="auto"/>
            <w:vAlign w:val="center"/>
          </w:tcPr>
          <w:p w:rsidR="00847E1F" w:rsidRPr="00581523" w:rsidRDefault="00847E1F" w:rsidP="00075D48">
            <w:pPr>
              <w:keepNext/>
              <w:widowControl/>
              <w:jc w:val="center"/>
              <w:rPr>
                <w:rFonts w:ascii="Arial Narrow" w:hAnsi="Arial Narrow" w:cs="Times New Roman"/>
                <w:snapToGrid/>
                <w:color w:val="000000"/>
                <w:sz w:val="20"/>
                <w:lang w:val="en-GB" w:eastAsia="en-GB"/>
              </w:rPr>
            </w:pPr>
          </w:p>
        </w:tc>
        <w:tc>
          <w:tcPr>
            <w:tcW w:w="950" w:type="dxa"/>
            <w:tcBorders>
              <w:top w:val="nil"/>
              <w:left w:val="nil"/>
              <w:bottom w:val="single" w:sz="4" w:space="0" w:color="auto"/>
              <w:right w:val="single" w:sz="4" w:space="0" w:color="auto"/>
            </w:tcBorders>
            <w:shd w:val="clear" w:color="auto" w:fill="auto"/>
            <w:noWrap/>
            <w:vAlign w:val="center"/>
          </w:tcPr>
          <w:p w:rsidR="00847E1F" w:rsidRPr="00581523" w:rsidRDefault="00847E1F" w:rsidP="00075D48">
            <w:pPr>
              <w:keepNext/>
              <w:widowControl/>
              <w:jc w:val="center"/>
              <w:rPr>
                <w:rFonts w:ascii="Arial Narrow" w:hAnsi="Arial Narrow" w:cs="Times New Roman"/>
                <w:snapToGrid/>
                <w:color w:val="000000"/>
                <w:sz w:val="20"/>
                <w:lang w:val="en-GB" w:eastAsia="en-GB"/>
              </w:rPr>
            </w:pPr>
          </w:p>
        </w:tc>
      </w:tr>
      <w:tr w:rsidR="00690D3B" w:rsidRPr="00581523" w:rsidTr="00690D3B">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Decramer 1</w:t>
            </w:r>
          </w:p>
        </w:tc>
        <w:tc>
          <w:tcPr>
            <w:tcW w:w="1020"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965"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850" w:type="dxa"/>
            <w:tcBorders>
              <w:top w:val="nil"/>
              <w:left w:val="nil"/>
              <w:bottom w:val="single" w:sz="4" w:space="0" w:color="auto"/>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1134" w:type="dxa"/>
            <w:tcBorders>
              <w:top w:val="nil"/>
              <w:left w:val="double" w:sz="4" w:space="0" w:color="auto"/>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0.121 (0.01</w:t>
            </w:r>
            <w:r>
              <w:rPr>
                <w:rFonts w:ascii="Arial Narrow" w:hAnsi="Arial Narrow" w:cs="Times New Roman"/>
                <w:snapToGrid/>
                <w:color w:val="000000"/>
                <w:sz w:val="20"/>
                <w:lang w:eastAsia="en-GB"/>
              </w:rPr>
              <w:t>9</w:t>
            </w:r>
            <w:r w:rsidRPr="00581523">
              <w:rPr>
                <w:rFonts w:ascii="Arial Narrow" w:hAnsi="Arial Narrow" w:cs="Times New Roman"/>
                <w:snapToGrid/>
                <w:color w:val="000000"/>
                <w:sz w:val="20"/>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0.211 (0.018)</w:t>
            </w:r>
          </w:p>
        </w:tc>
        <w:tc>
          <w:tcPr>
            <w:tcW w:w="1300"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0.09 (0.04, 0.14)</w:t>
            </w:r>
          </w:p>
        </w:tc>
        <w:tc>
          <w:tcPr>
            <w:tcW w:w="950"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snapToGrid/>
                <w:color w:val="000000"/>
                <w:szCs w:val="22"/>
                <w:lang w:val="en-GB" w:eastAsia="en-GB"/>
              </w:rPr>
            </w:pPr>
          </w:p>
        </w:tc>
      </w:tr>
      <w:tr w:rsidR="00690D3B" w:rsidRPr="00581523" w:rsidTr="00690D3B">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Decramer 2</w:t>
            </w:r>
          </w:p>
        </w:tc>
        <w:tc>
          <w:tcPr>
            <w:tcW w:w="1020"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965" w:type="dxa"/>
            <w:tcBorders>
              <w:top w:val="nil"/>
              <w:left w:val="nil"/>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850" w:type="dxa"/>
            <w:tcBorders>
              <w:top w:val="nil"/>
              <w:left w:val="nil"/>
              <w:bottom w:val="single" w:sz="4" w:space="0" w:color="auto"/>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1134" w:type="dxa"/>
            <w:tcBorders>
              <w:top w:val="nil"/>
              <w:left w:val="double" w:sz="4" w:space="0" w:color="auto"/>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0.149 (0.01</w:t>
            </w:r>
            <w:r>
              <w:rPr>
                <w:rFonts w:ascii="Arial Narrow" w:hAnsi="Arial Narrow" w:cs="Times New Roman"/>
                <w:snapToGrid/>
                <w:color w:val="000000"/>
                <w:sz w:val="20"/>
                <w:lang w:eastAsia="en-GB"/>
              </w:rPr>
              <w:t>8</w:t>
            </w:r>
            <w:r w:rsidRPr="00581523">
              <w:rPr>
                <w:rFonts w:ascii="Arial Narrow" w:hAnsi="Arial Narrow" w:cs="Times New Roman"/>
                <w:snapToGrid/>
                <w:color w:val="000000"/>
                <w:sz w:val="20"/>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eastAsia="en-GB"/>
              </w:rPr>
              <w:t>0.208 (0.018)</w:t>
            </w:r>
          </w:p>
        </w:tc>
        <w:tc>
          <w:tcPr>
            <w:tcW w:w="1300"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b/>
                <w:bCs/>
                <w:snapToGrid/>
                <w:color w:val="000000"/>
                <w:sz w:val="20"/>
                <w:lang w:val="en-GB" w:eastAsia="en-GB"/>
              </w:rPr>
            </w:pPr>
            <w:r w:rsidRPr="00581523">
              <w:rPr>
                <w:rFonts w:ascii="Arial Narrow" w:hAnsi="Arial Narrow" w:cs="Times New Roman"/>
                <w:b/>
                <w:bCs/>
                <w:snapToGrid/>
                <w:color w:val="000000"/>
                <w:sz w:val="20"/>
                <w:lang w:eastAsia="en-GB"/>
              </w:rPr>
              <w:t>0.06 (0.01, 0.11)</w:t>
            </w:r>
          </w:p>
        </w:tc>
        <w:tc>
          <w:tcPr>
            <w:tcW w:w="950" w:type="dxa"/>
            <w:tcBorders>
              <w:top w:val="nil"/>
              <w:left w:val="nil"/>
              <w:bottom w:val="single" w:sz="4" w:space="0" w:color="auto"/>
              <w:right w:val="single" w:sz="4" w:space="0" w:color="auto"/>
            </w:tcBorders>
            <w:shd w:val="clear" w:color="auto" w:fill="auto"/>
            <w:noWrap/>
            <w:vAlign w:val="center"/>
            <w:hideMark/>
          </w:tcPr>
          <w:p w:rsidR="00690D3B" w:rsidRPr="00581523" w:rsidRDefault="00690D3B" w:rsidP="00075D48">
            <w:pPr>
              <w:widowControl/>
              <w:jc w:val="center"/>
              <w:rPr>
                <w:rFonts w:ascii="Arial Narrow" w:hAnsi="Arial Narrow" w:cs="Times New Roman"/>
                <w:snapToGrid/>
                <w:color w:val="000000"/>
                <w:szCs w:val="22"/>
                <w:lang w:val="en-GB" w:eastAsia="en-GB"/>
              </w:rPr>
            </w:pPr>
          </w:p>
        </w:tc>
      </w:tr>
      <w:tr w:rsidR="00690D3B" w:rsidRPr="00581523" w:rsidTr="00690D3B">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left"/>
              <w:rPr>
                <w:rFonts w:ascii="Arial Narrow" w:hAnsi="Arial Narrow" w:cs="Times New Roman"/>
                <w:snapToGrid/>
                <w:color w:val="000000"/>
                <w:sz w:val="20"/>
                <w:lang w:val="en-GB" w:eastAsia="en-GB"/>
              </w:rPr>
            </w:pPr>
            <w:r w:rsidRPr="00581523">
              <w:rPr>
                <w:rFonts w:ascii="Arial Narrow" w:hAnsi="Arial Narrow" w:cs="Times New Roman"/>
                <w:snapToGrid/>
                <w:color w:val="000000"/>
                <w:sz w:val="20"/>
                <w:lang w:val="en-GB" w:eastAsia="en-GB"/>
              </w:rPr>
              <w:t>Meta-analysis</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581523" w:rsidRDefault="00690D3B" w:rsidP="00075D48">
            <w:pPr>
              <w:keepNext/>
              <w:widowControl/>
              <w:jc w:val="center"/>
              <w:rPr>
                <w:rFonts w:ascii="Arial Narrow" w:hAnsi="Arial Narrow" w:cs="Times New Roman"/>
                <w:snapToGrid/>
                <w:color w:val="000000"/>
                <w:sz w:val="20"/>
                <w:lang w:val="en-GB" w:eastAsia="en-GB"/>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690D3B" w:rsidRPr="00581523" w:rsidRDefault="00690D3B" w:rsidP="00075D48">
            <w:pPr>
              <w:keepNext/>
              <w:widowControl/>
              <w:jc w:val="center"/>
              <w:rPr>
                <w:rFonts w:ascii="Arial Narrow" w:hAnsi="Arial Narrow" w:cs="Times New Roman"/>
                <w:b/>
                <w:bCs/>
                <w:snapToGrid/>
                <w:color w:val="000000"/>
                <w:sz w:val="20"/>
                <w:lang w:val="en-GB" w:eastAsia="en-GB"/>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90D3B" w:rsidRPr="00581523" w:rsidRDefault="00690D3B" w:rsidP="00075D48">
            <w:pPr>
              <w:widowControl/>
              <w:jc w:val="center"/>
              <w:rPr>
                <w:rFonts w:ascii="Arial Narrow" w:hAnsi="Arial Narrow" w:cs="Times New Roman"/>
                <w:b/>
                <w:bCs/>
                <w:snapToGrid/>
                <w:color w:val="000000"/>
                <w:sz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581523" w:rsidRDefault="00690D3B" w:rsidP="00075D48">
            <w:pPr>
              <w:widowControl/>
              <w:jc w:val="center"/>
              <w:rPr>
                <w:rFonts w:ascii="Arial Narrow" w:hAnsi="Arial Narrow" w:cs="Times New Roman"/>
                <w:b/>
                <w:bCs/>
                <w:snapToGrid/>
                <w:color w:val="000000"/>
                <w:sz w:val="20"/>
                <w:lang w:val="en-GB" w:eastAsia="en-GB"/>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D3B" w:rsidRPr="00245A86" w:rsidRDefault="00962738" w:rsidP="00075D48">
            <w:pPr>
              <w:widowControl/>
              <w:jc w:val="center"/>
              <w:rPr>
                <w:rFonts w:ascii="Arial Narrow" w:hAnsi="Arial Narrow" w:cs="Times New Roman"/>
                <w:b/>
                <w:bCs/>
                <w:snapToGrid/>
                <w:color w:val="000000"/>
                <w:sz w:val="20"/>
                <w:lang w:val="en-GB" w:eastAsia="en-GB"/>
              </w:rPr>
            </w:pPr>
            <w:r>
              <w:rPr>
                <w:rFonts w:ascii="Arial Narrow" w:hAnsi="Arial Narrow" w:cs="Times New Roman"/>
                <w:b/>
                <w:bCs/>
                <w:noProof/>
                <w:snapToGrid/>
                <w:color w:val="000000"/>
                <w:sz w:val="20"/>
                <w:highlight w:val="black"/>
                <w:lang w:eastAsia="en-GB"/>
              </w:rPr>
              <w:t>'''''''''</w:t>
            </w:r>
            <w:r w:rsidR="00690D3B" w:rsidRPr="00245A86">
              <w:rPr>
                <w:rFonts w:ascii="Arial Narrow" w:hAnsi="Arial Narrow" w:cs="Times New Roman"/>
                <w:b/>
                <w:bCs/>
                <w:snapToGrid/>
                <w:color w:val="000000"/>
                <w:sz w:val="20"/>
                <w:lang w:eastAsia="en-GB"/>
              </w:rPr>
              <w:t xml:space="preserve"> (</w:t>
            </w:r>
            <w:r>
              <w:rPr>
                <w:rFonts w:ascii="Arial Narrow" w:hAnsi="Arial Narrow" w:cs="Times New Roman"/>
                <w:b/>
                <w:bCs/>
                <w:noProof/>
                <w:snapToGrid/>
                <w:color w:val="000000"/>
                <w:sz w:val="20"/>
                <w:highlight w:val="black"/>
                <w:lang w:eastAsia="en-GB"/>
              </w:rPr>
              <w:t>''''''''</w:t>
            </w:r>
            <w:r w:rsidR="00690D3B" w:rsidRPr="00245A86">
              <w:rPr>
                <w:rFonts w:ascii="Arial Narrow" w:hAnsi="Arial Narrow" w:cs="Times New Roman"/>
                <w:b/>
                <w:bCs/>
                <w:snapToGrid/>
                <w:color w:val="000000"/>
                <w:sz w:val="20"/>
                <w:lang w:eastAsia="en-GB"/>
              </w:rPr>
              <w:t xml:space="preserve">, </w:t>
            </w:r>
            <w:r>
              <w:rPr>
                <w:rFonts w:ascii="Arial Narrow" w:hAnsi="Arial Narrow" w:cs="Times New Roman"/>
                <w:b/>
                <w:bCs/>
                <w:noProof/>
                <w:snapToGrid/>
                <w:color w:val="000000"/>
                <w:sz w:val="20"/>
                <w:highlight w:val="black"/>
                <w:lang w:eastAsia="en-GB"/>
              </w:rPr>
              <w:t>'''''''''</w:t>
            </w:r>
            <w:r w:rsidR="00690D3B" w:rsidRPr="00245A86">
              <w:rPr>
                <w:rFonts w:ascii="Arial Narrow" w:hAnsi="Arial Narrow" w:cs="Times New Roman"/>
                <w:b/>
                <w:bCs/>
                <w:snapToGrid/>
                <w:color w:val="000000"/>
                <w:sz w:val="20"/>
                <w:lang w:eastAsia="en-GB"/>
              </w:rPr>
              <w:t>) I</w:t>
            </w:r>
            <w:r w:rsidR="00690D3B" w:rsidRPr="00245A86">
              <w:rPr>
                <w:rFonts w:ascii="Arial Narrow" w:hAnsi="Arial Narrow" w:cs="Times New Roman"/>
                <w:b/>
                <w:bCs/>
                <w:snapToGrid/>
                <w:color w:val="000000"/>
                <w:sz w:val="20"/>
                <w:vertAlign w:val="superscript"/>
                <w:lang w:eastAsia="en-GB"/>
              </w:rPr>
              <w:t>2</w:t>
            </w:r>
            <w:r w:rsidR="00690D3B" w:rsidRPr="00245A86">
              <w:rPr>
                <w:rFonts w:ascii="Arial Narrow" w:hAnsi="Arial Narrow" w:cs="Times New Roman"/>
                <w:b/>
                <w:bCs/>
                <w:snapToGrid/>
                <w:color w:val="000000"/>
                <w:sz w:val="20"/>
                <w:lang w:eastAsia="en-GB"/>
              </w:rPr>
              <w:t>=</w:t>
            </w:r>
            <w:r>
              <w:rPr>
                <w:rFonts w:ascii="Arial Narrow" w:hAnsi="Arial Narrow" w:cs="Times New Roman"/>
                <w:b/>
                <w:bCs/>
                <w:noProof/>
                <w:snapToGrid/>
                <w:color w:val="000000"/>
                <w:sz w:val="20"/>
                <w:highlight w:val="black"/>
                <w:lang w:eastAsia="en-GB"/>
              </w:rPr>
              <w:t>'''''</w:t>
            </w:r>
            <w:r w:rsidR="00690D3B" w:rsidRPr="00245A86">
              <w:rPr>
                <w:rFonts w:ascii="Arial Narrow" w:hAnsi="Arial Narrow" w:cs="Times New Roman"/>
                <w:b/>
                <w:bCs/>
                <w:snapToGrid/>
                <w:color w:val="000000"/>
                <w:sz w:val="20"/>
                <w:lang w:eastAsia="en-GB"/>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D3B" w:rsidRPr="00245A86" w:rsidRDefault="00690D3B" w:rsidP="00075D48">
            <w:pPr>
              <w:widowControl/>
              <w:jc w:val="center"/>
              <w:rPr>
                <w:rFonts w:ascii="Arial Narrow" w:hAnsi="Arial Narrow" w:cs="Times New Roman"/>
                <w:snapToGrid/>
                <w:color w:val="000000"/>
                <w:sz w:val="20"/>
                <w:lang w:eastAsia="en-GB"/>
              </w:rPr>
            </w:pPr>
            <w:r w:rsidRPr="00245A86">
              <w:rPr>
                <w:rFonts w:ascii="Arial Narrow" w:hAnsi="Arial Narrow" w:cs="Times New Roman"/>
                <w:snapToGrid/>
                <w:color w:val="000000"/>
                <w:sz w:val="20"/>
                <w:lang w:eastAsia="en-GB"/>
              </w:rPr>
              <w:t>-</w:t>
            </w:r>
            <w:r w:rsidR="00962738">
              <w:rPr>
                <w:rFonts w:ascii="Arial Narrow" w:hAnsi="Arial Narrow" w:cs="Times New Roman"/>
                <w:noProof/>
                <w:snapToGrid/>
                <w:color w:val="000000"/>
                <w:sz w:val="20"/>
                <w:highlight w:val="black"/>
                <w:lang w:eastAsia="en-GB"/>
              </w:rPr>
              <w:t>''''''''''</w:t>
            </w:r>
          </w:p>
          <w:p w:rsidR="00690D3B" w:rsidRPr="00245A86" w:rsidRDefault="00690D3B" w:rsidP="00075D48">
            <w:pPr>
              <w:widowControl/>
              <w:jc w:val="center"/>
              <w:rPr>
                <w:rFonts w:ascii="Arial Narrow" w:hAnsi="Arial Narrow" w:cs="Times New Roman"/>
                <w:snapToGrid/>
                <w:color w:val="000000"/>
                <w:sz w:val="20"/>
                <w:lang w:val="en-GB" w:eastAsia="en-GB"/>
              </w:rPr>
            </w:pPr>
            <w:r w:rsidRPr="00245A86">
              <w:rPr>
                <w:rFonts w:ascii="Arial Narrow" w:hAnsi="Arial Narrow" w:cs="Times New Roman"/>
                <w:snapToGrid/>
                <w:color w:val="000000"/>
                <w:sz w:val="20"/>
                <w:lang w:eastAsia="en-GB"/>
              </w:rPr>
              <w:t>(-</w:t>
            </w:r>
            <w:r w:rsidR="00962738">
              <w:rPr>
                <w:rFonts w:ascii="Arial Narrow" w:hAnsi="Arial Narrow" w:cs="Times New Roman"/>
                <w:noProof/>
                <w:snapToGrid/>
                <w:color w:val="000000"/>
                <w:sz w:val="20"/>
                <w:highlight w:val="black"/>
                <w:lang w:eastAsia="en-GB"/>
              </w:rPr>
              <w:t>''''''''''</w:t>
            </w:r>
            <w:r w:rsidRPr="00245A86">
              <w:rPr>
                <w:rFonts w:ascii="Arial Narrow" w:hAnsi="Arial Narrow" w:cs="Times New Roman"/>
                <w:snapToGrid/>
                <w:color w:val="000000"/>
                <w:sz w:val="20"/>
                <w:lang w:eastAsia="en-GB"/>
              </w:rPr>
              <w:t xml:space="preserve">, </w:t>
            </w:r>
            <w:r w:rsidR="00962738">
              <w:rPr>
                <w:rFonts w:ascii="Arial Narrow" w:hAnsi="Arial Narrow" w:cs="Times New Roman"/>
                <w:noProof/>
                <w:snapToGrid/>
                <w:color w:val="000000"/>
                <w:sz w:val="20"/>
                <w:highlight w:val="black"/>
                <w:lang w:eastAsia="en-GB"/>
              </w:rPr>
              <w:t>''''''''''</w:t>
            </w:r>
            <w:r w:rsidRPr="00245A86">
              <w:rPr>
                <w:rFonts w:ascii="Arial Narrow" w:hAnsi="Arial Narrow" w:cs="Times New Roman"/>
                <w:snapToGrid/>
                <w:color w:val="000000"/>
                <w:sz w:val="20"/>
                <w:lang w:eastAsia="en-GB"/>
              </w:rPr>
              <w:t>)</w:t>
            </w:r>
          </w:p>
        </w:tc>
      </w:tr>
      <w:tr w:rsidR="009E1635" w:rsidRPr="00581523" w:rsidTr="00690D3B">
        <w:trPr>
          <w:trHeight w:val="20"/>
        </w:trPr>
        <w:tc>
          <w:tcPr>
            <w:tcW w:w="382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9E1635" w:rsidRPr="006F6145" w:rsidRDefault="00690D3B" w:rsidP="00075D48">
            <w:pPr>
              <w:keepNext/>
              <w:widowControl/>
              <w:jc w:val="left"/>
              <w:rPr>
                <w:rFonts w:ascii="Arial Narrow" w:hAnsi="Arial Narrow" w:cs="Times New Roman"/>
                <w:b/>
                <w:bCs/>
                <w:snapToGrid/>
                <w:color w:val="000000"/>
                <w:sz w:val="20"/>
                <w:lang w:val="it-IT" w:eastAsia="en-GB"/>
              </w:rPr>
            </w:pPr>
            <w:r w:rsidRPr="006F6145">
              <w:rPr>
                <w:rFonts w:ascii="Arial Narrow" w:hAnsi="Arial Narrow" w:cs="Times New Roman"/>
                <w:b/>
                <w:bCs/>
                <w:snapToGrid/>
                <w:color w:val="000000"/>
                <w:sz w:val="20"/>
                <w:lang w:val="it-IT" w:eastAsia="en-GB"/>
              </w:rPr>
              <w:t>Comparison 4: v</w:t>
            </w:r>
            <w:r w:rsidR="009E1635" w:rsidRPr="006F6145">
              <w:rPr>
                <w:rFonts w:ascii="Arial Narrow" w:hAnsi="Arial Narrow" w:cs="Times New Roman"/>
                <w:b/>
                <w:bCs/>
                <w:snapToGrid/>
                <w:color w:val="000000"/>
                <w:sz w:val="20"/>
                <w:lang w:val="it-IT" w:eastAsia="en-GB"/>
              </w:rPr>
              <w:t xml:space="preserve">s. Tio 18 µg + Olo </w:t>
            </w:r>
            <w:r w:rsidR="00086B63" w:rsidRPr="006F6145">
              <w:rPr>
                <w:rFonts w:ascii="Arial Narrow" w:hAnsi="Arial Narrow" w:cs="Times New Roman"/>
                <w:b/>
                <w:bCs/>
                <w:snapToGrid/>
                <w:color w:val="000000"/>
                <w:sz w:val="20"/>
                <w:lang w:val="it-IT" w:eastAsia="en-GB"/>
              </w:rPr>
              <w:t>5 µg</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9E1635" w:rsidRPr="009E1635" w:rsidRDefault="009E1635" w:rsidP="00075D48">
            <w:pPr>
              <w:keepNext/>
              <w:widowControl/>
              <w:jc w:val="center"/>
              <w:rPr>
                <w:rFonts w:ascii="Arial Narrow" w:hAnsi="Arial Narrow" w:cs="Times New Roman"/>
                <w:bCs/>
                <w:snapToGrid/>
                <w:color w:val="000000"/>
                <w:sz w:val="20"/>
                <w:lang w:val="en-GB" w:eastAsia="en-GB"/>
              </w:rPr>
            </w:pPr>
            <w:r w:rsidRPr="00581523">
              <w:rPr>
                <w:rFonts w:ascii="Arial Narrow" w:hAnsi="Arial Narrow" w:cs="Times New Roman"/>
                <w:b/>
                <w:bCs/>
                <w:snapToGrid/>
                <w:color w:val="000000"/>
                <w:sz w:val="20"/>
                <w:lang w:eastAsia="en-GB"/>
              </w:rPr>
              <w:t>Tio 18 µg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635" w:rsidRPr="009E1635" w:rsidRDefault="009E1635" w:rsidP="00075D48">
            <w:pPr>
              <w:keepNext/>
              <w:widowControl/>
              <w:jc w:val="center"/>
              <w:rPr>
                <w:rFonts w:ascii="Arial Narrow" w:hAnsi="Arial Narrow" w:cs="Times New Roman"/>
                <w:b/>
                <w:bCs/>
                <w:snapToGrid/>
                <w:color w:val="000000"/>
                <w:sz w:val="20"/>
                <w:lang w:val="en-GB" w:eastAsia="en-GB"/>
              </w:rPr>
            </w:pPr>
            <w:r w:rsidRPr="009E1635">
              <w:rPr>
                <w:rFonts w:ascii="Arial Narrow" w:hAnsi="Arial Narrow" w:cs="Times New Roman"/>
                <w:b/>
                <w:bCs/>
                <w:snapToGrid/>
                <w:color w:val="000000"/>
                <w:sz w:val="20"/>
                <w:lang w:val="en-GB" w:eastAsia="en-GB"/>
              </w:rPr>
              <w:t>Tio + Olo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635" w:rsidRPr="00245A86" w:rsidRDefault="009E1635" w:rsidP="00075D48">
            <w:pPr>
              <w:keepNext/>
              <w:widowControl/>
              <w:jc w:val="center"/>
              <w:rPr>
                <w:rFonts w:ascii="Arial Narrow" w:hAnsi="Arial Narrow" w:cs="Times New Roman"/>
                <w:bCs/>
                <w:snapToGrid/>
                <w:color w:val="000000"/>
                <w:sz w:val="20"/>
                <w:lang w:eastAsia="en-GB"/>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635" w:rsidRPr="00245A86" w:rsidRDefault="009E1635" w:rsidP="00075D48">
            <w:pPr>
              <w:widowControl/>
              <w:jc w:val="center"/>
              <w:rPr>
                <w:rFonts w:ascii="Arial Narrow" w:hAnsi="Arial Narrow" w:cs="Times New Roman"/>
                <w:snapToGrid/>
                <w:color w:val="000000"/>
                <w:sz w:val="20"/>
                <w:lang w:eastAsia="en-GB"/>
              </w:rPr>
            </w:pPr>
          </w:p>
        </w:tc>
      </w:tr>
      <w:tr w:rsidR="00690D3B" w:rsidRPr="00581523" w:rsidTr="00690D3B">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left"/>
              <w:rPr>
                <w:rFonts w:ascii="Arial Narrow" w:hAnsi="Arial Narrow" w:cs="Times New Roman"/>
                <w:snapToGrid/>
                <w:color w:val="000000"/>
                <w:sz w:val="20"/>
                <w:lang w:val="en-GB" w:eastAsia="en-GB"/>
              </w:rPr>
            </w:pPr>
            <w:r w:rsidRPr="00B5504C">
              <w:rPr>
                <w:rFonts w:ascii="Arial Narrow" w:hAnsi="Arial Narrow" w:cs="Times New Roman"/>
                <w:snapToGrid/>
                <w:color w:val="000000"/>
                <w:sz w:val="20"/>
                <w:lang w:eastAsia="en-GB"/>
              </w:rPr>
              <w:t>Stud</w:t>
            </w:r>
            <w:r>
              <w:rPr>
                <w:rFonts w:ascii="Arial Narrow" w:hAnsi="Arial Narrow" w:cs="Times New Roman"/>
                <w:snapToGrid/>
                <w:color w:val="000000"/>
                <w:sz w:val="20"/>
                <w:lang w:eastAsia="en-GB"/>
              </w:rPr>
              <w:t>y</w:t>
            </w:r>
            <w:r w:rsidRPr="00B5504C">
              <w:rPr>
                <w:rFonts w:ascii="Arial Narrow" w:hAnsi="Arial Narrow" w:cs="Times New Roman"/>
                <w:snapToGrid/>
                <w:color w:val="000000"/>
                <w:sz w:val="20"/>
                <w:lang w:eastAsia="en-GB"/>
              </w:rPr>
              <w:t xml:space="preserve"> 11/12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r w:rsidRPr="00B5504C">
              <w:rPr>
                <w:rFonts w:ascii="Arial Narrow" w:hAnsi="Arial Narrow" w:cs="Times New Roman"/>
                <w:snapToGrid/>
                <w:color w:val="000000"/>
                <w:sz w:val="20"/>
                <w:lang w:val="en-GB" w:eastAsia="en-GB"/>
              </w:rPr>
              <w:t>-0.002 (0.021)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r w:rsidRPr="00B5504C">
              <w:rPr>
                <w:rFonts w:ascii="Arial Narrow" w:hAnsi="Arial Narrow" w:cs="Times New Roman"/>
                <w:snapToGrid/>
                <w:color w:val="000000"/>
                <w:sz w:val="20"/>
                <w:lang w:val="en-GB" w:eastAsia="en-GB"/>
              </w:rPr>
              <w:t>0.050 (0.021)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D3B" w:rsidRPr="00245A86" w:rsidRDefault="00962738" w:rsidP="00075D48">
            <w:pPr>
              <w:pStyle w:val="Tabletext"/>
              <w:keepNext/>
              <w:jc w:val="center"/>
              <w:rPr>
                <w:lang w:val="en-GB" w:eastAsia="en-GB"/>
              </w:rPr>
            </w:pPr>
            <w:r>
              <w:rPr>
                <w:rFonts w:eastAsia="Calibri" w:cs="Arial"/>
                <w:noProof/>
                <w:color w:val="000000"/>
                <w:highlight w:val="black"/>
                <w:lang w:eastAsia="en-AU"/>
              </w:rPr>
              <w:t>'''''''''''</w:t>
            </w:r>
            <w:r w:rsidR="00690D3B" w:rsidRPr="00245A86">
              <w:rPr>
                <w:rFonts w:eastAsia="Calibri" w:cs="Arial"/>
                <w:lang w:eastAsia="en-AU"/>
              </w:rPr>
              <w:t xml:space="preserve"> (-</w:t>
            </w:r>
            <w:r>
              <w:rPr>
                <w:rFonts w:eastAsia="Calibri" w:cs="Arial"/>
                <w:noProof/>
                <w:color w:val="000000"/>
                <w:highlight w:val="black"/>
                <w:lang w:eastAsia="en-AU"/>
              </w:rPr>
              <w:t>''''''''''</w:t>
            </w:r>
            <w:r w:rsidR="00690D3B" w:rsidRPr="00245A86">
              <w:rPr>
                <w:rFonts w:eastAsia="Calibri" w:cs="Arial"/>
                <w:lang w:eastAsia="en-AU"/>
              </w:rPr>
              <w:t>,</w:t>
            </w:r>
            <w:r>
              <w:rPr>
                <w:rFonts w:eastAsia="Calibri" w:cs="Arial"/>
                <w:noProof/>
                <w:color w:val="000000"/>
                <w:highlight w:val="black"/>
                <w:lang w:eastAsia="en-AU"/>
              </w:rPr>
              <w:t>''''''''''</w:t>
            </w:r>
            <w:r w:rsidR="00690D3B" w:rsidRPr="00245A86">
              <w:rPr>
                <w:rFonts w:eastAsia="Calibri" w:cs="Arial"/>
                <w:lang w:eastAsia="en-AU"/>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D3B" w:rsidRPr="00245A86" w:rsidRDefault="00690D3B" w:rsidP="00075D48">
            <w:pPr>
              <w:keepNext/>
              <w:widowControl/>
              <w:jc w:val="center"/>
              <w:rPr>
                <w:rFonts w:ascii="Arial Narrow" w:hAnsi="Arial Narrow" w:cs="Times New Roman"/>
                <w:snapToGrid/>
                <w:color w:val="000000"/>
                <w:sz w:val="20"/>
                <w:lang w:val="en-GB" w:eastAsia="en-GB"/>
              </w:rPr>
            </w:pPr>
          </w:p>
        </w:tc>
      </w:tr>
      <w:tr w:rsidR="00690D3B" w:rsidRPr="00581523" w:rsidTr="00690D3B">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left"/>
              <w:rPr>
                <w:rFonts w:ascii="Arial Narrow" w:hAnsi="Arial Narrow" w:cs="Times New Roman"/>
                <w:snapToGrid/>
                <w:color w:val="000000"/>
                <w:sz w:val="20"/>
                <w:lang w:val="en-GB" w:eastAsia="en-GB"/>
              </w:rPr>
            </w:pPr>
            <w:r w:rsidRPr="00B5504C">
              <w:rPr>
                <w:rFonts w:ascii="Arial Narrow" w:hAnsi="Arial Narrow" w:cs="Times New Roman"/>
                <w:snapToGrid/>
                <w:color w:val="000000"/>
                <w:sz w:val="20"/>
                <w:lang w:val="en-GB" w:eastAsia="en-GB"/>
              </w:rPr>
              <w:t>Stud</w:t>
            </w:r>
            <w:r>
              <w:rPr>
                <w:rFonts w:ascii="Arial Narrow" w:hAnsi="Arial Narrow" w:cs="Times New Roman"/>
                <w:snapToGrid/>
                <w:color w:val="000000"/>
                <w:sz w:val="20"/>
                <w:lang w:val="en-GB" w:eastAsia="en-GB"/>
              </w:rPr>
              <w:t>y</w:t>
            </w:r>
            <w:r w:rsidRPr="00B5504C">
              <w:rPr>
                <w:rFonts w:ascii="Arial Narrow" w:hAnsi="Arial Narrow" w:cs="Times New Roman"/>
                <w:snapToGrid/>
                <w:color w:val="000000"/>
                <w:sz w:val="20"/>
                <w:lang w:val="en-GB" w:eastAsia="en-GB"/>
              </w:rPr>
              <w:t>13/14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r w:rsidRPr="00B5504C">
              <w:rPr>
                <w:rFonts w:ascii="Arial Narrow" w:hAnsi="Arial Narrow" w:cs="Times New Roman"/>
                <w:snapToGrid/>
                <w:color w:val="000000"/>
                <w:sz w:val="20"/>
                <w:lang w:val="en-GB" w:eastAsia="en-GB"/>
              </w:rPr>
              <w:t>-0.054 (0.020)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r w:rsidRPr="00B5504C">
              <w:rPr>
                <w:rFonts w:ascii="Arial Narrow" w:hAnsi="Arial Narrow" w:cs="Times New Roman"/>
                <w:snapToGrid/>
                <w:color w:val="000000"/>
                <w:sz w:val="20"/>
                <w:lang w:val="en-GB" w:eastAsia="en-GB"/>
              </w:rPr>
              <w:t>0.027 (0.019)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D3B" w:rsidRPr="00245A86" w:rsidRDefault="00962738" w:rsidP="00075D48">
            <w:pPr>
              <w:pStyle w:val="Tabletext"/>
              <w:keepNext/>
              <w:jc w:val="center"/>
              <w:rPr>
                <w:b/>
                <w:lang w:val="en-GB" w:eastAsia="en-GB"/>
              </w:rPr>
            </w:pPr>
            <w:r>
              <w:rPr>
                <w:rFonts w:eastAsia="Calibri" w:cs="Arial"/>
                <w:b/>
                <w:noProof/>
                <w:color w:val="000000"/>
                <w:highlight w:val="black"/>
                <w:lang w:eastAsia="en-AU"/>
              </w:rPr>
              <w:t>''''''''</w:t>
            </w:r>
            <w:r w:rsidR="00690D3B" w:rsidRPr="00245A86">
              <w:rPr>
                <w:rFonts w:eastAsia="Calibri" w:cs="Arial"/>
                <w:b/>
                <w:lang w:eastAsia="en-AU"/>
              </w:rPr>
              <w:t xml:space="preserve"> (</w:t>
            </w:r>
            <w:r>
              <w:rPr>
                <w:rFonts w:eastAsia="Calibri" w:cs="Arial"/>
                <w:b/>
                <w:noProof/>
                <w:color w:val="000000"/>
                <w:highlight w:val="black"/>
                <w:lang w:eastAsia="en-AU"/>
              </w:rPr>
              <w:t>''''''''''</w:t>
            </w:r>
            <w:r w:rsidR="00690D3B" w:rsidRPr="00245A86">
              <w:rPr>
                <w:rFonts w:eastAsia="Calibri" w:cs="Arial"/>
                <w:b/>
                <w:lang w:eastAsia="en-AU"/>
              </w:rPr>
              <w:t xml:space="preserve">, </w:t>
            </w:r>
            <w:r>
              <w:rPr>
                <w:rFonts w:eastAsia="Calibri" w:cs="Arial"/>
                <w:b/>
                <w:noProof/>
                <w:color w:val="000000"/>
                <w:highlight w:val="black"/>
                <w:lang w:eastAsia="en-AU"/>
              </w:rPr>
              <w:t>''''''''</w:t>
            </w:r>
            <w:r w:rsidR="00690D3B" w:rsidRPr="00245A86">
              <w:rPr>
                <w:rFonts w:eastAsia="Calibri" w:cs="Arial"/>
                <w:b/>
                <w:lang w:eastAsia="en-AU"/>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D3B" w:rsidRPr="00245A86" w:rsidRDefault="00690D3B" w:rsidP="00075D48">
            <w:pPr>
              <w:keepNext/>
              <w:widowControl/>
              <w:jc w:val="center"/>
              <w:rPr>
                <w:rFonts w:ascii="Arial Narrow" w:hAnsi="Arial Narrow" w:cs="Times New Roman"/>
                <w:snapToGrid/>
                <w:color w:val="000000"/>
                <w:sz w:val="20"/>
                <w:lang w:val="en-GB" w:eastAsia="en-GB"/>
              </w:rPr>
            </w:pPr>
          </w:p>
        </w:tc>
      </w:tr>
      <w:tr w:rsidR="00690D3B" w:rsidRPr="00581523" w:rsidTr="00690D3B">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left"/>
              <w:rPr>
                <w:rFonts w:ascii="Arial Narrow" w:hAnsi="Arial Narrow" w:cs="Times New Roman"/>
                <w:snapToGrid/>
                <w:color w:val="000000"/>
                <w:sz w:val="20"/>
                <w:lang w:val="en-GB" w:eastAsia="en-GB"/>
              </w:rPr>
            </w:pPr>
            <w:r w:rsidRPr="00B5504C">
              <w:rPr>
                <w:rFonts w:ascii="Arial Narrow" w:hAnsi="Arial Narrow" w:cs="Times New Roman"/>
                <w:snapToGrid/>
                <w:color w:val="000000"/>
                <w:sz w:val="20"/>
                <w:lang w:val="en-GB" w:eastAsia="en-GB"/>
              </w:rPr>
              <w:t>Meta-analysis</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snapToGrid/>
                <w:color w:val="000000"/>
                <w:sz w:val="20"/>
                <w:lang w:val="en-GB" w:eastAsia="en-GB"/>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b/>
                <w:bCs/>
                <w:snapToGrid/>
                <w:color w:val="000000"/>
                <w:sz w:val="20"/>
                <w:lang w:val="en-GB" w:eastAsia="en-GB"/>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b/>
                <w:bCs/>
                <w:snapToGrid/>
                <w:color w:val="000000"/>
                <w:sz w:val="20"/>
                <w:lang w:val="en-GB" w:eastAsia="en-GB"/>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b/>
                <w:bCs/>
                <w:snapToGrid/>
                <w:color w:val="000000"/>
                <w:sz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0D3B" w:rsidRPr="00B5504C" w:rsidRDefault="00690D3B" w:rsidP="00075D48">
            <w:pPr>
              <w:keepNext/>
              <w:widowControl/>
              <w:jc w:val="center"/>
              <w:rPr>
                <w:rFonts w:ascii="Arial Narrow" w:hAnsi="Arial Narrow" w:cs="Times New Roman"/>
                <w:b/>
                <w:bCs/>
                <w:snapToGrid/>
                <w:color w:val="000000"/>
                <w:sz w:val="20"/>
                <w:lang w:val="en-GB" w:eastAsia="en-GB"/>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D3B" w:rsidRPr="00245A86" w:rsidRDefault="00962738" w:rsidP="00075D48">
            <w:pPr>
              <w:keepNext/>
              <w:widowControl/>
              <w:jc w:val="center"/>
              <w:rPr>
                <w:rFonts w:ascii="Arial Narrow" w:hAnsi="Arial Narrow" w:cs="Times New Roman"/>
                <w:b/>
                <w:bCs/>
                <w:snapToGrid/>
                <w:color w:val="000000"/>
                <w:sz w:val="20"/>
                <w:lang w:val="en-GB" w:eastAsia="en-GB"/>
              </w:rPr>
            </w:pPr>
            <w:r>
              <w:rPr>
                <w:rFonts w:ascii="Arial Narrow" w:hAnsi="Arial Narrow" w:cs="Times New Roman"/>
                <w:b/>
                <w:bCs/>
                <w:noProof/>
                <w:snapToGrid/>
                <w:color w:val="000000"/>
                <w:sz w:val="20"/>
                <w:highlight w:val="black"/>
                <w:lang w:val="en-GB" w:eastAsia="en-GB"/>
              </w:rPr>
              <w:t>'''''''''</w:t>
            </w:r>
            <w:r w:rsidR="00690D3B" w:rsidRPr="00245A86">
              <w:rPr>
                <w:rFonts w:ascii="Arial Narrow" w:hAnsi="Arial Narrow" w:cs="Times New Roman"/>
                <w:b/>
                <w:bCs/>
                <w:snapToGrid/>
                <w:color w:val="000000"/>
                <w:sz w:val="20"/>
                <w:lang w:val="en-GB" w:eastAsia="en-GB"/>
              </w:rPr>
              <w:t xml:space="preserve"> (</w:t>
            </w:r>
            <w:r>
              <w:rPr>
                <w:rFonts w:ascii="Arial Narrow" w:hAnsi="Arial Narrow" w:cs="Times New Roman"/>
                <w:b/>
                <w:bCs/>
                <w:noProof/>
                <w:snapToGrid/>
                <w:color w:val="000000"/>
                <w:sz w:val="20"/>
                <w:highlight w:val="black"/>
                <w:lang w:val="en-GB" w:eastAsia="en-GB"/>
              </w:rPr>
              <w:t>''''''''</w:t>
            </w:r>
            <w:r w:rsidR="00690D3B" w:rsidRPr="00245A86">
              <w:rPr>
                <w:rFonts w:ascii="Arial Narrow" w:hAnsi="Arial Narrow" w:cs="Times New Roman"/>
                <w:b/>
                <w:bCs/>
                <w:snapToGrid/>
                <w:color w:val="000000"/>
                <w:sz w:val="20"/>
                <w:lang w:val="en-GB" w:eastAsia="en-GB"/>
              </w:rPr>
              <w:t xml:space="preserve">, </w:t>
            </w:r>
            <w:r>
              <w:rPr>
                <w:rFonts w:ascii="Arial Narrow" w:hAnsi="Arial Narrow" w:cs="Times New Roman"/>
                <w:b/>
                <w:bCs/>
                <w:noProof/>
                <w:snapToGrid/>
                <w:color w:val="000000"/>
                <w:sz w:val="20"/>
                <w:highlight w:val="black"/>
                <w:lang w:val="en-GB" w:eastAsia="en-GB"/>
              </w:rPr>
              <w:t>'''''''''</w:t>
            </w:r>
            <w:r w:rsidR="00690D3B" w:rsidRPr="00245A86">
              <w:rPr>
                <w:rFonts w:ascii="Arial Narrow" w:hAnsi="Arial Narrow" w:cs="Times New Roman"/>
                <w:b/>
                <w:bCs/>
                <w:snapToGrid/>
                <w:color w:val="000000"/>
                <w:sz w:val="20"/>
                <w:lang w:val="en-GB" w:eastAsia="en-GB"/>
              </w:rPr>
              <w:t>)</w:t>
            </w:r>
          </w:p>
          <w:p w:rsidR="00690D3B" w:rsidRPr="00245A86" w:rsidRDefault="00690D3B" w:rsidP="00075D48">
            <w:pPr>
              <w:keepNext/>
              <w:widowControl/>
              <w:jc w:val="center"/>
              <w:rPr>
                <w:rFonts w:ascii="Arial Narrow" w:hAnsi="Arial Narrow" w:cs="Times New Roman"/>
                <w:b/>
                <w:bCs/>
                <w:snapToGrid/>
                <w:color w:val="000000"/>
                <w:sz w:val="20"/>
                <w:lang w:val="en-GB" w:eastAsia="en-GB"/>
              </w:rPr>
            </w:pPr>
            <w:r w:rsidRPr="00245A86">
              <w:rPr>
                <w:rFonts w:ascii="Arial Narrow" w:hAnsi="Arial Narrow" w:cs="Times New Roman"/>
                <w:b/>
                <w:bCs/>
                <w:snapToGrid/>
                <w:color w:val="000000"/>
                <w:sz w:val="20"/>
                <w:lang w:val="en-GB" w:eastAsia="en-GB"/>
              </w:rPr>
              <w:t>I</w:t>
            </w:r>
            <w:r w:rsidRPr="00245A86">
              <w:rPr>
                <w:rFonts w:ascii="Arial Narrow" w:hAnsi="Arial Narrow" w:cs="Times New Roman"/>
                <w:b/>
                <w:bCs/>
                <w:snapToGrid/>
                <w:color w:val="000000"/>
                <w:sz w:val="20"/>
                <w:vertAlign w:val="superscript"/>
                <w:lang w:val="en-GB" w:eastAsia="en-GB"/>
              </w:rPr>
              <w:t>2</w:t>
            </w:r>
            <w:r w:rsidRPr="00245A86">
              <w:rPr>
                <w:rFonts w:ascii="Arial Narrow" w:hAnsi="Arial Narrow" w:cs="Times New Roman"/>
                <w:b/>
                <w:bCs/>
                <w:snapToGrid/>
                <w:color w:val="000000"/>
                <w:sz w:val="20"/>
                <w:lang w:val="en-GB" w:eastAsia="en-GB"/>
              </w:rPr>
              <w:t xml:space="preserve"> = </w:t>
            </w:r>
            <w:r w:rsidR="00962738">
              <w:rPr>
                <w:rFonts w:ascii="Arial Narrow" w:hAnsi="Arial Narrow" w:cs="Times New Roman"/>
                <w:b/>
                <w:bCs/>
                <w:noProof/>
                <w:snapToGrid/>
                <w:color w:val="000000"/>
                <w:sz w:val="20"/>
                <w:highlight w:val="black"/>
                <w:lang w:val="en-GB" w:eastAsia="en-GB"/>
              </w:rPr>
              <w:t>'''</w:t>
            </w:r>
            <w:r w:rsidRPr="00245A86">
              <w:rPr>
                <w:rFonts w:ascii="Arial Narrow" w:hAnsi="Arial Narrow" w:cs="Times New Roman"/>
                <w:b/>
                <w:bCs/>
                <w:snapToGrid/>
                <w:color w:val="000000"/>
                <w:sz w:val="20"/>
                <w:lang w:val="en-GB" w:eastAsia="en-GB"/>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D3B" w:rsidRPr="00245A86" w:rsidRDefault="00690D3B" w:rsidP="00075D48">
            <w:pPr>
              <w:keepNext/>
              <w:widowControl/>
              <w:jc w:val="center"/>
              <w:rPr>
                <w:rFonts w:ascii="Arial Narrow" w:hAnsi="Arial Narrow" w:cs="Times New Roman"/>
                <w:snapToGrid/>
                <w:color w:val="000000"/>
                <w:sz w:val="20"/>
                <w:lang w:eastAsia="en-GB"/>
              </w:rPr>
            </w:pPr>
            <w:r w:rsidRPr="00245A86">
              <w:rPr>
                <w:rFonts w:ascii="Arial Narrow" w:hAnsi="Arial Narrow" w:cs="Times New Roman"/>
                <w:snapToGrid/>
                <w:color w:val="000000"/>
                <w:sz w:val="20"/>
                <w:lang w:eastAsia="en-GB"/>
              </w:rPr>
              <w:t>-</w:t>
            </w:r>
            <w:r w:rsidR="00962738">
              <w:rPr>
                <w:rFonts w:ascii="Arial Narrow" w:hAnsi="Arial Narrow" w:cs="Times New Roman"/>
                <w:noProof/>
                <w:snapToGrid/>
                <w:color w:val="000000"/>
                <w:sz w:val="20"/>
                <w:highlight w:val="black"/>
                <w:lang w:eastAsia="en-GB"/>
              </w:rPr>
              <w:t>''''''''''</w:t>
            </w:r>
          </w:p>
          <w:p w:rsidR="00690D3B" w:rsidRPr="00245A86" w:rsidRDefault="00690D3B" w:rsidP="00075D48">
            <w:pPr>
              <w:keepNext/>
              <w:widowControl/>
              <w:jc w:val="center"/>
              <w:rPr>
                <w:rFonts w:ascii="Arial Narrow" w:hAnsi="Arial Narrow" w:cs="Times New Roman"/>
                <w:snapToGrid/>
                <w:color w:val="000000"/>
                <w:sz w:val="20"/>
                <w:lang w:val="en-GB" w:eastAsia="en-GB"/>
              </w:rPr>
            </w:pPr>
            <w:r w:rsidRPr="00245A86">
              <w:rPr>
                <w:rFonts w:ascii="Arial Narrow" w:hAnsi="Arial Narrow" w:cs="Times New Roman"/>
                <w:snapToGrid/>
                <w:color w:val="000000"/>
                <w:sz w:val="20"/>
                <w:lang w:eastAsia="en-GB"/>
              </w:rPr>
              <w:t>(-</w:t>
            </w:r>
            <w:r w:rsidR="00962738">
              <w:rPr>
                <w:rFonts w:ascii="Arial Narrow" w:hAnsi="Arial Narrow" w:cs="Times New Roman"/>
                <w:noProof/>
                <w:snapToGrid/>
                <w:color w:val="000000"/>
                <w:sz w:val="20"/>
                <w:highlight w:val="black"/>
                <w:lang w:eastAsia="en-GB"/>
              </w:rPr>
              <w:t>'''''''''''</w:t>
            </w:r>
            <w:r w:rsidRPr="00245A86">
              <w:rPr>
                <w:rFonts w:ascii="Arial Narrow" w:hAnsi="Arial Narrow" w:cs="Times New Roman"/>
                <w:snapToGrid/>
                <w:color w:val="000000"/>
                <w:sz w:val="20"/>
                <w:lang w:eastAsia="en-GB"/>
              </w:rPr>
              <w:t xml:space="preserve">, </w:t>
            </w:r>
            <w:r w:rsidR="00962738">
              <w:rPr>
                <w:rFonts w:ascii="Arial Narrow" w:hAnsi="Arial Narrow" w:cs="Times New Roman"/>
                <w:noProof/>
                <w:snapToGrid/>
                <w:color w:val="000000"/>
                <w:sz w:val="20"/>
                <w:highlight w:val="black"/>
                <w:lang w:eastAsia="en-GB"/>
              </w:rPr>
              <w:t>'''''''''''</w:t>
            </w:r>
            <w:r w:rsidRPr="00245A86">
              <w:rPr>
                <w:rFonts w:ascii="Arial Narrow" w:hAnsi="Arial Narrow" w:cs="Times New Roman"/>
                <w:snapToGrid/>
                <w:color w:val="000000"/>
                <w:sz w:val="20"/>
                <w:lang w:eastAsia="en-GB"/>
              </w:rPr>
              <w:t>)</w:t>
            </w:r>
          </w:p>
        </w:tc>
      </w:tr>
    </w:tbl>
    <w:p w:rsidR="009E1635" w:rsidRDefault="009E1635" w:rsidP="00075D48">
      <w:pPr>
        <w:pStyle w:val="TableFooter"/>
        <w:widowControl/>
        <w:ind w:left="720"/>
      </w:pPr>
      <w:r>
        <w:t xml:space="preserve">Source: </w:t>
      </w:r>
    </w:p>
    <w:p w:rsidR="009E1635" w:rsidRDefault="009E1635" w:rsidP="00075D48">
      <w:pPr>
        <w:pStyle w:val="TableFooter"/>
        <w:widowControl/>
        <w:ind w:left="720"/>
        <w:rPr>
          <w:sz w:val="20"/>
        </w:rPr>
      </w:pPr>
      <w:r>
        <w:t xml:space="preserve">FDC = fixed dose combination; Tio = tiotropium; Olo = olodaterol; </w:t>
      </w:r>
      <w:r w:rsidR="00636103">
        <w:t xml:space="preserve">Gly = glycopyrronium; Ind = indacaterol; </w:t>
      </w:r>
      <w:r>
        <w:t>Umec</w:t>
      </w:r>
      <w:r w:rsidR="00380558">
        <w:t> </w:t>
      </w:r>
      <w:r>
        <w:t>=</w:t>
      </w:r>
      <w:r w:rsidR="00380558">
        <w:t> </w:t>
      </w:r>
      <w:r>
        <w:t xml:space="preserve">umeclidinium; Vi = vilanterol; MD = mean difference; SE = standard error; CI = confidence interval; </w:t>
      </w:r>
      <w:r w:rsidRPr="00903F77">
        <w:t>FEV</w:t>
      </w:r>
      <w:r w:rsidRPr="00903F77">
        <w:rPr>
          <w:vertAlign w:val="subscript"/>
        </w:rPr>
        <w:t>1</w:t>
      </w:r>
      <w:r w:rsidRPr="00903F77">
        <w:t xml:space="preserve"> = forced expiratory volume in one second</w:t>
      </w:r>
      <w:r>
        <w:t>;</w:t>
      </w:r>
      <w:r w:rsidR="00E21029">
        <w:t xml:space="preserve"> Comp = comparator</w:t>
      </w:r>
    </w:p>
    <w:p w:rsidR="009E1635" w:rsidRDefault="00585C81" w:rsidP="00075D48">
      <w:pPr>
        <w:pStyle w:val="TableFooter"/>
        <w:keepNext/>
        <w:widowControl/>
        <w:ind w:left="720"/>
      </w:pPr>
      <w:r w:rsidRPr="008402D1">
        <w:rPr>
          <w:vertAlign w:val="superscript"/>
        </w:rPr>
        <w:t>a</w:t>
      </w:r>
      <w:r>
        <w:t xml:space="preserve"> SPARK and SHINE only reported the absolute values not the change from baseline </w:t>
      </w:r>
    </w:p>
    <w:p w:rsidR="00690D3B" w:rsidRDefault="00690D3B" w:rsidP="00075D48">
      <w:pPr>
        <w:pStyle w:val="TableFooter"/>
        <w:widowControl/>
      </w:pPr>
    </w:p>
    <w:p w:rsidR="00414BAE" w:rsidRPr="002C1218" w:rsidRDefault="00414BAE" w:rsidP="00075D48">
      <w:pPr>
        <w:pStyle w:val="ListParagraph"/>
        <w:widowControl/>
        <w:numPr>
          <w:ilvl w:val="1"/>
          <w:numId w:val="4"/>
        </w:numPr>
        <w:rPr>
          <w:szCs w:val="22"/>
        </w:rPr>
      </w:pPr>
      <w:r w:rsidRPr="002C1218">
        <w:rPr>
          <w:szCs w:val="22"/>
        </w:rPr>
        <w:t xml:space="preserve">The ESC </w:t>
      </w:r>
      <w:r w:rsidR="00944B36" w:rsidRPr="002C1218">
        <w:rPr>
          <w:szCs w:val="22"/>
        </w:rPr>
        <w:t>not</w:t>
      </w:r>
      <w:r w:rsidRPr="002C1218">
        <w:rPr>
          <w:szCs w:val="22"/>
        </w:rPr>
        <w:t xml:space="preserve">ed that several of the trials included in the indirect comparison were assessed as having a low </w:t>
      </w:r>
      <w:r w:rsidR="00944B36" w:rsidRPr="002C1218">
        <w:rPr>
          <w:szCs w:val="22"/>
        </w:rPr>
        <w:t xml:space="preserve">within-trial </w:t>
      </w:r>
      <w:r w:rsidRPr="002C1218">
        <w:rPr>
          <w:szCs w:val="22"/>
        </w:rPr>
        <w:t>risk of bias</w:t>
      </w:r>
      <w:r w:rsidR="00944B36" w:rsidRPr="002C1218">
        <w:rPr>
          <w:szCs w:val="22"/>
        </w:rPr>
        <w:t>. However,</w:t>
      </w:r>
      <w:r w:rsidRPr="002C1218">
        <w:rPr>
          <w:szCs w:val="22"/>
        </w:rPr>
        <w:t xml:space="preserve"> due to </w:t>
      </w:r>
      <w:r w:rsidR="00F80190" w:rsidRPr="002C1218">
        <w:rPr>
          <w:szCs w:val="22"/>
        </w:rPr>
        <w:t>exchangeability issues when using</w:t>
      </w:r>
      <w:r w:rsidRPr="002C1218">
        <w:rPr>
          <w:szCs w:val="22"/>
        </w:rPr>
        <w:t xml:space="preserve"> these t</w:t>
      </w:r>
      <w:r w:rsidR="00F80190" w:rsidRPr="002C1218">
        <w:rPr>
          <w:szCs w:val="22"/>
        </w:rPr>
        <w:t>rials in an indirect comparison</w:t>
      </w:r>
      <w:r w:rsidRPr="002C1218">
        <w:rPr>
          <w:szCs w:val="22"/>
        </w:rPr>
        <w:t>, there is a high risk of bias in the results</w:t>
      </w:r>
      <w:r w:rsidR="00944B36" w:rsidRPr="002C1218">
        <w:rPr>
          <w:szCs w:val="22"/>
        </w:rPr>
        <w:t xml:space="preserve"> of the indirect comparison</w:t>
      </w:r>
      <w:r w:rsidRPr="002C1218">
        <w:rPr>
          <w:szCs w:val="22"/>
        </w:rPr>
        <w:t>.</w:t>
      </w:r>
    </w:p>
    <w:p w:rsidR="00414BAE" w:rsidRPr="00D13A3E" w:rsidRDefault="00414BAE" w:rsidP="00075D48">
      <w:pPr>
        <w:pStyle w:val="TableFooter"/>
        <w:widowControl/>
      </w:pPr>
    </w:p>
    <w:p w:rsidR="009E1635" w:rsidRPr="000D1D6F" w:rsidRDefault="009E1635" w:rsidP="00075D48">
      <w:pPr>
        <w:widowControl/>
        <w:ind w:left="720"/>
        <w:rPr>
          <w:rStyle w:val="CommentReference"/>
        </w:rPr>
      </w:pPr>
      <w:r w:rsidRPr="000D1D6F">
        <w:rPr>
          <w:rStyle w:val="CommentReference"/>
        </w:rPr>
        <w:t xml:space="preserve">Table </w:t>
      </w:r>
      <w:r w:rsidR="00690D3B">
        <w:rPr>
          <w:rStyle w:val="CommentReference"/>
        </w:rPr>
        <w:t>4</w:t>
      </w:r>
      <w:r w:rsidRPr="000D1D6F">
        <w:rPr>
          <w:rStyle w:val="CommentReference"/>
        </w:rPr>
        <w:t xml:space="preserve">: The results of change </w:t>
      </w:r>
      <w:r w:rsidR="00086B63">
        <w:rPr>
          <w:rStyle w:val="CommentReference"/>
        </w:rPr>
        <w:t>from</w:t>
      </w:r>
      <w:r w:rsidRPr="000D1D6F">
        <w:rPr>
          <w:rStyle w:val="CommentReference"/>
        </w:rPr>
        <w:t xml:space="preserve"> </w:t>
      </w:r>
      <w:r w:rsidR="00086B63">
        <w:rPr>
          <w:rStyle w:val="CommentReference"/>
        </w:rPr>
        <w:t xml:space="preserve">baseline in </w:t>
      </w:r>
      <w:r w:rsidRPr="000D1D6F">
        <w:rPr>
          <w:rStyle w:val="CommentReference"/>
        </w:rPr>
        <w:t>trough FEV</w:t>
      </w:r>
      <w:r w:rsidRPr="000D1D6F">
        <w:rPr>
          <w:rStyle w:val="CommentReference"/>
          <w:vertAlign w:val="subscript"/>
        </w:rPr>
        <w:t>1</w:t>
      </w:r>
      <w:r w:rsidRPr="000D1D6F">
        <w:rPr>
          <w:rStyle w:val="CommentReference"/>
        </w:rPr>
        <w:t xml:space="preserve"> at 24 weeks (</w:t>
      </w:r>
      <w:r>
        <w:rPr>
          <w:rStyle w:val="CommentReference"/>
        </w:rPr>
        <w:t xml:space="preserve">direct </w:t>
      </w:r>
      <w:r w:rsidRPr="000D1D6F">
        <w:rPr>
          <w:rStyle w:val="CommentReference"/>
        </w:rPr>
        <w:t xml:space="preserve">comparison </w:t>
      </w:r>
      <w:r>
        <w:rPr>
          <w:rStyle w:val="CommentReference"/>
        </w:rPr>
        <w:t>vs.</w:t>
      </w:r>
      <w:r w:rsidR="00086B63">
        <w:rPr>
          <w:rStyle w:val="CommentReference"/>
        </w:rPr>
        <w:t xml:space="preserve"> </w:t>
      </w:r>
      <w:r>
        <w:rPr>
          <w:rStyle w:val="CommentReference"/>
        </w:rPr>
        <w:t>tiotropium monotherapy and olodaterol monotherapy</w:t>
      </w:r>
      <w:r w:rsidRPr="000D1D6F">
        <w:rPr>
          <w:rStyle w:val="CommentReference"/>
        </w:rPr>
        <w: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172"/>
        <w:gridCol w:w="1172"/>
        <w:gridCol w:w="1227"/>
        <w:gridCol w:w="1664"/>
        <w:gridCol w:w="1664"/>
      </w:tblGrid>
      <w:tr w:rsidR="009E1635" w:rsidRPr="00B5504C" w:rsidTr="00690D3B">
        <w:trPr>
          <w:trHeight w:val="20"/>
        </w:trPr>
        <w:tc>
          <w:tcPr>
            <w:tcW w:w="866" w:type="pct"/>
            <w:vMerge w:val="restart"/>
            <w:shd w:val="clear" w:color="auto" w:fill="auto"/>
            <w:vAlign w:val="center"/>
            <w:hideMark/>
          </w:tcPr>
          <w:p w:rsidR="009E1635" w:rsidRPr="00B5504C" w:rsidRDefault="009E1635" w:rsidP="00075D48">
            <w:pPr>
              <w:pStyle w:val="Tabletext"/>
              <w:rPr>
                <w:lang w:val="en-GB" w:eastAsia="en-GB"/>
              </w:rPr>
            </w:pPr>
            <w:r w:rsidRPr="00B5504C">
              <w:rPr>
                <w:lang w:eastAsia="en-GB"/>
              </w:rPr>
              <w:t> </w:t>
            </w:r>
            <w:r w:rsidRPr="00B5504C">
              <w:rPr>
                <w:lang w:val="en-GB" w:eastAsia="en-GB"/>
              </w:rPr>
              <w:t> </w:t>
            </w:r>
          </w:p>
        </w:tc>
        <w:tc>
          <w:tcPr>
            <w:tcW w:w="702"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eastAsia="en-GB"/>
              </w:rPr>
              <w:t>Tio/Olo FDC</w:t>
            </w:r>
          </w:p>
        </w:tc>
        <w:tc>
          <w:tcPr>
            <w:tcW w:w="702"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eastAsia="en-GB"/>
              </w:rPr>
              <w:t>Tio 5 µg</w:t>
            </w:r>
          </w:p>
        </w:tc>
        <w:tc>
          <w:tcPr>
            <w:tcW w:w="735"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val="en-GB" w:eastAsia="en-GB"/>
              </w:rPr>
              <w:t>Olo 5 µg</w:t>
            </w:r>
          </w:p>
        </w:tc>
        <w:tc>
          <w:tcPr>
            <w:tcW w:w="997"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val="en-GB" w:eastAsia="en-GB"/>
              </w:rPr>
              <w:t>Tio/Olo vs Tio</w:t>
            </w:r>
          </w:p>
        </w:tc>
        <w:tc>
          <w:tcPr>
            <w:tcW w:w="997"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val="en-GB" w:eastAsia="en-GB"/>
              </w:rPr>
              <w:t>Tio/Olo vs. Olo</w:t>
            </w:r>
          </w:p>
        </w:tc>
      </w:tr>
      <w:tr w:rsidR="009E1635" w:rsidRPr="00B5504C" w:rsidTr="00690D3B">
        <w:trPr>
          <w:trHeight w:val="20"/>
        </w:trPr>
        <w:tc>
          <w:tcPr>
            <w:tcW w:w="866" w:type="pct"/>
            <w:vMerge/>
            <w:shd w:val="clear" w:color="auto" w:fill="auto"/>
            <w:vAlign w:val="center"/>
            <w:hideMark/>
          </w:tcPr>
          <w:p w:rsidR="009E1635" w:rsidRPr="00B5504C" w:rsidRDefault="009E1635" w:rsidP="00075D48">
            <w:pPr>
              <w:pStyle w:val="Tabletext"/>
              <w:rPr>
                <w:lang w:val="en-GB" w:eastAsia="en-GB"/>
              </w:rPr>
            </w:pPr>
          </w:p>
        </w:tc>
        <w:tc>
          <w:tcPr>
            <w:tcW w:w="702"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eastAsia="en-GB"/>
              </w:rPr>
              <w:t>Mean (SE)</w:t>
            </w:r>
          </w:p>
        </w:tc>
        <w:tc>
          <w:tcPr>
            <w:tcW w:w="702"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eastAsia="en-GB"/>
              </w:rPr>
              <w:t>Mean (SE)</w:t>
            </w:r>
          </w:p>
        </w:tc>
        <w:tc>
          <w:tcPr>
            <w:tcW w:w="735"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eastAsia="en-GB"/>
              </w:rPr>
              <w:t>Mean (SE)</w:t>
            </w:r>
          </w:p>
        </w:tc>
        <w:tc>
          <w:tcPr>
            <w:tcW w:w="997"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eastAsia="en-GB"/>
              </w:rPr>
              <w:t>MD (95% CI)</w:t>
            </w:r>
          </w:p>
        </w:tc>
        <w:tc>
          <w:tcPr>
            <w:tcW w:w="997" w:type="pct"/>
            <w:shd w:val="clear" w:color="auto" w:fill="auto"/>
            <w:vAlign w:val="center"/>
            <w:hideMark/>
          </w:tcPr>
          <w:p w:rsidR="009E1635" w:rsidRPr="00B5504C" w:rsidRDefault="009E1635" w:rsidP="00075D48">
            <w:pPr>
              <w:pStyle w:val="Tabletext"/>
              <w:jc w:val="center"/>
              <w:rPr>
                <w:b/>
                <w:bCs/>
                <w:lang w:val="en-GB" w:eastAsia="en-GB"/>
              </w:rPr>
            </w:pPr>
            <w:r w:rsidRPr="00B5504C">
              <w:rPr>
                <w:b/>
                <w:bCs/>
                <w:lang w:eastAsia="en-GB"/>
              </w:rPr>
              <w:t>MD (95% CI)</w:t>
            </w:r>
          </w:p>
        </w:tc>
      </w:tr>
      <w:tr w:rsidR="009E1635" w:rsidRPr="00B5504C" w:rsidTr="00690D3B">
        <w:trPr>
          <w:trHeight w:val="20"/>
        </w:trPr>
        <w:tc>
          <w:tcPr>
            <w:tcW w:w="866" w:type="pct"/>
            <w:shd w:val="clear" w:color="auto" w:fill="auto"/>
            <w:vAlign w:val="center"/>
            <w:hideMark/>
          </w:tcPr>
          <w:p w:rsidR="009E1635" w:rsidRPr="00B5504C" w:rsidRDefault="009E1635" w:rsidP="00075D48">
            <w:pPr>
              <w:pStyle w:val="Tabletext"/>
              <w:rPr>
                <w:lang w:val="en-GB" w:eastAsia="en-GB"/>
              </w:rPr>
            </w:pPr>
            <w:r w:rsidRPr="00B5504C">
              <w:rPr>
                <w:lang w:eastAsia="en-GB"/>
              </w:rPr>
              <w:t>TONADO 1</w:t>
            </w:r>
          </w:p>
        </w:tc>
        <w:tc>
          <w:tcPr>
            <w:tcW w:w="702" w:type="pct"/>
            <w:shd w:val="clear" w:color="auto" w:fill="auto"/>
            <w:noWrap/>
            <w:vAlign w:val="center"/>
            <w:hideMark/>
          </w:tcPr>
          <w:p w:rsidR="009E1635" w:rsidRPr="00B5504C" w:rsidRDefault="009E1635" w:rsidP="00075D48">
            <w:pPr>
              <w:pStyle w:val="Tabletext"/>
              <w:jc w:val="center"/>
              <w:rPr>
                <w:lang w:val="en-GB" w:eastAsia="en-GB"/>
              </w:rPr>
            </w:pPr>
            <w:r w:rsidRPr="00B5504C">
              <w:rPr>
                <w:lang w:eastAsia="en-GB"/>
              </w:rPr>
              <w:t>0.136 (0.008)</w:t>
            </w:r>
          </w:p>
        </w:tc>
        <w:tc>
          <w:tcPr>
            <w:tcW w:w="702" w:type="pct"/>
            <w:shd w:val="clear" w:color="auto" w:fill="auto"/>
            <w:noWrap/>
            <w:vAlign w:val="center"/>
            <w:hideMark/>
          </w:tcPr>
          <w:p w:rsidR="009E1635" w:rsidRPr="00B5504C" w:rsidRDefault="009E1635" w:rsidP="00075D48">
            <w:pPr>
              <w:pStyle w:val="Tabletext"/>
              <w:jc w:val="center"/>
              <w:rPr>
                <w:lang w:val="en-GB" w:eastAsia="en-GB"/>
              </w:rPr>
            </w:pPr>
            <w:r w:rsidRPr="00B5504C">
              <w:rPr>
                <w:lang w:eastAsia="en-GB"/>
              </w:rPr>
              <w:t>0.065 (0.008)</w:t>
            </w:r>
          </w:p>
        </w:tc>
        <w:tc>
          <w:tcPr>
            <w:tcW w:w="735" w:type="pct"/>
            <w:shd w:val="clear" w:color="auto" w:fill="auto"/>
            <w:noWrap/>
            <w:vAlign w:val="center"/>
            <w:hideMark/>
          </w:tcPr>
          <w:p w:rsidR="009E1635" w:rsidRPr="00B5504C" w:rsidRDefault="009E1635" w:rsidP="00075D48">
            <w:pPr>
              <w:pStyle w:val="Tabletext"/>
              <w:jc w:val="center"/>
              <w:rPr>
                <w:szCs w:val="22"/>
                <w:lang w:val="en-GB" w:eastAsia="en-GB"/>
              </w:rPr>
            </w:pPr>
            <w:r w:rsidRPr="00B5504C">
              <w:rPr>
                <w:szCs w:val="22"/>
                <w:lang w:eastAsia="en-GB"/>
              </w:rPr>
              <w:t>0.054 (0.009)</w:t>
            </w:r>
          </w:p>
        </w:tc>
        <w:tc>
          <w:tcPr>
            <w:tcW w:w="997" w:type="pct"/>
            <w:shd w:val="clear" w:color="auto" w:fill="auto"/>
            <w:noWrap/>
            <w:vAlign w:val="center"/>
            <w:hideMark/>
          </w:tcPr>
          <w:p w:rsidR="009E1635" w:rsidRPr="00B5504C" w:rsidRDefault="009E1635" w:rsidP="00075D48">
            <w:pPr>
              <w:pStyle w:val="Tabletext"/>
              <w:jc w:val="center"/>
              <w:rPr>
                <w:b/>
                <w:bCs/>
                <w:szCs w:val="22"/>
                <w:lang w:val="en-GB" w:eastAsia="en-GB"/>
              </w:rPr>
            </w:pPr>
            <w:r w:rsidRPr="00B5504C">
              <w:rPr>
                <w:rFonts w:eastAsia="Calibri"/>
                <w:b/>
                <w:bCs/>
                <w:szCs w:val="22"/>
                <w:lang w:eastAsia="en-AU"/>
              </w:rPr>
              <w:t>0.071 (0.047, 0.094)</w:t>
            </w:r>
          </w:p>
        </w:tc>
        <w:tc>
          <w:tcPr>
            <w:tcW w:w="997" w:type="pct"/>
            <w:shd w:val="clear" w:color="auto" w:fill="auto"/>
            <w:noWrap/>
            <w:vAlign w:val="center"/>
            <w:hideMark/>
          </w:tcPr>
          <w:p w:rsidR="009E1635" w:rsidRPr="00B5504C" w:rsidRDefault="009E1635" w:rsidP="00075D48">
            <w:pPr>
              <w:pStyle w:val="Tabletext"/>
              <w:jc w:val="center"/>
              <w:rPr>
                <w:b/>
                <w:bCs/>
                <w:szCs w:val="22"/>
                <w:lang w:val="en-GB" w:eastAsia="en-GB"/>
              </w:rPr>
            </w:pPr>
            <w:r w:rsidRPr="00B5504C">
              <w:rPr>
                <w:rFonts w:eastAsia="Calibri"/>
                <w:b/>
                <w:bCs/>
                <w:szCs w:val="22"/>
                <w:lang w:eastAsia="en-AU"/>
              </w:rPr>
              <w:t>0.082 (0.059, 0.106)</w:t>
            </w:r>
          </w:p>
        </w:tc>
      </w:tr>
      <w:tr w:rsidR="009E1635" w:rsidRPr="00B5504C" w:rsidTr="00690D3B">
        <w:trPr>
          <w:trHeight w:val="20"/>
        </w:trPr>
        <w:tc>
          <w:tcPr>
            <w:tcW w:w="866" w:type="pct"/>
            <w:shd w:val="clear" w:color="auto" w:fill="auto"/>
            <w:vAlign w:val="center"/>
            <w:hideMark/>
          </w:tcPr>
          <w:p w:rsidR="009E1635" w:rsidRPr="00B5504C" w:rsidRDefault="009E1635" w:rsidP="00075D48">
            <w:pPr>
              <w:pStyle w:val="Tabletext"/>
              <w:rPr>
                <w:lang w:val="en-GB" w:eastAsia="en-GB"/>
              </w:rPr>
            </w:pPr>
            <w:r w:rsidRPr="00B5504C">
              <w:rPr>
                <w:lang w:eastAsia="en-GB"/>
              </w:rPr>
              <w:t>TONADO 2</w:t>
            </w:r>
          </w:p>
        </w:tc>
        <w:tc>
          <w:tcPr>
            <w:tcW w:w="702" w:type="pct"/>
            <w:shd w:val="clear" w:color="auto" w:fill="auto"/>
            <w:noWrap/>
            <w:vAlign w:val="center"/>
            <w:hideMark/>
          </w:tcPr>
          <w:p w:rsidR="009E1635" w:rsidRPr="00B5504C" w:rsidRDefault="009E1635" w:rsidP="00075D48">
            <w:pPr>
              <w:pStyle w:val="Tabletext"/>
              <w:jc w:val="center"/>
              <w:rPr>
                <w:lang w:val="en-GB" w:eastAsia="en-GB"/>
              </w:rPr>
            </w:pPr>
            <w:r w:rsidRPr="00B5504C">
              <w:rPr>
                <w:lang w:eastAsia="en-GB"/>
              </w:rPr>
              <w:t>0.145 (0.009)</w:t>
            </w:r>
          </w:p>
        </w:tc>
        <w:tc>
          <w:tcPr>
            <w:tcW w:w="702" w:type="pct"/>
            <w:shd w:val="clear" w:color="auto" w:fill="auto"/>
            <w:noWrap/>
            <w:vAlign w:val="center"/>
            <w:hideMark/>
          </w:tcPr>
          <w:p w:rsidR="009E1635" w:rsidRPr="00B5504C" w:rsidRDefault="009E1635" w:rsidP="00075D48">
            <w:pPr>
              <w:pStyle w:val="Tabletext"/>
              <w:jc w:val="center"/>
              <w:rPr>
                <w:lang w:val="en-GB" w:eastAsia="en-GB"/>
              </w:rPr>
            </w:pPr>
            <w:r w:rsidRPr="00B5504C">
              <w:rPr>
                <w:lang w:eastAsia="en-GB"/>
              </w:rPr>
              <w:t>0.096 (0.009)</w:t>
            </w:r>
          </w:p>
        </w:tc>
        <w:tc>
          <w:tcPr>
            <w:tcW w:w="735" w:type="pct"/>
            <w:shd w:val="clear" w:color="auto" w:fill="auto"/>
            <w:noWrap/>
            <w:vAlign w:val="center"/>
            <w:hideMark/>
          </w:tcPr>
          <w:p w:rsidR="009E1635" w:rsidRPr="00B5504C" w:rsidRDefault="009E1635" w:rsidP="00075D48">
            <w:pPr>
              <w:pStyle w:val="Tabletext"/>
              <w:jc w:val="center"/>
              <w:rPr>
                <w:lang w:val="en-GB" w:eastAsia="en-GB"/>
              </w:rPr>
            </w:pPr>
            <w:r w:rsidRPr="00B5504C">
              <w:rPr>
                <w:lang w:val="en-GB" w:eastAsia="en-GB"/>
              </w:rPr>
              <w:t>0.057 (0.009)</w:t>
            </w:r>
          </w:p>
        </w:tc>
        <w:tc>
          <w:tcPr>
            <w:tcW w:w="997" w:type="pct"/>
            <w:shd w:val="clear" w:color="auto" w:fill="auto"/>
            <w:noWrap/>
            <w:vAlign w:val="center"/>
            <w:hideMark/>
          </w:tcPr>
          <w:p w:rsidR="009E1635" w:rsidRPr="00B5504C" w:rsidRDefault="009E1635" w:rsidP="00075D48">
            <w:pPr>
              <w:pStyle w:val="Tabletext"/>
              <w:jc w:val="center"/>
              <w:rPr>
                <w:b/>
                <w:bCs/>
                <w:lang w:val="en-GB" w:eastAsia="en-GB"/>
              </w:rPr>
            </w:pPr>
            <w:r w:rsidRPr="00B5504C">
              <w:rPr>
                <w:b/>
                <w:bCs/>
                <w:lang w:val="en-GB" w:eastAsia="en-GB"/>
              </w:rPr>
              <w:t>0.050 (0.024, 0.075)</w:t>
            </w:r>
          </w:p>
        </w:tc>
        <w:tc>
          <w:tcPr>
            <w:tcW w:w="997" w:type="pct"/>
            <w:shd w:val="clear" w:color="auto" w:fill="auto"/>
            <w:noWrap/>
            <w:vAlign w:val="center"/>
            <w:hideMark/>
          </w:tcPr>
          <w:p w:rsidR="009E1635" w:rsidRPr="00B5504C" w:rsidRDefault="009E1635" w:rsidP="00075D48">
            <w:pPr>
              <w:pStyle w:val="Tabletext"/>
              <w:jc w:val="center"/>
              <w:rPr>
                <w:b/>
                <w:bCs/>
                <w:szCs w:val="22"/>
                <w:lang w:val="en-GB" w:eastAsia="en-GB"/>
              </w:rPr>
            </w:pPr>
            <w:r w:rsidRPr="00B5504C">
              <w:rPr>
                <w:b/>
                <w:bCs/>
                <w:szCs w:val="22"/>
                <w:lang w:val="en-GB" w:eastAsia="en-GB"/>
              </w:rPr>
              <w:t>0.088 (0.063, 0.113)</w:t>
            </w:r>
          </w:p>
        </w:tc>
      </w:tr>
      <w:tr w:rsidR="009E1635" w:rsidRPr="00B5504C" w:rsidTr="00690D3B">
        <w:trPr>
          <w:trHeight w:val="20"/>
        </w:trPr>
        <w:tc>
          <w:tcPr>
            <w:tcW w:w="866" w:type="pct"/>
            <w:shd w:val="clear" w:color="auto" w:fill="auto"/>
            <w:vAlign w:val="center"/>
            <w:hideMark/>
          </w:tcPr>
          <w:p w:rsidR="009E1635" w:rsidRPr="00B5504C" w:rsidRDefault="009E1635" w:rsidP="00075D48">
            <w:pPr>
              <w:pStyle w:val="Tabletext"/>
              <w:rPr>
                <w:lang w:val="en-GB" w:eastAsia="en-GB"/>
              </w:rPr>
            </w:pPr>
            <w:r w:rsidRPr="00B5504C">
              <w:rPr>
                <w:lang w:eastAsia="en-GB"/>
              </w:rPr>
              <w:t>Meta-analysis</w:t>
            </w:r>
          </w:p>
        </w:tc>
        <w:tc>
          <w:tcPr>
            <w:tcW w:w="702" w:type="pct"/>
            <w:shd w:val="clear" w:color="auto" w:fill="auto"/>
            <w:vAlign w:val="center"/>
            <w:hideMark/>
          </w:tcPr>
          <w:p w:rsidR="009E1635" w:rsidRPr="00B5504C" w:rsidRDefault="009E1635" w:rsidP="00075D48">
            <w:pPr>
              <w:pStyle w:val="Tabletext"/>
              <w:jc w:val="center"/>
              <w:rPr>
                <w:lang w:val="en-GB" w:eastAsia="en-GB"/>
              </w:rPr>
            </w:pPr>
          </w:p>
        </w:tc>
        <w:tc>
          <w:tcPr>
            <w:tcW w:w="702" w:type="pct"/>
            <w:shd w:val="clear" w:color="auto" w:fill="auto"/>
            <w:vAlign w:val="center"/>
            <w:hideMark/>
          </w:tcPr>
          <w:p w:rsidR="009E1635" w:rsidRPr="00B5504C" w:rsidRDefault="009E1635" w:rsidP="00075D48">
            <w:pPr>
              <w:pStyle w:val="Tabletext"/>
              <w:jc w:val="center"/>
              <w:rPr>
                <w:lang w:val="en-GB" w:eastAsia="en-GB"/>
              </w:rPr>
            </w:pPr>
          </w:p>
        </w:tc>
        <w:tc>
          <w:tcPr>
            <w:tcW w:w="735" w:type="pct"/>
            <w:shd w:val="clear" w:color="auto" w:fill="auto"/>
            <w:vAlign w:val="center"/>
            <w:hideMark/>
          </w:tcPr>
          <w:p w:rsidR="009E1635" w:rsidRPr="00B5504C" w:rsidRDefault="009E1635" w:rsidP="00075D48">
            <w:pPr>
              <w:pStyle w:val="Tabletext"/>
              <w:jc w:val="center"/>
              <w:rPr>
                <w:lang w:val="en-GB" w:eastAsia="en-GB"/>
              </w:rPr>
            </w:pPr>
          </w:p>
        </w:tc>
        <w:tc>
          <w:tcPr>
            <w:tcW w:w="997" w:type="pct"/>
            <w:shd w:val="clear" w:color="auto" w:fill="auto"/>
            <w:vAlign w:val="center"/>
            <w:hideMark/>
          </w:tcPr>
          <w:p w:rsidR="009E1635" w:rsidRDefault="009E1635" w:rsidP="00075D48">
            <w:pPr>
              <w:pStyle w:val="Tabletext"/>
              <w:jc w:val="center"/>
              <w:rPr>
                <w:b/>
                <w:bCs/>
                <w:lang w:val="en-GB" w:eastAsia="en-GB"/>
              </w:rPr>
            </w:pPr>
            <w:r w:rsidRPr="00B5504C">
              <w:rPr>
                <w:b/>
                <w:bCs/>
                <w:lang w:val="en-GB" w:eastAsia="en-GB"/>
              </w:rPr>
              <w:t>0.06 (0.04, 0.08)</w:t>
            </w:r>
          </w:p>
          <w:p w:rsidR="009E1635" w:rsidRPr="00B5504C" w:rsidRDefault="009E1635" w:rsidP="00075D48">
            <w:pPr>
              <w:pStyle w:val="Tabletext"/>
              <w:jc w:val="center"/>
              <w:rPr>
                <w:b/>
                <w:bCs/>
                <w:lang w:val="en-GB" w:eastAsia="en-GB"/>
              </w:rPr>
            </w:pPr>
            <w:r>
              <w:rPr>
                <w:b/>
                <w:bCs/>
                <w:lang w:val="en-GB" w:eastAsia="en-GB"/>
              </w:rPr>
              <w:t>I</w:t>
            </w:r>
            <w:r w:rsidRPr="00B5504C">
              <w:rPr>
                <w:b/>
                <w:bCs/>
                <w:vertAlign w:val="superscript"/>
                <w:lang w:val="en-GB" w:eastAsia="en-GB"/>
              </w:rPr>
              <w:t>2</w:t>
            </w:r>
            <w:r>
              <w:rPr>
                <w:b/>
                <w:bCs/>
                <w:lang w:val="en-GB" w:eastAsia="en-GB"/>
              </w:rPr>
              <w:t xml:space="preserve"> = 40%</w:t>
            </w:r>
          </w:p>
        </w:tc>
        <w:tc>
          <w:tcPr>
            <w:tcW w:w="997" w:type="pct"/>
            <w:shd w:val="clear" w:color="auto" w:fill="auto"/>
            <w:noWrap/>
            <w:vAlign w:val="center"/>
            <w:hideMark/>
          </w:tcPr>
          <w:p w:rsidR="009E1635" w:rsidRDefault="009E1635" w:rsidP="00075D48">
            <w:pPr>
              <w:pStyle w:val="Tabletext"/>
              <w:jc w:val="center"/>
              <w:rPr>
                <w:b/>
                <w:bCs/>
                <w:szCs w:val="22"/>
                <w:lang w:val="en-GB" w:eastAsia="en-GB"/>
              </w:rPr>
            </w:pPr>
            <w:r w:rsidRPr="00B5504C">
              <w:rPr>
                <w:b/>
                <w:bCs/>
                <w:szCs w:val="22"/>
                <w:lang w:val="en-GB" w:eastAsia="en-GB"/>
              </w:rPr>
              <w:t>0.08 (0.07, 0.10)</w:t>
            </w:r>
          </w:p>
          <w:p w:rsidR="009E1635" w:rsidRPr="00B5504C" w:rsidRDefault="009E1635" w:rsidP="00075D48">
            <w:pPr>
              <w:pStyle w:val="Tabletext"/>
              <w:jc w:val="center"/>
              <w:rPr>
                <w:b/>
                <w:bCs/>
                <w:szCs w:val="22"/>
                <w:lang w:val="en-GB" w:eastAsia="en-GB"/>
              </w:rPr>
            </w:pPr>
            <w:r>
              <w:rPr>
                <w:b/>
                <w:bCs/>
                <w:lang w:val="en-GB" w:eastAsia="en-GB"/>
              </w:rPr>
              <w:t>I</w:t>
            </w:r>
            <w:r w:rsidRPr="00B5504C">
              <w:rPr>
                <w:b/>
                <w:bCs/>
                <w:vertAlign w:val="superscript"/>
                <w:lang w:val="en-GB" w:eastAsia="en-GB"/>
              </w:rPr>
              <w:t>2</w:t>
            </w:r>
            <w:r>
              <w:rPr>
                <w:b/>
                <w:bCs/>
                <w:lang w:val="en-GB" w:eastAsia="en-GB"/>
              </w:rPr>
              <w:t xml:space="preserve"> = 0%</w:t>
            </w:r>
          </w:p>
        </w:tc>
      </w:tr>
    </w:tbl>
    <w:p w:rsidR="00690D3B" w:rsidRPr="00D13A3E" w:rsidRDefault="00690D3B" w:rsidP="00075D48">
      <w:pPr>
        <w:pStyle w:val="TableFooter"/>
        <w:widowControl/>
        <w:ind w:left="720"/>
      </w:pPr>
      <w:r>
        <w:t xml:space="preserve">Source: </w:t>
      </w:r>
    </w:p>
    <w:p w:rsidR="00690D3B" w:rsidRDefault="00690D3B" w:rsidP="00075D48">
      <w:pPr>
        <w:pStyle w:val="TableFooter"/>
        <w:widowControl/>
        <w:ind w:left="720"/>
      </w:pPr>
      <w:r>
        <w:t xml:space="preserve">MD = mean difference; CI = confidence interval Tio = tiotropium; Olo = olodaterol; FDC = fixed dose combination; </w:t>
      </w:r>
      <w:r w:rsidRPr="00903F77">
        <w:t>FEV</w:t>
      </w:r>
      <w:r w:rsidRPr="00903F77">
        <w:rPr>
          <w:vertAlign w:val="subscript"/>
        </w:rPr>
        <w:t>1</w:t>
      </w:r>
      <w:r w:rsidR="00380558">
        <w:t> </w:t>
      </w:r>
      <w:r w:rsidRPr="00903F77">
        <w:t>=</w:t>
      </w:r>
      <w:r w:rsidR="00380558">
        <w:t> </w:t>
      </w:r>
      <w:r w:rsidRPr="00903F77">
        <w:t xml:space="preserve">forced expiratory volume in one </w:t>
      </w:r>
      <w:r w:rsidRPr="004A3B72">
        <w:t>second;</w:t>
      </w:r>
      <w:r>
        <w:t xml:space="preserve"> SE = standard error</w:t>
      </w:r>
    </w:p>
    <w:p w:rsidR="009E1635" w:rsidRDefault="009E1635" w:rsidP="00075D48">
      <w:pPr>
        <w:widowControl/>
        <w:ind w:firstLine="720"/>
        <w:rPr>
          <w:rStyle w:val="CommentReference"/>
        </w:rPr>
      </w:pPr>
    </w:p>
    <w:p w:rsidR="00690D3B" w:rsidRPr="0025601D" w:rsidRDefault="00593AA1" w:rsidP="00075D48">
      <w:pPr>
        <w:pStyle w:val="ListParagraph"/>
        <w:widowControl/>
        <w:numPr>
          <w:ilvl w:val="1"/>
          <w:numId w:val="4"/>
        </w:numPr>
        <w:rPr>
          <w:szCs w:val="22"/>
        </w:rPr>
      </w:pPr>
      <w:r>
        <w:t>There w</w:t>
      </w:r>
      <w:r w:rsidR="00086B63">
        <w:t>ere</w:t>
      </w:r>
      <w:r>
        <w:t xml:space="preserve"> </w:t>
      </w:r>
      <w:r w:rsidRPr="007D03BA">
        <w:t>no statistical</w:t>
      </w:r>
      <w:r>
        <w:t xml:space="preserve">ly significant </w:t>
      </w:r>
      <w:r w:rsidRPr="007D03BA">
        <w:t>difference</w:t>
      </w:r>
      <w:r w:rsidR="00086B63">
        <w:t>s</w:t>
      </w:r>
      <w:r w:rsidRPr="007D03BA">
        <w:t xml:space="preserve"> </w:t>
      </w:r>
      <w:r>
        <w:t xml:space="preserve">in trough </w:t>
      </w:r>
      <w:r w:rsidRPr="007D03BA">
        <w:t>FEV</w:t>
      </w:r>
      <w:r w:rsidRPr="007D03BA">
        <w:rPr>
          <w:vertAlign w:val="subscript"/>
        </w:rPr>
        <w:t>1</w:t>
      </w:r>
      <w:r w:rsidRPr="007D03BA">
        <w:t xml:space="preserve"> </w:t>
      </w:r>
      <w:r>
        <w:t xml:space="preserve">at 24 weeks </w:t>
      </w:r>
      <w:r w:rsidRPr="007D03BA">
        <w:t>between tiotropium/oloda</w:t>
      </w:r>
      <w:r w:rsidRPr="00E360C6">
        <w:t>terol FDC and glycopyrron</w:t>
      </w:r>
      <w:r w:rsidR="00224CDA">
        <w:t>ium/indacaterol FDC (comparator </w:t>
      </w:r>
      <w:r w:rsidRPr="00E360C6">
        <w:t xml:space="preserve">1), umeclidinium/vilanterol </w:t>
      </w:r>
      <w:r w:rsidR="00E007B5" w:rsidRPr="00E360C6">
        <w:t xml:space="preserve">FDC </w:t>
      </w:r>
      <w:r w:rsidRPr="00E360C6">
        <w:t>(comparator 2) or tiotropium plus olodaterol taken concurrently (comparator 4). Tiotropium/olodaterol FDC was superior to its mono-components (comparator 3a and 3b). See the clinical claim section below for discussion on the clinical relevance.</w:t>
      </w:r>
    </w:p>
    <w:p w:rsidR="002E7075" w:rsidRPr="0025601D" w:rsidRDefault="002E7075" w:rsidP="00075D48">
      <w:pPr>
        <w:pStyle w:val="ListParagraph"/>
        <w:widowControl/>
        <w:rPr>
          <w:szCs w:val="22"/>
        </w:rPr>
      </w:pPr>
    </w:p>
    <w:p w:rsidR="00E859DE" w:rsidRPr="0025601D" w:rsidRDefault="00034823" w:rsidP="00075D48">
      <w:pPr>
        <w:pStyle w:val="ListParagraph"/>
        <w:widowControl/>
        <w:numPr>
          <w:ilvl w:val="1"/>
          <w:numId w:val="4"/>
        </w:numPr>
        <w:rPr>
          <w:szCs w:val="22"/>
        </w:rPr>
      </w:pPr>
      <w:r w:rsidRPr="0025601D">
        <w:rPr>
          <w:szCs w:val="22"/>
        </w:rPr>
        <w:t>Data on severe COPD exacerbation</w:t>
      </w:r>
      <w:r w:rsidR="007B519B" w:rsidRPr="0025601D">
        <w:rPr>
          <w:szCs w:val="22"/>
        </w:rPr>
        <w:t>s</w:t>
      </w:r>
      <w:r w:rsidRPr="0025601D">
        <w:rPr>
          <w:szCs w:val="22"/>
        </w:rPr>
        <w:t xml:space="preserve"> w</w:t>
      </w:r>
      <w:r w:rsidR="007162F5" w:rsidRPr="0025601D">
        <w:rPr>
          <w:szCs w:val="22"/>
        </w:rPr>
        <w:t>ere</w:t>
      </w:r>
      <w:r w:rsidRPr="0025601D">
        <w:rPr>
          <w:szCs w:val="22"/>
        </w:rPr>
        <w:t xml:space="preserve"> available for comparison</w:t>
      </w:r>
      <w:r w:rsidR="00D24D3A" w:rsidRPr="0025601D">
        <w:rPr>
          <w:szCs w:val="22"/>
        </w:rPr>
        <w:t>s</w:t>
      </w:r>
      <w:r w:rsidRPr="0025601D">
        <w:rPr>
          <w:szCs w:val="22"/>
        </w:rPr>
        <w:t xml:space="preserve"> 1 </w:t>
      </w:r>
      <w:r w:rsidR="00D24D3A" w:rsidRPr="0025601D">
        <w:rPr>
          <w:szCs w:val="22"/>
        </w:rPr>
        <w:t>and 3</w:t>
      </w:r>
      <w:r w:rsidR="009D1EC7" w:rsidRPr="0025601D">
        <w:rPr>
          <w:szCs w:val="22"/>
        </w:rPr>
        <w:t>, while data for any COPD exacerbation</w:t>
      </w:r>
      <w:r w:rsidR="007B519B" w:rsidRPr="0025601D">
        <w:rPr>
          <w:szCs w:val="22"/>
        </w:rPr>
        <w:t>s</w:t>
      </w:r>
      <w:r w:rsidR="009D1EC7" w:rsidRPr="0025601D">
        <w:rPr>
          <w:szCs w:val="22"/>
        </w:rPr>
        <w:t xml:space="preserve"> w</w:t>
      </w:r>
      <w:r w:rsidR="007162F5" w:rsidRPr="0025601D">
        <w:rPr>
          <w:szCs w:val="22"/>
        </w:rPr>
        <w:t>ere</w:t>
      </w:r>
      <w:r w:rsidR="009D1EC7" w:rsidRPr="0025601D">
        <w:rPr>
          <w:szCs w:val="22"/>
        </w:rPr>
        <w:t xml:space="preserve"> available for comparison 2</w:t>
      </w:r>
      <w:r w:rsidR="001D507A" w:rsidRPr="0025601D">
        <w:rPr>
          <w:szCs w:val="22"/>
        </w:rPr>
        <w:t xml:space="preserve"> and 3</w:t>
      </w:r>
      <w:r w:rsidRPr="0025601D">
        <w:rPr>
          <w:szCs w:val="22"/>
        </w:rPr>
        <w:t>.</w:t>
      </w:r>
      <w:r w:rsidR="001431D4" w:rsidRPr="0025601D">
        <w:rPr>
          <w:szCs w:val="22"/>
        </w:rPr>
        <w:t xml:space="preserve"> The rates of severe COPD exacerbations were </w:t>
      </w:r>
      <w:r w:rsidR="003D295D" w:rsidRPr="0025601D">
        <w:rPr>
          <w:szCs w:val="22"/>
        </w:rPr>
        <w:t>higher for tiotropium/olodaterol FDC compared with tiotropium monothera</w:t>
      </w:r>
      <w:r w:rsidR="009A221E" w:rsidRPr="0025601D">
        <w:rPr>
          <w:szCs w:val="22"/>
        </w:rPr>
        <w:t>p</w:t>
      </w:r>
      <w:r w:rsidR="003D295D" w:rsidRPr="0025601D">
        <w:rPr>
          <w:szCs w:val="22"/>
        </w:rPr>
        <w:t>y in the TONADO trials (5.9% vs. 4.5%</w:t>
      </w:r>
      <w:r w:rsidR="002C7D8D" w:rsidRPr="0025601D">
        <w:rPr>
          <w:szCs w:val="22"/>
        </w:rPr>
        <w:t>, respectively</w:t>
      </w:r>
      <w:r w:rsidR="003D295D" w:rsidRPr="0025601D">
        <w:rPr>
          <w:szCs w:val="22"/>
        </w:rPr>
        <w:t>). This difference was not statistically significant and the indirect comparison with glycopyrronium/indacaterol FDC also did not indicate statistically significant differences. Th</w:t>
      </w:r>
      <w:r w:rsidR="001A7D7B" w:rsidRPr="0025601D">
        <w:rPr>
          <w:szCs w:val="22"/>
        </w:rPr>
        <w:t>is indirect</w:t>
      </w:r>
      <w:r w:rsidR="003D295D" w:rsidRPr="0025601D">
        <w:rPr>
          <w:szCs w:val="22"/>
        </w:rPr>
        <w:t xml:space="preserve"> comparison </w:t>
      </w:r>
      <w:r w:rsidR="001A7D7B" w:rsidRPr="0025601D">
        <w:rPr>
          <w:szCs w:val="22"/>
        </w:rPr>
        <w:t>might be invalid</w:t>
      </w:r>
      <w:r w:rsidR="003D295D" w:rsidRPr="0025601D">
        <w:rPr>
          <w:szCs w:val="22"/>
        </w:rPr>
        <w:t xml:space="preserve">, as the event rates in the common comparator arms (tiotropium) were different, with higher event rates in the glycopyrronium/indacaterol FDC trial. </w:t>
      </w:r>
    </w:p>
    <w:p w:rsidR="00E859DE" w:rsidRPr="0025601D" w:rsidRDefault="00E859DE" w:rsidP="00075D48">
      <w:pPr>
        <w:pStyle w:val="ListParagraph"/>
        <w:widowControl/>
        <w:rPr>
          <w:szCs w:val="22"/>
        </w:rPr>
      </w:pPr>
    </w:p>
    <w:p w:rsidR="009E1635" w:rsidRPr="0025601D" w:rsidRDefault="003D295D" w:rsidP="00075D48">
      <w:pPr>
        <w:pStyle w:val="ListParagraph"/>
        <w:widowControl/>
        <w:numPr>
          <w:ilvl w:val="1"/>
          <w:numId w:val="4"/>
        </w:numPr>
        <w:rPr>
          <w:rStyle w:val="CommentReference"/>
        </w:rPr>
      </w:pPr>
      <w:r w:rsidRPr="0025601D">
        <w:rPr>
          <w:szCs w:val="22"/>
        </w:rPr>
        <w:t>No differences in all COPD exacerbations were observed between tiotropium/olodaterol FDC and tiotropium monotherapy, or olodaterol monotherapy (</w:t>
      </w:r>
      <w:r w:rsidR="002729F9">
        <w:rPr>
          <w:szCs w:val="22"/>
        </w:rPr>
        <w:t xml:space="preserve">29.3%, </w:t>
      </w:r>
      <w:r w:rsidRPr="0025601D">
        <w:rPr>
          <w:szCs w:val="22"/>
        </w:rPr>
        <w:t xml:space="preserve">30.3%, </w:t>
      </w:r>
      <w:r w:rsidR="009A221E" w:rsidRPr="0025601D">
        <w:rPr>
          <w:szCs w:val="22"/>
        </w:rPr>
        <w:t xml:space="preserve">and </w:t>
      </w:r>
      <w:r w:rsidRPr="0025601D">
        <w:rPr>
          <w:szCs w:val="22"/>
        </w:rPr>
        <w:t>33.6%</w:t>
      </w:r>
      <w:r w:rsidR="004F12AB" w:rsidRPr="0025601D">
        <w:rPr>
          <w:szCs w:val="22"/>
        </w:rPr>
        <w:t>, respectively</w:t>
      </w:r>
      <w:r w:rsidRPr="0025601D">
        <w:rPr>
          <w:szCs w:val="22"/>
        </w:rPr>
        <w:t xml:space="preserve">). </w:t>
      </w:r>
      <w:r w:rsidR="00E859DE" w:rsidRPr="0025601D">
        <w:rPr>
          <w:szCs w:val="22"/>
        </w:rPr>
        <w:t>The indirect comparison for any COPD exacerbations for tiotropium/olodaterol FDC versus umeclidinium/vilanterol FDC, using tiotropium as common comparator</w:t>
      </w:r>
      <w:r w:rsidRPr="0025601D">
        <w:rPr>
          <w:szCs w:val="22"/>
        </w:rPr>
        <w:t xml:space="preserve"> might be invalid</w:t>
      </w:r>
      <w:r w:rsidR="00E859DE" w:rsidRPr="0025601D">
        <w:rPr>
          <w:szCs w:val="22"/>
        </w:rPr>
        <w:t>. Th</w:t>
      </w:r>
      <w:r w:rsidRPr="0025601D">
        <w:rPr>
          <w:szCs w:val="22"/>
        </w:rPr>
        <w:t xml:space="preserve">e </w:t>
      </w:r>
      <w:r w:rsidR="001D5070" w:rsidRPr="0025601D">
        <w:rPr>
          <w:szCs w:val="22"/>
        </w:rPr>
        <w:t xml:space="preserve">rates were measured at different points in time due to different </w:t>
      </w:r>
      <w:r w:rsidRPr="0025601D">
        <w:rPr>
          <w:szCs w:val="22"/>
        </w:rPr>
        <w:t>trial duration</w:t>
      </w:r>
      <w:r w:rsidR="00E859DE" w:rsidRPr="0025601D">
        <w:rPr>
          <w:szCs w:val="22"/>
        </w:rPr>
        <w:t>s</w:t>
      </w:r>
      <w:r w:rsidR="00701D61" w:rsidRPr="0025601D">
        <w:rPr>
          <w:szCs w:val="22"/>
        </w:rPr>
        <w:t>,</w:t>
      </w:r>
      <w:r w:rsidRPr="0025601D">
        <w:rPr>
          <w:szCs w:val="22"/>
        </w:rPr>
        <w:t xml:space="preserve"> and the event rates were lower in the umeclidinium/vilanterol FDC trial</w:t>
      </w:r>
      <w:r w:rsidR="00E859DE" w:rsidRPr="0025601D">
        <w:rPr>
          <w:szCs w:val="22"/>
        </w:rPr>
        <w:t>s</w:t>
      </w:r>
      <w:r w:rsidRPr="0025601D">
        <w:rPr>
          <w:szCs w:val="22"/>
        </w:rPr>
        <w:t xml:space="preserve"> for the tiotropium arm </w:t>
      </w:r>
      <w:r w:rsidR="00E859DE" w:rsidRPr="0025601D">
        <w:rPr>
          <w:szCs w:val="22"/>
        </w:rPr>
        <w:t xml:space="preserve">compared with the tiotropium/olodaterol FDC trials </w:t>
      </w:r>
      <w:r w:rsidRPr="0025601D">
        <w:rPr>
          <w:szCs w:val="22"/>
        </w:rPr>
        <w:t xml:space="preserve">(5-7% vs. </w:t>
      </w:r>
      <w:r w:rsidR="002729F9">
        <w:rPr>
          <w:szCs w:val="22"/>
        </w:rPr>
        <w:t>30.3</w:t>
      </w:r>
      <w:r w:rsidRPr="0025601D">
        <w:rPr>
          <w:szCs w:val="22"/>
        </w:rPr>
        <w:t>%, for Decramer 1/2 and TONADO 1/2 respectively).</w:t>
      </w:r>
    </w:p>
    <w:p w:rsidR="00B60939" w:rsidRPr="00882085" w:rsidRDefault="00B60939" w:rsidP="00075D48">
      <w:pPr>
        <w:widowControl/>
        <w:rPr>
          <w:szCs w:val="22"/>
        </w:rPr>
      </w:pPr>
    </w:p>
    <w:p w:rsidR="00B60939" w:rsidRPr="002C2775" w:rsidRDefault="00B60939" w:rsidP="00075D48">
      <w:pPr>
        <w:pStyle w:val="Heading2"/>
        <w:widowControl/>
        <w:rPr>
          <w:i/>
        </w:rPr>
      </w:pPr>
      <w:bookmarkStart w:id="12" w:name="_Toc419800807"/>
      <w:r w:rsidRPr="002C2775">
        <w:rPr>
          <w:i/>
        </w:rPr>
        <w:t>Comparative harms</w:t>
      </w:r>
      <w:bookmarkEnd w:id="12"/>
    </w:p>
    <w:p w:rsidR="00B60939" w:rsidRPr="00882085" w:rsidRDefault="00B60939" w:rsidP="00075D48">
      <w:pPr>
        <w:widowControl/>
        <w:ind w:left="720" w:hanging="720"/>
        <w:rPr>
          <w:szCs w:val="22"/>
        </w:rPr>
      </w:pPr>
    </w:p>
    <w:p w:rsidR="00B60939" w:rsidRPr="0025601D" w:rsidRDefault="00593AA1" w:rsidP="00075D48">
      <w:pPr>
        <w:pStyle w:val="ListParagraph"/>
        <w:widowControl/>
        <w:numPr>
          <w:ilvl w:val="1"/>
          <w:numId w:val="4"/>
        </w:numPr>
        <w:rPr>
          <w:szCs w:val="22"/>
        </w:rPr>
      </w:pPr>
      <w:r>
        <w:t xml:space="preserve">Tiotropium/olodaterol FDC did not result in higher rates of adverse events than tiotropium monotherapy or olodaterol monotherapy. Similar results were observed for glycopyrronium/indacaterol FDC versus tiotropium and umeclidinium/vilanterol FDC versus tiotropium. The submission </w:t>
      </w:r>
      <w:r w:rsidRPr="0025601D">
        <w:t xml:space="preserve">performed indirect comparisons, which did not result in statistically significant differences for any of the comparisons. It </w:t>
      </w:r>
      <w:r w:rsidR="007F26B4" w:rsidRPr="0025601D">
        <w:t>was</w:t>
      </w:r>
      <w:r w:rsidRPr="0025601D">
        <w:t xml:space="preserve"> inappropriate to perform indirect comparisons for the adverse events, as the durations of the trials were different. </w:t>
      </w:r>
    </w:p>
    <w:p w:rsidR="00B60939" w:rsidRPr="00882085" w:rsidRDefault="00B60939" w:rsidP="00075D48">
      <w:pPr>
        <w:widowControl/>
      </w:pPr>
    </w:p>
    <w:p w:rsidR="00B60939" w:rsidRPr="002C2775" w:rsidRDefault="00B60939" w:rsidP="00075D48">
      <w:pPr>
        <w:pStyle w:val="Heading2"/>
        <w:widowControl/>
        <w:rPr>
          <w:i/>
        </w:rPr>
      </w:pPr>
      <w:bookmarkStart w:id="13" w:name="_Toc419800808"/>
      <w:r w:rsidRPr="002C2775">
        <w:rPr>
          <w:i/>
        </w:rPr>
        <w:t>Clinical claim</w:t>
      </w:r>
      <w:bookmarkEnd w:id="13"/>
    </w:p>
    <w:p w:rsidR="00B60939" w:rsidRPr="002C1218" w:rsidRDefault="00B60939" w:rsidP="00075D48">
      <w:pPr>
        <w:widowControl/>
        <w:ind w:left="720" w:hanging="720"/>
        <w:rPr>
          <w:szCs w:val="22"/>
        </w:rPr>
      </w:pPr>
    </w:p>
    <w:p w:rsidR="00740212" w:rsidRPr="002C1218" w:rsidRDefault="00740212" w:rsidP="00740212">
      <w:pPr>
        <w:pStyle w:val="ListParagraph"/>
        <w:widowControl/>
        <w:numPr>
          <w:ilvl w:val="1"/>
          <w:numId w:val="4"/>
        </w:numPr>
        <w:rPr>
          <w:b/>
        </w:rPr>
      </w:pPr>
      <w:r w:rsidRPr="002C1218">
        <w:rPr>
          <w:szCs w:val="22"/>
        </w:rPr>
        <w:t>The PSCR emphasised that the results of the indirect comparisons for the outcome of trough FEV</w:t>
      </w:r>
      <w:r w:rsidRPr="002C1218">
        <w:rPr>
          <w:szCs w:val="22"/>
          <w:vertAlign w:val="subscript"/>
        </w:rPr>
        <w:t>1</w:t>
      </w:r>
      <w:r w:rsidRPr="002C1218">
        <w:rPr>
          <w:szCs w:val="22"/>
        </w:rPr>
        <w:t xml:space="preserve"> were the basis of the submission’s clinical claim.</w:t>
      </w:r>
    </w:p>
    <w:p w:rsidR="00740212" w:rsidRPr="00960199" w:rsidRDefault="00740212" w:rsidP="00740212">
      <w:pPr>
        <w:pStyle w:val="ListParagraph"/>
        <w:widowControl/>
        <w:rPr>
          <w:b/>
        </w:rPr>
      </w:pPr>
    </w:p>
    <w:p w:rsidR="00593AA1" w:rsidRPr="008C5483" w:rsidRDefault="00593AA1" w:rsidP="00075D48">
      <w:pPr>
        <w:pStyle w:val="ListParagraph"/>
        <w:widowControl/>
        <w:numPr>
          <w:ilvl w:val="1"/>
          <w:numId w:val="4"/>
        </w:numPr>
        <w:rPr>
          <w:b/>
        </w:rPr>
      </w:pPr>
      <w:r w:rsidRPr="008C5483">
        <w:rPr>
          <w:b/>
        </w:rPr>
        <w:t>Comparison 1: versus glycopyrronium/indacaterol FDC</w:t>
      </w:r>
    </w:p>
    <w:p w:rsidR="00593AA1" w:rsidRPr="008C5483" w:rsidRDefault="00593AA1" w:rsidP="00075D48">
      <w:pPr>
        <w:pStyle w:val="ListParagraph"/>
        <w:widowControl/>
        <w:rPr>
          <w:b/>
        </w:rPr>
      </w:pPr>
      <w:r w:rsidRPr="008C5483">
        <w:rPr>
          <w:b/>
        </w:rPr>
        <w:t>Comparison 2: versus umeclidinium/vilanterol FDC</w:t>
      </w:r>
    </w:p>
    <w:p w:rsidR="00593AA1" w:rsidRPr="00472701" w:rsidRDefault="00593AA1" w:rsidP="00075D48">
      <w:pPr>
        <w:pStyle w:val="ListParagraph"/>
        <w:widowControl/>
        <w:rPr>
          <w:b/>
          <w:lang w:val="fr-FR"/>
        </w:rPr>
      </w:pPr>
      <w:r w:rsidRPr="00472701">
        <w:rPr>
          <w:b/>
          <w:lang w:val="fr-FR"/>
        </w:rPr>
        <w:t>Comparison 4: versus tiotropium plus olodaterol concurrently</w:t>
      </w:r>
    </w:p>
    <w:p w:rsidR="00593AA1" w:rsidRPr="006F6145" w:rsidRDefault="00593AA1" w:rsidP="00075D48">
      <w:pPr>
        <w:pStyle w:val="ListParagraph"/>
        <w:widowControl/>
        <w:rPr>
          <w:lang w:val="fr-FR"/>
        </w:rPr>
      </w:pPr>
      <w:r w:rsidRPr="006F6145">
        <w:rPr>
          <w:lang w:val="fr-FR"/>
        </w:rPr>
        <w:t>The submission describe</w:t>
      </w:r>
      <w:r w:rsidR="0055677A" w:rsidRPr="006F6145">
        <w:rPr>
          <w:lang w:val="fr-FR"/>
        </w:rPr>
        <w:t>d</w:t>
      </w:r>
      <w:r w:rsidRPr="006F6145">
        <w:rPr>
          <w:lang w:val="fr-FR"/>
        </w:rPr>
        <w:t xml:space="preserve"> tiotropium/olodaterol FDC as non-inferior in terms of comparative effectiveness and non-inferior in terms of comparative safety over glycopyrronium/indacaterol FDC or umeclidinium/vilanterol FDC or tiotropium plus olodaterol concurrently</w:t>
      </w:r>
      <w:r w:rsidR="007F26B4" w:rsidRPr="006F6145">
        <w:rPr>
          <w:lang w:val="fr-FR"/>
        </w:rPr>
        <w:t xml:space="preserve">. </w:t>
      </w:r>
    </w:p>
    <w:p w:rsidR="00593AA1" w:rsidRPr="0025601D" w:rsidRDefault="00593AA1" w:rsidP="00075D48">
      <w:pPr>
        <w:pStyle w:val="ListParagraph"/>
        <w:widowControl/>
        <w:numPr>
          <w:ilvl w:val="1"/>
          <w:numId w:val="15"/>
        </w:numPr>
        <w:ind w:left="993" w:hanging="284"/>
      </w:pPr>
      <w:r w:rsidRPr="0025601D">
        <w:t>The duration</w:t>
      </w:r>
      <w:r w:rsidR="00E21029" w:rsidRPr="0025601D">
        <w:t>s</w:t>
      </w:r>
      <w:r w:rsidRPr="0025601D">
        <w:t xml:space="preserve"> of the trials </w:t>
      </w:r>
      <w:r w:rsidR="00E21029" w:rsidRPr="0025601D">
        <w:t>were different</w:t>
      </w:r>
      <w:r w:rsidRPr="0025601D">
        <w:t xml:space="preserve">, </w:t>
      </w:r>
      <w:r w:rsidR="001A7D7B" w:rsidRPr="0025601D">
        <w:t xml:space="preserve">this might make the indirect comparisons for </w:t>
      </w:r>
      <w:r w:rsidRPr="0025601D">
        <w:t>COPD exacerbation and safety results</w:t>
      </w:r>
      <w:r w:rsidR="001A7D7B" w:rsidRPr="0025601D">
        <w:t xml:space="preserve"> invalid</w:t>
      </w:r>
      <w:r w:rsidRPr="0025601D">
        <w:t>.</w:t>
      </w:r>
    </w:p>
    <w:p w:rsidR="00593AA1" w:rsidRPr="0025601D" w:rsidRDefault="00593AA1" w:rsidP="00075D48">
      <w:pPr>
        <w:pStyle w:val="ListParagraph"/>
        <w:widowControl/>
        <w:numPr>
          <w:ilvl w:val="1"/>
          <w:numId w:val="15"/>
        </w:numPr>
        <w:ind w:left="993" w:hanging="284"/>
      </w:pPr>
      <w:r w:rsidRPr="0025601D">
        <w:t>The common comparator</w:t>
      </w:r>
      <w:r w:rsidR="00D76CC5">
        <w:t>,</w:t>
      </w:r>
      <w:r w:rsidRPr="0025601D">
        <w:t xml:space="preserve"> tiotropium</w:t>
      </w:r>
      <w:r w:rsidR="00D76CC5">
        <w:t>,</w:t>
      </w:r>
      <w:r w:rsidRPr="0025601D">
        <w:t xml:space="preserve"> was provided in two different doses in the tiotropium/olodaterol FDC trials and the comparator</w:t>
      </w:r>
      <w:r w:rsidR="00E21029" w:rsidRPr="0025601D">
        <w:t>s</w:t>
      </w:r>
      <w:r w:rsidRPr="0025601D">
        <w:t xml:space="preserve"> trials. </w:t>
      </w:r>
      <w:r w:rsidR="001D5070" w:rsidRPr="0025601D">
        <w:t xml:space="preserve">While the data from Van Noord (2009) and TIOSPIR suggest non-inferiority, there </w:t>
      </w:r>
      <w:r w:rsidR="001A7D7B" w:rsidRPr="0025601D">
        <w:t>wa</w:t>
      </w:r>
      <w:r w:rsidR="00F64BED" w:rsidRPr="0025601D">
        <w:t xml:space="preserve">s </w:t>
      </w:r>
      <w:r w:rsidR="001D5070" w:rsidRPr="0025601D">
        <w:t xml:space="preserve">uncertainty around the point estimate </w:t>
      </w:r>
      <w:r w:rsidR="00F64BED" w:rsidRPr="0025601D">
        <w:t xml:space="preserve">as the </w:t>
      </w:r>
      <w:r w:rsidR="001D5070" w:rsidRPr="0025601D">
        <w:t>confidence intervals were not included in the indirect comparison, which might have underestimate</w:t>
      </w:r>
      <w:r w:rsidR="00766CE4" w:rsidRPr="0025601D">
        <w:t>d</w:t>
      </w:r>
      <w:r w:rsidR="001D5070" w:rsidRPr="0025601D">
        <w:t xml:space="preserve"> the confidence intervals for the indirect comparisons. </w:t>
      </w:r>
      <w:r w:rsidR="00A80263" w:rsidRPr="002C1218">
        <w:t>The PSCR provided the difference in trough FEV</w:t>
      </w:r>
      <w:r w:rsidR="00A80263" w:rsidRPr="002C1218">
        <w:rPr>
          <w:vertAlign w:val="subscript"/>
        </w:rPr>
        <w:t>1</w:t>
      </w:r>
      <w:r w:rsidR="00A80263" w:rsidRPr="002C1218">
        <w:t xml:space="preserve"> from the Van Noord (2009) analysis between tiotropium 5 µg and 18 µg of 0.029 (95% CI 0.004, 0.055), and argued that the narrow confidence interval was unlikely to result in an underestimation of the confidence intervals for the indirect comparison presented in the submission.</w:t>
      </w:r>
    </w:p>
    <w:p w:rsidR="00593AA1" w:rsidRPr="0025601D" w:rsidRDefault="00593AA1" w:rsidP="00075D48">
      <w:pPr>
        <w:pStyle w:val="ListParagraph"/>
        <w:widowControl/>
        <w:numPr>
          <w:ilvl w:val="1"/>
          <w:numId w:val="15"/>
        </w:numPr>
        <w:ind w:left="993" w:hanging="284"/>
      </w:pPr>
      <w:r w:rsidRPr="0025601D">
        <w:t xml:space="preserve">The efficacy and safety in the common comparator arms were not comparable, limiting the appropriateness of performing an indirect comparison. </w:t>
      </w:r>
    </w:p>
    <w:p w:rsidR="00593AA1" w:rsidRPr="0025601D" w:rsidRDefault="00593AA1" w:rsidP="00075D48">
      <w:pPr>
        <w:widowControl/>
      </w:pPr>
    </w:p>
    <w:p w:rsidR="00593AA1" w:rsidRPr="008C5483" w:rsidRDefault="00593AA1" w:rsidP="00075D48">
      <w:pPr>
        <w:pStyle w:val="ListParagraph"/>
        <w:keepNext/>
        <w:widowControl/>
        <w:numPr>
          <w:ilvl w:val="1"/>
          <w:numId w:val="4"/>
        </w:numPr>
        <w:rPr>
          <w:b/>
        </w:rPr>
      </w:pPr>
      <w:r w:rsidRPr="008C5483">
        <w:rPr>
          <w:b/>
        </w:rPr>
        <w:t>Comparison 3a: versus tiotropium monotherapy</w:t>
      </w:r>
    </w:p>
    <w:p w:rsidR="00593AA1" w:rsidRPr="008C5483" w:rsidRDefault="00593AA1" w:rsidP="00075D48">
      <w:pPr>
        <w:pStyle w:val="ListParagraph"/>
        <w:keepNext/>
        <w:widowControl/>
        <w:rPr>
          <w:b/>
        </w:rPr>
      </w:pPr>
      <w:r w:rsidRPr="008C5483">
        <w:rPr>
          <w:b/>
        </w:rPr>
        <w:t>Comparison 3b: versus olodaterol monotherapy</w:t>
      </w:r>
    </w:p>
    <w:p w:rsidR="00593AA1" w:rsidRPr="0025601D" w:rsidRDefault="00593AA1" w:rsidP="00075D48">
      <w:pPr>
        <w:pStyle w:val="ListParagraph"/>
        <w:keepNext/>
        <w:widowControl/>
      </w:pPr>
      <w:r w:rsidRPr="008C5483">
        <w:t>The submission describe</w:t>
      </w:r>
      <w:r w:rsidR="0055677A">
        <w:t>d</w:t>
      </w:r>
      <w:r w:rsidRPr="008C5483">
        <w:t xml:space="preserve"> tiotropium/olodaterol FDC as superior in terms of comparative effectiveness and non-inferior in terms of comparative safety over tiotropium monotherapy or </w:t>
      </w:r>
      <w:r w:rsidRPr="0025601D">
        <w:t>olodaterol monotherapy.</w:t>
      </w:r>
      <w:r w:rsidR="007F26B4" w:rsidRPr="0025601D">
        <w:t xml:space="preserve"> </w:t>
      </w:r>
      <w:r w:rsidRPr="0025601D">
        <w:t>This claim might not be adequately supported.</w:t>
      </w:r>
    </w:p>
    <w:p w:rsidR="00593AA1" w:rsidRPr="002C1218" w:rsidRDefault="00593AA1" w:rsidP="00075D48">
      <w:pPr>
        <w:pStyle w:val="ListParagraph"/>
        <w:widowControl/>
        <w:numPr>
          <w:ilvl w:val="1"/>
          <w:numId w:val="16"/>
        </w:numPr>
        <w:ind w:left="993" w:hanging="284"/>
      </w:pPr>
      <w:r w:rsidRPr="0025601D">
        <w:t xml:space="preserve">While </w:t>
      </w:r>
      <w:r w:rsidRPr="002C1218">
        <w:t>the trough FEV</w:t>
      </w:r>
      <w:r w:rsidRPr="002C1218">
        <w:rPr>
          <w:vertAlign w:val="subscript"/>
        </w:rPr>
        <w:t>1</w:t>
      </w:r>
      <w:r w:rsidRPr="002C1218">
        <w:t xml:space="preserve"> results were significantly better for tiotropium/olodaterol FDC compared with tiotropium (60 mL; 95% </w:t>
      </w:r>
      <w:r w:rsidR="004F12AB" w:rsidRPr="002C1218">
        <w:t>confidence interval (</w:t>
      </w:r>
      <w:r w:rsidRPr="002C1218">
        <w:t>CI</w:t>
      </w:r>
      <w:r w:rsidR="004F12AB" w:rsidRPr="002C1218">
        <w:t>)</w:t>
      </w:r>
      <w:r w:rsidRPr="002C1218">
        <w:t>: 40 to 80</w:t>
      </w:r>
      <w:r w:rsidR="00031808" w:rsidRPr="002C1218">
        <w:t> </w:t>
      </w:r>
      <w:r w:rsidRPr="002C1218">
        <w:t>mL) or olodaterol (80 mL; 95% CI: 70 to 100 mL) monotherapy, it did not meet the minimum clinically important difference of 100 to 140 mL.</w:t>
      </w:r>
      <w:r w:rsidR="00FB49D8" w:rsidRPr="002C1218">
        <w:t xml:space="preserve"> The PSCR argue</w:t>
      </w:r>
      <w:r w:rsidR="001A1ABA" w:rsidRPr="002C1218">
        <w:t>d</w:t>
      </w:r>
      <w:r w:rsidR="00FB49D8" w:rsidRPr="002C1218">
        <w:t xml:space="preserve"> that applying the minimal clinically important difference (MCID) of 100 to 140 mL to the comparison of tiotropium/olodaterol FDC vs. tiotropium or olodaterol monotherapy is not appropriate, and that the MCID only applies to a claim of non</w:t>
      </w:r>
      <w:r w:rsidR="001A1ABA" w:rsidRPr="002C1218">
        <w:noBreakHyphen/>
      </w:r>
      <w:r w:rsidR="00FB49D8" w:rsidRPr="002C1218">
        <w:t>inferiority, not of superiority.  The ESC noted that the MCID values for FEV</w:t>
      </w:r>
      <w:r w:rsidR="00FB49D8" w:rsidRPr="002C1218">
        <w:rPr>
          <w:vertAlign w:val="subscript"/>
        </w:rPr>
        <w:t>1</w:t>
      </w:r>
      <w:r w:rsidR="00FB49D8" w:rsidRPr="002C1218">
        <w:t xml:space="preserve"> are anchored and associated with clinical outcomes, and thus seem reasonable to apply to the comparison of FDC with its components.  However, the ESC noted discussion in the literature (Jones PW et al., 2014 (</w:t>
      </w:r>
      <w:r w:rsidR="00FB49D8" w:rsidRPr="002C1218">
        <w:rPr>
          <w:lang w:val="en-US"/>
        </w:rPr>
        <w:t xml:space="preserve">American Journal of </w:t>
      </w:r>
      <w:r w:rsidR="00FB49D8" w:rsidRPr="002C1218">
        <w:t>Respiratory and Critical Care Medicine Vol 189, Iss 3, pp 250–255)) around the fact that mean incremental improvement with multiple therapies may not reach the MCID.</w:t>
      </w:r>
    </w:p>
    <w:p w:rsidR="007F26B4" w:rsidRDefault="007F26B4" w:rsidP="00075D48">
      <w:pPr>
        <w:pStyle w:val="ListParagraph"/>
        <w:widowControl/>
        <w:numPr>
          <w:ilvl w:val="1"/>
          <w:numId w:val="16"/>
        </w:numPr>
        <w:ind w:left="993" w:hanging="284"/>
      </w:pPr>
      <w:r w:rsidRPr="002C1218">
        <w:t>No differences in severe COPD exacerbations were observed, with numerically higher rates in the tiotropium/olodaterol FDC arm.</w:t>
      </w:r>
      <w:r w:rsidR="00A365B6" w:rsidRPr="002C1218">
        <w:t xml:space="preserve"> The PSCR state</w:t>
      </w:r>
      <w:r w:rsidR="00740212" w:rsidRPr="002C1218">
        <w:t>d</w:t>
      </w:r>
      <w:r w:rsidR="00A365B6" w:rsidRPr="002C1218">
        <w:t xml:space="preserve"> that the TONADO trials were not designed to formally evaluate the effect on COPD exacerbations and</w:t>
      </w:r>
      <w:r w:rsidR="00614CF3" w:rsidRPr="002C1218">
        <w:t xml:space="preserve"> that</w:t>
      </w:r>
      <w:r w:rsidR="00A365B6" w:rsidRPr="002C1218">
        <w:t xml:space="preserve"> it was neither a primary nor secondary outcome of the trials.</w:t>
      </w:r>
    </w:p>
    <w:p w:rsidR="00D76CC5" w:rsidRPr="0025601D" w:rsidRDefault="00D76CC5" w:rsidP="00420091">
      <w:pPr>
        <w:widowControl/>
        <w:rPr>
          <w:szCs w:val="22"/>
        </w:rPr>
      </w:pPr>
    </w:p>
    <w:p w:rsidR="00B60939" w:rsidRPr="002C2775" w:rsidRDefault="00B60939" w:rsidP="00075D48">
      <w:pPr>
        <w:pStyle w:val="Heading2"/>
        <w:widowControl/>
        <w:rPr>
          <w:i/>
        </w:rPr>
      </w:pPr>
      <w:bookmarkStart w:id="14" w:name="_Toc419800809"/>
      <w:r w:rsidRPr="002C2775">
        <w:rPr>
          <w:i/>
        </w:rPr>
        <w:t>Economic analysis</w:t>
      </w:r>
      <w:bookmarkEnd w:id="14"/>
      <w:r w:rsidR="00491B3A" w:rsidRPr="002C2775">
        <w:rPr>
          <w:i/>
        </w:rPr>
        <w:t xml:space="preserve"> </w:t>
      </w:r>
    </w:p>
    <w:p w:rsidR="00B60939" w:rsidRPr="00882085" w:rsidRDefault="00B60939" w:rsidP="00075D48">
      <w:pPr>
        <w:widowControl/>
        <w:ind w:left="720" w:hanging="720"/>
        <w:rPr>
          <w:szCs w:val="22"/>
        </w:rPr>
      </w:pPr>
    </w:p>
    <w:p w:rsidR="00357B5F" w:rsidRPr="00357B5F" w:rsidRDefault="00357B5F" w:rsidP="00075D48">
      <w:pPr>
        <w:pStyle w:val="ListParagraph"/>
        <w:widowControl/>
        <w:numPr>
          <w:ilvl w:val="1"/>
          <w:numId w:val="4"/>
        </w:numPr>
        <w:rPr>
          <w:szCs w:val="22"/>
        </w:rPr>
      </w:pPr>
      <w:r>
        <w:t>The submission presented a cost-</w:t>
      </w:r>
      <w:r w:rsidR="00415065">
        <w:t>minimisation</w:t>
      </w:r>
      <w:r>
        <w:t xml:space="preserve"> analysis. The equi-effective doses were estimated as:</w:t>
      </w:r>
    </w:p>
    <w:p w:rsidR="00357B5F" w:rsidRPr="006F6145" w:rsidRDefault="00357B5F" w:rsidP="00075D48">
      <w:pPr>
        <w:pStyle w:val="ListParagraph"/>
        <w:widowControl/>
        <w:numPr>
          <w:ilvl w:val="0"/>
          <w:numId w:val="24"/>
        </w:numPr>
        <w:ind w:left="1134" w:hanging="425"/>
        <w:rPr>
          <w:szCs w:val="22"/>
          <w:lang w:val="sv-SE"/>
        </w:rPr>
      </w:pPr>
      <w:r w:rsidRPr="006F6145">
        <w:rPr>
          <w:lang w:val="sv-SE"/>
        </w:rPr>
        <w:t>tiotropium</w:t>
      </w:r>
      <w:r w:rsidR="008C5483" w:rsidRPr="006F6145">
        <w:rPr>
          <w:lang w:val="sv-SE"/>
        </w:rPr>
        <w:t>/olodaterol FDC 5</w:t>
      </w:r>
      <w:r w:rsidR="003C56E4" w:rsidRPr="006F6145">
        <w:rPr>
          <w:lang w:val="sv-SE"/>
        </w:rPr>
        <w:t> </w:t>
      </w:r>
      <w:r w:rsidR="008C5483" w:rsidRPr="006F6145">
        <w:rPr>
          <w:lang w:val="sv-SE"/>
        </w:rPr>
        <w:t>µg</w:t>
      </w:r>
      <w:r w:rsidR="003C56E4" w:rsidRPr="006F6145">
        <w:rPr>
          <w:lang w:val="sv-SE"/>
        </w:rPr>
        <w:t> </w:t>
      </w:r>
      <w:r w:rsidR="008C5483" w:rsidRPr="006F6145">
        <w:rPr>
          <w:lang w:val="sv-SE"/>
        </w:rPr>
        <w:t>/</w:t>
      </w:r>
      <w:r w:rsidR="003C56E4" w:rsidRPr="006F6145">
        <w:rPr>
          <w:lang w:val="sv-SE"/>
        </w:rPr>
        <w:t> </w:t>
      </w:r>
      <w:r w:rsidR="008C5483" w:rsidRPr="006F6145">
        <w:rPr>
          <w:lang w:val="sv-SE"/>
        </w:rPr>
        <w:t>5</w:t>
      </w:r>
      <w:r w:rsidR="003C56E4" w:rsidRPr="006F6145">
        <w:rPr>
          <w:lang w:val="sv-SE"/>
        </w:rPr>
        <w:t> </w:t>
      </w:r>
      <w:r w:rsidR="008C5483" w:rsidRPr="006F6145">
        <w:rPr>
          <w:lang w:val="sv-SE"/>
        </w:rPr>
        <w:t>µg</w:t>
      </w:r>
      <w:r w:rsidRPr="006F6145">
        <w:rPr>
          <w:lang w:val="sv-SE"/>
        </w:rPr>
        <w:t>;</w:t>
      </w:r>
    </w:p>
    <w:p w:rsidR="00357B5F" w:rsidRPr="006F6145" w:rsidRDefault="008C5483" w:rsidP="00075D48">
      <w:pPr>
        <w:pStyle w:val="ListParagraph"/>
        <w:widowControl/>
        <w:numPr>
          <w:ilvl w:val="0"/>
          <w:numId w:val="24"/>
        </w:numPr>
        <w:ind w:left="1134" w:hanging="425"/>
        <w:rPr>
          <w:szCs w:val="22"/>
          <w:lang w:val="sv-SE"/>
        </w:rPr>
      </w:pPr>
      <w:r w:rsidRPr="006F6145">
        <w:rPr>
          <w:lang w:val="sv-SE"/>
        </w:rPr>
        <w:t>glycopyrronium/indacaterol FDC 50</w:t>
      </w:r>
      <w:r w:rsidR="007F26B4" w:rsidRPr="006F6145">
        <w:rPr>
          <w:lang w:val="sv-SE"/>
        </w:rPr>
        <w:t> </w:t>
      </w:r>
      <w:r w:rsidRPr="006F6145">
        <w:rPr>
          <w:lang w:val="sv-SE"/>
        </w:rPr>
        <w:t>µg</w:t>
      </w:r>
      <w:r w:rsidR="003C56E4" w:rsidRPr="006F6145">
        <w:rPr>
          <w:lang w:val="sv-SE"/>
        </w:rPr>
        <w:t> </w:t>
      </w:r>
      <w:r w:rsidRPr="006F6145">
        <w:rPr>
          <w:lang w:val="sv-SE"/>
        </w:rPr>
        <w:t>/</w:t>
      </w:r>
      <w:r w:rsidR="003C56E4" w:rsidRPr="006F6145">
        <w:rPr>
          <w:lang w:val="sv-SE"/>
        </w:rPr>
        <w:t> </w:t>
      </w:r>
      <w:r w:rsidRPr="006F6145">
        <w:rPr>
          <w:lang w:val="sv-SE"/>
        </w:rPr>
        <w:t>110</w:t>
      </w:r>
      <w:r w:rsidR="003C56E4" w:rsidRPr="006F6145">
        <w:rPr>
          <w:lang w:val="sv-SE"/>
        </w:rPr>
        <w:t> </w:t>
      </w:r>
      <w:r>
        <w:t>μ</w:t>
      </w:r>
      <w:r w:rsidRPr="006F6145">
        <w:rPr>
          <w:lang w:val="sv-SE"/>
        </w:rPr>
        <w:t>g</w:t>
      </w:r>
      <w:r w:rsidR="00357B5F" w:rsidRPr="006F6145">
        <w:rPr>
          <w:lang w:val="sv-SE"/>
        </w:rPr>
        <w:t>; and</w:t>
      </w:r>
    </w:p>
    <w:p w:rsidR="00DA3B8B" w:rsidRPr="006F6145" w:rsidRDefault="008C5483" w:rsidP="00075D48">
      <w:pPr>
        <w:pStyle w:val="ListParagraph"/>
        <w:widowControl/>
        <w:numPr>
          <w:ilvl w:val="0"/>
          <w:numId w:val="24"/>
        </w:numPr>
        <w:ind w:left="1134" w:hanging="425"/>
        <w:rPr>
          <w:szCs w:val="22"/>
          <w:lang w:val="sv-SE"/>
        </w:rPr>
      </w:pPr>
      <w:r w:rsidRPr="006F6145">
        <w:rPr>
          <w:lang w:val="sv-SE"/>
        </w:rPr>
        <w:t>umeclidinium/vilanterol FDC 62.5</w:t>
      </w:r>
      <w:r w:rsidR="003C56E4" w:rsidRPr="006F6145">
        <w:rPr>
          <w:lang w:val="sv-SE"/>
        </w:rPr>
        <w:t> </w:t>
      </w:r>
      <w:r w:rsidRPr="006F6145">
        <w:rPr>
          <w:lang w:val="sv-SE"/>
        </w:rPr>
        <w:t>µg</w:t>
      </w:r>
      <w:r w:rsidR="003C56E4" w:rsidRPr="006F6145">
        <w:rPr>
          <w:lang w:val="sv-SE"/>
        </w:rPr>
        <w:t> </w:t>
      </w:r>
      <w:r w:rsidRPr="006F6145">
        <w:rPr>
          <w:lang w:val="sv-SE"/>
        </w:rPr>
        <w:t>/</w:t>
      </w:r>
      <w:r w:rsidR="003C56E4" w:rsidRPr="006F6145">
        <w:rPr>
          <w:lang w:val="sv-SE"/>
        </w:rPr>
        <w:t> </w:t>
      </w:r>
      <w:r w:rsidRPr="006F6145">
        <w:rPr>
          <w:lang w:val="sv-SE"/>
        </w:rPr>
        <w:t>25</w:t>
      </w:r>
      <w:r w:rsidR="003C56E4" w:rsidRPr="006F6145">
        <w:rPr>
          <w:lang w:val="sv-SE"/>
        </w:rPr>
        <w:t> </w:t>
      </w:r>
      <w:r w:rsidRPr="006F6145">
        <w:rPr>
          <w:lang w:val="sv-SE"/>
        </w:rPr>
        <w:t xml:space="preserve">µg. </w:t>
      </w:r>
    </w:p>
    <w:p w:rsidR="008C5483" w:rsidRPr="00DA3B8B" w:rsidRDefault="008C5483" w:rsidP="00075D48">
      <w:pPr>
        <w:widowControl/>
        <w:ind w:left="709"/>
        <w:rPr>
          <w:szCs w:val="22"/>
        </w:rPr>
      </w:pPr>
      <w:r w:rsidRPr="008C5483">
        <w:t xml:space="preserve">The equi-effective doses were based on the </w:t>
      </w:r>
      <w:r w:rsidRPr="0025601D">
        <w:t>currently PBS listed doses, which were included in the clinical trials. This was considered reasonable.</w:t>
      </w:r>
      <w:r w:rsidRPr="008C5483">
        <w:t xml:space="preserve"> </w:t>
      </w:r>
    </w:p>
    <w:p w:rsidR="008C5483" w:rsidRPr="008C5483" w:rsidRDefault="008C5483" w:rsidP="00075D48">
      <w:pPr>
        <w:pStyle w:val="ListParagraph"/>
        <w:widowControl/>
        <w:rPr>
          <w:szCs w:val="22"/>
        </w:rPr>
      </w:pPr>
    </w:p>
    <w:p w:rsidR="008C5483" w:rsidRPr="00B50DB8" w:rsidRDefault="008C5483" w:rsidP="00075D48">
      <w:pPr>
        <w:pStyle w:val="ListParagraph"/>
        <w:widowControl/>
        <w:numPr>
          <w:ilvl w:val="1"/>
          <w:numId w:val="4"/>
        </w:numPr>
        <w:rPr>
          <w:szCs w:val="22"/>
        </w:rPr>
      </w:pPr>
      <w:r w:rsidRPr="008C5483">
        <w:t xml:space="preserve">The following table presents the cost-minimisation analysis. The </w:t>
      </w:r>
      <w:r>
        <w:t>submission proposed the same price for tiotropium/olodaterol FDC as for the main comparators glycopyrronium/</w:t>
      </w:r>
      <w:r w:rsidRPr="0025601D">
        <w:t>indacaterol FDC and umeclidinium/vilanterol FDC. This was appropriate.</w:t>
      </w:r>
      <w:r w:rsidRPr="00B50DB8">
        <w:rPr>
          <w:color w:val="3366FF"/>
        </w:rPr>
        <w:t xml:space="preserve"> </w:t>
      </w:r>
    </w:p>
    <w:p w:rsidR="008C5483" w:rsidRPr="008C5483" w:rsidRDefault="008C5483" w:rsidP="00075D48">
      <w:pPr>
        <w:pStyle w:val="ListParagraph"/>
        <w:widowControl/>
        <w:rPr>
          <w:szCs w:val="22"/>
        </w:rPr>
      </w:pPr>
    </w:p>
    <w:p w:rsidR="008C5483" w:rsidRPr="00EA0E5A" w:rsidRDefault="008C5483" w:rsidP="00075D48">
      <w:pPr>
        <w:keepNext/>
        <w:widowControl/>
        <w:ind w:left="720"/>
        <w:rPr>
          <w:rStyle w:val="CommentReference"/>
        </w:rPr>
      </w:pPr>
      <w:r w:rsidRPr="00EA0E5A">
        <w:rPr>
          <w:rStyle w:val="CommentReference"/>
        </w:rPr>
        <w:t>Table</w:t>
      </w:r>
      <w:r>
        <w:rPr>
          <w:rStyle w:val="CommentReference"/>
        </w:rPr>
        <w:t xml:space="preserve"> 5</w:t>
      </w:r>
      <w:r w:rsidRPr="00EA0E5A">
        <w:rPr>
          <w:rStyle w:val="CommentReference"/>
        </w:rPr>
        <w:t>: Cost-mini</w:t>
      </w:r>
      <w:r>
        <w:rPr>
          <w:rStyle w:val="CommentReference"/>
        </w:rPr>
        <w:t>misation analysi</w:t>
      </w:r>
      <w:r w:rsidRPr="00EA0E5A">
        <w:rPr>
          <w:rStyle w:val="CommentReference"/>
        </w:rPr>
        <w:t>s</w:t>
      </w:r>
    </w:p>
    <w:tbl>
      <w:tblPr>
        <w:tblStyle w:val="TableGrid"/>
        <w:tblW w:w="0" w:type="auto"/>
        <w:tblInd w:w="817" w:type="dxa"/>
        <w:tblLook w:val="04A0" w:firstRow="1" w:lastRow="0" w:firstColumn="1" w:lastColumn="0" w:noHBand="0" w:noVBand="1"/>
        <w:tblCaption w:val="&quot;&quot;"/>
      </w:tblPr>
      <w:tblGrid>
        <w:gridCol w:w="2126"/>
        <w:gridCol w:w="1842"/>
        <w:gridCol w:w="1419"/>
        <w:gridCol w:w="1275"/>
        <w:gridCol w:w="1763"/>
      </w:tblGrid>
      <w:tr w:rsidR="008C5483" w:rsidTr="00BA7EAE">
        <w:trPr>
          <w:trHeight w:val="20"/>
          <w:tblHeader/>
        </w:trPr>
        <w:tc>
          <w:tcPr>
            <w:tcW w:w="2126" w:type="dxa"/>
            <w:vAlign w:val="center"/>
          </w:tcPr>
          <w:p w:rsidR="008C5483" w:rsidRPr="00EA0E5A" w:rsidRDefault="008C5483" w:rsidP="00075D48">
            <w:pPr>
              <w:pStyle w:val="Tabletext"/>
              <w:keepNext/>
              <w:rPr>
                <w:b/>
              </w:rPr>
            </w:pPr>
            <w:r w:rsidRPr="00EA0E5A">
              <w:rPr>
                <w:b/>
              </w:rPr>
              <w:t>Resource Item</w:t>
            </w:r>
          </w:p>
        </w:tc>
        <w:tc>
          <w:tcPr>
            <w:tcW w:w="1842" w:type="dxa"/>
            <w:vAlign w:val="center"/>
          </w:tcPr>
          <w:p w:rsidR="008C5483" w:rsidRPr="00EA0E5A" w:rsidRDefault="008C5483" w:rsidP="00075D48">
            <w:pPr>
              <w:pStyle w:val="Tabletext"/>
              <w:keepNext/>
              <w:jc w:val="center"/>
              <w:rPr>
                <w:b/>
              </w:rPr>
            </w:pPr>
            <w:r w:rsidRPr="00EA0E5A">
              <w:rPr>
                <w:b/>
              </w:rPr>
              <w:t>Unit of measurement</w:t>
            </w:r>
          </w:p>
        </w:tc>
        <w:tc>
          <w:tcPr>
            <w:tcW w:w="1419" w:type="dxa"/>
            <w:vAlign w:val="center"/>
          </w:tcPr>
          <w:p w:rsidR="008C5483" w:rsidRPr="00EA0E5A" w:rsidRDefault="008C5483" w:rsidP="00075D48">
            <w:pPr>
              <w:pStyle w:val="Tabletext"/>
              <w:keepNext/>
              <w:jc w:val="center"/>
              <w:rPr>
                <w:b/>
              </w:rPr>
            </w:pPr>
            <w:r w:rsidRPr="00EA0E5A">
              <w:rPr>
                <w:b/>
              </w:rPr>
              <w:t>Units per year</w:t>
            </w:r>
          </w:p>
        </w:tc>
        <w:tc>
          <w:tcPr>
            <w:tcW w:w="1275" w:type="dxa"/>
          </w:tcPr>
          <w:p w:rsidR="008C5483" w:rsidRPr="00EA0E5A" w:rsidRDefault="008C5483" w:rsidP="00075D48">
            <w:pPr>
              <w:pStyle w:val="Tabletext"/>
              <w:keepNext/>
              <w:jc w:val="center"/>
              <w:rPr>
                <w:b/>
              </w:rPr>
            </w:pPr>
            <w:r w:rsidRPr="00EA0E5A">
              <w:rPr>
                <w:b/>
              </w:rPr>
              <w:t>Cost per unit (DPMQ)</w:t>
            </w:r>
          </w:p>
        </w:tc>
        <w:tc>
          <w:tcPr>
            <w:tcW w:w="1763" w:type="dxa"/>
            <w:vAlign w:val="center"/>
          </w:tcPr>
          <w:p w:rsidR="008C5483" w:rsidRPr="00EA0E5A" w:rsidRDefault="008C5483" w:rsidP="00075D48">
            <w:pPr>
              <w:pStyle w:val="Tabletext"/>
              <w:keepNext/>
              <w:rPr>
                <w:b/>
              </w:rPr>
            </w:pPr>
            <w:r w:rsidRPr="00EA0E5A">
              <w:rPr>
                <w:b/>
              </w:rPr>
              <w:t>Source</w:t>
            </w:r>
          </w:p>
        </w:tc>
      </w:tr>
      <w:tr w:rsidR="008C5483" w:rsidTr="007F26B4">
        <w:trPr>
          <w:trHeight w:val="20"/>
        </w:trPr>
        <w:tc>
          <w:tcPr>
            <w:tcW w:w="2126" w:type="dxa"/>
            <w:vAlign w:val="center"/>
          </w:tcPr>
          <w:p w:rsidR="008C5483" w:rsidRDefault="008C5483" w:rsidP="00075D48">
            <w:pPr>
              <w:pStyle w:val="Tabletext"/>
              <w:keepNext/>
            </w:pPr>
            <w:r>
              <w:t>Tio/Olo 5 µg</w:t>
            </w:r>
            <w:r w:rsidR="003C56E4">
              <w:t xml:space="preserve"> </w:t>
            </w:r>
            <w:r>
              <w:t>/ 5 µg</w:t>
            </w:r>
          </w:p>
        </w:tc>
        <w:tc>
          <w:tcPr>
            <w:tcW w:w="1842" w:type="dxa"/>
            <w:vAlign w:val="center"/>
          </w:tcPr>
          <w:p w:rsidR="008C5483" w:rsidRDefault="008C5483" w:rsidP="00075D48">
            <w:pPr>
              <w:pStyle w:val="Tabletext"/>
              <w:keepNext/>
              <w:jc w:val="center"/>
            </w:pPr>
            <w:r>
              <w:t>1 pack</w:t>
            </w:r>
          </w:p>
        </w:tc>
        <w:tc>
          <w:tcPr>
            <w:tcW w:w="1419" w:type="dxa"/>
            <w:vAlign w:val="center"/>
          </w:tcPr>
          <w:p w:rsidR="008C5483" w:rsidRDefault="008C5483" w:rsidP="00075D48">
            <w:pPr>
              <w:pStyle w:val="Tabletext"/>
              <w:keepNext/>
              <w:jc w:val="center"/>
            </w:pPr>
            <w:r>
              <w:t>12.17</w:t>
            </w:r>
          </w:p>
        </w:tc>
        <w:tc>
          <w:tcPr>
            <w:tcW w:w="1275" w:type="dxa"/>
            <w:vAlign w:val="center"/>
          </w:tcPr>
          <w:p w:rsidR="008C5483" w:rsidRPr="00233AF1" w:rsidRDefault="008C5483" w:rsidP="00075D48">
            <w:pPr>
              <w:pStyle w:val="Tabletext"/>
              <w:keepNext/>
              <w:jc w:val="right"/>
            </w:pPr>
            <w:r w:rsidRPr="00233AF1">
              <w:t>$96.38</w:t>
            </w:r>
          </w:p>
        </w:tc>
        <w:tc>
          <w:tcPr>
            <w:tcW w:w="1763" w:type="dxa"/>
            <w:vAlign w:val="center"/>
          </w:tcPr>
          <w:p w:rsidR="008C5483" w:rsidRDefault="008C5483" w:rsidP="00075D48">
            <w:pPr>
              <w:pStyle w:val="Tabletext"/>
              <w:keepNext/>
            </w:pPr>
            <w:r>
              <w:t>Proposed</w:t>
            </w:r>
          </w:p>
        </w:tc>
      </w:tr>
      <w:tr w:rsidR="008C5483" w:rsidTr="007F26B4">
        <w:trPr>
          <w:trHeight w:val="20"/>
        </w:trPr>
        <w:tc>
          <w:tcPr>
            <w:tcW w:w="2126" w:type="dxa"/>
            <w:vAlign w:val="center"/>
          </w:tcPr>
          <w:p w:rsidR="008C5483" w:rsidRDefault="008C5483" w:rsidP="00075D48">
            <w:pPr>
              <w:pStyle w:val="Tabletext"/>
              <w:keepNext/>
            </w:pPr>
            <w:r>
              <w:t>Gly/Ind 50 µg</w:t>
            </w:r>
            <w:r w:rsidR="003C56E4">
              <w:t xml:space="preserve"> </w:t>
            </w:r>
            <w:r>
              <w:t>/</w:t>
            </w:r>
            <w:r w:rsidR="003C56E4">
              <w:t xml:space="preserve"> </w:t>
            </w:r>
            <w:r>
              <w:t>110</w:t>
            </w:r>
            <w:r w:rsidR="002866B3">
              <w:t xml:space="preserve"> </w:t>
            </w:r>
            <w:r>
              <w:rPr>
                <w:rFonts w:cs="Arial"/>
              </w:rPr>
              <w:t>μ</w:t>
            </w:r>
            <w:r>
              <w:t>g</w:t>
            </w:r>
          </w:p>
        </w:tc>
        <w:tc>
          <w:tcPr>
            <w:tcW w:w="1842" w:type="dxa"/>
            <w:vAlign w:val="center"/>
          </w:tcPr>
          <w:p w:rsidR="008C5483" w:rsidRDefault="008C5483" w:rsidP="00075D48">
            <w:pPr>
              <w:pStyle w:val="Tabletext"/>
              <w:keepNext/>
              <w:jc w:val="center"/>
            </w:pPr>
            <w:r w:rsidRPr="005E0249">
              <w:t>1 pack</w:t>
            </w:r>
          </w:p>
        </w:tc>
        <w:tc>
          <w:tcPr>
            <w:tcW w:w="1419" w:type="dxa"/>
            <w:vAlign w:val="center"/>
          </w:tcPr>
          <w:p w:rsidR="008C5483" w:rsidRDefault="008C5483" w:rsidP="00075D48">
            <w:pPr>
              <w:pStyle w:val="Tabletext"/>
              <w:keepNext/>
              <w:jc w:val="center"/>
            </w:pPr>
            <w:r w:rsidRPr="003877B5">
              <w:t>12.17</w:t>
            </w:r>
          </w:p>
        </w:tc>
        <w:tc>
          <w:tcPr>
            <w:tcW w:w="1275" w:type="dxa"/>
            <w:vAlign w:val="center"/>
          </w:tcPr>
          <w:p w:rsidR="008C5483" w:rsidRPr="00233AF1" w:rsidRDefault="008C5483" w:rsidP="00075D48">
            <w:pPr>
              <w:pStyle w:val="Tabletext"/>
              <w:keepNext/>
              <w:jc w:val="right"/>
            </w:pPr>
            <w:r w:rsidRPr="00233AF1">
              <w:t>$96.38</w:t>
            </w:r>
          </w:p>
        </w:tc>
        <w:tc>
          <w:tcPr>
            <w:tcW w:w="1763" w:type="dxa"/>
            <w:vAlign w:val="center"/>
          </w:tcPr>
          <w:p w:rsidR="008C5483" w:rsidRDefault="008C5483" w:rsidP="00075D48">
            <w:pPr>
              <w:pStyle w:val="Tabletext"/>
              <w:keepNext/>
            </w:pPr>
            <w:r>
              <w:t>PBS item 10156M</w:t>
            </w:r>
          </w:p>
        </w:tc>
      </w:tr>
      <w:tr w:rsidR="008C5483" w:rsidTr="007F26B4">
        <w:trPr>
          <w:trHeight w:val="20"/>
        </w:trPr>
        <w:tc>
          <w:tcPr>
            <w:tcW w:w="2126" w:type="dxa"/>
            <w:vAlign w:val="center"/>
          </w:tcPr>
          <w:p w:rsidR="008C5483" w:rsidRDefault="008C5483" w:rsidP="00075D48">
            <w:pPr>
              <w:pStyle w:val="Tabletext"/>
              <w:keepNext/>
            </w:pPr>
            <w:r>
              <w:t>Umec/Vi 62.5 µg</w:t>
            </w:r>
            <w:r w:rsidR="003C56E4">
              <w:t xml:space="preserve"> </w:t>
            </w:r>
            <w:r>
              <w:t>/</w:t>
            </w:r>
            <w:r w:rsidR="003C56E4">
              <w:t xml:space="preserve"> </w:t>
            </w:r>
            <w:r>
              <w:t>25 µg</w:t>
            </w:r>
          </w:p>
        </w:tc>
        <w:tc>
          <w:tcPr>
            <w:tcW w:w="1842" w:type="dxa"/>
            <w:vAlign w:val="center"/>
          </w:tcPr>
          <w:p w:rsidR="008C5483" w:rsidRDefault="008C5483" w:rsidP="00075D48">
            <w:pPr>
              <w:pStyle w:val="Tabletext"/>
              <w:keepNext/>
              <w:jc w:val="center"/>
            </w:pPr>
            <w:r w:rsidRPr="005E0249">
              <w:t>1 pack</w:t>
            </w:r>
          </w:p>
        </w:tc>
        <w:tc>
          <w:tcPr>
            <w:tcW w:w="1419" w:type="dxa"/>
            <w:vAlign w:val="center"/>
          </w:tcPr>
          <w:p w:rsidR="008C5483" w:rsidRDefault="008C5483" w:rsidP="00075D48">
            <w:pPr>
              <w:pStyle w:val="Tabletext"/>
              <w:keepNext/>
              <w:jc w:val="center"/>
            </w:pPr>
            <w:r w:rsidRPr="003877B5">
              <w:t>12.17</w:t>
            </w:r>
          </w:p>
        </w:tc>
        <w:tc>
          <w:tcPr>
            <w:tcW w:w="1275" w:type="dxa"/>
            <w:vAlign w:val="center"/>
          </w:tcPr>
          <w:p w:rsidR="008C5483" w:rsidRPr="00233AF1" w:rsidRDefault="008C5483" w:rsidP="00075D48">
            <w:pPr>
              <w:pStyle w:val="Tabletext"/>
              <w:keepNext/>
              <w:jc w:val="right"/>
            </w:pPr>
            <w:r w:rsidRPr="00233AF1">
              <w:t>$96.38</w:t>
            </w:r>
          </w:p>
        </w:tc>
        <w:tc>
          <w:tcPr>
            <w:tcW w:w="1763" w:type="dxa"/>
            <w:vAlign w:val="center"/>
          </w:tcPr>
          <w:p w:rsidR="008C5483" w:rsidRDefault="008C5483" w:rsidP="00075D48">
            <w:pPr>
              <w:pStyle w:val="Tabletext"/>
              <w:keepNext/>
            </w:pPr>
            <w:r>
              <w:t>PBS item 10188F</w:t>
            </w:r>
          </w:p>
        </w:tc>
      </w:tr>
    </w:tbl>
    <w:p w:rsidR="008C5483" w:rsidRDefault="008C5483" w:rsidP="00075D48">
      <w:pPr>
        <w:pStyle w:val="TableFooter"/>
        <w:keepNext/>
        <w:widowControl/>
        <w:ind w:left="720"/>
      </w:pPr>
      <w:r>
        <w:t xml:space="preserve">Source: </w:t>
      </w:r>
    </w:p>
    <w:p w:rsidR="008C5483" w:rsidRDefault="008C5483" w:rsidP="00075D48">
      <w:pPr>
        <w:pStyle w:val="TableFooter"/>
        <w:keepNext/>
        <w:widowControl/>
        <w:ind w:left="720"/>
      </w:pPr>
      <w:r>
        <w:t xml:space="preserve">Tio/Olo = tiotropium/olodaterol; Gly/Ind = glycopyrronium/indacaterol; Umec/Vi = umeclidinium/vilanterol; DPMQ = dispensed price </w:t>
      </w:r>
      <w:r w:rsidR="00AD7503">
        <w:t xml:space="preserve">for </w:t>
      </w:r>
      <w:r>
        <w:t>maximum quantity; PBS = Pharmaceutical Benefits Scheme</w:t>
      </w:r>
    </w:p>
    <w:p w:rsidR="00C25D9C" w:rsidRDefault="00C25D9C" w:rsidP="00075D48">
      <w:pPr>
        <w:widowControl/>
        <w:rPr>
          <w:szCs w:val="22"/>
        </w:rPr>
      </w:pPr>
    </w:p>
    <w:p w:rsidR="00C25D9C" w:rsidRPr="002C2775" w:rsidRDefault="00C25D9C" w:rsidP="00233AF1">
      <w:pPr>
        <w:pStyle w:val="Heading2"/>
        <w:keepNext/>
        <w:widowControl/>
        <w:rPr>
          <w:i/>
          <w:szCs w:val="22"/>
        </w:rPr>
      </w:pPr>
      <w:bookmarkStart w:id="15" w:name="_Toc419800810"/>
      <w:r w:rsidRPr="002C2775">
        <w:rPr>
          <w:i/>
        </w:rPr>
        <w:t>Drug cost/patient/</w:t>
      </w:r>
      <w:r w:rsidR="009911B6">
        <w:rPr>
          <w:i/>
        </w:rPr>
        <w:t>year</w:t>
      </w:r>
      <w:r w:rsidRPr="002C2775">
        <w:rPr>
          <w:i/>
        </w:rPr>
        <w:t>: $</w:t>
      </w:r>
      <w:r w:rsidR="009911B6" w:rsidRPr="00233AF1">
        <w:rPr>
          <w:i/>
        </w:rPr>
        <w:t>1,173</w:t>
      </w:r>
      <w:r w:rsidRPr="002C2775">
        <w:rPr>
          <w:i/>
        </w:rPr>
        <w:t>.</w:t>
      </w:r>
      <w:bookmarkEnd w:id="15"/>
    </w:p>
    <w:p w:rsidR="00C25D9C" w:rsidRPr="00C25D9C" w:rsidRDefault="00C25D9C" w:rsidP="00233AF1">
      <w:pPr>
        <w:keepNext/>
        <w:widowControl/>
        <w:rPr>
          <w:szCs w:val="22"/>
        </w:rPr>
      </w:pPr>
    </w:p>
    <w:p w:rsidR="00A86E8B" w:rsidRPr="002D2A77" w:rsidRDefault="00466052" w:rsidP="00075D48">
      <w:pPr>
        <w:pStyle w:val="ListParagraph"/>
        <w:widowControl/>
        <w:numPr>
          <w:ilvl w:val="1"/>
          <w:numId w:val="4"/>
        </w:numPr>
        <w:rPr>
          <w:szCs w:val="22"/>
        </w:rPr>
      </w:pPr>
      <w:r>
        <w:rPr>
          <w:szCs w:val="22"/>
        </w:rPr>
        <w:t xml:space="preserve">The drug cost per patient per </w:t>
      </w:r>
      <w:r w:rsidR="009911B6">
        <w:rPr>
          <w:szCs w:val="22"/>
        </w:rPr>
        <w:t>year would be $</w:t>
      </w:r>
      <w:r w:rsidR="00375964" w:rsidRPr="00233AF1">
        <w:rPr>
          <w:szCs w:val="22"/>
        </w:rPr>
        <w:t>1,173</w:t>
      </w:r>
      <w:r w:rsidR="00375964">
        <w:rPr>
          <w:szCs w:val="22"/>
        </w:rPr>
        <w:t xml:space="preserve"> if calculated as 12.17</w:t>
      </w:r>
      <w:r w:rsidR="00B4051D">
        <w:rPr>
          <w:szCs w:val="22"/>
        </w:rPr>
        <w:t xml:space="preserve"> ×</w:t>
      </w:r>
      <w:r w:rsidR="00375964">
        <w:rPr>
          <w:szCs w:val="22"/>
        </w:rPr>
        <w:t xml:space="preserve"> 30-</w:t>
      </w:r>
      <w:r w:rsidR="009911B6">
        <w:rPr>
          <w:szCs w:val="22"/>
        </w:rPr>
        <w:t>day packs per year at a DPMQ of $</w:t>
      </w:r>
      <w:r w:rsidR="009911B6" w:rsidRPr="00233AF1">
        <w:rPr>
          <w:szCs w:val="22"/>
        </w:rPr>
        <w:t>96.38</w:t>
      </w:r>
      <w:r w:rsidR="009911B6">
        <w:rPr>
          <w:szCs w:val="22"/>
        </w:rPr>
        <w:t>.</w:t>
      </w:r>
      <w:r>
        <w:rPr>
          <w:szCs w:val="22"/>
        </w:rPr>
        <w:t xml:space="preserve"> </w:t>
      </w:r>
      <w:r w:rsidR="002D2A77" w:rsidRPr="002D2A77">
        <w:rPr>
          <w:szCs w:val="22"/>
        </w:rPr>
        <w:t>The treatment would be ongoing</w:t>
      </w:r>
      <w:r w:rsidR="009911B6">
        <w:rPr>
          <w:szCs w:val="22"/>
        </w:rPr>
        <w:t>.</w:t>
      </w:r>
      <w:r>
        <w:rPr>
          <w:szCs w:val="22"/>
        </w:rPr>
        <w:t xml:space="preserve"> </w:t>
      </w:r>
      <w:r w:rsidR="002D2A77" w:rsidRPr="002D2A77">
        <w:rPr>
          <w:szCs w:val="22"/>
        </w:rPr>
        <w:t xml:space="preserve">The price would be the same </w:t>
      </w:r>
      <w:r w:rsidR="007F26B4">
        <w:rPr>
          <w:szCs w:val="22"/>
        </w:rPr>
        <w:t xml:space="preserve">as </w:t>
      </w:r>
      <w:r w:rsidR="002D2A77" w:rsidRPr="002D2A77">
        <w:rPr>
          <w:szCs w:val="22"/>
        </w:rPr>
        <w:t>for other LAMA/LABA FDCs.</w:t>
      </w:r>
    </w:p>
    <w:p w:rsidR="00B60939" w:rsidRPr="001E2B1E" w:rsidRDefault="00B60939" w:rsidP="00075D48">
      <w:pPr>
        <w:widowControl/>
        <w:rPr>
          <w:szCs w:val="22"/>
        </w:rPr>
      </w:pPr>
    </w:p>
    <w:p w:rsidR="00B60939" w:rsidRPr="002C2775" w:rsidRDefault="00B60939" w:rsidP="00075D48">
      <w:pPr>
        <w:pStyle w:val="Heading2"/>
        <w:widowControl/>
        <w:rPr>
          <w:i/>
        </w:rPr>
      </w:pPr>
      <w:bookmarkStart w:id="16" w:name="_Toc419800811"/>
      <w:r w:rsidRPr="002C2775">
        <w:rPr>
          <w:i/>
        </w:rPr>
        <w:t>Estimated PBS usage &amp; financial implications</w:t>
      </w:r>
      <w:bookmarkEnd w:id="16"/>
    </w:p>
    <w:p w:rsidR="00B60939" w:rsidRPr="00882085" w:rsidRDefault="00B60939" w:rsidP="00075D48">
      <w:pPr>
        <w:widowControl/>
        <w:ind w:left="720" w:hanging="720"/>
        <w:rPr>
          <w:b/>
          <w:i/>
          <w:szCs w:val="22"/>
        </w:rPr>
      </w:pPr>
    </w:p>
    <w:p w:rsidR="0072416F" w:rsidRPr="002D2A77" w:rsidRDefault="00C25D9C" w:rsidP="00075D48">
      <w:pPr>
        <w:pStyle w:val="ListParagraph"/>
        <w:widowControl/>
        <w:numPr>
          <w:ilvl w:val="1"/>
          <w:numId w:val="4"/>
        </w:numPr>
        <w:rPr>
          <w:szCs w:val="22"/>
        </w:rPr>
      </w:pPr>
      <w:r w:rsidRPr="002D2A77">
        <w:t xml:space="preserve">This submission </w:t>
      </w:r>
      <w:r w:rsidR="0025601D">
        <w:t>wa</w:t>
      </w:r>
      <w:r w:rsidRPr="002D2A77">
        <w:t xml:space="preserve">s not considered by </w:t>
      </w:r>
      <w:r w:rsidR="0025601D">
        <w:t xml:space="preserve">the </w:t>
      </w:r>
      <w:r w:rsidRPr="002D2A77">
        <w:t xml:space="preserve">DUSC. </w:t>
      </w:r>
      <w:r w:rsidR="002D2A77" w:rsidRPr="002D2A77">
        <w:t>The submission used a market share approach</w:t>
      </w:r>
      <w:r w:rsidR="00412716">
        <w:t>. First it</w:t>
      </w:r>
      <w:r w:rsidR="002D2A77" w:rsidRPr="002D2A77">
        <w:t xml:space="preserve"> estimated the future number of </w:t>
      </w:r>
      <w:r w:rsidR="0055677A">
        <w:t>prescriptions</w:t>
      </w:r>
      <w:r w:rsidR="002D2A77" w:rsidRPr="002D2A77">
        <w:t xml:space="preserve"> in the ‘World without FDC products’, based on a 10% sample of </w:t>
      </w:r>
      <w:r w:rsidR="00701D61">
        <w:t xml:space="preserve">the </w:t>
      </w:r>
      <w:r w:rsidR="002D2A77" w:rsidRPr="002D2A77">
        <w:t xml:space="preserve">Department of Health Services data. Then the market share of FDC products was estimated. </w:t>
      </w:r>
      <w:r w:rsidR="00412716">
        <w:t xml:space="preserve">This </w:t>
      </w:r>
      <w:r w:rsidR="00E21029">
        <w:t>was estimated separately</w:t>
      </w:r>
      <w:r w:rsidR="00412716">
        <w:t xml:space="preserve"> as glycopyrronium/indacaterol FDC and umeclidinium/vilanterol FDC were listed in December 2014 and insufficient prescribing data was available. </w:t>
      </w:r>
      <w:r w:rsidR="002D2A77" w:rsidRPr="002D2A77">
        <w:t>The submission assumed that tiotropium/olodaterol FDC would not change the market share of FDC products, rather it would replace listed FDC products (glycopyrronium/indacaterol FDC and umeclidinium/vilanterol FDC). The market shares were based on assu</w:t>
      </w:r>
      <w:r w:rsidR="00AD10AE">
        <w:t>mptions made by the submission.</w:t>
      </w:r>
    </w:p>
    <w:p w:rsidR="00C25D9C" w:rsidRDefault="00C25D9C" w:rsidP="00075D48">
      <w:pPr>
        <w:widowControl/>
        <w:rPr>
          <w:szCs w:val="22"/>
        </w:rPr>
      </w:pPr>
    </w:p>
    <w:p w:rsidR="00C25D9C" w:rsidRDefault="00C25D9C" w:rsidP="00075D48">
      <w:pPr>
        <w:keepNext/>
        <w:widowControl/>
        <w:ind w:firstLine="709"/>
        <w:rPr>
          <w:rStyle w:val="CommentReference"/>
        </w:rPr>
      </w:pPr>
      <w:r w:rsidRPr="001222FC">
        <w:rPr>
          <w:rStyle w:val="CommentReference"/>
        </w:rPr>
        <w:t xml:space="preserve">Table </w:t>
      </w:r>
      <w:r w:rsidR="00412716">
        <w:rPr>
          <w:rStyle w:val="CommentReference"/>
        </w:rPr>
        <w:t>6</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1"/>
        <w:gridCol w:w="941"/>
        <w:gridCol w:w="1110"/>
        <w:gridCol w:w="1252"/>
        <w:gridCol w:w="1252"/>
        <w:gridCol w:w="1380"/>
      </w:tblGrid>
      <w:tr w:rsidR="00C25D9C" w:rsidRPr="004E2ADC" w:rsidTr="001D5070">
        <w:trPr>
          <w:tblHeader/>
        </w:trPr>
        <w:tc>
          <w:tcPr>
            <w:tcW w:w="1444" w:type="pct"/>
            <w:shd w:val="clear" w:color="auto" w:fill="auto"/>
            <w:vAlign w:val="center"/>
          </w:tcPr>
          <w:p w:rsidR="00C25D9C" w:rsidRPr="004E2ADC" w:rsidRDefault="00C25D9C" w:rsidP="00075D48">
            <w:pPr>
              <w:keepNext/>
              <w:widowControl/>
              <w:tabs>
                <w:tab w:val="left" w:pos="142"/>
              </w:tabs>
              <w:jc w:val="left"/>
              <w:rPr>
                <w:rFonts w:ascii="Arial Narrow" w:hAnsi="Arial Narrow"/>
                <w:b/>
                <w:sz w:val="20"/>
              </w:rPr>
            </w:pPr>
          </w:p>
        </w:tc>
        <w:tc>
          <w:tcPr>
            <w:tcW w:w="564" w:type="pct"/>
            <w:shd w:val="clear" w:color="auto" w:fill="auto"/>
            <w:vAlign w:val="center"/>
          </w:tcPr>
          <w:p w:rsidR="00C25D9C" w:rsidRPr="004E2ADC" w:rsidRDefault="00C25D9C" w:rsidP="00075D48">
            <w:pPr>
              <w:keepNext/>
              <w:widowControl/>
              <w:jc w:val="center"/>
              <w:rPr>
                <w:rFonts w:ascii="Arial Narrow" w:hAnsi="Arial Narrow"/>
                <w:b/>
                <w:sz w:val="20"/>
              </w:rPr>
            </w:pPr>
            <w:r w:rsidRPr="004E2ADC">
              <w:rPr>
                <w:rFonts w:ascii="Arial Narrow" w:hAnsi="Arial Narrow"/>
                <w:b/>
                <w:sz w:val="20"/>
              </w:rPr>
              <w:t>Year 1</w:t>
            </w:r>
          </w:p>
        </w:tc>
        <w:tc>
          <w:tcPr>
            <w:tcW w:w="665" w:type="pct"/>
            <w:shd w:val="clear" w:color="auto" w:fill="auto"/>
            <w:vAlign w:val="center"/>
          </w:tcPr>
          <w:p w:rsidR="00C25D9C" w:rsidRPr="004E2ADC" w:rsidRDefault="00C25D9C" w:rsidP="00075D48">
            <w:pPr>
              <w:keepNext/>
              <w:widowControl/>
              <w:jc w:val="center"/>
              <w:rPr>
                <w:rFonts w:ascii="Arial Narrow" w:hAnsi="Arial Narrow"/>
                <w:b/>
                <w:sz w:val="20"/>
              </w:rPr>
            </w:pPr>
            <w:r w:rsidRPr="004E2ADC">
              <w:rPr>
                <w:rFonts w:ascii="Arial Narrow" w:hAnsi="Arial Narrow"/>
                <w:b/>
                <w:sz w:val="20"/>
              </w:rPr>
              <w:t>Year 2</w:t>
            </w:r>
          </w:p>
        </w:tc>
        <w:tc>
          <w:tcPr>
            <w:tcW w:w="750" w:type="pct"/>
            <w:shd w:val="clear" w:color="auto" w:fill="auto"/>
            <w:vAlign w:val="center"/>
          </w:tcPr>
          <w:p w:rsidR="00C25D9C" w:rsidRPr="004E2ADC" w:rsidRDefault="00C25D9C" w:rsidP="00075D48">
            <w:pPr>
              <w:keepNext/>
              <w:widowControl/>
              <w:jc w:val="center"/>
              <w:rPr>
                <w:rFonts w:ascii="Arial Narrow" w:hAnsi="Arial Narrow"/>
                <w:b/>
                <w:sz w:val="20"/>
              </w:rPr>
            </w:pPr>
            <w:r w:rsidRPr="004E2ADC">
              <w:rPr>
                <w:rFonts w:ascii="Arial Narrow" w:hAnsi="Arial Narrow"/>
                <w:b/>
                <w:sz w:val="20"/>
              </w:rPr>
              <w:t>Year 3</w:t>
            </w:r>
          </w:p>
        </w:tc>
        <w:tc>
          <w:tcPr>
            <w:tcW w:w="750" w:type="pct"/>
            <w:shd w:val="clear" w:color="auto" w:fill="auto"/>
            <w:vAlign w:val="center"/>
          </w:tcPr>
          <w:p w:rsidR="00C25D9C" w:rsidRPr="004E2ADC" w:rsidRDefault="00C25D9C" w:rsidP="00075D48">
            <w:pPr>
              <w:keepNext/>
              <w:widowControl/>
              <w:jc w:val="center"/>
              <w:rPr>
                <w:rFonts w:ascii="Arial Narrow" w:hAnsi="Arial Narrow"/>
                <w:b/>
                <w:sz w:val="20"/>
              </w:rPr>
            </w:pPr>
            <w:r w:rsidRPr="004E2ADC">
              <w:rPr>
                <w:rFonts w:ascii="Arial Narrow" w:hAnsi="Arial Narrow"/>
                <w:b/>
                <w:sz w:val="20"/>
              </w:rPr>
              <w:t>Year 4</w:t>
            </w:r>
          </w:p>
        </w:tc>
        <w:tc>
          <w:tcPr>
            <w:tcW w:w="827" w:type="pct"/>
            <w:shd w:val="clear" w:color="auto" w:fill="auto"/>
            <w:vAlign w:val="center"/>
          </w:tcPr>
          <w:p w:rsidR="00C25D9C" w:rsidRPr="004E2ADC" w:rsidRDefault="00C25D9C" w:rsidP="00075D48">
            <w:pPr>
              <w:keepNext/>
              <w:widowControl/>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075D48">
            <w:pPr>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2D2A77" w:rsidRPr="004E2ADC" w:rsidTr="001D5070">
        <w:tc>
          <w:tcPr>
            <w:tcW w:w="1444" w:type="pct"/>
            <w:shd w:val="clear" w:color="auto" w:fill="auto"/>
            <w:vAlign w:val="bottom"/>
          </w:tcPr>
          <w:p w:rsidR="002D2A77" w:rsidRDefault="002D2A77" w:rsidP="00075D48">
            <w:pPr>
              <w:pStyle w:val="Tabletext"/>
            </w:pPr>
            <w:r>
              <w:t xml:space="preserve">Total FDC scripts </w:t>
            </w:r>
          </w:p>
        </w:tc>
        <w:tc>
          <w:tcPr>
            <w:tcW w:w="564"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665"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750"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750"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827"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r>
      <w:tr w:rsidR="002D2A77" w:rsidRPr="004E2ADC" w:rsidTr="001D5070">
        <w:tc>
          <w:tcPr>
            <w:tcW w:w="1444" w:type="pct"/>
            <w:shd w:val="clear" w:color="auto" w:fill="auto"/>
            <w:vAlign w:val="bottom"/>
          </w:tcPr>
          <w:p w:rsidR="002D2A77" w:rsidRDefault="002D2A77" w:rsidP="00075D48">
            <w:pPr>
              <w:pStyle w:val="Tabletext"/>
              <w:rPr>
                <w:lang w:val="en-GB" w:eastAsia="en-GB"/>
              </w:rPr>
            </w:pPr>
            <w:r>
              <w:rPr>
                <w:lang w:val="en-GB" w:eastAsia="en-GB"/>
              </w:rPr>
              <w:t xml:space="preserve">Uptake Tio/Olo FDC </w:t>
            </w:r>
          </w:p>
        </w:tc>
        <w:tc>
          <w:tcPr>
            <w:tcW w:w="564" w:type="pct"/>
            <w:shd w:val="clear" w:color="auto" w:fill="auto"/>
            <w:vAlign w:val="center"/>
          </w:tcPr>
          <w:p w:rsidR="002D2A77" w:rsidRPr="008D3906" w:rsidRDefault="00962738" w:rsidP="00075D48">
            <w:pPr>
              <w:pStyle w:val="Tabletext"/>
              <w:jc w:val="center"/>
            </w:pPr>
            <w:r>
              <w:rPr>
                <w:noProof/>
                <w:color w:val="000000"/>
                <w:highlight w:val="black"/>
              </w:rPr>
              <w:t>'''''''</w:t>
            </w:r>
            <w:r w:rsidR="002D2A77" w:rsidRPr="008D3906">
              <w:t>%</w:t>
            </w:r>
          </w:p>
        </w:tc>
        <w:tc>
          <w:tcPr>
            <w:tcW w:w="665" w:type="pct"/>
            <w:shd w:val="clear" w:color="auto" w:fill="auto"/>
            <w:vAlign w:val="center"/>
          </w:tcPr>
          <w:p w:rsidR="002D2A77" w:rsidRPr="008D3906" w:rsidRDefault="00962738" w:rsidP="00075D48">
            <w:pPr>
              <w:pStyle w:val="Tabletext"/>
              <w:jc w:val="center"/>
            </w:pPr>
            <w:r>
              <w:rPr>
                <w:noProof/>
                <w:color w:val="000000"/>
                <w:highlight w:val="black"/>
              </w:rPr>
              <w:t>''''''</w:t>
            </w:r>
            <w:r w:rsidR="002D2A77" w:rsidRPr="008D3906">
              <w:t>%</w:t>
            </w:r>
          </w:p>
        </w:tc>
        <w:tc>
          <w:tcPr>
            <w:tcW w:w="750" w:type="pct"/>
            <w:shd w:val="clear" w:color="auto" w:fill="auto"/>
            <w:vAlign w:val="center"/>
          </w:tcPr>
          <w:p w:rsidR="002D2A77" w:rsidRPr="008D3906" w:rsidRDefault="00962738" w:rsidP="00075D48">
            <w:pPr>
              <w:pStyle w:val="Tabletext"/>
              <w:jc w:val="center"/>
            </w:pPr>
            <w:r>
              <w:rPr>
                <w:noProof/>
                <w:color w:val="000000"/>
                <w:highlight w:val="black"/>
              </w:rPr>
              <w:t>''''''</w:t>
            </w:r>
            <w:r w:rsidR="002D2A77" w:rsidRPr="008D3906">
              <w:t>%</w:t>
            </w:r>
          </w:p>
        </w:tc>
        <w:tc>
          <w:tcPr>
            <w:tcW w:w="750" w:type="pct"/>
            <w:shd w:val="clear" w:color="auto" w:fill="auto"/>
            <w:vAlign w:val="center"/>
          </w:tcPr>
          <w:p w:rsidR="002D2A77" w:rsidRPr="008D3906" w:rsidRDefault="00962738" w:rsidP="00075D48">
            <w:pPr>
              <w:pStyle w:val="Tabletext"/>
              <w:jc w:val="center"/>
            </w:pPr>
            <w:r>
              <w:rPr>
                <w:noProof/>
                <w:color w:val="000000"/>
                <w:highlight w:val="black"/>
              </w:rPr>
              <w:t>''''''</w:t>
            </w:r>
            <w:r w:rsidR="002D2A77" w:rsidRPr="008D3906">
              <w:t>%</w:t>
            </w:r>
          </w:p>
        </w:tc>
        <w:tc>
          <w:tcPr>
            <w:tcW w:w="827" w:type="pct"/>
            <w:shd w:val="clear" w:color="auto" w:fill="auto"/>
            <w:vAlign w:val="center"/>
          </w:tcPr>
          <w:p w:rsidR="002D2A77" w:rsidRPr="008D3906" w:rsidRDefault="00962738" w:rsidP="00075D48">
            <w:pPr>
              <w:pStyle w:val="Tabletext"/>
              <w:jc w:val="center"/>
            </w:pPr>
            <w:r>
              <w:rPr>
                <w:noProof/>
                <w:color w:val="000000"/>
                <w:highlight w:val="black"/>
              </w:rPr>
              <w:t>''''''</w:t>
            </w:r>
            <w:r w:rsidR="002D2A77" w:rsidRPr="008D3906">
              <w:t>%</w:t>
            </w:r>
          </w:p>
        </w:tc>
      </w:tr>
      <w:tr w:rsidR="002D2A77" w:rsidRPr="004E2ADC" w:rsidTr="001D5070">
        <w:tc>
          <w:tcPr>
            <w:tcW w:w="1444" w:type="pct"/>
            <w:shd w:val="clear" w:color="auto" w:fill="auto"/>
            <w:vAlign w:val="bottom"/>
          </w:tcPr>
          <w:p w:rsidR="002D2A77" w:rsidRPr="002D2A77" w:rsidRDefault="002D2A77" w:rsidP="00075D48">
            <w:pPr>
              <w:pStyle w:val="Tabletext"/>
              <w:rPr>
                <w:sz w:val="22"/>
              </w:rPr>
            </w:pPr>
            <w:r w:rsidRPr="002D2A77">
              <w:t xml:space="preserve">Scripts Tio/Olo FDC </w:t>
            </w:r>
          </w:p>
        </w:tc>
        <w:tc>
          <w:tcPr>
            <w:tcW w:w="564"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665"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750"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750"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c>
          <w:tcPr>
            <w:tcW w:w="827" w:type="pct"/>
            <w:shd w:val="clear" w:color="auto" w:fill="auto"/>
            <w:vAlign w:val="center"/>
          </w:tcPr>
          <w:p w:rsidR="002D2A77" w:rsidRPr="00962738" w:rsidRDefault="00962738" w:rsidP="00075D48">
            <w:pPr>
              <w:pStyle w:val="Tabletext"/>
              <w:jc w:val="center"/>
              <w:rPr>
                <w:highlight w:val="black"/>
              </w:rPr>
            </w:pPr>
            <w:r>
              <w:rPr>
                <w:noProof/>
                <w:color w:val="000000"/>
                <w:highlight w:val="black"/>
              </w:rPr>
              <w:t>'''''''''''''''''''</w:t>
            </w:r>
          </w:p>
        </w:tc>
      </w:tr>
      <w:tr w:rsidR="00C25D9C" w:rsidRPr="004E2ADC" w:rsidTr="005D044D">
        <w:tc>
          <w:tcPr>
            <w:tcW w:w="5000" w:type="pct"/>
            <w:gridSpan w:val="6"/>
            <w:shd w:val="clear" w:color="auto" w:fill="auto"/>
            <w:vAlign w:val="center"/>
          </w:tcPr>
          <w:p w:rsidR="00C25D9C" w:rsidRPr="004E2ADC" w:rsidRDefault="00C25D9C" w:rsidP="00075D48">
            <w:pPr>
              <w:widowControl/>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2D2A77" w:rsidRPr="004E2ADC" w:rsidTr="001D5070">
        <w:tc>
          <w:tcPr>
            <w:tcW w:w="1444" w:type="pct"/>
            <w:shd w:val="clear" w:color="auto" w:fill="auto"/>
            <w:vAlign w:val="center"/>
          </w:tcPr>
          <w:p w:rsidR="002D2A77" w:rsidRPr="004E2ADC" w:rsidRDefault="002D2A77" w:rsidP="00075D48">
            <w:pPr>
              <w:widowControl/>
              <w:tabs>
                <w:tab w:val="left" w:pos="142"/>
              </w:tabs>
              <w:jc w:val="left"/>
              <w:rPr>
                <w:rFonts w:ascii="Arial Narrow" w:hAnsi="Arial Narrow"/>
                <w:sz w:val="20"/>
              </w:rPr>
            </w:pPr>
            <w:r w:rsidRPr="004E2ADC">
              <w:rPr>
                <w:rFonts w:ascii="Arial Narrow" w:hAnsi="Arial Narrow"/>
                <w:sz w:val="19"/>
                <w:szCs w:val="19"/>
              </w:rPr>
              <w:t>Net cost PBS</w:t>
            </w:r>
            <w:r>
              <w:rPr>
                <w:rFonts w:ascii="Arial Narrow" w:hAnsi="Arial Narrow"/>
                <w:sz w:val="19"/>
                <w:szCs w:val="19"/>
              </w:rPr>
              <w:t>/RPBS</w:t>
            </w:r>
            <w:r w:rsidR="001D5070">
              <w:rPr>
                <w:rFonts w:ascii="Arial Narrow" w:hAnsi="Arial Narrow"/>
                <w:sz w:val="19"/>
                <w:szCs w:val="19"/>
              </w:rPr>
              <w:t xml:space="preserve"> Tio/Olo FDC</w:t>
            </w:r>
          </w:p>
        </w:tc>
        <w:tc>
          <w:tcPr>
            <w:tcW w:w="564" w:type="pct"/>
            <w:shd w:val="clear" w:color="auto" w:fill="auto"/>
            <w:vAlign w:val="center"/>
          </w:tcPr>
          <w:p w:rsidR="002D2A77" w:rsidRPr="002D2A77" w:rsidRDefault="002D2A77" w:rsidP="00075D48">
            <w:pPr>
              <w:widowControl/>
              <w:jc w:val="right"/>
              <w:rPr>
                <w:rFonts w:ascii="Arial Narrow" w:hAnsi="Arial Narrow"/>
                <w:sz w:val="20"/>
              </w:rPr>
            </w:pPr>
            <w:r w:rsidRPr="002D2A77">
              <w:rPr>
                <w:rFonts w:ascii="Arial Narrow" w:hAnsi="Arial Narrow"/>
                <w:sz w:val="20"/>
              </w:rPr>
              <w:t>$</w:t>
            </w:r>
            <w:r w:rsidR="00962738">
              <w:rPr>
                <w:rFonts w:ascii="Arial Narrow" w:hAnsi="Arial Narrow"/>
                <w:noProof/>
                <w:color w:val="000000"/>
                <w:sz w:val="20"/>
                <w:highlight w:val="black"/>
              </w:rPr>
              <w:t>'''''''''''''''''''''''</w:t>
            </w:r>
          </w:p>
        </w:tc>
        <w:tc>
          <w:tcPr>
            <w:tcW w:w="665" w:type="pct"/>
            <w:shd w:val="clear" w:color="auto" w:fill="auto"/>
            <w:vAlign w:val="center"/>
          </w:tcPr>
          <w:p w:rsidR="002D2A77" w:rsidRPr="002D2A77" w:rsidRDefault="002D2A77" w:rsidP="00075D48">
            <w:pPr>
              <w:widowControl/>
              <w:jc w:val="right"/>
              <w:rPr>
                <w:rFonts w:ascii="Arial Narrow" w:hAnsi="Arial Narrow"/>
                <w:sz w:val="20"/>
              </w:rPr>
            </w:pPr>
            <w:r w:rsidRPr="002D2A77">
              <w:rPr>
                <w:rFonts w:ascii="Arial Narrow" w:hAnsi="Arial Narrow"/>
                <w:sz w:val="20"/>
              </w:rPr>
              <w:t>$</w:t>
            </w:r>
            <w:r w:rsidR="00962738">
              <w:rPr>
                <w:rFonts w:ascii="Arial Narrow" w:hAnsi="Arial Narrow"/>
                <w:noProof/>
                <w:color w:val="000000"/>
                <w:sz w:val="20"/>
                <w:highlight w:val="black"/>
              </w:rPr>
              <w:t>'''''''''''''''''''''''''''</w:t>
            </w:r>
          </w:p>
        </w:tc>
        <w:tc>
          <w:tcPr>
            <w:tcW w:w="750" w:type="pct"/>
            <w:shd w:val="clear" w:color="auto" w:fill="auto"/>
            <w:vAlign w:val="center"/>
          </w:tcPr>
          <w:p w:rsidR="002D2A77" w:rsidRPr="002D2A77" w:rsidRDefault="002D2A77" w:rsidP="00075D48">
            <w:pPr>
              <w:widowControl/>
              <w:jc w:val="right"/>
              <w:rPr>
                <w:rFonts w:ascii="Arial Narrow" w:hAnsi="Arial Narrow"/>
                <w:sz w:val="20"/>
              </w:rPr>
            </w:pPr>
            <w:r w:rsidRPr="002D2A77">
              <w:rPr>
                <w:rFonts w:ascii="Arial Narrow" w:hAnsi="Arial Narrow"/>
                <w:sz w:val="20"/>
              </w:rPr>
              <w:t>$</w:t>
            </w:r>
            <w:r w:rsidR="00962738">
              <w:rPr>
                <w:rFonts w:ascii="Arial Narrow" w:hAnsi="Arial Narrow"/>
                <w:noProof/>
                <w:color w:val="000000"/>
                <w:sz w:val="20"/>
                <w:highlight w:val="black"/>
              </w:rPr>
              <w:t>'''''''''''''''''''''''</w:t>
            </w:r>
          </w:p>
        </w:tc>
        <w:tc>
          <w:tcPr>
            <w:tcW w:w="750" w:type="pct"/>
            <w:shd w:val="clear" w:color="auto" w:fill="auto"/>
            <w:vAlign w:val="center"/>
          </w:tcPr>
          <w:p w:rsidR="002D2A77" w:rsidRPr="002D2A77" w:rsidRDefault="002D2A77" w:rsidP="00075D48">
            <w:pPr>
              <w:widowControl/>
              <w:jc w:val="right"/>
              <w:rPr>
                <w:rFonts w:ascii="Arial Narrow" w:hAnsi="Arial Narrow"/>
                <w:sz w:val="20"/>
              </w:rPr>
            </w:pPr>
            <w:r w:rsidRPr="002D2A77">
              <w:rPr>
                <w:rFonts w:ascii="Arial Narrow" w:hAnsi="Arial Narrow"/>
                <w:sz w:val="20"/>
              </w:rPr>
              <w:t>$</w:t>
            </w:r>
            <w:r w:rsidR="00962738">
              <w:rPr>
                <w:rFonts w:ascii="Arial Narrow" w:hAnsi="Arial Narrow"/>
                <w:noProof/>
                <w:color w:val="000000"/>
                <w:sz w:val="20"/>
                <w:highlight w:val="black"/>
              </w:rPr>
              <w:t>''''''''''''''''''''''''''</w:t>
            </w:r>
          </w:p>
        </w:tc>
        <w:tc>
          <w:tcPr>
            <w:tcW w:w="827" w:type="pct"/>
            <w:shd w:val="clear" w:color="auto" w:fill="auto"/>
            <w:vAlign w:val="center"/>
          </w:tcPr>
          <w:p w:rsidR="002D2A77" w:rsidRPr="002D2A77" w:rsidRDefault="002D2A77" w:rsidP="00075D48">
            <w:pPr>
              <w:widowControl/>
              <w:jc w:val="right"/>
              <w:rPr>
                <w:rFonts w:ascii="Arial Narrow" w:hAnsi="Arial Narrow"/>
                <w:sz w:val="20"/>
              </w:rPr>
            </w:pPr>
            <w:r w:rsidRPr="002D2A77">
              <w:rPr>
                <w:rFonts w:ascii="Arial Narrow" w:hAnsi="Arial Narrow"/>
                <w:sz w:val="20"/>
              </w:rPr>
              <w:t>$</w:t>
            </w:r>
            <w:r w:rsidR="00962738">
              <w:rPr>
                <w:rFonts w:ascii="Arial Narrow" w:hAnsi="Arial Narrow"/>
                <w:noProof/>
                <w:color w:val="000000"/>
                <w:sz w:val="20"/>
                <w:highlight w:val="black"/>
              </w:rPr>
              <w:t>'''''''''''''''''''''''''''</w:t>
            </w:r>
          </w:p>
        </w:tc>
      </w:tr>
      <w:tr w:rsidR="001D5070" w:rsidRPr="004E2ADC" w:rsidTr="001D5070">
        <w:tc>
          <w:tcPr>
            <w:tcW w:w="1444" w:type="pct"/>
            <w:shd w:val="clear" w:color="auto" w:fill="auto"/>
            <w:vAlign w:val="center"/>
          </w:tcPr>
          <w:p w:rsidR="001D5070" w:rsidRPr="004E2ADC" w:rsidRDefault="001D5070" w:rsidP="00075D48">
            <w:pPr>
              <w:widowControl/>
              <w:tabs>
                <w:tab w:val="left" w:pos="142"/>
              </w:tabs>
              <w:jc w:val="left"/>
              <w:rPr>
                <w:rFonts w:ascii="Arial Narrow" w:hAnsi="Arial Narrow"/>
                <w:sz w:val="19"/>
                <w:szCs w:val="19"/>
              </w:rPr>
            </w:pPr>
            <w:r>
              <w:rPr>
                <w:rFonts w:ascii="Arial Narrow" w:hAnsi="Arial Narrow"/>
                <w:sz w:val="19"/>
                <w:szCs w:val="19"/>
              </w:rPr>
              <w:t>Reduction other FDCs</w:t>
            </w:r>
          </w:p>
        </w:tc>
        <w:tc>
          <w:tcPr>
            <w:tcW w:w="564" w:type="pct"/>
            <w:shd w:val="clear" w:color="auto" w:fill="auto"/>
            <w:vAlign w:val="bottom"/>
          </w:tcPr>
          <w:p w:rsidR="001D5070" w:rsidRPr="00B04F86" w:rsidRDefault="001D5070" w:rsidP="00075D48">
            <w:pPr>
              <w:keepNext/>
              <w:widowControl/>
              <w:jc w:val="right"/>
              <w:rPr>
                <w:rFonts w:ascii="Arial Narrow" w:hAnsi="Arial Narrow"/>
                <w:color w:val="000000"/>
                <w:sz w:val="20"/>
              </w:rPr>
            </w:pPr>
            <w:r w:rsidRPr="00B04F86">
              <w:rPr>
                <w:rFonts w:ascii="Arial Narrow" w:hAnsi="Arial Narrow"/>
                <w:color w:val="000000"/>
                <w:sz w:val="20"/>
              </w:rPr>
              <w:t>-$</w:t>
            </w:r>
            <w:r w:rsidR="00962738">
              <w:rPr>
                <w:rFonts w:ascii="Arial Narrow" w:hAnsi="Arial Narrow"/>
                <w:noProof/>
                <w:color w:val="000000"/>
                <w:sz w:val="20"/>
                <w:highlight w:val="black"/>
              </w:rPr>
              <w:t>'''''''''''''''''''''''</w:t>
            </w:r>
          </w:p>
        </w:tc>
        <w:tc>
          <w:tcPr>
            <w:tcW w:w="665" w:type="pct"/>
            <w:shd w:val="clear" w:color="auto" w:fill="auto"/>
            <w:vAlign w:val="bottom"/>
          </w:tcPr>
          <w:p w:rsidR="001D5070" w:rsidRPr="00B04F86" w:rsidRDefault="001D5070" w:rsidP="00075D48">
            <w:pPr>
              <w:keepNext/>
              <w:widowControl/>
              <w:jc w:val="right"/>
              <w:rPr>
                <w:rFonts w:ascii="Arial Narrow" w:hAnsi="Arial Narrow"/>
                <w:color w:val="000000"/>
                <w:sz w:val="20"/>
              </w:rPr>
            </w:pPr>
            <w:r w:rsidRPr="00B04F86">
              <w:rPr>
                <w:rFonts w:ascii="Arial Narrow" w:hAnsi="Arial Narrow"/>
                <w:color w:val="000000"/>
                <w:sz w:val="20"/>
              </w:rPr>
              <w:t>-$</w:t>
            </w:r>
            <w:r w:rsidR="00962738">
              <w:rPr>
                <w:rFonts w:ascii="Arial Narrow" w:hAnsi="Arial Narrow"/>
                <w:noProof/>
                <w:color w:val="000000"/>
                <w:sz w:val="20"/>
                <w:highlight w:val="black"/>
              </w:rPr>
              <w:t>'''''''''''''''''''''''''''''</w:t>
            </w:r>
          </w:p>
        </w:tc>
        <w:tc>
          <w:tcPr>
            <w:tcW w:w="750" w:type="pct"/>
            <w:shd w:val="clear" w:color="auto" w:fill="auto"/>
            <w:vAlign w:val="bottom"/>
          </w:tcPr>
          <w:p w:rsidR="001D5070" w:rsidRPr="00B04F86" w:rsidRDefault="001D5070" w:rsidP="00075D48">
            <w:pPr>
              <w:keepNext/>
              <w:widowControl/>
              <w:jc w:val="right"/>
              <w:rPr>
                <w:rFonts w:ascii="Arial Narrow" w:hAnsi="Arial Narrow"/>
                <w:color w:val="000000"/>
                <w:sz w:val="20"/>
              </w:rPr>
            </w:pPr>
            <w:r w:rsidRPr="00B04F86">
              <w:rPr>
                <w:rFonts w:ascii="Arial Narrow" w:hAnsi="Arial Narrow"/>
                <w:color w:val="000000"/>
                <w:sz w:val="20"/>
              </w:rPr>
              <w:t>-$</w:t>
            </w:r>
            <w:r w:rsidR="00962738">
              <w:rPr>
                <w:rFonts w:ascii="Arial Narrow" w:hAnsi="Arial Narrow"/>
                <w:noProof/>
                <w:color w:val="000000"/>
                <w:sz w:val="20"/>
                <w:highlight w:val="black"/>
              </w:rPr>
              <w:t>'''''''''''''''''''''''''</w:t>
            </w:r>
          </w:p>
        </w:tc>
        <w:tc>
          <w:tcPr>
            <w:tcW w:w="750" w:type="pct"/>
            <w:shd w:val="clear" w:color="auto" w:fill="auto"/>
            <w:vAlign w:val="bottom"/>
          </w:tcPr>
          <w:p w:rsidR="001D5070" w:rsidRPr="00B04F86" w:rsidRDefault="001D5070" w:rsidP="00075D48">
            <w:pPr>
              <w:keepNext/>
              <w:widowControl/>
              <w:jc w:val="right"/>
              <w:rPr>
                <w:rFonts w:ascii="Arial Narrow" w:hAnsi="Arial Narrow"/>
                <w:color w:val="000000"/>
                <w:sz w:val="20"/>
              </w:rPr>
            </w:pPr>
            <w:r w:rsidRPr="00B04F86">
              <w:rPr>
                <w:rFonts w:ascii="Arial Narrow" w:hAnsi="Arial Narrow"/>
                <w:color w:val="000000"/>
                <w:sz w:val="20"/>
              </w:rPr>
              <w:t>-$</w:t>
            </w:r>
            <w:r w:rsidR="00962738">
              <w:rPr>
                <w:rFonts w:ascii="Arial Narrow" w:hAnsi="Arial Narrow"/>
                <w:noProof/>
                <w:color w:val="000000"/>
                <w:sz w:val="20"/>
                <w:highlight w:val="black"/>
              </w:rPr>
              <w:t>'''''''''''''''''''''''''</w:t>
            </w:r>
          </w:p>
        </w:tc>
        <w:tc>
          <w:tcPr>
            <w:tcW w:w="827" w:type="pct"/>
            <w:shd w:val="clear" w:color="auto" w:fill="auto"/>
            <w:vAlign w:val="bottom"/>
          </w:tcPr>
          <w:p w:rsidR="001D5070" w:rsidRPr="00B04F86" w:rsidRDefault="001D5070" w:rsidP="00075D48">
            <w:pPr>
              <w:keepNext/>
              <w:widowControl/>
              <w:jc w:val="right"/>
              <w:rPr>
                <w:rFonts w:ascii="Arial Narrow" w:hAnsi="Arial Narrow"/>
                <w:color w:val="000000"/>
                <w:sz w:val="20"/>
              </w:rPr>
            </w:pPr>
            <w:r w:rsidRPr="00B04F86">
              <w:rPr>
                <w:rFonts w:ascii="Arial Narrow" w:hAnsi="Arial Narrow"/>
                <w:color w:val="000000"/>
                <w:sz w:val="20"/>
              </w:rPr>
              <w:t>-$</w:t>
            </w:r>
            <w:r w:rsidR="00962738">
              <w:rPr>
                <w:rFonts w:ascii="Arial Narrow" w:hAnsi="Arial Narrow"/>
                <w:noProof/>
                <w:color w:val="000000"/>
                <w:sz w:val="20"/>
                <w:highlight w:val="black"/>
              </w:rPr>
              <w:t>'''''''''''''''''''''''''''</w:t>
            </w:r>
          </w:p>
        </w:tc>
      </w:tr>
      <w:tr w:rsidR="00C25D9C" w:rsidRPr="004E2ADC" w:rsidTr="001D5070">
        <w:tc>
          <w:tcPr>
            <w:tcW w:w="1444" w:type="pct"/>
            <w:shd w:val="clear" w:color="auto" w:fill="auto"/>
            <w:vAlign w:val="center"/>
          </w:tcPr>
          <w:p w:rsidR="00C25D9C" w:rsidRPr="004E2ADC" w:rsidRDefault="00C25D9C" w:rsidP="00075D48">
            <w:pPr>
              <w:widowControl/>
              <w:tabs>
                <w:tab w:val="left" w:pos="142"/>
              </w:tabs>
              <w:jc w:val="left"/>
              <w:rPr>
                <w:rFonts w:ascii="Arial Narrow" w:hAnsi="Arial Narrow"/>
                <w:sz w:val="20"/>
              </w:rPr>
            </w:pPr>
            <w:r w:rsidRPr="004E2ADC">
              <w:rPr>
                <w:rFonts w:ascii="Arial Narrow" w:hAnsi="Arial Narrow"/>
                <w:sz w:val="19"/>
                <w:szCs w:val="19"/>
              </w:rPr>
              <w:t>Net cost to MBS</w:t>
            </w:r>
          </w:p>
        </w:tc>
        <w:tc>
          <w:tcPr>
            <w:tcW w:w="564" w:type="pct"/>
            <w:shd w:val="clear" w:color="auto" w:fill="auto"/>
            <w:vAlign w:val="center"/>
          </w:tcPr>
          <w:p w:rsidR="00C25D9C" w:rsidRPr="004E2ADC" w:rsidRDefault="002D2A77" w:rsidP="00075D48">
            <w:pPr>
              <w:widowControl/>
              <w:jc w:val="right"/>
              <w:rPr>
                <w:rFonts w:ascii="Arial Narrow" w:hAnsi="Arial Narrow"/>
                <w:bCs/>
                <w:color w:val="000000"/>
                <w:sz w:val="20"/>
              </w:rPr>
            </w:pPr>
            <w:r>
              <w:rPr>
                <w:rFonts w:ascii="Arial Narrow" w:hAnsi="Arial Narrow"/>
                <w:bCs/>
                <w:color w:val="000000"/>
                <w:sz w:val="20"/>
              </w:rPr>
              <w:t>$0</w:t>
            </w:r>
          </w:p>
        </w:tc>
        <w:tc>
          <w:tcPr>
            <w:tcW w:w="665" w:type="pct"/>
            <w:shd w:val="clear" w:color="auto" w:fill="auto"/>
            <w:vAlign w:val="center"/>
          </w:tcPr>
          <w:p w:rsidR="00C25D9C" w:rsidRPr="004E2ADC" w:rsidRDefault="002D2A77" w:rsidP="00075D48">
            <w:pPr>
              <w:widowControl/>
              <w:jc w:val="right"/>
              <w:rPr>
                <w:rFonts w:ascii="Arial Narrow" w:hAnsi="Arial Narrow"/>
                <w:bCs/>
                <w:color w:val="000000"/>
                <w:sz w:val="20"/>
              </w:rPr>
            </w:pPr>
            <w:r>
              <w:rPr>
                <w:rFonts w:ascii="Arial Narrow" w:hAnsi="Arial Narrow"/>
                <w:bCs/>
                <w:color w:val="000000"/>
                <w:sz w:val="20"/>
              </w:rPr>
              <w:t>$0</w:t>
            </w:r>
          </w:p>
        </w:tc>
        <w:tc>
          <w:tcPr>
            <w:tcW w:w="750" w:type="pct"/>
            <w:shd w:val="clear" w:color="auto" w:fill="auto"/>
            <w:vAlign w:val="center"/>
          </w:tcPr>
          <w:p w:rsidR="00C25D9C" w:rsidRPr="004E2ADC" w:rsidRDefault="002D2A77" w:rsidP="00075D48">
            <w:pPr>
              <w:widowControl/>
              <w:jc w:val="right"/>
              <w:rPr>
                <w:rFonts w:ascii="Arial Narrow" w:hAnsi="Arial Narrow"/>
                <w:bCs/>
                <w:color w:val="000000"/>
                <w:sz w:val="20"/>
              </w:rPr>
            </w:pPr>
            <w:r>
              <w:rPr>
                <w:rFonts w:ascii="Arial Narrow" w:hAnsi="Arial Narrow"/>
                <w:bCs/>
                <w:color w:val="000000"/>
                <w:sz w:val="20"/>
              </w:rPr>
              <w:t>$0</w:t>
            </w:r>
          </w:p>
        </w:tc>
        <w:tc>
          <w:tcPr>
            <w:tcW w:w="750" w:type="pct"/>
            <w:shd w:val="clear" w:color="auto" w:fill="auto"/>
            <w:vAlign w:val="center"/>
          </w:tcPr>
          <w:p w:rsidR="00C25D9C" w:rsidRPr="004E2ADC" w:rsidRDefault="002D2A77" w:rsidP="00075D48">
            <w:pPr>
              <w:widowControl/>
              <w:jc w:val="right"/>
              <w:rPr>
                <w:rFonts w:ascii="Arial Narrow" w:hAnsi="Arial Narrow"/>
                <w:bCs/>
                <w:color w:val="000000"/>
                <w:sz w:val="20"/>
              </w:rPr>
            </w:pPr>
            <w:r>
              <w:rPr>
                <w:rFonts w:ascii="Arial Narrow" w:hAnsi="Arial Narrow"/>
                <w:bCs/>
                <w:color w:val="000000"/>
                <w:sz w:val="20"/>
              </w:rPr>
              <w:t>$0</w:t>
            </w:r>
          </w:p>
        </w:tc>
        <w:tc>
          <w:tcPr>
            <w:tcW w:w="827" w:type="pct"/>
            <w:shd w:val="clear" w:color="auto" w:fill="auto"/>
            <w:vAlign w:val="center"/>
          </w:tcPr>
          <w:p w:rsidR="00C25D9C" w:rsidRPr="004E2ADC" w:rsidRDefault="002D2A77" w:rsidP="00075D48">
            <w:pPr>
              <w:widowControl/>
              <w:jc w:val="right"/>
              <w:rPr>
                <w:rFonts w:ascii="Arial Narrow" w:hAnsi="Arial Narrow"/>
                <w:bCs/>
                <w:color w:val="000000"/>
                <w:sz w:val="20"/>
              </w:rPr>
            </w:pPr>
            <w:r>
              <w:rPr>
                <w:rFonts w:ascii="Arial Narrow" w:hAnsi="Arial Narrow"/>
                <w:bCs/>
                <w:color w:val="000000"/>
                <w:sz w:val="20"/>
              </w:rPr>
              <w:t>$0</w:t>
            </w:r>
          </w:p>
        </w:tc>
      </w:tr>
      <w:tr w:rsidR="00C25D9C" w:rsidRPr="004E2ADC" w:rsidTr="005D044D">
        <w:tc>
          <w:tcPr>
            <w:tcW w:w="5000" w:type="pct"/>
            <w:gridSpan w:val="6"/>
            <w:shd w:val="clear" w:color="auto" w:fill="auto"/>
            <w:vAlign w:val="center"/>
          </w:tcPr>
          <w:p w:rsidR="00C25D9C" w:rsidRPr="004E2ADC" w:rsidRDefault="00C25D9C" w:rsidP="00075D48">
            <w:pPr>
              <w:widowControl/>
              <w:jc w:val="left"/>
              <w:rPr>
                <w:rFonts w:ascii="Arial Narrow" w:hAnsi="Arial Narrow"/>
                <w:b/>
                <w:color w:val="000000"/>
                <w:sz w:val="20"/>
              </w:rPr>
            </w:pPr>
            <w:r w:rsidRPr="004E2ADC">
              <w:rPr>
                <w:rFonts w:ascii="Arial Narrow" w:hAnsi="Arial Narrow"/>
                <w:b/>
                <w:color w:val="000000"/>
                <w:sz w:val="20"/>
              </w:rPr>
              <w:t>Estimated total net cost</w:t>
            </w:r>
          </w:p>
        </w:tc>
      </w:tr>
      <w:tr w:rsidR="001D5070" w:rsidRPr="004E2ADC" w:rsidTr="001D5070">
        <w:tc>
          <w:tcPr>
            <w:tcW w:w="1444" w:type="pct"/>
            <w:shd w:val="clear" w:color="auto" w:fill="auto"/>
            <w:vAlign w:val="center"/>
          </w:tcPr>
          <w:p w:rsidR="001D5070" w:rsidRPr="00145540" w:rsidRDefault="001D5070" w:rsidP="00075D48">
            <w:pPr>
              <w:widowControl/>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564" w:type="pct"/>
            <w:shd w:val="clear" w:color="auto" w:fill="auto"/>
            <w:vAlign w:val="center"/>
          </w:tcPr>
          <w:p w:rsidR="001D5070" w:rsidRPr="004D2223" w:rsidRDefault="001D5070" w:rsidP="00075D48">
            <w:pPr>
              <w:pStyle w:val="Tabletext"/>
              <w:keepNext/>
              <w:jc w:val="right"/>
              <w:rPr>
                <w:b/>
              </w:rPr>
            </w:pPr>
            <w:r w:rsidRPr="004D2223">
              <w:rPr>
                <w:b/>
              </w:rPr>
              <w:t>$0</w:t>
            </w:r>
          </w:p>
        </w:tc>
        <w:tc>
          <w:tcPr>
            <w:tcW w:w="665" w:type="pct"/>
            <w:shd w:val="clear" w:color="auto" w:fill="auto"/>
            <w:vAlign w:val="center"/>
          </w:tcPr>
          <w:p w:rsidR="001D5070" w:rsidRPr="004D2223" w:rsidRDefault="001D5070" w:rsidP="00075D48">
            <w:pPr>
              <w:pStyle w:val="Tabletext"/>
              <w:keepNext/>
              <w:jc w:val="right"/>
              <w:rPr>
                <w:b/>
              </w:rPr>
            </w:pPr>
            <w:r w:rsidRPr="004D2223">
              <w:rPr>
                <w:b/>
              </w:rPr>
              <w:t>$0</w:t>
            </w:r>
          </w:p>
        </w:tc>
        <w:tc>
          <w:tcPr>
            <w:tcW w:w="750" w:type="pct"/>
            <w:shd w:val="clear" w:color="auto" w:fill="auto"/>
            <w:vAlign w:val="center"/>
          </w:tcPr>
          <w:p w:rsidR="001D5070" w:rsidRPr="004D2223" w:rsidRDefault="001D5070" w:rsidP="00075D48">
            <w:pPr>
              <w:pStyle w:val="Tabletext"/>
              <w:keepNext/>
              <w:jc w:val="right"/>
              <w:rPr>
                <w:b/>
              </w:rPr>
            </w:pPr>
            <w:r w:rsidRPr="004D2223">
              <w:rPr>
                <w:b/>
              </w:rPr>
              <w:t>$0</w:t>
            </w:r>
          </w:p>
        </w:tc>
        <w:tc>
          <w:tcPr>
            <w:tcW w:w="750" w:type="pct"/>
            <w:shd w:val="clear" w:color="auto" w:fill="auto"/>
            <w:vAlign w:val="center"/>
          </w:tcPr>
          <w:p w:rsidR="001D5070" w:rsidRPr="004D2223" w:rsidRDefault="001D5070" w:rsidP="00075D48">
            <w:pPr>
              <w:pStyle w:val="Tabletext"/>
              <w:keepNext/>
              <w:jc w:val="right"/>
              <w:rPr>
                <w:b/>
              </w:rPr>
            </w:pPr>
            <w:r w:rsidRPr="004D2223">
              <w:rPr>
                <w:b/>
              </w:rPr>
              <w:t>$0</w:t>
            </w:r>
          </w:p>
        </w:tc>
        <w:tc>
          <w:tcPr>
            <w:tcW w:w="827" w:type="pct"/>
            <w:shd w:val="clear" w:color="auto" w:fill="auto"/>
            <w:vAlign w:val="center"/>
          </w:tcPr>
          <w:p w:rsidR="001D5070" w:rsidRPr="004D2223" w:rsidRDefault="001D5070" w:rsidP="00075D48">
            <w:pPr>
              <w:pStyle w:val="Tabletext"/>
              <w:keepNext/>
              <w:jc w:val="right"/>
              <w:rPr>
                <w:b/>
              </w:rPr>
            </w:pPr>
            <w:r w:rsidRPr="004D2223">
              <w:rPr>
                <w:b/>
              </w:rPr>
              <w:t>$0</w:t>
            </w:r>
          </w:p>
        </w:tc>
      </w:tr>
    </w:tbl>
    <w:p w:rsidR="002D2A77" w:rsidRDefault="002D2A77" w:rsidP="00075D48">
      <w:pPr>
        <w:pStyle w:val="TableFooter"/>
        <w:widowControl/>
        <w:ind w:left="720"/>
      </w:pPr>
      <w:r>
        <w:t xml:space="preserve">Source: </w:t>
      </w:r>
    </w:p>
    <w:p w:rsidR="002D2A77" w:rsidRPr="00FD1DF6" w:rsidRDefault="002D2A77" w:rsidP="00075D48">
      <w:pPr>
        <w:pStyle w:val="TableFooter"/>
        <w:widowControl/>
        <w:ind w:left="720"/>
      </w:pPr>
      <w:r>
        <w:t xml:space="preserve">PBS = Pharmaceutical Benefits </w:t>
      </w:r>
      <w:r w:rsidRPr="00FD1DF6">
        <w:t>Scheme; RPBS = Repatriation Pharmaceutical Benefits Scheme; FDC = fixed dose combination; Tio/Olo = tiotropium/olodaterol</w:t>
      </w:r>
      <w:r w:rsidR="00E21029" w:rsidRPr="00FD1DF6">
        <w:t>; MBS = Medicare Benefits Schedule</w:t>
      </w:r>
    </w:p>
    <w:p w:rsidR="00233AF1" w:rsidRDefault="00233AF1" w:rsidP="00075D48">
      <w:pPr>
        <w:widowControl/>
        <w:tabs>
          <w:tab w:val="left" w:pos="5372"/>
        </w:tabs>
        <w:rPr>
          <w:szCs w:val="22"/>
        </w:rPr>
      </w:pPr>
    </w:p>
    <w:p w:rsidR="00233AF1" w:rsidRPr="00233AF1" w:rsidRDefault="00233AF1" w:rsidP="00233AF1">
      <w:pPr>
        <w:widowControl/>
        <w:tabs>
          <w:tab w:val="left" w:pos="5372"/>
        </w:tabs>
        <w:ind w:left="709"/>
        <w:rPr>
          <w:i/>
          <w:szCs w:val="22"/>
        </w:rPr>
      </w:pPr>
      <w:r w:rsidRPr="00233AF1">
        <w:rPr>
          <w:i/>
          <w:szCs w:val="22"/>
        </w:rPr>
        <w:t>The redacted table above</w:t>
      </w:r>
      <w:r>
        <w:rPr>
          <w:i/>
          <w:szCs w:val="22"/>
        </w:rPr>
        <w:t xml:space="preserve"> shows that in Year 5, the estimated number of </w:t>
      </w:r>
      <w:r w:rsidRPr="00233AF1">
        <w:rPr>
          <w:i/>
          <w:szCs w:val="22"/>
        </w:rPr>
        <w:t>tiotropium/olodaterol FDC</w:t>
      </w:r>
      <w:r>
        <w:rPr>
          <w:i/>
          <w:szCs w:val="22"/>
        </w:rPr>
        <w:t xml:space="preserve"> scripts was over 200,000 and there would be zero net cost to the PBS/RPBS.</w:t>
      </w:r>
    </w:p>
    <w:p w:rsidR="00C25D9C" w:rsidRPr="00FD1DF6" w:rsidRDefault="002D2A77" w:rsidP="00075D48">
      <w:pPr>
        <w:widowControl/>
        <w:tabs>
          <w:tab w:val="left" w:pos="5372"/>
        </w:tabs>
        <w:rPr>
          <w:szCs w:val="22"/>
        </w:rPr>
      </w:pPr>
      <w:r w:rsidRPr="00FD1DF6">
        <w:rPr>
          <w:szCs w:val="22"/>
        </w:rPr>
        <w:tab/>
      </w:r>
    </w:p>
    <w:p w:rsidR="002D2A77" w:rsidRPr="0025601D" w:rsidRDefault="002D2A77" w:rsidP="00075D48">
      <w:pPr>
        <w:pStyle w:val="ListParagraph"/>
        <w:widowControl/>
        <w:numPr>
          <w:ilvl w:val="1"/>
          <w:numId w:val="4"/>
        </w:numPr>
      </w:pPr>
      <w:r w:rsidRPr="0025601D">
        <w:t>The submission’s estimate of the number of prescriptions</w:t>
      </w:r>
      <w:r w:rsidR="00826DA4" w:rsidRPr="0025601D">
        <w:t xml:space="preserve"> per </w:t>
      </w:r>
      <w:r w:rsidRPr="0025601D">
        <w:t>year was based on future projections of current co-administration of LAMA with a LABA (±</w:t>
      </w:r>
      <w:r w:rsidR="00031808" w:rsidRPr="0025601D">
        <w:t xml:space="preserve"> inhaled corticosteroids (</w:t>
      </w:r>
      <w:r w:rsidRPr="0025601D">
        <w:t>ICS</w:t>
      </w:r>
      <w:r w:rsidR="00031808" w:rsidRPr="0025601D">
        <w:t>)</w:t>
      </w:r>
      <w:r w:rsidRPr="0025601D">
        <w:t>), the expected uptake of LAMA/LABA FDCs and the uptake rate of tiotropium/olodaterol FDC. Whether this would be an over or underestimate was unknown because:</w:t>
      </w:r>
      <w:r w:rsidRPr="0025601D" w:rsidDel="00B037BA">
        <w:t xml:space="preserve"> </w:t>
      </w:r>
    </w:p>
    <w:p w:rsidR="002D2A77" w:rsidRPr="0025601D" w:rsidRDefault="002866B3" w:rsidP="00075D48">
      <w:pPr>
        <w:pStyle w:val="ListParagraph"/>
        <w:widowControl/>
        <w:numPr>
          <w:ilvl w:val="1"/>
          <w:numId w:val="17"/>
        </w:numPr>
        <w:ind w:left="993" w:hanging="284"/>
      </w:pPr>
      <w:r w:rsidRPr="0025601D">
        <w:t>t</w:t>
      </w:r>
      <w:r w:rsidR="002D2A77" w:rsidRPr="0025601D">
        <w:t>he uptake of LAMA/LABA FDC scripts was unclear;</w:t>
      </w:r>
    </w:p>
    <w:p w:rsidR="002D2A77" w:rsidRPr="0025601D" w:rsidRDefault="002866B3" w:rsidP="00075D48">
      <w:pPr>
        <w:pStyle w:val="ListParagraph"/>
        <w:widowControl/>
        <w:numPr>
          <w:ilvl w:val="1"/>
          <w:numId w:val="17"/>
        </w:numPr>
        <w:ind w:left="993" w:hanging="284"/>
      </w:pPr>
      <w:r w:rsidRPr="0025601D">
        <w:t>t</w:t>
      </w:r>
      <w:r w:rsidR="002D2A77" w:rsidRPr="0025601D">
        <w:t xml:space="preserve">he uptake of tiotropium/olodaterol </w:t>
      </w:r>
      <w:r w:rsidR="00D4047F" w:rsidRPr="0025601D">
        <w:t xml:space="preserve">FDC </w:t>
      </w:r>
      <w:r w:rsidR="002D2A77" w:rsidRPr="0025601D">
        <w:t>was unclear</w:t>
      </w:r>
      <w:r w:rsidRPr="0025601D">
        <w:t>; and</w:t>
      </w:r>
    </w:p>
    <w:p w:rsidR="00D4047F" w:rsidRPr="0025601D" w:rsidRDefault="002866B3" w:rsidP="00075D48">
      <w:pPr>
        <w:pStyle w:val="ListParagraph"/>
        <w:widowControl/>
        <w:numPr>
          <w:ilvl w:val="1"/>
          <w:numId w:val="17"/>
        </w:numPr>
        <w:ind w:left="993" w:hanging="284"/>
      </w:pPr>
      <w:r w:rsidRPr="0025601D">
        <w:t>t</w:t>
      </w:r>
      <w:r w:rsidR="00D4047F" w:rsidRPr="0025601D">
        <w:t>he submission assume</w:t>
      </w:r>
      <w:r w:rsidR="0004168D" w:rsidRPr="0025601D">
        <w:t>d</w:t>
      </w:r>
      <w:r w:rsidR="00D4047F" w:rsidRPr="0025601D">
        <w:t xml:space="preserve"> that the listing of tiotropium/olodaterol FDC would</w:t>
      </w:r>
      <w:r w:rsidR="00870CF8" w:rsidRPr="0025601D">
        <w:t xml:space="preserve"> </w:t>
      </w:r>
      <w:r w:rsidR="0004168D" w:rsidRPr="0025601D">
        <w:t xml:space="preserve">not </w:t>
      </w:r>
      <w:r w:rsidR="00870CF8" w:rsidRPr="0025601D">
        <w:t>decrease the number of patients treated with monotherapy (i.e. LABA or LAMA or ICS or LABA/ICS) and therefore</w:t>
      </w:r>
      <w:r w:rsidR="00D4047F" w:rsidRPr="0025601D">
        <w:t xml:space="preserve"> increase the number of patients treated with dual therapy for COPD.</w:t>
      </w:r>
    </w:p>
    <w:p w:rsidR="00576972" w:rsidRDefault="00576972" w:rsidP="00075D48">
      <w:pPr>
        <w:widowControl/>
        <w:rPr>
          <w:szCs w:val="22"/>
        </w:rPr>
      </w:pPr>
    </w:p>
    <w:p w:rsidR="0025601D" w:rsidRDefault="000B64DB" w:rsidP="00564B9E">
      <w:pPr>
        <w:widowControl/>
        <w:ind w:firstLine="709"/>
        <w:contextualSpacing/>
        <w:rPr>
          <w:i/>
          <w:szCs w:val="22"/>
        </w:rPr>
      </w:pPr>
      <w:r w:rsidRPr="000B56B0">
        <w:rPr>
          <w:i/>
          <w:szCs w:val="22"/>
        </w:rPr>
        <w:t>For more detail on PBAC’s view, see section 7 “PBAC outcome”</w:t>
      </w:r>
    </w:p>
    <w:p w:rsidR="000B64DB" w:rsidRDefault="000B64DB" w:rsidP="00075D48">
      <w:pPr>
        <w:widowControl/>
        <w:contextualSpacing/>
        <w:rPr>
          <w:i/>
          <w:szCs w:val="22"/>
        </w:rPr>
      </w:pPr>
    </w:p>
    <w:p w:rsidR="000B64DB" w:rsidRDefault="000B64DB" w:rsidP="000B64DB">
      <w:pPr>
        <w:widowControl/>
        <w:contextualSpacing/>
        <w:rPr>
          <w:i/>
          <w:szCs w:val="22"/>
        </w:rPr>
      </w:pPr>
    </w:p>
    <w:p w:rsidR="000B64DB" w:rsidRPr="00DF456D" w:rsidRDefault="000B64DB" w:rsidP="000B64DB">
      <w:pPr>
        <w:numPr>
          <w:ilvl w:val="0"/>
          <w:numId w:val="4"/>
        </w:numPr>
        <w:rPr>
          <w:b/>
          <w:bCs/>
          <w:szCs w:val="22"/>
        </w:rPr>
      </w:pPr>
      <w:r w:rsidRPr="00DF456D">
        <w:rPr>
          <w:b/>
          <w:bCs/>
          <w:szCs w:val="22"/>
        </w:rPr>
        <w:t>PBAC Outcome</w:t>
      </w:r>
    </w:p>
    <w:p w:rsidR="000B64DB" w:rsidRPr="006C307E" w:rsidRDefault="000B64DB" w:rsidP="000B64DB">
      <w:pPr>
        <w:contextualSpacing/>
        <w:rPr>
          <w:b/>
          <w:bCs/>
          <w:szCs w:val="22"/>
          <w:highlight w:val="yellow"/>
          <w:lang w:val="en-GB"/>
        </w:rPr>
      </w:pPr>
    </w:p>
    <w:p w:rsidR="00EF4059" w:rsidRDefault="00EF1FBD" w:rsidP="00EF1FBD">
      <w:pPr>
        <w:pStyle w:val="ListParagraph"/>
        <w:widowControl/>
        <w:numPr>
          <w:ilvl w:val="1"/>
          <w:numId w:val="4"/>
        </w:numPr>
        <w:rPr>
          <w:szCs w:val="22"/>
        </w:rPr>
      </w:pPr>
      <w:r>
        <w:rPr>
          <w:szCs w:val="22"/>
        </w:rPr>
        <w:t>The PBAC recommended the listing of t</w:t>
      </w:r>
      <w:r w:rsidR="00EF4059">
        <w:rPr>
          <w:szCs w:val="22"/>
        </w:rPr>
        <w:t>iotropium/</w:t>
      </w:r>
      <w:r>
        <w:rPr>
          <w:szCs w:val="22"/>
        </w:rPr>
        <w:t>olodaterol FDC as an Authority required (STREAMLINED) benefit for the treatment of chronic obstructive pulmonary disease for patients already stabilised on con</w:t>
      </w:r>
      <w:r w:rsidR="00BA7EAE">
        <w:rPr>
          <w:szCs w:val="22"/>
        </w:rPr>
        <w:t>comitant LAMA and LABA therapy.</w:t>
      </w:r>
    </w:p>
    <w:p w:rsidR="00EF4059" w:rsidRDefault="00EF4059" w:rsidP="00EF4059">
      <w:pPr>
        <w:pStyle w:val="ListParagraph"/>
        <w:widowControl/>
        <w:rPr>
          <w:szCs w:val="22"/>
        </w:rPr>
      </w:pPr>
    </w:p>
    <w:p w:rsidR="00EF1FBD" w:rsidRDefault="00265EE9" w:rsidP="00EF1FBD">
      <w:pPr>
        <w:pStyle w:val="ListParagraph"/>
        <w:widowControl/>
        <w:numPr>
          <w:ilvl w:val="1"/>
          <w:numId w:val="4"/>
        </w:numPr>
        <w:rPr>
          <w:szCs w:val="22"/>
        </w:rPr>
      </w:pPr>
      <w:r>
        <w:rPr>
          <w:szCs w:val="22"/>
        </w:rPr>
        <w:t>The PBAC recommended the listing on a cost-minimisation basis to the existing LAMA/LABA fixed dose combinations, umeclidinium/vilanterol and glycopyrronium/indacaterol.</w:t>
      </w:r>
      <w:r w:rsidR="00EF1FBD">
        <w:rPr>
          <w:szCs w:val="22"/>
        </w:rPr>
        <w:t xml:space="preserve"> </w:t>
      </w:r>
      <w:r w:rsidR="00885849">
        <w:rPr>
          <w:szCs w:val="22"/>
        </w:rPr>
        <w:t>The equi-effective doses are</w:t>
      </w:r>
      <w:r w:rsidR="00EF4059">
        <w:rPr>
          <w:szCs w:val="22"/>
        </w:rPr>
        <w:t xml:space="preserve"> considered to be</w:t>
      </w:r>
      <w:r w:rsidR="00885849">
        <w:rPr>
          <w:szCs w:val="22"/>
        </w:rPr>
        <w:t xml:space="preserve"> tiotropiu</w:t>
      </w:r>
      <w:r w:rsidR="00EF4059">
        <w:rPr>
          <w:szCs w:val="22"/>
        </w:rPr>
        <w:t>m 5 microgram with o</w:t>
      </w:r>
      <w:r w:rsidR="00053905">
        <w:rPr>
          <w:szCs w:val="22"/>
        </w:rPr>
        <w:t>lodaterol 5 </w:t>
      </w:r>
      <w:r w:rsidR="00885849">
        <w:rPr>
          <w:szCs w:val="22"/>
        </w:rPr>
        <w:t>microgram</w:t>
      </w:r>
      <w:r w:rsidR="00AD13C9">
        <w:rPr>
          <w:szCs w:val="22"/>
        </w:rPr>
        <w:t xml:space="preserve"> (</w:t>
      </w:r>
      <w:r w:rsidR="0072485E">
        <w:rPr>
          <w:szCs w:val="22"/>
        </w:rPr>
        <w:t>two</w:t>
      </w:r>
      <w:r w:rsidR="00AD13C9">
        <w:rPr>
          <w:szCs w:val="22"/>
        </w:rPr>
        <w:t xml:space="preserve"> inhalations daily)</w:t>
      </w:r>
      <w:r w:rsidR="00885849">
        <w:rPr>
          <w:szCs w:val="22"/>
        </w:rPr>
        <w:t>, umeclidinium</w:t>
      </w:r>
      <w:r w:rsidR="00233AF1">
        <w:rPr>
          <w:szCs w:val="22"/>
        </w:rPr>
        <w:t xml:space="preserve"> 62.5 </w:t>
      </w:r>
      <w:r w:rsidR="00EF4059">
        <w:rPr>
          <w:szCs w:val="22"/>
        </w:rPr>
        <w:t xml:space="preserve">microgram with </w:t>
      </w:r>
      <w:r w:rsidR="00885849">
        <w:rPr>
          <w:szCs w:val="22"/>
        </w:rPr>
        <w:t>vilanterol 25 microgram</w:t>
      </w:r>
      <w:r w:rsidR="00AD13C9">
        <w:rPr>
          <w:szCs w:val="22"/>
        </w:rPr>
        <w:t xml:space="preserve"> (daily)</w:t>
      </w:r>
      <w:r w:rsidR="00885849">
        <w:rPr>
          <w:szCs w:val="22"/>
        </w:rPr>
        <w:t>, and glycopyrronium</w:t>
      </w:r>
      <w:r w:rsidR="00233AF1">
        <w:rPr>
          <w:szCs w:val="22"/>
        </w:rPr>
        <w:t xml:space="preserve"> 50 </w:t>
      </w:r>
      <w:r w:rsidR="00EF4059">
        <w:rPr>
          <w:szCs w:val="22"/>
        </w:rPr>
        <w:t xml:space="preserve">microgram with </w:t>
      </w:r>
      <w:r w:rsidR="00885849">
        <w:rPr>
          <w:szCs w:val="22"/>
        </w:rPr>
        <w:t xml:space="preserve">indacaterol </w:t>
      </w:r>
      <w:r w:rsidR="00EF4059">
        <w:rPr>
          <w:szCs w:val="22"/>
        </w:rPr>
        <w:t>110 </w:t>
      </w:r>
      <w:r w:rsidR="00885849">
        <w:rPr>
          <w:szCs w:val="22"/>
        </w:rPr>
        <w:t>microgram</w:t>
      </w:r>
      <w:r w:rsidR="00AD13C9">
        <w:rPr>
          <w:szCs w:val="22"/>
        </w:rPr>
        <w:t xml:space="preserve"> (daily)</w:t>
      </w:r>
      <w:r w:rsidR="00885849">
        <w:rPr>
          <w:szCs w:val="22"/>
        </w:rPr>
        <w:t>.</w:t>
      </w:r>
    </w:p>
    <w:p w:rsidR="00564B9E" w:rsidRDefault="00564B9E" w:rsidP="00564B9E">
      <w:pPr>
        <w:pStyle w:val="ListParagraph"/>
        <w:widowControl/>
        <w:rPr>
          <w:szCs w:val="22"/>
        </w:rPr>
      </w:pPr>
    </w:p>
    <w:p w:rsidR="00564B9E" w:rsidRDefault="00564B9E" w:rsidP="00EF1FBD">
      <w:pPr>
        <w:pStyle w:val="ListParagraph"/>
        <w:widowControl/>
        <w:numPr>
          <w:ilvl w:val="1"/>
          <w:numId w:val="4"/>
        </w:numPr>
        <w:rPr>
          <w:szCs w:val="22"/>
        </w:rPr>
      </w:pPr>
      <w:r>
        <w:rPr>
          <w:szCs w:val="22"/>
        </w:rPr>
        <w:t>The PBAC considered that the claim of non-inferior comparative effectiveness and saf</w:t>
      </w:r>
      <w:r w:rsidR="009321BE">
        <w:rPr>
          <w:szCs w:val="22"/>
        </w:rPr>
        <w:t xml:space="preserve">ety was reasonable. </w:t>
      </w:r>
      <w:r w:rsidR="00E7406C">
        <w:rPr>
          <w:szCs w:val="22"/>
        </w:rPr>
        <w:t xml:space="preserve">Noting that there was uncertainty </w:t>
      </w:r>
      <w:r w:rsidR="001A10FC">
        <w:rPr>
          <w:szCs w:val="22"/>
        </w:rPr>
        <w:t>due to the</w:t>
      </w:r>
      <w:r w:rsidR="00E7406C">
        <w:rPr>
          <w:szCs w:val="22"/>
        </w:rPr>
        <w:t xml:space="preserve"> </w:t>
      </w:r>
      <w:r w:rsidR="001A10FC">
        <w:rPr>
          <w:szCs w:val="22"/>
        </w:rPr>
        <w:t xml:space="preserve">limited </w:t>
      </w:r>
      <w:r w:rsidR="00E7406C">
        <w:rPr>
          <w:szCs w:val="22"/>
        </w:rPr>
        <w:t>reliability of the indirect comparisons, the PBAC accepted that</w:t>
      </w:r>
      <w:r w:rsidR="008D6C9F">
        <w:rPr>
          <w:szCs w:val="22"/>
        </w:rPr>
        <w:t xml:space="preserve"> the evidence presented in the submission suggested that</w:t>
      </w:r>
      <w:r w:rsidR="00E7406C">
        <w:rPr>
          <w:szCs w:val="22"/>
        </w:rPr>
        <w:t xml:space="preserve"> tiotropium/olodaterol FDC </w:t>
      </w:r>
      <w:r w:rsidR="001A10FC">
        <w:rPr>
          <w:szCs w:val="22"/>
        </w:rPr>
        <w:t xml:space="preserve">is similar in efficacy and safety to </w:t>
      </w:r>
      <w:r w:rsidR="0068554F">
        <w:rPr>
          <w:szCs w:val="22"/>
        </w:rPr>
        <w:t>the nominated LAMA/LABA FDC comparators.</w:t>
      </w:r>
      <w:r w:rsidR="009321BE">
        <w:rPr>
          <w:szCs w:val="22"/>
        </w:rPr>
        <w:t xml:space="preserve"> </w:t>
      </w:r>
    </w:p>
    <w:p w:rsidR="00EF1FBD" w:rsidRDefault="00EF1FBD" w:rsidP="00EF1FBD">
      <w:pPr>
        <w:pStyle w:val="ListParagraph"/>
        <w:rPr>
          <w:szCs w:val="22"/>
        </w:rPr>
      </w:pPr>
    </w:p>
    <w:p w:rsidR="00A90CFF" w:rsidRDefault="00A90CFF" w:rsidP="00EF1FBD">
      <w:pPr>
        <w:pStyle w:val="ListParagraph"/>
        <w:widowControl/>
        <w:numPr>
          <w:ilvl w:val="1"/>
          <w:numId w:val="4"/>
        </w:numPr>
        <w:rPr>
          <w:szCs w:val="22"/>
        </w:rPr>
      </w:pPr>
      <w:r>
        <w:rPr>
          <w:szCs w:val="22"/>
        </w:rPr>
        <w:t xml:space="preserve">The PBAC considered that although the market for fixed dose combination products in COPD is growing, it was unlikely that the listing of tiotropium/olodaterol would result in any </w:t>
      </w:r>
      <w:r w:rsidR="000C1659">
        <w:rPr>
          <w:szCs w:val="22"/>
        </w:rPr>
        <w:t xml:space="preserve">substantial </w:t>
      </w:r>
      <w:r>
        <w:rPr>
          <w:szCs w:val="22"/>
        </w:rPr>
        <w:t xml:space="preserve">additional market growth. </w:t>
      </w:r>
    </w:p>
    <w:p w:rsidR="00EF1FBD" w:rsidRDefault="00EF1FBD" w:rsidP="00EF1FBD">
      <w:pPr>
        <w:pStyle w:val="ListParagraph"/>
        <w:rPr>
          <w:szCs w:val="22"/>
        </w:rPr>
      </w:pPr>
    </w:p>
    <w:p w:rsidR="00EF1FBD" w:rsidRPr="0093012D" w:rsidRDefault="00EF1FBD" w:rsidP="0093012D">
      <w:pPr>
        <w:pStyle w:val="ListParagraph"/>
        <w:widowControl/>
        <w:numPr>
          <w:ilvl w:val="1"/>
          <w:numId w:val="4"/>
        </w:numPr>
        <w:rPr>
          <w:szCs w:val="22"/>
        </w:rPr>
      </w:pPr>
      <w:r>
        <w:t xml:space="preserve">In accordance with subsection 101(3BA) of the </w:t>
      </w:r>
      <w:r w:rsidRPr="0093012D">
        <w:rPr>
          <w:i/>
        </w:rPr>
        <w:t>National Health Act</w:t>
      </w:r>
      <w:r>
        <w:t xml:space="preserve"> 1953, the PBAC advised that it is of the opinion that </w:t>
      </w:r>
      <w:r w:rsidR="00073D3A">
        <w:t>tiotropium/olodaterol</w:t>
      </w:r>
      <w:r>
        <w:t xml:space="preserve"> should be treated as interchangeable on an individual patient basis with indacaterol/glycopyrronium</w:t>
      </w:r>
      <w:r w:rsidR="00564B9E">
        <w:t xml:space="preserve"> and umeclidium/vilanterol</w:t>
      </w:r>
      <w:r>
        <w:t xml:space="preserve">. </w:t>
      </w:r>
    </w:p>
    <w:p w:rsidR="00EF1FBD" w:rsidRDefault="00EF1FBD" w:rsidP="00EF1FBD">
      <w:pPr>
        <w:ind w:left="709"/>
        <w:rPr>
          <w:szCs w:val="22"/>
        </w:rPr>
      </w:pPr>
    </w:p>
    <w:p w:rsidR="00C706CA" w:rsidRDefault="00660E7C" w:rsidP="00C706CA">
      <w:pPr>
        <w:pStyle w:val="ListParagraph"/>
        <w:widowControl/>
        <w:numPr>
          <w:ilvl w:val="1"/>
          <w:numId w:val="4"/>
        </w:numPr>
        <w:rPr>
          <w:szCs w:val="24"/>
        </w:rPr>
      </w:pPr>
      <w:r>
        <w:t xml:space="preserve">In accordance with subsection 101(4AA) of the </w:t>
      </w:r>
      <w:r w:rsidRPr="004E41D5">
        <w:rPr>
          <w:i/>
        </w:rPr>
        <w:t>National Health Act</w:t>
      </w:r>
      <w:r>
        <w:t xml:space="preserve">, the PBAC advised </w:t>
      </w:r>
      <w:r w:rsidR="005E662F">
        <w:t xml:space="preserve"> that it was of the opinion that the Minister should determine a therapeutic group comprising of all LAMA/LABA fixed dose combinations </w:t>
      </w:r>
      <w:r w:rsidR="00E63EE9">
        <w:t>including in</w:t>
      </w:r>
      <w:r w:rsidR="00E465F3">
        <w:t>dacaterol/glycopyrroniu</w:t>
      </w:r>
      <w:r w:rsidR="00E63EE9">
        <w:t>m, umeclidium/vilanterol, and tiotropium/olodaterol.</w:t>
      </w:r>
      <w:r w:rsidR="005E662F">
        <w:t xml:space="preserve"> </w:t>
      </w:r>
    </w:p>
    <w:p w:rsidR="00C706CA" w:rsidRDefault="00C706CA" w:rsidP="00EF1FBD">
      <w:pPr>
        <w:ind w:left="709"/>
        <w:rPr>
          <w:szCs w:val="22"/>
        </w:rPr>
      </w:pPr>
    </w:p>
    <w:p w:rsidR="00EF1FBD" w:rsidRDefault="00EF1FBD" w:rsidP="00EF1FBD">
      <w:pPr>
        <w:pStyle w:val="ListParagraph"/>
        <w:widowControl/>
        <w:numPr>
          <w:ilvl w:val="1"/>
          <w:numId w:val="4"/>
        </w:numPr>
        <w:rPr>
          <w:szCs w:val="22"/>
        </w:rPr>
      </w:pPr>
      <w:r>
        <w:rPr>
          <w:szCs w:val="22"/>
        </w:rPr>
        <w:t xml:space="preserve">The PBAC advised that </w:t>
      </w:r>
      <w:r w:rsidR="0055474B">
        <w:rPr>
          <w:szCs w:val="22"/>
        </w:rPr>
        <w:t>tiotropi</w:t>
      </w:r>
      <w:r w:rsidR="00073D3A">
        <w:rPr>
          <w:szCs w:val="22"/>
        </w:rPr>
        <w:t>u</w:t>
      </w:r>
      <w:r w:rsidR="0055474B">
        <w:rPr>
          <w:szCs w:val="22"/>
        </w:rPr>
        <w:t>m</w:t>
      </w:r>
      <w:r>
        <w:rPr>
          <w:szCs w:val="22"/>
        </w:rPr>
        <w:t>/</w:t>
      </w:r>
      <w:r w:rsidR="0055474B">
        <w:rPr>
          <w:szCs w:val="22"/>
        </w:rPr>
        <w:t>olodaterol</w:t>
      </w:r>
      <w:r>
        <w:rPr>
          <w:szCs w:val="22"/>
        </w:rPr>
        <w:t xml:space="preserve"> is suitable for prescribing by nurse practitioners.</w:t>
      </w:r>
    </w:p>
    <w:p w:rsidR="00EF1FBD" w:rsidRDefault="00EF1FBD" w:rsidP="00EF1FBD">
      <w:pPr>
        <w:pStyle w:val="ListParagraph"/>
        <w:rPr>
          <w:szCs w:val="22"/>
        </w:rPr>
      </w:pPr>
    </w:p>
    <w:p w:rsidR="000B64DB" w:rsidRPr="00E76414" w:rsidRDefault="00EF1FBD" w:rsidP="00E76414">
      <w:pPr>
        <w:pStyle w:val="ListParagraph"/>
        <w:widowControl/>
        <w:numPr>
          <w:ilvl w:val="1"/>
          <w:numId w:val="4"/>
        </w:numPr>
        <w:rPr>
          <w:szCs w:val="22"/>
        </w:rPr>
      </w:pPr>
      <w:r>
        <w:rPr>
          <w:szCs w:val="22"/>
        </w:rPr>
        <w:t>The PBAC recommended that the Safety Net 20 Day Rule should apply.</w:t>
      </w:r>
    </w:p>
    <w:p w:rsidR="000B64DB" w:rsidRPr="006C307E" w:rsidRDefault="000B64DB" w:rsidP="000B64DB">
      <w:pPr>
        <w:rPr>
          <w:b/>
          <w:szCs w:val="22"/>
          <w:highlight w:val="yellow"/>
          <w:lang w:val="en-GB"/>
        </w:rPr>
      </w:pPr>
    </w:p>
    <w:p w:rsidR="000B64DB" w:rsidRPr="002C1218" w:rsidRDefault="000B64DB" w:rsidP="000B64DB">
      <w:pPr>
        <w:rPr>
          <w:b/>
          <w:bCs/>
          <w:szCs w:val="22"/>
          <w:lang w:val="en-GB"/>
        </w:rPr>
      </w:pPr>
    </w:p>
    <w:p w:rsidR="000B64DB" w:rsidRPr="002C1218" w:rsidRDefault="000B64DB" w:rsidP="000B64DB">
      <w:pPr>
        <w:rPr>
          <w:b/>
          <w:bCs/>
          <w:szCs w:val="22"/>
          <w:lang w:val="en-GB"/>
        </w:rPr>
      </w:pPr>
      <w:r w:rsidRPr="002C1218">
        <w:rPr>
          <w:b/>
          <w:bCs/>
          <w:szCs w:val="22"/>
          <w:lang w:val="en-GB"/>
        </w:rPr>
        <w:t>Outcome:</w:t>
      </w:r>
    </w:p>
    <w:p w:rsidR="000B64DB" w:rsidRPr="002C1218" w:rsidRDefault="000B64DB" w:rsidP="000B64DB">
      <w:pPr>
        <w:rPr>
          <w:bCs/>
          <w:szCs w:val="22"/>
          <w:lang w:val="en-GB"/>
        </w:rPr>
      </w:pPr>
      <w:r w:rsidRPr="002C1218">
        <w:rPr>
          <w:bCs/>
          <w:szCs w:val="22"/>
          <w:lang w:val="en-GB"/>
        </w:rPr>
        <w:t>Recommended</w:t>
      </w:r>
    </w:p>
    <w:p w:rsidR="000B64DB" w:rsidRDefault="000B64DB" w:rsidP="000B64DB">
      <w:pPr>
        <w:rPr>
          <w:b/>
          <w:bCs/>
          <w:szCs w:val="22"/>
          <w:highlight w:val="yellow"/>
        </w:rPr>
      </w:pPr>
    </w:p>
    <w:p w:rsidR="000B64DB" w:rsidRPr="007F6D9D" w:rsidRDefault="000B64DB" w:rsidP="000B64DB">
      <w:pPr>
        <w:rPr>
          <w:bCs/>
          <w:szCs w:val="22"/>
          <w:highlight w:val="yellow"/>
        </w:rPr>
      </w:pPr>
    </w:p>
    <w:p w:rsidR="000B64DB" w:rsidRPr="002C1218" w:rsidRDefault="000B64DB" w:rsidP="000B64DB">
      <w:pPr>
        <w:numPr>
          <w:ilvl w:val="0"/>
          <w:numId w:val="4"/>
        </w:numPr>
        <w:rPr>
          <w:b/>
          <w:bCs/>
          <w:i/>
          <w:szCs w:val="22"/>
          <w:lang w:val="en-GB"/>
        </w:rPr>
      </w:pPr>
      <w:r w:rsidRPr="002C1218">
        <w:rPr>
          <w:b/>
          <w:bCs/>
          <w:szCs w:val="22"/>
          <w:lang w:val="en-GB"/>
        </w:rPr>
        <w:t>Recommended listing</w:t>
      </w:r>
    </w:p>
    <w:p w:rsidR="000B64DB" w:rsidRPr="002C1218" w:rsidRDefault="000B64DB" w:rsidP="000B64DB">
      <w:pPr>
        <w:rPr>
          <w:b/>
          <w:bCs/>
          <w:i/>
          <w:szCs w:val="22"/>
          <w:lang w:val="en-GB"/>
        </w:rPr>
      </w:pPr>
    </w:p>
    <w:p w:rsidR="000B64DB" w:rsidRPr="002C1218" w:rsidRDefault="000B64DB" w:rsidP="002C1218">
      <w:pPr>
        <w:numPr>
          <w:ilvl w:val="1"/>
          <w:numId w:val="4"/>
        </w:numPr>
        <w:contextualSpacing/>
        <w:rPr>
          <w:b/>
          <w:bCs/>
          <w:szCs w:val="22"/>
        </w:rPr>
      </w:pPr>
      <w:r w:rsidRPr="002C1218">
        <w:rPr>
          <w:bCs/>
          <w:szCs w:val="22"/>
        </w:rPr>
        <w:t>Add new item:</w:t>
      </w:r>
    </w:p>
    <w:p w:rsidR="000B64DB" w:rsidRPr="006C307E" w:rsidRDefault="000B64DB" w:rsidP="000B64DB">
      <w:pPr>
        <w:rPr>
          <w:b/>
          <w:bCs/>
          <w:szCs w:val="22"/>
          <w:highlight w:val="yellow"/>
        </w:rPr>
      </w:pPr>
    </w:p>
    <w:tbl>
      <w:tblPr>
        <w:tblW w:w="8363" w:type="dxa"/>
        <w:tblInd w:w="817" w:type="dxa"/>
        <w:tblLayout w:type="fixed"/>
        <w:tblLook w:val="0000" w:firstRow="0" w:lastRow="0" w:firstColumn="0" w:lastColumn="0" w:noHBand="0" w:noVBand="0"/>
      </w:tblPr>
      <w:tblGrid>
        <w:gridCol w:w="2835"/>
        <w:gridCol w:w="709"/>
        <w:gridCol w:w="567"/>
        <w:gridCol w:w="850"/>
        <w:gridCol w:w="1985"/>
        <w:gridCol w:w="1417"/>
      </w:tblGrid>
      <w:tr w:rsidR="00221C0E" w:rsidRPr="00260CE3" w:rsidTr="00221C0E">
        <w:trPr>
          <w:cantSplit/>
          <w:trHeight w:val="471"/>
        </w:trPr>
        <w:tc>
          <w:tcPr>
            <w:tcW w:w="3544" w:type="dxa"/>
            <w:gridSpan w:val="2"/>
            <w:tcBorders>
              <w:bottom w:val="single" w:sz="4" w:space="0" w:color="auto"/>
            </w:tcBorders>
          </w:tcPr>
          <w:p w:rsidR="00221C0E" w:rsidRPr="00260CE3" w:rsidRDefault="00221C0E" w:rsidP="00660E7C">
            <w:pPr>
              <w:keepNext/>
              <w:widowControl/>
              <w:ind w:left="-108"/>
              <w:rPr>
                <w:rFonts w:ascii="Arial Narrow" w:hAnsi="Arial Narrow"/>
                <w:sz w:val="20"/>
              </w:rPr>
            </w:pPr>
            <w:r w:rsidRPr="00260CE3">
              <w:rPr>
                <w:rFonts w:ascii="Arial Narrow" w:hAnsi="Arial Narrow"/>
                <w:sz w:val="20"/>
              </w:rPr>
              <w:t>Name, Restriction,</w:t>
            </w:r>
          </w:p>
          <w:p w:rsidR="00221C0E" w:rsidRPr="00260CE3" w:rsidRDefault="00221C0E" w:rsidP="00660E7C">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221C0E" w:rsidRPr="00260CE3" w:rsidRDefault="00221C0E" w:rsidP="00660E7C">
            <w:pPr>
              <w:keepNext/>
              <w:widowControl/>
              <w:ind w:left="-108"/>
              <w:rPr>
                <w:rFonts w:ascii="Arial Narrow" w:hAnsi="Arial Narrow"/>
                <w:sz w:val="20"/>
              </w:rPr>
            </w:pPr>
            <w:r w:rsidRPr="00260CE3">
              <w:rPr>
                <w:rFonts w:ascii="Arial Narrow" w:hAnsi="Arial Narrow"/>
                <w:sz w:val="20"/>
              </w:rPr>
              <w:t>Max.</w:t>
            </w:r>
          </w:p>
          <w:p w:rsidR="00221C0E" w:rsidRPr="00260CE3" w:rsidRDefault="00221C0E" w:rsidP="00660E7C">
            <w:pPr>
              <w:keepNext/>
              <w:widowControl/>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221C0E" w:rsidRPr="00260CE3" w:rsidRDefault="00221C0E" w:rsidP="00660E7C">
            <w:pPr>
              <w:keepNext/>
              <w:widowControl/>
              <w:ind w:left="-108"/>
              <w:rPr>
                <w:rFonts w:ascii="Arial Narrow" w:hAnsi="Arial Narrow"/>
                <w:sz w:val="20"/>
              </w:rPr>
            </w:pPr>
            <w:r w:rsidRPr="00260CE3">
              <w:rPr>
                <w:rFonts w:ascii="Arial Narrow" w:hAnsi="Arial Narrow"/>
                <w:sz w:val="20"/>
              </w:rPr>
              <w:t>№.of</w:t>
            </w:r>
          </w:p>
          <w:p w:rsidR="00221C0E" w:rsidRPr="00260CE3" w:rsidRDefault="00221C0E" w:rsidP="00660E7C">
            <w:pPr>
              <w:keepNext/>
              <w:widowControl/>
              <w:ind w:left="-108"/>
              <w:rPr>
                <w:rFonts w:ascii="Arial Narrow" w:hAnsi="Arial Narrow"/>
                <w:sz w:val="20"/>
              </w:rPr>
            </w:pPr>
            <w:r w:rsidRPr="00260CE3">
              <w:rPr>
                <w:rFonts w:ascii="Arial Narrow" w:hAnsi="Arial Narrow"/>
                <w:sz w:val="20"/>
              </w:rPr>
              <w:t>Rpts</w:t>
            </w:r>
          </w:p>
        </w:tc>
        <w:tc>
          <w:tcPr>
            <w:tcW w:w="3402" w:type="dxa"/>
            <w:gridSpan w:val="2"/>
            <w:tcBorders>
              <w:bottom w:val="single" w:sz="4" w:space="0" w:color="auto"/>
            </w:tcBorders>
          </w:tcPr>
          <w:p w:rsidR="00221C0E" w:rsidRPr="00260CE3" w:rsidRDefault="00221C0E" w:rsidP="00660E7C">
            <w:pPr>
              <w:keepNext/>
              <w:widowControl/>
              <w:rPr>
                <w:rFonts w:ascii="Arial Narrow" w:hAnsi="Arial Narrow"/>
                <w:sz w:val="20"/>
                <w:lang w:val="fr-FR"/>
              </w:rPr>
            </w:pPr>
            <w:r w:rsidRPr="00260CE3">
              <w:rPr>
                <w:rFonts w:ascii="Arial Narrow" w:hAnsi="Arial Narrow"/>
                <w:sz w:val="20"/>
              </w:rPr>
              <w:t>Proprietary Name and Manufacturer</w:t>
            </w:r>
          </w:p>
        </w:tc>
      </w:tr>
      <w:tr w:rsidR="00221C0E" w:rsidRPr="00260CE3" w:rsidTr="00221C0E">
        <w:trPr>
          <w:cantSplit/>
          <w:trHeight w:val="577"/>
        </w:trPr>
        <w:tc>
          <w:tcPr>
            <w:tcW w:w="3544" w:type="dxa"/>
            <w:gridSpan w:val="2"/>
          </w:tcPr>
          <w:p w:rsidR="00221C0E" w:rsidRPr="00260CE3" w:rsidRDefault="00221C0E" w:rsidP="00660E7C">
            <w:pPr>
              <w:keepNext/>
              <w:widowControl/>
              <w:ind w:left="-108"/>
              <w:rPr>
                <w:rFonts w:ascii="Arial Narrow" w:hAnsi="Arial Narrow"/>
                <w:sz w:val="20"/>
              </w:rPr>
            </w:pPr>
            <w:r>
              <w:rPr>
                <w:rFonts w:ascii="Arial Narrow" w:hAnsi="Arial Narrow"/>
                <w:smallCaps/>
                <w:sz w:val="20"/>
              </w:rPr>
              <w:t>TIOTROPIUM + OLODATEROL</w:t>
            </w:r>
          </w:p>
          <w:p w:rsidR="00221C0E" w:rsidRPr="00260CE3" w:rsidRDefault="00221C0E" w:rsidP="00660E7C">
            <w:pPr>
              <w:keepNext/>
              <w:widowControl/>
              <w:ind w:left="-108"/>
              <w:rPr>
                <w:rFonts w:ascii="Arial Narrow" w:hAnsi="Arial Narrow"/>
                <w:sz w:val="20"/>
              </w:rPr>
            </w:pPr>
            <w:r>
              <w:rPr>
                <w:rFonts w:ascii="Arial Narrow" w:hAnsi="Arial Narrow"/>
                <w:sz w:val="20"/>
              </w:rPr>
              <w:t>Tiotropium 2.5 microgram/actuation + olodaterol 2.5 microgram/actuation inhalation: solution for, 60 actuations</w:t>
            </w:r>
          </w:p>
        </w:tc>
        <w:tc>
          <w:tcPr>
            <w:tcW w:w="567" w:type="dxa"/>
          </w:tcPr>
          <w:p w:rsidR="00221C0E" w:rsidRPr="00260CE3" w:rsidRDefault="00221C0E" w:rsidP="00660E7C">
            <w:pPr>
              <w:keepNext/>
              <w:widowControl/>
              <w:ind w:left="-108"/>
              <w:rPr>
                <w:rFonts w:ascii="Arial Narrow" w:hAnsi="Arial Narrow"/>
                <w:sz w:val="20"/>
              </w:rPr>
            </w:pPr>
          </w:p>
          <w:p w:rsidR="00221C0E" w:rsidRPr="00260CE3" w:rsidRDefault="00221C0E" w:rsidP="00660E7C">
            <w:pPr>
              <w:keepNext/>
              <w:widowControl/>
              <w:ind w:left="-108"/>
              <w:rPr>
                <w:rFonts w:ascii="Arial Narrow" w:hAnsi="Arial Narrow"/>
                <w:sz w:val="20"/>
              </w:rPr>
            </w:pPr>
            <w:r>
              <w:rPr>
                <w:rFonts w:ascii="Arial Narrow" w:hAnsi="Arial Narrow"/>
                <w:sz w:val="20"/>
              </w:rPr>
              <w:t>1</w:t>
            </w:r>
          </w:p>
        </w:tc>
        <w:tc>
          <w:tcPr>
            <w:tcW w:w="850" w:type="dxa"/>
          </w:tcPr>
          <w:p w:rsidR="00221C0E" w:rsidRPr="00260CE3" w:rsidRDefault="00221C0E" w:rsidP="00660E7C">
            <w:pPr>
              <w:keepNext/>
              <w:widowControl/>
              <w:ind w:left="-108"/>
              <w:rPr>
                <w:rFonts w:ascii="Arial Narrow" w:hAnsi="Arial Narrow"/>
                <w:sz w:val="20"/>
              </w:rPr>
            </w:pPr>
          </w:p>
          <w:p w:rsidR="00221C0E" w:rsidRPr="00260CE3" w:rsidRDefault="00221C0E" w:rsidP="00660E7C">
            <w:pPr>
              <w:keepNext/>
              <w:widowControl/>
              <w:ind w:left="-108"/>
              <w:rPr>
                <w:rFonts w:ascii="Arial Narrow" w:hAnsi="Arial Narrow"/>
                <w:sz w:val="20"/>
              </w:rPr>
            </w:pPr>
            <w:r>
              <w:rPr>
                <w:rFonts w:ascii="Arial Narrow" w:hAnsi="Arial Narrow"/>
                <w:sz w:val="20"/>
              </w:rPr>
              <w:t>5</w:t>
            </w:r>
          </w:p>
        </w:tc>
        <w:tc>
          <w:tcPr>
            <w:tcW w:w="1985" w:type="dxa"/>
          </w:tcPr>
          <w:p w:rsidR="00221C0E" w:rsidRPr="00260CE3" w:rsidRDefault="00221C0E" w:rsidP="00660E7C">
            <w:pPr>
              <w:keepNext/>
              <w:widowControl/>
              <w:rPr>
                <w:rFonts w:ascii="Arial Narrow" w:hAnsi="Arial Narrow"/>
                <w:sz w:val="20"/>
              </w:rPr>
            </w:pPr>
            <w:r>
              <w:rPr>
                <w:rFonts w:ascii="Arial Narrow" w:hAnsi="Arial Narrow"/>
                <w:sz w:val="20"/>
              </w:rPr>
              <w:t>Spiolto</w:t>
            </w:r>
            <w:r w:rsidRPr="006967A6">
              <w:rPr>
                <w:rFonts w:ascii="Arial Narrow" w:hAnsi="Arial Narrow"/>
                <w:sz w:val="20"/>
                <w:vertAlign w:val="superscript"/>
              </w:rPr>
              <w:t>®</w:t>
            </w:r>
            <w:r>
              <w:rPr>
                <w:rFonts w:ascii="Arial Narrow" w:hAnsi="Arial Narrow"/>
                <w:sz w:val="20"/>
              </w:rPr>
              <w:t xml:space="preserve"> Respimat</w:t>
            </w:r>
            <w:r w:rsidRPr="006967A6">
              <w:rPr>
                <w:rFonts w:ascii="Arial Narrow" w:hAnsi="Arial Narrow"/>
                <w:sz w:val="20"/>
                <w:vertAlign w:val="superscript"/>
              </w:rPr>
              <w:t>®</w:t>
            </w:r>
          </w:p>
        </w:tc>
        <w:tc>
          <w:tcPr>
            <w:tcW w:w="1417" w:type="dxa"/>
          </w:tcPr>
          <w:p w:rsidR="00221C0E" w:rsidRPr="00260CE3" w:rsidRDefault="002729F9" w:rsidP="002729F9">
            <w:pPr>
              <w:keepNext/>
              <w:widowControl/>
              <w:rPr>
                <w:rFonts w:ascii="Arial Narrow" w:hAnsi="Arial Narrow"/>
                <w:sz w:val="20"/>
              </w:rPr>
            </w:pPr>
            <w:r>
              <w:rPr>
                <w:rFonts w:ascii="Arial Narrow" w:hAnsi="Arial Narrow"/>
                <w:sz w:val="20"/>
              </w:rPr>
              <w:t>Boehringer</w:t>
            </w:r>
            <w:r w:rsidR="00221C0E">
              <w:rPr>
                <w:rFonts w:ascii="Arial Narrow" w:hAnsi="Arial Narrow"/>
                <w:sz w:val="20"/>
              </w:rPr>
              <w:t xml:space="preserve"> Ingelheim</w:t>
            </w:r>
          </w:p>
        </w:tc>
      </w:tr>
      <w:tr w:rsidR="00221C0E" w:rsidRPr="00260CE3" w:rsidTr="00660E7C">
        <w:trPr>
          <w:cantSplit/>
          <w:trHeight w:val="360"/>
        </w:trPr>
        <w:tc>
          <w:tcPr>
            <w:tcW w:w="8363" w:type="dxa"/>
            <w:gridSpan w:val="6"/>
            <w:tcBorders>
              <w:bottom w:val="single" w:sz="4" w:space="0" w:color="auto"/>
            </w:tcBorders>
          </w:tcPr>
          <w:p w:rsidR="00221C0E" w:rsidRPr="00260CE3" w:rsidRDefault="00221C0E" w:rsidP="00660E7C">
            <w:pPr>
              <w:widowControl/>
              <w:rPr>
                <w:rFonts w:ascii="Arial Narrow" w:hAnsi="Arial Narrow"/>
                <w:sz w:val="20"/>
              </w:rPr>
            </w:pPr>
          </w:p>
        </w:tc>
      </w:tr>
      <w:tr w:rsidR="00221C0E" w:rsidRPr="00260CE3" w:rsidTr="00660E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sz w:val="20"/>
              </w:rPr>
            </w:pPr>
            <w:r w:rsidRPr="00260CE3">
              <w:rPr>
                <w:rFonts w:ascii="Arial Narrow" w:hAnsi="Arial Narrow"/>
                <w:sz w:val="20"/>
              </w:rPr>
              <w:t>GENERAL – General Schedule (Code GE)</w:t>
            </w:r>
          </w:p>
          <w:p w:rsidR="00221C0E" w:rsidRPr="00260CE3" w:rsidRDefault="00221C0E" w:rsidP="00660E7C">
            <w:pPr>
              <w:widowControl/>
              <w:rPr>
                <w:rFonts w:ascii="Arial Narrow" w:hAnsi="Arial Narrow"/>
                <w:sz w:val="20"/>
              </w:rPr>
            </w:pPr>
          </w:p>
        </w:tc>
      </w:tr>
      <w:tr w:rsidR="00221C0E" w:rsidRPr="00260CE3" w:rsidTr="00660E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21C0E" w:rsidRDefault="00221C0E" w:rsidP="00660E7C">
            <w:pPr>
              <w:widowControl/>
              <w:rPr>
                <w:rFonts w:ascii="Arial Narrow" w:hAnsi="Arial Narrow"/>
                <w:b/>
                <w:sz w:val="20"/>
              </w:rPr>
            </w:pPr>
            <w:r w:rsidRPr="00260CE3">
              <w:rPr>
                <w:rFonts w:ascii="Arial Narrow" w:hAnsi="Arial Narrow"/>
                <w:b/>
                <w:sz w:val="20"/>
              </w:rPr>
              <w:t>Prescriber type:</w:t>
            </w:r>
          </w:p>
          <w:p w:rsidR="00221C0E" w:rsidRPr="00260CE3" w:rsidRDefault="00221C0E" w:rsidP="00660E7C">
            <w:pPr>
              <w:widowControl/>
              <w:rPr>
                <w:rFonts w:ascii="Arial Narrow" w:hAnsi="Arial Narrow"/>
                <w:b/>
                <w:sz w:val="20"/>
              </w:rPr>
            </w:pPr>
          </w:p>
        </w:tc>
        <w:tc>
          <w:tcPr>
            <w:tcW w:w="5528" w:type="dxa"/>
            <w:gridSpan w:val="5"/>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221C0E" w:rsidRPr="00260CE3" w:rsidRDefault="00221C0E" w:rsidP="00660E7C">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21C0E" w:rsidRPr="00260CE3" w:rsidTr="00660E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sz w:val="20"/>
              </w:rPr>
            </w:pPr>
            <w:r>
              <w:rPr>
                <w:rFonts w:ascii="Arial Narrow" w:hAnsi="Arial Narrow"/>
                <w:sz w:val="20"/>
              </w:rPr>
              <w:t>Chronic obstructive pulmonary disease (COPD)</w:t>
            </w:r>
          </w:p>
        </w:tc>
      </w:tr>
      <w:tr w:rsidR="00221C0E" w:rsidRPr="00260CE3" w:rsidTr="00660E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sz w:val="20"/>
              </w:rPr>
            </w:pPr>
            <w:r>
              <w:rPr>
                <w:rFonts w:ascii="Arial Narrow" w:hAnsi="Arial Narrow"/>
                <w:sz w:val="20"/>
              </w:rPr>
              <w:t>Chronic obstructive pulmonary disease (COPD)</w:t>
            </w:r>
          </w:p>
        </w:tc>
      </w:tr>
      <w:tr w:rsidR="00221C0E" w:rsidRPr="00260CE3" w:rsidTr="00660E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21C0E" w:rsidRPr="006967A6" w:rsidRDefault="00221C0E" w:rsidP="00660E7C">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rsidR="00221C0E" w:rsidRPr="00106BCF" w:rsidRDefault="00221C0E" w:rsidP="00660E7C">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21C0E" w:rsidRPr="00106BCF" w:rsidRDefault="00221C0E" w:rsidP="00660E7C">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221C0E" w:rsidRPr="00106BCF" w:rsidRDefault="00221C0E" w:rsidP="00660E7C">
            <w:pPr>
              <w:widowControl/>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221C0E" w:rsidRPr="00106BCF" w:rsidRDefault="00221C0E" w:rsidP="00660E7C">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221C0E" w:rsidRPr="00106BCF" w:rsidRDefault="00221C0E" w:rsidP="00660E7C">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21C0E" w:rsidRPr="00260CE3" w:rsidRDefault="00221C0E" w:rsidP="00660E7C">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432EF8">
              <w:rPr>
                <w:rFonts w:ascii="Arial Narrow" w:hAnsi="Arial Narrow"/>
                <w:sz w:val="20"/>
              </w:rPr>
            </w:r>
            <w:r w:rsidR="00432EF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221C0E" w:rsidRPr="00260CE3" w:rsidTr="00660E7C">
        <w:trPr>
          <w:cantSplit/>
          <w:trHeight w:val="617"/>
        </w:trPr>
        <w:tc>
          <w:tcPr>
            <w:tcW w:w="2835" w:type="dxa"/>
            <w:tcBorders>
              <w:top w:val="single" w:sz="4" w:space="0" w:color="auto"/>
              <w:left w:val="single" w:sz="4" w:space="0" w:color="auto"/>
              <w:bottom w:val="single" w:sz="4" w:space="0" w:color="auto"/>
              <w:right w:val="single" w:sz="4" w:space="0" w:color="auto"/>
            </w:tcBorders>
          </w:tcPr>
          <w:p w:rsidR="00221C0E" w:rsidRPr="006967A6" w:rsidRDefault="00221C0E" w:rsidP="00660E7C">
            <w:pPr>
              <w:widowControl/>
              <w:rPr>
                <w:rFonts w:ascii="Arial Narrow" w:hAnsi="Arial Narrow"/>
                <w:b/>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221C0E" w:rsidRPr="00260CE3" w:rsidRDefault="00221C0E" w:rsidP="00660E7C">
            <w:pPr>
              <w:widowControl/>
              <w:rPr>
                <w:rFonts w:ascii="Arial Narrow" w:hAnsi="Arial Narrow"/>
                <w:sz w:val="20"/>
              </w:rPr>
            </w:pPr>
            <w:r w:rsidRPr="00B24CE8">
              <w:rPr>
                <w:rFonts w:ascii="Arial Narrow" w:hAnsi="Arial Narrow"/>
                <w:sz w:val="20"/>
              </w:rPr>
              <w:t>Patient must have been stabilised on a combination of a long acting muscarinic antagonist and long acting beta-2 agonist.</w:t>
            </w:r>
          </w:p>
        </w:tc>
      </w:tr>
      <w:tr w:rsidR="00221C0E" w:rsidRPr="00260CE3" w:rsidTr="00660E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221C0E" w:rsidRPr="006967A6" w:rsidRDefault="00221C0E" w:rsidP="00660E7C">
            <w:pPr>
              <w:widowControl/>
              <w:rPr>
                <w:rFonts w:ascii="Arial Narrow" w:hAnsi="Arial Narrow"/>
                <w:b/>
                <w:sz w:val="20"/>
              </w:rPr>
            </w:pPr>
            <w:r w:rsidRPr="00260CE3">
              <w:rPr>
                <w:rFonts w:ascii="Arial Narrow" w:hAnsi="Arial Narrow"/>
                <w:b/>
                <w:sz w:val="20"/>
              </w:rPr>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221C0E" w:rsidRDefault="00221C0E" w:rsidP="00660E7C">
            <w:pPr>
              <w:widowControl/>
              <w:rPr>
                <w:rFonts w:ascii="Arial Narrow" w:hAnsi="Arial Narrow"/>
                <w:sz w:val="20"/>
              </w:rPr>
            </w:pPr>
            <w:r w:rsidRPr="00B24CE8">
              <w:rPr>
                <w:rFonts w:ascii="Arial Narrow" w:hAnsi="Arial Narrow"/>
                <w:sz w:val="20"/>
              </w:rPr>
              <w:t>The treatment must not be used in combination with an ICS/LABA, or LAMA or LABA monotherapy.</w:t>
            </w:r>
          </w:p>
          <w:p w:rsidR="00221C0E" w:rsidRDefault="00221C0E" w:rsidP="00660E7C">
            <w:pPr>
              <w:widowControl/>
              <w:rPr>
                <w:rFonts w:ascii="Arial Narrow" w:hAnsi="Arial Narrow"/>
                <w:sz w:val="20"/>
              </w:rPr>
            </w:pPr>
          </w:p>
          <w:p w:rsidR="00221C0E" w:rsidRDefault="00221C0E" w:rsidP="00660E7C">
            <w:pPr>
              <w:widowControl/>
              <w:rPr>
                <w:rFonts w:ascii="Arial Narrow" w:hAnsi="Arial Narrow"/>
                <w:sz w:val="20"/>
              </w:rPr>
            </w:pPr>
            <w:r w:rsidRPr="00B24CE8">
              <w:rPr>
                <w:rFonts w:ascii="Arial Narrow" w:hAnsi="Arial Narrow"/>
                <w:sz w:val="20"/>
              </w:rPr>
              <w:t>A LAMA includes tiotropium, glycopyrronium, aclidinium or umeclidinium.</w:t>
            </w:r>
          </w:p>
          <w:p w:rsidR="00221C0E" w:rsidRDefault="00221C0E" w:rsidP="00660E7C">
            <w:pPr>
              <w:widowControl/>
              <w:rPr>
                <w:rFonts w:ascii="Arial Narrow" w:hAnsi="Arial Narrow"/>
                <w:sz w:val="20"/>
              </w:rPr>
            </w:pPr>
          </w:p>
          <w:p w:rsidR="00221C0E" w:rsidRDefault="00221C0E" w:rsidP="00660E7C">
            <w:pPr>
              <w:widowControl/>
              <w:rPr>
                <w:rFonts w:ascii="Arial Narrow" w:hAnsi="Arial Narrow"/>
                <w:sz w:val="20"/>
              </w:rPr>
            </w:pPr>
            <w:r w:rsidRPr="00B24CE8">
              <w:rPr>
                <w:rFonts w:ascii="Arial Narrow" w:hAnsi="Arial Narrow"/>
                <w:sz w:val="20"/>
              </w:rPr>
              <w:t>A LABA include</w:t>
            </w:r>
            <w:r w:rsidRPr="00221C0E">
              <w:rPr>
                <w:rFonts w:ascii="Arial Narrow" w:hAnsi="Arial Narrow"/>
                <w:sz w:val="20"/>
              </w:rPr>
              <w:t>s indacaterol, salmeterol, eformoterol, vilanterol or olodaterol.</w:t>
            </w:r>
          </w:p>
          <w:p w:rsidR="00221C0E" w:rsidRDefault="00221C0E" w:rsidP="00660E7C">
            <w:pPr>
              <w:widowControl/>
              <w:rPr>
                <w:rFonts w:ascii="Arial Narrow" w:hAnsi="Arial Narrow"/>
                <w:sz w:val="20"/>
              </w:rPr>
            </w:pPr>
          </w:p>
          <w:p w:rsidR="00221C0E" w:rsidRDefault="00221C0E" w:rsidP="00660E7C">
            <w:pPr>
              <w:widowControl/>
              <w:rPr>
                <w:rFonts w:ascii="Arial Narrow" w:hAnsi="Arial Narrow"/>
                <w:sz w:val="20"/>
              </w:rPr>
            </w:pPr>
            <w:r w:rsidRPr="00B24CE8">
              <w:rPr>
                <w:rFonts w:ascii="Arial Narrow" w:hAnsi="Arial Narrow"/>
                <w:sz w:val="20"/>
              </w:rPr>
              <w:t>This product is not PBS-subsidised for the treatment of asthma.</w:t>
            </w:r>
          </w:p>
          <w:p w:rsidR="00221C0E" w:rsidRDefault="00221C0E" w:rsidP="00660E7C">
            <w:pPr>
              <w:widowControl/>
              <w:rPr>
                <w:rFonts w:ascii="Arial Narrow" w:hAnsi="Arial Narrow"/>
                <w:sz w:val="20"/>
              </w:rPr>
            </w:pPr>
          </w:p>
          <w:p w:rsidR="00221C0E" w:rsidRPr="00260CE3" w:rsidRDefault="00221C0E" w:rsidP="00660E7C">
            <w:pPr>
              <w:widowControl/>
              <w:rPr>
                <w:rFonts w:ascii="Arial Narrow" w:hAnsi="Arial Narrow"/>
                <w:sz w:val="20"/>
              </w:rPr>
            </w:pPr>
            <w:r w:rsidRPr="00A557B3">
              <w:rPr>
                <w:rFonts w:ascii="Arial Narrow" w:hAnsi="Arial Narrow"/>
                <w:sz w:val="20"/>
              </w:rPr>
              <w:t>This product is not indicated for the initiation of bronchodilator therapy in COPD.</w:t>
            </w:r>
          </w:p>
        </w:tc>
      </w:tr>
    </w:tbl>
    <w:p w:rsidR="000B64DB" w:rsidRPr="00BD5113" w:rsidRDefault="000B64DB" w:rsidP="009E1F4A">
      <w:pPr>
        <w:widowControl/>
        <w:contextualSpacing/>
        <w:rPr>
          <w:bCs/>
          <w:szCs w:val="22"/>
        </w:rPr>
      </w:pPr>
    </w:p>
    <w:p w:rsidR="00BD5113" w:rsidRDefault="00BD5113" w:rsidP="009E1F4A">
      <w:pPr>
        <w:widowControl/>
        <w:contextualSpacing/>
        <w:rPr>
          <w:bCs/>
          <w:szCs w:val="22"/>
        </w:rPr>
      </w:pPr>
    </w:p>
    <w:p w:rsidR="00BD5113" w:rsidRPr="00AE36A8" w:rsidRDefault="00BD5113" w:rsidP="00BD5113">
      <w:pPr>
        <w:rPr>
          <w:b/>
          <w:bCs/>
          <w:szCs w:val="22"/>
          <w:lang w:val="en-GB" w:eastAsia="en-AU"/>
        </w:rPr>
      </w:pPr>
      <w:r>
        <w:rPr>
          <w:b/>
          <w:bCs/>
          <w:szCs w:val="22"/>
          <w:lang w:val="en-GB" w:eastAsia="en-AU"/>
        </w:rPr>
        <w:t>9</w:t>
      </w:r>
      <w:r>
        <w:rPr>
          <w:b/>
          <w:bCs/>
          <w:szCs w:val="22"/>
          <w:lang w:val="en-GB" w:eastAsia="en-AU"/>
        </w:rPr>
        <w:tab/>
      </w:r>
      <w:r w:rsidRPr="00AE36A8">
        <w:rPr>
          <w:b/>
          <w:bCs/>
          <w:szCs w:val="22"/>
          <w:lang w:val="en-GB" w:eastAsia="en-AU"/>
        </w:rPr>
        <w:t xml:space="preserve">Context for Decision </w:t>
      </w:r>
    </w:p>
    <w:p w:rsidR="00BD5113" w:rsidRPr="00AE36A8" w:rsidRDefault="00BD5113" w:rsidP="00BD5113">
      <w:pPr>
        <w:rPr>
          <w:szCs w:val="22"/>
        </w:rPr>
      </w:pPr>
    </w:p>
    <w:p w:rsidR="00BD5113" w:rsidRPr="006A0483" w:rsidRDefault="00BD5113" w:rsidP="00284020">
      <w:pPr>
        <w:ind w:left="720"/>
        <w:rPr>
          <w:szCs w:val="22"/>
        </w:rPr>
      </w:pPr>
      <w:r w:rsidRPr="0026778F">
        <w:rPr>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w:t>
      </w:r>
      <w:r w:rsidRPr="002D197B">
        <w:rPr>
          <w:szCs w:val="22"/>
        </w:rPr>
        <w:t>the merits of the medicine. A company can resubmit to the PBAC or seek independent review of the PBAC decision.</w:t>
      </w:r>
    </w:p>
    <w:p w:rsidR="00BD5113" w:rsidRDefault="00BD5113" w:rsidP="00BD5113">
      <w:pPr>
        <w:rPr>
          <w:szCs w:val="22"/>
        </w:rPr>
      </w:pPr>
    </w:p>
    <w:p w:rsidR="00BD5113" w:rsidRPr="00410DAE" w:rsidRDefault="00BD5113" w:rsidP="00BD5113">
      <w:pPr>
        <w:rPr>
          <w:szCs w:val="22"/>
        </w:rPr>
      </w:pPr>
    </w:p>
    <w:p w:rsidR="00BD5113" w:rsidRPr="00410DAE" w:rsidRDefault="00BD5113" w:rsidP="00BD5113">
      <w:pPr>
        <w:rPr>
          <w:b/>
          <w:szCs w:val="22"/>
        </w:rPr>
      </w:pPr>
      <w:r>
        <w:rPr>
          <w:b/>
          <w:szCs w:val="22"/>
        </w:rPr>
        <w:t>10</w:t>
      </w:r>
      <w:r>
        <w:rPr>
          <w:b/>
          <w:szCs w:val="22"/>
        </w:rPr>
        <w:tab/>
      </w:r>
      <w:r w:rsidRPr="00AE36A8">
        <w:rPr>
          <w:b/>
          <w:szCs w:val="22"/>
        </w:rPr>
        <w:t xml:space="preserve"> Sponsor’s Comment</w:t>
      </w:r>
    </w:p>
    <w:p w:rsidR="00BD5113" w:rsidRDefault="00BD5113" w:rsidP="009E1F4A">
      <w:pPr>
        <w:widowControl/>
        <w:contextualSpacing/>
        <w:rPr>
          <w:bCs/>
          <w:szCs w:val="22"/>
        </w:rPr>
      </w:pPr>
    </w:p>
    <w:p w:rsidR="00284020" w:rsidRPr="00BD5113" w:rsidRDefault="00284020" w:rsidP="009E1F4A">
      <w:pPr>
        <w:widowControl/>
        <w:contextualSpacing/>
        <w:rPr>
          <w:bCs/>
          <w:szCs w:val="22"/>
        </w:rPr>
      </w:pPr>
      <w:r>
        <w:rPr>
          <w:bCs/>
          <w:szCs w:val="22"/>
        </w:rPr>
        <w:tab/>
        <w:t>The sponsor had no comment.</w:t>
      </w:r>
    </w:p>
    <w:sectPr w:rsidR="00284020" w:rsidRPr="00BD5113" w:rsidSect="0025601D">
      <w:headerReference w:type="default" r:id="rId10"/>
      <w:footerReference w:type="default" r:id="rId11"/>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38" w:rsidRDefault="00962738" w:rsidP="00124A51">
      <w:r>
        <w:separator/>
      </w:r>
    </w:p>
  </w:endnote>
  <w:endnote w:type="continuationSeparator" w:id="0">
    <w:p w:rsidR="00962738" w:rsidRDefault="0096273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4" w:rsidRPr="00D13A3E" w:rsidRDefault="00473994" w:rsidP="00015886">
    <w:pPr>
      <w:ind w:right="360"/>
      <w:jc w:val="center"/>
      <w:rPr>
        <w:b/>
        <w:sz w:val="20"/>
      </w:rPr>
    </w:pPr>
  </w:p>
  <w:p w:rsidR="00473994" w:rsidRPr="000B64DB" w:rsidRDefault="00473994" w:rsidP="000B64DB">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432EF8">
      <w:rPr>
        <w:noProof/>
        <w:sz w:val="20"/>
      </w:rPr>
      <w:t>1</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38" w:rsidRDefault="00962738" w:rsidP="00124A51">
      <w:r>
        <w:separator/>
      </w:r>
    </w:p>
  </w:footnote>
  <w:footnote w:type="continuationSeparator" w:id="0">
    <w:p w:rsidR="00962738" w:rsidRDefault="00962738"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4" w:rsidRPr="00DF217D" w:rsidRDefault="00473994" w:rsidP="000B64DB">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473994" w:rsidRPr="008C7ECB" w:rsidRDefault="00473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009"/>
    <w:multiLevelType w:val="hybridMultilevel"/>
    <w:tmpl w:val="82FA4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426A5"/>
    <w:multiLevelType w:val="hybridMultilevel"/>
    <w:tmpl w:val="59B04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CC119C"/>
    <w:multiLevelType w:val="hybridMultilevel"/>
    <w:tmpl w:val="6DB09A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FA5292"/>
    <w:multiLevelType w:val="multilevel"/>
    <w:tmpl w:val="2AF439A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BD5761"/>
    <w:multiLevelType w:val="hybridMultilevel"/>
    <w:tmpl w:val="FBB2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476A4C"/>
    <w:multiLevelType w:val="hybridMultilevel"/>
    <w:tmpl w:val="212AC18C"/>
    <w:lvl w:ilvl="0" w:tplc="8EBC42E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895B10"/>
    <w:multiLevelType w:val="hybridMultilevel"/>
    <w:tmpl w:val="5AD4CA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2891F64"/>
    <w:multiLevelType w:val="multilevel"/>
    <w:tmpl w:val="2AF439A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E54177"/>
    <w:multiLevelType w:val="hybridMultilevel"/>
    <w:tmpl w:val="6DD86D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7D97A05"/>
    <w:multiLevelType w:val="hybridMultilevel"/>
    <w:tmpl w:val="B9602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DC2EB2"/>
    <w:multiLevelType w:val="hybridMultilevel"/>
    <w:tmpl w:val="2580F1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nsid w:val="2D2050C0"/>
    <w:multiLevelType w:val="multilevel"/>
    <w:tmpl w:val="2AF439A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630F69"/>
    <w:multiLevelType w:val="hybridMultilevel"/>
    <w:tmpl w:val="7E0876D0"/>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3679028F"/>
    <w:multiLevelType w:val="hybridMultilevel"/>
    <w:tmpl w:val="82FA4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F45B80"/>
    <w:multiLevelType w:val="multilevel"/>
    <w:tmpl w:val="2AF439A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B7C34E2"/>
    <w:multiLevelType w:val="hybridMultilevel"/>
    <w:tmpl w:val="BEC40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3EBE458E"/>
    <w:multiLevelType w:val="hybridMultilevel"/>
    <w:tmpl w:val="3A902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40F400EE"/>
    <w:multiLevelType w:val="multilevel"/>
    <w:tmpl w:val="89AAE548"/>
    <w:lvl w:ilvl="0">
      <w:start w:val="1"/>
      <w:numFmt w:val="bullet"/>
      <w:lvlText w:val=""/>
      <w:lvlJc w:val="left"/>
      <w:pPr>
        <w:ind w:left="720" w:hanging="720"/>
      </w:pPr>
      <w:rPr>
        <w:rFonts w:ascii="Symbol" w:hAnsi="Symbol" w:hint="default"/>
        <w:b/>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070470"/>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4F1F207F"/>
    <w:multiLevelType w:val="hybridMultilevel"/>
    <w:tmpl w:val="BA68D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C11F15"/>
    <w:multiLevelType w:val="hybridMultilevel"/>
    <w:tmpl w:val="7CF43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CD163E"/>
    <w:multiLevelType w:val="hybridMultilevel"/>
    <w:tmpl w:val="9B661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4D033C"/>
    <w:multiLevelType w:val="multilevel"/>
    <w:tmpl w:val="0974FD4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6"/>
  </w:num>
  <w:num w:numId="3">
    <w:abstractNumId w:val="20"/>
  </w:num>
  <w:num w:numId="4">
    <w:abstractNumId w:val="25"/>
  </w:num>
  <w:num w:numId="5">
    <w:abstractNumId w:val="19"/>
  </w:num>
  <w:num w:numId="6">
    <w:abstractNumId w:val="24"/>
  </w:num>
  <w:num w:numId="7">
    <w:abstractNumId w:val="1"/>
  </w:num>
  <w:num w:numId="8">
    <w:abstractNumId w:val="17"/>
  </w:num>
  <w:num w:numId="9">
    <w:abstractNumId w:val="9"/>
  </w:num>
  <w:num w:numId="10">
    <w:abstractNumId w:val="23"/>
  </w:num>
  <w:num w:numId="11">
    <w:abstractNumId w:val="2"/>
  </w:num>
  <w:num w:numId="12">
    <w:abstractNumId w:val="21"/>
  </w:num>
  <w:num w:numId="13">
    <w:abstractNumId w:val="10"/>
  </w:num>
  <w:num w:numId="14">
    <w:abstractNumId w:val="4"/>
  </w:num>
  <w:num w:numId="15">
    <w:abstractNumId w:val="11"/>
  </w:num>
  <w:num w:numId="16">
    <w:abstractNumId w:val="14"/>
  </w:num>
  <w:num w:numId="17">
    <w:abstractNumId w:val="7"/>
  </w:num>
  <w:num w:numId="18">
    <w:abstractNumId w:val="0"/>
  </w:num>
  <w:num w:numId="19">
    <w:abstractNumId w:val="13"/>
  </w:num>
  <w:num w:numId="20">
    <w:abstractNumId w:val="3"/>
  </w:num>
  <w:num w:numId="21">
    <w:abstractNumId w:val="18"/>
  </w:num>
  <w:num w:numId="22">
    <w:abstractNumId w:val="6"/>
  </w:num>
  <w:num w:numId="23">
    <w:abstractNumId w:val="15"/>
  </w:num>
  <w:num w:numId="24">
    <w:abstractNumId w:val="8"/>
  </w:num>
  <w:num w:numId="25">
    <w:abstractNumId w:val="12"/>
  </w:num>
  <w:num w:numId="26">
    <w:abstractNumId w:val="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9C"/>
    <w:rsid w:val="00000790"/>
    <w:rsid w:val="0000110B"/>
    <w:rsid w:val="00003499"/>
    <w:rsid w:val="00005A9C"/>
    <w:rsid w:val="0001154D"/>
    <w:rsid w:val="000115B9"/>
    <w:rsid w:val="00013247"/>
    <w:rsid w:val="00015886"/>
    <w:rsid w:val="000162EF"/>
    <w:rsid w:val="00020D06"/>
    <w:rsid w:val="00020F4C"/>
    <w:rsid w:val="0002225F"/>
    <w:rsid w:val="00022E68"/>
    <w:rsid w:val="00023763"/>
    <w:rsid w:val="00023DC2"/>
    <w:rsid w:val="00026D65"/>
    <w:rsid w:val="00031808"/>
    <w:rsid w:val="00031A7E"/>
    <w:rsid w:val="000322B9"/>
    <w:rsid w:val="00034823"/>
    <w:rsid w:val="000367E7"/>
    <w:rsid w:val="00036F43"/>
    <w:rsid w:val="0003782A"/>
    <w:rsid w:val="00040895"/>
    <w:rsid w:val="0004168D"/>
    <w:rsid w:val="000429DB"/>
    <w:rsid w:val="00043C37"/>
    <w:rsid w:val="000446D7"/>
    <w:rsid w:val="00044B6A"/>
    <w:rsid w:val="00053905"/>
    <w:rsid w:val="000546D7"/>
    <w:rsid w:val="00054C70"/>
    <w:rsid w:val="000629C9"/>
    <w:rsid w:val="00062A59"/>
    <w:rsid w:val="00071248"/>
    <w:rsid w:val="000720B9"/>
    <w:rsid w:val="00073004"/>
    <w:rsid w:val="00073D3A"/>
    <w:rsid w:val="000745B9"/>
    <w:rsid w:val="00075D48"/>
    <w:rsid w:val="000812CA"/>
    <w:rsid w:val="00086B63"/>
    <w:rsid w:val="00090C7E"/>
    <w:rsid w:val="000A0340"/>
    <w:rsid w:val="000A147A"/>
    <w:rsid w:val="000A53EA"/>
    <w:rsid w:val="000B0CA4"/>
    <w:rsid w:val="000B4E4F"/>
    <w:rsid w:val="000B56B0"/>
    <w:rsid w:val="000B64DB"/>
    <w:rsid w:val="000C1659"/>
    <w:rsid w:val="000C74D6"/>
    <w:rsid w:val="000D1BFC"/>
    <w:rsid w:val="000D1D6F"/>
    <w:rsid w:val="000D4A26"/>
    <w:rsid w:val="000D4A3A"/>
    <w:rsid w:val="000D6783"/>
    <w:rsid w:val="000D6A3E"/>
    <w:rsid w:val="000F4BB8"/>
    <w:rsid w:val="000F7127"/>
    <w:rsid w:val="00100F8A"/>
    <w:rsid w:val="00105721"/>
    <w:rsid w:val="0011032E"/>
    <w:rsid w:val="0011348B"/>
    <w:rsid w:val="00116FDE"/>
    <w:rsid w:val="00121799"/>
    <w:rsid w:val="001222FC"/>
    <w:rsid w:val="00124A51"/>
    <w:rsid w:val="00126621"/>
    <w:rsid w:val="00127624"/>
    <w:rsid w:val="001301E9"/>
    <w:rsid w:val="001329C6"/>
    <w:rsid w:val="00134189"/>
    <w:rsid w:val="00137645"/>
    <w:rsid w:val="0014015A"/>
    <w:rsid w:val="00140E99"/>
    <w:rsid w:val="001431D4"/>
    <w:rsid w:val="00144CC2"/>
    <w:rsid w:val="001454F8"/>
    <w:rsid w:val="00145540"/>
    <w:rsid w:val="001456B0"/>
    <w:rsid w:val="001466FC"/>
    <w:rsid w:val="00154476"/>
    <w:rsid w:val="00157130"/>
    <w:rsid w:val="00162809"/>
    <w:rsid w:val="00162913"/>
    <w:rsid w:val="00163EFF"/>
    <w:rsid w:val="001661FB"/>
    <w:rsid w:val="001809C3"/>
    <w:rsid w:val="0018752F"/>
    <w:rsid w:val="001877C5"/>
    <w:rsid w:val="00195222"/>
    <w:rsid w:val="001975D8"/>
    <w:rsid w:val="00197A4D"/>
    <w:rsid w:val="001A10FC"/>
    <w:rsid w:val="001A1ABA"/>
    <w:rsid w:val="001A4C31"/>
    <w:rsid w:val="001A4FB1"/>
    <w:rsid w:val="001A7D7B"/>
    <w:rsid w:val="001B1086"/>
    <w:rsid w:val="001B1CBB"/>
    <w:rsid w:val="001B3443"/>
    <w:rsid w:val="001C6D98"/>
    <w:rsid w:val="001C6E66"/>
    <w:rsid w:val="001C7498"/>
    <w:rsid w:val="001D3BFE"/>
    <w:rsid w:val="001D5070"/>
    <w:rsid w:val="001D507A"/>
    <w:rsid w:val="001D706A"/>
    <w:rsid w:val="001E238E"/>
    <w:rsid w:val="001E2B1E"/>
    <w:rsid w:val="001E52EB"/>
    <w:rsid w:val="001E71C8"/>
    <w:rsid w:val="001E740C"/>
    <w:rsid w:val="001F1235"/>
    <w:rsid w:val="001F1CB3"/>
    <w:rsid w:val="001F7361"/>
    <w:rsid w:val="00202320"/>
    <w:rsid w:val="0020384C"/>
    <w:rsid w:val="0020385F"/>
    <w:rsid w:val="002067BE"/>
    <w:rsid w:val="00207021"/>
    <w:rsid w:val="00207D00"/>
    <w:rsid w:val="002105C1"/>
    <w:rsid w:val="00214C72"/>
    <w:rsid w:val="00215A74"/>
    <w:rsid w:val="00217226"/>
    <w:rsid w:val="00221C0E"/>
    <w:rsid w:val="00222E4E"/>
    <w:rsid w:val="00223B49"/>
    <w:rsid w:val="00224CDA"/>
    <w:rsid w:val="00224DD4"/>
    <w:rsid w:val="002309CC"/>
    <w:rsid w:val="00233AF1"/>
    <w:rsid w:val="002344D0"/>
    <w:rsid w:val="002418D6"/>
    <w:rsid w:val="0024271E"/>
    <w:rsid w:val="00243A30"/>
    <w:rsid w:val="00245A86"/>
    <w:rsid w:val="00246D11"/>
    <w:rsid w:val="00254AFF"/>
    <w:rsid w:val="00254DCF"/>
    <w:rsid w:val="0025534B"/>
    <w:rsid w:val="00255BB7"/>
    <w:rsid w:val="0025601D"/>
    <w:rsid w:val="00262A87"/>
    <w:rsid w:val="00265EE9"/>
    <w:rsid w:val="00266885"/>
    <w:rsid w:val="0026694D"/>
    <w:rsid w:val="002729F9"/>
    <w:rsid w:val="00273729"/>
    <w:rsid w:val="00275C5A"/>
    <w:rsid w:val="002775BF"/>
    <w:rsid w:val="00281014"/>
    <w:rsid w:val="00282A7B"/>
    <w:rsid w:val="0028327E"/>
    <w:rsid w:val="00284020"/>
    <w:rsid w:val="00285593"/>
    <w:rsid w:val="002866B3"/>
    <w:rsid w:val="00291F7D"/>
    <w:rsid w:val="00294EBE"/>
    <w:rsid w:val="00297889"/>
    <w:rsid w:val="002A14AB"/>
    <w:rsid w:val="002A3803"/>
    <w:rsid w:val="002B0CD6"/>
    <w:rsid w:val="002B1C1F"/>
    <w:rsid w:val="002B432F"/>
    <w:rsid w:val="002B46E4"/>
    <w:rsid w:val="002B6C7F"/>
    <w:rsid w:val="002B6CCE"/>
    <w:rsid w:val="002C1218"/>
    <w:rsid w:val="002C2775"/>
    <w:rsid w:val="002C27C1"/>
    <w:rsid w:val="002C7D8D"/>
    <w:rsid w:val="002D2A77"/>
    <w:rsid w:val="002D2EEB"/>
    <w:rsid w:val="002D3C3F"/>
    <w:rsid w:val="002D4383"/>
    <w:rsid w:val="002D7C99"/>
    <w:rsid w:val="002E6890"/>
    <w:rsid w:val="002E7075"/>
    <w:rsid w:val="00301017"/>
    <w:rsid w:val="00303352"/>
    <w:rsid w:val="0030786C"/>
    <w:rsid w:val="0031031A"/>
    <w:rsid w:val="00310981"/>
    <w:rsid w:val="00311AE4"/>
    <w:rsid w:val="00315498"/>
    <w:rsid w:val="003222A9"/>
    <w:rsid w:val="0032324D"/>
    <w:rsid w:val="00324425"/>
    <w:rsid w:val="0033006A"/>
    <w:rsid w:val="00330B68"/>
    <w:rsid w:val="00330DFC"/>
    <w:rsid w:val="00332289"/>
    <w:rsid w:val="003366C9"/>
    <w:rsid w:val="003371B0"/>
    <w:rsid w:val="00344BA3"/>
    <w:rsid w:val="0035104B"/>
    <w:rsid w:val="0035447A"/>
    <w:rsid w:val="0035620E"/>
    <w:rsid w:val="00357B5F"/>
    <w:rsid w:val="00373645"/>
    <w:rsid w:val="003750E4"/>
    <w:rsid w:val="00375549"/>
    <w:rsid w:val="00375964"/>
    <w:rsid w:val="00375EBF"/>
    <w:rsid w:val="00376192"/>
    <w:rsid w:val="003768DA"/>
    <w:rsid w:val="00380558"/>
    <w:rsid w:val="00382EC4"/>
    <w:rsid w:val="0038365C"/>
    <w:rsid w:val="00386815"/>
    <w:rsid w:val="0039673F"/>
    <w:rsid w:val="00396C56"/>
    <w:rsid w:val="00396FD0"/>
    <w:rsid w:val="003979C9"/>
    <w:rsid w:val="003A08AA"/>
    <w:rsid w:val="003A1A7A"/>
    <w:rsid w:val="003A2B7B"/>
    <w:rsid w:val="003C29D5"/>
    <w:rsid w:val="003C551C"/>
    <w:rsid w:val="003C56E4"/>
    <w:rsid w:val="003C5F9C"/>
    <w:rsid w:val="003D1828"/>
    <w:rsid w:val="003D2422"/>
    <w:rsid w:val="003D295D"/>
    <w:rsid w:val="003D48AD"/>
    <w:rsid w:val="003E0FC5"/>
    <w:rsid w:val="003E4003"/>
    <w:rsid w:val="003F4156"/>
    <w:rsid w:val="003F57E1"/>
    <w:rsid w:val="0040233D"/>
    <w:rsid w:val="00407497"/>
    <w:rsid w:val="00410708"/>
    <w:rsid w:val="00410EC7"/>
    <w:rsid w:val="00412716"/>
    <w:rsid w:val="00414476"/>
    <w:rsid w:val="00414BAE"/>
    <w:rsid w:val="00415065"/>
    <w:rsid w:val="00416D32"/>
    <w:rsid w:val="004178ED"/>
    <w:rsid w:val="00420091"/>
    <w:rsid w:val="00420B9F"/>
    <w:rsid w:val="00420D8C"/>
    <w:rsid w:val="00427542"/>
    <w:rsid w:val="004319F8"/>
    <w:rsid w:val="00432EF8"/>
    <w:rsid w:val="00433044"/>
    <w:rsid w:val="00442101"/>
    <w:rsid w:val="004422D6"/>
    <w:rsid w:val="00442AEB"/>
    <w:rsid w:val="00443E81"/>
    <w:rsid w:val="004443A7"/>
    <w:rsid w:val="004464EB"/>
    <w:rsid w:val="00455D45"/>
    <w:rsid w:val="00464595"/>
    <w:rsid w:val="00465351"/>
    <w:rsid w:val="00466052"/>
    <w:rsid w:val="00470837"/>
    <w:rsid w:val="00472546"/>
    <w:rsid w:val="00472701"/>
    <w:rsid w:val="00472921"/>
    <w:rsid w:val="00473994"/>
    <w:rsid w:val="004806D1"/>
    <w:rsid w:val="00482C21"/>
    <w:rsid w:val="004858AF"/>
    <w:rsid w:val="004867E2"/>
    <w:rsid w:val="004914C0"/>
    <w:rsid w:val="00491B3A"/>
    <w:rsid w:val="00491F43"/>
    <w:rsid w:val="00492CFD"/>
    <w:rsid w:val="004962D2"/>
    <w:rsid w:val="004A0DA1"/>
    <w:rsid w:val="004A3B72"/>
    <w:rsid w:val="004A4EA4"/>
    <w:rsid w:val="004A6597"/>
    <w:rsid w:val="004B0D6D"/>
    <w:rsid w:val="004B1CB4"/>
    <w:rsid w:val="004B2F18"/>
    <w:rsid w:val="004B3DDB"/>
    <w:rsid w:val="004B44FD"/>
    <w:rsid w:val="004B5CFC"/>
    <w:rsid w:val="004B72C7"/>
    <w:rsid w:val="004C054E"/>
    <w:rsid w:val="004C4AED"/>
    <w:rsid w:val="004D2223"/>
    <w:rsid w:val="004E0EB8"/>
    <w:rsid w:val="004E2ADC"/>
    <w:rsid w:val="004E41D5"/>
    <w:rsid w:val="004E43B2"/>
    <w:rsid w:val="004E5C36"/>
    <w:rsid w:val="004F12AB"/>
    <w:rsid w:val="004F1D02"/>
    <w:rsid w:val="004F2679"/>
    <w:rsid w:val="004F4B29"/>
    <w:rsid w:val="004F7012"/>
    <w:rsid w:val="004F7865"/>
    <w:rsid w:val="004F7C1E"/>
    <w:rsid w:val="00502829"/>
    <w:rsid w:val="00504BDE"/>
    <w:rsid w:val="00506928"/>
    <w:rsid w:val="00506CEC"/>
    <w:rsid w:val="005152B5"/>
    <w:rsid w:val="005163EF"/>
    <w:rsid w:val="005172E9"/>
    <w:rsid w:val="00521319"/>
    <w:rsid w:val="00522C04"/>
    <w:rsid w:val="00523C28"/>
    <w:rsid w:val="0052431B"/>
    <w:rsid w:val="0053165C"/>
    <w:rsid w:val="00532311"/>
    <w:rsid w:val="00534812"/>
    <w:rsid w:val="0053522B"/>
    <w:rsid w:val="00535287"/>
    <w:rsid w:val="00535C2B"/>
    <w:rsid w:val="0054692C"/>
    <w:rsid w:val="00552BD3"/>
    <w:rsid w:val="0055474B"/>
    <w:rsid w:val="00554AF7"/>
    <w:rsid w:val="00555109"/>
    <w:rsid w:val="00555F0E"/>
    <w:rsid w:val="0055635B"/>
    <w:rsid w:val="0055677A"/>
    <w:rsid w:val="00564B9E"/>
    <w:rsid w:val="0056696F"/>
    <w:rsid w:val="005708A1"/>
    <w:rsid w:val="00575D8D"/>
    <w:rsid w:val="00576972"/>
    <w:rsid w:val="00581523"/>
    <w:rsid w:val="00583699"/>
    <w:rsid w:val="00585C81"/>
    <w:rsid w:val="00590377"/>
    <w:rsid w:val="00591085"/>
    <w:rsid w:val="00593AA1"/>
    <w:rsid w:val="00595A45"/>
    <w:rsid w:val="00597DCB"/>
    <w:rsid w:val="005A5DC1"/>
    <w:rsid w:val="005B0B76"/>
    <w:rsid w:val="005B5857"/>
    <w:rsid w:val="005C1B83"/>
    <w:rsid w:val="005C33A9"/>
    <w:rsid w:val="005C346B"/>
    <w:rsid w:val="005D044D"/>
    <w:rsid w:val="005D15CE"/>
    <w:rsid w:val="005D18AD"/>
    <w:rsid w:val="005D1927"/>
    <w:rsid w:val="005D6A82"/>
    <w:rsid w:val="005E18A9"/>
    <w:rsid w:val="005E29C9"/>
    <w:rsid w:val="005E4695"/>
    <w:rsid w:val="005E662F"/>
    <w:rsid w:val="005E73C0"/>
    <w:rsid w:val="005F0080"/>
    <w:rsid w:val="005F2706"/>
    <w:rsid w:val="005F5567"/>
    <w:rsid w:val="005F6A8F"/>
    <w:rsid w:val="005F7E1E"/>
    <w:rsid w:val="00601A8E"/>
    <w:rsid w:val="00607669"/>
    <w:rsid w:val="00612F97"/>
    <w:rsid w:val="00614CF3"/>
    <w:rsid w:val="00616802"/>
    <w:rsid w:val="00617E12"/>
    <w:rsid w:val="00621477"/>
    <w:rsid w:val="00624E0A"/>
    <w:rsid w:val="00625B31"/>
    <w:rsid w:val="00630496"/>
    <w:rsid w:val="00631D6B"/>
    <w:rsid w:val="006326D2"/>
    <w:rsid w:val="0063479F"/>
    <w:rsid w:val="00636103"/>
    <w:rsid w:val="006364A1"/>
    <w:rsid w:val="00636C25"/>
    <w:rsid w:val="00637BFD"/>
    <w:rsid w:val="006428C4"/>
    <w:rsid w:val="006471CC"/>
    <w:rsid w:val="0065034C"/>
    <w:rsid w:val="0065079F"/>
    <w:rsid w:val="006545E7"/>
    <w:rsid w:val="00654A6F"/>
    <w:rsid w:val="00656347"/>
    <w:rsid w:val="0065714A"/>
    <w:rsid w:val="00660E7C"/>
    <w:rsid w:val="006731DC"/>
    <w:rsid w:val="0067424E"/>
    <w:rsid w:val="00674E42"/>
    <w:rsid w:val="006761D6"/>
    <w:rsid w:val="006764E9"/>
    <w:rsid w:val="006807BB"/>
    <w:rsid w:val="00682112"/>
    <w:rsid w:val="00684D08"/>
    <w:rsid w:val="0068554F"/>
    <w:rsid w:val="006872BA"/>
    <w:rsid w:val="00690D3B"/>
    <w:rsid w:val="006917D7"/>
    <w:rsid w:val="00694F44"/>
    <w:rsid w:val="006A5832"/>
    <w:rsid w:val="006A64BC"/>
    <w:rsid w:val="006A7C2B"/>
    <w:rsid w:val="006B0357"/>
    <w:rsid w:val="006C149B"/>
    <w:rsid w:val="006C2A8E"/>
    <w:rsid w:val="006C4BAB"/>
    <w:rsid w:val="006C6B49"/>
    <w:rsid w:val="006C72D7"/>
    <w:rsid w:val="006D0996"/>
    <w:rsid w:val="006D3C7D"/>
    <w:rsid w:val="006D5D5F"/>
    <w:rsid w:val="006E3D06"/>
    <w:rsid w:val="006E4E9A"/>
    <w:rsid w:val="006F6145"/>
    <w:rsid w:val="006F63A5"/>
    <w:rsid w:val="00701D61"/>
    <w:rsid w:val="0070276E"/>
    <w:rsid w:val="00702868"/>
    <w:rsid w:val="00702F8F"/>
    <w:rsid w:val="0070482A"/>
    <w:rsid w:val="00704EEF"/>
    <w:rsid w:val="00711A36"/>
    <w:rsid w:val="00711ACC"/>
    <w:rsid w:val="007162F5"/>
    <w:rsid w:val="007170C3"/>
    <w:rsid w:val="007172AD"/>
    <w:rsid w:val="00717BC1"/>
    <w:rsid w:val="0072267F"/>
    <w:rsid w:val="007236B1"/>
    <w:rsid w:val="0072416F"/>
    <w:rsid w:val="0072485E"/>
    <w:rsid w:val="00727992"/>
    <w:rsid w:val="00731FE2"/>
    <w:rsid w:val="00735328"/>
    <w:rsid w:val="0073685B"/>
    <w:rsid w:val="00740212"/>
    <w:rsid w:val="0074139B"/>
    <w:rsid w:val="00741692"/>
    <w:rsid w:val="00744432"/>
    <w:rsid w:val="00751000"/>
    <w:rsid w:val="00751CD0"/>
    <w:rsid w:val="00753E2C"/>
    <w:rsid w:val="00762A1B"/>
    <w:rsid w:val="00766CE4"/>
    <w:rsid w:val="0077034B"/>
    <w:rsid w:val="007708BA"/>
    <w:rsid w:val="00771335"/>
    <w:rsid w:val="00774B79"/>
    <w:rsid w:val="00796BFA"/>
    <w:rsid w:val="007A0165"/>
    <w:rsid w:val="007A0A12"/>
    <w:rsid w:val="007A509C"/>
    <w:rsid w:val="007A5825"/>
    <w:rsid w:val="007A5868"/>
    <w:rsid w:val="007A5C72"/>
    <w:rsid w:val="007B1E65"/>
    <w:rsid w:val="007B251D"/>
    <w:rsid w:val="007B3690"/>
    <w:rsid w:val="007B519B"/>
    <w:rsid w:val="007B77D1"/>
    <w:rsid w:val="007B7B6B"/>
    <w:rsid w:val="007C0E2A"/>
    <w:rsid w:val="007C10D9"/>
    <w:rsid w:val="007C361D"/>
    <w:rsid w:val="007C509C"/>
    <w:rsid w:val="007C6B7B"/>
    <w:rsid w:val="007D03BA"/>
    <w:rsid w:val="007D0B38"/>
    <w:rsid w:val="007D3FE1"/>
    <w:rsid w:val="007D474D"/>
    <w:rsid w:val="007D4CCB"/>
    <w:rsid w:val="007E3E20"/>
    <w:rsid w:val="007F1017"/>
    <w:rsid w:val="007F26B4"/>
    <w:rsid w:val="007F3959"/>
    <w:rsid w:val="007F4A3F"/>
    <w:rsid w:val="0080064B"/>
    <w:rsid w:val="00800BDB"/>
    <w:rsid w:val="00805142"/>
    <w:rsid w:val="00807692"/>
    <w:rsid w:val="00807A8B"/>
    <w:rsid w:val="00812149"/>
    <w:rsid w:val="00812547"/>
    <w:rsid w:val="00814DED"/>
    <w:rsid w:val="008166EF"/>
    <w:rsid w:val="00816B38"/>
    <w:rsid w:val="008222A3"/>
    <w:rsid w:val="008237ED"/>
    <w:rsid w:val="00824B3F"/>
    <w:rsid w:val="008264EB"/>
    <w:rsid w:val="00826570"/>
    <w:rsid w:val="00826DA4"/>
    <w:rsid w:val="00827660"/>
    <w:rsid w:val="00833B05"/>
    <w:rsid w:val="008379DE"/>
    <w:rsid w:val="008402D1"/>
    <w:rsid w:val="00840CA2"/>
    <w:rsid w:val="00847E1F"/>
    <w:rsid w:val="00856E9A"/>
    <w:rsid w:val="00862502"/>
    <w:rsid w:val="00870CF8"/>
    <w:rsid w:val="00882874"/>
    <w:rsid w:val="00883787"/>
    <w:rsid w:val="00885849"/>
    <w:rsid w:val="00894489"/>
    <w:rsid w:val="008963A5"/>
    <w:rsid w:val="008A3C3E"/>
    <w:rsid w:val="008A79DE"/>
    <w:rsid w:val="008B2548"/>
    <w:rsid w:val="008B2FF8"/>
    <w:rsid w:val="008B7D7E"/>
    <w:rsid w:val="008C5483"/>
    <w:rsid w:val="008C5576"/>
    <w:rsid w:val="008C6517"/>
    <w:rsid w:val="008C7ECB"/>
    <w:rsid w:val="008D0E59"/>
    <w:rsid w:val="008D3906"/>
    <w:rsid w:val="008D5929"/>
    <w:rsid w:val="008D6C9F"/>
    <w:rsid w:val="008D75E7"/>
    <w:rsid w:val="008E1B85"/>
    <w:rsid w:val="008E1B9E"/>
    <w:rsid w:val="008F120A"/>
    <w:rsid w:val="008F2319"/>
    <w:rsid w:val="008F3EA1"/>
    <w:rsid w:val="008F48EB"/>
    <w:rsid w:val="008F4F0B"/>
    <w:rsid w:val="008F5088"/>
    <w:rsid w:val="00900548"/>
    <w:rsid w:val="00900555"/>
    <w:rsid w:val="00903158"/>
    <w:rsid w:val="00903F77"/>
    <w:rsid w:val="009062A5"/>
    <w:rsid w:val="00911272"/>
    <w:rsid w:val="009145F3"/>
    <w:rsid w:val="00914B08"/>
    <w:rsid w:val="00925DF0"/>
    <w:rsid w:val="00925EA5"/>
    <w:rsid w:val="00927FB0"/>
    <w:rsid w:val="0093012D"/>
    <w:rsid w:val="009321BE"/>
    <w:rsid w:val="00936F2E"/>
    <w:rsid w:val="00944B36"/>
    <w:rsid w:val="009468EA"/>
    <w:rsid w:val="00955872"/>
    <w:rsid w:val="00957A3C"/>
    <w:rsid w:val="00960199"/>
    <w:rsid w:val="00962738"/>
    <w:rsid w:val="00962CB9"/>
    <w:rsid w:val="00964312"/>
    <w:rsid w:val="009805FD"/>
    <w:rsid w:val="009824F1"/>
    <w:rsid w:val="00983E57"/>
    <w:rsid w:val="009841A2"/>
    <w:rsid w:val="009911B6"/>
    <w:rsid w:val="00996B1A"/>
    <w:rsid w:val="009A221E"/>
    <w:rsid w:val="009B3C4B"/>
    <w:rsid w:val="009B3E26"/>
    <w:rsid w:val="009B4D90"/>
    <w:rsid w:val="009C32D4"/>
    <w:rsid w:val="009D10C5"/>
    <w:rsid w:val="009D1EC7"/>
    <w:rsid w:val="009D227A"/>
    <w:rsid w:val="009D5B91"/>
    <w:rsid w:val="009E1635"/>
    <w:rsid w:val="009E1C86"/>
    <w:rsid w:val="009E1F4A"/>
    <w:rsid w:val="009E21E4"/>
    <w:rsid w:val="009E4C07"/>
    <w:rsid w:val="009E5731"/>
    <w:rsid w:val="009E7136"/>
    <w:rsid w:val="009F3A8F"/>
    <w:rsid w:val="009F3D82"/>
    <w:rsid w:val="009F5DFA"/>
    <w:rsid w:val="00A01C3D"/>
    <w:rsid w:val="00A03D43"/>
    <w:rsid w:val="00A0420C"/>
    <w:rsid w:val="00A04380"/>
    <w:rsid w:val="00A13948"/>
    <w:rsid w:val="00A16362"/>
    <w:rsid w:val="00A21F1F"/>
    <w:rsid w:val="00A24459"/>
    <w:rsid w:val="00A25EED"/>
    <w:rsid w:val="00A27AEC"/>
    <w:rsid w:val="00A3314B"/>
    <w:rsid w:val="00A35D16"/>
    <w:rsid w:val="00A365B6"/>
    <w:rsid w:val="00A374D1"/>
    <w:rsid w:val="00A426B3"/>
    <w:rsid w:val="00A43C59"/>
    <w:rsid w:val="00A45915"/>
    <w:rsid w:val="00A45BE9"/>
    <w:rsid w:val="00A47044"/>
    <w:rsid w:val="00A50ECD"/>
    <w:rsid w:val="00A5203F"/>
    <w:rsid w:val="00A52406"/>
    <w:rsid w:val="00A52729"/>
    <w:rsid w:val="00A535A3"/>
    <w:rsid w:val="00A53675"/>
    <w:rsid w:val="00A55272"/>
    <w:rsid w:val="00A56552"/>
    <w:rsid w:val="00A56B6A"/>
    <w:rsid w:val="00A578DC"/>
    <w:rsid w:val="00A57A61"/>
    <w:rsid w:val="00A62ACB"/>
    <w:rsid w:val="00A6725B"/>
    <w:rsid w:val="00A70175"/>
    <w:rsid w:val="00A72F65"/>
    <w:rsid w:val="00A7359D"/>
    <w:rsid w:val="00A7782B"/>
    <w:rsid w:val="00A80263"/>
    <w:rsid w:val="00A84689"/>
    <w:rsid w:val="00A86E8B"/>
    <w:rsid w:val="00A87DBC"/>
    <w:rsid w:val="00A87F14"/>
    <w:rsid w:val="00A90CFF"/>
    <w:rsid w:val="00A93072"/>
    <w:rsid w:val="00A9568C"/>
    <w:rsid w:val="00A959D8"/>
    <w:rsid w:val="00A97A53"/>
    <w:rsid w:val="00AA32F7"/>
    <w:rsid w:val="00AB042A"/>
    <w:rsid w:val="00AB2D34"/>
    <w:rsid w:val="00AB3430"/>
    <w:rsid w:val="00AB7CFA"/>
    <w:rsid w:val="00AC116E"/>
    <w:rsid w:val="00AC20C4"/>
    <w:rsid w:val="00AC2FBD"/>
    <w:rsid w:val="00AD10AE"/>
    <w:rsid w:val="00AD13C9"/>
    <w:rsid w:val="00AD7503"/>
    <w:rsid w:val="00AE0C54"/>
    <w:rsid w:val="00AE2B90"/>
    <w:rsid w:val="00AE4074"/>
    <w:rsid w:val="00AF20F0"/>
    <w:rsid w:val="00B04E68"/>
    <w:rsid w:val="00B04F86"/>
    <w:rsid w:val="00B07180"/>
    <w:rsid w:val="00B21374"/>
    <w:rsid w:val="00B246B3"/>
    <w:rsid w:val="00B2656C"/>
    <w:rsid w:val="00B32D2D"/>
    <w:rsid w:val="00B401C3"/>
    <w:rsid w:val="00B4051D"/>
    <w:rsid w:val="00B42851"/>
    <w:rsid w:val="00B44E36"/>
    <w:rsid w:val="00B4535E"/>
    <w:rsid w:val="00B50B26"/>
    <w:rsid w:val="00B50DB8"/>
    <w:rsid w:val="00B53905"/>
    <w:rsid w:val="00B54B5B"/>
    <w:rsid w:val="00B5504C"/>
    <w:rsid w:val="00B5562E"/>
    <w:rsid w:val="00B57000"/>
    <w:rsid w:val="00B60939"/>
    <w:rsid w:val="00B60AB1"/>
    <w:rsid w:val="00B60AFD"/>
    <w:rsid w:val="00B62715"/>
    <w:rsid w:val="00B63691"/>
    <w:rsid w:val="00B651C9"/>
    <w:rsid w:val="00B66859"/>
    <w:rsid w:val="00B76326"/>
    <w:rsid w:val="00B818A4"/>
    <w:rsid w:val="00B8649C"/>
    <w:rsid w:val="00B86CAA"/>
    <w:rsid w:val="00B92D0B"/>
    <w:rsid w:val="00B930BC"/>
    <w:rsid w:val="00B94945"/>
    <w:rsid w:val="00BA08C1"/>
    <w:rsid w:val="00BA20ED"/>
    <w:rsid w:val="00BA5245"/>
    <w:rsid w:val="00BA7EAE"/>
    <w:rsid w:val="00BB4542"/>
    <w:rsid w:val="00BB7405"/>
    <w:rsid w:val="00BC70F7"/>
    <w:rsid w:val="00BD5113"/>
    <w:rsid w:val="00BD6721"/>
    <w:rsid w:val="00BD6CF3"/>
    <w:rsid w:val="00BE2180"/>
    <w:rsid w:val="00BE4275"/>
    <w:rsid w:val="00BF0A25"/>
    <w:rsid w:val="00BF2433"/>
    <w:rsid w:val="00BF61C9"/>
    <w:rsid w:val="00C0428C"/>
    <w:rsid w:val="00C04936"/>
    <w:rsid w:val="00C04B1D"/>
    <w:rsid w:val="00C218DD"/>
    <w:rsid w:val="00C25418"/>
    <w:rsid w:val="00C25D9C"/>
    <w:rsid w:val="00C31529"/>
    <w:rsid w:val="00C31649"/>
    <w:rsid w:val="00C3726A"/>
    <w:rsid w:val="00C40385"/>
    <w:rsid w:val="00C518BA"/>
    <w:rsid w:val="00C5310F"/>
    <w:rsid w:val="00C56A34"/>
    <w:rsid w:val="00C614C9"/>
    <w:rsid w:val="00C63D7D"/>
    <w:rsid w:val="00C63FB9"/>
    <w:rsid w:val="00C65576"/>
    <w:rsid w:val="00C66165"/>
    <w:rsid w:val="00C66F4E"/>
    <w:rsid w:val="00C706CA"/>
    <w:rsid w:val="00C750C8"/>
    <w:rsid w:val="00C767EE"/>
    <w:rsid w:val="00C8213F"/>
    <w:rsid w:val="00C8579E"/>
    <w:rsid w:val="00C8797A"/>
    <w:rsid w:val="00C901AC"/>
    <w:rsid w:val="00C90A04"/>
    <w:rsid w:val="00C92AF9"/>
    <w:rsid w:val="00C92F3D"/>
    <w:rsid w:val="00C938CF"/>
    <w:rsid w:val="00C96BDA"/>
    <w:rsid w:val="00CA3768"/>
    <w:rsid w:val="00CA42F2"/>
    <w:rsid w:val="00CA5245"/>
    <w:rsid w:val="00CA7B09"/>
    <w:rsid w:val="00CB1945"/>
    <w:rsid w:val="00CB5B1A"/>
    <w:rsid w:val="00CB6389"/>
    <w:rsid w:val="00CB789A"/>
    <w:rsid w:val="00CC026A"/>
    <w:rsid w:val="00CC2A81"/>
    <w:rsid w:val="00CC57F1"/>
    <w:rsid w:val="00CC584C"/>
    <w:rsid w:val="00CD6433"/>
    <w:rsid w:val="00CD6ADC"/>
    <w:rsid w:val="00CE0100"/>
    <w:rsid w:val="00CE6274"/>
    <w:rsid w:val="00CE710B"/>
    <w:rsid w:val="00CF17C5"/>
    <w:rsid w:val="00CF456B"/>
    <w:rsid w:val="00CF5A22"/>
    <w:rsid w:val="00D015A2"/>
    <w:rsid w:val="00D02550"/>
    <w:rsid w:val="00D0262E"/>
    <w:rsid w:val="00D110BD"/>
    <w:rsid w:val="00D1331A"/>
    <w:rsid w:val="00D17191"/>
    <w:rsid w:val="00D17D6C"/>
    <w:rsid w:val="00D2272A"/>
    <w:rsid w:val="00D231D4"/>
    <w:rsid w:val="00D236F7"/>
    <w:rsid w:val="00D23719"/>
    <w:rsid w:val="00D24D3A"/>
    <w:rsid w:val="00D357FF"/>
    <w:rsid w:val="00D4047F"/>
    <w:rsid w:val="00D412F7"/>
    <w:rsid w:val="00D43363"/>
    <w:rsid w:val="00D437FB"/>
    <w:rsid w:val="00D43DB8"/>
    <w:rsid w:val="00D50C0D"/>
    <w:rsid w:val="00D76A44"/>
    <w:rsid w:val="00D76CC5"/>
    <w:rsid w:val="00D82785"/>
    <w:rsid w:val="00D83D32"/>
    <w:rsid w:val="00D842CE"/>
    <w:rsid w:val="00D84A0A"/>
    <w:rsid w:val="00D93753"/>
    <w:rsid w:val="00D93EB5"/>
    <w:rsid w:val="00D94164"/>
    <w:rsid w:val="00DA3B8B"/>
    <w:rsid w:val="00DA54AF"/>
    <w:rsid w:val="00DA77A5"/>
    <w:rsid w:val="00DB75D9"/>
    <w:rsid w:val="00DC0C74"/>
    <w:rsid w:val="00DC5501"/>
    <w:rsid w:val="00DC6CA3"/>
    <w:rsid w:val="00DD10A2"/>
    <w:rsid w:val="00DD3F28"/>
    <w:rsid w:val="00DD4537"/>
    <w:rsid w:val="00DD462C"/>
    <w:rsid w:val="00DD4E15"/>
    <w:rsid w:val="00DD598F"/>
    <w:rsid w:val="00DE34A1"/>
    <w:rsid w:val="00DE4FCB"/>
    <w:rsid w:val="00DF1216"/>
    <w:rsid w:val="00DF456D"/>
    <w:rsid w:val="00DF5D2B"/>
    <w:rsid w:val="00DF6E01"/>
    <w:rsid w:val="00E007B5"/>
    <w:rsid w:val="00E02232"/>
    <w:rsid w:val="00E10149"/>
    <w:rsid w:val="00E16372"/>
    <w:rsid w:val="00E202B1"/>
    <w:rsid w:val="00E20ED6"/>
    <w:rsid w:val="00E21029"/>
    <w:rsid w:val="00E21358"/>
    <w:rsid w:val="00E2249B"/>
    <w:rsid w:val="00E22A0D"/>
    <w:rsid w:val="00E2771E"/>
    <w:rsid w:val="00E302C4"/>
    <w:rsid w:val="00E31D2D"/>
    <w:rsid w:val="00E360C6"/>
    <w:rsid w:val="00E36FF5"/>
    <w:rsid w:val="00E3711A"/>
    <w:rsid w:val="00E37569"/>
    <w:rsid w:val="00E4100B"/>
    <w:rsid w:val="00E41E30"/>
    <w:rsid w:val="00E43D70"/>
    <w:rsid w:val="00E43F4A"/>
    <w:rsid w:val="00E465F3"/>
    <w:rsid w:val="00E47B2C"/>
    <w:rsid w:val="00E51560"/>
    <w:rsid w:val="00E55424"/>
    <w:rsid w:val="00E5596E"/>
    <w:rsid w:val="00E55BB5"/>
    <w:rsid w:val="00E636C9"/>
    <w:rsid w:val="00E63EE9"/>
    <w:rsid w:val="00E65E79"/>
    <w:rsid w:val="00E67416"/>
    <w:rsid w:val="00E718B6"/>
    <w:rsid w:val="00E73581"/>
    <w:rsid w:val="00E7406C"/>
    <w:rsid w:val="00E76414"/>
    <w:rsid w:val="00E76675"/>
    <w:rsid w:val="00E83BDF"/>
    <w:rsid w:val="00E84F44"/>
    <w:rsid w:val="00E84F92"/>
    <w:rsid w:val="00E859DE"/>
    <w:rsid w:val="00E97E31"/>
    <w:rsid w:val="00EA05A8"/>
    <w:rsid w:val="00EA0E5A"/>
    <w:rsid w:val="00EA2F57"/>
    <w:rsid w:val="00EA3864"/>
    <w:rsid w:val="00EA4ABC"/>
    <w:rsid w:val="00EB15B6"/>
    <w:rsid w:val="00EB26D5"/>
    <w:rsid w:val="00EB4916"/>
    <w:rsid w:val="00EC00C9"/>
    <w:rsid w:val="00EC21F9"/>
    <w:rsid w:val="00ED2010"/>
    <w:rsid w:val="00ED2C45"/>
    <w:rsid w:val="00EE07D3"/>
    <w:rsid w:val="00EE2B79"/>
    <w:rsid w:val="00EE4476"/>
    <w:rsid w:val="00EF1D13"/>
    <w:rsid w:val="00EF1FBD"/>
    <w:rsid w:val="00EF4059"/>
    <w:rsid w:val="00EF4951"/>
    <w:rsid w:val="00F0068D"/>
    <w:rsid w:val="00F042CE"/>
    <w:rsid w:val="00F067A2"/>
    <w:rsid w:val="00F070C7"/>
    <w:rsid w:val="00F11A29"/>
    <w:rsid w:val="00F13FE1"/>
    <w:rsid w:val="00F218B7"/>
    <w:rsid w:val="00F24837"/>
    <w:rsid w:val="00F2575F"/>
    <w:rsid w:val="00F268B5"/>
    <w:rsid w:val="00F308FE"/>
    <w:rsid w:val="00F33DE9"/>
    <w:rsid w:val="00F35A4F"/>
    <w:rsid w:val="00F3619A"/>
    <w:rsid w:val="00F36AFC"/>
    <w:rsid w:val="00F4426D"/>
    <w:rsid w:val="00F46CB6"/>
    <w:rsid w:val="00F50836"/>
    <w:rsid w:val="00F53B62"/>
    <w:rsid w:val="00F548A3"/>
    <w:rsid w:val="00F55E73"/>
    <w:rsid w:val="00F56456"/>
    <w:rsid w:val="00F60092"/>
    <w:rsid w:val="00F64BED"/>
    <w:rsid w:val="00F67B67"/>
    <w:rsid w:val="00F67DB7"/>
    <w:rsid w:val="00F76206"/>
    <w:rsid w:val="00F765A7"/>
    <w:rsid w:val="00F80190"/>
    <w:rsid w:val="00F80E5D"/>
    <w:rsid w:val="00F851CE"/>
    <w:rsid w:val="00F85F44"/>
    <w:rsid w:val="00F97A78"/>
    <w:rsid w:val="00FA24E7"/>
    <w:rsid w:val="00FB10E0"/>
    <w:rsid w:val="00FB2FCB"/>
    <w:rsid w:val="00FB49D8"/>
    <w:rsid w:val="00FB4D51"/>
    <w:rsid w:val="00FC1074"/>
    <w:rsid w:val="00FC14DD"/>
    <w:rsid w:val="00FC1884"/>
    <w:rsid w:val="00FC32D2"/>
    <w:rsid w:val="00FC78F0"/>
    <w:rsid w:val="00FD1DF6"/>
    <w:rsid w:val="00FD2100"/>
    <w:rsid w:val="00FD446D"/>
    <w:rsid w:val="00FD46C4"/>
    <w:rsid w:val="00FD5A22"/>
    <w:rsid w:val="00FD6FFC"/>
    <w:rsid w:val="00FD781A"/>
    <w:rsid w:val="00FE505B"/>
    <w:rsid w:val="00FF3CFC"/>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BA08C1"/>
    <w:rPr>
      <w:rFonts w:ascii="Arial" w:hAnsi="Arial" w:cs="Arial"/>
      <w:snapToGrid w:val="0"/>
      <w:sz w:val="22"/>
      <w:lang w:eastAsia="en-US"/>
    </w:rPr>
  </w:style>
  <w:style w:type="character" w:customStyle="1" w:styleId="jrnl">
    <w:name w:val="jrnl"/>
    <w:basedOn w:val="DefaultParagraphFont"/>
    <w:rsid w:val="00202320"/>
  </w:style>
  <w:style w:type="paragraph" w:customStyle="1" w:styleId="tabletext1">
    <w:name w:val="table text"/>
    <w:basedOn w:val="Normal"/>
    <w:rsid w:val="0024271E"/>
    <w:pPr>
      <w:keepNext/>
      <w:widowControl/>
      <w:jc w:val="left"/>
    </w:pPr>
    <w:rPr>
      <w:snapToGrid/>
      <w:color w:val="000000"/>
      <w:sz w:val="20"/>
      <w:lang w:eastAsia="en-AU"/>
    </w:rPr>
  </w:style>
  <w:style w:type="paragraph" w:customStyle="1" w:styleId="TableText2">
    <w:name w:val="Table Text"/>
    <w:basedOn w:val="Normal"/>
    <w:rsid w:val="0024271E"/>
    <w:pPr>
      <w:widowControl/>
      <w:jc w:val="left"/>
    </w:pPr>
    <w:rPr>
      <w:rFonts w:cs="Times New Roman"/>
      <w:snapToGrid/>
      <w:sz w:val="20"/>
      <w:szCs w:val="22"/>
      <w:lang w:eastAsia="en-AU"/>
    </w:rPr>
  </w:style>
  <w:style w:type="character" w:customStyle="1" w:styleId="TableTextChar0">
    <w:name w:val="TableText Char"/>
    <w:basedOn w:val="DefaultParagraphFont"/>
    <w:link w:val="TableText0"/>
    <w:locked/>
    <w:rsid w:val="00CB6389"/>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841A2"/>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740212"/>
    <w:rPr>
      <w:sz w:val="20"/>
    </w:rPr>
  </w:style>
  <w:style w:type="character" w:customStyle="1" w:styleId="FootnoteTextChar">
    <w:name w:val="Footnote Text Char"/>
    <w:basedOn w:val="DefaultParagraphFont"/>
    <w:link w:val="FootnoteText"/>
    <w:semiHidden/>
    <w:rsid w:val="00740212"/>
    <w:rPr>
      <w:rFonts w:ascii="Arial" w:hAnsi="Arial" w:cs="Arial"/>
      <w:snapToGrid w:val="0"/>
      <w:lang w:eastAsia="en-US"/>
    </w:rPr>
  </w:style>
  <w:style w:type="character" w:styleId="FootnoteReference">
    <w:name w:val="footnote reference"/>
    <w:basedOn w:val="DefaultParagraphFont"/>
    <w:semiHidden/>
    <w:unhideWhenUsed/>
    <w:rsid w:val="007402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BA08C1"/>
    <w:rPr>
      <w:rFonts w:ascii="Arial" w:hAnsi="Arial" w:cs="Arial"/>
      <w:snapToGrid w:val="0"/>
      <w:sz w:val="22"/>
      <w:lang w:eastAsia="en-US"/>
    </w:rPr>
  </w:style>
  <w:style w:type="character" w:customStyle="1" w:styleId="jrnl">
    <w:name w:val="jrnl"/>
    <w:basedOn w:val="DefaultParagraphFont"/>
    <w:rsid w:val="00202320"/>
  </w:style>
  <w:style w:type="paragraph" w:customStyle="1" w:styleId="tabletext1">
    <w:name w:val="table text"/>
    <w:basedOn w:val="Normal"/>
    <w:rsid w:val="0024271E"/>
    <w:pPr>
      <w:keepNext/>
      <w:widowControl/>
      <w:jc w:val="left"/>
    </w:pPr>
    <w:rPr>
      <w:snapToGrid/>
      <w:color w:val="000000"/>
      <w:sz w:val="20"/>
      <w:lang w:eastAsia="en-AU"/>
    </w:rPr>
  </w:style>
  <w:style w:type="paragraph" w:customStyle="1" w:styleId="TableText2">
    <w:name w:val="Table Text"/>
    <w:basedOn w:val="Normal"/>
    <w:rsid w:val="0024271E"/>
    <w:pPr>
      <w:widowControl/>
      <w:jc w:val="left"/>
    </w:pPr>
    <w:rPr>
      <w:rFonts w:cs="Times New Roman"/>
      <w:snapToGrid/>
      <w:sz w:val="20"/>
      <w:szCs w:val="22"/>
      <w:lang w:eastAsia="en-AU"/>
    </w:rPr>
  </w:style>
  <w:style w:type="character" w:customStyle="1" w:styleId="TableTextChar0">
    <w:name w:val="TableText Char"/>
    <w:basedOn w:val="DefaultParagraphFont"/>
    <w:link w:val="TableText0"/>
    <w:locked/>
    <w:rsid w:val="00CB6389"/>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841A2"/>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740212"/>
    <w:rPr>
      <w:sz w:val="20"/>
    </w:rPr>
  </w:style>
  <w:style w:type="character" w:customStyle="1" w:styleId="FootnoteTextChar">
    <w:name w:val="Footnote Text Char"/>
    <w:basedOn w:val="DefaultParagraphFont"/>
    <w:link w:val="FootnoteText"/>
    <w:semiHidden/>
    <w:rsid w:val="00740212"/>
    <w:rPr>
      <w:rFonts w:ascii="Arial" w:hAnsi="Arial" w:cs="Arial"/>
      <w:snapToGrid w:val="0"/>
      <w:lang w:eastAsia="en-US"/>
    </w:rPr>
  </w:style>
  <w:style w:type="character" w:styleId="FootnoteReference">
    <w:name w:val="footnote reference"/>
    <w:basedOn w:val="DefaultParagraphFont"/>
    <w:semiHidden/>
    <w:unhideWhenUsed/>
    <w:rsid w:val="00740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9329">
      <w:bodyDiv w:val="1"/>
      <w:marLeft w:val="0"/>
      <w:marRight w:val="0"/>
      <w:marTop w:val="0"/>
      <w:marBottom w:val="0"/>
      <w:divBdr>
        <w:top w:val="none" w:sz="0" w:space="0" w:color="auto"/>
        <w:left w:val="none" w:sz="0" w:space="0" w:color="auto"/>
        <w:bottom w:val="none" w:sz="0" w:space="0" w:color="auto"/>
        <w:right w:val="none" w:sz="0" w:space="0" w:color="auto"/>
      </w:divBdr>
    </w:div>
    <w:div w:id="177626332">
      <w:bodyDiv w:val="1"/>
      <w:marLeft w:val="0"/>
      <w:marRight w:val="0"/>
      <w:marTop w:val="0"/>
      <w:marBottom w:val="0"/>
      <w:divBdr>
        <w:top w:val="none" w:sz="0" w:space="0" w:color="auto"/>
        <w:left w:val="none" w:sz="0" w:space="0" w:color="auto"/>
        <w:bottom w:val="none" w:sz="0" w:space="0" w:color="auto"/>
        <w:right w:val="none" w:sz="0" w:space="0" w:color="auto"/>
      </w:divBdr>
    </w:div>
    <w:div w:id="252935889">
      <w:bodyDiv w:val="1"/>
      <w:marLeft w:val="0"/>
      <w:marRight w:val="0"/>
      <w:marTop w:val="0"/>
      <w:marBottom w:val="0"/>
      <w:divBdr>
        <w:top w:val="none" w:sz="0" w:space="0" w:color="auto"/>
        <w:left w:val="none" w:sz="0" w:space="0" w:color="auto"/>
        <w:bottom w:val="none" w:sz="0" w:space="0" w:color="auto"/>
        <w:right w:val="none" w:sz="0" w:space="0" w:color="auto"/>
      </w:divBdr>
    </w:div>
    <w:div w:id="263806206">
      <w:bodyDiv w:val="1"/>
      <w:marLeft w:val="0"/>
      <w:marRight w:val="0"/>
      <w:marTop w:val="0"/>
      <w:marBottom w:val="0"/>
      <w:divBdr>
        <w:top w:val="none" w:sz="0" w:space="0" w:color="auto"/>
        <w:left w:val="none" w:sz="0" w:space="0" w:color="auto"/>
        <w:bottom w:val="none" w:sz="0" w:space="0" w:color="auto"/>
        <w:right w:val="none" w:sz="0" w:space="0" w:color="auto"/>
      </w:divBdr>
    </w:div>
    <w:div w:id="448545282">
      <w:bodyDiv w:val="1"/>
      <w:marLeft w:val="0"/>
      <w:marRight w:val="0"/>
      <w:marTop w:val="0"/>
      <w:marBottom w:val="0"/>
      <w:divBdr>
        <w:top w:val="none" w:sz="0" w:space="0" w:color="auto"/>
        <w:left w:val="none" w:sz="0" w:space="0" w:color="auto"/>
        <w:bottom w:val="none" w:sz="0" w:space="0" w:color="auto"/>
        <w:right w:val="none" w:sz="0" w:space="0" w:color="auto"/>
      </w:divBdr>
    </w:div>
    <w:div w:id="485897814">
      <w:bodyDiv w:val="1"/>
      <w:marLeft w:val="0"/>
      <w:marRight w:val="0"/>
      <w:marTop w:val="0"/>
      <w:marBottom w:val="0"/>
      <w:divBdr>
        <w:top w:val="none" w:sz="0" w:space="0" w:color="auto"/>
        <w:left w:val="none" w:sz="0" w:space="0" w:color="auto"/>
        <w:bottom w:val="none" w:sz="0" w:space="0" w:color="auto"/>
        <w:right w:val="none" w:sz="0" w:space="0" w:color="auto"/>
      </w:divBdr>
    </w:div>
    <w:div w:id="572855170">
      <w:bodyDiv w:val="1"/>
      <w:marLeft w:val="0"/>
      <w:marRight w:val="0"/>
      <w:marTop w:val="0"/>
      <w:marBottom w:val="0"/>
      <w:divBdr>
        <w:top w:val="none" w:sz="0" w:space="0" w:color="auto"/>
        <w:left w:val="none" w:sz="0" w:space="0" w:color="auto"/>
        <w:bottom w:val="none" w:sz="0" w:space="0" w:color="auto"/>
        <w:right w:val="none" w:sz="0" w:space="0" w:color="auto"/>
      </w:divBdr>
    </w:div>
    <w:div w:id="578177029">
      <w:bodyDiv w:val="1"/>
      <w:marLeft w:val="0"/>
      <w:marRight w:val="0"/>
      <w:marTop w:val="0"/>
      <w:marBottom w:val="0"/>
      <w:divBdr>
        <w:top w:val="none" w:sz="0" w:space="0" w:color="auto"/>
        <w:left w:val="none" w:sz="0" w:space="0" w:color="auto"/>
        <w:bottom w:val="none" w:sz="0" w:space="0" w:color="auto"/>
        <w:right w:val="none" w:sz="0" w:space="0" w:color="auto"/>
      </w:divBdr>
    </w:div>
    <w:div w:id="580870466">
      <w:bodyDiv w:val="1"/>
      <w:marLeft w:val="0"/>
      <w:marRight w:val="0"/>
      <w:marTop w:val="0"/>
      <w:marBottom w:val="0"/>
      <w:divBdr>
        <w:top w:val="none" w:sz="0" w:space="0" w:color="auto"/>
        <w:left w:val="none" w:sz="0" w:space="0" w:color="auto"/>
        <w:bottom w:val="none" w:sz="0" w:space="0" w:color="auto"/>
        <w:right w:val="none" w:sz="0" w:space="0" w:color="auto"/>
      </w:divBdr>
    </w:div>
    <w:div w:id="584532752">
      <w:bodyDiv w:val="1"/>
      <w:marLeft w:val="0"/>
      <w:marRight w:val="0"/>
      <w:marTop w:val="0"/>
      <w:marBottom w:val="0"/>
      <w:divBdr>
        <w:top w:val="none" w:sz="0" w:space="0" w:color="auto"/>
        <w:left w:val="none" w:sz="0" w:space="0" w:color="auto"/>
        <w:bottom w:val="none" w:sz="0" w:space="0" w:color="auto"/>
        <w:right w:val="none" w:sz="0" w:space="0" w:color="auto"/>
      </w:divBdr>
    </w:div>
    <w:div w:id="586958431">
      <w:bodyDiv w:val="1"/>
      <w:marLeft w:val="0"/>
      <w:marRight w:val="0"/>
      <w:marTop w:val="0"/>
      <w:marBottom w:val="0"/>
      <w:divBdr>
        <w:top w:val="none" w:sz="0" w:space="0" w:color="auto"/>
        <w:left w:val="none" w:sz="0" w:space="0" w:color="auto"/>
        <w:bottom w:val="none" w:sz="0" w:space="0" w:color="auto"/>
        <w:right w:val="none" w:sz="0" w:space="0" w:color="auto"/>
      </w:divBdr>
    </w:div>
    <w:div w:id="588470322">
      <w:bodyDiv w:val="1"/>
      <w:marLeft w:val="0"/>
      <w:marRight w:val="0"/>
      <w:marTop w:val="0"/>
      <w:marBottom w:val="0"/>
      <w:divBdr>
        <w:top w:val="none" w:sz="0" w:space="0" w:color="auto"/>
        <w:left w:val="none" w:sz="0" w:space="0" w:color="auto"/>
        <w:bottom w:val="none" w:sz="0" w:space="0" w:color="auto"/>
        <w:right w:val="none" w:sz="0" w:space="0" w:color="auto"/>
      </w:divBdr>
    </w:div>
    <w:div w:id="592281557">
      <w:bodyDiv w:val="1"/>
      <w:marLeft w:val="0"/>
      <w:marRight w:val="0"/>
      <w:marTop w:val="0"/>
      <w:marBottom w:val="0"/>
      <w:divBdr>
        <w:top w:val="none" w:sz="0" w:space="0" w:color="auto"/>
        <w:left w:val="none" w:sz="0" w:space="0" w:color="auto"/>
        <w:bottom w:val="none" w:sz="0" w:space="0" w:color="auto"/>
        <w:right w:val="none" w:sz="0" w:space="0" w:color="auto"/>
      </w:divBdr>
    </w:div>
    <w:div w:id="648632877">
      <w:bodyDiv w:val="1"/>
      <w:marLeft w:val="0"/>
      <w:marRight w:val="0"/>
      <w:marTop w:val="0"/>
      <w:marBottom w:val="0"/>
      <w:divBdr>
        <w:top w:val="none" w:sz="0" w:space="0" w:color="auto"/>
        <w:left w:val="none" w:sz="0" w:space="0" w:color="auto"/>
        <w:bottom w:val="none" w:sz="0" w:space="0" w:color="auto"/>
        <w:right w:val="none" w:sz="0" w:space="0" w:color="auto"/>
      </w:divBdr>
    </w:div>
    <w:div w:id="678240698">
      <w:bodyDiv w:val="1"/>
      <w:marLeft w:val="0"/>
      <w:marRight w:val="0"/>
      <w:marTop w:val="0"/>
      <w:marBottom w:val="0"/>
      <w:divBdr>
        <w:top w:val="none" w:sz="0" w:space="0" w:color="auto"/>
        <w:left w:val="none" w:sz="0" w:space="0" w:color="auto"/>
        <w:bottom w:val="none" w:sz="0" w:space="0" w:color="auto"/>
        <w:right w:val="none" w:sz="0" w:space="0" w:color="auto"/>
      </w:divBdr>
    </w:div>
    <w:div w:id="741485785">
      <w:bodyDiv w:val="1"/>
      <w:marLeft w:val="0"/>
      <w:marRight w:val="0"/>
      <w:marTop w:val="0"/>
      <w:marBottom w:val="0"/>
      <w:divBdr>
        <w:top w:val="none" w:sz="0" w:space="0" w:color="auto"/>
        <w:left w:val="none" w:sz="0" w:space="0" w:color="auto"/>
        <w:bottom w:val="none" w:sz="0" w:space="0" w:color="auto"/>
        <w:right w:val="none" w:sz="0" w:space="0" w:color="auto"/>
      </w:divBdr>
    </w:div>
    <w:div w:id="767502311">
      <w:bodyDiv w:val="1"/>
      <w:marLeft w:val="0"/>
      <w:marRight w:val="0"/>
      <w:marTop w:val="0"/>
      <w:marBottom w:val="0"/>
      <w:divBdr>
        <w:top w:val="none" w:sz="0" w:space="0" w:color="auto"/>
        <w:left w:val="none" w:sz="0" w:space="0" w:color="auto"/>
        <w:bottom w:val="none" w:sz="0" w:space="0" w:color="auto"/>
        <w:right w:val="none" w:sz="0" w:space="0" w:color="auto"/>
      </w:divBdr>
    </w:div>
    <w:div w:id="799348237">
      <w:bodyDiv w:val="1"/>
      <w:marLeft w:val="0"/>
      <w:marRight w:val="0"/>
      <w:marTop w:val="0"/>
      <w:marBottom w:val="0"/>
      <w:divBdr>
        <w:top w:val="none" w:sz="0" w:space="0" w:color="auto"/>
        <w:left w:val="none" w:sz="0" w:space="0" w:color="auto"/>
        <w:bottom w:val="none" w:sz="0" w:space="0" w:color="auto"/>
        <w:right w:val="none" w:sz="0" w:space="0" w:color="auto"/>
      </w:divBdr>
    </w:div>
    <w:div w:id="817764804">
      <w:bodyDiv w:val="1"/>
      <w:marLeft w:val="0"/>
      <w:marRight w:val="0"/>
      <w:marTop w:val="0"/>
      <w:marBottom w:val="0"/>
      <w:divBdr>
        <w:top w:val="none" w:sz="0" w:space="0" w:color="auto"/>
        <w:left w:val="none" w:sz="0" w:space="0" w:color="auto"/>
        <w:bottom w:val="none" w:sz="0" w:space="0" w:color="auto"/>
        <w:right w:val="none" w:sz="0" w:space="0" w:color="auto"/>
      </w:divBdr>
    </w:div>
    <w:div w:id="943608405">
      <w:bodyDiv w:val="1"/>
      <w:marLeft w:val="0"/>
      <w:marRight w:val="0"/>
      <w:marTop w:val="0"/>
      <w:marBottom w:val="0"/>
      <w:divBdr>
        <w:top w:val="none" w:sz="0" w:space="0" w:color="auto"/>
        <w:left w:val="none" w:sz="0" w:space="0" w:color="auto"/>
        <w:bottom w:val="none" w:sz="0" w:space="0" w:color="auto"/>
        <w:right w:val="none" w:sz="0" w:space="0" w:color="auto"/>
      </w:divBdr>
    </w:div>
    <w:div w:id="971786696">
      <w:bodyDiv w:val="1"/>
      <w:marLeft w:val="0"/>
      <w:marRight w:val="0"/>
      <w:marTop w:val="0"/>
      <w:marBottom w:val="0"/>
      <w:divBdr>
        <w:top w:val="none" w:sz="0" w:space="0" w:color="auto"/>
        <w:left w:val="none" w:sz="0" w:space="0" w:color="auto"/>
        <w:bottom w:val="none" w:sz="0" w:space="0" w:color="auto"/>
        <w:right w:val="none" w:sz="0" w:space="0" w:color="auto"/>
      </w:divBdr>
    </w:div>
    <w:div w:id="1064722916">
      <w:bodyDiv w:val="1"/>
      <w:marLeft w:val="0"/>
      <w:marRight w:val="0"/>
      <w:marTop w:val="0"/>
      <w:marBottom w:val="0"/>
      <w:divBdr>
        <w:top w:val="none" w:sz="0" w:space="0" w:color="auto"/>
        <w:left w:val="none" w:sz="0" w:space="0" w:color="auto"/>
        <w:bottom w:val="none" w:sz="0" w:space="0" w:color="auto"/>
        <w:right w:val="none" w:sz="0" w:space="0" w:color="auto"/>
      </w:divBdr>
    </w:div>
    <w:div w:id="1088112214">
      <w:bodyDiv w:val="1"/>
      <w:marLeft w:val="0"/>
      <w:marRight w:val="0"/>
      <w:marTop w:val="0"/>
      <w:marBottom w:val="0"/>
      <w:divBdr>
        <w:top w:val="none" w:sz="0" w:space="0" w:color="auto"/>
        <w:left w:val="none" w:sz="0" w:space="0" w:color="auto"/>
        <w:bottom w:val="none" w:sz="0" w:space="0" w:color="auto"/>
        <w:right w:val="none" w:sz="0" w:space="0" w:color="auto"/>
      </w:divBdr>
    </w:div>
    <w:div w:id="1091585070">
      <w:bodyDiv w:val="1"/>
      <w:marLeft w:val="0"/>
      <w:marRight w:val="0"/>
      <w:marTop w:val="0"/>
      <w:marBottom w:val="0"/>
      <w:divBdr>
        <w:top w:val="none" w:sz="0" w:space="0" w:color="auto"/>
        <w:left w:val="none" w:sz="0" w:space="0" w:color="auto"/>
        <w:bottom w:val="none" w:sz="0" w:space="0" w:color="auto"/>
        <w:right w:val="none" w:sz="0" w:space="0" w:color="auto"/>
      </w:divBdr>
    </w:div>
    <w:div w:id="1142428481">
      <w:bodyDiv w:val="1"/>
      <w:marLeft w:val="0"/>
      <w:marRight w:val="0"/>
      <w:marTop w:val="0"/>
      <w:marBottom w:val="0"/>
      <w:divBdr>
        <w:top w:val="none" w:sz="0" w:space="0" w:color="auto"/>
        <w:left w:val="none" w:sz="0" w:space="0" w:color="auto"/>
        <w:bottom w:val="none" w:sz="0" w:space="0" w:color="auto"/>
        <w:right w:val="none" w:sz="0" w:space="0" w:color="auto"/>
      </w:divBdr>
    </w:div>
    <w:div w:id="1160467618">
      <w:bodyDiv w:val="1"/>
      <w:marLeft w:val="0"/>
      <w:marRight w:val="0"/>
      <w:marTop w:val="0"/>
      <w:marBottom w:val="0"/>
      <w:divBdr>
        <w:top w:val="none" w:sz="0" w:space="0" w:color="auto"/>
        <w:left w:val="none" w:sz="0" w:space="0" w:color="auto"/>
        <w:bottom w:val="none" w:sz="0" w:space="0" w:color="auto"/>
        <w:right w:val="none" w:sz="0" w:space="0" w:color="auto"/>
      </w:divBdr>
    </w:div>
    <w:div w:id="1185365577">
      <w:bodyDiv w:val="1"/>
      <w:marLeft w:val="0"/>
      <w:marRight w:val="0"/>
      <w:marTop w:val="0"/>
      <w:marBottom w:val="0"/>
      <w:divBdr>
        <w:top w:val="none" w:sz="0" w:space="0" w:color="auto"/>
        <w:left w:val="none" w:sz="0" w:space="0" w:color="auto"/>
        <w:bottom w:val="none" w:sz="0" w:space="0" w:color="auto"/>
        <w:right w:val="none" w:sz="0" w:space="0" w:color="auto"/>
      </w:divBdr>
    </w:div>
    <w:div w:id="1252813791">
      <w:bodyDiv w:val="1"/>
      <w:marLeft w:val="0"/>
      <w:marRight w:val="0"/>
      <w:marTop w:val="0"/>
      <w:marBottom w:val="0"/>
      <w:divBdr>
        <w:top w:val="none" w:sz="0" w:space="0" w:color="auto"/>
        <w:left w:val="none" w:sz="0" w:space="0" w:color="auto"/>
        <w:bottom w:val="none" w:sz="0" w:space="0" w:color="auto"/>
        <w:right w:val="none" w:sz="0" w:space="0" w:color="auto"/>
      </w:divBdr>
    </w:div>
    <w:div w:id="1380134027">
      <w:bodyDiv w:val="1"/>
      <w:marLeft w:val="0"/>
      <w:marRight w:val="0"/>
      <w:marTop w:val="0"/>
      <w:marBottom w:val="0"/>
      <w:divBdr>
        <w:top w:val="none" w:sz="0" w:space="0" w:color="auto"/>
        <w:left w:val="none" w:sz="0" w:space="0" w:color="auto"/>
        <w:bottom w:val="none" w:sz="0" w:space="0" w:color="auto"/>
        <w:right w:val="none" w:sz="0" w:space="0" w:color="auto"/>
      </w:divBdr>
    </w:div>
    <w:div w:id="1456868112">
      <w:bodyDiv w:val="1"/>
      <w:marLeft w:val="0"/>
      <w:marRight w:val="0"/>
      <w:marTop w:val="0"/>
      <w:marBottom w:val="0"/>
      <w:divBdr>
        <w:top w:val="none" w:sz="0" w:space="0" w:color="auto"/>
        <w:left w:val="none" w:sz="0" w:space="0" w:color="auto"/>
        <w:bottom w:val="none" w:sz="0" w:space="0" w:color="auto"/>
        <w:right w:val="none" w:sz="0" w:space="0" w:color="auto"/>
      </w:divBdr>
    </w:div>
    <w:div w:id="1513644387">
      <w:bodyDiv w:val="1"/>
      <w:marLeft w:val="0"/>
      <w:marRight w:val="0"/>
      <w:marTop w:val="0"/>
      <w:marBottom w:val="0"/>
      <w:divBdr>
        <w:top w:val="none" w:sz="0" w:space="0" w:color="auto"/>
        <w:left w:val="none" w:sz="0" w:space="0" w:color="auto"/>
        <w:bottom w:val="none" w:sz="0" w:space="0" w:color="auto"/>
        <w:right w:val="none" w:sz="0" w:space="0" w:color="auto"/>
      </w:divBdr>
    </w:div>
    <w:div w:id="1514759087">
      <w:bodyDiv w:val="1"/>
      <w:marLeft w:val="0"/>
      <w:marRight w:val="0"/>
      <w:marTop w:val="0"/>
      <w:marBottom w:val="0"/>
      <w:divBdr>
        <w:top w:val="none" w:sz="0" w:space="0" w:color="auto"/>
        <w:left w:val="none" w:sz="0" w:space="0" w:color="auto"/>
        <w:bottom w:val="none" w:sz="0" w:space="0" w:color="auto"/>
        <w:right w:val="none" w:sz="0" w:space="0" w:color="auto"/>
      </w:divBdr>
    </w:div>
    <w:div w:id="1581212974">
      <w:bodyDiv w:val="1"/>
      <w:marLeft w:val="0"/>
      <w:marRight w:val="0"/>
      <w:marTop w:val="0"/>
      <w:marBottom w:val="0"/>
      <w:divBdr>
        <w:top w:val="none" w:sz="0" w:space="0" w:color="auto"/>
        <w:left w:val="none" w:sz="0" w:space="0" w:color="auto"/>
        <w:bottom w:val="none" w:sz="0" w:space="0" w:color="auto"/>
        <w:right w:val="none" w:sz="0" w:space="0" w:color="auto"/>
      </w:divBdr>
    </w:div>
    <w:div w:id="1598367032">
      <w:bodyDiv w:val="1"/>
      <w:marLeft w:val="0"/>
      <w:marRight w:val="0"/>
      <w:marTop w:val="0"/>
      <w:marBottom w:val="0"/>
      <w:divBdr>
        <w:top w:val="none" w:sz="0" w:space="0" w:color="auto"/>
        <w:left w:val="none" w:sz="0" w:space="0" w:color="auto"/>
        <w:bottom w:val="none" w:sz="0" w:space="0" w:color="auto"/>
        <w:right w:val="none" w:sz="0" w:space="0" w:color="auto"/>
      </w:divBdr>
    </w:div>
    <w:div w:id="1612856058">
      <w:bodyDiv w:val="1"/>
      <w:marLeft w:val="0"/>
      <w:marRight w:val="0"/>
      <w:marTop w:val="0"/>
      <w:marBottom w:val="0"/>
      <w:divBdr>
        <w:top w:val="none" w:sz="0" w:space="0" w:color="auto"/>
        <w:left w:val="none" w:sz="0" w:space="0" w:color="auto"/>
        <w:bottom w:val="none" w:sz="0" w:space="0" w:color="auto"/>
        <w:right w:val="none" w:sz="0" w:space="0" w:color="auto"/>
      </w:divBdr>
    </w:div>
    <w:div w:id="1622759571">
      <w:bodyDiv w:val="1"/>
      <w:marLeft w:val="0"/>
      <w:marRight w:val="0"/>
      <w:marTop w:val="0"/>
      <w:marBottom w:val="0"/>
      <w:divBdr>
        <w:top w:val="none" w:sz="0" w:space="0" w:color="auto"/>
        <w:left w:val="none" w:sz="0" w:space="0" w:color="auto"/>
        <w:bottom w:val="none" w:sz="0" w:space="0" w:color="auto"/>
        <w:right w:val="none" w:sz="0" w:space="0" w:color="auto"/>
      </w:divBdr>
    </w:div>
    <w:div w:id="1708598840">
      <w:bodyDiv w:val="1"/>
      <w:marLeft w:val="0"/>
      <w:marRight w:val="0"/>
      <w:marTop w:val="0"/>
      <w:marBottom w:val="0"/>
      <w:divBdr>
        <w:top w:val="none" w:sz="0" w:space="0" w:color="auto"/>
        <w:left w:val="none" w:sz="0" w:space="0" w:color="auto"/>
        <w:bottom w:val="none" w:sz="0" w:space="0" w:color="auto"/>
        <w:right w:val="none" w:sz="0" w:space="0" w:color="auto"/>
      </w:divBdr>
    </w:div>
    <w:div w:id="1720086540">
      <w:bodyDiv w:val="1"/>
      <w:marLeft w:val="0"/>
      <w:marRight w:val="0"/>
      <w:marTop w:val="0"/>
      <w:marBottom w:val="0"/>
      <w:divBdr>
        <w:top w:val="none" w:sz="0" w:space="0" w:color="auto"/>
        <w:left w:val="none" w:sz="0" w:space="0" w:color="auto"/>
        <w:bottom w:val="none" w:sz="0" w:space="0" w:color="auto"/>
        <w:right w:val="none" w:sz="0" w:space="0" w:color="auto"/>
      </w:divBdr>
    </w:div>
    <w:div w:id="1787045202">
      <w:bodyDiv w:val="1"/>
      <w:marLeft w:val="0"/>
      <w:marRight w:val="0"/>
      <w:marTop w:val="0"/>
      <w:marBottom w:val="0"/>
      <w:divBdr>
        <w:top w:val="none" w:sz="0" w:space="0" w:color="auto"/>
        <w:left w:val="none" w:sz="0" w:space="0" w:color="auto"/>
        <w:bottom w:val="none" w:sz="0" w:space="0" w:color="auto"/>
        <w:right w:val="none" w:sz="0" w:space="0" w:color="auto"/>
      </w:divBdr>
    </w:div>
    <w:div w:id="1804732645">
      <w:bodyDiv w:val="1"/>
      <w:marLeft w:val="0"/>
      <w:marRight w:val="0"/>
      <w:marTop w:val="0"/>
      <w:marBottom w:val="0"/>
      <w:divBdr>
        <w:top w:val="none" w:sz="0" w:space="0" w:color="auto"/>
        <w:left w:val="none" w:sz="0" w:space="0" w:color="auto"/>
        <w:bottom w:val="none" w:sz="0" w:space="0" w:color="auto"/>
        <w:right w:val="none" w:sz="0" w:space="0" w:color="auto"/>
      </w:divBdr>
    </w:div>
    <w:div w:id="1854606368">
      <w:bodyDiv w:val="1"/>
      <w:marLeft w:val="0"/>
      <w:marRight w:val="0"/>
      <w:marTop w:val="0"/>
      <w:marBottom w:val="0"/>
      <w:divBdr>
        <w:top w:val="none" w:sz="0" w:space="0" w:color="auto"/>
        <w:left w:val="none" w:sz="0" w:space="0" w:color="auto"/>
        <w:bottom w:val="none" w:sz="0" w:space="0" w:color="auto"/>
        <w:right w:val="none" w:sz="0" w:space="0" w:color="auto"/>
      </w:divBdr>
    </w:div>
    <w:div w:id="1913077890">
      <w:bodyDiv w:val="1"/>
      <w:marLeft w:val="0"/>
      <w:marRight w:val="0"/>
      <w:marTop w:val="0"/>
      <w:marBottom w:val="0"/>
      <w:divBdr>
        <w:top w:val="none" w:sz="0" w:space="0" w:color="auto"/>
        <w:left w:val="none" w:sz="0" w:space="0" w:color="auto"/>
        <w:bottom w:val="none" w:sz="0" w:space="0" w:color="auto"/>
        <w:right w:val="none" w:sz="0" w:space="0" w:color="auto"/>
      </w:divBdr>
    </w:div>
    <w:div w:id="2011758780">
      <w:bodyDiv w:val="1"/>
      <w:marLeft w:val="0"/>
      <w:marRight w:val="0"/>
      <w:marTop w:val="0"/>
      <w:marBottom w:val="0"/>
      <w:divBdr>
        <w:top w:val="none" w:sz="0" w:space="0" w:color="auto"/>
        <w:left w:val="none" w:sz="0" w:space="0" w:color="auto"/>
        <w:bottom w:val="none" w:sz="0" w:space="0" w:color="auto"/>
        <w:right w:val="none" w:sz="0" w:space="0" w:color="auto"/>
      </w:divBdr>
    </w:div>
    <w:div w:id="2024629051">
      <w:bodyDiv w:val="1"/>
      <w:marLeft w:val="0"/>
      <w:marRight w:val="0"/>
      <w:marTop w:val="0"/>
      <w:marBottom w:val="0"/>
      <w:divBdr>
        <w:top w:val="none" w:sz="0" w:space="0" w:color="auto"/>
        <w:left w:val="none" w:sz="0" w:space="0" w:color="auto"/>
        <w:bottom w:val="none" w:sz="0" w:space="0" w:color="auto"/>
        <w:right w:val="none" w:sz="0" w:space="0" w:color="auto"/>
      </w:divBdr>
    </w:div>
    <w:div w:id="2096976490">
      <w:bodyDiv w:val="1"/>
      <w:marLeft w:val="0"/>
      <w:marRight w:val="0"/>
      <w:marTop w:val="0"/>
      <w:marBottom w:val="0"/>
      <w:divBdr>
        <w:top w:val="none" w:sz="0" w:space="0" w:color="auto"/>
        <w:left w:val="none" w:sz="0" w:space="0" w:color="auto"/>
        <w:bottom w:val="none" w:sz="0" w:space="0" w:color="auto"/>
        <w:right w:val="none" w:sz="0" w:space="0" w:color="auto"/>
      </w:divBdr>
    </w:div>
    <w:div w:id="21293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882C-C8D1-4172-8AF4-82D7FF9D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4781</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2015-10-23T03:16:00Z</dcterms:created>
  <dcterms:modified xsi:type="dcterms:W3CDTF">2015-10-23T03:24:00Z</dcterms:modified>
</cp:coreProperties>
</file>