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A7" w:rsidRPr="006936C8" w:rsidRDefault="001435B0" w:rsidP="006936C8">
      <w:pPr>
        <w:pStyle w:val="Title"/>
      </w:pPr>
      <w:r w:rsidRPr="006936C8">
        <w:t>5.15</w:t>
      </w:r>
      <w:r w:rsidRPr="006936C8">
        <w:tab/>
      </w:r>
      <w:r w:rsidR="004E1727" w:rsidRPr="006936C8">
        <w:t>ABATACEPT</w:t>
      </w:r>
    </w:p>
    <w:p w:rsidR="006457A7" w:rsidRPr="006936C8" w:rsidRDefault="001435B0" w:rsidP="006936C8">
      <w:pPr>
        <w:pStyle w:val="Title"/>
      </w:pPr>
      <w:r w:rsidRPr="006936C8">
        <w:tab/>
      </w:r>
      <w:r w:rsidR="004E1727" w:rsidRPr="006936C8">
        <w:t>125mg/mL injection, 4 x 1mL autoinjector</w:t>
      </w:r>
      <w:r w:rsidR="006728B5" w:rsidRPr="006936C8">
        <w:t xml:space="preserve">, </w:t>
      </w:r>
    </w:p>
    <w:p w:rsidR="00F1682A" w:rsidRDefault="001435B0" w:rsidP="002C4CC6">
      <w:pPr>
        <w:pStyle w:val="Title"/>
      </w:pPr>
      <w:r w:rsidRPr="006936C8">
        <w:tab/>
      </w:r>
      <w:r w:rsidR="004E1727" w:rsidRPr="006936C8">
        <w:t>Orencia</w:t>
      </w:r>
      <w:r w:rsidR="006728B5" w:rsidRPr="006936C8">
        <w:t xml:space="preserve">®, </w:t>
      </w:r>
      <w:r w:rsidR="004E1727" w:rsidRPr="006936C8">
        <w:t>Bristol-Myers Squibb Australia</w:t>
      </w:r>
      <w:r w:rsidR="006728B5" w:rsidRPr="006936C8">
        <w:t xml:space="preserve"> Pty Ltd</w:t>
      </w:r>
    </w:p>
    <w:p w:rsidR="006457A7" w:rsidRPr="00C3694D" w:rsidRDefault="006457A7" w:rsidP="00C3694D">
      <w:pPr>
        <w:pStyle w:val="Heading1"/>
      </w:pPr>
      <w:r w:rsidRPr="00C3694D">
        <w:t>Purpose of application</w:t>
      </w:r>
    </w:p>
    <w:p w:rsidR="00924286" w:rsidRPr="002C4CC6" w:rsidRDefault="004F4FAC" w:rsidP="006457A7">
      <w:pPr>
        <w:pStyle w:val="ListParagraph"/>
        <w:numPr>
          <w:ilvl w:val="1"/>
          <w:numId w:val="4"/>
        </w:numPr>
        <w:jc w:val="both"/>
        <w:rPr>
          <w:rFonts w:cs="Arial"/>
          <w:snapToGrid w:val="0"/>
        </w:rPr>
      </w:pPr>
      <w:r w:rsidRPr="00924286">
        <w:rPr>
          <w:rFonts w:cs="Arial"/>
          <w:snapToGrid w:val="0"/>
          <w:lang w:eastAsia="en-US"/>
        </w:rPr>
        <w:t xml:space="preserve">The </w:t>
      </w:r>
      <w:r w:rsidRPr="006936C8">
        <w:rPr>
          <w:rStyle w:val="SubtitleChar"/>
        </w:rPr>
        <w:t>minor submission sought to request an Authority Required listing f</w:t>
      </w:r>
      <w:r w:rsidR="00DE6A2C" w:rsidRPr="006936C8">
        <w:rPr>
          <w:rStyle w:val="SubtitleChar"/>
        </w:rPr>
        <w:t>or an autoinjector presentation</w:t>
      </w:r>
      <w:r w:rsidR="007A2BEB" w:rsidRPr="006936C8">
        <w:rPr>
          <w:rStyle w:val="SubtitleChar"/>
        </w:rPr>
        <w:t xml:space="preserve"> for the treatment</w:t>
      </w:r>
      <w:r w:rsidR="002D507F" w:rsidRPr="006936C8">
        <w:rPr>
          <w:rStyle w:val="SubtitleChar"/>
        </w:rPr>
        <w:t xml:space="preserve"> of severe active rheumatoid arthritis.</w:t>
      </w:r>
    </w:p>
    <w:p w:rsidR="006457A7" w:rsidRPr="006936C8" w:rsidRDefault="00F00BAB" w:rsidP="00C3694D">
      <w:pPr>
        <w:pStyle w:val="Heading1"/>
      </w:pPr>
      <w:r w:rsidRPr="006936C8">
        <w:t xml:space="preserve">Requested </w:t>
      </w:r>
      <w:r w:rsidRPr="00C3694D">
        <w:t>Listing</w:t>
      </w:r>
    </w:p>
    <w:p w:rsidR="00965E11" w:rsidRPr="002C4CC6" w:rsidRDefault="00113822" w:rsidP="00965E11">
      <w:pPr>
        <w:pStyle w:val="Subtitle"/>
      </w:pPr>
      <w:r w:rsidRPr="00C408AC">
        <w:t xml:space="preserve">The submission requested the </w:t>
      </w:r>
      <w:r w:rsidR="00C408AC" w:rsidRPr="00C408AC">
        <w:t xml:space="preserve">same </w:t>
      </w:r>
      <w:r w:rsidR="00C408AC">
        <w:t xml:space="preserve">restriction </w:t>
      </w:r>
      <w:r w:rsidR="00C408AC" w:rsidRPr="00C408AC">
        <w:t xml:space="preserve">wording </w:t>
      </w:r>
      <w:r w:rsidR="00C408AC">
        <w:t xml:space="preserve">as the current listing for </w:t>
      </w:r>
      <w:r w:rsidR="00C408AC" w:rsidRPr="00C408AC">
        <w:t xml:space="preserve">abatacept 125 mg/mL injection, 4 x 1 mL </w:t>
      </w:r>
      <w:r w:rsidR="00D8703E">
        <w:t xml:space="preserve">pre-filled </w:t>
      </w:r>
      <w:r w:rsidR="00C408AC" w:rsidRPr="00C408AC">
        <w:t>syringes</w:t>
      </w:r>
      <w:r w:rsidR="00965E11">
        <w:t xml:space="preserve">, with </w:t>
      </w:r>
      <w:r w:rsidR="00410318">
        <w:t>a minor edit to the Administrative Note concerning abatacept patients, as shown below:</w:t>
      </w:r>
    </w:p>
    <w:p w:rsidR="00965E11" w:rsidRPr="00C3694D" w:rsidRDefault="00965E11" w:rsidP="00C3694D">
      <w:pPr>
        <w:pStyle w:val="Quote"/>
      </w:pPr>
      <w:r w:rsidRPr="00C3694D">
        <w:rPr>
          <w:rStyle w:val="SubtleEmphasis"/>
        </w:rPr>
        <w:t>‘Abatacept patients:</w:t>
      </w:r>
    </w:p>
    <w:p w:rsidR="004F691F" w:rsidRPr="00C3694D" w:rsidRDefault="00965E11" w:rsidP="00C3694D">
      <w:pPr>
        <w:pStyle w:val="Quote"/>
      </w:pPr>
      <w:r w:rsidRPr="00542A5F">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for the pre-filled syringes</w:t>
      </w:r>
      <w:r w:rsidR="000567F0" w:rsidRPr="00542A5F">
        <w:t xml:space="preserve"> autoinjector</w:t>
      </w:r>
      <w:r w:rsidRPr="00542A5F">
        <w:t>, with a maximum quantity of 4 and up to 3 repeats, must be submitted with the initial application.’</w:t>
      </w:r>
    </w:p>
    <w:p w:rsidR="00635D1D" w:rsidRDefault="00635D1D" w:rsidP="00C3694D">
      <w:pPr>
        <w:pStyle w:val="Quote"/>
      </w:pPr>
      <w:r>
        <w:tab/>
        <w:t xml:space="preserve">Initial </w:t>
      </w:r>
      <w:r w:rsidRPr="00542A5F">
        <w:rPr>
          <w:rStyle w:val="SubtleEmphasis"/>
        </w:rPr>
        <w:t>treatment</w:t>
      </w:r>
    </w:p>
    <w:tbl>
      <w:tblPr>
        <w:tblW w:w="8363" w:type="dxa"/>
        <w:tblInd w:w="817" w:type="dxa"/>
        <w:tblLayout w:type="fixed"/>
        <w:tblLook w:val="0000" w:firstRow="0" w:lastRow="0" w:firstColumn="0" w:lastColumn="0" w:noHBand="0" w:noVBand="0"/>
        <w:tblCaption w:val="Requested PBS listing - initial treatment"/>
      </w:tblPr>
      <w:tblGrid>
        <w:gridCol w:w="3119"/>
        <w:gridCol w:w="850"/>
        <w:gridCol w:w="709"/>
        <w:gridCol w:w="1276"/>
        <w:gridCol w:w="1275"/>
        <w:gridCol w:w="1134"/>
      </w:tblGrid>
      <w:tr w:rsidR="005D514D" w:rsidRPr="005D514D" w:rsidTr="00BE1D29">
        <w:trPr>
          <w:cantSplit/>
          <w:trHeight w:val="471"/>
        </w:trPr>
        <w:tc>
          <w:tcPr>
            <w:tcW w:w="3119" w:type="dxa"/>
            <w:tcBorders>
              <w:bottom w:val="single" w:sz="4" w:space="0" w:color="auto"/>
            </w:tcBorders>
          </w:tcPr>
          <w:p w:rsidR="005D514D" w:rsidRPr="00C3694D" w:rsidRDefault="005D514D" w:rsidP="005D514D">
            <w:pPr>
              <w:keepNext/>
              <w:ind w:left="-108"/>
              <w:jc w:val="both"/>
              <w:rPr>
                <w:rStyle w:val="Emphasis"/>
              </w:rPr>
            </w:pPr>
            <w:r w:rsidRPr="00C3694D">
              <w:rPr>
                <w:rStyle w:val="Emphasis"/>
              </w:rPr>
              <w:t>Name, Restriction,</w:t>
            </w:r>
          </w:p>
          <w:p w:rsidR="005D514D" w:rsidRPr="00C3694D" w:rsidRDefault="005D514D" w:rsidP="005D514D">
            <w:pPr>
              <w:keepNext/>
              <w:ind w:left="-108"/>
              <w:jc w:val="both"/>
              <w:rPr>
                <w:rStyle w:val="Emphasis"/>
              </w:rPr>
            </w:pPr>
            <w:r w:rsidRPr="00C3694D">
              <w:rPr>
                <w:rStyle w:val="Emphasis"/>
              </w:rPr>
              <w:t>Manner of administration and form</w:t>
            </w:r>
          </w:p>
        </w:tc>
        <w:tc>
          <w:tcPr>
            <w:tcW w:w="850" w:type="dxa"/>
            <w:tcBorders>
              <w:bottom w:val="single" w:sz="4" w:space="0" w:color="auto"/>
            </w:tcBorders>
          </w:tcPr>
          <w:p w:rsidR="005D514D" w:rsidRPr="00C3694D" w:rsidRDefault="005D514D" w:rsidP="005D514D">
            <w:pPr>
              <w:keepNext/>
              <w:ind w:left="-108"/>
              <w:jc w:val="both"/>
              <w:rPr>
                <w:rStyle w:val="Emphasis"/>
              </w:rPr>
            </w:pPr>
            <w:r w:rsidRPr="00C3694D">
              <w:rPr>
                <w:rStyle w:val="Emphasis"/>
              </w:rPr>
              <w:t>Max.</w:t>
            </w:r>
          </w:p>
          <w:p w:rsidR="005D514D" w:rsidRPr="00C3694D" w:rsidRDefault="005D514D" w:rsidP="005D514D">
            <w:pPr>
              <w:keepNext/>
              <w:ind w:left="-108"/>
              <w:jc w:val="both"/>
              <w:rPr>
                <w:rStyle w:val="Emphasis"/>
              </w:rPr>
            </w:pPr>
            <w:r w:rsidRPr="00C3694D">
              <w:rPr>
                <w:rStyle w:val="Emphasis"/>
              </w:rPr>
              <w:t>Qty</w:t>
            </w:r>
          </w:p>
        </w:tc>
        <w:tc>
          <w:tcPr>
            <w:tcW w:w="709" w:type="dxa"/>
            <w:tcBorders>
              <w:bottom w:val="single" w:sz="4" w:space="0" w:color="auto"/>
            </w:tcBorders>
          </w:tcPr>
          <w:p w:rsidR="005D514D" w:rsidRPr="00C3694D" w:rsidRDefault="005D514D" w:rsidP="005D514D">
            <w:pPr>
              <w:keepNext/>
              <w:ind w:left="-108"/>
              <w:jc w:val="both"/>
              <w:rPr>
                <w:rStyle w:val="Emphasis"/>
              </w:rPr>
            </w:pPr>
            <w:r w:rsidRPr="00C3694D">
              <w:rPr>
                <w:rStyle w:val="Emphasis"/>
              </w:rPr>
              <w:t>№.of</w:t>
            </w:r>
          </w:p>
          <w:p w:rsidR="005D514D" w:rsidRPr="00C3694D" w:rsidRDefault="005D514D" w:rsidP="005D514D">
            <w:pPr>
              <w:keepNext/>
              <w:ind w:left="-108"/>
              <w:jc w:val="both"/>
              <w:rPr>
                <w:rStyle w:val="Emphasis"/>
              </w:rPr>
            </w:pPr>
            <w:r w:rsidRPr="00C3694D">
              <w:rPr>
                <w:rStyle w:val="Emphasis"/>
              </w:rPr>
              <w:t>Rpts</w:t>
            </w:r>
          </w:p>
        </w:tc>
        <w:tc>
          <w:tcPr>
            <w:tcW w:w="1276" w:type="dxa"/>
            <w:tcBorders>
              <w:bottom w:val="single" w:sz="4" w:space="0" w:color="auto"/>
            </w:tcBorders>
          </w:tcPr>
          <w:p w:rsidR="005D514D" w:rsidRPr="00C3694D" w:rsidRDefault="005D514D" w:rsidP="005D514D">
            <w:pPr>
              <w:keepNext/>
              <w:ind w:left="-108"/>
              <w:jc w:val="both"/>
              <w:rPr>
                <w:rStyle w:val="Emphasis"/>
              </w:rPr>
            </w:pPr>
            <w:r w:rsidRPr="00C3694D">
              <w:rPr>
                <w:rStyle w:val="Emphasis"/>
              </w:rPr>
              <w:t>Dispensed Price for Max. Qty</w:t>
            </w:r>
          </w:p>
        </w:tc>
        <w:tc>
          <w:tcPr>
            <w:tcW w:w="2409" w:type="dxa"/>
            <w:gridSpan w:val="2"/>
            <w:tcBorders>
              <w:bottom w:val="single" w:sz="4" w:space="0" w:color="auto"/>
            </w:tcBorders>
          </w:tcPr>
          <w:p w:rsidR="005D514D" w:rsidRPr="00C3694D" w:rsidRDefault="005D514D" w:rsidP="005D514D">
            <w:pPr>
              <w:keepNext/>
              <w:jc w:val="both"/>
              <w:rPr>
                <w:rStyle w:val="Emphasis"/>
              </w:rPr>
            </w:pPr>
            <w:r w:rsidRPr="00C3694D">
              <w:rPr>
                <w:rStyle w:val="Emphasis"/>
              </w:rPr>
              <w:t>Proprietary Name and Manufacturer</w:t>
            </w:r>
          </w:p>
        </w:tc>
      </w:tr>
      <w:tr w:rsidR="005D514D" w:rsidRPr="005D514D" w:rsidTr="00BE1D29">
        <w:trPr>
          <w:cantSplit/>
          <w:trHeight w:val="577"/>
        </w:trPr>
        <w:tc>
          <w:tcPr>
            <w:tcW w:w="3119" w:type="dxa"/>
          </w:tcPr>
          <w:p w:rsidR="005D514D" w:rsidRPr="00C3694D" w:rsidRDefault="005D514D" w:rsidP="005D514D">
            <w:pPr>
              <w:keepNext/>
              <w:ind w:left="-108"/>
              <w:jc w:val="both"/>
              <w:rPr>
                <w:rStyle w:val="IntenseEmphasis"/>
              </w:rPr>
            </w:pPr>
            <w:r w:rsidRPr="00C3694D">
              <w:rPr>
                <w:rStyle w:val="IntenseEmphasis"/>
              </w:rPr>
              <w:t>ABATACEPT</w:t>
            </w:r>
          </w:p>
          <w:p w:rsidR="005D514D" w:rsidRPr="00C3694D" w:rsidRDefault="0047684D" w:rsidP="0047684D">
            <w:pPr>
              <w:keepNext/>
              <w:ind w:left="-108"/>
              <w:jc w:val="both"/>
              <w:rPr>
                <w:rStyle w:val="IntenseEmphasis"/>
              </w:rPr>
            </w:pPr>
            <w:r w:rsidRPr="00C3694D">
              <w:rPr>
                <w:rStyle w:val="IntenseEmphasis"/>
              </w:rPr>
              <w:t xml:space="preserve">abatacept 125 ng in 1 mL single dose, 4 x 1 mL pre-filled autoinjector  </w:t>
            </w:r>
          </w:p>
        </w:tc>
        <w:tc>
          <w:tcPr>
            <w:tcW w:w="850" w:type="dxa"/>
          </w:tcPr>
          <w:p w:rsidR="005D514D" w:rsidRPr="00C3694D" w:rsidRDefault="005D514D" w:rsidP="005D514D">
            <w:pPr>
              <w:keepNext/>
              <w:ind w:left="-108"/>
              <w:jc w:val="both"/>
              <w:rPr>
                <w:rStyle w:val="IntenseEmphasis"/>
              </w:rPr>
            </w:pPr>
          </w:p>
          <w:p w:rsidR="005D514D" w:rsidRPr="00C3694D" w:rsidRDefault="00950ACE" w:rsidP="005D514D">
            <w:pPr>
              <w:keepNext/>
              <w:ind w:left="-108"/>
              <w:jc w:val="both"/>
              <w:rPr>
                <w:rStyle w:val="IntenseEmphasis"/>
              </w:rPr>
            </w:pPr>
            <w:r w:rsidRPr="00C3694D">
              <w:rPr>
                <w:rStyle w:val="IntenseEmphasis"/>
              </w:rPr>
              <w:t xml:space="preserve"> </w:t>
            </w:r>
            <w:r w:rsidR="0047684D" w:rsidRPr="00C3694D">
              <w:rPr>
                <w:rStyle w:val="IntenseEmphasis"/>
              </w:rPr>
              <w:t>1</w:t>
            </w:r>
          </w:p>
        </w:tc>
        <w:tc>
          <w:tcPr>
            <w:tcW w:w="709" w:type="dxa"/>
          </w:tcPr>
          <w:p w:rsidR="00950ACE" w:rsidRPr="00C3694D" w:rsidRDefault="00950ACE" w:rsidP="005D514D">
            <w:pPr>
              <w:keepNext/>
              <w:ind w:left="-108"/>
              <w:jc w:val="both"/>
              <w:rPr>
                <w:rStyle w:val="IntenseEmphasis"/>
              </w:rPr>
            </w:pPr>
          </w:p>
          <w:p w:rsidR="005D514D" w:rsidRPr="00C3694D" w:rsidRDefault="0047684D" w:rsidP="005D514D">
            <w:pPr>
              <w:keepNext/>
              <w:ind w:left="-108"/>
              <w:jc w:val="both"/>
              <w:rPr>
                <w:rStyle w:val="IntenseEmphasis"/>
              </w:rPr>
            </w:pPr>
            <w:r w:rsidRPr="00C3694D">
              <w:rPr>
                <w:rStyle w:val="IntenseEmphasis"/>
              </w:rPr>
              <w:t>3</w:t>
            </w:r>
          </w:p>
        </w:tc>
        <w:tc>
          <w:tcPr>
            <w:tcW w:w="1276" w:type="dxa"/>
          </w:tcPr>
          <w:p w:rsidR="005D514D" w:rsidRPr="00C3694D" w:rsidRDefault="005D514D" w:rsidP="005D514D">
            <w:pPr>
              <w:keepNext/>
              <w:ind w:left="-108"/>
              <w:jc w:val="both"/>
              <w:rPr>
                <w:rStyle w:val="IntenseEmphasis"/>
              </w:rPr>
            </w:pPr>
          </w:p>
          <w:p w:rsidR="005D514D" w:rsidRPr="00C3694D" w:rsidRDefault="005D514D" w:rsidP="005D514D">
            <w:pPr>
              <w:keepNext/>
              <w:ind w:left="-108"/>
              <w:jc w:val="both"/>
              <w:rPr>
                <w:rStyle w:val="IntenseEmphasis"/>
              </w:rPr>
            </w:pPr>
            <w:r w:rsidRPr="00C3694D">
              <w:rPr>
                <w:rStyle w:val="IntenseEmphasis"/>
              </w:rPr>
              <w:t>$</w:t>
            </w:r>
            <w:r w:rsidR="0047684D" w:rsidRPr="00C3694D">
              <w:rPr>
                <w:rStyle w:val="IntenseEmphasis"/>
              </w:rPr>
              <w:t>1743.21</w:t>
            </w:r>
          </w:p>
        </w:tc>
        <w:tc>
          <w:tcPr>
            <w:tcW w:w="1275" w:type="dxa"/>
          </w:tcPr>
          <w:p w:rsidR="005D514D" w:rsidRPr="00C3694D" w:rsidRDefault="005D514D" w:rsidP="005D514D">
            <w:pPr>
              <w:keepNext/>
              <w:jc w:val="both"/>
              <w:rPr>
                <w:rStyle w:val="IntenseEmphasis"/>
              </w:rPr>
            </w:pPr>
          </w:p>
          <w:p w:rsidR="005D514D" w:rsidRPr="00C3694D" w:rsidRDefault="005C51FF" w:rsidP="005C51FF">
            <w:pPr>
              <w:keepNext/>
              <w:jc w:val="both"/>
              <w:rPr>
                <w:rStyle w:val="IntenseEmphasis"/>
              </w:rPr>
            </w:pPr>
            <w:r w:rsidRPr="00C3694D">
              <w:rPr>
                <w:rStyle w:val="IntenseEmphasis"/>
              </w:rPr>
              <w:t>Orencia</w:t>
            </w:r>
          </w:p>
        </w:tc>
        <w:tc>
          <w:tcPr>
            <w:tcW w:w="1134" w:type="dxa"/>
          </w:tcPr>
          <w:p w:rsidR="005D514D" w:rsidRPr="00C3694D" w:rsidRDefault="005D514D" w:rsidP="005D514D">
            <w:pPr>
              <w:keepNext/>
              <w:jc w:val="both"/>
              <w:rPr>
                <w:rStyle w:val="IntenseEmphasis"/>
              </w:rPr>
            </w:pPr>
          </w:p>
          <w:p w:rsidR="005D514D" w:rsidRPr="00C3694D" w:rsidRDefault="005C51FF" w:rsidP="005D514D">
            <w:pPr>
              <w:keepNext/>
              <w:jc w:val="both"/>
              <w:rPr>
                <w:rStyle w:val="IntenseEmphasis"/>
              </w:rPr>
            </w:pPr>
            <w:r w:rsidRPr="00C3694D">
              <w:rPr>
                <w:rStyle w:val="IntenseEmphasis"/>
              </w:rPr>
              <w:t>BQ</w:t>
            </w:r>
          </w:p>
        </w:tc>
      </w:tr>
    </w:tbl>
    <w:p w:rsidR="00950ACE" w:rsidRDefault="00950ACE" w:rsidP="006728B5">
      <w:pPr>
        <w:rPr>
          <w:rFonts w:cs="Arial"/>
          <w:szCs w:val="22"/>
        </w:rPr>
      </w:pPr>
    </w:p>
    <w:p w:rsidR="00807487" w:rsidRPr="00C3694D" w:rsidRDefault="00635D1D" w:rsidP="00C3694D">
      <w:pPr>
        <w:pStyle w:val="Quote"/>
      </w:pPr>
      <w:r w:rsidRPr="00C3694D">
        <w:rPr>
          <w:rStyle w:val="SubtleEmphasis"/>
        </w:rPr>
        <w:t>Continuing treatment</w:t>
      </w:r>
    </w:p>
    <w:tbl>
      <w:tblPr>
        <w:tblW w:w="8363" w:type="dxa"/>
        <w:tblInd w:w="817" w:type="dxa"/>
        <w:tblLayout w:type="fixed"/>
        <w:tblLook w:val="0000" w:firstRow="0" w:lastRow="0" w:firstColumn="0" w:lastColumn="0" w:noHBand="0" w:noVBand="0"/>
        <w:tblCaption w:val="Requested PBS listing - continuing treatment"/>
      </w:tblPr>
      <w:tblGrid>
        <w:gridCol w:w="3119"/>
        <w:gridCol w:w="850"/>
        <w:gridCol w:w="709"/>
        <w:gridCol w:w="1276"/>
        <w:gridCol w:w="1275"/>
        <w:gridCol w:w="1134"/>
      </w:tblGrid>
      <w:tr w:rsidR="005C51FF" w:rsidRPr="005D514D" w:rsidTr="00BE1D29">
        <w:trPr>
          <w:cantSplit/>
          <w:trHeight w:val="471"/>
        </w:trPr>
        <w:tc>
          <w:tcPr>
            <w:tcW w:w="3119" w:type="dxa"/>
            <w:tcBorders>
              <w:bottom w:val="single" w:sz="4" w:space="0" w:color="auto"/>
            </w:tcBorders>
          </w:tcPr>
          <w:p w:rsidR="005C51FF" w:rsidRPr="00C3694D" w:rsidRDefault="005C51FF" w:rsidP="00BE1D29">
            <w:pPr>
              <w:keepNext/>
              <w:ind w:left="-108"/>
              <w:jc w:val="both"/>
              <w:rPr>
                <w:rStyle w:val="Emphasis"/>
              </w:rPr>
            </w:pPr>
            <w:r w:rsidRPr="00C3694D">
              <w:rPr>
                <w:rStyle w:val="Emphasis"/>
              </w:rPr>
              <w:t>Name, Restriction,</w:t>
            </w:r>
          </w:p>
          <w:p w:rsidR="005C51FF" w:rsidRPr="00C3694D" w:rsidRDefault="005C51FF" w:rsidP="00BE1D29">
            <w:pPr>
              <w:keepNext/>
              <w:ind w:left="-108"/>
              <w:jc w:val="both"/>
              <w:rPr>
                <w:rStyle w:val="Emphasis"/>
              </w:rPr>
            </w:pPr>
            <w:r w:rsidRPr="00C3694D">
              <w:rPr>
                <w:rStyle w:val="Emphasis"/>
              </w:rPr>
              <w:t>Manner of administration and form</w:t>
            </w:r>
          </w:p>
        </w:tc>
        <w:tc>
          <w:tcPr>
            <w:tcW w:w="850" w:type="dxa"/>
            <w:tcBorders>
              <w:bottom w:val="single" w:sz="4" w:space="0" w:color="auto"/>
            </w:tcBorders>
          </w:tcPr>
          <w:p w:rsidR="005C51FF" w:rsidRPr="00C3694D" w:rsidRDefault="005C51FF" w:rsidP="00BE1D29">
            <w:pPr>
              <w:keepNext/>
              <w:ind w:left="-108"/>
              <w:jc w:val="both"/>
              <w:rPr>
                <w:rStyle w:val="Emphasis"/>
              </w:rPr>
            </w:pPr>
            <w:r w:rsidRPr="00C3694D">
              <w:rPr>
                <w:rStyle w:val="Emphasis"/>
              </w:rPr>
              <w:t>Max.</w:t>
            </w:r>
          </w:p>
          <w:p w:rsidR="005C51FF" w:rsidRPr="00C3694D" w:rsidRDefault="005C51FF" w:rsidP="00BE1D29">
            <w:pPr>
              <w:keepNext/>
              <w:ind w:left="-108"/>
              <w:jc w:val="both"/>
              <w:rPr>
                <w:rStyle w:val="Emphasis"/>
              </w:rPr>
            </w:pPr>
            <w:r w:rsidRPr="00C3694D">
              <w:rPr>
                <w:rStyle w:val="Emphasis"/>
              </w:rPr>
              <w:t>Qty</w:t>
            </w:r>
          </w:p>
        </w:tc>
        <w:tc>
          <w:tcPr>
            <w:tcW w:w="709" w:type="dxa"/>
            <w:tcBorders>
              <w:bottom w:val="single" w:sz="4" w:space="0" w:color="auto"/>
            </w:tcBorders>
          </w:tcPr>
          <w:p w:rsidR="005C51FF" w:rsidRPr="00C3694D" w:rsidRDefault="005C51FF" w:rsidP="00BE1D29">
            <w:pPr>
              <w:keepNext/>
              <w:ind w:left="-108"/>
              <w:jc w:val="both"/>
              <w:rPr>
                <w:rStyle w:val="Emphasis"/>
              </w:rPr>
            </w:pPr>
            <w:r w:rsidRPr="00C3694D">
              <w:rPr>
                <w:rStyle w:val="Emphasis"/>
              </w:rPr>
              <w:t>№.of</w:t>
            </w:r>
          </w:p>
          <w:p w:rsidR="005C51FF" w:rsidRPr="00C3694D" w:rsidRDefault="005C51FF" w:rsidP="00BE1D29">
            <w:pPr>
              <w:keepNext/>
              <w:ind w:left="-108"/>
              <w:jc w:val="both"/>
              <w:rPr>
                <w:rStyle w:val="Emphasis"/>
              </w:rPr>
            </w:pPr>
            <w:r w:rsidRPr="00C3694D">
              <w:rPr>
                <w:rStyle w:val="Emphasis"/>
              </w:rPr>
              <w:t>Rpts</w:t>
            </w:r>
          </w:p>
        </w:tc>
        <w:tc>
          <w:tcPr>
            <w:tcW w:w="1276" w:type="dxa"/>
            <w:tcBorders>
              <w:bottom w:val="single" w:sz="4" w:space="0" w:color="auto"/>
            </w:tcBorders>
          </w:tcPr>
          <w:p w:rsidR="005C51FF" w:rsidRPr="00C3694D" w:rsidRDefault="005C51FF" w:rsidP="00BE1D29">
            <w:pPr>
              <w:keepNext/>
              <w:ind w:left="-108"/>
              <w:jc w:val="both"/>
              <w:rPr>
                <w:rStyle w:val="Emphasis"/>
              </w:rPr>
            </w:pPr>
            <w:r w:rsidRPr="00C3694D">
              <w:rPr>
                <w:rStyle w:val="Emphasis"/>
              </w:rPr>
              <w:t>Dispensed Price for Max. Qty</w:t>
            </w:r>
          </w:p>
        </w:tc>
        <w:tc>
          <w:tcPr>
            <w:tcW w:w="2409" w:type="dxa"/>
            <w:gridSpan w:val="2"/>
            <w:tcBorders>
              <w:bottom w:val="single" w:sz="4" w:space="0" w:color="auto"/>
            </w:tcBorders>
          </w:tcPr>
          <w:p w:rsidR="005C51FF" w:rsidRPr="00C3694D" w:rsidRDefault="005C51FF" w:rsidP="00BE1D29">
            <w:pPr>
              <w:keepNext/>
              <w:jc w:val="both"/>
              <w:rPr>
                <w:rStyle w:val="Emphasis"/>
              </w:rPr>
            </w:pPr>
            <w:r w:rsidRPr="00C3694D">
              <w:rPr>
                <w:rStyle w:val="Emphasis"/>
              </w:rPr>
              <w:t>Proprietary Name and Manufacturer</w:t>
            </w:r>
          </w:p>
        </w:tc>
      </w:tr>
      <w:tr w:rsidR="005C51FF" w:rsidRPr="005D514D" w:rsidTr="00BE1D29">
        <w:trPr>
          <w:cantSplit/>
          <w:trHeight w:val="577"/>
        </w:trPr>
        <w:tc>
          <w:tcPr>
            <w:tcW w:w="3119" w:type="dxa"/>
          </w:tcPr>
          <w:p w:rsidR="005C51FF" w:rsidRPr="00C3694D" w:rsidRDefault="005C51FF" w:rsidP="00BE1D29">
            <w:pPr>
              <w:keepNext/>
              <w:ind w:left="-108"/>
              <w:jc w:val="both"/>
              <w:rPr>
                <w:rStyle w:val="IntenseEmphasis"/>
              </w:rPr>
            </w:pPr>
            <w:r w:rsidRPr="00C3694D">
              <w:rPr>
                <w:rStyle w:val="IntenseEmphasis"/>
              </w:rPr>
              <w:t>ABATACEPT</w:t>
            </w:r>
          </w:p>
          <w:p w:rsidR="005C51FF" w:rsidRPr="00C3694D" w:rsidRDefault="005C51FF" w:rsidP="00BE1D29">
            <w:pPr>
              <w:keepNext/>
              <w:ind w:left="-108"/>
              <w:jc w:val="both"/>
              <w:rPr>
                <w:rStyle w:val="IntenseEmphasis"/>
              </w:rPr>
            </w:pPr>
            <w:r w:rsidRPr="00C3694D">
              <w:rPr>
                <w:rStyle w:val="IntenseEmphasis"/>
              </w:rPr>
              <w:t xml:space="preserve">abatacept 125 ng in 1 mL single dose, 4 x 1 mL pre-filled autoinjector  </w:t>
            </w:r>
          </w:p>
        </w:tc>
        <w:tc>
          <w:tcPr>
            <w:tcW w:w="850" w:type="dxa"/>
          </w:tcPr>
          <w:p w:rsidR="005C51FF" w:rsidRPr="00C3694D" w:rsidRDefault="005C51FF" w:rsidP="00BE1D29">
            <w:pPr>
              <w:keepNext/>
              <w:ind w:left="-108"/>
              <w:jc w:val="both"/>
              <w:rPr>
                <w:rStyle w:val="IntenseEmphasis"/>
              </w:rPr>
            </w:pPr>
          </w:p>
          <w:p w:rsidR="005C51FF" w:rsidRPr="00C3694D" w:rsidRDefault="005C51FF" w:rsidP="00BE1D29">
            <w:pPr>
              <w:keepNext/>
              <w:ind w:left="-108"/>
              <w:jc w:val="both"/>
              <w:rPr>
                <w:rStyle w:val="IntenseEmphasis"/>
              </w:rPr>
            </w:pPr>
            <w:r w:rsidRPr="00C3694D">
              <w:rPr>
                <w:rStyle w:val="IntenseEmphasis"/>
              </w:rPr>
              <w:t>1</w:t>
            </w:r>
          </w:p>
        </w:tc>
        <w:tc>
          <w:tcPr>
            <w:tcW w:w="709" w:type="dxa"/>
          </w:tcPr>
          <w:p w:rsidR="005C51FF" w:rsidRPr="00C3694D" w:rsidRDefault="005C51FF" w:rsidP="00BE1D29">
            <w:pPr>
              <w:keepNext/>
              <w:ind w:left="-108"/>
              <w:jc w:val="both"/>
              <w:rPr>
                <w:rStyle w:val="IntenseEmphasis"/>
              </w:rPr>
            </w:pPr>
          </w:p>
          <w:p w:rsidR="005C51FF" w:rsidRPr="00C3694D" w:rsidRDefault="005C51FF" w:rsidP="00BE1D29">
            <w:pPr>
              <w:keepNext/>
              <w:ind w:left="-108"/>
              <w:jc w:val="both"/>
              <w:rPr>
                <w:rStyle w:val="IntenseEmphasis"/>
              </w:rPr>
            </w:pPr>
            <w:r w:rsidRPr="00C3694D">
              <w:rPr>
                <w:rStyle w:val="IntenseEmphasis"/>
              </w:rPr>
              <w:t>5</w:t>
            </w:r>
          </w:p>
        </w:tc>
        <w:tc>
          <w:tcPr>
            <w:tcW w:w="1276" w:type="dxa"/>
          </w:tcPr>
          <w:p w:rsidR="005C51FF" w:rsidRPr="00C3694D" w:rsidRDefault="005C51FF" w:rsidP="00BE1D29">
            <w:pPr>
              <w:keepNext/>
              <w:ind w:left="-108"/>
              <w:jc w:val="both"/>
              <w:rPr>
                <w:rStyle w:val="IntenseEmphasis"/>
              </w:rPr>
            </w:pPr>
          </w:p>
          <w:p w:rsidR="005C51FF" w:rsidRPr="00C3694D" w:rsidRDefault="005C51FF" w:rsidP="00BE1D29">
            <w:pPr>
              <w:keepNext/>
              <w:ind w:left="-108"/>
              <w:jc w:val="both"/>
              <w:rPr>
                <w:rStyle w:val="IntenseEmphasis"/>
              </w:rPr>
            </w:pPr>
            <w:r w:rsidRPr="00C3694D">
              <w:rPr>
                <w:rStyle w:val="IntenseEmphasis"/>
              </w:rPr>
              <w:t>$1743.21</w:t>
            </w:r>
          </w:p>
        </w:tc>
        <w:tc>
          <w:tcPr>
            <w:tcW w:w="1275" w:type="dxa"/>
          </w:tcPr>
          <w:p w:rsidR="005C51FF" w:rsidRPr="00C3694D" w:rsidRDefault="005C51FF" w:rsidP="00BE1D29">
            <w:pPr>
              <w:keepNext/>
              <w:jc w:val="both"/>
              <w:rPr>
                <w:rStyle w:val="IntenseEmphasis"/>
              </w:rPr>
            </w:pPr>
          </w:p>
          <w:p w:rsidR="005C51FF" w:rsidRPr="00C3694D" w:rsidRDefault="005C51FF" w:rsidP="00BE1D29">
            <w:pPr>
              <w:keepNext/>
              <w:jc w:val="both"/>
              <w:rPr>
                <w:rStyle w:val="IntenseEmphasis"/>
              </w:rPr>
            </w:pPr>
            <w:r w:rsidRPr="00C3694D">
              <w:rPr>
                <w:rStyle w:val="IntenseEmphasis"/>
              </w:rPr>
              <w:t>Orencia</w:t>
            </w:r>
          </w:p>
        </w:tc>
        <w:tc>
          <w:tcPr>
            <w:tcW w:w="1134" w:type="dxa"/>
          </w:tcPr>
          <w:p w:rsidR="005C51FF" w:rsidRPr="00C3694D" w:rsidRDefault="005C51FF" w:rsidP="00BE1D29">
            <w:pPr>
              <w:keepNext/>
              <w:jc w:val="both"/>
              <w:rPr>
                <w:rStyle w:val="IntenseEmphasis"/>
              </w:rPr>
            </w:pPr>
          </w:p>
          <w:p w:rsidR="005C51FF" w:rsidRPr="00C3694D" w:rsidRDefault="005C51FF" w:rsidP="00BE1D29">
            <w:pPr>
              <w:keepNext/>
              <w:jc w:val="both"/>
              <w:rPr>
                <w:rStyle w:val="IntenseEmphasis"/>
              </w:rPr>
            </w:pPr>
            <w:r w:rsidRPr="00C3694D">
              <w:rPr>
                <w:rStyle w:val="IntenseEmphasis"/>
              </w:rPr>
              <w:t>BQ</w:t>
            </w:r>
          </w:p>
        </w:tc>
      </w:tr>
    </w:tbl>
    <w:p w:rsidR="005C51FF" w:rsidRPr="002C4CC6" w:rsidRDefault="005C51FF" w:rsidP="006728B5"/>
    <w:p w:rsidR="002C4CC6" w:rsidRDefault="002C4CC6">
      <w:pPr>
        <w:spacing w:after="200" w:line="276" w:lineRule="auto"/>
        <w:rPr>
          <w:b/>
          <w:szCs w:val="22"/>
        </w:rPr>
      </w:pPr>
      <w:r>
        <w:br w:type="page"/>
      </w:r>
    </w:p>
    <w:p w:rsidR="00596402" w:rsidRPr="002C4CC6" w:rsidRDefault="006728B5" w:rsidP="00C3694D">
      <w:pPr>
        <w:pStyle w:val="Heading1"/>
      </w:pPr>
      <w:r w:rsidRPr="006457A7">
        <w:lastRenderedPageBreak/>
        <w:t>Background</w:t>
      </w:r>
    </w:p>
    <w:p w:rsidR="00121F4B" w:rsidRPr="00C3694D" w:rsidRDefault="00CB2685" w:rsidP="00C3694D">
      <w:pPr>
        <w:pStyle w:val="Subtitle"/>
      </w:pPr>
      <w:r w:rsidRPr="00C3694D">
        <w:t xml:space="preserve">The autoinjector presentation for </w:t>
      </w:r>
      <w:r w:rsidR="00270FB1" w:rsidRPr="00C3694D">
        <w:t>abatacept had</w:t>
      </w:r>
      <w:r w:rsidRPr="00C3694D">
        <w:t xml:space="preserve"> not </w:t>
      </w:r>
      <w:r w:rsidR="00270FB1" w:rsidRPr="00C3694D">
        <w:t>been considered by PBAC previously.</w:t>
      </w:r>
    </w:p>
    <w:p w:rsidR="003C256A" w:rsidRPr="00C3694D" w:rsidRDefault="00894FF0" w:rsidP="00C3694D">
      <w:pPr>
        <w:pStyle w:val="Subtitle"/>
      </w:pPr>
      <w:r w:rsidRPr="00C3694D">
        <w:t>Two presentations of abatacept are currently reimbursed on the PBS for the treatment of severe active rheumatoid arthritis</w:t>
      </w:r>
      <w:r w:rsidR="003C256A" w:rsidRPr="00C3694D">
        <w:t xml:space="preserve">.  A </w:t>
      </w:r>
      <w:r w:rsidR="00924286" w:rsidRPr="00C3694D">
        <w:t>Section</w:t>
      </w:r>
      <w:r w:rsidR="003C256A" w:rsidRPr="00C3694D">
        <w:t xml:space="preserve"> 100 listing for abatacept 250 mg injection for intravenous infusion and a Section 85 listing f</w:t>
      </w:r>
      <w:bookmarkStart w:id="0" w:name="_GoBack"/>
      <w:bookmarkEnd w:id="0"/>
      <w:r w:rsidR="003C256A" w:rsidRPr="00C3694D">
        <w:t xml:space="preserve">or the 125 mg/mL </w:t>
      </w:r>
      <w:r w:rsidR="00F00BAB" w:rsidRPr="00C3694D">
        <w:t>(pre-filled syringe) injection.</w:t>
      </w:r>
    </w:p>
    <w:p w:rsidR="00BD68CF" w:rsidRPr="002C4CC6" w:rsidRDefault="003C256A" w:rsidP="00C3694D">
      <w:pPr>
        <w:pStyle w:val="Subtitle"/>
      </w:pPr>
      <w:r>
        <w:t>Abatacept 125 mg/mL p</w:t>
      </w:r>
      <w:r w:rsidRPr="006936C8">
        <w:rPr>
          <w:rStyle w:val="SubtitleChar"/>
        </w:rPr>
        <w:t>r</w:t>
      </w:r>
      <w:r>
        <w:t>e-filled autoinjector was TGA registered on 2 July 2015.</w:t>
      </w:r>
    </w:p>
    <w:p w:rsidR="00392515" w:rsidRPr="002C4CC6" w:rsidRDefault="00392515" w:rsidP="00C3694D">
      <w:pPr>
        <w:pStyle w:val="Heading1"/>
      </w:pPr>
      <w:r>
        <w:t xml:space="preserve">Consideration of the </w:t>
      </w:r>
      <w:r w:rsidRPr="00C3694D">
        <w:t>evidence</w:t>
      </w:r>
    </w:p>
    <w:p w:rsidR="00392515" w:rsidRPr="00B90B04" w:rsidRDefault="00392515" w:rsidP="00B90B04">
      <w:pPr>
        <w:pStyle w:val="Heading2"/>
      </w:pPr>
      <w:r w:rsidRPr="00B90B04">
        <w:t>Sponsor hearing</w:t>
      </w:r>
    </w:p>
    <w:p w:rsidR="00392515" w:rsidRPr="002C4CC6" w:rsidRDefault="00392515" w:rsidP="00392515">
      <w:pPr>
        <w:pStyle w:val="Subtitle"/>
        <w:rPr>
          <w:b/>
        </w:rPr>
      </w:pPr>
      <w:r w:rsidRPr="00F00BAB">
        <w:t>There was no hearing for this item as it was a minor submission.</w:t>
      </w:r>
    </w:p>
    <w:p w:rsidR="00392515" w:rsidRPr="00B90B04" w:rsidRDefault="00392515" w:rsidP="002C4CC6">
      <w:pPr>
        <w:pStyle w:val="Heading2"/>
      </w:pPr>
      <w:r w:rsidRPr="00F00BAB">
        <w:t>Consumer comments</w:t>
      </w:r>
    </w:p>
    <w:p w:rsidR="000A2E52" w:rsidRPr="002C4CC6" w:rsidRDefault="00392515" w:rsidP="006457A7">
      <w:pPr>
        <w:pStyle w:val="Subtitle"/>
        <w:rPr>
          <w:b/>
        </w:rPr>
      </w:pPr>
      <w:r w:rsidRPr="00F00BAB">
        <w:t>The PBAC noted that no consumer comments were received for this item</w:t>
      </w:r>
      <w:r w:rsidR="00DD0227" w:rsidRPr="00F00BAB">
        <w:t>.</w:t>
      </w:r>
    </w:p>
    <w:p w:rsidR="00392515" w:rsidRPr="00B90B04" w:rsidRDefault="00392515" w:rsidP="002C4CC6">
      <w:pPr>
        <w:pStyle w:val="Heading2"/>
      </w:pPr>
      <w:r w:rsidRPr="00392515">
        <w:t xml:space="preserve">Clinical </w:t>
      </w:r>
      <w:r w:rsidRPr="002C4CC6">
        <w:t>Trials</w:t>
      </w:r>
    </w:p>
    <w:p w:rsidR="00570DF8" w:rsidRPr="00542A5F" w:rsidRDefault="00392515" w:rsidP="006457A7">
      <w:pPr>
        <w:pStyle w:val="Subtitle"/>
        <w:rPr>
          <w:b/>
        </w:rPr>
      </w:pPr>
      <w:r w:rsidRPr="00924286">
        <w:t xml:space="preserve">As </w:t>
      </w:r>
      <w:r>
        <w:t>a</w:t>
      </w:r>
      <w:r w:rsidRPr="00924286">
        <w:t xml:space="preserve"> minor submission, no clinical trials </w:t>
      </w:r>
      <w:r>
        <w:t>were</w:t>
      </w:r>
      <w:r w:rsidR="00B933FD">
        <w:t xml:space="preserve"> presented.</w:t>
      </w:r>
    </w:p>
    <w:p w:rsidR="006728B5" w:rsidRPr="00B90B04" w:rsidRDefault="006728B5" w:rsidP="00C3694D">
      <w:pPr>
        <w:pStyle w:val="Heading1"/>
      </w:pPr>
      <w:r w:rsidRPr="006457A7">
        <w:t>Pricing considerations</w:t>
      </w:r>
    </w:p>
    <w:p w:rsidR="003C256A" w:rsidRPr="002F3E9A" w:rsidRDefault="003C256A" w:rsidP="002F3E9A">
      <w:pPr>
        <w:pStyle w:val="Subtitle"/>
        <w:rPr>
          <w:rStyle w:val="SubtleEmphasis"/>
        </w:rPr>
      </w:pPr>
      <w:r w:rsidRPr="002F3E9A">
        <w:rPr>
          <w:rStyle w:val="SubtleEmphasis"/>
        </w:rPr>
        <w:t xml:space="preserve">The submission requested the price for abatacept autoinjector to be the same </w:t>
      </w:r>
      <w:r w:rsidR="00E9274E" w:rsidRPr="002F3E9A">
        <w:rPr>
          <w:rStyle w:val="SubtleEmphasis"/>
        </w:rPr>
        <w:t>as</w:t>
      </w:r>
      <w:r w:rsidRPr="002F3E9A">
        <w:rPr>
          <w:rStyle w:val="SubtleEmphasis"/>
        </w:rPr>
        <w:t xml:space="preserve"> the current price for the pre-filled syringe presentation, currently at $1,743.21 (DPMQ).</w:t>
      </w:r>
    </w:p>
    <w:p w:rsidR="00F00BAB" w:rsidRPr="002F3E9A" w:rsidRDefault="003371AA" w:rsidP="002F3E9A">
      <w:pPr>
        <w:pStyle w:val="Subtitle"/>
      </w:pPr>
      <w:r w:rsidRPr="002F3E9A">
        <w:t xml:space="preserve">Although not a matter for PBAC, it </w:t>
      </w:r>
      <w:r w:rsidR="00513BE6" w:rsidRPr="002F3E9A">
        <w:t>was</w:t>
      </w:r>
      <w:r w:rsidRPr="002F3E9A">
        <w:t xml:space="preserve"> noted that this listing would trigger section 99ACB of the National Health Act 1953</w:t>
      </w:r>
      <w:r w:rsidR="00353BD2" w:rsidRPr="002F3E9A">
        <w:t>.</w:t>
      </w:r>
    </w:p>
    <w:p w:rsidR="000E195B" w:rsidRPr="00B90B04" w:rsidRDefault="000E195B" w:rsidP="0098318C">
      <w:pPr>
        <w:pStyle w:val="Heading1"/>
        <w:rPr>
          <w:snapToGrid w:val="0"/>
          <w:lang w:eastAsia="en-US"/>
        </w:rPr>
      </w:pPr>
      <w:r w:rsidRPr="00570DF8">
        <w:rPr>
          <w:snapToGrid w:val="0"/>
          <w:lang w:eastAsia="en-US"/>
        </w:rPr>
        <w:t>PBAC Outcome</w:t>
      </w:r>
    </w:p>
    <w:p w:rsidR="00E206CC" w:rsidRPr="00B90B04" w:rsidRDefault="00F00BAB" w:rsidP="00B90B04">
      <w:pPr>
        <w:pStyle w:val="Subtitle"/>
        <w:rPr>
          <w:lang w:val="en-GB"/>
        </w:rPr>
      </w:pPr>
      <w:r w:rsidRPr="00570DF8">
        <w:rPr>
          <w:lang w:val="en-GB"/>
        </w:rPr>
        <w:t xml:space="preserve">The PBAC </w:t>
      </w:r>
      <w:r w:rsidR="00CF2AB1" w:rsidRPr="00CF2AB1">
        <w:rPr>
          <w:lang w:val="en-GB"/>
        </w:rPr>
        <w:t>recommended</w:t>
      </w:r>
      <w:r w:rsidRPr="00CF2AB1">
        <w:rPr>
          <w:lang w:val="en-GB"/>
        </w:rPr>
        <w:t xml:space="preserve"> </w:t>
      </w:r>
      <w:r w:rsidRPr="00570DF8">
        <w:rPr>
          <w:lang w:val="en-GB"/>
        </w:rPr>
        <w:t xml:space="preserve">the listing of </w:t>
      </w:r>
      <w:r w:rsidR="00570DF8" w:rsidRPr="00570DF8">
        <w:rPr>
          <w:lang w:val="en-GB"/>
        </w:rPr>
        <w:t>abatacept 125 mg/mL injection, 4 x 1 mL autoinjector</w:t>
      </w:r>
      <w:r w:rsidR="0049035F">
        <w:rPr>
          <w:lang w:val="en-GB"/>
        </w:rPr>
        <w:t xml:space="preserve"> for the treatment of severe rheumatoid arthritis</w:t>
      </w:r>
      <w:r w:rsidR="00570DF8" w:rsidRPr="00570DF8">
        <w:rPr>
          <w:lang w:val="en-GB"/>
        </w:rPr>
        <w:t xml:space="preserve">, noting that the requested Section 85 Authority Required listing, and the proposed maximum quantity and number of repeats are consistent with the current listing of the 125 mg/mL pre-filled syringe (item codes 1220F and 1221G) for initial and continuing </w:t>
      </w:r>
      <w:r w:rsidR="0049035F">
        <w:rPr>
          <w:lang w:val="en-GB"/>
        </w:rPr>
        <w:t>treatment phases</w:t>
      </w:r>
      <w:r w:rsidR="00570DF8" w:rsidRPr="00570DF8">
        <w:rPr>
          <w:lang w:val="en-GB"/>
        </w:rPr>
        <w:t>.</w:t>
      </w:r>
    </w:p>
    <w:p w:rsidR="00570DF8" w:rsidRPr="00542A5F" w:rsidRDefault="00570DF8" w:rsidP="00570DF8">
      <w:pPr>
        <w:pStyle w:val="Subtitle"/>
      </w:pPr>
      <w:r w:rsidRPr="00CE0821">
        <w:t xml:space="preserve">The PBAC </w:t>
      </w:r>
      <w:r w:rsidR="00CF2AB1" w:rsidRPr="00CF2AB1">
        <w:rPr>
          <w:bCs/>
          <w:szCs w:val="22"/>
          <w:lang w:val="en-GB"/>
        </w:rPr>
        <w:t xml:space="preserve">recommended </w:t>
      </w:r>
      <w:r w:rsidRPr="00CE0821">
        <w:t>that the Safety Net 20 Day Rule should apply to the continuing treatment phase listing as it currently applies to abatacept 125mg/mL injection.</w:t>
      </w:r>
    </w:p>
    <w:p w:rsidR="00570DF8" w:rsidRPr="00542A5F" w:rsidRDefault="00570DF8" w:rsidP="00570DF8">
      <w:pPr>
        <w:pStyle w:val="Subtitle"/>
      </w:pPr>
      <w:r w:rsidRPr="00570DF8">
        <w:lastRenderedPageBreak/>
        <w:t xml:space="preserve">The PBAC </w:t>
      </w:r>
      <w:r w:rsidR="00CF2AB1" w:rsidRPr="00CF2AB1">
        <w:rPr>
          <w:bCs/>
          <w:szCs w:val="22"/>
          <w:lang w:val="en-GB"/>
        </w:rPr>
        <w:t xml:space="preserve">recommended </w:t>
      </w:r>
      <w:r w:rsidRPr="00570DF8">
        <w:t xml:space="preserve">that abatacept 125mg/mL injection, 4 x 1mL autoinjector and abatacept 125mg/mL injection, 4 x 1mL pre-filled syringe </w:t>
      </w:r>
      <w:r>
        <w:t>should</w:t>
      </w:r>
      <w:r w:rsidRPr="00570DF8">
        <w:t xml:space="preserve"> be considered equivalent for the purposes of substitution (‘a’ flagged in the Schedule), given that the injection volume of both delivery device is equivalent to 125 mg of abatacept.</w:t>
      </w:r>
    </w:p>
    <w:p w:rsidR="00570DF8" w:rsidRPr="00570DF8" w:rsidRDefault="00570DF8" w:rsidP="00542A5F">
      <w:pPr>
        <w:pStyle w:val="Subtitle"/>
      </w:pPr>
      <w:r w:rsidRPr="00570DF8">
        <w:t xml:space="preserve">The </w:t>
      </w:r>
      <w:r w:rsidRPr="00CF2AB1">
        <w:t xml:space="preserve">PBAC </w:t>
      </w:r>
      <w:r w:rsidR="00CF2AB1" w:rsidRPr="00CF2AB1">
        <w:t>noted</w:t>
      </w:r>
      <w:r w:rsidRPr="00CF2AB1">
        <w:t xml:space="preserve"> that a flow-on change will be required to the Administrative Notes for the following drugs </w:t>
      </w:r>
      <w:r w:rsidRPr="00570DF8">
        <w:t>listed for treating rheumatoid arthritis:</w:t>
      </w:r>
    </w:p>
    <w:p w:rsidR="00570DF8" w:rsidRPr="00542A5F" w:rsidRDefault="00570DF8" w:rsidP="00542A5F">
      <w:pPr>
        <w:pStyle w:val="IntenseQuote"/>
      </w:pPr>
      <w:r w:rsidRPr="00542A5F">
        <w:t>adalimumab</w:t>
      </w:r>
    </w:p>
    <w:p w:rsidR="00570DF8" w:rsidRPr="00542A5F" w:rsidRDefault="00570DF8" w:rsidP="00542A5F">
      <w:pPr>
        <w:pStyle w:val="IntenseQuote"/>
      </w:pPr>
      <w:r w:rsidRPr="00542A5F">
        <w:t>certolizumab</w:t>
      </w:r>
    </w:p>
    <w:p w:rsidR="00570DF8" w:rsidRPr="00542A5F" w:rsidRDefault="00570DF8" w:rsidP="00542A5F">
      <w:pPr>
        <w:pStyle w:val="IntenseQuote"/>
      </w:pPr>
      <w:r w:rsidRPr="00542A5F">
        <w:t>etanercept</w:t>
      </w:r>
    </w:p>
    <w:p w:rsidR="00570DF8" w:rsidRPr="00542A5F" w:rsidRDefault="00570DF8" w:rsidP="00542A5F">
      <w:pPr>
        <w:pStyle w:val="IntenseQuote"/>
      </w:pPr>
      <w:r w:rsidRPr="00542A5F">
        <w:t>golimumab</w:t>
      </w:r>
    </w:p>
    <w:p w:rsidR="00570DF8" w:rsidRPr="00542A5F" w:rsidRDefault="00570DF8" w:rsidP="00542A5F">
      <w:pPr>
        <w:pStyle w:val="IntenseQuote"/>
      </w:pPr>
      <w:r w:rsidRPr="00542A5F">
        <w:t>infliximab</w:t>
      </w:r>
    </w:p>
    <w:p w:rsidR="00570DF8" w:rsidRPr="00542A5F" w:rsidRDefault="00570DF8" w:rsidP="00542A5F">
      <w:pPr>
        <w:pStyle w:val="IntenseQuote"/>
      </w:pPr>
      <w:r w:rsidRPr="00542A5F">
        <w:t>rituximab</w:t>
      </w:r>
    </w:p>
    <w:p w:rsidR="00570DF8" w:rsidRPr="00542A5F" w:rsidRDefault="00570DF8" w:rsidP="00542A5F">
      <w:pPr>
        <w:pStyle w:val="IntenseQuote"/>
      </w:pPr>
      <w:r w:rsidRPr="00542A5F">
        <w:t>tocilizumab</w:t>
      </w:r>
    </w:p>
    <w:p w:rsidR="00570DF8" w:rsidRPr="00542A5F" w:rsidRDefault="00570DF8" w:rsidP="00542A5F">
      <w:pPr>
        <w:pStyle w:val="IntenseQuote"/>
      </w:pPr>
      <w:r w:rsidRPr="00542A5F">
        <w:t>tofacitinib</w:t>
      </w:r>
    </w:p>
    <w:p w:rsidR="00570DF8" w:rsidRPr="00542A5F" w:rsidRDefault="00570DF8" w:rsidP="00542A5F">
      <w:pPr>
        <w:pStyle w:val="IntenseQuote"/>
      </w:pPr>
      <w:r w:rsidRPr="00542A5F">
        <w:t>abatacept</w:t>
      </w:r>
    </w:p>
    <w:p w:rsidR="00DA57DB" w:rsidRPr="002F3E9A" w:rsidRDefault="00DA57DB" w:rsidP="002F3E9A">
      <w:pPr>
        <w:pStyle w:val="Subtitle"/>
      </w:pPr>
      <w:r w:rsidRPr="00DA57DB">
        <w:t xml:space="preserve">Therefore, to ensure consistency between listings, the PBAC </w:t>
      </w:r>
      <w:r w:rsidR="00CF2AB1" w:rsidRPr="00CF2AB1">
        <w:rPr>
          <w:bCs/>
          <w:szCs w:val="22"/>
          <w:lang w:val="en-GB"/>
        </w:rPr>
        <w:t>recommended</w:t>
      </w:r>
      <w:r w:rsidRPr="00DA57DB">
        <w:t xml:space="preserve"> that the </w:t>
      </w:r>
      <w:r w:rsidRPr="00542A5F">
        <w:t>Administrative</w:t>
      </w:r>
      <w:r w:rsidRPr="00DA57DB">
        <w:t xml:space="preserve"> Note for all listings – including for the autoinjector – should be worded as below:</w:t>
      </w:r>
    </w:p>
    <w:p w:rsidR="00DA57DB" w:rsidRPr="002F3E9A" w:rsidRDefault="00DA57DB" w:rsidP="002F3E9A">
      <w:pPr>
        <w:pStyle w:val="Quote"/>
      </w:pPr>
      <w:r w:rsidRPr="002F3E9A">
        <w:t>‘Abatacept patients:</w:t>
      </w:r>
    </w:p>
    <w:p w:rsidR="000E195B" w:rsidRPr="002F3E9A" w:rsidRDefault="00DA57DB" w:rsidP="002F3E9A">
      <w:pPr>
        <w:pStyle w:val="Quote"/>
      </w:pPr>
      <w:r w:rsidRPr="002F3E9A">
        <w:t>Patients are eligible to receive one I.V. loading dose when commencing treatment with the subcutaneous formulation. For these patients two prescriptions are required, the first prescription for the I.V. loading dose for sufficient vials for one dose based on the patient's weight with no repeats. The second prescription for the subcutaneous formulation, with a maximum quantity of 4 and up to 3 repeats, must be submitted with the initial application.’</w:t>
      </w:r>
    </w:p>
    <w:p w:rsidR="000E195B" w:rsidRPr="00DA57DB" w:rsidRDefault="000E195B" w:rsidP="002F3E9A">
      <w:pPr>
        <w:pStyle w:val="Heading2"/>
        <w:rPr>
          <w:snapToGrid w:val="0"/>
          <w:lang w:val="en-GB" w:eastAsia="en-US"/>
        </w:rPr>
      </w:pPr>
      <w:r w:rsidRPr="002F3E9A">
        <w:rPr>
          <w:rStyle w:val="Strong"/>
          <w:rFonts w:cs="Times New Roman"/>
          <w:b/>
          <w:bCs w:val="0"/>
          <w:lang w:val="en-AU" w:eastAsia="en-AU"/>
        </w:rPr>
        <w:t>Outcome</w:t>
      </w:r>
      <w:r w:rsidRPr="00DA57DB">
        <w:rPr>
          <w:snapToGrid w:val="0"/>
          <w:lang w:val="en-GB" w:eastAsia="en-US"/>
        </w:rPr>
        <w:t>:</w:t>
      </w:r>
    </w:p>
    <w:p w:rsidR="000E195B" w:rsidRPr="002C4CC6" w:rsidRDefault="00F00BAB" w:rsidP="002C4CC6">
      <w:pPr>
        <w:jc w:val="both"/>
        <w:rPr>
          <w:rFonts w:cs="Arial"/>
          <w:bCs/>
          <w:snapToGrid w:val="0"/>
          <w:szCs w:val="22"/>
          <w:lang w:val="en-GB" w:eastAsia="en-US"/>
        </w:rPr>
      </w:pPr>
      <w:r w:rsidRPr="00DA57DB">
        <w:rPr>
          <w:rFonts w:cs="Arial"/>
          <w:bCs/>
          <w:snapToGrid w:val="0"/>
          <w:szCs w:val="22"/>
          <w:lang w:val="en-GB" w:eastAsia="en-US"/>
        </w:rPr>
        <w:t>Recommended</w:t>
      </w:r>
    </w:p>
    <w:p w:rsidR="000E195B" w:rsidRPr="00542A5F" w:rsidRDefault="000E195B" w:rsidP="0098318C">
      <w:pPr>
        <w:pStyle w:val="Heading1"/>
        <w:rPr>
          <w:i/>
          <w:snapToGrid w:val="0"/>
          <w:lang w:val="en-GB" w:eastAsia="en-US"/>
        </w:rPr>
      </w:pPr>
      <w:r w:rsidRPr="00FB6124">
        <w:rPr>
          <w:snapToGrid w:val="0"/>
          <w:lang w:val="en-GB" w:eastAsia="en-US"/>
        </w:rPr>
        <w:t>Recommended listing</w:t>
      </w:r>
    </w:p>
    <w:p w:rsidR="002C4CC6" w:rsidRPr="002F3E9A" w:rsidRDefault="00736BD6" w:rsidP="002F3E9A">
      <w:pPr>
        <w:pStyle w:val="Subtitle"/>
        <w:rPr>
          <w:bCs/>
        </w:rPr>
      </w:pPr>
      <w:r w:rsidRPr="000F0EFF">
        <w:rPr>
          <w:bCs/>
        </w:rPr>
        <w:t>R</w:t>
      </w:r>
      <w:r w:rsidR="000E195B" w:rsidRPr="000F0EFF">
        <w:rPr>
          <w:bCs/>
        </w:rPr>
        <w:t xml:space="preserve">ecommended </w:t>
      </w:r>
      <w:r w:rsidR="00FB6124" w:rsidRPr="000F0EFF">
        <w:rPr>
          <w:bCs/>
        </w:rPr>
        <w:t xml:space="preserve">new listing, with </w:t>
      </w:r>
      <w:r w:rsidR="00FB6124" w:rsidRPr="000F0EFF">
        <w:t>the</w:t>
      </w:r>
      <w:r w:rsidR="00FB6124" w:rsidRPr="00C408AC">
        <w:t xml:space="preserve"> same </w:t>
      </w:r>
      <w:r w:rsidR="00FB6124">
        <w:t xml:space="preserve">restriction </w:t>
      </w:r>
      <w:r w:rsidR="00FB6124" w:rsidRPr="00C408AC">
        <w:t xml:space="preserve">wording </w:t>
      </w:r>
      <w:r w:rsidR="00FB6124">
        <w:t>as the current listing</w:t>
      </w:r>
      <w:r w:rsidR="006F58BA">
        <w:t>s</w:t>
      </w:r>
      <w:r w:rsidR="00FB6124">
        <w:t xml:space="preserve"> for </w:t>
      </w:r>
      <w:r w:rsidR="00FB6124" w:rsidRPr="00C408AC">
        <w:t>abatacept 125 mg/mL</w:t>
      </w:r>
      <w:r w:rsidR="00FB6124" w:rsidRPr="00542A5F">
        <w:rPr>
          <w:rStyle w:val="SubtitleChar"/>
        </w:rPr>
        <w:t xml:space="preserve"> </w:t>
      </w:r>
      <w:r w:rsidR="00FB6124" w:rsidRPr="00C408AC">
        <w:t xml:space="preserve">injection, 4 x 1 mL </w:t>
      </w:r>
      <w:r w:rsidR="00FB6124">
        <w:t xml:space="preserve">pre-filled </w:t>
      </w:r>
      <w:r w:rsidR="00FB6124" w:rsidRPr="00C408AC">
        <w:t>syringes</w:t>
      </w:r>
      <w:r w:rsidR="00FB6124">
        <w:t xml:space="preserve">, </w:t>
      </w:r>
      <w:r w:rsidR="000F0EFF">
        <w:t>but including</w:t>
      </w:r>
      <w:r w:rsidR="00FB6124">
        <w:t xml:space="preserve"> a minor amendment to the Administ</w:t>
      </w:r>
      <w:r w:rsidR="004E7654">
        <w:t>rative NOTE as per paragraph 6.5</w:t>
      </w:r>
      <w:r w:rsidR="00FB6124">
        <w:t xml:space="preserve"> above.</w:t>
      </w:r>
    </w:p>
    <w:p w:rsidR="002F3E9A" w:rsidRDefault="002F3E9A">
      <w:pPr>
        <w:spacing w:after="200" w:line="276" w:lineRule="auto"/>
        <w:rPr>
          <w:rFonts w:cs="Arial"/>
          <w:snapToGrid w:val="0"/>
          <w:lang w:eastAsia="en-US"/>
        </w:rPr>
      </w:pPr>
      <w:r>
        <w:br w:type="page"/>
      </w:r>
    </w:p>
    <w:p w:rsidR="002B3179" w:rsidRDefault="00FB6124" w:rsidP="002F3E9A">
      <w:pPr>
        <w:pStyle w:val="Quote"/>
      </w:pPr>
      <w:r>
        <w:lastRenderedPageBreak/>
        <w:t>Initial treatment</w:t>
      </w:r>
    </w:p>
    <w:tbl>
      <w:tblPr>
        <w:tblW w:w="7087" w:type="dxa"/>
        <w:tblInd w:w="817" w:type="dxa"/>
        <w:tblLayout w:type="fixed"/>
        <w:tblLook w:val="0000" w:firstRow="0" w:lastRow="0" w:firstColumn="0" w:lastColumn="0" w:noHBand="0" w:noVBand="0"/>
        <w:tblCaption w:val="Recommended PBS listing - initial treatment"/>
      </w:tblPr>
      <w:tblGrid>
        <w:gridCol w:w="3119"/>
        <w:gridCol w:w="850"/>
        <w:gridCol w:w="709"/>
        <w:gridCol w:w="1275"/>
        <w:gridCol w:w="1134"/>
      </w:tblGrid>
      <w:tr w:rsidR="007812CA" w:rsidRPr="005D514D" w:rsidTr="007812CA">
        <w:trPr>
          <w:cantSplit/>
          <w:trHeight w:val="471"/>
        </w:trPr>
        <w:tc>
          <w:tcPr>
            <w:tcW w:w="3119" w:type="dxa"/>
            <w:tcBorders>
              <w:bottom w:val="single" w:sz="4" w:space="0" w:color="auto"/>
            </w:tcBorders>
          </w:tcPr>
          <w:p w:rsidR="007812CA" w:rsidRPr="002F3E9A" w:rsidRDefault="007812CA" w:rsidP="00D94009">
            <w:pPr>
              <w:keepNext/>
              <w:ind w:left="-108"/>
              <w:jc w:val="both"/>
              <w:rPr>
                <w:rStyle w:val="Emphasis"/>
              </w:rPr>
            </w:pPr>
            <w:r w:rsidRPr="002F3E9A">
              <w:rPr>
                <w:rStyle w:val="Emphasis"/>
              </w:rPr>
              <w:t>Name, Restriction,</w:t>
            </w:r>
          </w:p>
          <w:p w:rsidR="007812CA" w:rsidRPr="002F3E9A" w:rsidRDefault="007812CA" w:rsidP="00D94009">
            <w:pPr>
              <w:keepNext/>
              <w:ind w:left="-108"/>
              <w:jc w:val="both"/>
              <w:rPr>
                <w:rStyle w:val="Emphasis"/>
              </w:rPr>
            </w:pPr>
            <w:r w:rsidRPr="002F3E9A">
              <w:rPr>
                <w:rStyle w:val="Emphasis"/>
              </w:rPr>
              <w:t>Manner of administration and form</w:t>
            </w:r>
          </w:p>
        </w:tc>
        <w:tc>
          <w:tcPr>
            <w:tcW w:w="850" w:type="dxa"/>
            <w:tcBorders>
              <w:bottom w:val="single" w:sz="4" w:space="0" w:color="auto"/>
            </w:tcBorders>
          </w:tcPr>
          <w:p w:rsidR="007812CA" w:rsidRPr="002F3E9A" w:rsidRDefault="007812CA" w:rsidP="00D94009">
            <w:pPr>
              <w:keepNext/>
              <w:ind w:left="-108"/>
              <w:jc w:val="both"/>
              <w:rPr>
                <w:rStyle w:val="Emphasis"/>
              </w:rPr>
            </w:pPr>
            <w:r w:rsidRPr="002F3E9A">
              <w:rPr>
                <w:rStyle w:val="Emphasis"/>
              </w:rPr>
              <w:t>Max.</w:t>
            </w:r>
          </w:p>
          <w:p w:rsidR="007812CA" w:rsidRPr="002F3E9A" w:rsidRDefault="007812CA" w:rsidP="00D94009">
            <w:pPr>
              <w:keepNext/>
              <w:ind w:left="-108"/>
              <w:jc w:val="both"/>
              <w:rPr>
                <w:rStyle w:val="Emphasis"/>
              </w:rPr>
            </w:pPr>
            <w:r w:rsidRPr="002F3E9A">
              <w:rPr>
                <w:rStyle w:val="Emphasis"/>
              </w:rPr>
              <w:t>Qty</w:t>
            </w:r>
          </w:p>
        </w:tc>
        <w:tc>
          <w:tcPr>
            <w:tcW w:w="709" w:type="dxa"/>
            <w:tcBorders>
              <w:bottom w:val="single" w:sz="4" w:space="0" w:color="auto"/>
            </w:tcBorders>
          </w:tcPr>
          <w:p w:rsidR="007812CA" w:rsidRPr="002F3E9A" w:rsidRDefault="007812CA" w:rsidP="00D94009">
            <w:pPr>
              <w:keepNext/>
              <w:ind w:left="-108"/>
              <w:jc w:val="both"/>
              <w:rPr>
                <w:rStyle w:val="Emphasis"/>
              </w:rPr>
            </w:pPr>
            <w:r w:rsidRPr="002F3E9A">
              <w:rPr>
                <w:rStyle w:val="Emphasis"/>
              </w:rPr>
              <w:t>№.of</w:t>
            </w:r>
          </w:p>
          <w:p w:rsidR="007812CA" w:rsidRPr="002F3E9A" w:rsidRDefault="007812CA" w:rsidP="00D94009">
            <w:pPr>
              <w:keepNext/>
              <w:ind w:left="-108"/>
              <w:jc w:val="both"/>
              <w:rPr>
                <w:rStyle w:val="Emphasis"/>
              </w:rPr>
            </w:pPr>
            <w:r w:rsidRPr="002F3E9A">
              <w:rPr>
                <w:rStyle w:val="Emphasis"/>
              </w:rPr>
              <w:t>Rpts</w:t>
            </w:r>
          </w:p>
        </w:tc>
        <w:tc>
          <w:tcPr>
            <w:tcW w:w="2409" w:type="dxa"/>
            <w:gridSpan w:val="2"/>
            <w:tcBorders>
              <w:bottom w:val="single" w:sz="4" w:space="0" w:color="auto"/>
            </w:tcBorders>
          </w:tcPr>
          <w:p w:rsidR="007812CA" w:rsidRPr="002F3E9A" w:rsidRDefault="007812CA" w:rsidP="00D94009">
            <w:pPr>
              <w:keepNext/>
              <w:jc w:val="both"/>
              <w:rPr>
                <w:rStyle w:val="Emphasis"/>
              </w:rPr>
            </w:pPr>
            <w:r w:rsidRPr="002F3E9A">
              <w:rPr>
                <w:rStyle w:val="Emphasis"/>
              </w:rPr>
              <w:t>Proprietary Name and Manufacturer</w:t>
            </w:r>
          </w:p>
        </w:tc>
      </w:tr>
      <w:tr w:rsidR="007812CA" w:rsidRPr="005D514D" w:rsidTr="007812CA">
        <w:trPr>
          <w:cantSplit/>
          <w:trHeight w:val="577"/>
        </w:trPr>
        <w:tc>
          <w:tcPr>
            <w:tcW w:w="3119" w:type="dxa"/>
          </w:tcPr>
          <w:p w:rsidR="007812CA" w:rsidRPr="002F3E9A" w:rsidRDefault="007812CA" w:rsidP="00D94009">
            <w:pPr>
              <w:keepNext/>
              <w:ind w:left="-108"/>
              <w:jc w:val="both"/>
              <w:rPr>
                <w:rStyle w:val="IntenseEmphasis"/>
              </w:rPr>
            </w:pPr>
            <w:r w:rsidRPr="002F3E9A">
              <w:rPr>
                <w:rStyle w:val="IntenseEmphasis"/>
              </w:rPr>
              <w:t>ABATACEPT</w:t>
            </w:r>
          </w:p>
          <w:p w:rsidR="007812CA" w:rsidRPr="002F3E9A" w:rsidRDefault="007812CA" w:rsidP="00D94009">
            <w:pPr>
              <w:keepNext/>
              <w:ind w:left="-108"/>
              <w:jc w:val="both"/>
              <w:rPr>
                <w:rStyle w:val="IntenseEmphasis"/>
              </w:rPr>
            </w:pPr>
            <w:r w:rsidRPr="002F3E9A">
              <w:rPr>
                <w:rStyle w:val="IntenseEmphasis"/>
              </w:rPr>
              <w:t xml:space="preserve">abatacept 125 ng in 1 mL single dose, 4 x 1 mL pre-filled autoinjector  </w:t>
            </w:r>
          </w:p>
        </w:tc>
        <w:tc>
          <w:tcPr>
            <w:tcW w:w="850" w:type="dxa"/>
          </w:tcPr>
          <w:p w:rsidR="007812CA" w:rsidRPr="002F3E9A" w:rsidRDefault="007812CA" w:rsidP="00D94009">
            <w:pPr>
              <w:keepNext/>
              <w:ind w:left="-108"/>
              <w:jc w:val="both"/>
              <w:rPr>
                <w:rStyle w:val="IntenseEmphasis"/>
              </w:rPr>
            </w:pPr>
          </w:p>
          <w:p w:rsidR="007812CA" w:rsidRPr="002F3E9A" w:rsidRDefault="007812CA" w:rsidP="00D94009">
            <w:pPr>
              <w:keepNext/>
              <w:ind w:left="-108"/>
              <w:jc w:val="both"/>
              <w:rPr>
                <w:rStyle w:val="IntenseEmphasis"/>
              </w:rPr>
            </w:pPr>
            <w:r w:rsidRPr="002F3E9A">
              <w:rPr>
                <w:rStyle w:val="IntenseEmphasis"/>
              </w:rPr>
              <w:t xml:space="preserve"> 1</w:t>
            </w:r>
          </w:p>
        </w:tc>
        <w:tc>
          <w:tcPr>
            <w:tcW w:w="709" w:type="dxa"/>
          </w:tcPr>
          <w:p w:rsidR="007812CA" w:rsidRPr="002F3E9A" w:rsidRDefault="007812CA" w:rsidP="00D94009">
            <w:pPr>
              <w:keepNext/>
              <w:ind w:left="-108"/>
              <w:jc w:val="both"/>
              <w:rPr>
                <w:rStyle w:val="IntenseEmphasis"/>
              </w:rPr>
            </w:pPr>
          </w:p>
          <w:p w:rsidR="007812CA" w:rsidRPr="002F3E9A" w:rsidRDefault="007812CA" w:rsidP="00D94009">
            <w:pPr>
              <w:keepNext/>
              <w:ind w:left="-108"/>
              <w:jc w:val="both"/>
              <w:rPr>
                <w:rStyle w:val="IntenseEmphasis"/>
              </w:rPr>
            </w:pPr>
            <w:r w:rsidRPr="002F3E9A">
              <w:rPr>
                <w:rStyle w:val="IntenseEmphasis"/>
              </w:rPr>
              <w:t>3</w:t>
            </w:r>
          </w:p>
        </w:tc>
        <w:tc>
          <w:tcPr>
            <w:tcW w:w="1275" w:type="dxa"/>
          </w:tcPr>
          <w:p w:rsidR="007812CA" w:rsidRPr="002F3E9A" w:rsidRDefault="007812CA" w:rsidP="00D94009">
            <w:pPr>
              <w:keepNext/>
              <w:jc w:val="both"/>
              <w:rPr>
                <w:rStyle w:val="IntenseEmphasis"/>
              </w:rPr>
            </w:pPr>
          </w:p>
          <w:p w:rsidR="007812CA" w:rsidRPr="002F3E9A" w:rsidRDefault="007812CA" w:rsidP="00D94009">
            <w:pPr>
              <w:keepNext/>
              <w:jc w:val="both"/>
              <w:rPr>
                <w:rStyle w:val="IntenseEmphasis"/>
              </w:rPr>
            </w:pPr>
            <w:r w:rsidRPr="002F3E9A">
              <w:rPr>
                <w:rStyle w:val="IntenseEmphasis"/>
              </w:rPr>
              <w:t>Orencia</w:t>
            </w:r>
          </w:p>
        </w:tc>
        <w:tc>
          <w:tcPr>
            <w:tcW w:w="1134" w:type="dxa"/>
          </w:tcPr>
          <w:p w:rsidR="007812CA" w:rsidRPr="002F3E9A" w:rsidRDefault="007812CA" w:rsidP="00D94009">
            <w:pPr>
              <w:keepNext/>
              <w:jc w:val="both"/>
              <w:rPr>
                <w:rStyle w:val="IntenseEmphasis"/>
              </w:rPr>
            </w:pPr>
          </w:p>
          <w:p w:rsidR="007812CA" w:rsidRPr="002F3E9A" w:rsidRDefault="007812CA" w:rsidP="00D94009">
            <w:pPr>
              <w:keepNext/>
              <w:jc w:val="both"/>
              <w:rPr>
                <w:rStyle w:val="IntenseEmphasis"/>
              </w:rPr>
            </w:pPr>
            <w:r w:rsidRPr="002F3E9A">
              <w:rPr>
                <w:rStyle w:val="IntenseEmphasis"/>
              </w:rPr>
              <w:t>BQ</w:t>
            </w:r>
          </w:p>
        </w:tc>
      </w:tr>
    </w:tbl>
    <w:p w:rsidR="007812CA" w:rsidRDefault="007812CA" w:rsidP="00FB6124">
      <w:pPr>
        <w:rPr>
          <w:rFonts w:cs="Arial"/>
          <w:szCs w:val="22"/>
        </w:rPr>
      </w:pPr>
    </w:p>
    <w:p w:rsidR="002B3179" w:rsidRPr="002F3E9A" w:rsidRDefault="00FB6124" w:rsidP="002F3E9A">
      <w:pPr>
        <w:pStyle w:val="Quote"/>
      </w:pPr>
      <w:r w:rsidRPr="002F3E9A">
        <w:t xml:space="preserve">Continuing </w:t>
      </w:r>
      <w:r w:rsidRPr="002F3E9A">
        <w:rPr>
          <w:rStyle w:val="SubtleEmphasis"/>
        </w:rPr>
        <w:t>treatment</w:t>
      </w:r>
    </w:p>
    <w:tbl>
      <w:tblPr>
        <w:tblW w:w="7087" w:type="dxa"/>
        <w:tblInd w:w="817" w:type="dxa"/>
        <w:tblLayout w:type="fixed"/>
        <w:tblLook w:val="0000" w:firstRow="0" w:lastRow="0" w:firstColumn="0" w:lastColumn="0" w:noHBand="0" w:noVBand="0"/>
        <w:tblCaption w:val="Recommended PBS listing - continuing treatment"/>
      </w:tblPr>
      <w:tblGrid>
        <w:gridCol w:w="3119"/>
        <w:gridCol w:w="850"/>
        <w:gridCol w:w="709"/>
        <w:gridCol w:w="1275"/>
        <w:gridCol w:w="1134"/>
      </w:tblGrid>
      <w:tr w:rsidR="007812CA" w:rsidRPr="005D514D" w:rsidTr="007812CA">
        <w:trPr>
          <w:cantSplit/>
          <w:trHeight w:val="471"/>
        </w:trPr>
        <w:tc>
          <w:tcPr>
            <w:tcW w:w="3119" w:type="dxa"/>
            <w:tcBorders>
              <w:bottom w:val="single" w:sz="4" w:space="0" w:color="auto"/>
            </w:tcBorders>
          </w:tcPr>
          <w:p w:rsidR="007812CA" w:rsidRPr="002F3E9A" w:rsidRDefault="007812CA" w:rsidP="00D94009">
            <w:pPr>
              <w:keepNext/>
              <w:ind w:left="-108"/>
              <w:jc w:val="both"/>
              <w:rPr>
                <w:rStyle w:val="Emphasis"/>
              </w:rPr>
            </w:pPr>
            <w:r w:rsidRPr="002F3E9A">
              <w:rPr>
                <w:rStyle w:val="Emphasis"/>
              </w:rPr>
              <w:t>Name, Restriction,</w:t>
            </w:r>
          </w:p>
          <w:p w:rsidR="007812CA" w:rsidRPr="002F3E9A" w:rsidRDefault="007812CA" w:rsidP="00D94009">
            <w:pPr>
              <w:keepNext/>
              <w:ind w:left="-108"/>
              <w:jc w:val="both"/>
              <w:rPr>
                <w:rStyle w:val="Emphasis"/>
              </w:rPr>
            </w:pPr>
            <w:r w:rsidRPr="002F3E9A">
              <w:rPr>
                <w:rStyle w:val="Emphasis"/>
              </w:rPr>
              <w:t>Manner of administration and form</w:t>
            </w:r>
          </w:p>
        </w:tc>
        <w:tc>
          <w:tcPr>
            <w:tcW w:w="850" w:type="dxa"/>
            <w:tcBorders>
              <w:bottom w:val="single" w:sz="4" w:space="0" w:color="auto"/>
            </w:tcBorders>
          </w:tcPr>
          <w:p w:rsidR="007812CA" w:rsidRPr="002F3E9A" w:rsidRDefault="007812CA" w:rsidP="00D94009">
            <w:pPr>
              <w:keepNext/>
              <w:ind w:left="-108"/>
              <w:jc w:val="both"/>
              <w:rPr>
                <w:rStyle w:val="Emphasis"/>
              </w:rPr>
            </w:pPr>
            <w:r w:rsidRPr="002F3E9A">
              <w:rPr>
                <w:rStyle w:val="Emphasis"/>
              </w:rPr>
              <w:t>Max.</w:t>
            </w:r>
          </w:p>
          <w:p w:rsidR="007812CA" w:rsidRPr="002F3E9A" w:rsidRDefault="007812CA" w:rsidP="00D94009">
            <w:pPr>
              <w:keepNext/>
              <w:ind w:left="-108"/>
              <w:jc w:val="both"/>
              <w:rPr>
                <w:rStyle w:val="Emphasis"/>
              </w:rPr>
            </w:pPr>
            <w:r w:rsidRPr="002F3E9A">
              <w:rPr>
                <w:rStyle w:val="Emphasis"/>
              </w:rPr>
              <w:t>Qty</w:t>
            </w:r>
          </w:p>
        </w:tc>
        <w:tc>
          <w:tcPr>
            <w:tcW w:w="709" w:type="dxa"/>
            <w:tcBorders>
              <w:bottom w:val="single" w:sz="4" w:space="0" w:color="auto"/>
            </w:tcBorders>
          </w:tcPr>
          <w:p w:rsidR="007812CA" w:rsidRPr="002F3E9A" w:rsidRDefault="007812CA" w:rsidP="00D94009">
            <w:pPr>
              <w:keepNext/>
              <w:ind w:left="-108"/>
              <w:jc w:val="both"/>
              <w:rPr>
                <w:rStyle w:val="Emphasis"/>
              </w:rPr>
            </w:pPr>
            <w:r w:rsidRPr="002F3E9A">
              <w:rPr>
                <w:rStyle w:val="Emphasis"/>
              </w:rPr>
              <w:t>№.of</w:t>
            </w:r>
          </w:p>
          <w:p w:rsidR="007812CA" w:rsidRPr="002F3E9A" w:rsidRDefault="007812CA" w:rsidP="00D94009">
            <w:pPr>
              <w:keepNext/>
              <w:ind w:left="-108"/>
              <w:jc w:val="both"/>
              <w:rPr>
                <w:rStyle w:val="Emphasis"/>
              </w:rPr>
            </w:pPr>
            <w:r w:rsidRPr="002F3E9A">
              <w:rPr>
                <w:rStyle w:val="Emphasis"/>
              </w:rPr>
              <w:t>Rpts</w:t>
            </w:r>
          </w:p>
        </w:tc>
        <w:tc>
          <w:tcPr>
            <w:tcW w:w="2409" w:type="dxa"/>
            <w:gridSpan w:val="2"/>
            <w:tcBorders>
              <w:bottom w:val="single" w:sz="4" w:space="0" w:color="auto"/>
            </w:tcBorders>
          </w:tcPr>
          <w:p w:rsidR="007812CA" w:rsidRPr="002F3E9A" w:rsidRDefault="007812CA" w:rsidP="00D94009">
            <w:pPr>
              <w:keepNext/>
              <w:jc w:val="both"/>
              <w:rPr>
                <w:rStyle w:val="Emphasis"/>
              </w:rPr>
            </w:pPr>
            <w:r w:rsidRPr="002F3E9A">
              <w:rPr>
                <w:rStyle w:val="Emphasis"/>
              </w:rPr>
              <w:t>Proprietary Name and Manufacturer</w:t>
            </w:r>
          </w:p>
        </w:tc>
      </w:tr>
      <w:tr w:rsidR="007812CA" w:rsidRPr="005D514D" w:rsidTr="007812CA">
        <w:trPr>
          <w:cantSplit/>
          <w:trHeight w:val="577"/>
        </w:trPr>
        <w:tc>
          <w:tcPr>
            <w:tcW w:w="3119" w:type="dxa"/>
          </w:tcPr>
          <w:p w:rsidR="007812CA" w:rsidRPr="002F3E9A" w:rsidRDefault="007812CA" w:rsidP="00D94009">
            <w:pPr>
              <w:keepNext/>
              <w:ind w:left="-108"/>
              <w:jc w:val="both"/>
              <w:rPr>
                <w:rStyle w:val="IntenseEmphasis"/>
              </w:rPr>
            </w:pPr>
            <w:r w:rsidRPr="002F3E9A">
              <w:rPr>
                <w:rStyle w:val="IntenseEmphasis"/>
              </w:rPr>
              <w:t>ABATACEPT</w:t>
            </w:r>
          </w:p>
          <w:p w:rsidR="007812CA" w:rsidRPr="002F3E9A" w:rsidRDefault="007812CA" w:rsidP="00D94009">
            <w:pPr>
              <w:keepNext/>
              <w:ind w:left="-108"/>
              <w:jc w:val="both"/>
              <w:rPr>
                <w:rStyle w:val="IntenseEmphasis"/>
              </w:rPr>
            </w:pPr>
            <w:r w:rsidRPr="002F3E9A">
              <w:rPr>
                <w:rStyle w:val="IntenseEmphasis"/>
              </w:rPr>
              <w:t xml:space="preserve">abatacept 125 ng in 1 mL single dose, 4 x 1 mL pre-filled autoinjector  </w:t>
            </w:r>
          </w:p>
        </w:tc>
        <w:tc>
          <w:tcPr>
            <w:tcW w:w="850" w:type="dxa"/>
          </w:tcPr>
          <w:p w:rsidR="007812CA" w:rsidRPr="002F3E9A" w:rsidRDefault="007812CA" w:rsidP="00D94009">
            <w:pPr>
              <w:keepNext/>
              <w:ind w:left="-108"/>
              <w:jc w:val="both"/>
              <w:rPr>
                <w:rStyle w:val="IntenseEmphasis"/>
              </w:rPr>
            </w:pPr>
          </w:p>
          <w:p w:rsidR="007812CA" w:rsidRPr="002F3E9A" w:rsidRDefault="007812CA" w:rsidP="00D94009">
            <w:pPr>
              <w:keepNext/>
              <w:ind w:left="-108"/>
              <w:jc w:val="both"/>
              <w:rPr>
                <w:rStyle w:val="IntenseEmphasis"/>
              </w:rPr>
            </w:pPr>
            <w:r w:rsidRPr="002F3E9A">
              <w:rPr>
                <w:rStyle w:val="IntenseEmphasis"/>
              </w:rPr>
              <w:t>1</w:t>
            </w:r>
          </w:p>
        </w:tc>
        <w:tc>
          <w:tcPr>
            <w:tcW w:w="709" w:type="dxa"/>
          </w:tcPr>
          <w:p w:rsidR="007812CA" w:rsidRPr="002F3E9A" w:rsidRDefault="007812CA" w:rsidP="00D94009">
            <w:pPr>
              <w:keepNext/>
              <w:ind w:left="-108"/>
              <w:jc w:val="both"/>
              <w:rPr>
                <w:rStyle w:val="IntenseEmphasis"/>
              </w:rPr>
            </w:pPr>
          </w:p>
          <w:p w:rsidR="007812CA" w:rsidRPr="002F3E9A" w:rsidRDefault="007812CA" w:rsidP="00D94009">
            <w:pPr>
              <w:keepNext/>
              <w:ind w:left="-108"/>
              <w:jc w:val="both"/>
              <w:rPr>
                <w:rStyle w:val="IntenseEmphasis"/>
              </w:rPr>
            </w:pPr>
            <w:r w:rsidRPr="002F3E9A">
              <w:rPr>
                <w:rStyle w:val="IntenseEmphasis"/>
              </w:rPr>
              <w:t>5</w:t>
            </w:r>
          </w:p>
        </w:tc>
        <w:tc>
          <w:tcPr>
            <w:tcW w:w="1275" w:type="dxa"/>
          </w:tcPr>
          <w:p w:rsidR="007812CA" w:rsidRPr="002F3E9A" w:rsidRDefault="007812CA" w:rsidP="00D94009">
            <w:pPr>
              <w:keepNext/>
              <w:jc w:val="both"/>
              <w:rPr>
                <w:rStyle w:val="IntenseEmphasis"/>
              </w:rPr>
            </w:pPr>
          </w:p>
          <w:p w:rsidR="007812CA" w:rsidRPr="002F3E9A" w:rsidRDefault="007812CA" w:rsidP="00D94009">
            <w:pPr>
              <w:keepNext/>
              <w:jc w:val="both"/>
              <w:rPr>
                <w:rStyle w:val="IntenseEmphasis"/>
              </w:rPr>
            </w:pPr>
            <w:r w:rsidRPr="002F3E9A">
              <w:rPr>
                <w:rStyle w:val="IntenseEmphasis"/>
              </w:rPr>
              <w:t>Orencia</w:t>
            </w:r>
          </w:p>
        </w:tc>
        <w:tc>
          <w:tcPr>
            <w:tcW w:w="1134" w:type="dxa"/>
          </w:tcPr>
          <w:p w:rsidR="007812CA" w:rsidRPr="002F3E9A" w:rsidRDefault="007812CA" w:rsidP="00D94009">
            <w:pPr>
              <w:keepNext/>
              <w:jc w:val="both"/>
              <w:rPr>
                <w:rStyle w:val="IntenseEmphasis"/>
              </w:rPr>
            </w:pPr>
          </w:p>
          <w:p w:rsidR="007812CA" w:rsidRPr="002F3E9A" w:rsidRDefault="007812CA" w:rsidP="00D94009">
            <w:pPr>
              <w:keepNext/>
              <w:jc w:val="both"/>
              <w:rPr>
                <w:rStyle w:val="IntenseEmphasis"/>
              </w:rPr>
            </w:pPr>
            <w:r w:rsidRPr="002F3E9A">
              <w:rPr>
                <w:rStyle w:val="IntenseEmphasis"/>
              </w:rPr>
              <w:t>BQ</w:t>
            </w:r>
          </w:p>
        </w:tc>
      </w:tr>
    </w:tbl>
    <w:p w:rsidR="00FB6124" w:rsidRPr="00FB6124" w:rsidRDefault="00FB6124" w:rsidP="00FB6124">
      <w:pPr>
        <w:widowControl w:val="0"/>
        <w:spacing w:after="120"/>
        <w:contextualSpacing/>
        <w:jc w:val="both"/>
        <w:rPr>
          <w:rFonts w:cs="Arial"/>
          <w:b/>
          <w:bCs/>
          <w:snapToGrid w:val="0"/>
          <w:szCs w:val="22"/>
          <w:lang w:eastAsia="en-US"/>
        </w:rPr>
      </w:pPr>
    </w:p>
    <w:p w:rsidR="00FB6124" w:rsidRDefault="00736BD6" w:rsidP="00542A5F">
      <w:pPr>
        <w:pStyle w:val="Subtitle"/>
      </w:pPr>
      <w:r w:rsidRPr="00FB6124">
        <w:t>A</w:t>
      </w:r>
      <w:r w:rsidR="000E195B" w:rsidRPr="00FB6124">
        <w:t xml:space="preserve">mend NOTE </w:t>
      </w:r>
      <w:r w:rsidR="00FB6124" w:rsidRPr="00FB6124">
        <w:t>for listings for the below drugs, as per paragraph 6.</w:t>
      </w:r>
      <w:r w:rsidR="00140D9D">
        <w:t>5</w:t>
      </w:r>
      <w:r w:rsidR="00FB6124" w:rsidRPr="00FB6124">
        <w:t xml:space="preserve"> above.</w:t>
      </w:r>
    </w:p>
    <w:p w:rsidR="00FB6124" w:rsidRPr="00570DF8" w:rsidRDefault="00FB6124" w:rsidP="00542A5F">
      <w:pPr>
        <w:pStyle w:val="IntenseQuote"/>
      </w:pPr>
      <w:r w:rsidRPr="00570DF8">
        <w:t>adalimumab</w:t>
      </w:r>
    </w:p>
    <w:p w:rsidR="00FB6124" w:rsidRPr="00570DF8" w:rsidRDefault="00FB6124" w:rsidP="00542A5F">
      <w:pPr>
        <w:pStyle w:val="IntenseQuote"/>
      </w:pPr>
      <w:r w:rsidRPr="00570DF8">
        <w:t>certolizumab</w:t>
      </w:r>
    </w:p>
    <w:p w:rsidR="00FB6124" w:rsidRPr="00570DF8" w:rsidRDefault="00FB6124" w:rsidP="00542A5F">
      <w:pPr>
        <w:pStyle w:val="IntenseQuote"/>
      </w:pPr>
      <w:r w:rsidRPr="00570DF8">
        <w:t>etanercept</w:t>
      </w:r>
    </w:p>
    <w:p w:rsidR="00FB6124" w:rsidRPr="00570DF8" w:rsidRDefault="00FB6124" w:rsidP="00542A5F">
      <w:pPr>
        <w:pStyle w:val="IntenseQuote"/>
      </w:pPr>
      <w:r w:rsidRPr="00570DF8">
        <w:t>golimumab</w:t>
      </w:r>
    </w:p>
    <w:p w:rsidR="00FB6124" w:rsidRPr="00570DF8" w:rsidRDefault="00FB6124" w:rsidP="00542A5F">
      <w:pPr>
        <w:pStyle w:val="IntenseQuote"/>
      </w:pPr>
      <w:r w:rsidRPr="00570DF8">
        <w:t>infliximab</w:t>
      </w:r>
    </w:p>
    <w:p w:rsidR="00FB6124" w:rsidRPr="00570DF8" w:rsidRDefault="00FB6124" w:rsidP="00542A5F">
      <w:pPr>
        <w:pStyle w:val="IntenseQuote"/>
      </w:pPr>
      <w:r w:rsidRPr="00570DF8">
        <w:t>rituximab</w:t>
      </w:r>
    </w:p>
    <w:p w:rsidR="00FB6124" w:rsidRPr="00570DF8" w:rsidRDefault="00FB6124" w:rsidP="00542A5F">
      <w:pPr>
        <w:pStyle w:val="IntenseQuote"/>
      </w:pPr>
      <w:r w:rsidRPr="00570DF8">
        <w:t>tocilizumab</w:t>
      </w:r>
    </w:p>
    <w:p w:rsidR="00FB6124" w:rsidRPr="00570DF8" w:rsidRDefault="00FB6124" w:rsidP="00542A5F">
      <w:pPr>
        <w:pStyle w:val="IntenseQuote"/>
      </w:pPr>
      <w:r w:rsidRPr="00570DF8">
        <w:t>tofacitinib</w:t>
      </w:r>
    </w:p>
    <w:p w:rsidR="000F0EFF" w:rsidRDefault="00FB6124" w:rsidP="00542A5F">
      <w:pPr>
        <w:pStyle w:val="IntenseQuote"/>
      </w:pPr>
      <w:r w:rsidRPr="00570DF8">
        <w:t>abatacept</w:t>
      </w:r>
    </w:p>
    <w:p w:rsidR="000F0EFF" w:rsidRPr="002F3E9A" w:rsidRDefault="000F0EFF" w:rsidP="002F3E9A">
      <w:pPr>
        <w:pStyle w:val="Subtitle"/>
      </w:pPr>
      <w:r w:rsidRPr="000F0EFF">
        <w:t xml:space="preserve">Add </w:t>
      </w:r>
      <w:r w:rsidR="00A1257F">
        <w:t>schedule equivalence</w:t>
      </w:r>
      <w:r w:rsidRPr="000F0EFF">
        <w:t xml:space="preserve"> NOTE:</w:t>
      </w:r>
    </w:p>
    <w:p w:rsidR="00615F98" w:rsidRPr="002F3E9A" w:rsidRDefault="000F0EFF" w:rsidP="002F3E9A">
      <w:pPr>
        <w:pStyle w:val="Quote"/>
      </w:pPr>
      <w:r w:rsidRPr="002F3E9A">
        <w:t>Pharmaceutical benefits that have the form abatacept 125 m</w:t>
      </w:r>
      <w:r w:rsidR="00A1257F" w:rsidRPr="002F3E9A">
        <w:t>g/</w:t>
      </w:r>
      <w:r w:rsidRPr="002F3E9A">
        <w:t xml:space="preserve">mL injection syringe and pharmaceutical benefits that have </w:t>
      </w:r>
      <w:r w:rsidRPr="002F3E9A">
        <w:rPr>
          <w:rStyle w:val="SubtleEmphasis"/>
        </w:rPr>
        <w:t>the</w:t>
      </w:r>
      <w:r w:rsidRPr="002F3E9A">
        <w:t xml:space="preserve"> form abatacept 125 mg/mL autoinjector are equivalent for the purposes of substitution.</w:t>
      </w:r>
    </w:p>
    <w:p w:rsidR="00615F98" w:rsidRPr="00542A5F" w:rsidRDefault="00615F98" w:rsidP="00542A5F">
      <w:pPr>
        <w:pStyle w:val="Heading1"/>
        <w:rPr>
          <w:rFonts w:eastAsia="SimSun"/>
          <w:snapToGrid w:val="0"/>
          <w:lang w:eastAsia="en-US"/>
        </w:rPr>
      </w:pPr>
      <w:r w:rsidRPr="00615F98">
        <w:rPr>
          <w:rFonts w:eastAsia="SimSun"/>
          <w:snapToGrid w:val="0"/>
          <w:lang w:eastAsia="en-US"/>
        </w:rPr>
        <w:t>Context for Decision</w:t>
      </w:r>
    </w:p>
    <w:p w:rsidR="00455C35" w:rsidRPr="00542A5F" w:rsidRDefault="00615F98" w:rsidP="002F3E9A">
      <w:pPr>
        <w:pStyle w:val="Quote"/>
      </w:pPr>
      <w:r w:rsidRPr="00542A5F">
        <w:rPr>
          <w:rStyle w:val="SubtleReference"/>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15F98" w:rsidRPr="002F3E9A" w:rsidRDefault="00615F98" w:rsidP="002F3E9A">
      <w:pPr>
        <w:pStyle w:val="Heading1"/>
        <w:rPr>
          <w:rFonts w:eastAsia="SimSun"/>
          <w:snapToGrid w:val="0"/>
          <w:lang w:eastAsia="en-US"/>
        </w:rPr>
      </w:pPr>
      <w:r w:rsidRPr="00615F98">
        <w:rPr>
          <w:rFonts w:eastAsia="SimSun"/>
          <w:snapToGrid w:val="0"/>
          <w:lang w:eastAsia="en-US"/>
        </w:rPr>
        <w:t>Sponsor’s Comment</w:t>
      </w:r>
    </w:p>
    <w:p w:rsidR="00615F98" w:rsidRPr="00542A5F" w:rsidRDefault="00455C35" w:rsidP="002F3E9A">
      <w:pPr>
        <w:pStyle w:val="Quote"/>
      </w:pPr>
      <w:r>
        <w:t xml:space="preserve">The Sponsor had no comment. </w:t>
      </w:r>
    </w:p>
    <w:sectPr w:rsidR="00615F98" w:rsidRPr="00542A5F" w:rsidSect="005F66FD">
      <w:headerReference w:type="even" r:id="rId8"/>
      <w:headerReference w:type="default" r:id="rId9"/>
      <w:footerReference w:type="even" r:id="rId10"/>
      <w:footerReference w:type="default" r:id="rId11"/>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73" w:rsidRDefault="003F2B73" w:rsidP="00F31FFD">
      <w:r>
        <w:separator/>
      </w:r>
    </w:p>
    <w:p w:rsidR="00D223AD" w:rsidRDefault="00D223AD"/>
    <w:p w:rsidR="00D223AD" w:rsidRDefault="00D223AD" w:rsidP="006936C8"/>
    <w:p w:rsidR="00D223AD" w:rsidRDefault="00D223AD" w:rsidP="006936C8"/>
  </w:endnote>
  <w:endnote w:type="continuationSeparator" w:id="0">
    <w:p w:rsidR="003F2B73" w:rsidRDefault="003F2B73" w:rsidP="00F31FFD">
      <w:r>
        <w:continuationSeparator/>
      </w:r>
    </w:p>
    <w:p w:rsidR="00D223AD" w:rsidRDefault="00D223AD"/>
    <w:p w:rsidR="00D223AD" w:rsidRDefault="00D223AD" w:rsidP="006936C8"/>
    <w:p w:rsidR="00D223AD" w:rsidRDefault="00D223AD" w:rsidP="00693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97" w:rsidRDefault="00AE5897">
    <w:pPr>
      <w:pStyle w:val="Footer"/>
    </w:pPr>
  </w:p>
  <w:p w:rsidR="00D223AD" w:rsidRDefault="00D223AD"/>
  <w:p w:rsidR="00D223AD" w:rsidRDefault="00D223AD" w:rsidP="006936C8"/>
  <w:p w:rsidR="00D223AD" w:rsidRDefault="00D223AD" w:rsidP="006936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BD68CF" w:rsidRPr="00BD68CF" w:rsidRDefault="00BD68CF">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421DDE">
          <w:rPr>
            <w:rFonts w:ascii="Arial Narrow" w:hAnsi="Arial Narrow"/>
            <w:noProof/>
            <w:sz w:val="20"/>
            <w:szCs w:val="20"/>
          </w:rPr>
          <w:t>2</w:t>
        </w:r>
        <w:r w:rsidRPr="00BD68CF">
          <w:rPr>
            <w:rFonts w:ascii="Arial Narrow" w:hAnsi="Arial Narrow"/>
            <w:noProof/>
            <w:sz w:val="20"/>
            <w:szCs w:val="20"/>
          </w:rPr>
          <w:fldChar w:fldCharType="end"/>
        </w:r>
      </w:p>
    </w:sdtContent>
  </w:sdt>
  <w:p w:rsidR="00D223AD" w:rsidRDefault="00D223AD"/>
  <w:p w:rsidR="00D223AD" w:rsidRDefault="00D223AD" w:rsidP="006936C8"/>
  <w:p w:rsidR="00D223AD" w:rsidRDefault="00D223AD" w:rsidP="006936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0C" w:rsidRPr="00392515" w:rsidRDefault="00473E0C" w:rsidP="00473E0C">
      <w:pPr>
        <w:rPr>
          <w:rFonts w:cs="Arial"/>
          <w:b/>
        </w:rPr>
      </w:pPr>
      <w:r w:rsidRPr="00392515">
        <w:rPr>
          <w:rFonts w:cs="Arial"/>
          <w:b/>
          <w:highlight w:val="yellow"/>
        </w:rPr>
        <w:t>[INSERT FAX HEADING]</w:t>
      </w:r>
    </w:p>
    <w:p w:rsidR="003F2B73" w:rsidRDefault="003F2B73" w:rsidP="00F31FFD">
      <w:r>
        <w:separator/>
      </w:r>
    </w:p>
    <w:p w:rsidR="00D223AD" w:rsidRDefault="00D223AD"/>
    <w:p w:rsidR="00D223AD" w:rsidRDefault="00D223AD" w:rsidP="006936C8"/>
    <w:p w:rsidR="00D223AD" w:rsidRDefault="00D223AD" w:rsidP="006936C8"/>
  </w:footnote>
  <w:footnote w:type="continuationSeparator" w:id="0">
    <w:p w:rsidR="003F2B73" w:rsidRDefault="003F2B73" w:rsidP="00F31FFD">
      <w:r>
        <w:continuationSeparator/>
      </w:r>
    </w:p>
    <w:p w:rsidR="00D223AD" w:rsidRDefault="00D223AD"/>
    <w:p w:rsidR="00D223AD" w:rsidRDefault="00D223AD" w:rsidP="006936C8"/>
    <w:p w:rsidR="00D223AD" w:rsidRDefault="00D223AD" w:rsidP="006936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97" w:rsidRDefault="00AE5897">
    <w:pPr>
      <w:pStyle w:val="Header"/>
    </w:pPr>
  </w:p>
  <w:p w:rsidR="00D223AD" w:rsidRDefault="00D223AD"/>
  <w:p w:rsidR="00D223AD" w:rsidRDefault="00D223AD" w:rsidP="006936C8"/>
  <w:p w:rsidR="00D223AD" w:rsidRDefault="00D223AD" w:rsidP="006936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76" w:rsidRPr="00D14B76" w:rsidRDefault="00D14B76" w:rsidP="00D14B76">
    <w:pPr>
      <w:pStyle w:val="Header"/>
      <w:jc w:val="center"/>
      <w:rPr>
        <w:rFonts w:cs="Arial"/>
      </w:rPr>
    </w:pPr>
    <w:r w:rsidRPr="00D14B76">
      <w:rPr>
        <w:rFonts w:cs="Arial"/>
        <w:i/>
        <w:color w:val="808080"/>
      </w:rPr>
      <w:t>Public Summary Document – November 2015 PBAC Meeting</w:t>
    </w:r>
  </w:p>
  <w:p w:rsidR="005F66FD" w:rsidRPr="00D14B76" w:rsidRDefault="005F66FD" w:rsidP="00D14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680"/>
    <w:multiLevelType w:val="hybridMultilevel"/>
    <w:tmpl w:val="F1E0E4BE"/>
    <w:lvl w:ilvl="0" w:tplc="543E5F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D51E1"/>
    <w:multiLevelType w:val="multilevel"/>
    <w:tmpl w:val="AEC087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EB60EA"/>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91D480D"/>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0B195EC9"/>
    <w:multiLevelType w:val="hybridMultilevel"/>
    <w:tmpl w:val="1728B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96A51"/>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1B8612D2"/>
    <w:multiLevelType w:val="hybridMultilevel"/>
    <w:tmpl w:val="79B6B656"/>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5A30880"/>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5B5C2A8A"/>
    <w:multiLevelType w:val="hybridMultilevel"/>
    <w:tmpl w:val="B874EBCA"/>
    <w:lvl w:ilvl="0" w:tplc="5B44A1FC">
      <w:start w:val="1"/>
      <w:numFmt w:val="bullet"/>
      <w:pStyle w:val="IntenseQuote"/>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1B76880"/>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68281DA6"/>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6A712CBE"/>
    <w:multiLevelType w:val="hybridMultilevel"/>
    <w:tmpl w:val="6390F588"/>
    <w:lvl w:ilvl="0" w:tplc="85D846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84D033C"/>
    <w:multiLevelType w:val="multilevel"/>
    <w:tmpl w:val="5D7242A4"/>
    <w:lvl w:ilvl="0">
      <w:start w:val="1"/>
      <w:numFmt w:val="decimal"/>
      <w:pStyle w:val="PBACHeading1"/>
      <w:lvlText w:val="%1"/>
      <w:lvlJc w:val="left"/>
      <w:pPr>
        <w:ind w:left="720" w:hanging="720"/>
      </w:pPr>
      <w:rPr>
        <w:b/>
      </w:rPr>
    </w:lvl>
    <w:lvl w:ilvl="1">
      <w:start w:val="1"/>
      <w:numFmt w:val="decimal"/>
      <w:pStyle w:val="Subtitle"/>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315423"/>
    <w:multiLevelType w:val="multilevel"/>
    <w:tmpl w:val="AEC0877C"/>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14"/>
  </w:num>
  <w:num w:numId="3">
    <w:abstractNumId w:val="12"/>
  </w:num>
  <w:num w:numId="4">
    <w:abstractNumId w:val="13"/>
  </w:num>
  <w:num w:numId="5">
    <w:abstractNumId w:val="9"/>
  </w:num>
  <w:num w:numId="6">
    <w:abstractNumId w:val="2"/>
  </w:num>
  <w:num w:numId="7">
    <w:abstractNumId w:val="3"/>
  </w:num>
  <w:num w:numId="8">
    <w:abstractNumId w:val="11"/>
  </w:num>
  <w:num w:numId="9">
    <w:abstractNumId w:val="6"/>
  </w:num>
  <w:num w:numId="10">
    <w:abstractNumId w:val="4"/>
  </w:num>
  <w:num w:numId="11">
    <w:abstractNumId w:val="8"/>
  </w:num>
  <w:num w:numId="12">
    <w:abstractNumId w:val="15"/>
  </w:num>
  <w:num w:numId="13">
    <w:abstractNumId w:val="10"/>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524CB"/>
    <w:rsid w:val="000567F0"/>
    <w:rsid w:val="00064846"/>
    <w:rsid w:val="0009633A"/>
    <w:rsid w:val="000A2E52"/>
    <w:rsid w:val="000C1E4B"/>
    <w:rsid w:val="000C385A"/>
    <w:rsid w:val="000C6C37"/>
    <w:rsid w:val="000E195B"/>
    <w:rsid w:val="000F0EFF"/>
    <w:rsid w:val="000F30B8"/>
    <w:rsid w:val="00113822"/>
    <w:rsid w:val="00121F4B"/>
    <w:rsid w:val="001256D3"/>
    <w:rsid w:val="00133188"/>
    <w:rsid w:val="001350B1"/>
    <w:rsid w:val="00140D9D"/>
    <w:rsid w:val="001435B0"/>
    <w:rsid w:val="001475F6"/>
    <w:rsid w:val="001611A7"/>
    <w:rsid w:val="001758E8"/>
    <w:rsid w:val="00190C77"/>
    <w:rsid w:val="001D20A5"/>
    <w:rsid w:val="001D5C9E"/>
    <w:rsid w:val="001E1AB1"/>
    <w:rsid w:val="001E4FCC"/>
    <w:rsid w:val="001E7A9C"/>
    <w:rsid w:val="00205048"/>
    <w:rsid w:val="002053E8"/>
    <w:rsid w:val="00211593"/>
    <w:rsid w:val="00234954"/>
    <w:rsid w:val="002363DE"/>
    <w:rsid w:val="00264C56"/>
    <w:rsid w:val="00270FB1"/>
    <w:rsid w:val="002B3179"/>
    <w:rsid w:val="002C4CC6"/>
    <w:rsid w:val="002D507F"/>
    <w:rsid w:val="002D7953"/>
    <w:rsid w:val="002E6741"/>
    <w:rsid w:val="002F3E9A"/>
    <w:rsid w:val="003371AA"/>
    <w:rsid w:val="00346ECD"/>
    <w:rsid w:val="00353BD2"/>
    <w:rsid w:val="00370A76"/>
    <w:rsid w:val="00392515"/>
    <w:rsid w:val="003A49EF"/>
    <w:rsid w:val="003C256A"/>
    <w:rsid w:val="003E2FFD"/>
    <w:rsid w:val="003E6BA4"/>
    <w:rsid w:val="003F2B73"/>
    <w:rsid w:val="003F4712"/>
    <w:rsid w:val="0040141E"/>
    <w:rsid w:val="00410318"/>
    <w:rsid w:val="00421DDE"/>
    <w:rsid w:val="004276B3"/>
    <w:rsid w:val="00447B31"/>
    <w:rsid w:val="004503CC"/>
    <w:rsid w:val="00452530"/>
    <w:rsid w:val="00455C35"/>
    <w:rsid w:val="00473E0C"/>
    <w:rsid w:val="0047684D"/>
    <w:rsid w:val="0049035F"/>
    <w:rsid w:val="004C1150"/>
    <w:rsid w:val="004C4C08"/>
    <w:rsid w:val="004C5951"/>
    <w:rsid w:val="004D69CA"/>
    <w:rsid w:val="004E1727"/>
    <w:rsid w:val="004E7654"/>
    <w:rsid w:val="004F4FAC"/>
    <w:rsid w:val="004F691F"/>
    <w:rsid w:val="00506E4F"/>
    <w:rsid w:val="00513BE6"/>
    <w:rsid w:val="005242A2"/>
    <w:rsid w:val="0053479F"/>
    <w:rsid w:val="00542A5F"/>
    <w:rsid w:val="00570DF8"/>
    <w:rsid w:val="00596402"/>
    <w:rsid w:val="005A6FAB"/>
    <w:rsid w:val="005A7165"/>
    <w:rsid w:val="005B20E2"/>
    <w:rsid w:val="005B6A4C"/>
    <w:rsid w:val="005C51FF"/>
    <w:rsid w:val="005C6C93"/>
    <w:rsid w:val="005D514D"/>
    <w:rsid w:val="005D6F2A"/>
    <w:rsid w:val="005E4A48"/>
    <w:rsid w:val="005F07A8"/>
    <w:rsid w:val="005F66FD"/>
    <w:rsid w:val="005F77B3"/>
    <w:rsid w:val="00605570"/>
    <w:rsid w:val="00615F98"/>
    <w:rsid w:val="00635D1D"/>
    <w:rsid w:val="006457A7"/>
    <w:rsid w:val="00646B03"/>
    <w:rsid w:val="0066072B"/>
    <w:rsid w:val="00671FEC"/>
    <w:rsid w:val="006728B5"/>
    <w:rsid w:val="00683AE0"/>
    <w:rsid w:val="00687A46"/>
    <w:rsid w:val="006927A1"/>
    <w:rsid w:val="006936C8"/>
    <w:rsid w:val="006D3FF8"/>
    <w:rsid w:val="006E4707"/>
    <w:rsid w:val="006F58BA"/>
    <w:rsid w:val="006F7CE5"/>
    <w:rsid w:val="00735B16"/>
    <w:rsid w:val="00736BD6"/>
    <w:rsid w:val="00743239"/>
    <w:rsid w:val="007505AB"/>
    <w:rsid w:val="00760CB7"/>
    <w:rsid w:val="00767436"/>
    <w:rsid w:val="0077097F"/>
    <w:rsid w:val="00775639"/>
    <w:rsid w:val="00776F4A"/>
    <w:rsid w:val="007812CA"/>
    <w:rsid w:val="00794FBC"/>
    <w:rsid w:val="00795F43"/>
    <w:rsid w:val="00796FDD"/>
    <w:rsid w:val="007A2BEB"/>
    <w:rsid w:val="007E7D09"/>
    <w:rsid w:val="007F4E20"/>
    <w:rsid w:val="00807487"/>
    <w:rsid w:val="00807C1E"/>
    <w:rsid w:val="00810D6A"/>
    <w:rsid w:val="00821960"/>
    <w:rsid w:val="00821D50"/>
    <w:rsid w:val="008374A2"/>
    <w:rsid w:val="00870241"/>
    <w:rsid w:val="00883D32"/>
    <w:rsid w:val="00894FF0"/>
    <w:rsid w:val="008969ED"/>
    <w:rsid w:val="008B62F7"/>
    <w:rsid w:val="008D64B1"/>
    <w:rsid w:val="008E16B7"/>
    <w:rsid w:val="00924286"/>
    <w:rsid w:val="00944486"/>
    <w:rsid w:val="00950ACE"/>
    <w:rsid w:val="009552F5"/>
    <w:rsid w:val="00957B98"/>
    <w:rsid w:val="00965E11"/>
    <w:rsid w:val="0098318C"/>
    <w:rsid w:val="009912FE"/>
    <w:rsid w:val="009A0213"/>
    <w:rsid w:val="009D34DB"/>
    <w:rsid w:val="009D4B7E"/>
    <w:rsid w:val="009E777F"/>
    <w:rsid w:val="00A06AA1"/>
    <w:rsid w:val="00A1257F"/>
    <w:rsid w:val="00A265DA"/>
    <w:rsid w:val="00A278E2"/>
    <w:rsid w:val="00A35C47"/>
    <w:rsid w:val="00A70B88"/>
    <w:rsid w:val="00A86295"/>
    <w:rsid w:val="00A965BA"/>
    <w:rsid w:val="00AA0534"/>
    <w:rsid w:val="00AC1B85"/>
    <w:rsid w:val="00AC6187"/>
    <w:rsid w:val="00AC6EBA"/>
    <w:rsid w:val="00AE25EE"/>
    <w:rsid w:val="00AE5897"/>
    <w:rsid w:val="00AF26FA"/>
    <w:rsid w:val="00B11F3B"/>
    <w:rsid w:val="00B221C6"/>
    <w:rsid w:val="00B511B1"/>
    <w:rsid w:val="00B55A5C"/>
    <w:rsid w:val="00B65585"/>
    <w:rsid w:val="00B90B04"/>
    <w:rsid w:val="00B933FD"/>
    <w:rsid w:val="00BB0D07"/>
    <w:rsid w:val="00BB65E9"/>
    <w:rsid w:val="00BC7B8C"/>
    <w:rsid w:val="00BD68CF"/>
    <w:rsid w:val="00C15DA2"/>
    <w:rsid w:val="00C3694D"/>
    <w:rsid w:val="00C408AC"/>
    <w:rsid w:val="00C45D0C"/>
    <w:rsid w:val="00C5681E"/>
    <w:rsid w:val="00CB2685"/>
    <w:rsid w:val="00CC433E"/>
    <w:rsid w:val="00CD369E"/>
    <w:rsid w:val="00CF2AB1"/>
    <w:rsid w:val="00CF2D3A"/>
    <w:rsid w:val="00D058DB"/>
    <w:rsid w:val="00D14B76"/>
    <w:rsid w:val="00D223AD"/>
    <w:rsid w:val="00D8703E"/>
    <w:rsid w:val="00DA2075"/>
    <w:rsid w:val="00DA57DB"/>
    <w:rsid w:val="00DB7526"/>
    <w:rsid w:val="00DC3016"/>
    <w:rsid w:val="00DD0227"/>
    <w:rsid w:val="00DE2C6B"/>
    <w:rsid w:val="00DE6A2C"/>
    <w:rsid w:val="00E206CC"/>
    <w:rsid w:val="00E54DC4"/>
    <w:rsid w:val="00E86570"/>
    <w:rsid w:val="00E9274E"/>
    <w:rsid w:val="00EA1C47"/>
    <w:rsid w:val="00F00BAB"/>
    <w:rsid w:val="00F1682A"/>
    <w:rsid w:val="00F31FFD"/>
    <w:rsid w:val="00F6435F"/>
    <w:rsid w:val="00F7598D"/>
    <w:rsid w:val="00F766EC"/>
    <w:rsid w:val="00FB6124"/>
    <w:rsid w:val="00FC4103"/>
    <w:rsid w:val="00FD68B7"/>
    <w:rsid w:val="00FF46F1"/>
    <w:rsid w:val="00FF5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42A5F"/>
    <w:pPr>
      <w:spacing w:after="0" w:line="240" w:lineRule="auto"/>
    </w:pPr>
    <w:rPr>
      <w:rFonts w:ascii="Arial" w:eastAsia="Times New Roman" w:hAnsi="Arial" w:cs="Times New Roman"/>
      <w:sz w:val="22"/>
      <w:szCs w:val="24"/>
      <w:lang w:eastAsia="en-AU"/>
    </w:rPr>
  </w:style>
  <w:style w:type="paragraph" w:styleId="Heading1">
    <w:name w:val="heading 1"/>
    <w:basedOn w:val="PBACHeading1"/>
    <w:next w:val="Normal"/>
    <w:link w:val="Heading1Char"/>
    <w:uiPriority w:val="9"/>
    <w:qFormat/>
    <w:rsid w:val="00542A5F"/>
    <w:pPr>
      <w:spacing w:before="480"/>
      <w:outlineLvl w:val="0"/>
    </w:pPr>
  </w:style>
  <w:style w:type="paragraph" w:styleId="Heading2">
    <w:name w:val="heading 2"/>
    <w:basedOn w:val="NoSpacing"/>
    <w:next w:val="Normal"/>
    <w:link w:val="Heading2Char"/>
    <w:uiPriority w:val="9"/>
    <w:unhideWhenUsed/>
    <w:qFormat/>
    <w:rsid w:val="002C4CC6"/>
    <w:pPr>
      <w:spacing w:before="240"/>
      <w:contextualSpacing/>
      <w:outlineLvl w:val="1"/>
    </w:pPr>
  </w:style>
  <w:style w:type="paragraph" w:styleId="Heading3">
    <w:name w:val="heading 3"/>
    <w:basedOn w:val="ListParagraph"/>
    <w:next w:val="Normal"/>
    <w:link w:val="Heading3Char"/>
    <w:uiPriority w:val="9"/>
    <w:unhideWhenUsed/>
    <w:qFormat/>
    <w:rsid w:val="00B90B04"/>
    <w:pPr>
      <w:ind w:left="70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aliases w:val="PBAC Paragraph"/>
    <w:basedOn w:val="ListParagraph"/>
    <w:next w:val="Normal"/>
    <w:link w:val="SubtitleChar"/>
    <w:uiPriority w:val="11"/>
    <w:qFormat/>
    <w:rsid w:val="00B90B04"/>
    <w:pPr>
      <w:numPr>
        <w:ilvl w:val="1"/>
        <w:numId w:val="4"/>
      </w:numPr>
      <w:contextualSpacing w:val="0"/>
      <w:jc w:val="both"/>
    </w:pPr>
    <w:rPr>
      <w:rFonts w:cs="Arial"/>
      <w:snapToGrid w:val="0"/>
      <w:lang w:eastAsia="en-US"/>
    </w:rPr>
  </w:style>
  <w:style w:type="character" w:customStyle="1" w:styleId="SubtitleChar">
    <w:name w:val="Subtitle Char"/>
    <w:aliases w:val="PBAC Paragraph Char"/>
    <w:basedOn w:val="DefaultParagraphFont"/>
    <w:link w:val="Subtitle"/>
    <w:uiPriority w:val="11"/>
    <w:rsid w:val="00B90B04"/>
    <w:rPr>
      <w:rFonts w:ascii="Arial" w:eastAsia="Times New Roman" w:hAnsi="Arial" w:cs="Arial"/>
      <w:snapToGrid w:val="0"/>
      <w:sz w:val="22"/>
      <w:szCs w:val="24"/>
    </w:rPr>
  </w:style>
  <w:style w:type="paragraph" w:styleId="ListParagraph">
    <w:name w:val="List Paragraph"/>
    <w:basedOn w:val="Normal"/>
    <w:next w:val="Normal"/>
    <w:uiPriority w:val="72"/>
    <w:qFormat/>
    <w:rsid w:val="00542A5F"/>
    <w:pPr>
      <w:spacing w:before="240"/>
      <w:ind w:left="720"/>
      <w:contextualSpacing/>
    </w:pPr>
  </w:style>
  <w:style w:type="paragraph" w:styleId="CommentSubject">
    <w:name w:val="annotation subject"/>
    <w:basedOn w:val="CommentText"/>
    <w:next w:val="CommentText"/>
    <w:link w:val="CommentSubjectChar"/>
    <w:uiPriority w:val="99"/>
    <w:semiHidden/>
    <w:unhideWhenUsed/>
    <w:rsid w:val="000C385A"/>
    <w:rPr>
      <w:b/>
      <w:bCs/>
    </w:rPr>
  </w:style>
  <w:style w:type="character" w:customStyle="1" w:styleId="CommentSubjectChar">
    <w:name w:val="Comment Subject Char"/>
    <w:basedOn w:val="CommentTextChar"/>
    <w:link w:val="CommentSubject"/>
    <w:uiPriority w:val="99"/>
    <w:semiHidden/>
    <w:rsid w:val="000C385A"/>
    <w:rPr>
      <w:rFonts w:eastAsia="Times New Roman" w:cs="Times New Roman"/>
      <w:b/>
      <w:bCs/>
      <w:sz w:val="20"/>
      <w:szCs w:val="20"/>
      <w:lang w:eastAsia="en-AU"/>
    </w:rPr>
  </w:style>
  <w:style w:type="table" w:styleId="TableGrid">
    <w:name w:val="Table Grid"/>
    <w:basedOn w:val="TableNormal"/>
    <w:uiPriority w:val="59"/>
    <w:rsid w:val="0052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basedOn w:val="ListParagraph"/>
    <w:qFormat/>
    <w:rsid w:val="006936C8"/>
    <w:pPr>
      <w:numPr>
        <w:numId w:val="4"/>
      </w:numPr>
      <w:jc w:val="both"/>
    </w:pPr>
    <w:rPr>
      <w:b/>
      <w:szCs w:val="22"/>
    </w:rPr>
  </w:style>
  <w:style w:type="character" w:styleId="IntenseReference">
    <w:name w:val="Intense Reference"/>
    <w:basedOn w:val="DefaultParagraphFont"/>
    <w:uiPriority w:val="32"/>
    <w:rsid w:val="00736BD6"/>
    <w:rPr>
      <w:b/>
      <w:bCs/>
      <w:i/>
      <w:smallCaps/>
      <w:color w:val="C0504D" w:themeColor="accent2"/>
      <w:spacing w:val="5"/>
      <w:u w:val="none"/>
    </w:rPr>
  </w:style>
  <w:style w:type="paragraph" w:styleId="NoSpacing">
    <w:name w:val="No Spacing"/>
    <w:aliases w:val="PBAC Bold"/>
    <w:basedOn w:val="Normal"/>
    <w:uiPriority w:val="1"/>
    <w:qFormat/>
    <w:rsid w:val="006936C8"/>
    <w:pPr>
      <w:jc w:val="both"/>
    </w:pPr>
    <w:rPr>
      <w:b/>
      <w:szCs w:val="22"/>
    </w:rPr>
  </w:style>
  <w:style w:type="paragraph" w:styleId="Title">
    <w:name w:val="Title"/>
    <w:aliases w:val="PBAC Title"/>
    <w:basedOn w:val="Header"/>
    <w:next w:val="Normal"/>
    <w:link w:val="TitleChar"/>
    <w:uiPriority w:val="10"/>
    <w:qFormat/>
    <w:rsid w:val="0066072B"/>
    <w:pPr>
      <w:widowControl w:val="0"/>
      <w:tabs>
        <w:tab w:val="left" w:pos="709"/>
      </w:tabs>
      <w:spacing w:after="480"/>
      <w:contextualSpacing/>
      <w:outlineLvl w:val="0"/>
    </w:pPr>
    <w:rPr>
      <w:rFonts w:cs="Arial"/>
      <w:b/>
      <w:snapToGrid w:val="0"/>
      <w:sz w:val="28"/>
      <w:szCs w:val="28"/>
      <w:lang w:eastAsia="en-US"/>
    </w:rPr>
  </w:style>
  <w:style w:type="character" w:customStyle="1" w:styleId="TitleChar">
    <w:name w:val="Title Char"/>
    <w:aliases w:val="PBAC Title Char"/>
    <w:basedOn w:val="DefaultParagraphFont"/>
    <w:link w:val="Title"/>
    <w:uiPriority w:val="10"/>
    <w:rsid w:val="0066072B"/>
    <w:rPr>
      <w:rFonts w:ascii="Arial" w:eastAsia="Times New Roman" w:hAnsi="Arial" w:cs="Arial"/>
      <w:b/>
      <w:snapToGrid w:val="0"/>
      <w:sz w:val="28"/>
      <w:szCs w:val="28"/>
    </w:rPr>
  </w:style>
  <w:style w:type="character" w:styleId="SubtleEmphasis">
    <w:name w:val="Subtle Emphasis"/>
    <w:aliases w:val="PBAC indented sub-heading"/>
    <w:uiPriority w:val="19"/>
    <w:rsid w:val="006936C8"/>
    <w:rPr>
      <w:rFonts w:ascii="Arial" w:hAnsi="Arial" w:cs="Arial"/>
      <w:sz w:val="22"/>
      <w:lang w:eastAsia="en-US"/>
    </w:rPr>
  </w:style>
  <w:style w:type="character" w:customStyle="1" w:styleId="Heading1Char">
    <w:name w:val="Heading 1 Char"/>
    <w:basedOn w:val="DefaultParagraphFont"/>
    <w:link w:val="Heading1"/>
    <w:uiPriority w:val="9"/>
    <w:rsid w:val="00542A5F"/>
    <w:rPr>
      <w:rFonts w:ascii="Arial" w:eastAsia="Times New Roman" w:hAnsi="Arial" w:cs="Times New Roman"/>
      <w:b/>
      <w:sz w:val="22"/>
      <w:lang w:eastAsia="en-AU"/>
    </w:rPr>
  </w:style>
  <w:style w:type="character" w:customStyle="1" w:styleId="Heading2Char">
    <w:name w:val="Heading 2 Char"/>
    <w:basedOn w:val="DefaultParagraphFont"/>
    <w:link w:val="Heading2"/>
    <w:uiPriority w:val="9"/>
    <w:rsid w:val="002C4CC6"/>
    <w:rPr>
      <w:rFonts w:ascii="Arial" w:eastAsia="Times New Roman" w:hAnsi="Arial" w:cs="Times New Roman"/>
      <w:b/>
      <w:sz w:val="22"/>
      <w:lang w:eastAsia="en-AU"/>
    </w:rPr>
  </w:style>
  <w:style w:type="character" w:customStyle="1" w:styleId="Heading3Char">
    <w:name w:val="Heading 3 Char"/>
    <w:basedOn w:val="DefaultParagraphFont"/>
    <w:link w:val="Heading3"/>
    <w:uiPriority w:val="9"/>
    <w:rsid w:val="00B90B04"/>
    <w:rPr>
      <w:rFonts w:ascii="Arial" w:eastAsia="Times New Roman" w:hAnsi="Arial" w:cs="Times New Roman"/>
      <w:sz w:val="22"/>
      <w:szCs w:val="24"/>
      <w:lang w:eastAsia="en-AU"/>
    </w:rPr>
  </w:style>
  <w:style w:type="character" w:styleId="Emphasis">
    <w:name w:val="Emphasis"/>
    <w:aliases w:val="Table heading"/>
    <w:uiPriority w:val="20"/>
    <w:qFormat/>
    <w:rsid w:val="00B90B04"/>
    <w:rPr>
      <w:rFonts w:ascii="Arial Narrow" w:hAnsi="Arial Narrow" w:cs="Arial"/>
      <w:b/>
      <w:sz w:val="20"/>
      <w:szCs w:val="20"/>
    </w:rPr>
  </w:style>
  <w:style w:type="character" w:styleId="IntenseEmphasis">
    <w:name w:val="Intense Emphasis"/>
    <w:aliases w:val="Table text"/>
    <w:uiPriority w:val="21"/>
    <w:qFormat/>
    <w:rsid w:val="00B90B04"/>
    <w:rPr>
      <w:rFonts w:ascii="Arial Narrow" w:hAnsi="Arial Narrow" w:cs="Arial"/>
      <w:sz w:val="20"/>
      <w:szCs w:val="20"/>
    </w:rPr>
  </w:style>
  <w:style w:type="character" w:styleId="Strong">
    <w:name w:val="Strong"/>
    <w:aliases w:val="Outcome"/>
    <w:uiPriority w:val="22"/>
    <w:qFormat/>
    <w:rsid w:val="00B90B04"/>
    <w:rPr>
      <w:rFonts w:ascii="Arial" w:hAnsi="Arial" w:cs="Arial"/>
      <w:b/>
      <w:bCs/>
      <w:sz w:val="22"/>
      <w:szCs w:val="22"/>
      <w:lang w:val="en-GB" w:eastAsia="en-US"/>
    </w:rPr>
  </w:style>
  <w:style w:type="paragraph" w:styleId="IntenseQuote">
    <w:name w:val="Intense Quote"/>
    <w:aliases w:val="Dot point"/>
    <w:basedOn w:val="ListParagraph"/>
    <w:next w:val="Normal"/>
    <w:link w:val="IntenseQuoteChar"/>
    <w:uiPriority w:val="30"/>
    <w:qFormat/>
    <w:rsid w:val="00542A5F"/>
    <w:pPr>
      <w:numPr>
        <w:numId w:val="5"/>
      </w:numPr>
      <w:spacing w:after="240"/>
      <w:ind w:left="1434" w:hanging="357"/>
    </w:pPr>
    <w:rPr>
      <w:rFonts w:cs="Arial"/>
      <w:snapToGrid w:val="0"/>
      <w:lang w:eastAsia="en-US"/>
    </w:rPr>
  </w:style>
  <w:style w:type="character" w:customStyle="1" w:styleId="IntenseQuoteChar">
    <w:name w:val="Intense Quote Char"/>
    <w:aliases w:val="Dot point Char"/>
    <w:basedOn w:val="DefaultParagraphFont"/>
    <w:link w:val="IntenseQuote"/>
    <w:uiPriority w:val="30"/>
    <w:rsid w:val="00542A5F"/>
    <w:rPr>
      <w:rFonts w:ascii="Arial" w:eastAsia="Times New Roman" w:hAnsi="Arial" w:cs="Arial"/>
      <w:snapToGrid w:val="0"/>
      <w:sz w:val="22"/>
      <w:szCs w:val="24"/>
    </w:rPr>
  </w:style>
  <w:style w:type="paragraph" w:styleId="Quote">
    <w:name w:val="Quote"/>
    <w:aliases w:val="Indented paragraph"/>
    <w:basedOn w:val="Subtitle"/>
    <w:next w:val="Normal"/>
    <w:link w:val="QuoteChar"/>
    <w:uiPriority w:val="29"/>
    <w:qFormat/>
    <w:rsid w:val="00542A5F"/>
    <w:pPr>
      <w:numPr>
        <w:ilvl w:val="0"/>
        <w:numId w:val="0"/>
      </w:numPr>
      <w:ind w:left="709"/>
    </w:pPr>
  </w:style>
  <w:style w:type="character" w:customStyle="1" w:styleId="QuoteChar">
    <w:name w:val="Quote Char"/>
    <w:aliases w:val="Indented paragraph Char"/>
    <w:basedOn w:val="DefaultParagraphFont"/>
    <w:link w:val="Quote"/>
    <w:uiPriority w:val="29"/>
    <w:rsid w:val="00542A5F"/>
    <w:rPr>
      <w:rFonts w:ascii="Arial" w:eastAsia="Times New Roman" w:hAnsi="Arial" w:cs="Arial"/>
      <w:snapToGrid w:val="0"/>
      <w:sz w:val="22"/>
      <w:szCs w:val="24"/>
    </w:rPr>
  </w:style>
  <w:style w:type="character" w:styleId="SubtleReference">
    <w:name w:val="Subtle Reference"/>
    <w:basedOn w:val="SubtleEmphasis"/>
    <w:uiPriority w:val="31"/>
    <w:rsid w:val="00542A5F"/>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42A5F"/>
    <w:pPr>
      <w:spacing w:after="0" w:line="240" w:lineRule="auto"/>
    </w:pPr>
    <w:rPr>
      <w:rFonts w:ascii="Arial" w:eastAsia="Times New Roman" w:hAnsi="Arial" w:cs="Times New Roman"/>
      <w:sz w:val="22"/>
      <w:szCs w:val="24"/>
      <w:lang w:eastAsia="en-AU"/>
    </w:rPr>
  </w:style>
  <w:style w:type="paragraph" w:styleId="Heading1">
    <w:name w:val="heading 1"/>
    <w:basedOn w:val="PBACHeading1"/>
    <w:next w:val="Normal"/>
    <w:link w:val="Heading1Char"/>
    <w:uiPriority w:val="9"/>
    <w:qFormat/>
    <w:rsid w:val="00542A5F"/>
    <w:pPr>
      <w:spacing w:before="480"/>
      <w:outlineLvl w:val="0"/>
    </w:pPr>
  </w:style>
  <w:style w:type="paragraph" w:styleId="Heading2">
    <w:name w:val="heading 2"/>
    <w:basedOn w:val="NoSpacing"/>
    <w:next w:val="Normal"/>
    <w:link w:val="Heading2Char"/>
    <w:uiPriority w:val="9"/>
    <w:unhideWhenUsed/>
    <w:qFormat/>
    <w:rsid w:val="002C4CC6"/>
    <w:pPr>
      <w:spacing w:before="240"/>
      <w:contextualSpacing/>
      <w:outlineLvl w:val="1"/>
    </w:pPr>
  </w:style>
  <w:style w:type="paragraph" w:styleId="Heading3">
    <w:name w:val="heading 3"/>
    <w:basedOn w:val="ListParagraph"/>
    <w:next w:val="Normal"/>
    <w:link w:val="Heading3Char"/>
    <w:uiPriority w:val="9"/>
    <w:unhideWhenUsed/>
    <w:qFormat/>
    <w:rsid w:val="00B90B04"/>
    <w:pPr>
      <w:ind w:left="70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aliases w:val="PBAC Paragraph"/>
    <w:basedOn w:val="ListParagraph"/>
    <w:next w:val="Normal"/>
    <w:link w:val="SubtitleChar"/>
    <w:uiPriority w:val="11"/>
    <w:qFormat/>
    <w:rsid w:val="00B90B04"/>
    <w:pPr>
      <w:numPr>
        <w:ilvl w:val="1"/>
        <w:numId w:val="4"/>
      </w:numPr>
      <w:contextualSpacing w:val="0"/>
      <w:jc w:val="both"/>
    </w:pPr>
    <w:rPr>
      <w:rFonts w:cs="Arial"/>
      <w:snapToGrid w:val="0"/>
      <w:lang w:eastAsia="en-US"/>
    </w:rPr>
  </w:style>
  <w:style w:type="character" w:customStyle="1" w:styleId="SubtitleChar">
    <w:name w:val="Subtitle Char"/>
    <w:aliases w:val="PBAC Paragraph Char"/>
    <w:basedOn w:val="DefaultParagraphFont"/>
    <w:link w:val="Subtitle"/>
    <w:uiPriority w:val="11"/>
    <w:rsid w:val="00B90B04"/>
    <w:rPr>
      <w:rFonts w:ascii="Arial" w:eastAsia="Times New Roman" w:hAnsi="Arial" w:cs="Arial"/>
      <w:snapToGrid w:val="0"/>
      <w:sz w:val="22"/>
      <w:szCs w:val="24"/>
    </w:rPr>
  </w:style>
  <w:style w:type="paragraph" w:styleId="ListParagraph">
    <w:name w:val="List Paragraph"/>
    <w:basedOn w:val="Normal"/>
    <w:next w:val="Normal"/>
    <w:uiPriority w:val="72"/>
    <w:qFormat/>
    <w:rsid w:val="00542A5F"/>
    <w:pPr>
      <w:spacing w:before="240"/>
      <w:ind w:left="720"/>
      <w:contextualSpacing/>
    </w:pPr>
  </w:style>
  <w:style w:type="paragraph" w:styleId="CommentSubject">
    <w:name w:val="annotation subject"/>
    <w:basedOn w:val="CommentText"/>
    <w:next w:val="CommentText"/>
    <w:link w:val="CommentSubjectChar"/>
    <w:uiPriority w:val="99"/>
    <w:semiHidden/>
    <w:unhideWhenUsed/>
    <w:rsid w:val="000C385A"/>
    <w:rPr>
      <w:b/>
      <w:bCs/>
    </w:rPr>
  </w:style>
  <w:style w:type="character" w:customStyle="1" w:styleId="CommentSubjectChar">
    <w:name w:val="Comment Subject Char"/>
    <w:basedOn w:val="CommentTextChar"/>
    <w:link w:val="CommentSubject"/>
    <w:uiPriority w:val="99"/>
    <w:semiHidden/>
    <w:rsid w:val="000C385A"/>
    <w:rPr>
      <w:rFonts w:eastAsia="Times New Roman" w:cs="Times New Roman"/>
      <w:b/>
      <w:bCs/>
      <w:sz w:val="20"/>
      <w:szCs w:val="20"/>
      <w:lang w:eastAsia="en-AU"/>
    </w:rPr>
  </w:style>
  <w:style w:type="table" w:styleId="TableGrid">
    <w:name w:val="Table Grid"/>
    <w:basedOn w:val="TableNormal"/>
    <w:uiPriority w:val="59"/>
    <w:rsid w:val="0052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basedOn w:val="ListParagraph"/>
    <w:qFormat/>
    <w:rsid w:val="006936C8"/>
    <w:pPr>
      <w:numPr>
        <w:numId w:val="4"/>
      </w:numPr>
      <w:jc w:val="both"/>
    </w:pPr>
    <w:rPr>
      <w:b/>
      <w:szCs w:val="22"/>
    </w:rPr>
  </w:style>
  <w:style w:type="character" w:styleId="IntenseReference">
    <w:name w:val="Intense Reference"/>
    <w:basedOn w:val="DefaultParagraphFont"/>
    <w:uiPriority w:val="32"/>
    <w:rsid w:val="00736BD6"/>
    <w:rPr>
      <w:b/>
      <w:bCs/>
      <w:i/>
      <w:smallCaps/>
      <w:color w:val="C0504D" w:themeColor="accent2"/>
      <w:spacing w:val="5"/>
      <w:u w:val="none"/>
    </w:rPr>
  </w:style>
  <w:style w:type="paragraph" w:styleId="NoSpacing">
    <w:name w:val="No Spacing"/>
    <w:aliases w:val="PBAC Bold"/>
    <w:basedOn w:val="Normal"/>
    <w:uiPriority w:val="1"/>
    <w:qFormat/>
    <w:rsid w:val="006936C8"/>
    <w:pPr>
      <w:jc w:val="both"/>
    </w:pPr>
    <w:rPr>
      <w:b/>
      <w:szCs w:val="22"/>
    </w:rPr>
  </w:style>
  <w:style w:type="paragraph" w:styleId="Title">
    <w:name w:val="Title"/>
    <w:aliases w:val="PBAC Title"/>
    <w:basedOn w:val="Header"/>
    <w:next w:val="Normal"/>
    <w:link w:val="TitleChar"/>
    <w:uiPriority w:val="10"/>
    <w:qFormat/>
    <w:rsid w:val="0066072B"/>
    <w:pPr>
      <w:widowControl w:val="0"/>
      <w:tabs>
        <w:tab w:val="left" w:pos="709"/>
      </w:tabs>
      <w:spacing w:after="480"/>
      <w:contextualSpacing/>
      <w:outlineLvl w:val="0"/>
    </w:pPr>
    <w:rPr>
      <w:rFonts w:cs="Arial"/>
      <w:b/>
      <w:snapToGrid w:val="0"/>
      <w:sz w:val="28"/>
      <w:szCs w:val="28"/>
      <w:lang w:eastAsia="en-US"/>
    </w:rPr>
  </w:style>
  <w:style w:type="character" w:customStyle="1" w:styleId="TitleChar">
    <w:name w:val="Title Char"/>
    <w:aliases w:val="PBAC Title Char"/>
    <w:basedOn w:val="DefaultParagraphFont"/>
    <w:link w:val="Title"/>
    <w:uiPriority w:val="10"/>
    <w:rsid w:val="0066072B"/>
    <w:rPr>
      <w:rFonts w:ascii="Arial" w:eastAsia="Times New Roman" w:hAnsi="Arial" w:cs="Arial"/>
      <w:b/>
      <w:snapToGrid w:val="0"/>
      <w:sz w:val="28"/>
      <w:szCs w:val="28"/>
    </w:rPr>
  </w:style>
  <w:style w:type="character" w:styleId="SubtleEmphasis">
    <w:name w:val="Subtle Emphasis"/>
    <w:aliases w:val="PBAC indented sub-heading"/>
    <w:uiPriority w:val="19"/>
    <w:rsid w:val="006936C8"/>
    <w:rPr>
      <w:rFonts w:ascii="Arial" w:hAnsi="Arial" w:cs="Arial"/>
      <w:sz w:val="22"/>
      <w:lang w:eastAsia="en-US"/>
    </w:rPr>
  </w:style>
  <w:style w:type="character" w:customStyle="1" w:styleId="Heading1Char">
    <w:name w:val="Heading 1 Char"/>
    <w:basedOn w:val="DefaultParagraphFont"/>
    <w:link w:val="Heading1"/>
    <w:uiPriority w:val="9"/>
    <w:rsid w:val="00542A5F"/>
    <w:rPr>
      <w:rFonts w:ascii="Arial" w:eastAsia="Times New Roman" w:hAnsi="Arial" w:cs="Times New Roman"/>
      <w:b/>
      <w:sz w:val="22"/>
      <w:lang w:eastAsia="en-AU"/>
    </w:rPr>
  </w:style>
  <w:style w:type="character" w:customStyle="1" w:styleId="Heading2Char">
    <w:name w:val="Heading 2 Char"/>
    <w:basedOn w:val="DefaultParagraphFont"/>
    <w:link w:val="Heading2"/>
    <w:uiPriority w:val="9"/>
    <w:rsid w:val="002C4CC6"/>
    <w:rPr>
      <w:rFonts w:ascii="Arial" w:eastAsia="Times New Roman" w:hAnsi="Arial" w:cs="Times New Roman"/>
      <w:b/>
      <w:sz w:val="22"/>
      <w:lang w:eastAsia="en-AU"/>
    </w:rPr>
  </w:style>
  <w:style w:type="character" w:customStyle="1" w:styleId="Heading3Char">
    <w:name w:val="Heading 3 Char"/>
    <w:basedOn w:val="DefaultParagraphFont"/>
    <w:link w:val="Heading3"/>
    <w:uiPriority w:val="9"/>
    <w:rsid w:val="00B90B04"/>
    <w:rPr>
      <w:rFonts w:ascii="Arial" w:eastAsia="Times New Roman" w:hAnsi="Arial" w:cs="Times New Roman"/>
      <w:sz w:val="22"/>
      <w:szCs w:val="24"/>
      <w:lang w:eastAsia="en-AU"/>
    </w:rPr>
  </w:style>
  <w:style w:type="character" w:styleId="Emphasis">
    <w:name w:val="Emphasis"/>
    <w:aliases w:val="Table heading"/>
    <w:uiPriority w:val="20"/>
    <w:qFormat/>
    <w:rsid w:val="00B90B04"/>
    <w:rPr>
      <w:rFonts w:ascii="Arial Narrow" w:hAnsi="Arial Narrow" w:cs="Arial"/>
      <w:b/>
      <w:sz w:val="20"/>
      <w:szCs w:val="20"/>
    </w:rPr>
  </w:style>
  <w:style w:type="character" w:styleId="IntenseEmphasis">
    <w:name w:val="Intense Emphasis"/>
    <w:aliases w:val="Table text"/>
    <w:uiPriority w:val="21"/>
    <w:qFormat/>
    <w:rsid w:val="00B90B04"/>
    <w:rPr>
      <w:rFonts w:ascii="Arial Narrow" w:hAnsi="Arial Narrow" w:cs="Arial"/>
      <w:sz w:val="20"/>
      <w:szCs w:val="20"/>
    </w:rPr>
  </w:style>
  <w:style w:type="character" w:styleId="Strong">
    <w:name w:val="Strong"/>
    <w:aliases w:val="Outcome"/>
    <w:uiPriority w:val="22"/>
    <w:qFormat/>
    <w:rsid w:val="00B90B04"/>
    <w:rPr>
      <w:rFonts w:ascii="Arial" w:hAnsi="Arial" w:cs="Arial"/>
      <w:b/>
      <w:bCs/>
      <w:sz w:val="22"/>
      <w:szCs w:val="22"/>
      <w:lang w:val="en-GB" w:eastAsia="en-US"/>
    </w:rPr>
  </w:style>
  <w:style w:type="paragraph" w:styleId="IntenseQuote">
    <w:name w:val="Intense Quote"/>
    <w:aliases w:val="Dot point"/>
    <w:basedOn w:val="ListParagraph"/>
    <w:next w:val="Normal"/>
    <w:link w:val="IntenseQuoteChar"/>
    <w:uiPriority w:val="30"/>
    <w:qFormat/>
    <w:rsid w:val="00542A5F"/>
    <w:pPr>
      <w:numPr>
        <w:numId w:val="5"/>
      </w:numPr>
      <w:spacing w:after="240"/>
      <w:ind w:left="1434" w:hanging="357"/>
    </w:pPr>
    <w:rPr>
      <w:rFonts w:cs="Arial"/>
      <w:snapToGrid w:val="0"/>
      <w:lang w:eastAsia="en-US"/>
    </w:rPr>
  </w:style>
  <w:style w:type="character" w:customStyle="1" w:styleId="IntenseQuoteChar">
    <w:name w:val="Intense Quote Char"/>
    <w:aliases w:val="Dot point Char"/>
    <w:basedOn w:val="DefaultParagraphFont"/>
    <w:link w:val="IntenseQuote"/>
    <w:uiPriority w:val="30"/>
    <w:rsid w:val="00542A5F"/>
    <w:rPr>
      <w:rFonts w:ascii="Arial" w:eastAsia="Times New Roman" w:hAnsi="Arial" w:cs="Arial"/>
      <w:snapToGrid w:val="0"/>
      <w:sz w:val="22"/>
      <w:szCs w:val="24"/>
    </w:rPr>
  </w:style>
  <w:style w:type="paragraph" w:styleId="Quote">
    <w:name w:val="Quote"/>
    <w:aliases w:val="Indented paragraph"/>
    <w:basedOn w:val="Subtitle"/>
    <w:next w:val="Normal"/>
    <w:link w:val="QuoteChar"/>
    <w:uiPriority w:val="29"/>
    <w:qFormat/>
    <w:rsid w:val="00542A5F"/>
    <w:pPr>
      <w:numPr>
        <w:ilvl w:val="0"/>
        <w:numId w:val="0"/>
      </w:numPr>
      <w:ind w:left="709"/>
    </w:pPr>
  </w:style>
  <w:style w:type="character" w:customStyle="1" w:styleId="QuoteChar">
    <w:name w:val="Quote Char"/>
    <w:aliases w:val="Indented paragraph Char"/>
    <w:basedOn w:val="DefaultParagraphFont"/>
    <w:link w:val="Quote"/>
    <w:uiPriority w:val="29"/>
    <w:rsid w:val="00542A5F"/>
    <w:rPr>
      <w:rFonts w:ascii="Arial" w:eastAsia="Times New Roman" w:hAnsi="Arial" w:cs="Arial"/>
      <w:snapToGrid w:val="0"/>
      <w:sz w:val="22"/>
      <w:szCs w:val="24"/>
    </w:rPr>
  </w:style>
  <w:style w:type="character" w:styleId="SubtleReference">
    <w:name w:val="Subtle Reference"/>
    <w:basedOn w:val="SubtleEmphasis"/>
    <w:uiPriority w:val="31"/>
    <w:rsid w:val="00542A5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5.15 abatacept</vt:lpstr>
    </vt:vector>
  </TitlesOfParts>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abatacept</dc:title>
  <dc:creator/>
  <cp:lastModifiedBy/>
  <cp:revision>1</cp:revision>
  <dcterms:created xsi:type="dcterms:W3CDTF">2016-02-25T00:26:00Z</dcterms:created>
  <dcterms:modified xsi:type="dcterms:W3CDTF">2016-02-26T05:24:00Z</dcterms:modified>
</cp:coreProperties>
</file>