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2E" w:rsidRPr="00F02CBD" w:rsidRDefault="0086262E" w:rsidP="0086262E">
      <w:pPr>
        <w:rPr>
          <w:rFonts w:ascii="Arial" w:hAnsi="Arial"/>
          <w:sz w:val="22"/>
          <w:szCs w:val="22"/>
        </w:rPr>
      </w:pPr>
      <w:bookmarkStart w:id="0" w:name="_GoBack"/>
      <w:bookmarkEnd w:id="0"/>
    </w:p>
    <w:p w:rsidR="00C27B58" w:rsidRPr="005672DD" w:rsidRDefault="0010356C" w:rsidP="005672DD">
      <w:pPr>
        <w:pStyle w:val="Title"/>
      </w:pPr>
      <w:r w:rsidRPr="005672DD">
        <w:t>7.07</w:t>
      </w:r>
      <w:r w:rsidR="007C0F57" w:rsidRPr="005672DD">
        <w:tab/>
      </w:r>
      <w:r w:rsidRPr="005672DD">
        <w:t>ADALIMUMAB</w:t>
      </w:r>
    </w:p>
    <w:p w:rsidR="00A74361" w:rsidRPr="005672DD" w:rsidRDefault="00A74361" w:rsidP="005672DD">
      <w:pPr>
        <w:pStyle w:val="Title"/>
      </w:pPr>
      <w:r w:rsidRPr="005672DD">
        <w:t xml:space="preserve">40 mg/0.8 mL injection, 2 x 0.8 mL cartridges </w:t>
      </w:r>
    </w:p>
    <w:p w:rsidR="00A74361" w:rsidRPr="005672DD" w:rsidRDefault="00A74361" w:rsidP="005672DD">
      <w:pPr>
        <w:pStyle w:val="Title"/>
      </w:pPr>
      <w:r w:rsidRPr="005672DD">
        <w:t>40 mg/0.8 mL injection, 2 x 0.8 mL syringes</w:t>
      </w:r>
    </w:p>
    <w:p w:rsidR="00A74361" w:rsidRPr="005672DD" w:rsidRDefault="00A74361" w:rsidP="005672DD">
      <w:pPr>
        <w:pStyle w:val="Title"/>
      </w:pPr>
      <w:r w:rsidRPr="005672DD">
        <w:t>40 mg/0.8 mL injection, 6 x 0.8 mL cartridges</w:t>
      </w:r>
    </w:p>
    <w:p w:rsidR="00A74361" w:rsidRPr="005672DD" w:rsidRDefault="00A74361" w:rsidP="005672DD">
      <w:pPr>
        <w:pStyle w:val="Title"/>
      </w:pPr>
      <w:r w:rsidRPr="005672DD">
        <w:t>40 mg/0.8 mL injection, 6 x 0.8 mL syringes</w:t>
      </w:r>
    </w:p>
    <w:p w:rsidR="00A74361" w:rsidRPr="005672DD" w:rsidRDefault="00A74361" w:rsidP="005672DD">
      <w:pPr>
        <w:pStyle w:val="Title"/>
      </w:pPr>
      <w:r w:rsidRPr="005672DD">
        <w:t>Humira®</w:t>
      </w:r>
      <w:r w:rsidR="002C50FE" w:rsidRPr="005672DD">
        <w:t>, Abbvie</w:t>
      </w:r>
      <w:r w:rsidRPr="005672DD">
        <w:t xml:space="preserve"> Pty Ltd</w:t>
      </w:r>
    </w:p>
    <w:p w:rsidR="00C27B58" w:rsidRDefault="00C27B58" w:rsidP="00C27B58">
      <w:pPr>
        <w:pStyle w:val="NoSpacing"/>
      </w:pPr>
    </w:p>
    <w:p w:rsidR="00F02CBD" w:rsidRDefault="00F02CBD" w:rsidP="00C27B58">
      <w:pPr>
        <w:pStyle w:val="NoSpacing"/>
      </w:pPr>
    </w:p>
    <w:p w:rsidR="00CE10C4" w:rsidRPr="005672DD" w:rsidRDefault="00CE10C4" w:rsidP="005672DD">
      <w:pPr>
        <w:pStyle w:val="PBACheading1"/>
      </w:pPr>
      <w:r w:rsidRPr="005672DD">
        <w:t xml:space="preserve">Purpose of </w:t>
      </w:r>
      <w:r w:rsidR="0004240E" w:rsidRPr="005672DD">
        <w:t>Application</w:t>
      </w:r>
    </w:p>
    <w:p w:rsidR="006A12A5" w:rsidRPr="00882085" w:rsidRDefault="006A12A5" w:rsidP="00882085">
      <w:pPr>
        <w:jc w:val="both"/>
        <w:rPr>
          <w:rFonts w:ascii="Arial" w:hAnsi="Arial"/>
          <w:sz w:val="22"/>
          <w:szCs w:val="22"/>
        </w:rPr>
      </w:pPr>
    </w:p>
    <w:p w:rsidR="00AB4DDC" w:rsidRDefault="00EF44A0" w:rsidP="00EF44A0">
      <w:pPr>
        <w:pStyle w:val="ListParagraph"/>
        <w:numPr>
          <w:ilvl w:val="1"/>
          <w:numId w:val="25"/>
        </w:numPr>
        <w:jc w:val="both"/>
        <w:rPr>
          <w:rFonts w:ascii="Arial" w:hAnsi="Arial"/>
          <w:sz w:val="22"/>
          <w:szCs w:val="22"/>
        </w:rPr>
      </w:pPr>
      <w:r w:rsidRPr="00AB4DDC">
        <w:rPr>
          <w:rFonts w:ascii="Arial" w:hAnsi="Arial"/>
          <w:sz w:val="22"/>
          <w:szCs w:val="22"/>
        </w:rPr>
        <w:t>The mi</w:t>
      </w:r>
      <w:r w:rsidR="00FF2801" w:rsidRPr="00AB4DDC">
        <w:rPr>
          <w:rFonts w:ascii="Arial" w:hAnsi="Arial"/>
          <w:sz w:val="22"/>
          <w:szCs w:val="22"/>
        </w:rPr>
        <w:t xml:space="preserve">nor </w:t>
      </w:r>
      <w:r w:rsidR="00335AB9">
        <w:rPr>
          <w:rFonts w:ascii="Arial" w:hAnsi="Arial"/>
          <w:sz w:val="22"/>
          <w:szCs w:val="22"/>
        </w:rPr>
        <w:t>re</w:t>
      </w:r>
      <w:r w:rsidR="00FF2801" w:rsidRPr="00AB4DDC">
        <w:rPr>
          <w:rFonts w:ascii="Arial" w:hAnsi="Arial"/>
          <w:sz w:val="22"/>
          <w:szCs w:val="22"/>
        </w:rPr>
        <w:t>submission requested</w:t>
      </w:r>
      <w:r w:rsidR="00AB4DDC" w:rsidRPr="00AB4DDC">
        <w:rPr>
          <w:rFonts w:ascii="Arial" w:hAnsi="Arial"/>
          <w:sz w:val="22"/>
          <w:szCs w:val="22"/>
        </w:rPr>
        <w:t xml:space="preserve"> a </w:t>
      </w:r>
      <w:r w:rsidR="008A6F41">
        <w:rPr>
          <w:rFonts w:ascii="Arial" w:hAnsi="Arial"/>
          <w:sz w:val="22"/>
          <w:szCs w:val="22"/>
        </w:rPr>
        <w:t xml:space="preserve">Section 85, Authority Required </w:t>
      </w:r>
      <w:r w:rsidR="00AB4DDC" w:rsidRPr="00AB4DDC">
        <w:rPr>
          <w:rFonts w:ascii="Arial" w:hAnsi="Arial"/>
          <w:sz w:val="22"/>
          <w:szCs w:val="22"/>
        </w:rPr>
        <w:t>listing for adalimumab for the treatment of</w:t>
      </w:r>
      <w:r w:rsidR="008A6F41">
        <w:rPr>
          <w:rFonts w:ascii="Arial" w:hAnsi="Arial"/>
          <w:sz w:val="22"/>
          <w:szCs w:val="22"/>
        </w:rPr>
        <w:t xml:space="preserve"> patients with </w:t>
      </w:r>
      <w:r w:rsidR="00AB4DDC" w:rsidRPr="00AB4DDC">
        <w:rPr>
          <w:rFonts w:ascii="Arial" w:hAnsi="Arial"/>
          <w:sz w:val="22"/>
          <w:szCs w:val="22"/>
        </w:rPr>
        <w:t xml:space="preserve">moderate to </w:t>
      </w:r>
      <w:r w:rsidR="00F02CBD">
        <w:rPr>
          <w:rFonts w:ascii="Arial" w:hAnsi="Arial"/>
          <w:sz w:val="22"/>
          <w:szCs w:val="22"/>
        </w:rPr>
        <w:t>severe ulcerative colitis (UC).</w:t>
      </w:r>
    </w:p>
    <w:p w:rsidR="008A6F41" w:rsidRPr="00C27B58" w:rsidRDefault="008A6F41" w:rsidP="00C27B58">
      <w:pPr>
        <w:pStyle w:val="NoSpacing"/>
      </w:pPr>
    </w:p>
    <w:p w:rsidR="00614159" w:rsidRPr="00882085" w:rsidRDefault="006A12A5" w:rsidP="005672DD">
      <w:pPr>
        <w:pStyle w:val="PBACheading1"/>
      </w:pPr>
      <w:r w:rsidRPr="00882085">
        <w:t>Requested listing</w:t>
      </w:r>
    </w:p>
    <w:p w:rsidR="006A12A5" w:rsidRPr="00F02CBD" w:rsidRDefault="006A12A5" w:rsidP="00882085">
      <w:pPr>
        <w:jc w:val="both"/>
        <w:rPr>
          <w:rFonts w:ascii="Arial" w:hAnsi="Arial"/>
          <w:sz w:val="22"/>
          <w:szCs w:val="22"/>
        </w:rPr>
      </w:pPr>
    </w:p>
    <w:p w:rsidR="00F805AE" w:rsidRPr="00F805AE" w:rsidRDefault="00F805AE" w:rsidP="00F805AE">
      <w:pPr>
        <w:pStyle w:val="ListParagraph"/>
        <w:numPr>
          <w:ilvl w:val="1"/>
          <w:numId w:val="25"/>
        </w:numPr>
        <w:jc w:val="both"/>
        <w:rPr>
          <w:rFonts w:ascii="Arial" w:hAnsi="Arial"/>
          <w:sz w:val="22"/>
          <w:szCs w:val="22"/>
        </w:rPr>
      </w:pPr>
      <w:r w:rsidRPr="00F805AE">
        <w:rPr>
          <w:rFonts w:ascii="Arial" w:hAnsi="Arial"/>
          <w:sz w:val="22"/>
          <w:szCs w:val="22"/>
        </w:rPr>
        <w:t>The</w:t>
      </w:r>
      <w:r w:rsidR="000C2C52">
        <w:rPr>
          <w:rFonts w:ascii="Arial" w:hAnsi="Arial"/>
          <w:sz w:val="22"/>
          <w:szCs w:val="22"/>
        </w:rPr>
        <w:t xml:space="preserve"> re</w:t>
      </w:r>
      <w:r w:rsidR="00ED2EC8">
        <w:rPr>
          <w:rFonts w:ascii="Arial" w:hAnsi="Arial"/>
          <w:sz w:val="22"/>
          <w:szCs w:val="22"/>
        </w:rPr>
        <w:t>quested restriction wa</w:t>
      </w:r>
      <w:r w:rsidR="00D17934">
        <w:rPr>
          <w:rFonts w:ascii="Arial" w:hAnsi="Arial"/>
          <w:sz w:val="22"/>
          <w:szCs w:val="22"/>
        </w:rPr>
        <w:t>s the same as with the July 2015</w:t>
      </w:r>
      <w:r w:rsidRPr="00F805AE">
        <w:rPr>
          <w:rFonts w:ascii="Arial" w:hAnsi="Arial"/>
          <w:sz w:val="22"/>
          <w:szCs w:val="22"/>
        </w:rPr>
        <w:t xml:space="preserve"> </w:t>
      </w:r>
      <w:r w:rsidR="00D17934">
        <w:rPr>
          <w:rFonts w:ascii="Arial" w:hAnsi="Arial"/>
          <w:sz w:val="22"/>
          <w:szCs w:val="22"/>
        </w:rPr>
        <w:t>major resubmission</w:t>
      </w:r>
      <w:r w:rsidR="00ED2EC8">
        <w:rPr>
          <w:rFonts w:ascii="Arial" w:hAnsi="Arial"/>
          <w:sz w:val="22"/>
          <w:szCs w:val="22"/>
        </w:rPr>
        <w:t xml:space="preserve"> which wa</w:t>
      </w:r>
      <w:r w:rsidR="0081666D">
        <w:rPr>
          <w:rFonts w:ascii="Arial" w:hAnsi="Arial"/>
          <w:sz w:val="22"/>
          <w:szCs w:val="22"/>
        </w:rPr>
        <w:t xml:space="preserve">s similar to that for infliximab, with the exception of the age of </w:t>
      </w:r>
      <w:r w:rsidR="00ED2EC8">
        <w:rPr>
          <w:rFonts w:ascii="Arial" w:hAnsi="Arial"/>
          <w:sz w:val="22"/>
          <w:szCs w:val="22"/>
        </w:rPr>
        <w:t xml:space="preserve">the eligible population, which </w:t>
      </w:r>
      <w:r w:rsidR="00DF1A38">
        <w:rPr>
          <w:rFonts w:ascii="Arial" w:hAnsi="Arial"/>
          <w:sz w:val="22"/>
          <w:szCs w:val="22"/>
        </w:rPr>
        <w:t>i</w:t>
      </w:r>
      <w:r w:rsidR="0081666D">
        <w:rPr>
          <w:rFonts w:ascii="Arial" w:hAnsi="Arial"/>
          <w:sz w:val="22"/>
          <w:szCs w:val="22"/>
        </w:rPr>
        <w:t>s restricted to 18 years and older, and the proposed listing under Section 85 (infliximab is listed under Section 100)</w:t>
      </w:r>
      <w:r w:rsidR="00D17934">
        <w:rPr>
          <w:rFonts w:ascii="Arial" w:hAnsi="Arial"/>
          <w:sz w:val="22"/>
          <w:szCs w:val="22"/>
        </w:rPr>
        <w:t>.</w:t>
      </w:r>
    </w:p>
    <w:p w:rsidR="00F805AE" w:rsidRPr="000C2C52" w:rsidRDefault="00F805AE" w:rsidP="000C2C52">
      <w:pPr>
        <w:jc w:val="both"/>
        <w:rPr>
          <w:rFonts w:ascii="Arial" w:hAnsi="Arial"/>
          <w:sz w:val="22"/>
          <w:szCs w:val="22"/>
        </w:rPr>
      </w:pPr>
    </w:p>
    <w:p w:rsidR="00826F6D" w:rsidRPr="00826F6D" w:rsidRDefault="00EF44A0" w:rsidP="00882085">
      <w:pPr>
        <w:pStyle w:val="ListParagraph"/>
        <w:numPr>
          <w:ilvl w:val="1"/>
          <w:numId w:val="25"/>
        </w:numPr>
        <w:jc w:val="both"/>
        <w:rPr>
          <w:rFonts w:ascii="Arial" w:hAnsi="Arial"/>
          <w:sz w:val="22"/>
          <w:szCs w:val="22"/>
        </w:rPr>
      </w:pPr>
      <w:r>
        <w:rPr>
          <w:rFonts w:ascii="Arial" w:hAnsi="Arial"/>
          <w:sz w:val="22"/>
          <w:szCs w:val="22"/>
        </w:rPr>
        <w:t xml:space="preserve">The </w:t>
      </w:r>
      <w:r w:rsidR="004F0914">
        <w:rPr>
          <w:rFonts w:ascii="Arial" w:hAnsi="Arial"/>
          <w:sz w:val="22"/>
          <w:szCs w:val="22"/>
        </w:rPr>
        <w:t>minor re</w:t>
      </w:r>
      <w:r>
        <w:rPr>
          <w:rFonts w:ascii="Arial" w:hAnsi="Arial"/>
          <w:sz w:val="22"/>
          <w:szCs w:val="22"/>
        </w:rPr>
        <w:t xml:space="preserve">submission </w:t>
      </w:r>
      <w:r w:rsidR="00FF2801">
        <w:rPr>
          <w:rFonts w:ascii="Arial" w:hAnsi="Arial"/>
          <w:sz w:val="22"/>
          <w:szCs w:val="22"/>
        </w:rPr>
        <w:t>requested</w:t>
      </w:r>
      <w:r>
        <w:rPr>
          <w:rFonts w:ascii="Arial" w:hAnsi="Arial"/>
          <w:sz w:val="22"/>
          <w:szCs w:val="22"/>
        </w:rPr>
        <w:t xml:space="preserve"> the following changes to the </w:t>
      </w:r>
      <w:r w:rsidR="000C2C52">
        <w:rPr>
          <w:rFonts w:ascii="Arial" w:hAnsi="Arial"/>
          <w:sz w:val="22"/>
          <w:szCs w:val="22"/>
        </w:rPr>
        <w:t>proposed price for adalimumab</w:t>
      </w:r>
      <w:r w:rsidR="00826F6D">
        <w:rPr>
          <w:rFonts w:ascii="Arial" w:hAnsi="Arial"/>
          <w:sz w:val="22"/>
          <w:szCs w:val="22"/>
        </w:rPr>
        <w:t>:</w:t>
      </w: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Pr>
      <w:tblGrid>
        <w:gridCol w:w="3969"/>
        <w:gridCol w:w="567"/>
        <w:gridCol w:w="709"/>
        <w:gridCol w:w="1417"/>
        <w:gridCol w:w="851"/>
        <w:gridCol w:w="850"/>
      </w:tblGrid>
      <w:tr w:rsidR="00826F6D" w:rsidRPr="0039782C" w:rsidTr="00F02CBD">
        <w:trPr>
          <w:cantSplit/>
          <w:trHeight w:val="471"/>
        </w:trPr>
        <w:tc>
          <w:tcPr>
            <w:tcW w:w="396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567"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417"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701"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F02CBD">
        <w:trPr>
          <w:cantSplit/>
          <w:trHeight w:val="577"/>
        </w:trPr>
        <w:tc>
          <w:tcPr>
            <w:tcW w:w="3969" w:type="dxa"/>
          </w:tcPr>
          <w:p w:rsidR="00826F6D" w:rsidRDefault="00D17934" w:rsidP="00C27B58">
            <w:pPr>
              <w:keepNext/>
              <w:ind w:left="-108"/>
              <w:jc w:val="both"/>
              <w:rPr>
                <w:rFonts w:ascii="Arial Narrow" w:hAnsi="Arial Narrow" w:cs="Arial"/>
                <w:smallCaps/>
                <w:sz w:val="20"/>
                <w:szCs w:val="20"/>
              </w:rPr>
            </w:pPr>
            <w:r>
              <w:rPr>
                <w:rFonts w:ascii="Arial Narrow" w:hAnsi="Arial Narrow" w:cs="Arial"/>
                <w:smallCaps/>
                <w:sz w:val="20"/>
                <w:szCs w:val="20"/>
              </w:rPr>
              <w:t>ADALIMUMAB</w:t>
            </w:r>
          </w:p>
          <w:p w:rsidR="000C2C52" w:rsidRPr="000C2C52" w:rsidRDefault="000C2C52" w:rsidP="000C2C52">
            <w:pPr>
              <w:keepNext/>
              <w:ind w:left="-108"/>
              <w:jc w:val="both"/>
              <w:rPr>
                <w:rFonts w:ascii="Arial Narrow" w:hAnsi="Arial Narrow" w:cs="Arial"/>
                <w:sz w:val="20"/>
                <w:szCs w:val="20"/>
                <w:u w:val="single"/>
              </w:rPr>
            </w:pPr>
            <w:r w:rsidRPr="000C2C52">
              <w:rPr>
                <w:rFonts w:ascii="Arial Narrow" w:hAnsi="Arial Narrow" w:cs="Arial"/>
                <w:sz w:val="20"/>
                <w:szCs w:val="20"/>
                <w:u w:val="single"/>
              </w:rPr>
              <w:t>Induction</w:t>
            </w:r>
          </w:p>
          <w:p w:rsidR="000C2C52" w:rsidRPr="000C2C52" w:rsidRDefault="000C2C52" w:rsidP="000C2C52">
            <w:pPr>
              <w:keepNext/>
              <w:ind w:left="-108"/>
              <w:jc w:val="both"/>
              <w:rPr>
                <w:rFonts w:ascii="Arial Narrow" w:hAnsi="Arial Narrow" w:cs="Arial"/>
                <w:sz w:val="20"/>
                <w:szCs w:val="20"/>
              </w:rPr>
            </w:pPr>
            <w:r w:rsidRPr="000C2C52">
              <w:rPr>
                <w:rFonts w:ascii="Arial Narrow" w:hAnsi="Arial Narrow" w:cs="Arial"/>
                <w:sz w:val="20"/>
                <w:szCs w:val="20"/>
              </w:rPr>
              <w:t>40</w:t>
            </w:r>
            <w:r w:rsidR="0057066C">
              <w:rPr>
                <w:rFonts w:ascii="Arial Narrow" w:hAnsi="Arial Narrow" w:cs="Arial"/>
                <w:sz w:val="20"/>
                <w:szCs w:val="20"/>
              </w:rPr>
              <w:t> </w:t>
            </w:r>
            <w:r w:rsidRPr="000C2C52">
              <w:rPr>
                <w:rFonts w:ascii="Arial Narrow" w:hAnsi="Arial Narrow" w:cs="Arial"/>
                <w:sz w:val="20"/>
                <w:szCs w:val="20"/>
              </w:rPr>
              <w:t>mg in 0.8</w:t>
            </w:r>
            <w:r w:rsidR="0057066C">
              <w:rPr>
                <w:rFonts w:ascii="Arial Narrow" w:hAnsi="Arial Narrow" w:cs="Arial"/>
                <w:sz w:val="20"/>
                <w:szCs w:val="20"/>
              </w:rPr>
              <w:t> </w:t>
            </w:r>
            <w:r w:rsidRPr="000C2C52">
              <w:rPr>
                <w:rFonts w:ascii="Arial Narrow" w:hAnsi="Arial Narrow" w:cs="Arial"/>
                <w:sz w:val="20"/>
                <w:szCs w:val="20"/>
              </w:rPr>
              <w:t xml:space="preserve">mL </w:t>
            </w:r>
            <w:r w:rsidR="0057066C">
              <w:rPr>
                <w:rFonts w:ascii="Arial Narrow" w:hAnsi="Arial Narrow" w:cs="Arial"/>
                <w:sz w:val="20"/>
                <w:szCs w:val="20"/>
              </w:rPr>
              <w:t>injection, 6 x 0.8 </w:t>
            </w:r>
            <w:r w:rsidRPr="000C2C52">
              <w:rPr>
                <w:rFonts w:ascii="Arial Narrow" w:hAnsi="Arial Narrow" w:cs="Arial"/>
                <w:sz w:val="20"/>
                <w:szCs w:val="20"/>
              </w:rPr>
              <w:t>mL cartridges</w:t>
            </w:r>
          </w:p>
          <w:p w:rsidR="000C2C52" w:rsidRPr="000C2C52" w:rsidRDefault="0057066C" w:rsidP="000C2C52">
            <w:pPr>
              <w:keepNext/>
              <w:ind w:left="-108"/>
              <w:jc w:val="both"/>
              <w:rPr>
                <w:rFonts w:ascii="Arial Narrow" w:hAnsi="Arial Narrow" w:cs="Arial"/>
                <w:sz w:val="20"/>
                <w:szCs w:val="20"/>
              </w:rPr>
            </w:pPr>
            <w:r>
              <w:rPr>
                <w:rFonts w:ascii="Arial Narrow" w:hAnsi="Arial Narrow" w:cs="Arial"/>
                <w:sz w:val="20"/>
                <w:szCs w:val="20"/>
              </w:rPr>
              <w:t>40 </w:t>
            </w:r>
            <w:r w:rsidR="000C2C52" w:rsidRPr="000C2C52">
              <w:rPr>
                <w:rFonts w:ascii="Arial Narrow" w:hAnsi="Arial Narrow" w:cs="Arial"/>
                <w:sz w:val="20"/>
                <w:szCs w:val="20"/>
              </w:rPr>
              <w:t>mg in 0.8</w:t>
            </w:r>
            <w:r>
              <w:rPr>
                <w:rFonts w:ascii="Arial Narrow" w:hAnsi="Arial Narrow" w:cs="Arial"/>
                <w:sz w:val="20"/>
                <w:szCs w:val="20"/>
              </w:rPr>
              <w:t> mL injection, 6 x 0.8 </w:t>
            </w:r>
            <w:r w:rsidR="000C2C52" w:rsidRPr="000C2C52">
              <w:rPr>
                <w:rFonts w:ascii="Arial Narrow" w:hAnsi="Arial Narrow" w:cs="Arial"/>
                <w:sz w:val="20"/>
                <w:szCs w:val="20"/>
              </w:rPr>
              <w:t>mL syringes</w:t>
            </w:r>
          </w:p>
          <w:p w:rsidR="000C2C52" w:rsidRPr="000C2C52" w:rsidRDefault="000C2C52" w:rsidP="000C2C52">
            <w:pPr>
              <w:keepNext/>
              <w:ind w:left="-108"/>
              <w:jc w:val="both"/>
              <w:rPr>
                <w:rFonts w:ascii="Arial Narrow" w:hAnsi="Arial Narrow" w:cs="Arial"/>
                <w:sz w:val="20"/>
                <w:szCs w:val="20"/>
              </w:rPr>
            </w:pPr>
            <w:r w:rsidRPr="000C2C52">
              <w:rPr>
                <w:rFonts w:ascii="Arial Narrow" w:hAnsi="Arial Narrow" w:cs="Arial"/>
                <w:sz w:val="20"/>
                <w:szCs w:val="20"/>
              </w:rPr>
              <w:t>40</w:t>
            </w:r>
            <w:r w:rsidR="0057066C">
              <w:rPr>
                <w:rFonts w:ascii="Arial Narrow" w:hAnsi="Arial Narrow" w:cs="Arial"/>
                <w:sz w:val="20"/>
                <w:szCs w:val="20"/>
              </w:rPr>
              <w:t> </w:t>
            </w:r>
            <w:r w:rsidRPr="000C2C52">
              <w:rPr>
                <w:rFonts w:ascii="Arial Narrow" w:hAnsi="Arial Narrow" w:cs="Arial"/>
                <w:sz w:val="20"/>
                <w:szCs w:val="20"/>
              </w:rPr>
              <w:t>mg in 0.8</w:t>
            </w:r>
            <w:r w:rsidR="0057066C">
              <w:rPr>
                <w:rFonts w:ascii="Arial Narrow" w:hAnsi="Arial Narrow" w:cs="Arial"/>
                <w:sz w:val="20"/>
                <w:szCs w:val="20"/>
              </w:rPr>
              <w:t> mL injection, 2 x 0.8 </w:t>
            </w:r>
            <w:r w:rsidRPr="000C2C52">
              <w:rPr>
                <w:rFonts w:ascii="Arial Narrow" w:hAnsi="Arial Narrow" w:cs="Arial"/>
                <w:sz w:val="20"/>
                <w:szCs w:val="20"/>
              </w:rPr>
              <w:t>mL cartridges</w:t>
            </w:r>
          </w:p>
          <w:p w:rsidR="000C2C52" w:rsidRDefault="000C2C52" w:rsidP="000C2C52">
            <w:pPr>
              <w:keepNext/>
              <w:ind w:left="-108"/>
              <w:jc w:val="both"/>
              <w:rPr>
                <w:rFonts w:ascii="Arial Narrow" w:hAnsi="Arial Narrow" w:cs="Arial"/>
                <w:sz w:val="20"/>
                <w:szCs w:val="20"/>
              </w:rPr>
            </w:pPr>
            <w:r w:rsidRPr="000C2C52">
              <w:rPr>
                <w:rFonts w:ascii="Arial Narrow" w:hAnsi="Arial Narrow" w:cs="Arial"/>
                <w:sz w:val="20"/>
                <w:szCs w:val="20"/>
              </w:rPr>
              <w:t>40</w:t>
            </w:r>
            <w:r w:rsidR="0057066C">
              <w:rPr>
                <w:rFonts w:ascii="Arial Narrow" w:hAnsi="Arial Narrow" w:cs="Arial"/>
                <w:sz w:val="20"/>
                <w:szCs w:val="20"/>
              </w:rPr>
              <w:t> </w:t>
            </w:r>
            <w:r w:rsidRPr="000C2C52">
              <w:rPr>
                <w:rFonts w:ascii="Arial Narrow" w:hAnsi="Arial Narrow" w:cs="Arial"/>
                <w:sz w:val="20"/>
                <w:szCs w:val="20"/>
              </w:rPr>
              <w:t>mg in 0.8</w:t>
            </w:r>
            <w:r w:rsidR="0057066C">
              <w:rPr>
                <w:rFonts w:ascii="Arial Narrow" w:hAnsi="Arial Narrow" w:cs="Arial"/>
                <w:sz w:val="20"/>
                <w:szCs w:val="20"/>
              </w:rPr>
              <w:t> mL injection, 2 x 0.8 </w:t>
            </w:r>
            <w:r w:rsidRPr="000C2C52">
              <w:rPr>
                <w:rFonts w:ascii="Arial Narrow" w:hAnsi="Arial Narrow" w:cs="Arial"/>
                <w:sz w:val="20"/>
                <w:szCs w:val="20"/>
              </w:rPr>
              <w:t>mL syringes</w:t>
            </w:r>
          </w:p>
          <w:p w:rsidR="000C2C52" w:rsidRDefault="000C2C52" w:rsidP="000C2C52">
            <w:pPr>
              <w:keepNext/>
              <w:ind w:left="-108"/>
              <w:jc w:val="both"/>
              <w:rPr>
                <w:rFonts w:ascii="Arial Narrow" w:hAnsi="Arial Narrow" w:cs="Arial"/>
                <w:sz w:val="20"/>
                <w:szCs w:val="20"/>
              </w:rPr>
            </w:pPr>
          </w:p>
          <w:p w:rsidR="000C2C52" w:rsidRPr="000C2C52" w:rsidRDefault="000C2C52" w:rsidP="000C2C52">
            <w:pPr>
              <w:keepNext/>
              <w:ind w:left="-108"/>
              <w:jc w:val="both"/>
              <w:rPr>
                <w:rFonts w:ascii="Arial Narrow" w:hAnsi="Arial Narrow" w:cs="Arial"/>
                <w:sz w:val="20"/>
                <w:szCs w:val="20"/>
                <w:u w:val="single"/>
              </w:rPr>
            </w:pPr>
            <w:r w:rsidRPr="000C2C52">
              <w:rPr>
                <w:rFonts w:ascii="Arial Narrow" w:hAnsi="Arial Narrow" w:cs="Arial"/>
                <w:sz w:val="20"/>
                <w:szCs w:val="20"/>
                <w:u w:val="single"/>
              </w:rPr>
              <w:t>Maintenance</w:t>
            </w:r>
          </w:p>
          <w:p w:rsidR="000C2C52" w:rsidRPr="000C2C52" w:rsidRDefault="000C2C52" w:rsidP="000C2C52">
            <w:pPr>
              <w:keepNext/>
              <w:ind w:left="-108"/>
              <w:jc w:val="both"/>
              <w:rPr>
                <w:rFonts w:ascii="Arial Narrow" w:hAnsi="Arial Narrow" w:cs="Arial"/>
                <w:sz w:val="20"/>
                <w:szCs w:val="20"/>
              </w:rPr>
            </w:pPr>
            <w:r w:rsidRPr="000C2C52">
              <w:rPr>
                <w:rFonts w:ascii="Arial Narrow" w:hAnsi="Arial Narrow" w:cs="Arial"/>
                <w:sz w:val="20"/>
                <w:szCs w:val="20"/>
              </w:rPr>
              <w:t>40</w:t>
            </w:r>
            <w:r w:rsidR="0057066C">
              <w:rPr>
                <w:rFonts w:ascii="Arial Narrow" w:hAnsi="Arial Narrow" w:cs="Arial"/>
                <w:sz w:val="20"/>
                <w:szCs w:val="20"/>
              </w:rPr>
              <w:t> </w:t>
            </w:r>
            <w:r w:rsidRPr="000C2C52">
              <w:rPr>
                <w:rFonts w:ascii="Arial Narrow" w:hAnsi="Arial Narrow" w:cs="Arial"/>
                <w:sz w:val="20"/>
                <w:szCs w:val="20"/>
              </w:rPr>
              <w:t>mg in 0.8</w:t>
            </w:r>
            <w:r w:rsidR="0057066C">
              <w:rPr>
                <w:rFonts w:ascii="Arial Narrow" w:hAnsi="Arial Narrow" w:cs="Arial"/>
                <w:sz w:val="20"/>
                <w:szCs w:val="20"/>
              </w:rPr>
              <w:t> mL injection, 2 x 0.8 </w:t>
            </w:r>
            <w:r w:rsidRPr="000C2C52">
              <w:rPr>
                <w:rFonts w:ascii="Arial Narrow" w:hAnsi="Arial Narrow" w:cs="Arial"/>
                <w:sz w:val="20"/>
                <w:szCs w:val="20"/>
              </w:rPr>
              <w:t>mL cartridges</w:t>
            </w:r>
          </w:p>
          <w:p w:rsidR="00C60B65" w:rsidRDefault="000C2C52" w:rsidP="00C60B65">
            <w:pPr>
              <w:keepNext/>
              <w:ind w:left="-108"/>
              <w:jc w:val="both"/>
              <w:rPr>
                <w:rFonts w:ascii="Arial Narrow" w:hAnsi="Arial Narrow" w:cs="Arial"/>
                <w:sz w:val="20"/>
                <w:szCs w:val="20"/>
              </w:rPr>
            </w:pPr>
            <w:r w:rsidRPr="000C2C52">
              <w:rPr>
                <w:rFonts w:ascii="Arial Narrow" w:hAnsi="Arial Narrow" w:cs="Arial"/>
                <w:sz w:val="20"/>
                <w:szCs w:val="20"/>
              </w:rPr>
              <w:t>40</w:t>
            </w:r>
            <w:r w:rsidR="0057066C">
              <w:rPr>
                <w:rFonts w:ascii="Arial Narrow" w:hAnsi="Arial Narrow" w:cs="Arial"/>
                <w:sz w:val="20"/>
                <w:szCs w:val="20"/>
              </w:rPr>
              <w:t> </w:t>
            </w:r>
            <w:r w:rsidRPr="000C2C52">
              <w:rPr>
                <w:rFonts w:ascii="Arial Narrow" w:hAnsi="Arial Narrow" w:cs="Arial"/>
                <w:sz w:val="20"/>
                <w:szCs w:val="20"/>
              </w:rPr>
              <w:t>mg in 0.8</w:t>
            </w:r>
            <w:r w:rsidR="0057066C">
              <w:rPr>
                <w:rFonts w:ascii="Arial Narrow" w:hAnsi="Arial Narrow" w:cs="Arial"/>
                <w:sz w:val="20"/>
                <w:szCs w:val="20"/>
              </w:rPr>
              <w:t> </w:t>
            </w:r>
            <w:r w:rsidRPr="000C2C52">
              <w:rPr>
                <w:rFonts w:ascii="Arial Narrow" w:hAnsi="Arial Narrow" w:cs="Arial"/>
                <w:sz w:val="20"/>
                <w:szCs w:val="20"/>
              </w:rPr>
              <w:t>mL injection, 2</w:t>
            </w:r>
            <w:r w:rsidR="0057066C">
              <w:rPr>
                <w:rFonts w:ascii="Arial Narrow" w:hAnsi="Arial Narrow" w:cs="Arial"/>
                <w:sz w:val="20"/>
                <w:szCs w:val="20"/>
              </w:rPr>
              <w:t xml:space="preserve"> x 0.8 </w:t>
            </w:r>
            <w:r w:rsidRPr="000C2C52">
              <w:rPr>
                <w:rFonts w:ascii="Arial Narrow" w:hAnsi="Arial Narrow" w:cs="Arial"/>
                <w:sz w:val="20"/>
                <w:szCs w:val="20"/>
              </w:rPr>
              <w:t>mL syringes</w:t>
            </w:r>
          </w:p>
          <w:p w:rsidR="00C60B65" w:rsidRDefault="00C60B65" w:rsidP="00C60B65">
            <w:pPr>
              <w:keepNext/>
              <w:ind w:left="-108"/>
              <w:jc w:val="both"/>
              <w:rPr>
                <w:rFonts w:ascii="Arial Narrow" w:hAnsi="Arial Narrow" w:cs="Arial"/>
                <w:sz w:val="20"/>
                <w:szCs w:val="20"/>
              </w:rPr>
            </w:pPr>
          </w:p>
          <w:p w:rsidR="00C60B65" w:rsidRPr="0081666D" w:rsidRDefault="00C60B65" w:rsidP="005860E8">
            <w:pPr>
              <w:keepNext/>
              <w:ind w:left="-108"/>
              <w:jc w:val="both"/>
              <w:rPr>
                <w:rFonts w:ascii="Arial Narrow" w:hAnsi="Arial Narrow" w:cs="Arial"/>
                <w:i/>
                <w:sz w:val="20"/>
                <w:szCs w:val="20"/>
              </w:rPr>
            </w:pPr>
            <w:r w:rsidRPr="00C60B65">
              <w:rPr>
                <w:rFonts w:ascii="Arial Narrow" w:hAnsi="Arial Narrow" w:cs="Arial"/>
                <w:i/>
                <w:sz w:val="20"/>
                <w:szCs w:val="20"/>
              </w:rPr>
              <w:t>*submission proposed the 2-pack w</w:t>
            </w:r>
            <w:r w:rsidR="005860E8">
              <w:rPr>
                <w:rFonts w:ascii="Arial Narrow" w:hAnsi="Arial Narrow" w:cs="Arial"/>
                <w:i/>
                <w:sz w:val="20"/>
                <w:szCs w:val="20"/>
              </w:rPr>
              <w:t>ould</w:t>
            </w:r>
            <w:r w:rsidRPr="00C60B65">
              <w:rPr>
                <w:rFonts w:ascii="Arial Narrow" w:hAnsi="Arial Narrow" w:cs="Arial"/>
                <w:i/>
                <w:sz w:val="20"/>
                <w:szCs w:val="20"/>
              </w:rPr>
              <w:t xml:space="preserve"> be priced equivalently to</w:t>
            </w:r>
            <w:r w:rsidRPr="005672DD">
              <w:rPr>
                <w:rFonts w:ascii="Arial Narrow" w:hAnsi="Arial Narrow" w:cs="Arial"/>
                <w:i/>
                <w:sz w:val="20"/>
                <w:szCs w:val="20"/>
              </w:rPr>
              <w:t xml:space="preserve"> infliximab</w:t>
            </w:r>
            <w:r>
              <w:rPr>
                <w:rFonts w:ascii="Arial Narrow" w:hAnsi="Arial Narrow" w:cs="Arial"/>
                <w:i/>
                <w:sz w:val="20"/>
                <w:szCs w:val="20"/>
              </w:rPr>
              <w:t>.</w:t>
            </w:r>
          </w:p>
        </w:tc>
        <w:tc>
          <w:tcPr>
            <w:tcW w:w="567" w:type="dxa"/>
          </w:tcPr>
          <w:p w:rsidR="00826F6D" w:rsidRPr="00260CE3" w:rsidRDefault="00826F6D" w:rsidP="00C27B58">
            <w:pPr>
              <w:keepNext/>
              <w:ind w:left="-108"/>
              <w:jc w:val="both"/>
              <w:rPr>
                <w:rFonts w:ascii="Arial Narrow" w:hAnsi="Arial Narrow" w:cs="Arial"/>
                <w:sz w:val="20"/>
                <w:szCs w:val="20"/>
              </w:rPr>
            </w:pPr>
          </w:p>
          <w:p w:rsidR="000C2C52" w:rsidRDefault="000C2C52" w:rsidP="00C27B58">
            <w:pPr>
              <w:keepNext/>
              <w:ind w:left="-108"/>
              <w:jc w:val="both"/>
              <w:rPr>
                <w:rFonts w:ascii="Arial Narrow" w:hAnsi="Arial Narrow" w:cs="Arial"/>
                <w:sz w:val="20"/>
                <w:szCs w:val="20"/>
              </w:rPr>
            </w:pPr>
          </w:p>
          <w:p w:rsidR="000C2C52" w:rsidRDefault="000C2C52" w:rsidP="00C27B58">
            <w:pPr>
              <w:keepNext/>
              <w:ind w:left="-108"/>
              <w:jc w:val="both"/>
              <w:rPr>
                <w:rFonts w:ascii="Arial Narrow" w:hAnsi="Arial Narrow" w:cs="Arial"/>
                <w:sz w:val="20"/>
                <w:szCs w:val="20"/>
              </w:rPr>
            </w:pPr>
            <w:r>
              <w:rPr>
                <w:rFonts w:ascii="Arial Narrow" w:hAnsi="Arial Narrow" w:cs="Arial"/>
                <w:sz w:val="20"/>
                <w:szCs w:val="20"/>
              </w:rPr>
              <w:t>1</w:t>
            </w:r>
          </w:p>
          <w:p w:rsidR="000C2C52" w:rsidRDefault="000C2C52" w:rsidP="00C27B58">
            <w:pPr>
              <w:keepNext/>
              <w:ind w:left="-108"/>
              <w:jc w:val="both"/>
              <w:rPr>
                <w:rFonts w:ascii="Arial Narrow" w:hAnsi="Arial Narrow" w:cs="Arial"/>
                <w:sz w:val="20"/>
                <w:szCs w:val="20"/>
              </w:rPr>
            </w:pPr>
            <w:r>
              <w:rPr>
                <w:rFonts w:ascii="Arial Narrow" w:hAnsi="Arial Narrow" w:cs="Arial"/>
                <w:sz w:val="20"/>
                <w:szCs w:val="20"/>
              </w:rPr>
              <w:t>1</w:t>
            </w:r>
          </w:p>
          <w:p w:rsidR="000C2C52" w:rsidRDefault="000C2C52" w:rsidP="00C27B58">
            <w:pPr>
              <w:keepNext/>
              <w:ind w:left="-108"/>
              <w:jc w:val="both"/>
              <w:rPr>
                <w:rFonts w:ascii="Arial Narrow" w:hAnsi="Arial Narrow" w:cs="Arial"/>
                <w:sz w:val="20"/>
                <w:szCs w:val="20"/>
              </w:rPr>
            </w:pPr>
            <w:r>
              <w:rPr>
                <w:rFonts w:ascii="Arial Narrow" w:hAnsi="Arial Narrow" w:cs="Arial"/>
                <w:sz w:val="20"/>
                <w:szCs w:val="20"/>
              </w:rPr>
              <w:t>1</w:t>
            </w:r>
          </w:p>
          <w:p w:rsidR="000C2C52" w:rsidRDefault="000C2C52" w:rsidP="00C27B58">
            <w:pPr>
              <w:keepNext/>
              <w:ind w:left="-108"/>
              <w:jc w:val="both"/>
              <w:rPr>
                <w:rFonts w:ascii="Arial Narrow" w:hAnsi="Arial Narrow" w:cs="Arial"/>
                <w:sz w:val="20"/>
                <w:szCs w:val="20"/>
              </w:rPr>
            </w:pPr>
            <w:r>
              <w:rPr>
                <w:rFonts w:ascii="Arial Narrow" w:hAnsi="Arial Narrow" w:cs="Arial"/>
                <w:sz w:val="20"/>
                <w:szCs w:val="20"/>
              </w:rPr>
              <w:t>1</w:t>
            </w:r>
          </w:p>
          <w:p w:rsidR="000C2C52" w:rsidRDefault="000C2C52" w:rsidP="00C27B58">
            <w:pPr>
              <w:keepNext/>
              <w:ind w:left="-108"/>
              <w:jc w:val="both"/>
              <w:rPr>
                <w:rFonts w:ascii="Arial Narrow" w:hAnsi="Arial Narrow" w:cs="Arial"/>
                <w:sz w:val="20"/>
                <w:szCs w:val="20"/>
              </w:rPr>
            </w:pPr>
          </w:p>
          <w:p w:rsidR="000C2C52" w:rsidRDefault="000C2C52" w:rsidP="00C27B58">
            <w:pPr>
              <w:keepNext/>
              <w:ind w:left="-108"/>
              <w:jc w:val="both"/>
              <w:rPr>
                <w:rFonts w:ascii="Arial Narrow" w:hAnsi="Arial Narrow" w:cs="Arial"/>
                <w:sz w:val="20"/>
                <w:szCs w:val="20"/>
              </w:rPr>
            </w:pPr>
          </w:p>
          <w:p w:rsidR="000C2C52" w:rsidRDefault="000C2C52" w:rsidP="00C27B58">
            <w:pPr>
              <w:keepNext/>
              <w:ind w:left="-108"/>
              <w:jc w:val="both"/>
              <w:rPr>
                <w:rFonts w:ascii="Arial Narrow" w:hAnsi="Arial Narrow" w:cs="Arial"/>
                <w:sz w:val="20"/>
                <w:szCs w:val="20"/>
              </w:rPr>
            </w:pPr>
            <w:r>
              <w:rPr>
                <w:rFonts w:ascii="Arial Narrow" w:hAnsi="Arial Narrow" w:cs="Arial"/>
                <w:sz w:val="20"/>
                <w:szCs w:val="20"/>
              </w:rPr>
              <w:t>1</w:t>
            </w:r>
          </w:p>
          <w:p w:rsidR="00826F6D" w:rsidRPr="00260CE3" w:rsidRDefault="000C2C52" w:rsidP="00F02CBD">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826F6D" w:rsidRPr="00260CE3" w:rsidRDefault="00826F6D" w:rsidP="00C27B58">
            <w:pPr>
              <w:keepNext/>
              <w:ind w:left="-108"/>
              <w:jc w:val="both"/>
              <w:rPr>
                <w:rFonts w:ascii="Arial Narrow" w:hAnsi="Arial Narrow" w:cs="Arial"/>
                <w:sz w:val="20"/>
                <w:szCs w:val="20"/>
              </w:rPr>
            </w:pPr>
          </w:p>
          <w:p w:rsidR="000C2C52" w:rsidRDefault="000C2C52" w:rsidP="00C27B58">
            <w:pPr>
              <w:keepNext/>
              <w:ind w:left="-108"/>
              <w:jc w:val="both"/>
              <w:rPr>
                <w:rFonts w:ascii="Arial Narrow" w:hAnsi="Arial Narrow" w:cs="Arial"/>
                <w:sz w:val="20"/>
                <w:szCs w:val="20"/>
              </w:rPr>
            </w:pPr>
          </w:p>
          <w:p w:rsidR="000C2C52" w:rsidRDefault="000C2C52" w:rsidP="00C27B58">
            <w:pPr>
              <w:keepNext/>
              <w:ind w:left="-108"/>
              <w:jc w:val="both"/>
              <w:rPr>
                <w:rFonts w:ascii="Arial Narrow" w:hAnsi="Arial Narrow" w:cs="Arial"/>
                <w:sz w:val="20"/>
                <w:szCs w:val="20"/>
              </w:rPr>
            </w:pPr>
            <w:r>
              <w:rPr>
                <w:rFonts w:ascii="Arial Narrow" w:hAnsi="Arial Narrow" w:cs="Arial"/>
                <w:sz w:val="20"/>
                <w:szCs w:val="20"/>
              </w:rPr>
              <w:t>0</w:t>
            </w:r>
          </w:p>
          <w:p w:rsidR="000C2C52" w:rsidRDefault="000C2C52" w:rsidP="00C27B58">
            <w:pPr>
              <w:keepNext/>
              <w:ind w:left="-108"/>
              <w:jc w:val="both"/>
              <w:rPr>
                <w:rFonts w:ascii="Arial Narrow" w:hAnsi="Arial Narrow" w:cs="Arial"/>
                <w:sz w:val="20"/>
                <w:szCs w:val="20"/>
              </w:rPr>
            </w:pPr>
            <w:r>
              <w:rPr>
                <w:rFonts w:ascii="Arial Narrow" w:hAnsi="Arial Narrow" w:cs="Arial"/>
                <w:sz w:val="20"/>
                <w:szCs w:val="20"/>
              </w:rPr>
              <w:t>0</w:t>
            </w:r>
          </w:p>
          <w:p w:rsidR="000C2C52" w:rsidRDefault="000C2C52" w:rsidP="000C2C52">
            <w:pPr>
              <w:keepNext/>
              <w:ind w:left="-108"/>
              <w:jc w:val="both"/>
              <w:rPr>
                <w:rFonts w:ascii="Arial Narrow" w:hAnsi="Arial Narrow" w:cs="Arial"/>
                <w:sz w:val="20"/>
                <w:szCs w:val="20"/>
              </w:rPr>
            </w:pPr>
            <w:r>
              <w:rPr>
                <w:rFonts w:ascii="Arial Narrow" w:hAnsi="Arial Narrow" w:cs="Arial"/>
                <w:sz w:val="20"/>
                <w:szCs w:val="20"/>
              </w:rPr>
              <w:t>2</w:t>
            </w:r>
          </w:p>
          <w:p w:rsidR="000C2C52" w:rsidRDefault="000C2C52" w:rsidP="000C2C52">
            <w:pPr>
              <w:keepNext/>
              <w:ind w:left="-108"/>
              <w:jc w:val="both"/>
              <w:rPr>
                <w:rFonts w:ascii="Arial Narrow" w:hAnsi="Arial Narrow" w:cs="Arial"/>
                <w:sz w:val="20"/>
                <w:szCs w:val="20"/>
              </w:rPr>
            </w:pPr>
            <w:r>
              <w:rPr>
                <w:rFonts w:ascii="Arial Narrow" w:hAnsi="Arial Narrow" w:cs="Arial"/>
                <w:sz w:val="20"/>
                <w:szCs w:val="20"/>
              </w:rPr>
              <w:t>2</w:t>
            </w:r>
          </w:p>
          <w:p w:rsidR="000C2C52" w:rsidRDefault="000C2C52" w:rsidP="000C2C52">
            <w:pPr>
              <w:keepNext/>
              <w:ind w:left="-108"/>
              <w:jc w:val="both"/>
              <w:rPr>
                <w:rFonts w:ascii="Arial Narrow" w:hAnsi="Arial Narrow" w:cs="Arial"/>
                <w:sz w:val="20"/>
                <w:szCs w:val="20"/>
              </w:rPr>
            </w:pPr>
          </w:p>
          <w:p w:rsidR="000C2C52" w:rsidRDefault="000C2C52" w:rsidP="000C2C52">
            <w:pPr>
              <w:keepNext/>
              <w:ind w:left="-108"/>
              <w:jc w:val="both"/>
              <w:rPr>
                <w:rFonts w:ascii="Arial Narrow" w:hAnsi="Arial Narrow" w:cs="Arial"/>
                <w:sz w:val="20"/>
                <w:szCs w:val="20"/>
              </w:rPr>
            </w:pPr>
          </w:p>
          <w:p w:rsidR="000C2C52" w:rsidRDefault="000C2C52" w:rsidP="000C2C52">
            <w:pPr>
              <w:keepNext/>
              <w:ind w:left="-108"/>
              <w:jc w:val="both"/>
              <w:rPr>
                <w:rFonts w:ascii="Arial Narrow" w:hAnsi="Arial Narrow" w:cs="Arial"/>
                <w:sz w:val="20"/>
                <w:szCs w:val="20"/>
              </w:rPr>
            </w:pPr>
            <w:r>
              <w:rPr>
                <w:rFonts w:ascii="Arial Narrow" w:hAnsi="Arial Narrow" w:cs="Arial"/>
                <w:sz w:val="20"/>
                <w:szCs w:val="20"/>
              </w:rPr>
              <w:t>5</w:t>
            </w:r>
          </w:p>
          <w:p w:rsidR="00826F6D" w:rsidRPr="00260CE3" w:rsidRDefault="000C2C52" w:rsidP="000C2C52">
            <w:pPr>
              <w:keepNext/>
              <w:ind w:left="-108"/>
              <w:jc w:val="both"/>
              <w:rPr>
                <w:rFonts w:ascii="Arial Narrow" w:hAnsi="Arial Narrow" w:cs="Arial"/>
                <w:sz w:val="20"/>
                <w:szCs w:val="20"/>
              </w:rPr>
            </w:pPr>
            <w:r>
              <w:rPr>
                <w:rFonts w:ascii="Arial Narrow" w:hAnsi="Arial Narrow" w:cs="Arial"/>
                <w:sz w:val="20"/>
                <w:szCs w:val="20"/>
              </w:rPr>
              <w:t>5</w:t>
            </w:r>
          </w:p>
        </w:tc>
        <w:tc>
          <w:tcPr>
            <w:tcW w:w="1417" w:type="dxa"/>
          </w:tcPr>
          <w:p w:rsidR="00826F6D" w:rsidRPr="00260CE3" w:rsidRDefault="00826F6D" w:rsidP="00C27B58">
            <w:pPr>
              <w:keepNext/>
              <w:ind w:left="-108"/>
              <w:jc w:val="both"/>
              <w:rPr>
                <w:rFonts w:ascii="Arial Narrow" w:hAnsi="Arial Narrow" w:cs="Arial"/>
                <w:sz w:val="20"/>
                <w:szCs w:val="20"/>
              </w:rPr>
            </w:pPr>
          </w:p>
          <w:p w:rsidR="000C2C52" w:rsidRDefault="000C2C52" w:rsidP="00C27B58">
            <w:pPr>
              <w:keepNext/>
              <w:ind w:left="-108"/>
              <w:jc w:val="both"/>
              <w:rPr>
                <w:rFonts w:ascii="Arial Narrow" w:hAnsi="Arial Narrow" w:cs="Arial"/>
                <w:sz w:val="20"/>
                <w:szCs w:val="20"/>
              </w:rPr>
            </w:pPr>
          </w:p>
          <w:p w:rsidR="00826F6D" w:rsidRDefault="00826F6D" w:rsidP="000C2C52">
            <w:pPr>
              <w:keepNext/>
              <w:ind w:left="-108"/>
              <w:jc w:val="both"/>
              <w:rPr>
                <w:rFonts w:ascii="Arial Narrow" w:hAnsi="Arial Narrow" w:cs="Arial"/>
                <w:sz w:val="20"/>
                <w:szCs w:val="20"/>
              </w:rPr>
            </w:pPr>
            <w:r w:rsidRPr="00260CE3">
              <w:rPr>
                <w:rFonts w:ascii="Arial Narrow" w:hAnsi="Arial Narrow" w:cs="Arial"/>
                <w:sz w:val="20"/>
                <w:szCs w:val="20"/>
              </w:rPr>
              <w:t>$</w:t>
            </w:r>
            <w:r w:rsidR="000B1B9D">
              <w:rPr>
                <w:rFonts w:ascii="Arial Narrow" w:hAnsi="Arial Narrow" w:cs="Arial"/>
                <w:noProof/>
                <w:color w:val="000000"/>
                <w:sz w:val="20"/>
                <w:szCs w:val="20"/>
                <w:highlight w:val="black"/>
              </w:rPr>
              <w:t>''''''''''''''''''''''</w:t>
            </w:r>
          </w:p>
          <w:p w:rsidR="000C2C52" w:rsidRDefault="000C2C52" w:rsidP="000C2C52">
            <w:pPr>
              <w:keepNext/>
              <w:ind w:left="-108"/>
              <w:jc w:val="both"/>
              <w:rPr>
                <w:rFonts w:ascii="Arial Narrow" w:hAnsi="Arial Narrow" w:cs="Arial"/>
                <w:sz w:val="20"/>
                <w:szCs w:val="20"/>
              </w:rPr>
            </w:pPr>
            <w:r>
              <w:rPr>
                <w:rFonts w:ascii="Arial Narrow" w:hAnsi="Arial Narrow" w:cs="Arial"/>
                <w:sz w:val="20"/>
                <w:szCs w:val="20"/>
              </w:rPr>
              <w:t>$</w:t>
            </w:r>
            <w:r w:rsidR="000B1B9D">
              <w:rPr>
                <w:rFonts w:ascii="Arial Narrow" w:hAnsi="Arial Narrow" w:cs="Arial"/>
                <w:noProof/>
                <w:color w:val="000000"/>
                <w:sz w:val="20"/>
                <w:szCs w:val="20"/>
                <w:highlight w:val="black"/>
              </w:rPr>
              <w:t>''''''''''''''''''''</w:t>
            </w:r>
          </w:p>
          <w:p w:rsidR="00C60B65" w:rsidRDefault="000C2C52" w:rsidP="00C60B65">
            <w:pPr>
              <w:keepNext/>
              <w:ind w:left="-108"/>
              <w:rPr>
                <w:rFonts w:ascii="Arial Narrow" w:hAnsi="Arial Narrow" w:cs="Arial"/>
                <w:sz w:val="20"/>
                <w:szCs w:val="20"/>
              </w:rPr>
            </w:pPr>
            <w:r>
              <w:rPr>
                <w:rFonts w:ascii="Arial Narrow" w:hAnsi="Arial Narrow" w:cs="Arial"/>
                <w:sz w:val="20"/>
                <w:szCs w:val="20"/>
              </w:rPr>
              <w:t>$</w:t>
            </w:r>
            <w:r w:rsidR="00C60B65">
              <w:rPr>
                <w:rFonts w:ascii="Arial Narrow" w:hAnsi="Arial Narrow" w:cs="Arial"/>
                <w:i/>
                <w:sz w:val="20"/>
                <w:szCs w:val="20"/>
              </w:rPr>
              <w:t>*</w:t>
            </w:r>
          </w:p>
          <w:p w:rsidR="00C60B65" w:rsidRDefault="000C2C52" w:rsidP="00C60B65">
            <w:pPr>
              <w:keepNext/>
              <w:ind w:left="-108"/>
              <w:rPr>
                <w:rFonts w:ascii="Arial Narrow" w:hAnsi="Arial Narrow" w:cs="Arial"/>
                <w:sz w:val="20"/>
                <w:szCs w:val="20"/>
              </w:rPr>
            </w:pPr>
            <w:r>
              <w:rPr>
                <w:rFonts w:ascii="Arial Narrow" w:hAnsi="Arial Narrow" w:cs="Arial"/>
                <w:sz w:val="20"/>
                <w:szCs w:val="20"/>
              </w:rPr>
              <w:t>$</w:t>
            </w:r>
            <w:r w:rsidR="00633F2E">
              <w:rPr>
                <w:rFonts w:ascii="Arial Narrow" w:hAnsi="Arial Narrow" w:cs="Arial"/>
                <w:i/>
                <w:sz w:val="20"/>
                <w:szCs w:val="20"/>
              </w:rPr>
              <w:t>*</w:t>
            </w:r>
          </w:p>
          <w:p w:rsidR="000C2C52" w:rsidRDefault="000C2C52" w:rsidP="00C60B65">
            <w:pPr>
              <w:keepNext/>
              <w:ind w:left="-108"/>
              <w:rPr>
                <w:rFonts w:ascii="Arial Narrow" w:hAnsi="Arial Narrow" w:cs="Arial"/>
                <w:sz w:val="20"/>
                <w:szCs w:val="20"/>
              </w:rPr>
            </w:pPr>
          </w:p>
          <w:p w:rsidR="000C2C52" w:rsidRDefault="000C2C52" w:rsidP="000C2C52">
            <w:pPr>
              <w:keepNext/>
              <w:ind w:left="-108"/>
              <w:jc w:val="both"/>
              <w:rPr>
                <w:rFonts w:ascii="Arial Narrow" w:hAnsi="Arial Narrow" w:cs="Arial"/>
                <w:sz w:val="20"/>
                <w:szCs w:val="20"/>
              </w:rPr>
            </w:pPr>
          </w:p>
          <w:p w:rsidR="00C60B65" w:rsidRDefault="00C60B65" w:rsidP="00C60B65">
            <w:pPr>
              <w:keepNext/>
              <w:ind w:left="-108"/>
              <w:rPr>
                <w:rFonts w:ascii="Arial Narrow" w:hAnsi="Arial Narrow" w:cs="Arial"/>
                <w:sz w:val="20"/>
                <w:szCs w:val="20"/>
              </w:rPr>
            </w:pPr>
            <w:r>
              <w:rPr>
                <w:rFonts w:ascii="Arial Narrow" w:hAnsi="Arial Narrow" w:cs="Arial"/>
                <w:sz w:val="20"/>
                <w:szCs w:val="20"/>
              </w:rPr>
              <w:t>$</w:t>
            </w:r>
            <w:r>
              <w:rPr>
                <w:rFonts w:ascii="Arial Narrow" w:hAnsi="Arial Narrow" w:cs="Arial"/>
                <w:i/>
                <w:sz w:val="20"/>
                <w:szCs w:val="20"/>
              </w:rPr>
              <w:t>*</w:t>
            </w:r>
          </w:p>
          <w:p w:rsidR="00C60B65" w:rsidRPr="00260CE3" w:rsidRDefault="00C60B65" w:rsidP="00F02CBD">
            <w:pPr>
              <w:keepNext/>
              <w:ind w:left="-108"/>
              <w:rPr>
                <w:rFonts w:ascii="Arial Narrow" w:hAnsi="Arial Narrow" w:cs="Arial"/>
                <w:sz w:val="20"/>
                <w:szCs w:val="20"/>
              </w:rPr>
            </w:pPr>
            <w:r>
              <w:rPr>
                <w:rFonts w:ascii="Arial Narrow" w:hAnsi="Arial Narrow" w:cs="Arial"/>
                <w:sz w:val="20"/>
                <w:szCs w:val="20"/>
              </w:rPr>
              <w:t>$</w:t>
            </w:r>
            <w:r>
              <w:rPr>
                <w:rFonts w:ascii="Arial Narrow" w:hAnsi="Arial Narrow" w:cs="Arial"/>
                <w:i/>
                <w:sz w:val="20"/>
                <w:szCs w:val="20"/>
              </w:rPr>
              <w:t>*</w:t>
            </w:r>
          </w:p>
        </w:tc>
        <w:tc>
          <w:tcPr>
            <w:tcW w:w="851" w:type="dxa"/>
          </w:tcPr>
          <w:p w:rsidR="00C27B58" w:rsidRDefault="00C27B58" w:rsidP="00C27B58">
            <w:pPr>
              <w:keepNext/>
              <w:jc w:val="both"/>
              <w:rPr>
                <w:rFonts w:ascii="Arial Narrow" w:hAnsi="Arial Narrow" w:cs="Arial"/>
                <w:sz w:val="20"/>
                <w:szCs w:val="20"/>
              </w:rPr>
            </w:pPr>
          </w:p>
          <w:p w:rsidR="00C60B65" w:rsidRDefault="00C60B65" w:rsidP="00C27B58">
            <w:pPr>
              <w:keepNext/>
              <w:jc w:val="both"/>
              <w:rPr>
                <w:rFonts w:ascii="Arial Narrow" w:hAnsi="Arial Narrow" w:cs="Arial"/>
                <w:sz w:val="20"/>
                <w:szCs w:val="20"/>
              </w:rPr>
            </w:pPr>
          </w:p>
          <w:p w:rsidR="00826F6D" w:rsidRPr="00260CE3" w:rsidRDefault="00C60B65" w:rsidP="00C27B58">
            <w:pPr>
              <w:keepNext/>
              <w:jc w:val="both"/>
              <w:rPr>
                <w:rFonts w:ascii="Arial Narrow" w:hAnsi="Arial Narrow" w:cs="Arial"/>
                <w:sz w:val="20"/>
                <w:szCs w:val="20"/>
              </w:rPr>
            </w:pPr>
            <w:r>
              <w:rPr>
                <w:rFonts w:ascii="Arial Narrow" w:hAnsi="Arial Narrow" w:cs="Arial"/>
                <w:sz w:val="20"/>
                <w:szCs w:val="20"/>
              </w:rPr>
              <w:t>Humira</w:t>
            </w:r>
          </w:p>
        </w:tc>
        <w:tc>
          <w:tcPr>
            <w:tcW w:w="850" w:type="dxa"/>
          </w:tcPr>
          <w:p w:rsidR="00C27B58" w:rsidRDefault="00C27B58" w:rsidP="00C27B58">
            <w:pPr>
              <w:keepNext/>
              <w:jc w:val="both"/>
              <w:rPr>
                <w:rFonts w:ascii="Arial Narrow" w:hAnsi="Arial Narrow" w:cs="Arial"/>
                <w:sz w:val="20"/>
                <w:szCs w:val="20"/>
              </w:rPr>
            </w:pPr>
          </w:p>
          <w:p w:rsidR="00C60B65" w:rsidRDefault="00C60B65" w:rsidP="00C27B58">
            <w:pPr>
              <w:keepNext/>
              <w:jc w:val="both"/>
              <w:rPr>
                <w:rFonts w:ascii="Arial Narrow" w:hAnsi="Arial Narrow" w:cs="Arial"/>
                <w:sz w:val="20"/>
                <w:szCs w:val="20"/>
              </w:rPr>
            </w:pPr>
          </w:p>
          <w:p w:rsidR="00826F6D" w:rsidRPr="00260CE3" w:rsidRDefault="00C60B65" w:rsidP="00C27B58">
            <w:pPr>
              <w:keepNext/>
              <w:jc w:val="both"/>
              <w:rPr>
                <w:rFonts w:ascii="Arial Narrow" w:hAnsi="Arial Narrow" w:cs="Arial"/>
                <w:sz w:val="20"/>
                <w:szCs w:val="20"/>
              </w:rPr>
            </w:pPr>
            <w:r>
              <w:rPr>
                <w:rFonts w:ascii="Arial Narrow" w:hAnsi="Arial Narrow" w:cs="Arial"/>
                <w:sz w:val="20"/>
                <w:szCs w:val="20"/>
              </w:rPr>
              <w:t>AbbVie</w:t>
            </w:r>
          </w:p>
        </w:tc>
      </w:tr>
    </w:tbl>
    <w:p w:rsidR="004465BD" w:rsidRDefault="004465BD" w:rsidP="004465BD">
      <w:pPr>
        <w:jc w:val="both"/>
        <w:rPr>
          <w:rFonts w:ascii="Arial" w:hAnsi="Arial"/>
          <w:sz w:val="22"/>
          <w:szCs w:val="22"/>
        </w:rPr>
      </w:pPr>
    </w:p>
    <w:p w:rsidR="0022236E" w:rsidRPr="0022236E" w:rsidRDefault="0022236E" w:rsidP="0022236E">
      <w:pPr>
        <w:ind w:firstLine="720"/>
        <w:jc w:val="both"/>
        <w:rPr>
          <w:rFonts w:ascii="Arial Narrow" w:hAnsi="Arial Narrow" w:cs="Arial"/>
          <w:b/>
          <w:snapToGrid w:val="0"/>
          <w:sz w:val="20"/>
          <w:szCs w:val="20"/>
          <w:u w:val="single"/>
          <w:lang w:eastAsia="en-US"/>
        </w:rPr>
      </w:pPr>
      <w:r w:rsidRPr="0022236E">
        <w:rPr>
          <w:rFonts w:ascii="Arial Narrow" w:hAnsi="Arial Narrow" w:cs="Arial"/>
          <w:b/>
          <w:snapToGrid w:val="0"/>
          <w:sz w:val="20"/>
          <w:szCs w:val="20"/>
          <w:u w:val="single"/>
          <w:lang w:eastAsia="en-US"/>
        </w:rPr>
        <w:t>Section 85, Authority required (Streamlined)</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6928"/>
      </w:tblGrid>
      <w:tr w:rsidR="0022236E" w:rsidRPr="0022236E" w:rsidTr="0022236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bCs/>
                <w:snapToGrid w:val="0"/>
                <w:sz w:val="20"/>
                <w:szCs w:val="20"/>
                <w:lang w:eastAsia="en-US"/>
              </w:rPr>
              <w:t>Treatment phase: Initial treatment (new patient)</w:t>
            </w:r>
          </w:p>
        </w:tc>
      </w:tr>
      <w:tr w:rsidR="0022236E" w:rsidRPr="0022236E" w:rsidTr="0022236E">
        <w:trPr>
          <w:trHeight w:val="20"/>
        </w:trPr>
        <w:tc>
          <w:tcPr>
            <w:tcW w:w="849" w:type="pct"/>
            <w:tcBorders>
              <w:top w:val="single" w:sz="4" w:space="0" w:color="auto"/>
              <w:left w:val="single" w:sz="4" w:space="0" w:color="auto"/>
              <w:bottom w:val="single" w:sz="4" w:space="0" w:color="auto"/>
              <w:right w:val="single" w:sz="4" w:space="0" w:color="auto"/>
            </w:tcBorders>
            <w:hideMark/>
          </w:tcPr>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Episodicity</w:t>
            </w:r>
          </w:p>
        </w:tc>
        <w:tc>
          <w:tcPr>
            <w:tcW w:w="4151" w:type="pct"/>
            <w:tcBorders>
              <w:top w:val="single" w:sz="4" w:space="0" w:color="auto"/>
              <w:left w:val="single" w:sz="4" w:space="0" w:color="auto"/>
              <w:bottom w:val="single" w:sz="4" w:space="0" w:color="auto"/>
              <w:right w:val="single" w:sz="4" w:space="0" w:color="auto"/>
            </w:tcBorders>
          </w:tcPr>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For 12 weeks after the first dose</w:t>
            </w:r>
          </w:p>
        </w:tc>
      </w:tr>
      <w:tr w:rsidR="0022236E" w:rsidRPr="0022236E" w:rsidTr="0022236E">
        <w:trPr>
          <w:trHeight w:val="20"/>
        </w:trPr>
        <w:tc>
          <w:tcPr>
            <w:tcW w:w="849" w:type="pct"/>
            <w:tcBorders>
              <w:top w:val="single" w:sz="4" w:space="0" w:color="auto"/>
              <w:left w:val="single" w:sz="4" w:space="0" w:color="auto"/>
              <w:bottom w:val="single" w:sz="4" w:space="0" w:color="auto"/>
              <w:right w:val="single" w:sz="4" w:space="0" w:color="auto"/>
            </w:tcBorders>
            <w:hideMark/>
          </w:tcPr>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Condition</w:t>
            </w:r>
          </w:p>
        </w:tc>
        <w:tc>
          <w:tcPr>
            <w:tcW w:w="4151" w:type="pct"/>
            <w:tcBorders>
              <w:top w:val="single" w:sz="4" w:space="0" w:color="auto"/>
              <w:left w:val="single" w:sz="4" w:space="0" w:color="auto"/>
              <w:bottom w:val="single" w:sz="4" w:space="0" w:color="auto"/>
              <w:right w:val="single" w:sz="4" w:space="0" w:color="auto"/>
            </w:tcBorders>
          </w:tcPr>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Moderate to severe UC</w:t>
            </w:r>
          </w:p>
        </w:tc>
      </w:tr>
      <w:tr w:rsidR="0022236E" w:rsidRPr="0022236E" w:rsidTr="0022236E">
        <w:trPr>
          <w:trHeight w:val="20"/>
        </w:trPr>
        <w:tc>
          <w:tcPr>
            <w:tcW w:w="849" w:type="pct"/>
            <w:tcBorders>
              <w:top w:val="single" w:sz="4" w:space="0" w:color="auto"/>
              <w:left w:val="single" w:sz="4" w:space="0" w:color="auto"/>
              <w:bottom w:val="single" w:sz="4" w:space="0" w:color="auto"/>
              <w:right w:val="single" w:sz="4" w:space="0" w:color="auto"/>
            </w:tcBorders>
            <w:hideMark/>
          </w:tcPr>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Treatment criteria</w:t>
            </w:r>
          </w:p>
        </w:tc>
        <w:tc>
          <w:tcPr>
            <w:tcW w:w="4151" w:type="pct"/>
            <w:tcBorders>
              <w:top w:val="single" w:sz="4" w:space="0" w:color="auto"/>
              <w:left w:val="single" w:sz="4" w:space="0" w:color="auto"/>
              <w:bottom w:val="single" w:sz="4" w:space="0" w:color="auto"/>
              <w:right w:val="single" w:sz="4" w:space="0" w:color="auto"/>
            </w:tcBorders>
          </w:tcPr>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Must be treated by a gastroenterologist (code 87) or a consultant physician [internal medicine specialising in gastroenterology (code 81)] or a consultant physician [general medicine specialising in gastroenterology (code 82)].</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Applications for authorisation of initial treatment must be in writing and must include:</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(a) two completed authority prescription forms; </w:t>
            </w:r>
            <w:r w:rsidRPr="0022236E">
              <w:rPr>
                <w:rFonts w:ascii="Arial Narrow" w:hAnsi="Arial Narrow" w:cs="Arial"/>
                <w:b/>
                <w:snapToGrid w:val="0"/>
                <w:sz w:val="20"/>
                <w:szCs w:val="20"/>
                <w:lang w:eastAsia="en-US"/>
              </w:rPr>
              <w:t>AND</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(b) a completed UC PBS Authority Application - Supporting Information Form which includes the following: </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lastRenderedPageBreak/>
              <w:t xml:space="preserve">(i) the completed current Mayo clinic or partial Mayo clinic calculation sheet including the date of assessment of the patient's condition; </w:t>
            </w:r>
            <w:r w:rsidRPr="0022236E">
              <w:rPr>
                <w:rFonts w:ascii="Arial Narrow" w:hAnsi="Arial Narrow" w:cs="Arial"/>
                <w:b/>
                <w:snapToGrid w:val="0"/>
                <w:sz w:val="20"/>
                <w:szCs w:val="20"/>
                <w:lang w:eastAsia="en-US"/>
              </w:rPr>
              <w:t>AND</w:t>
            </w:r>
          </w:p>
          <w:p w:rsidR="0022236E" w:rsidRPr="0022236E" w:rsidRDefault="0022236E" w:rsidP="0022236E">
            <w:pPr>
              <w:jc w:val="both"/>
              <w:rPr>
                <w:rFonts w:ascii="Arial Narrow" w:hAnsi="Arial Narrow" w:cs="Arial"/>
                <w:b/>
                <w:snapToGrid w:val="0"/>
                <w:sz w:val="20"/>
                <w:szCs w:val="20"/>
                <w:lang w:eastAsia="en-US"/>
              </w:rPr>
            </w:pPr>
            <w:r w:rsidRPr="0022236E">
              <w:rPr>
                <w:rFonts w:ascii="Arial Narrow" w:hAnsi="Arial Narrow" w:cs="Arial"/>
                <w:snapToGrid w:val="0"/>
                <w:sz w:val="20"/>
                <w:szCs w:val="20"/>
                <w:lang w:eastAsia="en-US"/>
              </w:rPr>
              <w:t xml:space="preserve">(ii) details of prior systemic drug therapy [dosage, date of commencement and duration of therapy]; </w:t>
            </w:r>
            <w:r w:rsidRPr="0022236E">
              <w:rPr>
                <w:rFonts w:ascii="Arial Narrow" w:hAnsi="Arial Narrow" w:cs="Arial"/>
                <w:b/>
                <w:snapToGrid w:val="0"/>
                <w:sz w:val="20"/>
                <w:szCs w:val="20"/>
                <w:lang w:eastAsia="en-US"/>
              </w:rPr>
              <w:t>AND</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(iii) the signed patient acknowledgement.</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A maximum quantity and number of repeats to provide for an initial course of this drug consisting of 6 doses to be administered at weeks 0 (160mg), 2 (80mg), 4 (40mg), 6 (40mg), 8 (40mg) and 10 (40mg) will be authorised. </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All tests and assessments should be performed preferably whilst still on treatment, but no longer than 1 month following cessation of the most recent prior treatment.  The most recent Mayo clinic or partial Mayo clinic score must be no more than 1 month old at the time of application. </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Patients who fail to achieve a partial Mayo clinic score less than or equal to 2, with no subscore greater than 1, within the first 12 weeks of receiving this drug for UC, or have failed to maintain a partial Mayo clinic score less than or equal to 2, with no subscore greater than 1, with continuing treatment with this drug, will not be eligible to receive further PBS-subsidised treatment with this drug. </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A partial Mayo clinic assessment of the patient's response to this initial course of treatment must be made up to 12 weeks after the first dose (2 weeks following the sixth dose) so that there is adequate time for a response to be demonstrated. </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The patient must have signed a patient acknowledgement indicating they understand and acknowledge that the PBS-subsidised treatment will cease if they do not meet the predetermined response criterion for ongoing PBS-subsidised treatment, as outlined in the restriction for continuing treatment. </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If treatment with any of the above-mentioned drugs is contraindicated according to the relevant TGA-approved Product Information, please provide details at the time of application. If intolerance to treatment develops during the relevant period of use, which is of a severity necessitating permanent treatment withdrawal, please provide details of the degree of this toxicity at the time of application. </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Patients may qualify for PBS-subsidised treatment under this restriction once only.</w:t>
            </w:r>
          </w:p>
        </w:tc>
      </w:tr>
      <w:tr w:rsidR="0022236E" w:rsidRPr="0022236E" w:rsidTr="0022236E">
        <w:trPr>
          <w:trHeight w:val="20"/>
        </w:trPr>
        <w:tc>
          <w:tcPr>
            <w:tcW w:w="849" w:type="pct"/>
            <w:tcBorders>
              <w:top w:val="single" w:sz="4" w:space="0" w:color="auto"/>
              <w:left w:val="single" w:sz="4" w:space="0" w:color="auto"/>
              <w:bottom w:val="single" w:sz="4" w:space="0" w:color="auto"/>
              <w:right w:val="single" w:sz="4" w:space="0" w:color="auto"/>
            </w:tcBorders>
            <w:hideMark/>
          </w:tcPr>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lastRenderedPageBreak/>
              <w:t>Clinical criteria</w:t>
            </w:r>
          </w:p>
        </w:tc>
        <w:tc>
          <w:tcPr>
            <w:tcW w:w="4151" w:type="pct"/>
            <w:tcBorders>
              <w:top w:val="single" w:sz="4" w:space="0" w:color="auto"/>
              <w:left w:val="single" w:sz="4" w:space="0" w:color="auto"/>
              <w:bottom w:val="single" w:sz="4" w:space="0" w:color="auto"/>
              <w:right w:val="single" w:sz="4" w:space="0" w:color="auto"/>
            </w:tcBorders>
          </w:tcPr>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 must have failed to achieve an adequate response to a 5-aminosalicylate oral preparation in a standard dose for induction of remission for 3 or more months or have intolerance necessitating permanent treatment withdrawal, </w:t>
            </w:r>
            <w:r w:rsidRPr="0022236E">
              <w:rPr>
                <w:rFonts w:ascii="Arial Narrow" w:hAnsi="Arial Narrow" w:cs="Arial"/>
                <w:b/>
                <w:snapToGrid w:val="0"/>
                <w:sz w:val="20"/>
                <w:szCs w:val="20"/>
                <w:lang w:eastAsia="en-US"/>
              </w:rPr>
              <w:t>AND</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 must have failed to achieve an adequate response to azathioprine at a dose of at least 2 mg per kg daily for 3 or more months or have intolerance necessitating permanent treatment withdrawal; </w:t>
            </w:r>
            <w:r w:rsidRPr="0022236E">
              <w:rPr>
                <w:rFonts w:ascii="Arial Narrow" w:hAnsi="Arial Narrow" w:cs="Arial"/>
                <w:b/>
                <w:snapToGrid w:val="0"/>
                <w:sz w:val="20"/>
                <w:szCs w:val="20"/>
                <w:lang w:eastAsia="en-US"/>
              </w:rPr>
              <w:t xml:space="preserve">OR </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 must have failed to achieve an adequate response to 6-mercaptopurine at a dose of at least 1 mg per kg daily for 3 or more months or have intolerance necessitating permanent treatment withdrawal; </w:t>
            </w:r>
            <w:r w:rsidRPr="0022236E">
              <w:rPr>
                <w:rFonts w:ascii="Arial Narrow" w:hAnsi="Arial Narrow" w:cs="Arial"/>
                <w:b/>
                <w:snapToGrid w:val="0"/>
                <w:sz w:val="20"/>
                <w:szCs w:val="20"/>
                <w:lang w:eastAsia="en-US"/>
              </w:rPr>
              <w:t>OR</w:t>
            </w:r>
            <w:r w:rsidRPr="0022236E">
              <w:rPr>
                <w:rFonts w:ascii="Arial Narrow" w:hAnsi="Arial Narrow" w:cs="Arial"/>
                <w:snapToGrid w:val="0"/>
                <w:sz w:val="20"/>
                <w:szCs w:val="20"/>
                <w:lang w:eastAsia="en-US"/>
              </w:rPr>
              <w:t xml:space="preserve"> </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 must have failed to achieve an adequate response to a tapered course of oral steroids, starting at a dose of at least 40 mg prednisolone (or equivalent), over a 6 week period or have intolerance necessitating permanent treatment withdrawal, </w:t>
            </w:r>
            <w:r w:rsidRPr="0022236E">
              <w:rPr>
                <w:rFonts w:ascii="Arial Narrow" w:hAnsi="Arial Narrow" w:cs="Arial"/>
                <w:b/>
                <w:snapToGrid w:val="0"/>
                <w:sz w:val="20"/>
                <w:szCs w:val="20"/>
                <w:lang w:eastAsia="en-US"/>
              </w:rPr>
              <w:t>AND</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 must have a Mayo clinic score greater than or equal to 6; </w:t>
            </w:r>
            <w:r w:rsidRPr="0022236E">
              <w:rPr>
                <w:rFonts w:ascii="Arial Narrow" w:hAnsi="Arial Narrow" w:cs="Arial"/>
                <w:b/>
                <w:snapToGrid w:val="0"/>
                <w:sz w:val="20"/>
                <w:szCs w:val="20"/>
                <w:lang w:eastAsia="en-US"/>
              </w:rPr>
              <w:t>OR</w:t>
            </w:r>
          </w:p>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Patient must have a partial Mayo clinic score greater than or equal to 6, provided the rectal bleeding and stool frequency subscores are both greater than or equal to 2 (endoscopy subscore is not required for a partial Mayo clinic score).</w:t>
            </w:r>
          </w:p>
        </w:tc>
      </w:tr>
      <w:tr w:rsidR="0022236E" w:rsidRPr="0022236E" w:rsidTr="00F02CBD">
        <w:trPr>
          <w:trHeight w:val="205"/>
        </w:trPr>
        <w:tc>
          <w:tcPr>
            <w:tcW w:w="849" w:type="pct"/>
            <w:tcBorders>
              <w:top w:val="single" w:sz="4" w:space="0" w:color="auto"/>
              <w:left w:val="single" w:sz="4" w:space="0" w:color="auto"/>
              <w:bottom w:val="single" w:sz="4" w:space="0" w:color="auto"/>
              <w:right w:val="single" w:sz="4" w:space="0" w:color="auto"/>
            </w:tcBorders>
            <w:hideMark/>
          </w:tcPr>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Population criteria</w:t>
            </w:r>
          </w:p>
        </w:tc>
        <w:tc>
          <w:tcPr>
            <w:tcW w:w="4151" w:type="pct"/>
            <w:tcBorders>
              <w:top w:val="single" w:sz="4" w:space="0" w:color="auto"/>
              <w:left w:val="single" w:sz="4" w:space="0" w:color="auto"/>
              <w:bottom w:val="single" w:sz="4" w:space="0" w:color="auto"/>
              <w:right w:val="single" w:sz="4" w:space="0" w:color="auto"/>
            </w:tcBorders>
          </w:tcPr>
          <w:p w:rsidR="0022236E" w:rsidRPr="0022236E" w:rsidRDefault="0022236E" w:rsidP="0022236E">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For patients 18 years old and older</w:t>
            </w:r>
          </w:p>
        </w:tc>
      </w:tr>
    </w:tbl>
    <w:p w:rsidR="0022236E" w:rsidRPr="00F02CBD" w:rsidRDefault="0022236E" w:rsidP="0081666D">
      <w:pPr>
        <w:ind w:firstLine="720"/>
        <w:jc w:val="both"/>
        <w:rPr>
          <w:rFonts w:ascii="Arial" w:hAnsi="Arial" w:cs="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9"/>
        <w:gridCol w:w="6926"/>
      </w:tblGrid>
      <w:tr w:rsidR="0022236E" w:rsidRPr="0022236E" w:rsidTr="00747DC5">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bCs/>
                <w:snapToGrid w:val="0"/>
                <w:sz w:val="20"/>
                <w:szCs w:val="20"/>
                <w:lang w:eastAsia="en-US"/>
              </w:rPr>
              <w:t>Treatment phase: Maintenance treatment</w:t>
            </w:r>
          </w:p>
        </w:tc>
      </w:tr>
      <w:tr w:rsidR="0022236E" w:rsidRPr="0022236E" w:rsidTr="0022236E">
        <w:trPr>
          <w:trHeight w:val="20"/>
        </w:trPr>
        <w:tc>
          <w:tcPr>
            <w:tcW w:w="850" w:type="pct"/>
            <w:tcBorders>
              <w:top w:val="single" w:sz="4" w:space="0" w:color="auto"/>
              <w:left w:val="single" w:sz="4" w:space="0" w:color="auto"/>
              <w:bottom w:val="single" w:sz="4" w:space="0" w:color="auto"/>
              <w:right w:val="single" w:sz="4" w:space="0" w:color="auto"/>
            </w:tcBorders>
            <w:hideMark/>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Episodicity</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Maximum 5 repeats, 12 weeks after the initial course (maximum 24 weeks)</w:t>
            </w:r>
          </w:p>
        </w:tc>
      </w:tr>
      <w:tr w:rsidR="0022236E" w:rsidRPr="0022236E" w:rsidTr="0022236E">
        <w:trPr>
          <w:trHeight w:val="20"/>
        </w:trPr>
        <w:tc>
          <w:tcPr>
            <w:tcW w:w="850" w:type="pct"/>
            <w:tcBorders>
              <w:top w:val="single" w:sz="4" w:space="0" w:color="auto"/>
              <w:left w:val="single" w:sz="4" w:space="0" w:color="auto"/>
              <w:bottom w:val="single" w:sz="4" w:space="0" w:color="auto"/>
              <w:right w:val="single" w:sz="4" w:space="0" w:color="auto"/>
            </w:tcBorders>
            <w:hideMark/>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Condition</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Moderate to severe UC</w:t>
            </w:r>
          </w:p>
        </w:tc>
      </w:tr>
      <w:tr w:rsidR="0022236E" w:rsidRPr="0022236E" w:rsidTr="0022236E">
        <w:trPr>
          <w:trHeight w:val="20"/>
        </w:trPr>
        <w:tc>
          <w:tcPr>
            <w:tcW w:w="850" w:type="pct"/>
            <w:tcBorders>
              <w:top w:val="single" w:sz="4" w:space="0" w:color="auto"/>
              <w:left w:val="single" w:sz="4" w:space="0" w:color="auto"/>
              <w:bottom w:val="single" w:sz="4" w:space="0" w:color="auto"/>
              <w:right w:val="single" w:sz="4" w:space="0" w:color="auto"/>
            </w:tcBorders>
            <w:hideMark/>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Treatment criteria</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Must be treated by a gastroenterologist (code 87) or a consultant physician [internal medicine specialising in gastroenterology (code 81)] or a consultant physician [general medicine specialising in gastroenterology (code 82)].</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Patients who have failed to maintain a partial Mayo clinic score less than or equal to 2, with no subscore greater than 1, with continuing treatment with this drug, will not be eligible to receive further PBS-subsidised treatment with this drug. </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lastRenderedPageBreak/>
              <w:t xml:space="preserve">Patients are eligible to receive continuing treatment with this drug in courses of up to 24 weeks providing they continue to sustain the response. </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Up to a maximum of 5 repeats will be authorised.  No applications for increased repeats will be authorised.</w:t>
            </w:r>
          </w:p>
        </w:tc>
      </w:tr>
      <w:tr w:rsidR="0022236E" w:rsidRPr="0022236E" w:rsidTr="0022236E">
        <w:trPr>
          <w:trHeight w:val="20"/>
        </w:trPr>
        <w:tc>
          <w:tcPr>
            <w:tcW w:w="850" w:type="pct"/>
            <w:tcBorders>
              <w:top w:val="single" w:sz="4" w:space="0" w:color="auto"/>
              <w:left w:val="single" w:sz="4" w:space="0" w:color="auto"/>
              <w:bottom w:val="single" w:sz="4" w:space="0" w:color="auto"/>
              <w:right w:val="single" w:sz="4" w:space="0" w:color="auto"/>
            </w:tcBorders>
            <w:hideMark/>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lastRenderedPageBreak/>
              <w:t>Clinical criteria</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 must have previously been issued with an authority prescription for this drug for this condition, </w:t>
            </w:r>
            <w:r w:rsidRPr="0022236E">
              <w:rPr>
                <w:rFonts w:ascii="Arial Narrow" w:hAnsi="Arial Narrow" w:cs="Arial"/>
                <w:b/>
                <w:snapToGrid w:val="0"/>
                <w:sz w:val="20"/>
                <w:szCs w:val="20"/>
                <w:lang w:eastAsia="en-US"/>
              </w:rPr>
              <w:t>AND</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Patient must have demonstrated or sustained an adequate response to treatment by having a partial Mayo clinic score less than or equal to 2, with no subscore greater than 1 while receiving treatment with this drug.</w:t>
            </w:r>
          </w:p>
        </w:tc>
      </w:tr>
      <w:tr w:rsidR="0022236E" w:rsidRPr="0022236E" w:rsidTr="0022236E">
        <w:trPr>
          <w:trHeight w:val="528"/>
        </w:trPr>
        <w:tc>
          <w:tcPr>
            <w:tcW w:w="850" w:type="pct"/>
            <w:tcBorders>
              <w:top w:val="single" w:sz="4" w:space="0" w:color="auto"/>
              <w:left w:val="single" w:sz="4" w:space="0" w:color="auto"/>
              <w:bottom w:val="single" w:sz="4" w:space="0" w:color="auto"/>
              <w:right w:val="single" w:sz="4" w:space="0" w:color="auto"/>
            </w:tcBorders>
            <w:hideMark/>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Population criteria</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For patients 18 years old and older</w:t>
            </w:r>
          </w:p>
        </w:tc>
      </w:tr>
    </w:tbl>
    <w:p w:rsidR="0022236E" w:rsidRPr="00F02CBD" w:rsidRDefault="0022236E" w:rsidP="0081666D">
      <w:pPr>
        <w:ind w:firstLine="720"/>
        <w:jc w:val="both"/>
        <w:rPr>
          <w:rFonts w:ascii="Arial" w:hAnsi="Arial" w:cs="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9"/>
        <w:gridCol w:w="6926"/>
      </w:tblGrid>
      <w:tr w:rsidR="0022236E" w:rsidRPr="0022236E" w:rsidTr="00747DC5">
        <w:trPr>
          <w:trHeight w:val="196"/>
        </w:trPr>
        <w:tc>
          <w:tcPr>
            <w:tcW w:w="5000" w:type="pct"/>
            <w:gridSpan w:val="2"/>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Treatment Phase: Initial PBS-subsidised treatment of moderate to severe ulcerative colitis in a patient who has previously received non-PBS-subsidised therapy with this drug (Grandfather).</w:t>
            </w:r>
          </w:p>
        </w:tc>
      </w:tr>
      <w:tr w:rsidR="0022236E" w:rsidRPr="0022236E" w:rsidTr="00747DC5">
        <w:trPr>
          <w:trHeight w:val="196"/>
        </w:trPr>
        <w:tc>
          <w:tcPr>
            <w:tcW w:w="8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Episodicity</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Maximum 5 repeats, 12 weeks after the initial course (maximum 24 weeks)</w:t>
            </w:r>
          </w:p>
        </w:tc>
      </w:tr>
      <w:tr w:rsidR="0022236E" w:rsidRPr="0022236E" w:rsidTr="00747DC5">
        <w:trPr>
          <w:trHeight w:val="218"/>
        </w:trPr>
        <w:tc>
          <w:tcPr>
            <w:tcW w:w="8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Condition</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Moderate to severe UC</w:t>
            </w:r>
          </w:p>
        </w:tc>
      </w:tr>
      <w:tr w:rsidR="0022236E" w:rsidRPr="0022236E" w:rsidTr="00747DC5">
        <w:trPr>
          <w:trHeight w:val="528"/>
        </w:trPr>
        <w:tc>
          <w:tcPr>
            <w:tcW w:w="8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Treatment criteria</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Must be treated by a gastroenterologist (code 87) or a consultant physician [internal medicine specialising in gastroenterology (code 81)] or a consultant physician [general medicine specialising in gastroenterology (code 82)].</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Applications for authorisation of initial treatment must be in writing and must include:</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(a) a completed authority prescription form; </w:t>
            </w:r>
            <w:r w:rsidRPr="0022236E">
              <w:rPr>
                <w:rFonts w:ascii="Arial Narrow" w:hAnsi="Arial Narrow" w:cs="Arial"/>
                <w:b/>
                <w:snapToGrid w:val="0"/>
                <w:sz w:val="20"/>
                <w:szCs w:val="20"/>
                <w:lang w:eastAsia="en-US"/>
              </w:rPr>
              <w:t>AND</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(b) a completed Ulcerative Colitis PBS Authority Application - Supporting Information Form which includes the following: </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(i) the completed current and baseline Mayo clinic or partial Mayo clinic calculation sheet including the date of assessment of the patient's condition; A</w:t>
            </w:r>
            <w:r w:rsidRPr="0022236E">
              <w:rPr>
                <w:rFonts w:ascii="Arial Narrow" w:hAnsi="Arial Narrow" w:cs="Arial"/>
                <w:b/>
                <w:snapToGrid w:val="0"/>
                <w:sz w:val="20"/>
                <w:szCs w:val="20"/>
                <w:lang w:eastAsia="en-US"/>
              </w:rPr>
              <w:t xml:space="preserve">ND </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(ii) the date of commencement of this drug; </w:t>
            </w:r>
            <w:r w:rsidRPr="0022236E">
              <w:rPr>
                <w:rFonts w:ascii="Arial Narrow" w:hAnsi="Arial Narrow" w:cs="Arial"/>
                <w:b/>
                <w:snapToGrid w:val="0"/>
                <w:sz w:val="20"/>
                <w:szCs w:val="20"/>
                <w:lang w:eastAsia="en-US"/>
              </w:rPr>
              <w:t>AND</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(iii) the signed patient acknowledgement.</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The current Mayo clinic or partial Mayo clinic assessment must be no more than 1 month old at the time of application. The baseline assessment must be from immediately prior to commencing treatment with this drug. </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Patients are eligible to receive continuing treatment with this drug in courses of up to 24 weeks providing they continue to sustain the response. </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Up to a maximum of 5 repeats will be authorised.  No applications for increased repeats will be authorised. </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The patient must have signed a patient acknowledgement indicating they understand and acknowledge that the PBS-subsidised treatment will cease if they do not meet the predetermined response criterion for ongoing PBS-subsidised treatment, as outlined in the restriction for continuing treatment. </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Patients may qualify for PBS-subsidised treatment under this restriction once only.  For continuing PBS-subsidised treatment, a Grandfathered patient must qualify under the Continuing treatment criteria.</w:t>
            </w:r>
          </w:p>
        </w:tc>
      </w:tr>
      <w:tr w:rsidR="0022236E" w:rsidRPr="0022236E" w:rsidTr="00747DC5">
        <w:trPr>
          <w:trHeight w:val="528"/>
        </w:trPr>
        <w:tc>
          <w:tcPr>
            <w:tcW w:w="8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Clinical criteria</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 must have been receiving treatment with this drug prior to [DATE OF PBS LISTING], </w:t>
            </w:r>
            <w:r w:rsidRPr="0022236E">
              <w:rPr>
                <w:rFonts w:ascii="Arial Narrow" w:hAnsi="Arial Narrow" w:cs="Arial"/>
                <w:b/>
                <w:snapToGrid w:val="0"/>
                <w:sz w:val="20"/>
                <w:szCs w:val="20"/>
                <w:lang w:eastAsia="en-US"/>
              </w:rPr>
              <w:t>AND</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 must have had a Mayo clinic score greater than or equal to 6 prior to commencing treatment with this drug; </w:t>
            </w:r>
            <w:r w:rsidRPr="0022236E">
              <w:rPr>
                <w:rFonts w:ascii="Arial Narrow" w:hAnsi="Arial Narrow" w:cs="Arial"/>
                <w:b/>
                <w:snapToGrid w:val="0"/>
                <w:sz w:val="20"/>
                <w:szCs w:val="20"/>
                <w:lang w:eastAsia="en-US"/>
              </w:rPr>
              <w:t>OR</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 must have had a partial Mayo clinic score greater than or equal to 6, provided the rectal bleeding and stool frequency subscores were both greater than or equal to 2 (endoscopy subscore is not required for a partial Mayo score) prior to commencing treatment with this drug; </w:t>
            </w:r>
            <w:r w:rsidRPr="0022236E">
              <w:rPr>
                <w:rFonts w:ascii="Arial Narrow" w:hAnsi="Arial Narrow" w:cs="Arial"/>
                <w:b/>
                <w:snapToGrid w:val="0"/>
                <w:sz w:val="20"/>
                <w:szCs w:val="20"/>
                <w:lang w:eastAsia="en-US"/>
              </w:rPr>
              <w:t>OR</w:t>
            </w:r>
            <w:r w:rsidRPr="0022236E">
              <w:rPr>
                <w:rFonts w:ascii="Arial Narrow" w:hAnsi="Arial Narrow" w:cs="Arial"/>
                <w:snapToGrid w:val="0"/>
                <w:sz w:val="20"/>
                <w:szCs w:val="20"/>
                <w:lang w:eastAsia="en-US"/>
              </w:rPr>
              <w:t xml:space="preserve"> </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 must have a documented history of moderate to severe refractory ulcerative colitis prior to having commenced treatment with this drug where a Mayo clinic or partial Mayo clinic baseline assessment is not available, </w:t>
            </w:r>
            <w:r w:rsidRPr="0022236E">
              <w:rPr>
                <w:rFonts w:ascii="Arial Narrow" w:hAnsi="Arial Narrow" w:cs="Arial"/>
                <w:b/>
                <w:snapToGrid w:val="0"/>
                <w:sz w:val="20"/>
                <w:szCs w:val="20"/>
                <w:lang w:eastAsia="en-US"/>
              </w:rPr>
              <w:t>AND</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Patient must have demonstrated or sustained an adequate response to treatment by having a partial Mayo clinic score less than or equal to 2, with no subscore greater than 1 while receiving treatment with this drug.</w:t>
            </w:r>
          </w:p>
        </w:tc>
      </w:tr>
      <w:tr w:rsidR="0022236E" w:rsidRPr="0022236E" w:rsidTr="00747DC5">
        <w:trPr>
          <w:trHeight w:val="528"/>
        </w:trPr>
        <w:tc>
          <w:tcPr>
            <w:tcW w:w="8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lastRenderedPageBreak/>
              <w:t>Population criteria</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Patient must be 18 years of age or older.</w:t>
            </w:r>
          </w:p>
        </w:tc>
      </w:tr>
    </w:tbl>
    <w:p w:rsidR="0022236E" w:rsidRDefault="0022236E" w:rsidP="0081666D">
      <w:pPr>
        <w:ind w:firstLine="720"/>
        <w:jc w:val="both"/>
        <w:rPr>
          <w:rFonts w:ascii="Arial" w:hAnsi="Arial" w:cs="Arial"/>
          <w:b/>
          <w:sz w:val="22"/>
          <w:szCs w:val="22"/>
        </w:rPr>
      </w:pPr>
    </w:p>
    <w:p w:rsidR="0022236E" w:rsidRDefault="0022236E" w:rsidP="0081666D">
      <w:pPr>
        <w:ind w:firstLine="720"/>
        <w:jc w:val="both"/>
        <w:rPr>
          <w:rFonts w:ascii="Arial" w:hAnsi="Arial" w:cs="Arial"/>
          <w:b/>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9"/>
        <w:gridCol w:w="6926"/>
      </w:tblGrid>
      <w:tr w:rsidR="0022236E" w:rsidRPr="0022236E" w:rsidTr="00747DC5">
        <w:trPr>
          <w:trHeight w:val="265"/>
        </w:trPr>
        <w:tc>
          <w:tcPr>
            <w:tcW w:w="5000" w:type="pct"/>
            <w:gridSpan w:val="2"/>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Treatment Phase: Balance of supply</w:t>
            </w:r>
          </w:p>
        </w:tc>
      </w:tr>
      <w:tr w:rsidR="0022236E" w:rsidRPr="0022236E" w:rsidTr="0022236E">
        <w:trPr>
          <w:trHeight w:val="283"/>
        </w:trPr>
        <w:tc>
          <w:tcPr>
            <w:tcW w:w="8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Episodicity</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Maximum 5 repeats, 12 weeks after the initial course (maximum 24 weeks)</w:t>
            </w:r>
          </w:p>
        </w:tc>
      </w:tr>
      <w:tr w:rsidR="0022236E" w:rsidRPr="0022236E" w:rsidTr="0022236E">
        <w:trPr>
          <w:trHeight w:val="273"/>
        </w:trPr>
        <w:tc>
          <w:tcPr>
            <w:tcW w:w="8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Condition</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Moderate to severe UC</w:t>
            </w:r>
          </w:p>
        </w:tc>
      </w:tr>
      <w:tr w:rsidR="0022236E" w:rsidRPr="0022236E" w:rsidTr="0022236E">
        <w:trPr>
          <w:trHeight w:val="528"/>
        </w:trPr>
        <w:tc>
          <w:tcPr>
            <w:tcW w:w="8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Treatment criteria</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Must be treated by a gastroenterologist (code 87) or a consultant physician [internal medicine specialising in gastroenterology (code 81)] or a consultant physician [general medicine specialising in gastroenterology (code 82)].</w:t>
            </w:r>
          </w:p>
        </w:tc>
      </w:tr>
      <w:tr w:rsidR="0022236E" w:rsidRPr="0022236E" w:rsidTr="0022236E">
        <w:trPr>
          <w:trHeight w:val="528"/>
        </w:trPr>
        <w:tc>
          <w:tcPr>
            <w:tcW w:w="8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Clinical criteria</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 must have received insufficient therapy with this drug under the Initial treatment (new patient) restriction to complete the 6 doses (i.e. the initial infusion regimen at weeks 0, 2, 4, 6, 8 and 10 weeks); OR </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 xml:space="preserve">Patient must have received insufficient therapy with this drug under the Continuing treatment restriction to complete 24 weeks of treatment; OR </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Patient must have received insufficient therapy with this drug to complete 24 weeks of treatment under the Initial PBS-subsidised treatment restriction for patients who had previously received non-PBS subsidised treatment (Grandfathered patient), AND</w:t>
            </w:r>
          </w:p>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The treatment must provide no more than the balance of up to 6 doses (new patients) or 5 repeats (Continuing patients or Grandfathered patients).</w:t>
            </w:r>
          </w:p>
        </w:tc>
      </w:tr>
      <w:tr w:rsidR="0022236E" w:rsidRPr="0022236E" w:rsidTr="0022236E">
        <w:trPr>
          <w:trHeight w:val="338"/>
        </w:trPr>
        <w:tc>
          <w:tcPr>
            <w:tcW w:w="8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Population criteria</w:t>
            </w:r>
          </w:p>
        </w:tc>
        <w:tc>
          <w:tcPr>
            <w:tcW w:w="4150" w:type="pct"/>
            <w:tcBorders>
              <w:top w:val="single" w:sz="4" w:space="0" w:color="auto"/>
              <w:left w:val="single" w:sz="4" w:space="0" w:color="auto"/>
              <w:bottom w:val="single" w:sz="4" w:space="0" w:color="auto"/>
              <w:right w:val="single" w:sz="4" w:space="0" w:color="auto"/>
            </w:tcBorders>
          </w:tcPr>
          <w:p w:rsidR="0022236E" w:rsidRPr="0022236E" w:rsidRDefault="0022236E" w:rsidP="00747DC5">
            <w:pPr>
              <w:jc w:val="both"/>
              <w:rPr>
                <w:rFonts w:ascii="Arial Narrow" w:hAnsi="Arial Narrow" w:cs="Arial"/>
                <w:snapToGrid w:val="0"/>
                <w:sz w:val="20"/>
                <w:szCs w:val="20"/>
                <w:lang w:eastAsia="en-US"/>
              </w:rPr>
            </w:pPr>
            <w:r w:rsidRPr="0022236E">
              <w:rPr>
                <w:rFonts w:ascii="Arial Narrow" w:hAnsi="Arial Narrow" w:cs="Arial"/>
                <w:snapToGrid w:val="0"/>
                <w:sz w:val="20"/>
                <w:szCs w:val="20"/>
                <w:lang w:eastAsia="en-US"/>
              </w:rPr>
              <w:t>Patient must be 18 years of age or older</w:t>
            </w:r>
          </w:p>
        </w:tc>
      </w:tr>
    </w:tbl>
    <w:p w:rsidR="0022236E" w:rsidRPr="0022236E" w:rsidRDefault="0022236E" w:rsidP="0081666D">
      <w:pPr>
        <w:ind w:firstLine="720"/>
        <w:jc w:val="both"/>
        <w:rPr>
          <w:rFonts w:ascii="Arial Narrow" w:hAnsi="Arial Narrow" w:cs="Arial"/>
          <w:sz w:val="18"/>
          <w:szCs w:val="18"/>
        </w:rPr>
      </w:pPr>
      <w:r w:rsidRPr="0022236E">
        <w:rPr>
          <w:rFonts w:ascii="Arial Narrow" w:hAnsi="Arial Narrow" w:cs="Arial"/>
          <w:sz w:val="18"/>
          <w:szCs w:val="18"/>
        </w:rPr>
        <w:t>Source: July 2015 resubmission</w:t>
      </w:r>
    </w:p>
    <w:p w:rsidR="0022236E" w:rsidRPr="00F02CBD" w:rsidRDefault="0022236E" w:rsidP="00077484">
      <w:pPr>
        <w:jc w:val="both"/>
        <w:rPr>
          <w:rFonts w:ascii="Arial" w:hAnsi="Arial" w:cs="Arial"/>
          <w:sz w:val="22"/>
          <w:szCs w:val="22"/>
        </w:rPr>
      </w:pPr>
    </w:p>
    <w:p w:rsidR="0046498E" w:rsidRDefault="0046498E" w:rsidP="0046498E">
      <w:pPr>
        <w:pStyle w:val="ListParagraph"/>
        <w:rPr>
          <w:rFonts w:ascii="Arial" w:hAnsi="Arial"/>
          <w:sz w:val="22"/>
          <w:szCs w:val="22"/>
        </w:rPr>
      </w:pPr>
      <w:r w:rsidRPr="0007651C">
        <w:rPr>
          <w:rFonts w:ascii="Arial" w:hAnsi="Arial"/>
          <w:i/>
          <w:sz w:val="22"/>
          <w:szCs w:val="22"/>
        </w:rPr>
        <w:t>For more details on PBAC’s view, see section 7 “PBAC outcome”</w:t>
      </w:r>
      <w:r>
        <w:rPr>
          <w:rFonts w:ascii="Arial" w:hAnsi="Arial"/>
          <w:i/>
          <w:sz w:val="22"/>
          <w:szCs w:val="22"/>
        </w:rPr>
        <w:t>.</w:t>
      </w:r>
    </w:p>
    <w:p w:rsidR="00ED4357" w:rsidRPr="00F02CBD" w:rsidRDefault="00ED4357" w:rsidP="00882085">
      <w:pPr>
        <w:jc w:val="both"/>
        <w:rPr>
          <w:rFonts w:ascii="Arial" w:hAnsi="Arial"/>
          <w:sz w:val="22"/>
          <w:szCs w:val="22"/>
        </w:rPr>
      </w:pPr>
    </w:p>
    <w:p w:rsidR="00173284" w:rsidRDefault="00173284">
      <w:pPr>
        <w:rPr>
          <w:rFonts w:ascii="Arial" w:hAnsi="Arial"/>
          <w:sz w:val="22"/>
          <w:szCs w:val="22"/>
        </w:rPr>
      </w:pPr>
      <w:r>
        <w:rPr>
          <w:rFonts w:ascii="Arial" w:hAnsi="Arial"/>
          <w:sz w:val="22"/>
          <w:szCs w:val="22"/>
        </w:rPr>
        <w:br w:type="page"/>
      </w:r>
    </w:p>
    <w:p w:rsidR="0046498E" w:rsidRPr="00F02CBD" w:rsidRDefault="0046498E" w:rsidP="00882085">
      <w:pPr>
        <w:jc w:val="both"/>
        <w:rPr>
          <w:rFonts w:ascii="Arial" w:hAnsi="Arial"/>
          <w:sz w:val="22"/>
          <w:szCs w:val="22"/>
        </w:rPr>
      </w:pPr>
    </w:p>
    <w:p w:rsidR="00CE10C4" w:rsidRPr="00882085" w:rsidRDefault="00CE10C4" w:rsidP="005672DD">
      <w:pPr>
        <w:pStyle w:val="PBACheading1"/>
      </w:pPr>
      <w:r w:rsidRPr="00882085">
        <w:t>Background</w:t>
      </w:r>
    </w:p>
    <w:p w:rsidR="006A12A5" w:rsidRPr="00882085" w:rsidRDefault="006A12A5" w:rsidP="00882085">
      <w:pPr>
        <w:jc w:val="both"/>
        <w:rPr>
          <w:rFonts w:ascii="Arial" w:hAnsi="Arial"/>
          <w:sz w:val="22"/>
          <w:szCs w:val="22"/>
        </w:rPr>
      </w:pPr>
    </w:p>
    <w:p w:rsidR="003D17BC" w:rsidRPr="003D17BC" w:rsidRDefault="00DF1A38" w:rsidP="003D17BC">
      <w:pPr>
        <w:widowControl w:val="0"/>
        <w:numPr>
          <w:ilvl w:val="1"/>
          <w:numId w:val="25"/>
        </w:numPr>
        <w:contextualSpacing/>
        <w:jc w:val="both"/>
        <w:rPr>
          <w:rFonts w:ascii="Arial" w:hAnsi="Arial" w:cs="Arial"/>
          <w:snapToGrid w:val="0"/>
          <w:sz w:val="22"/>
          <w:szCs w:val="22"/>
          <w:lang w:eastAsia="en-US"/>
        </w:rPr>
      </w:pPr>
      <w:r>
        <w:rPr>
          <w:rFonts w:ascii="Arial" w:hAnsi="Arial" w:cs="Arial"/>
          <w:snapToGrid w:val="0"/>
          <w:sz w:val="22"/>
          <w:szCs w:val="22"/>
          <w:lang w:eastAsia="en-US"/>
        </w:rPr>
        <w:t>A</w:t>
      </w:r>
      <w:r w:rsidR="003D17BC" w:rsidRPr="003D17BC">
        <w:rPr>
          <w:rFonts w:ascii="Arial" w:hAnsi="Arial" w:cs="Arial"/>
          <w:snapToGrid w:val="0"/>
          <w:sz w:val="22"/>
          <w:szCs w:val="22"/>
          <w:lang w:eastAsia="en-US"/>
        </w:rPr>
        <w:t xml:space="preserve">dalimumab was TGA registered on 23 July 2013 for </w:t>
      </w:r>
      <w:r>
        <w:rPr>
          <w:rFonts w:ascii="Arial" w:hAnsi="Arial" w:cs="Arial"/>
          <w:snapToGrid w:val="0"/>
          <w:sz w:val="22"/>
          <w:szCs w:val="22"/>
          <w:lang w:eastAsia="en-US"/>
        </w:rPr>
        <w:t xml:space="preserve">the </w:t>
      </w:r>
      <w:r w:rsidR="003D17BC" w:rsidRPr="003D17BC">
        <w:rPr>
          <w:rFonts w:ascii="Arial" w:hAnsi="Arial" w:cs="Arial"/>
          <w:snapToGrid w:val="0"/>
          <w:sz w:val="22"/>
          <w:szCs w:val="22"/>
          <w:lang w:eastAsia="en-US"/>
        </w:rPr>
        <w:t>treatment of moderate to severe UC.</w:t>
      </w:r>
    </w:p>
    <w:p w:rsidR="006B0D94" w:rsidRPr="00F02CBD" w:rsidRDefault="006B0D94" w:rsidP="00882085">
      <w:pPr>
        <w:jc w:val="both"/>
        <w:rPr>
          <w:rFonts w:ascii="Arial" w:hAnsi="Arial"/>
          <w:sz w:val="22"/>
          <w:szCs w:val="22"/>
        </w:rPr>
      </w:pPr>
    </w:p>
    <w:p w:rsidR="003D17BC" w:rsidRDefault="003D17BC" w:rsidP="00882085">
      <w:pPr>
        <w:pStyle w:val="ListParagraph"/>
        <w:numPr>
          <w:ilvl w:val="1"/>
          <w:numId w:val="25"/>
        </w:numPr>
        <w:jc w:val="both"/>
        <w:rPr>
          <w:rFonts w:ascii="Arial" w:hAnsi="Arial"/>
          <w:sz w:val="22"/>
          <w:szCs w:val="22"/>
        </w:rPr>
      </w:pPr>
      <w:r>
        <w:rPr>
          <w:rFonts w:ascii="Arial" w:hAnsi="Arial"/>
          <w:sz w:val="22"/>
          <w:szCs w:val="22"/>
        </w:rPr>
        <w:t xml:space="preserve">This </w:t>
      </w:r>
      <w:r w:rsidR="005860E8">
        <w:rPr>
          <w:rFonts w:ascii="Arial" w:hAnsi="Arial"/>
          <w:sz w:val="22"/>
          <w:szCs w:val="22"/>
        </w:rPr>
        <w:t>wa</w:t>
      </w:r>
      <w:r>
        <w:rPr>
          <w:rFonts w:ascii="Arial" w:hAnsi="Arial"/>
          <w:sz w:val="22"/>
          <w:szCs w:val="22"/>
        </w:rPr>
        <w:t>s the fourth submission for adalimumab</w:t>
      </w:r>
      <w:r w:rsidR="00335AB9">
        <w:rPr>
          <w:rFonts w:ascii="Arial" w:hAnsi="Arial"/>
          <w:sz w:val="22"/>
          <w:szCs w:val="22"/>
        </w:rPr>
        <w:t xml:space="preserve"> in UC</w:t>
      </w:r>
      <w:r>
        <w:rPr>
          <w:rFonts w:ascii="Arial" w:hAnsi="Arial"/>
          <w:sz w:val="22"/>
          <w:szCs w:val="22"/>
        </w:rPr>
        <w:t xml:space="preserve">. The first submission was November 2013, the second submission was July 2014 and the </w:t>
      </w:r>
      <w:r w:rsidR="0057066C">
        <w:rPr>
          <w:rFonts w:ascii="Arial" w:hAnsi="Arial"/>
          <w:sz w:val="22"/>
          <w:szCs w:val="22"/>
        </w:rPr>
        <w:t>third submission was July 2015.</w:t>
      </w:r>
    </w:p>
    <w:p w:rsidR="003D17BC" w:rsidRPr="00F02CBD" w:rsidRDefault="003D17BC" w:rsidP="003D17BC">
      <w:pPr>
        <w:rPr>
          <w:rFonts w:ascii="Arial" w:hAnsi="Arial"/>
          <w:sz w:val="22"/>
          <w:szCs w:val="22"/>
        </w:rPr>
      </w:pPr>
    </w:p>
    <w:p w:rsidR="003D17BC" w:rsidRPr="00133FAC" w:rsidRDefault="003D17BC" w:rsidP="003D17BC">
      <w:pPr>
        <w:pStyle w:val="ListParagraph"/>
        <w:rPr>
          <w:rFonts w:ascii="Arial Narrow" w:hAnsi="Arial Narrow"/>
          <w:b/>
          <w:sz w:val="20"/>
          <w:szCs w:val="20"/>
        </w:rPr>
      </w:pPr>
      <w:r w:rsidRPr="00133FAC">
        <w:rPr>
          <w:rFonts w:ascii="Arial Narrow" w:hAnsi="Arial Narrow"/>
          <w:b/>
          <w:sz w:val="20"/>
          <w:szCs w:val="20"/>
        </w:rPr>
        <w:t xml:space="preserve">Table 1: Summary of the previous </w:t>
      </w:r>
      <w:r w:rsidR="00335AB9">
        <w:rPr>
          <w:rFonts w:ascii="Arial Narrow" w:hAnsi="Arial Narrow"/>
          <w:b/>
          <w:sz w:val="20"/>
          <w:szCs w:val="20"/>
        </w:rPr>
        <w:t>re</w:t>
      </w:r>
      <w:r w:rsidRPr="00133FAC">
        <w:rPr>
          <w:rFonts w:ascii="Arial Narrow" w:hAnsi="Arial Narrow"/>
          <w:b/>
          <w:sz w:val="20"/>
          <w:szCs w:val="20"/>
        </w:rPr>
        <w:t>submission and current resubmission</w:t>
      </w:r>
      <w:r w:rsidR="00335AB9">
        <w:rPr>
          <w:rFonts w:ascii="Arial Narrow" w:hAnsi="Arial Narrow"/>
          <w:b/>
          <w:sz w:val="20"/>
          <w:szCs w:val="20"/>
        </w:rPr>
        <w:t xml:space="preserve"> for adalimumab in UC</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4255"/>
        <w:gridCol w:w="2548"/>
      </w:tblGrid>
      <w:tr w:rsidR="003D17BC" w:rsidRPr="003D17BC" w:rsidTr="00335AB9">
        <w:trPr>
          <w:cantSplit/>
          <w:trHeight w:val="220"/>
          <w:tblHeader/>
        </w:trPr>
        <w:tc>
          <w:tcPr>
            <w:tcW w:w="1000" w:type="pct"/>
          </w:tcPr>
          <w:p w:rsidR="003D17BC" w:rsidRPr="003D17BC" w:rsidRDefault="003D17BC" w:rsidP="003D17BC">
            <w:pPr>
              <w:keepNext/>
              <w:rPr>
                <w:rFonts w:ascii="Arial Narrow" w:hAnsi="Arial Narrow" w:cs="Arial"/>
                <w:snapToGrid w:val="0"/>
                <w:sz w:val="20"/>
                <w:szCs w:val="20"/>
                <w:lang w:eastAsia="en-US"/>
              </w:rPr>
            </w:pPr>
          </w:p>
        </w:tc>
        <w:tc>
          <w:tcPr>
            <w:tcW w:w="2502" w:type="pct"/>
          </w:tcPr>
          <w:p w:rsidR="003D17BC" w:rsidRPr="003D17BC" w:rsidRDefault="003D17BC" w:rsidP="003D17BC">
            <w:pPr>
              <w:keepNext/>
              <w:jc w:val="center"/>
              <w:rPr>
                <w:rFonts w:ascii="Arial Narrow" w:hAnsi="Arial Narrow" w:cs="Arial"/>
                <w:b/>
                <w:snapToGrid w:val="0"/>
                <w:sz w:val="20"/>
                <w:szCs w:val="20"/>
                <w:lang w:eastAsia="en-US"/>
              </w:rPr>
            </w:pPr>
            <w:r>
              <w:rPr>
                <w:rFonts w:ascii="Arial Narrow" w:hAnsi="Arial Narrow" w:cs="Arial"/>
                <w:b/>
                <w:snapToGrid w:val="0"/>
                <w:sz w:val="20"/>
                <w:szCs w:val="20"/>
                <w:lang w:eastAsia="en-US"/>
              </w:rPr>
              <w:t>July 2015</w:t>
            </w:r>
            <w:r w:rsidRPr="003D17BC">
              <w:rPr>
                <w:rFonts w:ascii="Arial Narrow" w:hAnsi="Arial Narrow" w:cs="Arial"/>
                <w:b/>
                <w:snapToGrid w:val="0"/>
                <w:sz w:val="20"/>
                <w:szCs w:val="20"/>
                <w:lang w:eastAsia="en-US"/>
              </w:rPr>
              <w:t>:</w:t>
            </w:r>
          </w:p>
          <w:p w:rsidR="003D17BC" w:rsidRPr="003D17BC" w:rsidRDefault="003D17BC" w:rsidP="003D17BC">
            <w:pPr>
              <w:keepNext/>
              <w:jc w:val="center"/>
              <w:rPr>
                <w:rFonts w:ascii="Arial Narrow" w:hAnsi="Arial Narrow" w:cs="Arial"/>
                <w:b/>
                <w:snapToGrid w:val="0"/>
                <w:sz w:val="20"/>
                <w:szCs w:val="20"/>
                <w:lang w:eastAsia="en-US"/>
              </w:rPr>
            </w:pPr>
            <w:r w:rsidRPr="003D17BC">
              <w:rPr>
                <w:rFonts w:ascii="Arial Narrow" w:hAnsi="Arial Narrow" w:cs="Arial"/>
                <w:b/>
                <w:snapToGrid w:val="0"/>
                <w:sz w:val="20"/>
                <w:szCs w:val="20"/>
                <w:lang w:eastAsia="en-US"/>
              </w:rPr>
              <w:t xml:space="preserve">Previous </w:t>
            </w:r>
            <w:r>
              <w:rPr>
                <w:rFonts w:ascii="Arial Narrow" w:hAnsi="Arial Narrow" w:cs="Arial"/>
                <w:b/>
                <w:snapToGrid w:val="0"/>
                <w:sz w:val="20"/>
                <w:szCs w:val="20"/>
                <w:lang w:eastAsia="en-US"/>
              </w:rPr>
              <w:t xml:space="preserve">major </w:t>
            </w:r>
            <w:r w:rsidR="00335AB9">
              <w:rPr>
                <w:rFonts w:ascii="Arial Narrow" w:hAnsi="Arial Narrow" w:cs="Arial"/>
                <w:b/>
                <w:snapToGrid w:val="0"/>
                <w:sz w:val="20"/>
                <w:szCs w:val="20"/>
                <w:lang w:eastAsia="en-US"/>
              </w:rPr>
              <w:t>re</w:t>
            </w:r>
            <w:r w:rsidRPr="003D17BC">
              <w:rPr>
                <w:rFonts w:ascii="Arial Narrow" w:hAnsi="Arial Narrow" w:cs="Arial"/>
                <w:b/>
                <w:snapToGrid w:val="0"/>
                <w:sz w:val="20"/>
                <w:szCs w:val="20"/>
                <w:lang w:eastAsia="en-US"/>
              </w:rPr>
              <w:t>submission</w:t>
            </w:r>
          </w:p>
        </w:tc>
        <w:tc>
          <w:tcPr>
            <w:tcW w:w="1498" w:type="pct"/>
          </w:tcPr>
          <w:p w:rsidR="003D17BC" w:rsidRPr="003D17BC" w:rsidRDefault="003D17BC" w:rsidP="003D17BC">
            <w:pPr>
              <w:keepNext/>
              <w:jc w:val="center"/>
              <w:rPr>
                <w:rFonts w:ascii="Arial Narrow" w:hAnsi="Arial Narrow" w:cs="Arial"/>
                <w:b/>
                <w:snapToGrid w:val="0"/>
                <w:sz w:val="20"/>
                <w:szCs w:val="20"/>
                <w:lang w:eastAsia="en-US"/>
              </w:rPr>
            </w:pPr>
            <w:r w:rsidRPr="00EC0C9D">
              <w:rPr>
                <w:rFonts w:ascii="Arial Narrow" w:hAnsi="Arial Narrow" w:cs="Arial"/>
                <w:b/>
                <w:snapToGrid w:val="0"/>
                <w:sz w:val="20"/>
                <w:szCs w:val="20"/>
                <w:lang w:eastAsia="en-US"/>
              </w:rPr>
              <w:t>November</w:t>
            </w:r>
            <w:r w:rsidRPr="003D17BC">
              <w:rPr>
                <w:rFonts w:ascii="Arial Narrow" w:hAnsi="Arial Narrow" w:cs="Arial"/>
                <w:b/>
                <w:snapToGrid w:val="0"/>
                <w:sz w:val="20"/>
                <w:szCs w:val="20"/>
                <w:lang w:eastAsia="en-US"/>
              </w:rPr>
              <w:t xml:space="preserve"> 2015</w:t>
            </w:r>
            <w:r w:rsidR="00335AB9">
              <w:rPr>
                <w:rFonts w:ascii="Arial Narrow" w:hAnsi="Arial Narrow" w:cs="Arial"/>
                <w:b/>
                <w:snapToGrid w:val="0"/>
                <w:sz w:val="20"/>
                <w:szCs w:val="20"/>
                <w:lang w:eastAsia="en-US"/>
              </w:rPr>
              <w:t>:</w:t>
            </w:r>
          </w:p>
          <w:p w:rsidR="003D17BC" w:rsidRPr="003D17BC" w:rsidRDefault="003D17BC" w:rsidP="00335AB9">
            <w:pPr>
              <w:keepNext/>
              <w:jc w:val="center"/>
              <w:rPr>
                <w:rFonts w:ascii="Arial Narrow" w:hAnsi="Arial Narrow" w:cs="Arial"/>
                <w:b/>
                <w:snapToGrid w:val="0"/>
                <w:sz w:val="20"/>
                <w:szCs w:val="20"/>
                <w:lang w:eastAsia="en-US"/>
              </w:rPr>
            </w:pPr>
            <w:r w:rsidRPr="003D17BC">
              <w:rPr>
                <w:rFonts w:ascii="Arial Narrow" w:hAnsi="Arial Narrow" w:cs="Arial"/>
                <w:b/>
                <w:snapToGrid w:val="0"/>
                <w:sz w:val="20"/>
                <w:szCs w:val="20"/>
                <w:lang w:eastAsia="en-US"/>
              </w:rPr>
              <w:t xml:space="preserve">Current </w:t>
            </w:r>
            <w:r w:rsidRPr="00EC0C9D">
              <w:rPr>
                <w:rFonts w:ascii="Arial Narrow" w:hAnsi="Arial Narrow" w:cs="Arial"/>
                <w:b/>
                <w:snapToGrid w:val="0"/>
                <w:sz w:val="20"/>
                <w:szCs w:val="20"/>
                <w:lang w:eastAsia="en-US"/>
              </w:rPr>
              <w:t xml:space="preserve">minor </w:t>
            </w:r>
            <w:r w:rsidRPr="003D17BC">
              <w:rPr>
                <w:rFonts w:ascii="Arial Narrow" w:hAnsi="Arial Narrow" w:cs="Arial"/>
                <w:b/>
                <w:snapToGrid w:val="0"/>
                <w:sz w:val="20"/>
                <w:szCs w:val="20"/>
                <w:lang w:eastAsia="en-US"/>
              </w:rPr>
              <w:t>resubmission</w:t>
            </w:r>
          </w:p>
        </w:tc>
      </w:tr>
      <w:tr w:rsidR="003D17BC" w:rsidRPr="003D17BC" w:rsidTr="00335AB9">
        <w:trPr>
          <w:cantSplit/>
          <w:trHeight w:val="422"/>
        </w:trPr>
        <w:tc>
          <w:tcPr>
            <w:tcW w:w="1000" w:type="pct"/>
          </w:tcPr>
          <w:p w:rsidR="003D17BC" w:rsidRPr="003D17BC" w:rsidRDefault="003D17B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Requested PBS listing</w:t>
            </w:r>
          </w:p>
        </w:tc>
        <w:tc>
          <w:tcPr>
            <w:tcW w:w="2502" w:type="pct"/>
          </w:tcPr>
          <w:p w:rsidR="003D17BC" w:rsidRDefault="003D17B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The restriction was updated to be aligned with infliximab’s restri</w:t>
            </w:r>
            <w:r w:rsidR="004E6327">
              <w:rPr>
                <w:rFonts w:ascii="Arial Narrow" w:hAnsi="Arial Narrow" w:cs="Arial"/>
                <w:snapToGrid w:val="0"/>
                <w:sz w:val="20"/>
                <w:szCs w:val="20"/>
                <w:lang w:eastAsia="en-US"/>
              </w:rPr>
              <w:t xml:space="preserve">ction for moderate to severe UC </w:t>
            </w:r>
            <w:r w:rsidR="004E6327" w:rsidRPr="004E6327">
              <w:rPr>
                <w:rFonts w:ascii="Arial Narrow" w:hAnsi="Arial Narrow" w:cs="Arial"/>
                <w:snapToGrid w:val="0"/>
                <w:sz w:val="20"/>
                <w:szCs w:val="20"/>
                <w:lang w:eastAsia="en-US"/>
              </w:rPr>
              <w:t>with the exception that the adalimumab restriction does not include paediatric patients</w:t>
            </w:r>
            <w:r w:rsidR="004E6327">
              <w:rPr>
                <w:rFonts w:ascii="Arial Narrow" w:hAnsi="Arial Narrow" w:cs="Arial"/>
                <w:snapToGrid w:val="0"/>
                <w:sz w:val="20"/>
                <w:szCs w:val="20"/>
                <w:lang w:eastAsia="en-US"/>
              </w:rPr>
              <w:t>.</w:t>
            </w:r>
          </w:p>
          <w:p w:rsidR="003D17BC" w:rsidRPr="003D17BC" w:rsidRDefault="00C475BE" w:rsidP="00335AB9">
            <w:pPr>
              <w:rPr>
                <w:rFonts w:ascii="Arial Narrow" w:hAnsi="Arial Narrow" w:cs="Arial"/>
                <w:snapToGrid w:val="0"/>
                <w:sz w:val="20"/>
                <w:szCs w:val="20"/>
                <w:lang w:eastAsia="en-US"/>
              </w:rPr>
            </w:pPr>
            <w:r w:rsidRPr="004E6327">
              <w:rPr>
                <w:rFonts w:ascii="Arial Narrow" w:hAnsi="Arial Narrow" w:cs="Arial"/>
                <w:b/>
                <w:snapToGrid w:val="0"/>
                <w:sz w:val="20"/>
                <w:szCs w:val="20"/>
                <w:lang w:eastAsia="en-US"/>
              </w:rPr>
              <w:t>PBAC comment:</w:t>
            </w:r>
            <w:r>
              <w:rPr>
                <w:rFonts w:ascii="Arial Narrow" w:hAnsi="Arial Narrow" w:cs="Arial"/>
                <w:snapToGrid w:val="0"/>
                <w:sz w:val="20"/>
                <w:szCs w:val="20"/>
                <w:lang w:eastAsia="en-US"/>
              </w:rPr>
              <w:t xml:space="preserve"> </w:t>
            </w:r>
            <w:r w:rsidR="004E6327" w:rsidRPr="004E6327">
              <w:rPr>
                <w:rFonts w:ascii="Arial Narrow" w:hAnsi="Arial Narrow" w:cs="Arial"/>
                <w:snapToGrid w:val="0"/>
                <w:sz w:val="20"/>
                <w:szCs w:val="20"/>
                <w:lang w:eastAsia="en-US"/>
              </w:rPr>
              <w:t>The PBAC considered that the exclusion of paediatric patients from the restriction was not adequately justified and should be addressed in any future major resubmission.</w:t>
            </w:r>
            <w:r w:rsidR="004E6327">
              <w:rPr>
                <w:rFonts w:ascii="Arial Narrow" w:hAnsi="Arial Narrow" w:cs="Arial"/>
                <w:snapToGrid w:val="0"/>
                <w:sz w:val="20"/>
                <w:szCs w:val="20"/>
                <w:lang w:eastAsia="en-US"/>
              </w:rPr>
              <w:t xml:space="preserve"> [7-2 adalimumab PBAC minutes July 2015, Item 7.01].</w:t>
            </w:r>
          </w:p>
        </w:tc>
        <w:tc>
          <w:tcPr>
            <w:tcW w:w="1498" w:type="pct"/>
          </w:tcPr>
          <w:p w:rsidR="003D17BC" w:rsidRPr="003D17BC" w:rsidRDefault="003D17BC" w:rsidP="003D17BC">
            <w:pPr>
              <w:rPr>
                <w:rFonts w:ascii="Arial Narrow" w:hAnsi="Arial Narrow" w:cs="Arial"/>
                <w:snapToGrid w:val="0"/>
                <w:sz w:val="20"/>
                <w:szCs w:val="20"/>
                <w:lang w:eastAsia="en-US"/>
              </w:rPr>
            </w:pPr>
            <w:r w:rsidRPr="00EC0C9D">
              <w:rPr>
                <w:rFonts w:ascii="Arial Narrow" w:hAnsi="Arial Narrow" w:cs="Arial"/>
                <w:snapToGrid w:val="0"/>
                <w:sz w:val="20"/>
                <w:szCs w:val="20"/>
                <w:lang w:eastAsia="en-US"/>
              </w:rPr>
              <w:t>Unchanged</w:t>
            </w:r>
          </w:p>
        </w:tc>
      </w:tr>
      <w:tr w:rsidR="003D17BC" w:rsidRPr="003D17BC" w:rsidTr="00335AB9">
        <w:trPr>
          <w:cantSplit/>
          <w:trHeight w:val="422"/>
        </w:trPr>
        <w:tc>
          <w:tcPr>
            <w:tcW w:w="1000" w:type="pct"/>
          </w:tcPr>
          <w:p w:rsidR="003D17BC" w:rsidRPr="003D17BC" w:rsidRDefault="003D17B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Requested price</w:t>
            </w:r>
          </w:p>
        </w:tc>
        <w:tc>
          <w:tcPr>
            <w:tcW w:w="2502" w:type="pct"/>
          </w:tcPr>
          <w:p w:rsidR="003D17BC" w:rsidRPr="003D17BC" w:rsidRDefault="003D17B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The DPMQ for:</w:t>
            </w:r>
          </w:p>
          <w:p w:rsidR="003D17BC" w:rsidRPr="003D17BC" w:rsidRDefault="003D17B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6 x 40</w:t>
            </w:r>
            <w:r w:rsidR="00335AB9">
              <w:rPr>
                <w:rFonts w:ascii="Arial Narrow" w:hAnsi="Arial Narrow" w:cs="Arial"/>
                <w:snapToGrid w:val="0"/>
                <w:sz w:val="20"/>
                <w:szCs w:val="20"/>
                <w:lang w:eastAsia="en-US"/>
              </w:rPr>
              <w:t> </w:t>
            </w:r>
            <w:r w:rsidRPr="003D17BC">
              <w:rPr>
                <w:rFonts w:ascii="Arial Narrow" w:hAnsi="Arial Narrow" w:cs="Arial"/>
                <w:snapToGrid w:val="0"/>
                <w:sz w:val="20"/>
                <w:szCs w:val="20"/>
                <w:lang w:eastAsia="en-US"/>
              </w:rPr>
              <w:t>mg ADA = $</w:t>
            </w:r>
            <w:r w:rsidR="000B1B9D">
              <w:rPr>
                <w:rFonts w:ascii="Arial Narrow" w:hAnsi="Arial Narrow" w:cs="Arial"/>
                <w:noProof/>
                <w:snapToGrid w:val="0"/>
                <w:color w:val="000000"/>
                <w:sz w:val="20"/>
                <w:szCs w:val="20"/>
                <w:highlight w:val="black"/>
                <w:lang w:eastAsia="en-US"/>
              </w:rPr>
              <w:t>'''''''''''''''''''''</w:t>
            </w:r>
          </w:p>
          <w:p w:rsidR="003D17BC" w:rsidRPr="003D17BC" w:rsidRDefault="00335AB9" w:rsidP="003D17BC">
            <w:pPr>
              <w:rPr>
                <w:rFonts w:ascii="Arial Narrow" w:hAnsi="Arial Narrow" w:cs="Arial"/>
                <w:snapToGrid w:val="0"/>
                <w:sz w:val="20"/>
                <w:szCs w:val="20"/>
                <w:lang w:eastAsia="en-US"/>
              </w:rPr>
            </w:pPr>
            <w:r>
              <w:rPr>
                <w:rFonts w:ascii="Arial Narrow" w:hAnsi="Arial Narrow" w:cs="Arial"/>
                <w:snapToGrid w:val="0"/>
                <w:sz w:val="20"/>
                <w:szCs w:val="20"/>
                <w:lang w:eastAsia="en-US"/>
              </w:rPr>
              <w:t>2 x 4</w:t>
            </w:r>
            <w:r w:rsidR="00943DB3">
              <w:rPr>
                <w:rFonts w:ascii="Arial Narrow" w:hAnsi="Arial Narrow" w:cs="Arial"/>
                <w:snapToGrid w:val="0"/>
                <w:sz w:val="20"/>
                <w:szCs w:val="20"/>
                <w:lang w:eastAsia="en-US"/>
              </w:rPr>
              <w:t>0</w:t>
            </w:r>
            <w:r>
              <w:rPr>
                <w:rFonts w:ascii="Arial Narrow" w:hAnsi="Arial Narrow" w:cs="Arial"/>
                <w:snapToGrid w:val="0"/>
                <w:sz w:val="20"/>
                <w:szCs w:val="20"/>
                <w:lang w:eastAsia="en-US"/>
              </w:rPr>
              <w:t> </w:t>
            </w:r>
            <w:r w:rsidR="003D17BC" w:rsidRPr="003D17BC">
              <w:rPr>
                <w:rFonts w:ascii="Arial Narrow" w:hAnsi="Arial Narrow" w:cs="Arial"/>
                <w:snapToGrid w:val="0"/>
                <w:sz w:val="20"/>
                <w:szCs w:val="20"/>
                <w:lang w:eastAsia="en-US"/>
              </w:rPr>
              <w:t>mg ADA = $</w:t>
            </w:r>
            <w:r w:rsidR="000B1B9D">
              <w:rPr>
                <w:rFonts w:ascii="Arial Narrow" w:hAnsi="Arial Narrow" w:cs="Arial"/>
                <w:noProof/>
                <w:snapToGrid w:val="0"/>
                <w:color w:val="000000"/>
                <w:sz w:val="20"/>
                <w:szCs w:val="20"/>
                <w:highlight w:val="black"/>
                <w:lang w:eastAsia="en-US"/>
              </w:rPr>
              <w:t>'''''''''''''''''''''''</w:t>
            </w:r>
          </w:p>
          <w:p w:rsidR="003D17BC" w:rsidRPr="003D17BC" w:rsidRDefault="003D17BC" w:rsidP="00335AB9">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 xml:space="preserve">Specific terms for an RSA were not proposed, however the sponsor </w:t>
            </w:r>
            <w:r w:rsidR="005860E8">
              <w:rPr>
                <w:rFonts w:ascii="Arial Narrow" w:hAnsi="Arial Narrow" w:cs="Arial"/>
                <w:snapToGrid w:val="0"/>
                <w:sz w:val="20"/>
                <w:szCs w:val="20"/>
                <w:lang w:eastAsia="en-US"/>
              </w:rPr>
              <w:t>wa</w:t>
            </w:r>
            <w:r w:rsidRPr="003D17BC">
              <w:rPr>
                <w:rFonts w:ascii="Arial Narrow" w:hAnsi="Arial Narrow" w:cs="Arial"/>
                <w:snapToGrid w:val="0"/>
                <w:sz w:val="20"/>
                <w:szCs w:val="20"/>
                <w:lang w:eastAsia="en-US"/>
              </w:rPr>
              <w:t>s willing to enter into a RSA.</w:t>
            </w:r>
            <w:r w:rsidR="005860E8" w:rsidRPr="003D17BC" w:rsidDel="005860E8">
              <w:rPr>
                <w:rFonts w:ascii="Arial Narrow" w:hAnsi="Arial Narrow" w:cs="Arial"/>
                <w:snapToGrid w:val="0"/>
                <w:sz w:val="20"/>
                <w:szCs w:val="20"/>
                <w:lang w:eastAsia="en-US"/>
              </w:rPr>
              <w:t xml:space="preserve"> </w:t>
            </w:r>
          </w:p>
        </w:tc>
        <w:tc>
          <w:tcPr>
            <w:tcW w:w="1498" w:type="pct"/>
          </w:tcPr>
          <w:p w:rsidR="00612CA3" w:rsidRPr="00EC0C9D" w:rsidRDefault="00612CA3" w:rsidP="003D17BC">
            <w:pPr>
              <w:rPr>
                <w:rFonts w:ascii="Arial Narrow" w:hAnsi="Arial Narrow" w:cs="Arial"/>
                <w:snapToGrid w:val="0"/>
                <w:sz w:val="20"/>
                <w:szCs w:val="20"/>
                <w:lang w:eastAsia="en-US"/>
              </w:rPr>
            </w:pPr>
            <w:r w:rsidRPr="00EC0C9D">
              <w:rPr>
                <w:rFonts w:ascii="Arial Narrow" w:hAnsi="Arial Narrow" w:cs="Arial"/>
                <w:snapToGrid w:val="0"/>
                <w:sz w:val="20"/>
                <w:szCs w:val="20"/>
                <w:lang w:eastAsia="en-US"/>
              </w:rPr>
              <w:t>The DPMQ for:</w:t>
            </w:r>
          </w:p>
          <w:p w:rsidR="00612CA3" w:rsidRPr="00EC0C9D" w:rsidRDefault="00612CA3" w:rsidP="00516FB4">
            <w:pPr>
              <w:rPr>
                <w:rFonts w:ascii="Arial Narrow" w:hAnsi="Arial Narrow" w:cs="Arial"/>
                <w:snapToGrid w:val="0"/>
                <w:sz w:val="20"/>
                <w:szCs w:val="20"/>
                <w:lang w:eastAsia="en-US"/>
              </w:rPr>
            </w:pPr>
            <w:r w:rsidRPr="00EC0C9D">
              <w:rPr>
                <w:rFonts w:ascii="Arial Narrow" w:hAnsi="Arial Narrow" w:cs="Arial"/>
                <w:snapToGrid w:val="0"/>
                <w:sz w:val="20"/>
                <w:szCs w:val="20"/>
                <w:lang w:eastAsia="en-US"/>
              </w:rPr>
              <w:t>6 x 40</w:t>
            </w:r>
            <w:r w:rsidR="00335AB9">
              <w:rPr>
                <w:rFonts w:ascii="Arial Narrow" w:hAnsi="Arial Narrow" w:cs="Arial"/>
                <w:snapToGrid w:val="0"/>
                <w:sz w:val="20"/>
                <w:szCs w:val="20"/>
                <w:lang w:eastAsia="en-US"/>
              </w:rPr>
              <w:t> </w:t>
            </w:r>
            <w:r w:rsidRPr="00EC0C9D">
              <w:rPr>
                <w:rFonts w:ascii="Arial Narrow" w:hAnsi="Arial Narrow" w:cs="Arial"/>
                <w:snapToGrid w:val="0"/>
                <w:sz w:val="20"/>
                <w:szCs w:val="20"/>
                <w:lang w:eastAsia="en-US"/>
              </w:rPr>
              <w:t xml:space="preserve">mg ADA = </w:t>
            </w:r>
            <w:r w:rsidR="00516FB4" w:rsidRPr="00EC0C9D">
              <w:rPr>
                <w:rFonts w:ascii="Arial Narrow" w:hAnsi="Arial Narrow" w:cs="Arial"/>
                <w:snapToGrid w:val="0"/>
                <w:sz w:val="20"/>
                <w:szCs w:val="20"/>
                <w:lang w:eastAsia="en-US"/>
              </w:rPr>
              <w:t>$</w:t>
            </w:r>
            <w:r w:rsidR="000B1B9D">
              <w:rPr>
                <w:rFonts w:ascii="Arial Narrow" w:hAnsi="Arial Narrow" w:cs="Arial"/>
                <w:noProof/>
                <w:snapToGrid w:val="0"/>
                <w:color w:val="000000"/>
                <w:sz w:val="20"/>
                <w:szCs w:val="20"/>
                <w:highlight w:val="black"/>
                <w:lang w:eastAsia="en-US"/>
              </w:rPr>
              <w:t>''''''''''''''''''''''</w:t>
            </w:r>
          </w:p>
          <w:p w:rsidR="00516FB4" w:rsidRPr="00943DB3" w:rsidRDefault="00335AB9" w:rsidP="00516FB4">
            <w:pPr>
              <w:rPr>
                <w:rFonts w:ascii="Arial Narrow" w:hAnsi="Arial Narrow" w:cs="Arial"/>
                <w:snapToGrid w:val="0"/>
                <w:sz w:val="20"/>
                <w:szCs w:val="20"/>
                <w:lang w:eastAsia="en-US"/>
              </w:rPr>
            </w:pPr>
            <w:r>
              <w:rPr>
                <w:rFonts w:ascii="Arial Narrow" w:hAnsi="Arial Narrow" w:cs="Arial"/>
                <w:snapToGrid w:val="0"/>
                <w:sz w:val="20"/>
                <w:szCs w:val="20"/>
                <w:lang w:eastAsia="en-US"/>
              </w:rPr>
              <w:t>2 x 40 </w:t>
            </w:r>
            <w:r w:rsidR="00516FB4" w:rsidRPr="00EC0C9D">
              <w:rPr>
                <w:rFonts w:ascii="Arial Narrow" w:hAnsi="Arial Narrow" w:cs="Arial"/>
                <w:snapToGrid w:val="0"/>
                <w:sz w:val="20"/>
                <w:szCs w:val="20"/>
                <w:lang w:eastAsia="en-US"/>
              </w:rPr>
              <w:t xml:space="preserve">mg ADA = same price as </w:t>
            </w:r>
            <w:r w:rsidR="00516FB4" w:rsidRPr="002167F4">
              <w:rPr>
                <w:rFonts w:ascii="Arial Narrow" w:hAnsi="Arial Narrow" w:cs="Arial"/>
                <w:snapToGrid w:val="0"/>
                <w:sz w:val="20"/>
                <w:szCs w:val="20"/>
                <w:lang w:eastAsia="en-US"/>
              </w:rPr>
              <w:t>infliximab</w:t>
            </w:r>
            <w:r w:rsidR="00516FB4" w:rsidRPr="00943DB3">
              <w:rPr>
                <w:rFonts w:ascii="Arial Narrow" w:hAnsi="Arial Narrow" w:cs="Arial"/>
                <w:snapToGrid w:val="0"/>
                <w:sz w:val="20"/>
                <w:szCs w:val="20"/>
                <w:lang w:eastAsia="en-US"/>
              </w:rPr>
              <w:t>.</w:t>
            </w:r>
          </w:p>
          <w:p w:rsidR="00516FB4" w:rsidRPr="003D17BC" w:rsidRDefault="00516FB4" w:rsidP="00F02CBD">
            <w:pPr>
              <w:rPr>
                <w:rFonts w:ascii="Arial Narrow" w:hAnsi="Arial Narrow" w:cs="Arial"/>
                <w:snapToGrid w:val="0"/>
                <w:sz w:val="20"/>
                <w:szCs w:val="20"/>
                <w:lang w:eastAsia="en-US"/>
              </w:rPr>
            </w:pPr>
            <w:r w:rsidRPr="00943DB3">
              <w:rPr>
                <w:rFonts w:ascii="Arial Narrow" w:hAnsi="Arial Narrow" w:cs="Arial"/>
                <w:snapToGrid w:val="0"/>
                <w:sz w:val="20"/>
                <w:szCs w:val="20"/>
                <w:lang w:eastAsia="en-US"/>
              </w:rPr>
              <w:t>Sponsor notes there is a Special Pricing Arrangement</w:t>
            </w:r>
            <w:r w:rsidR="00D17797" w:rsidRPr="00943DB3">
              <w:rPr>
                <w:rFonts w:ascii="Arial Narrow" w:hAnsi="Arial Narrow" w:cs="Arial"/>
                <w:snapToGrid w:val="0"/>
                <w:sz w:val="20"/>
                <w:szCs w:val="20"/>
                <w:lang w:eastAsia="en-US"/>
              </w:rPr>
              <w:t xml:space="preserve"> for </w:t>
            </w:r>
            <w:r w:rsidR="00D17797" w:rsidRPr="002167F4">
              <w:rPr>
                <w:rFonts w:ascii="Arial Narrow" w:hAnsi="Arial Narrow" w:cs="Arial"/>
                <w:snapToGrid w:val="0"/>
                <w:sz w:val="20"/>
                <w:szCs w:val="20"/>
                <w:lang w:eastAsia="en-US"/>
              </w:rPr>
              <w:t>inflixima</w:t>
            </w:r>
            <w:r w:rsidR="00C475BE" w:rsidRPr="002167F4">
              <w:rPr>
                <w:rFonts w:ascii="Arial Narrow" w:hAnsi="Arial Narrow" w:cs="Arial"/>
                <w:snapToGrid w:val="0"/>
                <w:sz w:val="20"/>
                <w:szCs w:val="20"/>
                <w:lang w:eastAsia="en-US"/>
              </w:rPr>
              <w:t>b</w:t>
            </w:r>
            <w:r w:rsidR="00C475BE" w:rsidRPr="00943DB3">
              <w:rPr>
                <w:rFonts w:ascii="Arial Narrow" w:hAnsi="Arial Narrow" w:cs="Arial"/>
                <w:snapToGrid w:val="0"/>
                <w:sz w:val="20"/>
                <w:szCs w:val="20"/>
                <w:lang w:eastAsia="en-US"/>
              </w:rPr>
              <w:t xml:space="preserve"> and the price offer </w:t>
            </w:r>
            <w:r w:rsidR="000B1B9D">
              <w:rPr>
                <w:rFonts w:ascii="Arial Narrow" w:hAnsi="Arial Narrow" w:cs="Arial"/>
                <w:noProof/>
                <w:snapToGrid w:val="0"/>
                <w:color w:val="000000"/>
                <w:sz w:val="20"/>
                <w:szCs w:val="20"/>
                <w:highlight w:val="black"/>
                <w:lang w:eastAsia="en-US"/>
              </w:rPr>
              <w:t>''''''' ''''''' '''''''''''''''''' ''''''''''''''''''''''''''' ''''' ''' '''''</w:t>
            </w:r>
            <w:r w:rsidR="00D17797" w:rsidRPr="00456B5B">
              <w:rPr>
                <w:rFonts w:ascii="Arial Narrow" w:hAnsi="Arial Narrow" w:cs="Arial"/>
                <w:snapToGrid w:val="0"/>
                <w:sz w:val="20"/>
                <w:szCs w:val="20"/>
                <w:lang w:eastAsia="en-US"/>
              </w:rPr>
              <w:t xml:space="preserve">% </w:t>
            </w:r>
            <w:r w:rsidR="000B1B9D">
              <w:rPr>
                <w:rFonts w:ascii="Arial Narrow" w:hAnsi="Arial Narrow" w:cs="Arial"/>
                <w:noProof/>
                <w:snapToGrid w:val="0"/>
                <w:color w:val="000000"/>
                <w:sz w:val="20"/>
                <w:szCs w:val="20"/>
                <w:highlight w:val="black"/>
                <w:lang w:eastAsia="en-US"/>
              </w:rPr>
              <w:t xml:space="preserve">''''''''''' ''''''''''''''''''' </w:t>
            </w:r>
            <w:r w:rsidR="00D17797" w:rsidRPr="00456B5B">
              <w:rPr>
                <w:rFonts w:ascii="Arial Narrow" w:hAnsi="Arial Narrow" w:cs="Arial"/>
                <w:snapToGrid w:val="0"/>
                <w:sz w:val="20"/>
                <w:szCs w:val="20"/>
                <w:lang w:eastAsia="en-US"/>
              </w:rPr>
              <w:t xml:space="preserve">from the July 2015 </w:t>
            </w:r>
            <w:r w:rsidR="004F0914" w:rsidRPr="00456B5B">
              <w:rPr>
                <w:rFonts w:ascii="Arial Narrow" w:hAnsi="Arial Narrow" w:cs="Arial"/>
                <w:snapToGrid w:val="0"/>
                <w:sz w:val="20"/>
                <w:szCs w:val="20"/>
                <w:lang w:eastAsia="en-US"/>
              </w:rPr>
              <w:t>re</w:t>
            </w:r>
            <w:r w:rsidR="00D17797" w:rsidRPr="00456B5B">
              <w:rPr>
                <w:rFonts w:ascii="Arial Narrow" w:hAnsi="Arial Narrow" w:cs="Arial"/>
                <w:snapToGrid w:val="0"/>
                <w:sz w:val="20"/>
                <w:szCs w:val="20"/>
                <w:lang w:eastAsia="en-US"/>
              </w:rPr>
              <w:t>submission</w:t>
            </w:r>
          </w:p>
        </w:tc>
      </w:tr>
      <w:tr w:rsidR="003D17BC" w:rsidRPr="003D17BC" w:rsidTr="00335AB9">
        <w:trPr>
          <w:cantSplit/>
          <w:trHeight w:val="236"/>
        </w:trPr>
        <w:tc>
          <w:tcPr>
            <w:tcW w:w="1000" w:type="pct"/>
          </w:tcPr>
          <w:p w:rsidR="003D17BC" w:rsidRPr="003D17BC" w:rsidRDefault="003D17B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Main comparator</w:t>
            </w:r>
          </w:p>
        </w:tc>
        <w:tc>
          <w:tcPr>
            <w:tcW w:w="2502" w:type="pct"/>
          </w:tcPr>
          <w:p w:rsidR="003D17BC" w:rsidRPr="003D17BC" w:rsidRDefault="00B8334C" w:rsidP="003D17BC">
            <w:pPr>
              <w:rPr>
                <w:rFonts w:ascii="Arial Narrow" w:hAnsi="Arial Narrow" w:cs="Arial"/>
                <w:snapToGrid w:val="0"/>
                <w:sz w:val="20"/>
                <w:szCs w:val="20"/>
                <w:lang w:eastAsia="en-US"/>
              </w:rPr>
            </w:pPr>
            <w:r>
              <w:rPr>
                <w:rFonts w:ascii="Arial Narrow" w:hAnsi="Arial Narrow" w:cs="Arial"/>
                <w:snapToGrid w:val="0"/>
                <w:sz w:val="20"/>
                <w:szCs w:val="20"/>
                <w:lang w:eastAsia="en-US"/>
              </w:rPr>
              <w:t>Infliximab</w:t>
            </w:r>
          </w:p>
        </w:tc>
        <w:tc>
          <w:tcPr>
            <w:tcW w:w="1498" w:type="pct"/>
          </w:tcPr>
          <w:p w:rsidR="003D17BC" w:rsidRPr="003D17BC" w:rsidRDefault="003D17B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Infliximab</w:t>
            </w:r>
          </w:p>
        </w:tc>
      </w:tr>
      <w:tr w:rsidR="003D17BC" w:rsidRPr="003D17BC" w:rsidTr="00335AB9">
        <w:trPr>
          <w:cantSplit/>
          <w:trHeight w:val="860"/>
        </w:trPr>
        <w:tc>
          <w:tcPr>
            <w:tcW w:w="1000" w:type="pct"/>
          </w:tcPr>
          <w:p w:rsidR="003D17BC" w:rsidRPr="003D17BC" w:rsidRDefault="003D17B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Clinical evidence</w:t>
            </w:r>
          </w:p>
        </w:tc>
        <w:tc>
          <w:tcPr>
            <w:tcW w:w="2502" w:type="pct"/>
          </w:tcPr>
          <w:p w:rsidR="00D5268C" w:rsidRPr="00F02CBD" w:rsidRDefault="00D5268C" w:rsidP="00D5268C">
            <w:pPr>
              <w:rPr>
                <w:rFonts w:ascii="Arial Narrow" w:hAnsi="Arial Narrow" w:cs="Arial"/>
                <w:snapToGrid w:val="0"/>
                <w:sz w:val="20"/>
                <w:szCs w:val="20"/>
                <w:lang w:eastAsia="en-US"/>
              </w:rPr>
            </w:pPr>
            <w:r w:rsidRPr="00F02CBD">
              <w:rPr>
                <w:rFonts w:ascii="Arial Narrow" w:hAnsi="Arial Narrow" w:cs="Arial"/>
                <w:snapToGrid w:val="0"/>
                <w:sz w:val="20"/>
                <w:szCs w:val="20"/>
                <w:lang w:eastAsia="en-US"/>
              </w:rPr>
              <w:t>An indirect comparison between adalimumab and infliximab was presented. It included the previously presented ULTRA 1 and ULTRA 2 trials plus Suzuki (2014) (n=274) and three Infliximab trials: included: ACT 1 (n=n364), ACT 2 (n=364), Probert (2003) (n=n43)</w:t>
            </w:r>
          </w:p>
          <w:p w:rsidR="003D17BC" w:rsidRPr="00F02CBD" w:rsidRDefault="00D5268C" w:rsidP="00D5268C">
            <w:pPr>
              <w:rPr>
                <w:rFonts w:ascii="Arial Narrow" w:hAnsi="Arial Narrow" w:cs="Arial"/>
                <w:b/>
                <w:snapToGrid w:val="0"/>
                <w:sz w:val="20"/>
                <w:szCs w:val="20"/>
                <w:lang w:eastAsia="en-US"/>
              </w:rPr>
            </w:pPr>
            <w:r w:rsidRPr="00F02CBD">
              <w:rPr>
                <w:rFonts w:ascii="Arial Narrow" w:hAnsi="Arial Narrow" w:cs="Arial"/>
                <w:snapToGrid w:val="0"/>
                <w:sz w:val="20"/>
                <w:szCs w:val="20"/>
                <w:lang w:eastAsia="en-US"/>
              </w:rPr>
              <w:t>In addition</w:t>
            </w:r>
            <w:r w:rsidR="005860E8">
              <w:rPr>
                <w:rFonts w:ascii="Arial Narrow" w:hAnsi="Arial Narrow" w:cs="Arial"/>
                <w:snapToGrid w:val="0"/>
                <w:sz w:val="20"/>
                <w:szCs w:val="20"/>
                <w:lang w:eastAsia="en-US"/>
              </w:rPr>
              <w:t>,</w:t>
            </w:r>
            <w:r w:rsidRPr="00F02CBD">
              <w:rPr>
                <w:rFonts w:ascii="Arial Narrow" w:hAnsi="Arial Narrow" w:cs="Arial"/>
                <w:snapToGrid w:val="0"/>
                <w:sz w:val="20"/>
                <w:szCs w:val="20"/>
                <w:lang w:eastAsia="en-US"/>
              </w:rPr>
              <w:t xml:space="preserve"> an indirect comparison to vedolizumab using GEMINI I (n=747, 374 induction and 373 maintenance) was included in an Attachment.</w:t>
            </w:r>
          </w:p>
        </w:tc>
        <w:tc>
          <w:tcPr>
            <w:tcW w:w="1498" w:type="pct"/>
          </w:tcPr>
          <w:p w:rsidR="003D17BC" w:rsidRPr="003D17BC" w:rsidRDefault="00D5268C" w:rsidP="00DA62CC">
            <w:pPr>
              <w:rPr>
                <w:rFonts w:ascii="Arial Narrow" w:hAnsi="Arial Narrow" w:cs="Arial"/>
                <w:snapToGrid w:val="0"/>
                <w:sz w:val="20"/>
                <w:szCs w:val="20"/>
                <w:lang w:eastAsia="en-US"/>
              </w:rPr>
            </w:pPr>
            <w:r w:rsidRPr="00EC0C9D">
              <w:rPr>
                <w:rFonts w:ascii="Arial Narrow" w:hAnsi="Arial Narrow" w:cs="Arial"/>
                <w:snapToGrid w:val="0"/>
                <w:sz w:val="20"/>
                <w:szCs w:val="20"/>
                <w:lang w:eastAsia="en-US"/>
              </w:rPr>
              <w:t>No new clinical evidence presented.</w:t>
            </w:r>
          </w:p>
        </w:tc>
      </w:tr>
      <w:tr w:rsidR="003D17BC" w:rsidRPr="003D17BC" w:rsidTr="00335AB9">
        <w:trPr>
          <w:cantSplit/>
          <w:trHeight w:val="860"/>
        </w:trPr>
        <w:tc>
          <w:tcPr>
            <w:tcW w:w="1000" w:type="pct"/>
          </w:tcPr>
          <w:p w:rsidR="003D17BC" w:rsidRPr="003D17BC" w:rsidRDefault="003D17B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Clinical claim</w:t>
            </w:r>
          </w:p>
        </w:tc>
        <w:tc>
          <w:tcPr>
            <w:tcW w:w="2502" w:type="pct"/>
          </w:tcPr>
          <w:p w:rsidR="00DA62CC" w:rsidRDefault="00DA62C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The breadth of evidence suggests no statistically significant differences in efficacy and considered similar in safety for adalimumab vs infliximab (p152, of the resubmission).</w:t>
            </w:r>
          </w:p>
          <w:p w:rsidR="003D17BC" w:rsidRPr="003D17BC" w:rsidRDefault="00DF6E5F" w:rsidP="00F02CBD">
            <w:pPr>
              <w:rPr>
                <w:rFonts w:ascii="Arial Narrow" w:hAnsi="Arial Narrow" w:cs="Arial"/>
                <w:snapToGrid w:val="0"/>
                <w:sz w:val="20"/>
                <w:szCs w:val="20"/>
                <w:lang w:eastAsia="en-US"/>
              </w:rPr>
            </w:pPr>
            <w:r w:rsidRPr="00DF6E5F">
              <w:rPr>
                <w:rFonts w:ascii="Arial Narrow" w:hAnsi="Arial Narrow" w:cs="Arial"/>
                <w:b/>
                <w:snapToGrid w:val="0"/>
                <w:sz w:val="20"/>
                <w:szCs w:val="20"/>
                <w:lang w:eastAsia="en-US"/>
              </w:rPr>
              <w:t>PBAC Comment:</w:t>
            </w:r>
            <w:r>
              <w:rPr>
                <w:rFonts w:ascii="Arial Narrow" w:hAnsi="Arial Narrow" w:cs="Arial"/>
                <w:snapToGrid w:val="0"/>
                <w:sz w:val="20"/>
                <w:szCs w:val="20"/>
                <w:lang w:eastAsia="en-US"/>
              </w:rPr>
              <w:t xml:space="preserve"> PBAC </w:t>
            </w:r>
            <w:r w:rsidRPr="00DF6E5F">
              <w:rPr>
                <w:rFonts w:ascii="Arial Narrow" w:hAnsi="Arial Narrow" w:cs="Arial"/>
                <w:snapToGrid w:val="0"/>
                <w:sz w:val="20"/>
                <w:szCs w:val="20"/>
                <w:lang w:eastAsia="en-US"/>
              </w:rPr>
              <w:t xml:space="preserve">considered that the indirect comparisons presented in the </w:t>
            </w:r>
            <w:r w:rsidR="004F0914">
              <w:rPr>
                <w:rFonts w:ascii="Arial Narrow" w:hAnsi="Arial Narrow" w:cs="Arial"/>
                <w:snapToGrid w:val="0"/>
                <w:sz w:val="20"/>
                <w:szCs w:val="20"/>
                <w:lang w:eastAsia="en-US"/>
              </w:rPr>
              <w:t>re</w:t>
            </w:r>
            <w:r w:rsidRPr="00DF6E5F">
              <w:rPr>
                <w:rFonts w:ascii="Arial Narrow" w:hAnsi="Arial Narrow" w:cs="Arial"/>
                <w:snapToGrid w:val="0"/>
                <w:sz w:val="20"/>
                <w:szCs w:val="20"/>
                <w:lang w:eastAsia="en-US"/>
              </w:rPr>
              <w:t>submission provided low certainty evidence for the claim on non-inferiority between adalimumab and infliximab, both in the remission phase and in the maintenance phase.</w:t>
            </w:r>
            <w:r>
              <w:rPr>
                <w:rFonts w:ascii="Arial Narrow" w:hAnsi="Arial Narrow" w:cs="Arial"/>
                <w:snapToGrid w:val="0"/>
                <w:sz w:val="20"/>
                <w:szCs w:val="20"/>
                <w:lang w:eastAsia="en-US"/>
              </w:rPr>
              <w:t xml:space="preserve"> [7-7 adalimumab PBAC minutes July 2015, Item 7.01].</w:t>
            </w:r>
          </w:p>
        </w:tc>
        <w:tc>
          <w:tcPr>
            <w:tcW w:w="1498" w:type="pct"/>
          </w:tcPr>
          <w:p w:rsidR="003D17BC" w:rsidRPr="003D17BC" w:rsidRDefault="000B1B9D" w:rsidP="00335AB9">
            <w:pP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 ''''''''''''''''''''''' ''''' ''''''''' ''''''''''''''''''''''' ''''''''''''''</w:t>
            </w:r>
            <w:r w:rsidR="00E14481" w:rsidRPr="00EC0C9D">
              <w:rPr>
                <w:rFonts w:ascii="Arial Narrow" w:hAnsi="Arial Narrow" w:cs="Arial"/>
                <w:snapToGrid w:val="0"/>
                <w:sz w:val="20"/>
                <w:szCs w:val="20"/>
                <w:lang w:eastAsia="en-US"/>
              </w:rPr>
              <w:t>.</w:t>
            </w:r>
          </w:p>
        </w:tc>
      </w:tr>
      <w:tr w:rsidR="003D17BC" w:rsidRPr="003D17BC" w:rsidTr="00335AB9">
        <w:trPr>
          <w:cantSplit/>
          <w:trHeight w:val="1298"/>
        </w:trPr>
        <w:tc>
          <w:tcPr>
            <w:tcW w:w="1000" w:type="pct"/>
          </w:tcPr>
          <w:p w:rsidR="003D17BC" w:rsidRPr="003D17BC" w:rsidRDefault="003D17B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lastRenderedPageBreak/>
              <w:t>Economic evaluation</w:t>
            </w:r>
          </w:p>
        </w:tc>
        <w:tc>
          <w:tcPr>
            <w:tcW w:w="2502" w:type="pct"/>
          </w:tcPr>
          <w:p w:rsidR="00C475BE" w:rsidRPr="003D17BC" w:rsidRDefault="00C475BE" w:rsidP="00C475BE">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Cost-minimisation analysis versus infliximab.</w:t>
            </w:r>
          </w:p>
          <w:p w:rsidR="003D17BC" w:rsidRPr="003D17BC" w:rsidRDefault="00C475BE" w:rsidP="00F02CBD">
            <w:pPr>
              <w:tabs>
                <w:tab w:val="left" w:pos="1725"/>
              </w:tabs>
              <w:rPr>
                <w:rFonts w:ascii="Arial Narrow" w:hAnsi="Arial Narrow" w:cs="Arial"/>
                <w:snapToGrid w:val="0"/>
                <w:sz w:val="20"/>
                <w:szCs w:val="20"/>
                <w:lang w:eastAsia="en-US"/>
              </w:rPr>
            </w:pPr>
            <w:r w:rsidRPr="00C475BE">
              <w:rPr>
                <w:rFonts w:ascii="Arial Narrow" w:hAnsi="Arial Narrow" w:cs="Arial"/>
                <w:b/>
                <w:snapToGrid w:val="0"/>
                <w:sz w:val="20"/>
                <w:szCs w:val="20"/>
                <w:lang w:eastAsia="en-US"/>
              </w:rPr>
              <w:t>PBAC Comment:</w:t>
            </w:r>
            <w:r>
              <w:rPr>
                <w:rFonts w:ascii="Arial Narrow" w:hAnsi="Arial Narrow" w:cs="Arial"/>
                <w:snapToGrid w:val="0"/>
                <w:sz w:val="20"/>
                <w:szCs w:val="20"/>
                <w:lang w:eastAsia="en-US"/>
              </w:rPr>
              <w:t xml:space="preserve"> </w:t>
            </w:r>
            <w:r w:rsidRPr="00C475BE">
              <w:rPr>
                <w:rFonts w:ascii="Arial Narrow" w:hAnsi="Arial Narrow" w:cs="Arial"/>
                <w:snapToGrid w:val="0"/>
                <w:sz w:val="20"/>
                <w:szCs w:val="20"/>
                <w:lang w:eastAsia="en-US"/>
              </w:rPr>
              <w:t xml:space="preserve">PBAC did not consider that the </w:t>
            </w:r>
            <w:r w:rsidR="004F0914">
              <w:rPr>
                <w:rFonts w:ascii="Arial Narrow" w:hAnsi="Arial Narrow" w:cs="Arial"/>
                <w:snapToGrid w:val="0"/>
                <w:sz w:val="20"/>
                <w:szCs w:val="20"/>
                <w:lang w:eastAsia="en-US"/>
              </w:rPr>
              <w:t>re</w:t>
            </w:r>
            <w:r w:rsidRPr="00C475BE">
              <w:rPr>
                <w:rFonts w:ascii="Arial Narrow" w:hAnsi="Arial Narrow" w:cs="Arial"/>
                <w:snapToGrid w:val="0"/>
                <w:sz w:val="20"/>
                <w:szCs w:val="20"/>
                <w:lang w:eastAsia="en-US"/>
              </w:rPr>
              <w:t>submission had conclusively demonstrated that adalimumab was non-inferior to infliximab, it also did not accept the cost-minimisation analysis.</w:t>
            </w:r>
            <w:r>
              <w:rPr>
                <w:rFonts w:ascii="Arial Narrow" w:hAnsi="Arial Narrow" w:cs="Arial"/>
                <w:snapToGrid w:val="0"/>
                <w:sz w:val="20"/>
                <w:szCs w:val="20"/>
                <w:lang w:eastAsia="en-US"/>
              </w:rPr>
              <w:t xml:space="preserve"> [7-9 adalimumab PBAC minutes July 2015, Item 7.01].</w:t>
            </w:r>
          </w:p>
        </w:tc>
        <w:tc>
          <w:tcPr>
            <w:tcW w:w="1498" w:type="pct"/>
          </w:tcPr>
          <w:p w:rsidR="003D17BC" w:rsidRPr="003D17BC" w:rsidRDefault="00E14481" w:rsidP="00E14481">
            <w:pPr>
              <w:rPr>
                <w:rFonts w:ascii="Arial Narrow" w:hAnsi="Arial Narrow" w:cs="Arial"/>
                <w:snapToGrid w:val="0"/>
                <w:sz w:val="20"/>
                <w:szCs w:val="20"/>
                <w:lang w:eastAsia="en-US"/>
              </w:rPr>
            </w:pPr>
            <w:r w:rsidRPr="00EC0C9D">
              <w:rPr>
                <w:rFonts w:ascii="Arial Narrow" w:hAnsi="Arial Narrow" w:cs="Arial"/>
                <w:snapToGrid w:val="0"/>
                <w:sz w:val="20"/>
                <w:szCs w:val="20"/>
                <w:lang w:eastAsia="en-US"/>
              </w:rPr>
              <w:t>No economic evaluation presented.</w:t>
            </w:r>
          </w:p>
        </w:tc>
      </w:tr>
      <w:tr w:rsidR="003D17BC" w:rsidRPr="003D17BC" w:rsidTr="00335AB9">
        <w:trPr>
          <w:cantSplit/>
          <w:trHeight w:val="64"/>
        </w:trPr>
        <w:tc>
          <w:tcPr>
            <w:tcW w:w="1000" w:type="pct"/>
          </w:tcPr>
          <w:p w:rsidR="003D17BC" w:rsidRPr="003D17BC" w:rsidRDefault="003D17B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Number of patients</w:t>
            </w:r>
          </w:p>
        </w:tc>
        <w:tc>
          <w:tcPr>
            <w:tcW w:w="2502" w:type="pct"/>
          </w:tcPr>
          <w:p w:rsidR="003D17BC" w:rsidRPr="003D17BC" w:rsidRDefault="000B1B9D" w:rsidP="00F02CBD">
            <w:pP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xml:space="preserve">'''''''''' </w:t>
            </w:r>
            <w:r w:rsidR="00E14481" w:rsidRPr="003D17BC">
              <w:rPr>
                <w:rFonts w:ascii="Arial Narrow" w:hAnsi="Arial Narrow" w:cs="Arial"/>
                <w:snapToGrid w:val="0"/>
                <w:sz w:val="20"/>
                <w:szCs w:val="20"/>
                <w:lang w:eastAsia="en-US"/>
              </w:rPr>
              <w:t xml:space="preserve">in Year 1 increasing to </w:t>
            </w:r>
            <w:r>
              <w:rPr>
                <w:rFonts w:ascii="Arial Narrow" w:hAnsi="Arial Narrow" w:cs="Arial"/>
                <w:noProof/>
                <w:snapToGrid w:val="0"/>
                <w:color w:val="000000"/>
                <w:sz w:val="20"/>
                <w:szCs w:val="20"/>
                <w:highlight w:val="black"/>
                <w:lang w:eastAsia="en-US"/>
              </w:rPr>
              <w:t xml:space="preserve">'''''''''' </w:t>
            </w:r>
            <w:r w:rsidR="00E14481" w:rsidRPr="003D17BC">
              <w:rPr>
                <w:rFonts w:ascii="Arial Narrow" w:hAnsi="Arial Narrow" w:cs="Arial"/>
                <w:snapToGrid w:val="0"/>
                <w:sz w:val="20"/>
                <w:szCs w:val="20"/>
                <w:lang w:eastAsia="en-US"/>
              </w:rPr>
              <w:t>in Year 5.</w:t>
            </w:r>
          </w:p>
        </w:tc>
        <w:tc>
          <w:tcPr>
            <w:tcW w:w="1498" w:type="pct"/>
          </w:tcPr>
          <w:p w:rsidR="003D17BC" w:rsidRPr="003D17BC" w:rsidRDefault="00E14481" w:rsidP="003D17BC">
            <w:pPr>
              <w:rPr>
                <w:rFonts w:ascii="Arial Narrow" w:hAnsi="Arial Narrow" w:cs="Arial"/>
                <w:snapToGrid w:val="0"/>
                <w:sz w:val="20"/>
                <w:szCs w:val="20"/>
                <w:lang w:eastAsia="en-US"/>
              </w:rPr>
            </w:pPr>
            <w:r w:rsidRPr="00EC0C9D">
              <w:rPr>
                <w:rFonts w:ascii="Arial Narrow" w:hAnsi="Arial Narrow" w:cs="Arial"/>
                <w:snapToGrid w:val="0"/>
                <w:sz w:val="20"/>
                <w:szCs w:val="20"/>
                <w:lang w:eastAsia="en-US"/>
              </w:rPr>
              <w:t>Unchanged</w:t>
            </w:r>
          </w:p>
        </w:tc>
      </w:tr>
      <w:tr w:rsidR="003D17BC" w:rsidRPr="003D17BC" w:rsidTr="00335AB9">
        <w:trPr>
          <w:cantSplit/>
          <w:trHeight w:val="430"/>
        </w:trPr>
        <w:tc>
          <w:tcPr>
            <w:tcW w:w="1000" w:type="pct"/>
          </w:tcPr>
          <w:p w:rsidR="003D17BC" w:rsidRPr="003D17BC" w:rsidRDefault="003D17B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Estimated total cost to PBS</w:t>
            </w:r>
          </w:p>
        </w:tc>
        <w:tc>
          <w:tcPr>
            <w:tcW w:w="2502" w:type="pct"/>
          </w:tcPr>
          <w:p w:rsidR="003D17BC" w:rsidRPr="003D17BC" w:rsidRDefault="00E14481" w:rsidP="00F02CBD">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t>$</w:t>
            </w:r>
            <w:r w:rsidR="000B1B9D">
              <w:rPr>
                <w:rFonts w:ascii="Arial Narrow" w:hAnsi="Arial Narrow" w:cs="Arial"/>
                <w:noProof/>
                <w:snapToGrid w:val="0"/>
                <w:color w:val="000000"/>
                <w:sz w:val="20"/>
                <w:szCs w:val="20"/>
                <w:highlight w:val="black"/>
                <w:lang w:eastAsia="en-US"/>
              </w:rPr>
              <w:t>'''''''''''''''''''''''''''''</w:t>
            </w:r>
            <w:r w:rsidRPr="003D17BC">
              <w:rPr>
                <w:rFonts w:ascii="Arial Narrow" w:hAnsi="Arial Narrow" w:cs="Arial"/>
                <w:snapToGrid w:val="0"/>
                <w:sz w:val="20"/>
                <w:szCs w:val="20"/>
                <w:lang w:eastAsia="en-US"/>
              </w:rPr>
              <w:t xml:space="preserve"> in Year 1 increasing to $</w:t>
            </w:r>
            <w:r w:rsidR="000B1B9D">
              <w:rPr>
                <w:rFonts w:ascii="Arial Narrow" w:hAnsi="Arial Narrow" w:cs="Arial"/>
                <w:noProof/>
                <w:snapToGrid w:val="0"/>
                <w:color w:val="000000"/>
                <w:sz w:val="20"/>
                <w:szCs w:val="20"/>
                <w:highlight w:val="black"/>
                <w:lang w:eastAsia="en-US"/>
              </w:rPr>
              <w:t>'''''''''''''''''''''''''''</w:t>
            </w:r>
            <w:r w:rsidRPr="003D17BC">
              <w:rPr>
                <w:rFonts w:ascii="Arial Narrow" w:hAnsi="Arial Narrow" w:cs="Arial"/>
                <w:snapToGrid w:val="0"/>
                <w:sz w:val="20"/>
                <w:szCs w:val="20"/>
                <w:lang w:eastAsia="en-US"/>
              </w:rPr>
              <w:t xml:space="preserve"> in Year 5 for a total of $</w:t>
            </w:r>
            <w:r w:rsidR="000B1B9D">
              <w:rPr>
                <w:rFonts w:ascii="Arial Narrow" w:hAnsi="Arial Narrow" w:cs="Arial"/>
                <w:noProof/>
                <w:snapToGrid w:val="0"/>
                <w:color w:val="000000"/>
                <w:sz w:val="20"/>
                <w:szCs w:val="20"/>
                <w:highlight w:val="black"/>
                <w:lang w:eastAsia="en-US"/>
              </w:rPr>
              <w:t>'''''''''''''''''''''''''</w:t>
            </w:r>
            <w:r w:rsidRPr="003D17BC">
              <w:rPr>
                <w:rFonts w:ascii="Arial Narrow" w:hAnsi="Arial Narrow" w:cs="Arial"/>
                <w:snapToGrid w:val="0"/>
                <w:sz w:val="20"/>
                <w:szCs w:val="20"/>
                <w:lang w:eastAsia="en-US"/>
              </w:rPr>
              <w:t xml:space="preserve"> over the first 5 years of listing.</w:t>
            </w:r>
          </w:p>
        </w:tc>
        <w:tc>
          <w:tcPr>
            <w:tcW w:w="1498" w:type="pct"/>
          </w:tcPr>
          <w:p w:rsidR="003D17BC" w:rsidRPr="00EC0C9D" w:rsidRDefault="00F02CBD" w:rsidP="00E14481">
            <w:pPr>
              <w:rPr>
                <w:rFonts w:ascii="Arial Narrow" w:hAnsi="Arial Narrow" w:cs="Arial"/>
                <w:snapToGrid w:val="0"/>
                <w:sz w:val="20"/>
                <w:szCs w:val="20"/>
                <w:lang w:eastAsia="en-US"/>
              </w:rPr>
            </w:pPr>
            <w:r>
              <w:rPr>
                <w:rFonts w:ascii="Arial Narrow" w:hAnsi="Arial Narrow" w:cs="Arial"/>
                <w:snapToGrid w:val="0"/>
                <w:sz w:val="20"/>
                <w:szCs w:val="20"/>
                <w:lang w:eastAsia="en-US"/>
              </w:rPr>
              <w:t>The r</w:t>
            </w:r>
            <w:r w:rsidR="00E14481" w:rsidRPr="00EC0C9D">
              <w:rPr>
                <w:rFonts w:ascii="Arial Narrow" w:hAnsi="Arial Narrow" w:cs="Arial"/>
                <w:snapToGrid w:val="0"/>
                <w:sz w:val="20"/>
                <w:szCs w:val="20"/>
                <w:lang w:eastAsia="en-US"/>
              </w:rPr>
              <w:t xml:space="preserve">esubmission updated the financial estimates to reflect the </w:t>
            </w:r>
            <w:r w:rsidR="000B1B9D">
              <w:rPr>
                <w:rFonts w:ascii="Arial Narrow" w:hAnsi="Arial Narrow" w:cs="Arial"/>
                <w:noProof/>
                <w:snapToGrid w:val="0"/>
                <w:color w:val="000000"/>
                <w:sz w:val="20"/>
                <w:szCs w:val="20"/>
                <w:highlight w:val="black"/>
                <w:lang w:eastAsia="en-US"/>
              </w:rPr>
              <w:t>''''''</w:t>
            </w:r>
            <w:r w:rsidR="00E14481" w:rsidRPr="00622920">
              <w:rPr>
                <w:rFonts w:ascii="Arial Narrow" w:hAnsi="Arial Narrow" w:cs="Arial"/>
                <w:snapToGrid w:val="0"/>
                <w:sz w:val="20"/>
                <w:szCs w:val="20"/>
                <w:lang w:eastAsia="en-US"/>
              </w:rPr>
              <w:t>%</w:t>
            </w:r>
            <w:r w:rsidR="00E14481" w:rsidRPr="002A3D9C">
              <w:rPr>
                <w:rFonts w:ascii="Arial Narrow" w:hAnsi="Arial Narrow" w:cs="Arial"/>
                <w:snapToGrid w:val="0"/>
                <w:sz w:val="20"/>
                <w:szCs w:val="20"/>
                <w:lang w:eastAsia="en-US"/>
              </w:rPr>
              <w:t xml:space="preserve"> price reduction o</w:t>
            </w:r>
            <w:r w:rsidR="003D4035" w:rsidRPr="002A3D9C">
              <w:rPr>
                <w:rFonts w:ascii="Arial Narrow" w:hAnsi="Arial Narrow" w:cs="Arial"/>
                <w:snapToGrid w:val="0"/>
                <w:sz w:val="20"/>
                <w:szCs w:val="20"/>
                <w:lang w:eastAsia="en-US"/>
              </w:rPr>
              <w:t xml:space="preserve">ffer for the </w:t>
            </w:r>
            <w:r w:rsidR="000B1B9D">
              <w:rPr>
                <w:rFonts w:ascii="Arial Narrow" w:hAnsi="Arial Narrow" w:cs="Arial"/>
                <w:noProof/>
                <w:snapToGrid w:val="0"/>
                <w:color w:val="000000"/>
                <w:sz w:val="20"/>
                <w:szCs w:val="20"/>
                <w:highlight w:val="black"/>
                <w:lang w:eastAsia="en-US"/>
              </w:rPr>
              <w:t>'''''''''''''''' ''''''''''''''''''''' '''''''''''''''''</w:t>
            </w:r>
            <w:r w:rsidR="00E14481" w:rsidRPr="002A3D9C">
              <w:rPr>
                <w:rFonts w:ascii="Arial Narrow" w:hAnsi="Arial Narrow" w:cs="Arial"/>
                <w:snapToGrid w:val="0"/>
                <w:sz w:val="20"/>
                <w:szCs w:val="20"/>
                <w:lang w:eastAsia="en-US"/>
              </w:rPr>
              <w:t>.</w:t>
            </w:r>
          </w:p>
          <w:p w:rsidR="00E14481" w:rsidRPr="00EC0C9D" w:rsidRDefault="00E14481" w:rsidP="00E14481">
            <w:pPr>
              <w:rPr>
                <w:rFonts w:ascii="Arial Narrow" w:hAnsi="Arial Narrow" w:cs="Arial"/>
                <w:snapToGrid w:val="0"/>
                <w:sz w:val="20"/>
                <w:szCs w:val="20"/>
                <w:lang w:eastAsia="en-US"/>
              </w:rPr>
            </w:pPr>
          </w:p>
          <w:p w:rsidR="00E14481" w:rsidRPr="003D17BC" w:rsidRDefault="00E14481" w:rsidP="00F02CBD">
            <w:pPr>
              <w:rPr>
                <w:rFonts w:ascii="Arial Narrow" w:hAnsi="Arial Narrow" w:cs="Arial"/>
                <w:snapToGrid w:val="0"/>
                <w:sz w:val="20"/>
                <w:szCs w:val="20"/>
                <w:lang w:eastAsia="en-US"/>
              </w:rPr>
            </w:pPr>
            <w:r w:rsidRPr="00EC0C9D">
              <w:rPr>
                <w:rFonts w:ascii="Arial Narrow" w:hAnsi="Arial Narrow" w:cs="Arial"/>
                <w:snapToGrid w:val="0"/>
                <w:sz w:val="20"/>
                <w:szCs w:val="20"/>
                <w:lang w:eastAsia="en-US"/>
              </w:rPr>
              <w:t>$</w:t>
            </w:r>
            <w:r w:rsidR="000B1B9D">
              <w:rPr>
                <w:rFonts w:ascii="Arial Narrow" w:hAnsi="Arial Narrow" w:cs="Arial"/>
                <w:noProof/>
                <w:snapToGrid w:val="0"/>
                <w:color w:val="000000"/>
                <w:sz w:val="20"/>
                <w:szCs w:val="20"/>
                <w:highlight w:val="black"/>
                <w:lang w:eastAsia="en-US"/>
              </w:rPr>
              <w:t>'''''''''''''''''''''''''''''</w:t>
            </w:r>
            <w:r w:rsidRPr="00EC0C9D">
              <w:rPr>
                <w:rFonts w:ascii="Arial Narrow" w:hAnsi="Arial Narrow" w:cs="Arial"/>
                <w:snapToGrid w:val="0"/>
                <w:sz w:val="20"/>
                <w:szCs w:val="20"/>
                <w:lang w:eastAsia="en-US"/>
              </w:rPr>
              <w:t xml:space="preserve"> in Year 1 increasing to $</w:t>
            </w:r>
            <w:r w:rsidR="000B1B9D">
              <w:rPr>
                <w:rFonts w:ascii="Arial Narrow" w:hAnsi="Arial Narrow" w:cs="Arial"/>
                <w:noProof/>
                <w:snapToGrid w:val="0"/>
                <w:color w:val="000000"/>
                <w:sz w:val="20"/>
                <w:szCs w:val="20"/>
                <w:highlight w:val="black"/>
                <w:lang w:eastAsia="en-US"/>
              </w:rPr>
              <w:t>''''''''''''''''''''''''''</w:t>
            </w:r>
            <w:r w:rsidRPr="00EC0C9D">
              <w:rPr>
                <w:rFonts w:ascii="Arial Narrow" w:hAnsi="Arial Narrow" w:cs="Arial"/>
                <w:snapToGrid w:val="0"/>
                <w:sz w:val="20"/>
                <w:szCs w:val="20"/>
                <w:lang w:eastAsia="en-US"/>
              </w:rPr>
              <w:t xml:space="preserve"> in Year 5 for a total of $</w:t>
            </w:r>
            <w:r w:rsidR="000B1B9D">
              <w:rPr>
                <w:rFonts w:ascii="Arial Narrow" w:hAnsi="Arial Narrow" w:cs="Arial"/>
                <w:noProof/>
                <w:snapToGrid w:val="0"/>
                <w:color w:val="000000"/>
                <w:sz w:val="20"/>
                <w:szCs w:val="20"/>
                <w:highlight w:val="black"/>
                <w:lang w:eastAsia="en-US"/>
              </w:rPr>
              <w:t>'''''''''''''''''''''''''</w:t>
            </w:r>
            <w:r w:rsidRPr="00EC0C9D">
              <w:rPr>
                <w:rFonts w:ascii="Arial Narrow" w:hAnsi="Arial Narrow" w:cs="Arial"/>
                <w:snapToGrid w:val="0"/>
                <w:sz w:val="20"/>
                <w:szCs w:val="20"/>
                <w:lang w:eastAsia="en-US"/>
              </w:rPr>
              <w:t xml:space="preserve"> over the first 5 years of listing.</w:t>
            </w:r>
          </w:p>
        </w:tc>
      </w:tr>
      <w:tr w:rsidR="003D17BC" w:rsidRPr="003D17BC" w:rsidTr="00335AB9">
        <w:trPr>
          <w:cantSplit/>
          <w:trHeight w:val="438"/>
        </w:trPr>
        <w:tc>
          <w:tcPr>
            <w:tcW w:w="1000" w:type="pct"/>
          </w:tcPr>
          <w:p w:rsidR="003D17BC" w:rsidRPr="003D17BC" w:rsidRDefault="003D17BC" w:rsidP="003D17BC">
            <w:pPr>
              <w:rPr>
                <w:rFonts w:ascii="Arial Narrow" w:hAnsi="Arial Narrow" w:cs="Arial"/>
                <w:snapToGrid w:val="0"/>
                <w:sz w:val="20"/>
                <w:szCs w:val="20"/>
                <w:lang w:eastAsia="en-US"/>
              </w:rPr>
            </w:pPr>
            <w:r w:rsidRPr="003D17BC">
              <w:rPr>
                <w:rFonts w:ascii="Arial Narrow" w:hAnsi="Arial Narrow" w:cs="Arial"/>
                <w:snapToGrid w:val="0"/>
                <w:sz w:val="20"/>
                <w:szCs w:val="20"/>
                <w:lang w:eastAsia="en-US"/>
              </w:rPr>
              <w:br w:type="page"/>
              <w:t>PBAC decision</w:t>
            </w:r>
          </w:p>
        </w:tc>
        <w:tc>
          <w:tcPr>
            <w:tcW w:w="2502" w:type="pct"/>
          </w:tcPr>
          <w:p w:rsidR="003D17BC" w:rsidRPr="003D17BC" w:rsidRDefault="00633F2E" w:rsidP="003D17BC">
            <w:pPr>
              <w:rPr>
                <w:rFonts w:ascii="Arial Narrow" w:hAnsi="Arial Narrow" w:cs="Arial"/>
                <w:snapToGrid w:val="0"/>
                <w:sz w:val="20"/>
                <w:szCs w:val="20"/>
                <w:lang w:eastAsia="en-US"/>
              </w:rPr>
            </w:pPr>
            <w:r w:rsidRPr="00633F2E">
              <w:rPr>
                <w:rFonts w:ascii="Arial Narrow" w:hAnsi="Arial Narrow" w:cs="Arial"/>
                <w:snapToGrid w:val="0"/>
                <w:sz w:val="20"/>
                <w:szCs w:val="20"/>
                <w:lang w:eastAsia="en-US"/>
              </w:rPr>
              <w:t>The PBAC rejected the request to extend the PBS listing for adalimumab to include the treatment of moderate to severe UC on the basis that the evidence presented did not establish non-inferiority of adalimumab to the nominated comparator (infliximab).</w:t>
            </w:r>
          </w:p>
        </w:tc>
        <w:tc>
          <w:tcPr>
            <w:tcW w:w="1498" w:type="pct"/>
          </w:tcPr>
          <w:p w:rsidR="003D17BC" w:rsidRPr="00F02CBD" w:rsidRDefault="003D17BC" w:rsidP="003D17BC">
            <w:pPr>
              <w:rPr>
                <w:rFonts w:ascii="Arial Narrow" w:hAnsi="Arial Narrow" w:cs="Arial"/>
                <w:snapToGrid w:val="0"/>
                <w:sz w:val="20"/>
                <w:szCs w:val="20"/>
                <w:lang w:eastAsia="en-US"/>
              </w:rPr>
            </w:pPr>
            <w:r w:rsidRPr="00F02CBD">
              <w:rPr>
                <w:rFonts w:ascii="Arial Narrow" w:hAnsi="Arial Narrow" w:cs="Arial"/>
                <w:snapToGrid w:val="0"/>
                <w:sz w:val="20"/>
                <w:szCs w:val="20"/>
                <w:lang w:eastAsia="en-US"/>
              </w:rPr>
              <w:t>-</w:t>
            </w:r>
          </w:p>
        </w:tc>
      </w:tr>
    </w:tbl>
    <w:p w:rsidR="003D17BC" w:rsidRPr="00133FAC" w:rsidRDefault="00133FAC" w:rsidP="003D17BC">
      <w:pPr>
        <w:pStyle w:val="ListParagraph"/>
        <w:rPr>
          <w:rFonts w:ascii="Arial Narrow" w:hAnsi="Arial Narrow"/>
          <w:sz w:val="18"/>
          <w:szCs w:val="18"/>
        </w:rPr>
      </w:pPr>
      <w:r w:rsidRPr="00133FAC">
        <w:rPr>
          <w:rFonts w:ascii="Arial Narrow" w:hAnsi="Arial Narrow"/>
          <w:sz w:val="18"/>
          <w:szCs w:val="18"/>
        </w:rPr>
        <w:t>Source: Compiled during evaluation</w:t>
      </w:r>
    </w:p>
    <w:p w:rsidR="0007651C" w:rsidRPr="005860E8" w:rsidRDefault="0007651C" w:rsidP="005860E8">
      <w:pPr>
        <w:rPr>
          <w:rFonts w:ascii="Arial" w:hAnsi="Arial"/>
          <w:sz w:val="22"/>
          <w:szCs w:val="22"/>
        </w:rPr>
      </w:pPr>
    </w:p>
    <w:p w:rsidR="003D17BC" w:rsidRDefault="0007651C" w:rsidP="003D17BC">
      <w:pPr>
        <w:pStyle w:val="ListParagraph"/>
        <w:rPr>
          <w:rFonts w:ascii="Arial" w:hAnsi="Arial"/>
          <w:sz w:val="22"/>
          <w:szCs w:val="22"/>
        </w:rPr>
      </w:pPr>
      <w:r w:rsidRPr="0007651C">
        <w:rPr>
          <w:rFonts w:ascii="Arial" w:hAnsi="Arial"/>
          <w:i/>
          <w:sz w:val="22"/>
          <w:szCs w:val="22"/>
        </w:rPr>
        <w:t>For more details on PBAC’s view, see section 7 “PBAC outcome”</w:t>
      </w:r>
      <w:r w:rsidR="0046498E">
        <w:rPr>
          <w:rFonts w:ascii="Arial" w:hAnsi="Arial"/>
          <w:i/>
          <w:sz w:val="22"/>
          <w:szCs w:val="22"/>
        </w:rPr>
        <w:t>.</w:t>
      </w:r>
    </w:p>
    <w:p w:rsidR="008A1956" w:rsidRDefault="008A1956" w:rsidP="00882085">
      <w:pPr>
        <w:jc w:val="both"/>
        <w:rPr>
          <w:rFonts w:ascii="Arial" w:hAnsi="Arial"/>
          <w:sz w:val="22"/>
          <w:szCs w:val="22"/>
        </w:rPr>
      </w:pPr>
    </w:p>
    <w:p w:rsidR="00F02CBD" w:rsidRPr="00F02CBD" w:rsidRDefault="00F02CBD" w:rsidP="00882085">
      <w:pPr>
        <w:jc w:val="both"/>
        <w:rPr>
          <w:rFonts w:ascii="Arial" w:hAnsi="Arial"/>
          <w:sz w:val="22"/>
          <w:szCs w:val="22"/>
        </w:rPr>
      </w:pPr>
    </w:p>
    <w:p w:rsidR="00CE10C4" w:rsidRPr="00882085" w:rsidRDefault="00CE10C4" w:rsidP="005672DD">
      <w:pPr>
        <w:pStyle w:val="PBACheading1"/>
      </w:pPr>
      <w:r w:rsidRPr="00882085">
        <w:t>Clinical place for the proposed ther</w:t>
      </w:r>
      <w:r w:rsidR="006A12A5" w:rsidRPr="00882085">
        <w:t>apy</w:t>
      </w:r>
    </w:p>
    <w:p w:rsidR="00CE10C4" w:rsidRPr="00882085" w:rsidRDefault="00CE10C4" w:rsidP="00882085">
      <w:pPr>
        <w:jc w:val="both"/>
        <w:rPr>
          <w:rFonts w:ascii="Arial" w:hAnsi="Arial"/>
          <w:sz w:val="22"/>
          <w:szCs w:val="22"/>
        </w:rPr>
      </w:pPr>
    </w:p>
    <w:p w:rsidR="00C35996" w:rsidRPr="00E63240" w:rsidRDefault="00133FAC" w:rsidP="00882085">
      <w:pPr>
        <w:widowControl w:val="0"/>
        <w:numPr>
          <w:ilvl w:val="1"/>
          <w:numId w:val="25"/>
        </w:numPr>
        <w:contextualSpacing/>
        <w:jc w:val="both"/>
        <w:rPr>
          <w:rFonts w:ascii="Arial" w:hAnsi="Arial"/>
          <w:sz w:val="22"/>
          <w:szCs w:val="22"/>
        </w:rPr>
      </w:pPr>
      <w:r w:rsidRPr="00133FAC">
        <w:rPr>
          <w:rFonts w:ascii="Arial" w:hAnsi="Arial" w:cs="Arial"/>
          <w:snapToGrid w:val="0"/>
          <w:sz w:val="22"/>
          <w:szCs w:val="20"/>
          <w:lang w:eastAsia="en-US"/>
        </w:rPr>
        <w:t>Treatment of moderate to severe UC after failure of conventional agents (5</w:t>
      </w:r>
      <w:r w:rsidRPr="00133FAC">
        <w:rPr>
          <w:rFonts w:ascii="Arial" w:hAnsi="Arial" w:cs="Arial"/>
          <w:snapToGrid w:val="0"/>
          <w:sz w:val="22"/>
          <w:szCs w:val="20"/>
          <w:lang w:eastAsia="en-US"/>
        </w:rPr>
        <w:noBreakHyphen/>
        <w:t xml:space="preserve">aminosalicylic acid compounds, corticosteroids, and immunomodulators), </w:t>
      </w:r>
      <w:r w:rsidR="005860E8">
        <w:rPr>
          <w:rFonts w:ascii="Arial" w:hAnsi="Arial" w:cs="Arial"/>
          <w:snapToGrid w:val="0"/>
          <w:sz w:val="22"/>
          <w:szCs w:val="20"/>
          <w:lang w:eastAsia="en-US"/>
        </w:rPr>
        <w:t>reflecting</w:t>
      </w:r>
      <w:r w:rsidRPr="00133FAC">
        <w:rPr>
          <w:rFonts w:ascii="Arial" w:hAnsi="Arial" w:cs="Arial"/>
          <w:snapToGrid w:val="0"/>
          <w:sz w:val="22"/>
          <w:szCs w:val="20"/>
          <w:lang w:eastAsia="en-US"/>
        </w:rPr>
        <w:t xml:space="preserve"> that </w:t>
      </w:r>
      <w:r w:rsidR="005E0BCD">
        <w:rPr>
          <w:rFonts w:ascii="Arial" w:hAnsi="Arial" w:cs="Arial"/>
          <w:snapToGrid w:val="0"/>
          <w:sz w:val="22"/>
          <w:szCs w:val="20"/>
          <w:lang w:eastAsia="en-US"/>
        </w:rPr>
        <w:t>o</w:t>
      </w:r>
      <w:r w:rsidRPr="00133FAC">
        <w:rPr>
          <w:rFonts w:ascii="Arial" w:hAnsi="Arial" w:cs="Arial"/>
          <w:snapToGrid w:val="0"/>
          <w:sz w:val="22"/>
          <w:szCs w:val="20"/>
          <w:lang w:eastAsia="en-US"/>
        </w:rPr>
        <w:t xml:space="preserve">f infliximab (i.e. first-line biologic therapy). </w:t>
      </w:r>
      <w:r w:rsidR="00E63240">
        <w:rPr>
          <w:rFonts w:ascii="Arial" w:hAnsi="Arial" w:cs="Arial"/>
          <w:snapToGrid w:val="0"/>
          <w:sz w:val="22"/>
          <w:szCs w:val="20"/>
          <w:lang w:eastAsia="en-US"/>
        </w:rPr>
        <w:t xml:space="preserve">At its July 2015 meeting, the </w:t>
      </w:r>
      <w:r w:rsidR="00E63240" w:rsidRPr="00E63240">
        <w:rPr>
          <w:rFonts w:ascii="Arial" w:hAnsi="Arial" w:cs="Arial"/>
          <w:snapToGrid w:val="0"/>
          <w:sz w:val="22"/>
          <w:szCs w:val="20"/>
          <w:lang w:eastAsia="en-US"/>
        </w:rPr>
        <w:t>PBAC considered that non-inferiority between adalimumab and infliximab was not demonstrated, however, the PBAC considered the clinical positioning to be unreasonable and that adalimumab may be more appropriately placed as a subsequent</w:t>
      </w:r>
      <w:r w:rsidR="005860E8">
        <w:rPr>
          <w:rFonts w:ascii="Arial" w:hAnsi="Arial" w:cs="Arial"/>
          <w:snapToGrid w:val="0"/>
          <w:sz w:val="22"/>
          <w:szCs w:val="20"/>
          <w:lang w:eastAsia="en-US"/>
        </w:rPr>
        <w:t>-</w:t>
      </w:r>
      <w:r w:rsidR="00E63240" w:rsidRPr="00E63240">
        <w:rPr>
          <w:rFonts w:ascii="Arial" w:hAnsi="Arial" w:cs="Arial"/>
          <w:snapToGrid w:val="0"/>
          <w:sz w:val="22"/>
          <w:szCs w:val="20"/>
          <w:lang w:eastAsia="en-US"/>
        </w:rPr>
        <w:t>line biologic, following failure of, or intoleranc</w:t>
      </w:r>
      <w:r w:rsidR="00CD6FFA">
        <w:rPr>
          <w:rFonts w:ascii="Arial" w:hAnsi="Arial" w:cs="Arial"/>
          <w:snapToGrid w:val="0"/>
          <w:sz w:val="22"/>
          <w:szCs w:val="20"/>
          <w:lang w:eastAsia="en-US"/>
        </w:rPr>
        <w:t>e to, infliximab or vedolizumab</w:t>
      </w:r>
      <w:r w:rsidR="00E63240" w:rsidRPr="00E63240">
        <w:rPr>
          <w:rFonts w:ascii="Arial" w:hAnsi="Arial" w:cs="Arial"/>
          <w:snapToGrid w:val="0"/>
          <w:sz w:val="22"/>
          <w:szCs w:val="20"/>
          <w:lang w:eastAsia="en-US"/>
        </w:rPr>
        <w:t xml:space="preserve"> [7-3 adalimumab PBAC</w:t>
      </w:r>
      <w:r w:rsidR="005860E8">
        <w:rPr>
          <w:rFonts w:ascii="Arial" w:hAnsi="Arial" w:cs="Arial"/>
          <w:snapToGrid w:val="0"/>
          <w:sz w:val="22"/>
          <w:szCs w:val="20"/>
          <w:lang w:eastAsia="en-US"/>
        </w:rPr>
        <w:t xml:space="preserve"> minutes July 2015, Item 7.01].</w:t>
      </w:r>
    </w:p>
    <w:p w:rsidR="00E63240" w:rsidRPr="00133FAC" w:rsidRDefault="00E63240" w:rsidP="005860E8">
      <w:pPr>
        <w:widowControl w:val="0"/>
        <w:contextualSpacing/>
        <w:jc w:val="both"/>
        <w:rPr>
          <w:rFonts w:ascii="Arial" w:hAnsi="Arial"/>
          <w:sz w:val="22"/>
          <w:szCs w:val="22"/>
        </w:rPr>
      </w:pPr>
    </w:p>
    <w:p w:rsidR="00BB7EC3" w:rsidRPr="0007651C" w:rsidRDefault="00E63240" w:rsidP="00882085">
      <w:pPr>
        <w:pStyle w:val="ListParagraph"/>
        <w:numPr>
          <w:ilvl w:val="1"/>
          <w:numId w:val="25"/>
        </w:numPr>
        <w:jc w:val="both"/>
        <w:rPr>
          <w:rFonts w:ascii="Arial" w:hAnsi="Arial"/>
          <w:sz w:val="22"/>
          <w:szCs w:val="22"/>
        </w:rPr>
      </w:pPr>
      <w:r>
        <w:rPr>
          <w:rFonts w:ascii="Arial" w:hAnsi="Arial" w:cs="Arial"/>
          <w:snapToGrid w:val="0"/>
          <w:sz w:val="22"/>
          <w:szCs w:val="20"/>
          <w:lang w:eastAsia="en-US"/>
        </w:rPr>
        <w:t>The r</w:t>
      </w:r>
      <w:r w:rsidRPr="00E63240">
        <w:rPr>
          <w:rFonts w:ascii="Arial" w:hAnsi="Arial" w:cs="Arial"/>
          <w:snapToGrid w:val="0"/>
          <w:sz w:val="22"/>
          <w:szCs w:val="20"/>
          <w:lang w:eastAsia="en-US"/>
        </w:rPr>
        <w:t>esubmission disagreed with the PBAC and maintained that it would not address the inequity in access. The resubmission focused on access issues in rural and remote Australia as well as the distribution of adalimumab in these areas.</w:t>
      </w:r>
    </w:p>
    <w:p w:rsidR="0007651C" w:rsidRPr="005860E8" w:rsidRDefault="0007651C" w:rsidP="0007651C">
      <w:pPr>
        <w:jc w:val="both"/>
        <w:rPr>
          <w:rFonts w:ascii="Arial" w:hAnsi="Arial" w:cs="Arial"/>
          <w:snapToGrid w:val="0"/>
          <w:sz w:val="22"/>
          <w:szCs w:val="22"/>
          <w:lang w:eastAsia="en-US"/>
        </w:rPr>
      </w:pPr>
    </w:p>
    <w:p w:rsidR="0007651C" w:rsidRPr="00E63240" w:rsidRDefault="0007651C" w:rsidP="0007651C">
      <w:pPr>
        <w:pStyle w:val="ListParagraph"/>
        <w:jc w:val="both"/>
        <w:rPr>
          <w:rFonts w:ascii="Arial" w:hAnsi="Arial"/>
          <w:sz w:val="22"/>
          <w:szCs w:val="22"/>
        </w:rPr>
      </w:pPr>
      <w:r w:rsidRPr="0007651C">
        <w:rPr>
          <w:rFonts w:ascii="Arial" w:hAnsi="Arial"/>
          <w:i/>
          <w:sz w:val="22"/>
          <w:szCs w:val="22"/>
        </w:rPr>
        <w:t>For more details on PBAC’s view, see section 7 “PBAC outcome”</w:t>
      </w:r>
      <w:r w:rsidR="0046498E">
        <w:rPr>
          <w:rFonts w:ascii="Arial" w:hAnsi="Arial"/>
          <w:i/>
          <w:sz w:val="22"/>
          <w:szCs w:val="22"/>
        </w:rPr>
        <w:t>.</w:t>
      </w:r>
    </w:p>
    <w:p w:rsidR="008A1956" w:rsidRDefault="008A1956" w:rsidP="00882085">
      <w:pPr>
        <w:pStyle w:val="Header"/>
        <w:tabs>
          <w:tab w:val="clear" w:pos="4153"/>
          <w:tab w:val="clear" w:pos="8306"/>
        </w:tabs>
        <w:jc w:val="both"/>
        <w:rPr>
          <w:rFonts w:ascii="Arial" w:hAnsi="Arial"/>
          <w:sz w:val="22"/>
          <w:szCs w:val="22"/>
        </w:rPr>
      </w:pPr>
    </w:p>
    <w:p w:rsidR="005A3173" w:rsidRPr="00882085" w:rsidRDefault="005A3173" w:rsidP="005672DD">
      <w:pPr>
        <w:pStyle w:val="PBACheading1"/>
      </w:pPr>
      <w:r w:rsidRPr="00882085">
        <w:t>Comparator</w:t>
      </w:r>
    </w:p>
    <w:p w:rsidR="005A3173" w:rsidRPr="005860E8" w:rsidRDefault="005A3173" w:rsidP="00882085">
      <w:pPr>
        <w:pStyle w:val="Header"/>
        <w:tabs>
          <w:tab w:val="clear" w:pos="4153"/>
          <w:tab w:val="clear" w:pos="8306"/>
        </w:tabs>
        <w:jc w:val="both"/>
        <w:rPr>
          <w:rFonts w:ascii="Arial" w:hAnsi="Arial"/>
          <w:sz w:val="22"/>
          <w:szCs w:val="22"/>
        </w:rPr>
      </w:pPr>
    </w:p>
    <w:p w:rsidR="00DF26A7" w:rsidRDefault="00476245" w:rsidP="00476245">
      <w:pPr>
        <w:pStyle w:val="ListParagraph"/>
        <w:numPr>
          <w:ilvl w:val="1"/>
          <w:numId w:val="25"/>
        </w:numPr>
        <w:jc w:val="both"/>
        <w:rPr>
          <w:rFonts w:ascii="Arial" w:hAnsi="Arial"/>
          <w:sz w:val="22"/>
          <w:szCs w:val="22"/>
        </w:rPr>
      </w:pPr>
      <w:r w:rsidRPr="00E93619">
        <w:rPr>
          <w:rFonts w:ascii="Arial" w:hAnsi="Arial"/>
          <w:sz w:val="22"/>
          <w:szCs w:val="22"/>
        </w:rPr>
        <w:t xml:space="preserve">The previous major </w:t>
      </w:r>
      <w:r w:rsidR="004F0914">
        <w:rPr>
          <w:rFonts w:ascii="Arial" w:hAnsi="Arial"/>
          <w:sz w:val="22"/>
          <w:szCs w:val="22"/>
        </w:rPr>
        <w:t>re</w:t>
      </w:r>
      <w:r w:rsidRPr="00E93619">
        <w:rPr>
          <w:rFonts w:ascii="Arial" w:hAnsi="Arial"/>
          <w:sz w:val="22"/>
          <w:szCs w:val="22"/>
        </w:rPr>
        <w:t xml:space="preserve">submission considered by the PBAC in </w:t>
      </w:r>
      <w:r w:rsidR="00E93619" w:rsidRPr="00E93619">
        <w:rPr>
          <w:rFonts w:ascii="Arial" w:hAnsi="Arial"/>
          <w:sz w:val="22"/>
          <w:szCs w:val="22"/>
        </w:rPr>
        <w:t>July 2015</w:t>
      </w:r>
      <w:r w:rsidR="00FF2801" w:rsidRPr="00E93619">
        <w:rPr>
          <w:rFonts w:ascii="Arial" w:hAnsi="Arial"/>
          <w:sz w:val="22"/>
          <w:szCs w:val="22"/>
        </w:rPr>
        <w:t xml:space="preserve"> nominated </w:t>
      </w:r>
      <w:r w:rsidR="00E93619" w:rsidRPr="00E93619">
        <w:rPr>
          <w:rFonts w:ascii="Arial" w:hAnsi="Arial"/>
          <w:sz w:val="22"/>
          <w:szCs w:val="22"/>
        </w:rPr>
        <w:t>infliximab as comparator.</w:t>
      </w:r>
      <w:r w:rsidR="005860E8">
        <w:rPr>
          <w:rFonts w:ascii="Arial" w:hAnsi="Arial"/>
          <w:sz w:val="22"/>
          <w:szCs w:val="22"/>
        </w:rPr>
        <w:t xml:space="preserve"> This was accepted by the PBAC.</w:t>
      </w:r>
    </w:p>
    <w:p w:rsidR="00E93619" w:rsidRPr="005860E8" w:rsidRDefault="00E93619" w:rsidP="00E93619">
      <w:pPr>
        <w:jc w:val="both"/>
        <w:rPr>
          <w:rFonts w:ascii="Arial" w:hAnsi="Arial"/>
          <w:sz w:val="22"/>
          <w:szCs w:val="22"/>
        </w:rPr>
      </w:pPr>
    </w:p>
    <w:p w:rsidR="00173284" w:rsidRDefault="00173284">
      <w:pPr>
        <w:rPr>
          <w:rFonts w:ascii="Arial" w:hAnsi="Arial"/>
          <w:sz w:val="22"/>
          <w:szCs w:val="22"/>
        </w:rPr>
      </w:pPr>
      <w:r>
        <w:rPr>
          <w:rFonts w:ascii="Arial" w:hAnsi="Arial"/>
          <w:sz w:val="22"/>
          <w:szCs w:val="22"/>
        </w:rPr>
        <w:br w:type="page"/>
      </w:r>
    </w:p>
    <w:p w:rsidR="000B558D" w:rsidRPr="00882085" w:rsidRDefault="008D7A41" w:rsidP="005672DD">
      <w:pPr>
        <w:pStyle w:val="PBACheading1"/>
      </w:pPr>
      <w:r>
        <w:lastRenderedPageBreak/>
        <w:t>C</w:t>
      </w:r>
      <w:r w:rsidR="00D84934">
        <w:t>onsideration of the evidence</w:t>
      </w:r>
    </w:p>
    <w:p w:rsidR="00AA77FE" w:rsidRPr="005860E8" w:rsidRDefault="00AA77FE" w:rsidP="00AA77FE">
      <w:pPr>
        <w:jc w:val="both"/>
        <w:rPr>
          <w:rFonts w:ascii="Arial" w:hAnsi="Arial"/>
          <w:sz w:val="22"/>
          <w:szCs w:val="22"/>
          <w:highlight w:val="yellow"/>
        </w:rPr>
      </w:pPr>
    </w:p>
    <w:p w:rsidR="00AA77FE" w:rsidRPr="005672DD" w:rsidRDefault="00AA77FE" w:rsidP="005672DD">
      <w:pPr>
        <w:pStyle w:val="Heading2"/>
      </w:pPr>
      <w:r w:rsidRPr="005672DD">
        <w:t>Sponsor hearing</w:t>
      </w:r>
    </w:p>
    <w:p w:rsidR="00AA77FE" w:rsidRPr="005860E8" w:rsidRDefault="00AA77FE" w:rsidP="00AA77FE">
      <w:pPr>
        <w:jc w:val="both"/>
        <w:rPr>
          <w:rFonts w:ascii="Arial" w:hAnsi="Arial"/>
          <w:sz w:val="22"/>
          <w:szCs w:val="22"/>
        </w:rPr>
      </w:pPr>
    </w:p>
    <w:p w:rsidR="00AA77FE" w:rsidRPr="00EC3E76" w:rsidRDefault="00AA77FE" w:rsidP="00AA77FE">
      <w:pPr>
        <w:pStyle w:val="ListParagraph"/>
        <w:numPr>
          <w:ilvl w:val="1"/>
          <w:numId w:val="25"/>
        </w:numPr>
        <w:jc w:val="both"/>
        <w:rPr>
          <w:rFonts w:ascii="Arial" w:hAnsi="Arial"/>
          <w:b/>
          <w:sz w:val="22"/>
          <w:szCs w:val="22"/>
        </w:rPr>
      </w:pPr>
      <w:r w:rsidRPr="00EC3E76">
        <w:rPr>
          <w:rFonts w:ascii="Arial" w:hAnsi="Arial" w:cs="Arial"/>
          <w:bCs/>
          <w:snapToGrid w:val="0"/>
          <w:sz w:val="22"/>
          <w:szCs w:val="22"/>
        </w:rPr>
        <w:t>There was no hearing for this item as it was a minor submission.</w:t>
      </w:r>
    </w:p>
    <w:p w:rsidR="00AA77FE" w:rsidRPr="005860E8" w:rsidRDefault="00AA77FE" w:rsidP="00AA77FE">
      <w:pPr>
        <w:jc w:val="both"/>
        <w:rPr>
          <w:rFonts w:ascii="Arial" w:hAnsi="Arial"/>
          <w:sz w:val="22"/>
          <w:szCs w:val="22"/>
        </w:rPr>
      </w:pPr>
    </w:p>
    <w:p w:rsidR="00AA77FE" w:rsidRPr="005860E8" w:rsidRDefault="00AA77FE" w:rsidP="005672DD">
      <w:pPr>
        <w:pStyle w:val="Heading2"/>
      </w:pPr>
      <w:r w:rsidRPr="005860E8">
        <w:t>Consumer comments</w:t>
      </w:r>
    </w:p>
    <w:p w:rsidR="00AA77FE" w:rsidRPr="005860E8" w:rsidRDefault="00AA77FE" w:rsidP="00AA77FE">
      <w:pPr>
        <w:jc w:val="both"/>
        <w:rPr>
          <w:rFonts w:ascii="Arial" w:hAnsi="Arial"/>
          <w:sz w:val="22"/>
          <w:szCs w:val="22"/>
        </w:rPr>
      </w:pPr>
    </w:p>
    <w:p w:rsidR="00FF0ACD" w:rsidRPr="005860E8" w:rsidRDefault="00FF0ACD" w:rsidP="00FF0ACD">
      <w:pPr>
        <w:pStyle w:val="ListParagraph"/>
        <w:numPr>
          <w:ilvl w:val="1"/>
          <w:numId w:val="25"/>
        </w:numPr>
        <w:jc w:val="both"/>
        <w:rPr>
          <w:rFonts w:ascii="Arial" w:hAnsi="Arial"/>
          <w:sz w:val="22"/>
          <w:szCs w:val="22"/>
        </w:rPr>
      </w:pPr>
      <w:r w:rsidRPr="00FF0ACD">
        <w:rPr>
          <w:rFonts w:ascii="Arial" w:hAnsi="Arial"/>
          <w:sz w:val="22"/>
          <w:szCs w:val="22"/>
        </w:rPr>
        <w:t>The PBAC noted and welcomed the input from individuals (3), health care professionals</w:t>
      </w:r>
      <w:r>
        <w:rPr>
          <w:rFonts w:ascii="Arial" w:hAnsi="Arial"/>
          <w:sz w:val="22"/>
          <w:szCs w:val="22"/>
        </w:rPr>
        <w:t xml:space="preserve"> (8) and organisations (2) via </w:t>
      </w:r>
      <w:r w:rsidRPr="00FF0ACD">
        <w:rPr>
          <w:rFonts w:ascii="Arial" w:hAnsi="Arial"/>
          <w:sz w:val="22"/>
          <w:szCs w:val="22"/>
        </w:rPr>
        <w:t>the Consumer Comment</w:t>
      </w:r>
      <w:r w:rsidR="005860E8">
        <w:rPr>
          <w:rFonts w:ascii="Arial" w:hAnsi="Arial"/>
          <w:sz w:val="22"/>
          <w:szCs w:val="22"/>
        </w:rPr>
        <w:t xml:space="preserve">s facility on the PBS website. </w:t>
      </w:r>
      <w:r w:rsidRPr="00FF0ACD">
        <w:rPr>
          <w:rFonts w:ascii="Arial" w:hAnsi="Arial"/>
          <w:sz w:val="22"/>
          <w:szCs w:val="22"/>
        </w:rPr>
        <w:t>The comments described a range</w:t>
      </w:r>
      <w:r>
        <w:rPr>
          <w:rFonts w:ascii="Arial" w:hAnsi="Arial"/>
          <w:sz w:val="22"/>
          <w:szCs w:val="22"/>
        </w:rPr>
        <w:t xml:space="preserve"> of benefits of treatment with </w:t>
      </w:r>
      <w:r w:rsidRPr="00FF0ACD">
        <w:rPr>
          <w:rFonts w:ascii="Arial" w:hAnsi="Arial"/>
          <w:sz w:val="22"/>
          <w:szCs w:val="22"/>
        </w:rPr>
        <w:t>adalimumab including the ability of patients to treat themselves at home and improvements in terms of quality of life associated with not being required to t</w:t>
      </w:r>
      <w:r>
        <w:rPr>
          <w:rFonts w:ascii="Arial" w:hAnsi="Arial"/>
          <w:sz w:val="22"/>
          <w:szCs w:val="22"/>
        </w:rPr>
        <w:t>ravel long distances (particularly in the case</w:t>
      </w:r>
      <w:r w:rsidRPr="00FF0ACD">
        <w:rPr>
          <w:rFonts w:ascii="Arial" w:hAnsi="Arial"/>
          <w:sz w:val="22"/>
          <w:szCs w:val="22"/>
        </w:rPr>
        <w:t xml:space="preserve"> of patients in remote areas) and spend time being treated at hospital.</w:t>
      </w:r>
    </w:p>
    <w:p w:rsidR="00FF0ACD" w:rsidRPr="005860E8" w:rsidRDefault="00FF0ACD" w:rsidP="00FF0ACD">
      <w:pPr>
        <w:jc w:val="both"/>
        <w:rPr>
          <w:rFonts w:ascii="Arial" w:hAnsi="Arial"/>
          <w:sz w:val="22"/>
          <w:szCs w:val="22"/>
        </w:rPr>
      </w:pPr>
    </w:p>
    <w:p w:rsidR="00235AE6" w:rsidRPr="00E43E37" w:rsidRDefault="00FF0ACD" w:rsidP="00E43E37">
      <w:pPr>
        <w:pStyle w:val="ListParagraph"/>
        <w:numPr>
          <w:ilvl w:val="1"/>
          <w:numId w:val="25"/>
        </w:numPr>
        <w:jc w:val="both"/>
        <w:rPr>
          <w:rFonts w:ascii="Arial" w:hAnsi="Arial"/>
          <w:b/>
          <w:sz w:val="22"/>
          <w:szCs w:val="22"/>
        </w:rPr>
      </w:pPr>
      <w:r w:rsidRPr="00235AE6">
        <w:rPr>
          <w:rFonts w:ascii="Arial" w:hAnsi="Arial"/>
          <w:sz w:val="22"/>
          <w:szCs w:val="22"/>
        </w:rPr>
        <w:t>The PBAC noted the correspondence received from Australian Inflammatory Bowel Disease Association, Gastroenterological Society of Australia and Crohn's and Colitis Australia clarifying the likely use of ad</w:t>
      </w:r>
      <w:r w:rsidR="005860E8" w:rsidRPr="00235AE6">
        <w:rPr>
          <w:rFonts w:ascii="Arial" w:hAnsi="Arial"/>
          <w:sz w:val="22"/>
          <w:szCs w:val="22"/>
        </w:rPr>
        <w:t xml:space="preserve">alimumab in clinical practice. </w:t>
      </w:r>
    </w:p>
    <w:p w:rsidR="00FF0ACD" w:rsidRPr="00235AE6" w:rsidRDefault="00FF0ACD" w:rsidP="00E43E37">
      <w:pPr>
        <w:pStyle w:val="ListParagraph"/>
        <w:jc w:val="both"/>
        <w:rPr>
          <w:rFonts w:ascii="Arial" w:hAnsi="Arial"/>
          <w:sz w:val="22"/>
          <w:szCs w:val="22"/>
        </w:rPr>
      </w:pPr>
    </w:p>
    <w:p w:rsidR="00D84934" w:rsidRPr="005860E8" w:rsidRDefault="00D84934" w:rsidP="005672DD">
      <w:pPr>
        <w:pStyle w:val="Heading2"/>
      </w:pPr>
      <w:r w:rsidRPr="005860E8">
        <w:t>Clinical trials</w:t>
      </w:r>
    </w:p>
    <w:p w:rsidR="00D84934" w:rsidRPr="00F9629A" w:rsidRDefault="00D84934" w:rsidP="00F9629A">
      <w:pPr>
        <w:jc w:val="both"/>
        <w:rPr>
          <w:rFonts w:ascii="Arial" w:hAnsi="Arial"/>
          <w:sz w:val="22"/>
          <w:szCs w:val="22"/>
        </w:rPr>
      </w:pPr>
    </w:p>
    <w:p w:rsidR="0076420C" w:rsidRDefault="00E93619" w:rsidP="00D84934">
      <w:pPr>
        <w:pStyle w:val="ListParagraph"/>
        <w:numPr>
          <w:ilvl w:val="1"/>
          <w:numId w:val="25"/>
        </w:numPr>
        <w:jc w:val="both"/>
        <w:rPr>
          <w:rFonts w:ascii="Arial" w:hAnsi="Arial"/>
          <w:sz w:val="22"/>
          <w:szCs w:val="22"/>
        </w:rPr>
      </w:pPr>
      <w:r>
        <w:rPr>
          <w:rFonts w:ascii="Arial" w:hAnsi="Arial"/>
          <w:sz w:val="22"/>
          <w:szCs w:val="22"/>
        </w:rPr>
        <w:t xml:space="preserve">As a minor </w:t>
      </w:r>
      <w:r w:rsidR="004F0914">
        <w:rPr>
          <w:rFonts w:ascii="Arial" w:hAnsi="Arial"/>
          <w:sz w:val="22"/>
          <w:szCs w:val="22"/>
        </w:rPr>
        <w:t>re</w:t>
      </w:r>
      <w:r>
        <w:rPr>
          <w:rFonts w:ascii="Arial" w:hAnsi="Arial"/>
          <w:sz w:val="22"/>
          <w:szCs w:val="22"/>
        </w:rPr>
        <w:t xml:space="preserve">submission, no </w:t>
      </w:r>
      <w:r w:rsidR="0076420C">
        <w:rPr>
          <w:rFonts w:ascii="Arial" w:hAnsi="Arial"/>
          <w:sz w:val="22"/>
          <w:szCs w:val="22"/>
        </w:rPr>
        <w:t xml:space="preserve">new clinical trials </w:t>
      </w:r>
      <w:r w:rsidR="00FF2801">
        <w:rPr>
          <w:rFonts w:ascii="Arial" w:hAnsi="Arial"/>
          <w:sz w:val="22"/>
          <w:szCs w:val="22"/>
        </w:rPr>
        <w:t>were</w:t>
      </w:r>
      <w:r>
        <w:rPr>
          <w:rFonts w:ascii="Arial" w:hAnsi="Arial"/>
          <w:sz w:val="22"/>
          <w:szCs w:val="22"/>
        </w:rPr>
        <w:t xml:space="preserve"> presented</w:t>
      </w:r>
      <w:r w:rsidR="0076420C">
        <w:rPr>
          <w:rFonts w:ascii="Arial" w:hAnsi="Arial"/>
          <w:sz w:val="22"/>
          <w:szCs w:val="22"/>
        </w:rPr>
        <w:t>.</w:t>
      </w:r>
    </w:p>
    <w:p w:rsidR="00D84934" w:rsidRPr="005860E8" w:rsidRDefault="00D84934" w:rsidP="00E93619">
      <w:pPr>
        <w:jc w:val="both"/>
        <w:rPr>
          <w:rFonts w:ascii="Arial" w:hAnsi="Arial"/>
          <w:sz w:val="22"/>
          <w:szCs w:val="22"/>
        </w:rPr>
      </w:pPr>
    </w:p>
    <w:p w:rsidR="005A3173" w:rsidRPr="005860E8" w:rsidRDefault="005A3173" w:rsidP="005672DD">
      <w:pPr>
        <w:pStyle w:val="Heading2"/>
      </w:pPr>
      <w:r w:rsidRPr="005860E8">
        <w:t>Clinical claim</w:t>
      </w:r>
    </w:p>
    <w:p w:rsidR="005A3173" w:rsidRPr="00882085" w:rsidRDefault="005A3173" w:rsidP="00882085">
      <w:pPr>
        <w:ind w:left="720" w:hanging="720"/>
        <w:jc w:val="both"/>
        <w:rPr>
          <w:rFonts w:ascii="Arial" w:hAnsi="Arial"/>
          <w:sz w:val="22"/>
          <w:szCs w:val="22"/>
        </w:rPr>
      </w:pPr>
    </w:p>
    <w:p w:rsidR="00EC0C9D" w:rsidRDefault="00EC0C9D" w:rsidP="001B47DE">
      <w:pPr>
        <w:pStyle w:val="ListParagraph"/>
        <w:numPr>
          <w:ilvl w:val="1"/>
          <w:numId w:val="25"/>
        </w:numPr>
        <w:jc w:val="both"/>
        <w:rPr>
          <w:rFonts w:ascii="Arial" w:hAnsi="Arial"/>
          <w:sz w:val="22"/>
          <w:szCs w:val="22"/>
        </w:rPr>
      </w:pPr>
      <w:r w:rsidRPr="00EC0C9D">
        <w:rPr>
          <w:rFonts w:ascii="Arial" w:hAnsi="Arial"/>
          <w:sz w:val="22"/>
          <w:szCs w:val="22"/>
        </w:rPr>
        <w:t>T</w:t>
      </w:r>
      <w:r w:rsidR="00DF1A38">
        <w:rPr>
          <w:rFonts w:ascii="Arial" w:hAnsi="Arial"/>
          <w:sz w:val="22"/>
          <w:szCs w:val="22"/>
        </w:rPr>
        <w:t>he minor re</w:t>
      </w:r>
      <w:r>
        <w:rPr>
          <w:rFonts w:ascii="Arial" w:hAnsi="Arial"/>
          <w:sz w:val="22"/>
          <w:szCs w:val="22"/>
        </w:rPr>
        <w:t>submission maintained</w:t>
      </w:r>
      <w:r w:rsidR="00DF1A38">
        <w:rPr>
          <w:rFonts w:ascii="Arial" w:hAnsi="Arial"/>
          <w:sz w:val="22"/>
          <w:szCs w:val="22"/>
        </w:rPr>
        <w:t xml:space="preserve"> that adalimumab wa</w:t>
      </w:r>
      <w:r w:rsidRPr="00EC0C9D">
        <w:rPr>
          <w:rFonts w:ascii="Arial" w:hAnsi="Arial"/>
          <w:sz w:val="22"/>
          <w:szCs w:val="22"/>
        </w:rPr>
        <w:t xml:space="preserve">s non-inferior to infliximab and that this was supported by real world evidence presented </w:t>
      </w:r>
      <w:r w:rsidR="00D20855">
        <w:rPr>
          <w:rFonts w:ascii="Arial" w:hAnsi="Arial"/>
          <w:sz w:val="22"/>
          <w:szCs w:val="22"/>
        </w:rPr>
        <w:t xml:space="preserve">in </w:t>
      </w:r>
      <w:r w:rsidRPr="00EC0C9D">
        <w:rPr>
          <w:rFonts w:ascii="Arial" w:hAnsi="Arial"/>
          <w:sz w:val="22"/>
          <w:szCs w:val="22"/>
        </w:rPr>
        <w:t xml:space="preserve">the July 2015 </w:t>
      </w:r>
      <w:r w:rsidR="004F0914">
        <w:rPr>
          <w:rFonts w:ascii="Arial" w:hAnsi="Arial"/>
          <w:sz w:val="22"/>
          <w:szCs w:val="22"/>
        </w:rPr>
        <w:t>re</w:t>
      </w:r>
      <w:r w:rsidRPr="00EC0C9D">
        <w:rPr>
          <w:rFonts w:ascii="Arial" w:hAnsi="Arial"/>
          <w:sz w:val="22"/>
          <w:szCs w:val="22"/>
        </w:rPr>
        <w:t>submission</w:t>
      </w:r>
      <w:r w:rsidR="004D1718">
        <w:rPr>
          <w:rFonts w:ascii="Arial" w:hAnsi="Arial"/>
          <w:sz w:val="22"/>
          <w:szCs w:val="22"/>
        </w:rPr>
        <w:t>.</w:t>
      </w:r>
      <w:r w:rsidRPr="00EC0C9D">
        <w:rPr>
          <w:rFonts w:ascii="Arial" w:hAnsi="Arial"/>
          <w:sz w:val="22"/>
          <w:szCs w:val="22"/>
        </w:rPr>
        <w:t xml:space="preserve"> </w:t>
      </w:r>
      <w:r w:rsidR="004D1718">
        <w:rPr>
          <w:rFonts w:ascii="Arial" w:hAnsi="Arial"/>
          <w:sz w:val="22"/>
          <w:szCs w:val="22"/>
        </w:rPr>
        <w:t>H</w:t>
      </w:r>
      <w:r w:rsidRPr="00EC0C9D">
        <w:rPr>
          <w:rFonts w:ascii="Arial" w:hAnsi="Arial"/>
          <w:sz w:val="22"/>
          <w:szCs w:val="22"/>
        </w:rPr>
        <w:t>owever, the</w:t>
      </w:r>
      <w:r w:rsidR="00FF2801" w:rsidRPr="00EC0C9D">
        <w:rPr>
          <w:rFonts w:ascii="Arial" w:hAnsi="Arial"/>
          <w:sz w:val="22"/>
          <w:szCs w:val="22"/>
        </w:rPr>
        <w:t xml:space="preserve"> </w:t>
      </w:r>
      <w:r w:rsidRPr="00EC0C9D">
        <w:rPr>
          <w:rFonts w:ascii="Arial" w:hAnsi="Arial"/>
          <w:sz w:val="22"/>
          <w:szCs w:val="22"/>
        </w:rPr>
        <w:t>re</w:t>
      </w:r>
      <w:r w:rsidR="00FF2801" w:rsidRPr="00EC0C9D">
        <w:rPr>
          <w:rFonts w:ascii="Arial" w:hAnsi="Arial"/>
          <w:sz w:val="22"/>
          <w:szCs w:val="22"/>
        </w:rPr>
        <w:t xml:space="preserve">submission </w:t>
      </w:r>
      <w:r w:rsidRPr="00EC0C9D">
        <w:rPr>
          <w:rFonts w:ascii="Arial" w:hAnsi="Arial"/>
          <w:sz w:val="22"/>
          <w:szCs w:val="22"/>
        </w:rPr>
        <w:t>acknowledged</w:t>
      </w:r>
      <w:r>
        <w:rPr>
          <w:rFonts w:ascii="Arial" w:hAnsi="Arial"/>
          <w:sz w:val="22"/>
          <w:szCs w:val="22"/>
        </w:rPr>
        <w:t xml:space="preserve"> </w:t>
      </w:r>
      <w:r w:rsidR="004D1718">
        <w:rPr>
          <w:rFonts w:ascii="Arial" w:hAnsi="Arial"/>
          <w:sz w:val="22"/>
          <w:szCs w:val="22"/>
        </w:rPr>
        <w:t>the PBAC’s conclusion in th</w:t>
      </w:r>
      <w:r w:rsidR="00AC646A">
        <w:rPr>
          <w:rFonts w:ascii="Arial" w:hAnsi="Arial"/>
          <w:sz w:val="22"/>
          <w:szCs w:val="22"/>
        </w:rPr>
        <w:t>e July 2015 consideration where</w:t>
      </w:r>
      <w:r w:rsidRPr="00EC0C9D">
        <w:rPr>
          <w:rFonts w:ascii="Arial" w:hAnsi="Arial"/>
          <w:sz w:val="22"/>
          <w:szCs w:val="22"/>
        </w:rPr>
        <w:t xml:space="preserve"> adalimumab</w:t>
      </w:r>
      <w:r w:rsidR="004D1718">
        <w:rPr>
          <w:rFonts w:ascii="Arial" w:hAnsi="Arial"/>
          <w:sz w:val="22"/>
          <w:szCs w:val="22"/>
        </w:rPr>
        <w:t xml:space="preserve"> was</w:t>
      </w:r>
      <w:r>
        <w:rPr>
          <w:rFonts w:ascii="Arial" w:hAnsi="Arial"/>
          <w:sz w:val="22"/>
          <w:szCs w:val="22"/>
        </w:rPr>
        <w:t xml:space="preserve"> </w:t>
      </w:r>
      <w:r w:rsidR="004D1718" w:rsidRPr="00EC0C9D">
        <w:rPr>
          <w:rFonts w:ascii="Arial" w:hAnsi="Arial"/>
          <w:sz w:val="22"/>
          <w:szCs w:val="22"/>
        </w:rPr>
        <w:t>infer</w:t>
      </w:r>
      <w:r w:rsidR="004D1718">
        <w:rPr>
          <w:rFonts w:ascii="Arial" w:hAnsi="Arial"/>
          <w:sz w:val="22"/>
          <w:szCs w:val="22"/>
        </w:rPr>
        <w:t>ior</w:t>
      </w:r>
      <w:r w:rsidR="004D1718" w:rsidRPr="00EC0C9D">
        <w:rPr>
          <w:rFonts w:ascii="Arial" w:hAnsi="Arial"/>
          <w:sz w:val="22"/>
          <w:szCs w:val="22"/>
        </w:rPr>
        <w:t xml:space="preserve"> </w:t>
      </w:r>
      <w:r w:rsidR="004D1718">
        <w:rPr>
          <w:rFonts w:ascii="Arial" w:hAnsi="Arial"/>
          <w:sz w:val="22"/>
          <w:szCs w:val="22"/>
        </w:rPr>
        <w:t>to</w:t>
      </w:r>
      <w:r>
        <w:rPr>
          <w:rFonts w:ascii="Arial" w:hAnsi="Arial"/>
          <w:sz w:val="22"/>
          <w:szCs w:val="22"/>
        </w:rPr>
        <w:t xml:space="preserve"> infliximab</w:t>
      </w:r>
      <w:r w:rsidR="004D1718">
        <w:rPr>
          <w:rFonts w:ascii="Arial" w:hAnsi="Arial"/>
          <w:sz w:val="22"/>
          <w:szCs w:val="22"/>
        </w:rPr>
        <w:t xml:space="preserve"> in the induction phase.</w:t>
      </w:r>
    </w:p>
    <w:p w:rsidR="00D924C7" w:rsidRPr="005860E8" w:rsidRDefault="00D924C7" w:rsidP="00E9790C">
      <w:pPr>
        <w:jc w:val="both"/>
        <w:rPr>
          <w:rFonts w:ascii="Arial" w:hAnsi="Arial"/>
          <w:sz w:val="22"/>
          <w:szCs w:val="22"/>
        </w:rPr>
      </w:pPr>
    </w:p>
    <w:p w:rsidR="00D924C7" w:rsidRDefault="00D924C7" w:rsidP="001B47DE">
      <w:pPr>
        <w:pStyle w:val="ListParagraph"/>
        <w:numPr>
          <w:ilvl w:val="1"/>
          <w:numId w:val="25"/>
        </w:numPr>
        <w:jc w:val="both"/>
        <w:rPr>
          <w:rFonts w:ascii="Arial" w:hAnsi="Arial"/>
          <w:sz w:val="22"/>
          <w:szCs w:val="22"/>
        </w:rPr>
      </w:pPr>
      <w:r>
        <w:rPr>
          <w:rFonts w:ascii="Arial" w:hAnsi="Arial"/>
          <w:sz w:val="22"/>
          <w:szCs w:val="22"/>
        </w:rPr>
        <w:t xml:space="preserve">The PBAC did not accept the </w:t>
      </w:r>
      <w:r w:rsidR="004F0914">
        <w:rPr>
          <w:rFonts w:ascii="Arial" w:hAnsi="Arial"/>
          <w:sz w:val="22"/>
          <w:szCs w:val="22"/>
        </w:rPr>
        <w:t>re</w:t>
      </w:r>
      <w:r w:rsidR="00E9790C">
        <w:rPr>
          <w:rFonts w:ascii="Arial" w:hAnsi="Arial"/>
          <w:sz w:val="22"/>
          <w:szCs w:val="22"/>
        </w:rPr>
        <w:t xml:space="preserve">submission’s </w:t>
      </w:r>
      <w:r>
        <w:rPr>
          <w:rFonts w:ascii="Arial" w:hAnsi="Arial"/>
          <w:sz w:val="22"/>
          <w:szCs w:val="22"/>
        </w:rPr>
        <w:t xml:space="preserve">claim of non-inferiority </w:t>
      </w:r>
      <w:r w:rsidR="00E9790C">
        <w:rPr>
          <w:rFonts w:ascii="Arial" w:hAnsi="Arial"/>
          <w:sz w:val="22"/>
          <w:szCs w:val="22"/>
        </w:rPr>
        <w:t>against infliximab.</w:t>
      </w:r>
    </w:p>
    <w:p w:rsidR="00E9790C" w:rsidRPr="00E9790C" w:rsidRDefault="00E9790C" w:rsidP="00E9790C">
      <w:pPr>
        <w:jc w:val="both"/>
        <w:rPr>
          <w:rFonts w:ascii="Arial" w:hAnsi="Arial"/>
          <w:sz w:val="22"/>
          <w:szCs w:val="22"/>
        </w:rPr>
      </w:pPr>
    </w:p>
    <w:p w:rsidR="005A3173" w:rsidRPr="005860E8" w:rsidRDefault="005A3173" w:rsidP="005672DD">
      <w:pPr>
        <w:pStyle w:val="Heading2"/>
      </w:pPr>
      <w:r w:rsidRPr="005860E8">
        <w:t>Economic analysis</w:t>
      </w:r>
    </w:p>
    <w:p w:rsidR="005A3173" w:rsidRPr="00AA77FE" w:rsidRDefault="005A3173" w:rsidP="00D84934">
      <w:pPr>
        <w:pStyle w:val="NoSpacing"/>
      </w:pPr>
    </w:p>
    <w:p w:rsidR="009B0F67" w:rsidRPr="00AA77FE" w:rsidRDefault="00FF2801" w:rsidP="00A74361">
      <w:pPr>
        <w:pStyle w:val="ListParagraph"/>
        <w:numPr>
          <w:ilvl w:val="1"/>
          <w:numId w:val="25"/>
        </w:numPr>
        <w:jc w:val="both"/>
        <w:rPr>
          <w:rFonts w:ascii="Arial" w:hAnsi="Arial"/>
          <w:sz w:val="22"/>
          <w:szCs w:val="22"/>
        </w:rPr>
      </w:pPr>
      <w:r w:rsidRPr="00AA77FE">
        <w:rPr>
          <w:rFonts w:ascii="Arial" w:hAnsi="Arial"/>
          <w:sz w:val="22"/>
          <w:szCs w:val="22"/>
        </w:rPr>
        <w:t xml:space="preserve">As a minor </w:t>
      </w:r>
      <w:r w:rsidR="004F0914">
        <w:rPr>
          <w:rFonts w:ascii="Arial" w:hAnsi="Arial"/>
          <w:sz w:val="22"/>
          <w:szCs w:val="22"/>
        </w:rPr>
        <w:t>re</w:t>
      </w:r>
      <w:r w:rsidRPr="00AA77FE">
        <w:rPr>
          <w:rFonts w:ascii="Arial" w:hAnsi="Arial"/>
          <w:sz w:val="22"/>
          <w:szCs w:val="22"/>
        </w:rPr>
        <w:t>submission, there wa</w:t>
      </w:r>
      <w:r w:rsidR="009B0F67" w:rsidRPr="00AA77FE">
        <w:rPr>
          <w:rFonts w:ascii="Arial" w:hAnsi="Arial"/>
          <w:sz w:val="22"/>
          <w:szCs w:val="22"/>
        </w:rPr>
        <w:t xml:space="preserve">s </w:t>
      </w:r>
      <w:r w:rsidR="00A63A87" w:rsidRPr="00AA77FE">
        <w:rPr>
          <w:rFonts w:ascii="Arial" w:hAnsi="Arial"/>
          <w:sz w:val="22"/>
          <w:szCs w:val="22"/>
        </w:rPr>
        <w:t>no</w:t>
      </w:r>
      <w:r w:rsidR="005860E8">
        <w:rPr>
          <w:rFonts w:ascii="Arial" w:hAnsi="Arial"/>
          <w:sz w:val="22"/>
          <w:szCs w:val="22"/>
        </w:rPr>
        <w:t xml:space="preserve"> economic comparison presented.</w:t>
      </w:r>
    </w:p>
    <w:p w:rsidR="005963BB" w:rsidRPr="00AA77FE" w:rsidRDefault="005963BB" w:rsidP="00C00DA7">
      <w:pPr>
        <w:jc w:val="both"/>
        <w:rPr>
          <w:rFonts w:ascii="Arial" w:hAnsi="Arial"/>
          <w:sz w:val="22"/>
          <w:szCs w:val="22"/>
        </w:rPr>
      </w:pPr>
    </w:p>
    <w:p w:rsidR="005A3173" w:rsidRPr="005860E8" w:rsidRDefault="005A3173" w:rsidP="005672DD">
      <w:pPr>
        <w:pStyle w:val="Heading2"/>
      </w:pPr>
      <w:r w:rsidRPr="005860E8">
        <w:t>Estimated PBS usage &amp; financial implications</w:t>
      </w:r>
    </w:p>
    <w:p w:rsidR="005A3173" w:rsidRPr="005860E8" w:rsidRDefault="005A3173" w:rsidP="00882085">
      <w:pPr>
        <w:ind w:left="720" w:hanging="720"/>
        <w:jc w:val="both"/>
        <w:rPr>
          <w:rFonts w:ascii="Arial" w:hAnsi="Arial"/>
          <w:sz w:val="22"/>
          <w:szCs w:val="22"/>
        </w:rPr>
      </w:pPr>
    </w:p>
    <w:p w:rsidR="00D66BFF" w:rsidRPr="005860E8" w:rsidRDefault="00AB3396" w:rsidP="00D66BFF">
      <w:pPr>
        <w:pStyle w:val="ListParagraph"/>
        <w:numPr>
          <w:ilvl w:val="1"/>
          <w:numId w:val="25"/>
        </w:numPr>
        <w:jc w:val="both"/>
        <w:rPr>
          <w:rFonts w:ascii="Arial" w:hAnsi="Arial"/>
          <w:sz w:val="22"/>
          <w:szCs w:val="22"/>
        </w:rPr>
      </w:pPr>
      <w:r w:rsidRPr="006066C0">
        <w:rPr>
          <w:rFonts w:ascii="Arial" w:hAnsi="Arial"/>
          <w:sz w:val="22"/>
          <w:szCs w:val="22"/>
        </w:rPr>
        <w:t>The minor resubmission updated</w:t>
      </w:r>
      <w:r w:rsidR="00D66BFF" w:rsidRPr="006066C0">
        <w:rPr>
          <w:rFonts w:ascii="Arial" w:hAnsi="Arial"/>
          <w:sz w:val="22"/>
          <w:szCs w:val="22"/>
        </w:rPr>
        <w:t xml:space="preserve"> the financial estimates </w:t>
      </w:r>
      <w:r w:rsidR="000B1B9D">
        <w:rPr>
          <w:rFonts w:ascii="Arial" w:hAnsi="Arial"/>
          <w:noProof/>
          <w:color w:val="000000"/>
          <w:sz w:val="22"/>
          <w:szCs w:val="22"/>
          <w:highlight w:val="black"/>
        </w:rPr>
        <w:t>'''' '''''''''''''''' ''''''' '''''''''''''''''''''''' '''''''''''' '''''''''''' '''' '''''''' '''''''''''''''''''''' ''''''''''''</w:t>
      </w:r>
      <w:r w:rsidR="00C503E4" w:rsidRPr="006066C0">
        <w:rPr>
          <w:rFonts w:ascii="Arial" w:hAnsi="Arial"/>
          <w:sz w:val="22"/>
          <w:szCs w:val="22"/>
        </w:rPr>
        <w:t>.</w:t>
      </w:r>
      <w:r w:rsidR="005860E8">
        <w:rPr>
          <w:rFonts w:ascii="Arial" w:hAnsi="Arial"/>
          <w:sz w:val="22"/>
          <w:szCs w:val="22"/>
        </w:rPr>
        <w:t xml:space="preserve"> </w:t>
      </w:r>
      <w:r w:rsidR="00B44542" w:rsidRPr="006066C0">
        <w:rPr>
          <w:rFonts w:ascii="Arial" w:hAnsi="Arial"/>
          <w:sz w:val="22"/>
          <w:szCs w:val="22"/>
        </w:rPr>
        <w:t xml:space="preserve">The </w:t>
      </w:r>
      <w:r w:rsidR="006066C0" w:rsidRPr="006066C0">
        <w:rPr>
          <w:rFonts w:ascii="Arial" w:hAnsi="Arial"/>
          <w:sz w:val="22"/>
          <w:szCs w:val="22"/>
        </w:rPr>
        <w:t xml:space="preserve">resubmission used the </w:t>
      </w:r>
      <w:r w:rsidR="00B44542" w:rsidRPr="006066C0">
        <w:rPr>
          <w:rFonts w:ascii="Arial" w:hAnsi="Arial"/>
          <w:sz w:val="22"/>
          <w:szCs w:val="22"/>
        </w:rPr>
        <w:t>number of</w:t>
      </w:r>
      <w:r w:rsidR="006066C0" w:rsidRPr="006066C0">
        <w:rPr>
          <w:rFonts w:ascii="Arial" w:hAnsi="Arial"/>
          <w:sz w:val="22"/>
          <w:szCs w:val="22"/>
        </w:rPr>
        <w:t xml:space="preserve"> </w:t>
      </w:r>
      <w:r w:rsidR="006066C0">
        <w:rPr>
          <w:rFonts w:ascii="Arial" w:hAnsi="Arial"/>
          <w:sz w:val="22"/>
          <w:szCs w:val="22"/>
        </w:rPr>
        <w:t>patients and number of induction packs from the July 2015 major resubmission.</w:t>
      </w:r>
    </w:p>
    <w:p w:rsidR="00EA7861" w:rsidRPr="005860E8" w:rsidRDefault="00EA7861" w:rsidP="00C503E4">
      <w:pPr>
        <w:jc w:val="both"/>
        <w:rPr>
          <w:rFonts w:ascii="Arial Narrow" w:hAnsi="Arial Narrow"/>
          <w:color w:val="000000" w:themeColor="text1"/>
          <w:sz w:val="22"/>
          <w:szCs w:val="22"/>
        </w:rPr>
      </w:pPr>
    </w:p>
    <w:p w:rsidR="006035F6" w:rsidRDefault="006035F6">
      <w:pPr>
        <w:rPr>
          <w:rFonts w:ascii="Arial Narrow" w:hAnsi="Arial Narrow"/>
          <w:b/>
          <w:color w:val="000000" w:themeColor="text1"/>
          <w:sz w:val="22"/>
          <w:szCs w:val="22"/>
        </w:rPr>
      </w:pPr>
      <w:r>
        <w:rPr>
          <w:rFonts w:ascii="Arial Narrow" w:hAnsi="Arial Narrow"/>
          <w:b/>
          <w:color w:val="000000" w:themeColor="text1"/>
          <w:sz w:val="22"/>
          <w:szCs w:val="22"/>
        </w:rPr>
        <w:br w:type="page"/>
      </w:r>
    </w:p>
    <w:p w:rsidR="001B47DE" w:rsidRPr="00747DC5" w:rsidRDefault="005860E8" w:rsidP="00747DC5">
      <w:pPr>
        <w:ind w:firstLine="720"/>
        <w:rPr>
          <w:rFonts w:ascii="Arial Narrow" w:hAnsi="Arial Narrow"/>
          <w:b/>
          <w:color w:val="000000" w:themeColor="text1"/>
          <w:sz w:val="22"/>
          <w:szCs w:val="22"/>
        </w:rPr>
      </w:pPr>
      <w:r>
        <w:rPr>
          <w:rFonts w:ascii="Arial Narrow" w:hAnsi="Arial Narrow"/>
          <w:b/>
          <w:color w:val="000000" w:themeColor="text1"/>
          <w:sz w:val="22"/>
          <w:szCs w:val="22"/>
        </w:rPr>
        <w:lastRenderedPageBreak/>
        <w:t xml:space="preserve">Table 2: </w:t>
      </w:r>
      <w:r w:rsidR="00EA7861" w:rsidRPr="00747DC5">
        <w:rPr>
          <w:rFonts w:ascii="Arial Narrow" w:hAnsi="Arial Narrow"/>
          <w:b/>
          <w:color w:val="000000" w:themeColor="text1"/>
          <w:sz w:val="22"/>
          <w:szCs w:val="22"/>
        </w:rPr>
        <w:t>Estimated use and financial implications</w:t>
      </w:r>
    </w:p>
    <w:tbl>
      <w:tblPr>
        <w:tblW w:w="456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95"/>
        <w:gridCol w:w="1063"/>
        <w:gridCol w:w="1121"/>
        <w:gridCol w:w="1261"/>
        <w:gridCol w:w="1291"/>
        <w:gridCol w:w="1157"/>
      </w:tblGrid>
      <w:tr w:rsidR="00EA7861" w:rsidRPr="00146801" w:rsidTr="00EA7861">
        <w:trPr>
          <w:tblHeader/>
        </w:trPr>
        <w:tc>
          <w:tcPr>
            <w:tcW w:w="1445" w:type="pct"/>
            <w:shd w:val="clear" w:color="auto" w:fill="auto"/>
            <w:vAlign w:val="center"/>
          </w:tcPr>
          <w:p w:rsidR="00EA7861" w:rsidRPr="00146801" w:rsidRDefault="00EA7861" w:rsidP="00747DC5">
            <w:pPr>
              <w:keepNext/>
              <w:tabs>
                <w:tab w:val="left" w:pos="142"/>
              </w:tabs>
              <w:ind w:right="93"/>
              <w:jc w:val="center"/>
              <w:rPr>
                <w:rFonts w:ascii="Arial Narrow" w:hAnsi="Arial Narrow"/>
                <w:b/>
                <w:sz w:val="20"/>
                <w:szCs w:val="20"/>
              </w:rPr>
            </w:pPr>
          </w:p>
        </w:tc>
        <w:tc>
          <w:tcPr>
            <w:tcW w:w="641" w:type="pct"/>
            <w:shd w:val="clear" w:color="auto" w:fill="auto"/>
            <w:vAlign w:val="center"/>
          </w:tcPr>
          <w:p w:rsidR="00EA7861" w:rsidRPr="00146801" w:rsidRDefault="00EA7861" w:rsidP="00747DC5">
            <w:pPr>
              <w:keepNext/>
              <w:ind w:right="93"/>
              <w:jc w:val="center"/>
              <w:rPr>
                <w:rFonts w:ascii="Arial Narrow" w:hAnsi="Arial Narrow"/>
                <w:b/>
                <w:sz w:val="20"/>
                <w:szCs w:val="20"/>
              </w:rPr>
            </w:pPr>
            <w:r w:rsidRPr="00146801">
              <w:rPr>
                <w:rFonts w:ascii="Arial Narrow" w:hAnsi="Arial Narrow"/>
                <w:b/>
                <w:sz w:val="20"/>
                <w:szCs w:val="20"/>
              </w:rPr>
              <w:t>Year 1</w:t>
            </w:r>
          </w:p>
        </w:tc>
        <w:tc>
          <w:tcPr>
            <w:tcW w:w="676" w:type="pct"/>
            <w:shd w:val="clear" w:color="auto" w:fill="auto"/>
            <w:vAlign w:val="center"/>
          </w:tcPr>
          <w:p w:rsidR="00EA7861" w:rsidRPr="00146801" w:rsidRDefault="00EA7861" w:rsidP="00747DC5">
            <w:pPr>
              <w:keepNext/>
              <w:ind w:right="93"/>
              <w:jc w:val="center"/>
              <w:rPr>
                <w:rFonts w:ascii="Arial Narrow" w:hAnsi="Arial Narrow"/>
                <w:b/>
                <w:sz w:val="20"/>
                <w:szCs w:val="20"/>
              </w:rPr>
            </w:pPr>
            <w:r w:rsidRPr="00146801">
              <w:rPr>
                <w:rFonts w:ascii="Arial Narrow" w:hAnsi="Arial Narrow"/>
                <w:b/>
                <w:sz w:val="20"/>
                <w:szCs w:val="20"/>
              </w:rPr>
              <w:t>Year 2</w:t>
            </w:r>
          </w:p>
        </w:tc>
        <w:tc>
          <w:tcPr>
            <w:tcW w:w="761" w:type="pct"/>
            <w:shd w:val="clear" w:color="auto" w:fill="auto"/>
            <w:vAlign w:val="center"/>
          </w:tcPr>
          <w:p w:rsidR="00EA7861" w:rsidRPr="00146801" w:rsidRDefault="00EA7861" w:rsidP="00747DC5">
            <w:pPr>
              <w:keepNext/>
              <w:ind w:right="93"/>
              <w:jc w:val="center"/>
              <w:rPr>
                <w:rFonts w:ascii="Arial Narrow" w:hAnsi="Arial Narrow"/>
                <w:b/>
                <w:sz w:val="20"/>
                <w:szCs w:val="20"/>
              </w:rPr>
            </w:pPr>
            <w:r w:rsidRPr="00146801">
              <w:rPr>
                <w:rFonts w:ascii="Arial Narrow" w:hAnsi="Arial Narrow"/>
                <w:b/>
                <w:sz w:val="20"/>
                <w:szCs w:val="20"/>
              </w:rPr>
              <w:t>Year 3</w:t>
            </w:r>
          </w:p>
        </w:tc>
        <w:tc>
          <w:tcPr>
            <w:tcW w:w="779" w:type="pct"/>
            <w:shd w:val="clear" w:color="auto" w:fill="auto"/>
            <w:vAlign w:val="center"/>
          </w:tcPr>
          <w:p w:rsidR="00EA7861" w:rsidRPr="00146801" w:rsidRDefault="00EA7861" w:rsidP="00747DC5">
            <w:pPr>
              <w:keepNext/>
              <w:ind w:right="93"/>
              <w:jc w:val="center"/>
              <w:rPr>
                <w:rFonts w:ascii="Arial Narrow" w:hAnsi="Arial Narrow"/>
                <w:b/>
                <w:sz w:val="20"/>
                <w:szCs w:val="20"/>
              </w:rPr>
            </w:pPr>
            <w:r w:rsidRPr="00146801">
              <w:rPr>
                <w:rFonts w:ascii="Arial Narrow" w:hAnsi="Arial Narrow"/>
                <w:b/>
                <w:sz w:val="20"/>
                <w:szCs w:val="20"/>
              </w:rPr>
              <w:t>Year 4</w:t>
            </w:r>
          </w:p>
        </w:tc>
        <w:tc>
          <w:tcPr>
            <w:tcW w:w="697" w:type="pct"/>
            <w:shd w:val="clear" w:color="auto" w:fill="auto"/>
            <w:vAlign w:val="center"/>
          </w:tcPr>
          <w:p w:rsidR="00EA7861" w:rsidRPr="00146801" w:rsidRDefault="00EA7861" w:rsidP="00747DC5">
            <w:pPr>
              <w:keepNext/>
              <w:ind w:right="93"/>
              <w:jc w:val="center"/>
              <w:rPr>
                <w:rFonts w:ascii="Arial Narrow" w:hAnsi="Arial Narrow"/>
                <w:b/>
                <w:sz w:val="20"/>
                <w:szCs w:val="20"/>
              </w:rPr>
            </w:pPr>
            <w:r w:rsidRPr="00146801">
              <w:rPr>
                <w:rFonts w:ascii="Arial Narrow" w:hAnsi="Arial Narrow"/>
                <w:b/>
                <w:sz w:val="20"/>
                <w:szCs w:val="20"/>
              </w:rPr>
              <w:t>Year 5</w:t>
            </w:r>
          </w:p>
        </w:tc>
      </w:tr>
      <w:tr w:rsidR="00EA7861" w:rsidRPr="00146801" w:rsidTr="00EA7861">
        <w:tc>
          <w:tcPr>
            <w:tcW w:w="5000" w:type="pct"/>
            <w:gridSpan w:val="6"/>
            <w:shd w:val="clear" w:color="auto" w:fill="auto"/>
            <w:vAlign w:val="center"/>
          </w:tcPr>
          <w:p w:rsidR="00EA7861" w:rsidRPr="00146801" w:rsidRDefault="00EA7861" w:rsidP="00335AB9">
            <w:pPr>
              <w:keepNext/>
              <w:ind w:right="93"/>
              <w:rPr>
                <w:rFonts w:ascii="Arial Narrow" w:hAnsi="Arial Narrow"/>
                <w:b/>
                <w:bCs/>
                <w:color w:val="000000"/>
                <w:sz w:val="20"/>
                <w:szCs w:val="20"/>
              </w:rPr>
            </w:pPr>
            <w:r w:rsidRPr="00AC646A">
              <w:rPr>
                <w:rFonts w:ascii="Arial Narrow" w:hAnsi="Arial Narrow"/>
                <w:b/>
                <w:bCs/>
                <w:color w:val="000000"/>
                <w:sz w:val="20"/>
                <w:szCs w:val="20"/>
              </w:rPr>
              <w:t xml:space="preserve">Major </w:t>
            </w:r>
            <w:r w:rsidR="00487722" w:rsidRPr="00AC646A">
              <w:rPr>
                <w:rFonts w:ascii="Arial Narrow" w:hAnsi="Arial Narrow"/>
                <w:b/>
                <w:bCs/>
                <w:color w:val="000000"/>
                <w:sz w:val="20"/>
                <w:szCs w:val="20"/>
              </w:rPr>
              <w:t>r</w:t>
            </w:r>
            <w:r w:rsidRPr="00AC646A">
              <w:rPr>
                <w:rFonts w:ascii="Arial Narrow" w:hAnsi="Arial Narrow"/>
                <w:b/>
                <w:bCs/>
                <w:color w:val="000000"/>
                <w:sz w:val="20"/>
                <w:szCs w:val="20"/>
              </w:rPr>
              <w:t>esubmission July 2015</w:t>
            </w:r>
            <w:r w:rsidRPr="00AC646A">
              <w:rPr>
                <w:rFonts w:ascii="Arial Narrow" w:hAnsi="Arial Narrow" w:cs="Calibri"/>
                <w:b/>
                <w:bCs/>
                <w:color w:val="000000"/>
                <w:sz w:val="20"/>
                <w:szCs w:val="20"/>
              </w:rPr>
              <w:t>  </w:t>
            </w:r>
          </w:p>
        </w:tc>
      </w:tr>
      <w:tr w:rsidR="00EA7861" w:rsidRPr="00146801" w:rsidTr="00EA7861">
        <w:tc>
          <w:tcPr>
            <w:tcW w:w="5000" w:type="pct"/>
            <w:gridSpan w:val="6"/>
            <w:shd w:val="clear" w:color="auto" w:fill="auto"/>
            <w:vAlign w:val="center"/>
          </w:tcPr>
          <w:p w:rsidR="00EA7861" w:rsidRPr="00146801" w:rsidRDefault="00EA7861" w:rsidP="00747DC5">
            <w:pPr>
              <w:keepNext/>
              <w:ind w:right="93"/>
              <w:rPr>
                <w:rFonts w:ascii="Arial Narrow" w:hAnsi="Arial Narrow"/>
                <w:b/>
                <w:bCs/>
                <w:color w:val="000000"/>
                <w:sz w:val="20"/>
                <w:szCs w:val="20"/>
              </w:rPr>
            </w:pPr>
            <w:r w:rsidRPr="00146801">
              <w:rPr>
                <w:rFonts w:ascii="Arial Narrow" w:hAnsi="Arial Narrow"/>
                <w:b/>
                <w:bCs/>
                <w:color w:val="000000"/>
                <w:sz w:val="20"/>
                <w:szCs w:val="20"/>
              </w:rPr>
              <w:t>Estimated extent of use</w:t>
            </w:r>
          </w:p>
        </w:tc>
      </w:tr>
      <w:tr w:rsidR="00EA7861" w:rsidRPr="00146801" w:rsidTr="00EA7861">
        <w:tc>
          <w:tcPr>
            <w:tcW w:w="1445" w:type="pct"/>
            <w:shd w:val="clear" w:color="auto" w:fill="auto"/>
            <w:vAlign w:val="center"/>
          </w:tcPr>
          <w:p w:rsidR="00EA7861" w:rsidRPr="00146801" w:rsidRDefault="00EA7861" w:rsidP="00747DC5">
            <w:pPr>
              <w:keepNext/>
              <w:tabs>
                <w:tab w:val="left" w:pos="142"/>
              </w:tabs>
              <w:ind w:right="93"/>
              <w:rPr>
                <w:rFonts w:ascii="Arial Narrow" w:hAnsi="Arial Narrow"/>
                <w:sz w:val="20"/>
                <w:szCs w:val="20"/>
              </w:rPr>
            </w:pPr>
            <w:r w:rsidRPr="00146801">
              <w:rPr>
                <w:rFonts w:ascii="Arial Narrow" w:hAnsi="Arial Narrow"/>
                <w:sz w:val="20"/>
                <w:szCs w:val="20"/>
              </w:rPr>
              <w:t xml:space="preserve">Number treated </w:t>
            </w:r>
          </w:p>
        </w:tc>
        <w:tc>
          <w:tcPr>
            <w:tcW w:w="641" w:type="pct"/>
            <w:shd w:val="clear" w:color="auto" w:fill="auto"/>
            <w:vAlign w:val="center"/>
          </w:tcPr>
          <w:p w:rsidR="00EA7861" w:rsidRPr="000B1B9D" w:rsidRDefault="000B1B9D" w:rsidP="00747DC5">
            <w:pPr>
              <w:keepNext/>
              <w:ind w:right="93"/>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676" w:type="pct"/>
            <w:shd w:val="clear" w:color="auto" w:fill="auto"/>
            <w:vAlign w:val="center"/>
          </w:tcPr>
          <w:p w:rsidR="00EA7861" w:rsidRPr="000B1B9D" w:rsidRDefault="000B1B9D" w:rsidP="00747DC5">
            <w:pPr>
              <w:keepNext/>
              <w:ind w:right="93"/>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761" w:type="pct"/>
            <w:shd w:val="clear" w:color="auto" w:fill="auto"/>
            <w:vAlign w:val="center"/>
          </w:tcPr>
          <w:p w:rsidR="00EA7861" w:rsidRPr="000B1B9D" w:rsidRDefault="000B1B9D" w:rsidP="00747DC5">
            <w:pPr>
              <w:keepNext/>
              <w:ind w:right="93"/>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779" w:type="pct"/>
            <w:shd w:val="clear" w:color="auto" w:fill="auto"/>
            <w:vAlign w:val="center"/>
          </w:tcPr>
          <w:p w:rsidR="00EA7861" w:rsidRPr="000B1B9D" w:rsidRDefault="000B1B9D" w:rsidP="00747DC5">
            <w:pPr>
              <w:keepNext/>
              <w:ind w:right="93"/>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697" w:type="pct"/>
            <w:shd w:val="clear" w:color="auto" w:fill="auto"/>
            <w:vAlign w:val="center"/>
          </w:tcPr>
          <w:p w:rsidR="00EA7861" w:rsidRPr="000B1B9D" w:rsidRDefault="000B1B9D" w:rsidP="00747DC5">
            <w:pPr>
              <w:keepNext/>
              <w:ind w:right="93"/>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EA7861" w:rsidRPr="00146801" w:rsidTr="00EA7861">
        <w:tc>
          <w:tcPr>
            <w:tcW w:w="1445" w:type="pct"/>
            <w:shd w:val="clear" w:color="auto" w:fill="auto"/>
            <w:vAlign w:val="center"/>
          </w:tcPr>
          <w:p w:rsidR="00EA7861" w:rsidRPr="00146801" w:rsidRDefault="00487722" w:rsidP="00747DC5">
            <w:pPr>
              <w:keepNext/>
              <w:tabs>
                <w:tab w:val="left" w:pos="142"/>
              </w:tabs>
              <w:ind w:right="93"/>
              <w:rPr>
                <w:rFonts w:ascii="Arial Narrow" w:hAnsi="Arial Narrow"/>
                <w:sz w:val="20"/>
                <w:szCs w:val="20"/>
              </w:rPr>
            </w:pPr>
            <w:r>
              <w:rPr>
                <w:rFonts w:ascii="Arial Narrow" w:hAnsi="Arial Narrow"/>
                <w:sz w:val="20"/>
                <w:szCs w:val="20"/>
              </w:rPr>
              <w:t>6 x 40 </w:t>
            </w:r>
            <w:r w:rsidR="00EA7861" w:rsidRPr="00146801">
              <w:rPr>
                <w:rFonts w:ascii="Arial Narrow" w:hAnsi="Arial Narrow"/>
                <w:sz w:val="20"/>
                <w:szCs w:val="20"/>
              </w:rPr>
              <w:t>mg induction packs dispensed</w:t>
            </w:r>
          </w:p>
        </w:tc>
        <w:tc>
          <w:tcPr>
            <w:tcW w:w="641"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76"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61"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79"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97"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A7861" w:rsidRPr="00146801" w:rsidTr="00EA7861">
        <w:tc>
          <w:tcPr>
            <w:tcW w:w="1445" w:type="pct"/>
            <w:shd w:val="clear" w:color="auto" w:fill="auto"/>
            <w:vAlign w:val="center"/>
          </w:tcPr>
          <w:p w:rsidR="00EA7861" w:rsidRPr="00146801" w:rsidRDefault="00487722" w:rsidP="00747DC5">
            <w:pPr>
              <w:keepNext/>
              <w:tabs>
                <w:tab w:val="left" w:pos="142"/>
              </w:tabs>
              <w:ind w:right="93"/>
              <w:rPr>
                <w:rFonts w:ascii="Arial Narrow" w:hAnsi="Arial Narrow"/>
                <w:sz w:val="20"/>
                <w:szCs w:val="20"/>
              </w:rPr>
            </w:pPr>
            <w:r>
              <w:rPr>
                <w:rFonts w:ascii="Arial Narrow" w:hAnsi="Arial Narrow"/>
                <w:sz w:val="20"/>
                <w:szCs w:val="20"/>
              </w:rPr>
              <w:t>2 x 40 </w:t>
            </w:r>
            <w:r w:rsidR="00EA7861" w:rsidRPr="00146801">
              <w:rPr>
                <w:rFonts w:ascii="Arial Narrow" w:hAnsi="Arial Narrow"/>
                <w:sz w:val="20"/>
                <w:szCs w:val="20"/>
              </w:rPr>
              <w:t>mg continuation packs dispensed</w:t>
            </w:r>
          </w:p>
        </w:tc>
        <w:tc>
          <w:tcPr>
            <w:tcW w:w="641"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76"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61"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79"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97"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A7861" w:rsidRPr="00146801" w:rsidTr="00EA7861">
        <w:tc>
          <w:tcPr>
            <w:tcW w:w="5000" w:type="pct"/>
            <w:gridSpan w:val="6"/>
            <w:shd w:val="clear" w:color="auto" w:fill="auto"/>
            <w:vAlign w:val="center"/>
          </w:tcPr>
          <w:p w:rsidR="00EA7861" w:rsidRPr="00146801" w:rsidRDefault="00EA7861" w:rsidP="00747DC5">
            <w:pPr>
              <w:keepNext/>
              <w:ind w:right="93"/>
              <w:rPr>
                <w:rFonts w:ascii="Arial Narrow" w:hAnsi="Arial Narrow"/>
                <w:b/>
                <w:bCs/>
                <w:color w:val="000000"/>
                <w:sz w:val="20"/>
                <w:szCs w:val="20"/>
              </w:rPr>
            </w:pPr>
            <w:r w:rsidRPr="00146801">
              <w:rPr>
                <w:rFonts w:ascii="Arial Narrow" w:hAnsi="Arial Narrow"/>
                <w:b/>
                <w:bCs/>
                <w:color w:val="000000"/>
                <w:sz w:val="20"/>
                <w:szCs w:val="20"/>
              </w:rPr>
              <w:t>Estimated total cost to PBS/RPBS (excluding co-payments)</w:t>
            </w:r>
          </w:p>
        </w:tc>
      </w:tr>
      <w:tr w:rsidR="00EA7861" w:rsidRPr="00146801" w:rsidTr="00EA7861">
        <w:tc>
          <w:tcPr>
            <w:tcW w:w="1445" w:type="pct"/>
            <w:shd w:val="clear" w:color="auto" w:fill="auto"/>
            <w:vAlign w:val="center"/>
          </w:tcPr>
          <w:p w:rsidR="00EA7861" w:rsidRPr="00146801" w:rsidRDefault="00EA7861" w:rsidP="00747DC5">
            <w:pPr>
              <w:keepNext/>
              <w:tabs>
                <w:tab w:val="left" w:pos="142"/>
              </w:tabs>
              <w:ind w:right="93"/>
              <w:rPr>
                <w:rFonts w:ascii="Arial Narrow" w:hAnsi="Arial Narrow"/>
                <w:sz w:val="20"/>
                <w:szCs w:val="20"/>
              </w:rPr>
            </w:pPr>
            <w:r w:rsidRPr="00146801">
              <w:rPr>
                <w:rFonts w:ascii="Arial Narrow" w:hAnsi="Arial Narrow"/>
                <w:sz w:val="20"/>
                <w:szCs w:val="20"/>
              </w:rPr>
              <w:t>Total cost to PBS</w:t>
            </w:r>
          </w:p>
        </w:tc>
        <w:tc>
          <w:tcPr>
            <w:tcW w:w="641" w:type="pct"/>
            <w:shd w:val="clear" w:color="auto" w:fill="auto"/>
            <w:vAlign w:val="bottom"/>
          </w:tcPr>
          <w:p w:rsidR="00EA7861" w:rsidRPr="00146801" w:rsidRDefault="00EA7861" w:rsidP="00747DC5">
            <w:pPr>
              <w:keepNext/>
              <w:ind w:right="93"/>
              <w:jc w:val="center"/>
              <w:rPr>
                <w:rFonts w:ascii="Arial Narrow" w:hAnsi="Arial Narrow"/>
                <w:bCs/>
                <w:color w:val="000000"/>
                <w:sz w:val="20"/>
                <w:szCs w:val="20"/>
              </w:rPr>
            </w:pPr>
            <w:r w:rsidRPr="00146801">
              <w:rPr>
                <w:rFonts w:ascii="Arial Narrow" w:hAnsi="Arial Narrow"/>
                <w:color w:val="000000"/>
                <w:sz w:val="20"/>
                <w:szCs w:val="20"/>
              </w:rPr>
              <w:t>$</w:t>
            </w:r>
            <w:r w:rsidR="000B1B9D">
              <w:rPr>
                <w:rFonts w:ascii="Arial Narrow" w:hAnsi="Arial Narrow"/>
                <w:noProof/>
                <w:color w:val="000000"/>
                <w:sz w:val="20"/>
                <w:szCs w:val="20"/>
                <w:highlight w:val="black"/>
              </w:rPr>
              <w:t>'''''''''''''''''''''''''</w:t>
            </w:r>
          </w:p>
        </w:tc>
        <w:tc>
          <w:tcPr>
            <w:tcW w:w="676" w:type="pct"/>
            <w:shd w:val="clear" w:color="auto" w:fill="auto"/>
            <w:vAlign w:val="bottom"/>
          </w:tcPr>
          <w:p w:rsidR="00EA7861" w:rsidRPr="00146801" w:rsidRDefault="00EA7861" w:rsidP="00747DC5">
            <w:pPr>
              <w:keepNext/>
              <w:ind w:right="93"/>
              <w:jc w:val="center"/>
              <w:rPr>
                <w:rFonts w:ascii="Arial Narrow" w:hAnsi="Arial Narrow"/>
                <w:bCs/>
                <w:color w:val="000000"/>
                <w:sz w:val="20"/>
                <w:szCs w:val="20"/>
              </w:rPr>
            </w:pPr>
            <w:r w:rsidRPr="00146801">
              <w:rPr>
                <w:rFonts w:ascii="Arial Narrow" w:hAnsi="Arial Narrow"/>
                <w:color w:val="000000"/>
                <w:sz w:val="20"/>
                <w:szCs w:val="20"/>
              </w:rPr>
              <w:t>$</w:t>
            </w:r>
            <w:r w:rsidR="000B1B9D">
              <w:rPr>
                <w:rFonts w:ascii="Arial Narrow" w:hAnsi="Arial Narrow"/>
                <w:noProof/>
                <w:color w:val="000000"/>
                <w:sz w:val="20"/>
                <w:szCs w:val="20"/>
                <w:highlight w:val="black"/>
              </w:rPr>
              <w:t>''''''''''''''''''''''''</w:t>
            </w:r>
          </w:p>
        </w:tc>
        <w:tc>
          <w:tcPr>
            <w:tcW w:w="761" w:type="pct"/>
            <w:shd w:val="clear" w:color="auto" w:fill="auto"/>
            <w:vAlign w:val="bottom"/>
          </w:tcPr>
          <w:p w:rsidR="00EA7861" w:rsidRPr="00146801" w:rsidRDefault="00EA7861" w:rsidP="00747DC5">
            <w:pPr>
              <w:keepNext/>
              <w:ind w:right="93"/>
              <w:jc w:val="center"/>
              <w:rPr>
                <w:rFonts w:ascii="Arial Narrow" w:hAnsi="Arial Narrow"/>
                <w:bCs/>
                <w:color w:val="000000"/>
                <w:sz w:val="20"/>
                <w:szCs w:val="20"/>
              </w:rPr>
            </w:pPr>
            <w:r w:rsidRPr="00146801">
              <w:rPr>
                <w:rFonts w:ascii="Arial Narrow" w:hAnsi="Arial Narrow"/>
                <w:color w:val="000000"/>
                <w:sz w:val="20"/>
                <w:szCs w:val="20"/>
              </w:rPr>
              <w:t>$</w:t>
            </w:r>
            <w:r w:rsidR="000B1B9D">
              <w:rPr>
                <w:rFonts w:ascii="Arial Narrow" w:hAnsi="Arial Narrow"/>
                <w:noProof/>
                <w:color w:val="000000"/>
                <w:sz w:val="20"/>
                <w:szCs w:val="20"/>
                <w:highlight w:val="black"/>
              </w:rPr>
              <w:t>'''''''''''''''''''''''''''</w:t>
            </w:r>
          </w:p>
        </w:tc>
        <w:tc>
          <w:tcPr>
            <w:tcW w:w="779" w:type="pct"/>
            <w:shd w:val="clear" w:color="auto" w:fill="auto"/>
            <w:vAlign w:val="bottom"/>
          </w:tcPr>
          <w:p w:rsidR="00EA7861" w:rsidRPr="00146801" w:rsidRDefault="00EA7861" w:rsidP="00747DC5">
            <w:pPr>
              <w:keepNext/>
              <w:ind w:right="93"/>
              <w:jc w:val="center"/>
              <w:rPr>
                <w:rFonts w:ascii="Arial Narrow" w:hAnsi="Arial Narrow"/>
                <w:bCs/>
                <w:color w:val="000000"/>
                <w:sz w:val="20"/>
                <w:szCs w:val="20"/>
              </w:rPr>
            </w:pPr>
            <w:r w:rsidRPr="00146801">
              <w:rPr>
                <w:rFonts w:ascii="Arial Narrow" w:hAnsi="Arial Narrow"/>
                <w:color w:val="000000"/>
                <w:sz w:val="20"/>
                <w:szCs w:val="20"/>
              </w:rPr>
              <w:t>$</w:t>
            </w:r>
            <w:r w:rsidR="000B1B9D">
              <w:rPr>
                <w:rFonts w:ascii="Arial Narrow" w:hAnsi="Arial Narrow"/>
                <w:noProof/>
                <w:color w:val="000000"/>
                <w:sz w:val="20"/>
                <w:szCs w:val="20"/>
                <w:highlight w:val="black"/>
              </w:rPr>
              <w:t>'''''''''''''''''''''''</w:t>
            </w:r>
          </w:p>
        </w:tc>
        <w:tc>
          <w:tcPr>
            <w:tcW w:w="697" w:type="pct"/>
            <w:shd w:val="clear" w:color="auto" w:fill="auto"/>
            <w:vAlign w:val="bottom"/>
          </w:tcPr>
          <w:p w:rsidR="00EA7861" w:rsidRPr="00146801" w:rsidRDefault="00EA7861" w:rsidP="00747DC5">
            <w:pPr>
              <w:keepNext/>
              <w:ind w:right="93"/>
              <w:jc w:val="center"/>
              <w:rPr>
                <w:rFonts w:ascii="Arial Narrow" w:hAnsi="Arial Narrow"/>
                <w:bCs/>
                <w:color w:val="000000"/>
                <w:sz w:val="20"/>
                <w:szCs w:val="20"/>
              </w:rPr>
            </w:pPr>
            <w:r w:rsidRPr="00146801">
              <w:rPr>
                <w:rFonts w:ascii="Arial Narrow" w:hAnsi="Arial Narrow"/>
                <w:color w:val="000000"/>
                <w:sz w:val="20"/>
                <w:szCs w:val="20"/>
              </w:rPr>
              <w:t>$</w:t>
            </w:r>
            <w:r w:rsidR="000B1B9D">
              <w:rPr>
                <w:rFonts w:ascii="Arial Narrow" w:hAnsi="Arial Narrow"/>
                <w:noProof/>
                <w:color w:val="000000"/>
                <w:sz w:val="20"/>
                <w:szCs w:val="20"/>
                <w:highlight w:val="black"/>
              </w:rPr>
              <w:t>''''''''''''''''''''''''''</w:t>
            </w:r>
          </w:p>
        </w:tc>
      </w:tr>
      <w:tr w:rsidR="00EA7861" w:rsidRPr="00146801" w:rsidTr="00EA7861">
        <w:tc>
          <w:tcPr>
            <w:tcW w:w="5000" w:type="pct"/>
            <w:gridSpan w:val="6"/>
            <w:shd w:val="clear" w:color="auto" w:fill="auto"/>
            <w:vAlign w:val="center"/>
          </w:tcPr>
          <w:p w:rsidR="00EA7861" w:rsidRPr="00146801" w:rsidRDefault="00EA7861" w:rsidP="00747DC5">
            <w:pPr>
              <w:keepNext/>
              <w:ind w:right="93"/>
              <w:rPr>
                <w:rFonts w:ascii="Arial Narrow" w:hAnsi="Arial Narrow"/>
                <w:b/>
                <w:color w:val="000000"/>
                <w:sz w:val="20"/>
                <w:szCs w:val="20"/>
              </w:rPr>
            </w:pPr>
            <w:r w:rsidRPr="00146801">
              <w:rPr>
                <w:rFonts w:ascii="Arial Narrow" w:hAnsi="Arial Narrow"/>
                <w:b/>
                <w:color w:val="000000"/>
                <w:sz w:val="20"/>
                <w:szCs w:val="20"/>
              </w:rPr>
              <w:t xml:space="preserve">Estimated total net cost to PBS/RPBS </w:t>
            </w:r>
            <w:r w:rsidRPr="00146801">
              <w:rPr>
                <w:rFonts w:ascii="Arial Narrow" w:hAnsi="Arial Narrow"/>
                <w:b/>
                <w:bCs/>
                <w:color w:val="000000"/>
                <w:sz w:val="20"/>
                <w:szCs w:val="20"/>
              </w:rPr>
              <w:t>(excluding co-payments)</w:t>
            </w:r>
          </w:p>
        </w:tc>
      </w:tr>
      <w:tr w:rsidR="00EA7861" w:rsidRPr="00146801" w:rsidTr="00EA7861">
        <w:tc>
          <w:tcPr>
            <w:tcW w:w="1445" w:type="pct"/>
            <w:shd w:val="clear" w:color="auto" w:fill="auto"/>
            <w:vAlign w:val="center"/>
          </w:tcPr>
          <w:p w:rsidR="00EA7861" w:rsidRPr="00146801" w:rsidRDefault="00EA7861" w:rsidP="00747DC5">
            <w:pPr>
              <w:keepNext/>
              <w:tabs>
                <w:tab w:val="left" w:pos="142"/>
              </w:tabs>
              <w:ind w:right="93"/>
              <w:rPr>
                <w:rFonts w:ascii="Arial Narrow" w:hAnsi="Arial Narrow"/>
                <w:sz w:val="20"/>
                <w:szCs w:val="20"/>
              </w:rPr>
            </w:pPr>
            <w:r w:rsidRPr="00146801">
              <w:rPr>
                <w:rFonts w:ascii="Arial Narrow" w:hAnsi="Arial Narrow"/>
                <w:bCs/>
                <w:sz w:val="20"/>
                <w:szCs w:val="20"/>
              </w:rPr>
              <w:t>Net cost PBS/RPBS</w:t>
            </w:r>
          </w:p>
        </w:tc>
        <w:tc>
          <w:tcPr>
            <w:tcW w:w="641" w:type="pct"/>
            <w:shd w:val="clear" w:color="auto" w:fill="auto"/>
            <w:vAlign w:val="center"/>
          </w:tcPr>
          <w:p w:rsidR="00EA7861" w:rsidRPr="00146801" w:rsidRDefault="00EA7861" w:rsidP="00747DC5">
            <w:pPr>
              <w:keepNext/>
              <w:jc w:val="center"/>
              <w:rPr>
                <w:rFonts w:ascii="Arial Narrow" w:hAnsi="Arial Narrow"/>
                <w:i/>
                <w:sz w:val="20"/>
                <w:szCs w:val="20"/>
              </w:rPr>
            </w:pPr>
            <w:r w:rsidRPr="00146801">
              <w:rPr>
                <w:rFonts w:ascii="Arial Narrow" w:hAnsi="Arial Narrow"/>
                <w:bCs/>
                <w:sz w:val="20"/>
                <w:szCs w:val="20"/>
              </w:rPr>
              <w:t>$</w:t>
            </w:r>
            <w:r w:rsidR="000B1B9D">
              <w:rPr>
                <w:rFonts w:ascii="Arial Narrow" w:hAnsi="Arial Narrow"/>
                <w:bCs/>
                <w:noProof/>
                <w:color w:val="000000"/>
                <w:sz w:val="20"/>
                <w:szCs w:val="20"/>
                <w:highlight w:val="black"/>
              </w:rPr>
              <w:t>'''''''''''''''''''''''''</w:t>
            </w:r>
          </w:p>
        </w:tc>
        <w:tc>
          <w:tcPr>
            <w:tcW w:w="676" w:type="pct"/>
            <w:shd w:val="clear" w:color="auto" w:fill="auto"/>
            <w:vAlign w:val="center"/>
          </w:tcPr>
          <w:p w:rsidR="00EA7861" w:rsidRPr="00146801" w:rsidRDefault="00EA7861" w:rsidP="00747DC5">
            <w:pPr>
              <w:keepNext/>
              <w:jc w:val="center"/>
              <w:rPr>
                <w:rFonts w:ascii="Arial Narrow" w:hAnsi="Arial Narrow"/>
                <w:i/>
                <w:sz w:val="20"/>
                <w:szCs w:val="20"/>
              </w:rPr>
            </w:pPr>
            <w:r w:rsidRPr="00146801">
              <w:rPr>
                <w:rFonts w:ascii="Arial Narrow" w:hAnsi="Arial Narrow"/>
                <w:bCs/>
                <w:sz w:val="20"/>
                <w:szCs w:val="20"/>
              </w:rPr>
              <w:t>$</w:t>
            </w:r>
            <w:r w:rsidR="000B1B9D">
              <w:rPr>
                <w:rFonts w:ascii="Arial Narrow" w:hAnsi="Arial Narrow"/>
                <w:bCs/>
                <w:noProof/>
                <w:color w:val="000000"/>
                <w:sz w:val="20"/>
                <w:szCs w:val="20"/>
                <w:highlight w:val="black"/>
              </w:rPr>
              <w:t>'''''''''''''''''''''''''</w:t>
            </w:r>
          </w:p>
        </w:tc>
        <w:tc>
          <w:tcPr>
            <w:tcW w:w="761" w:type="pct"/>
            <w:shd w:val="clear" w:color="auto" w:fill="auto"/>
            <w:vAlign w:val="center"/>
          </w:tcPr>
          <w:p w:rsidR="00EA7861" w:rsidRPr="00146801" w:rsidRDefault="00EA7861" w:rsidP="00747DC5">
            <w:pPr>
              <w:keepNext/>
              <w:jc w:val="center"/>
              <w:rPr>
                <w:rFonts w:ascii="Arial Narrow" w:hAnsi="Arial Narrow"/>
                <w:i/>
                <w:sz w:val="20"/>
                <w:szCs w:val="20"/>
              </w:rPr>
            </w:pPr>
            <w:r w:rsidRPr="00146801">
              <w:rPr>
                <w:rFonts w:ascii="Arial Narrow" w:hAnsi="Arial Narrow"/>
                <w:bCs/>
                <w:sz w:val="20"/>
                <w:szCs w:val="20"/>
              </w:rPr>
              <w:t>$</w:t>
            </w:r>
            <w:r w:rsidR="000B1B9D">
              <w:rPr>
                <w:rFonts w:ascii="Arial Narrow" w:hAnsi="Arial Narrow"/>
                <w:bCs/>
                <w:noProof/>
                <w:color w:val="000000"/>
                <w:sz w:val="20"/>
                <w:szCs w:val="20"/>
                <w:highlight w:val="black"/>
              </w:rPr>
              <w:t>''''''''''''''''''''''</w:t>
            </w:r>
          </w:p>
        </w:tc>
        <w:tc>
          <w:tcPr>
            <w:tcW w:w="779" w:type="pct"/>
            <w:shd w:val="clear" w:color="auto" w:fill="auto"/>
            <w:vAlign w:val="center"/>
          </w:tcPr>
          <w:p w:rsidR="00EA7861" w:rsidRPr="00146801" w:rsidRDefault="00EA7861" w:rsidP="00747DC5">
            <w:pPr>
              <w:keepNext/>
              <w:jc w:val="center"/>
              <w:rPr>
                <w:rFonts w:ascii="Arial Narrow" w:hAnsi="Arial Narrow"/>
                <w:i/>
                <w:sz w:val="20"/>
                <w:szCs w:val="20"/>
              </w:rPr>
            </w:pPr>
            <w:r w:rsidRPr="00146801">
              <w:rPr>
                <w:rFonts w:ascii="Arial Narrow" w:hAnsi="Arial Narrow"/>
                <w:bCs/>
                <w:sz w:val="20"/>
                <w:szCs w:val="20"/>
              </w:rPr>
              <w:t>$</w:t>
            </w:r>
            <w:r w:rsidR="000B1B9D">
              <w:rPr>
                <w:rFonts w:ascii="Arial Narrow" w:hAnsi="Arial Narrow"/>
                <w:bCs/>
                <w:noProof/>
                <w:color w:val="000000"/>
                <w:sz w:val="20"/>
                <w:szCs w:val="20"/>
                <w:highlight w:val="black"/>
              </w:rPr>
              <w:t>''''''''''''''''''''''''''</w:t>
            </w:r>
          </w:p>
        </w:tc>
        <w:tc>
          <w:tcPr>
            <w:tcW w:w="697" w:type="pct"/>
            <w:shd w:val="clear" w:color="auto" w:fill="auto"/>
            <w:vAlign w:val="center"/>
          </w:tcPr>
          <w:p w:rsidR="00EA7861" w:rsidRPr="00146801" w:rsidRDefault="00EA7861" w:rsidP="00747DC5">
            <w:pPr>
              <w:keepNext/>
              <w:jc w:val="center"/>
              <w:rPr>
                <w:rFonts w:ascii="Arial Narrow" w:hAnsi="Arial Narrow"/>
                <w:i/>
                <w:sz w:val="20"/>
                <w:szCs w:val="20"/>
              </w:rPr>
            </w:pPr>
            <w:r w:rsidRPr="00146801">
              <w:rPr>
                <w:rFonts w:ascii="Arial Narrow" w:hAnsi="Arial Narrow"/>
                <w:bCs/>
                <w:sz w:val="20"/>
                <w:szCs w:val="20"/>
              </w:rPr>
              <w:t>$</w:t>
            </w:r>
            <w:r w:rsidR="000B1B9D">
              <w:rPr>
                <w:rFonts w:ascii="Arial Narrow" w:hAnsi="Arial Narrow"/>
                <w:bCs/>
                <w:noProof/>
                <w:color w:val="000000"/>
                <w:sz w:val="20"/>
                <w:szCs w:val="20"/>
                <w:highlight w:val="black"/>
              </w:rPr>
              <w:t>'''''''''''''''''''''''</w:t>
            </w:r>
          </w:p>
        </w:tc>
      </w:tr>
      <w:tr w:rsidR="00EA7861" w:rsidRPr="00146801" w:rsidTr="00EA7861">
        <w:tc>
          <w:tcPr>
            <w:tcW w:w="5000" w:type="pct"/>
            <w:gridSpan w:val="6"/>
            <w:shd w:val="clear" w:color="auto" w:fill="auto"/>
            <w:vAlign w:val="center"/>
          </w:tcPr>
          <w:p w:rsidR="00EA7861" w:rsidRPr="00146801" w:rsidRDefault="00EA7861" w:rsidP="00335AB9">
            <w:pPr>
              <w:keepNext/>
              <w:rPr>
                <w:rFonts w:ascii="Arial Narrow" w:hAnsi="Arial Narrow"/>
                <w:b/>
                <w:bCs/>
                <w:sz w:val="20"/>
                <w:szCs w:val="20"/>
              </w:rPr>
            </w:pPr>
            <w:r w:rsidRPr="00146801">
              <w:rPr>
                <w:rFonts w:ascii="Arial Narrow" w:hAnsi="Arial Narrow"/>
                <w:b/>
                <w:bCs/>
                <w:sz w:val="20"/>
                <w:szCs w:val="20"/>
              </w:rPr>
              <w:t xml:space="preserve">Minor </w:t>
            </w:r>
            <w:r w:rsidR="00487722" w:rsidRPr="00146801">
              <w:rPr>
                <w:rFonts w:ascii="Arial Narrow" w:hAnsi="Arial Narrow"/>
                <w:b/>
                <w:bCs/>
                <w:sz w:val="20"/>
                <w:szCs w:val="20"/>
              </w:rPr>
              <w:t>r</w:t>
            </w:r>
            <w:r w:rsidRPr="00146801">
              <w:rPr>
                <w:rFonts w:ascii="Arial Narrow" w:hAnsi="Arial Narrow"/>
                <w:b/>
                <w:bCs/>
                <w:sz w:val="20"/>
                <w:szCs w:val="20"/>
              </w:rPr>
              <w:t>esubmission November 2015</w:t>
            </w:r>
          </w:p>
        </w:tc>
      </w:tr>
      <w:tr w:rsidR="00EA7861" w:rsidRPr="00146801" w:rsidTr="00EA7861">
        <w:tc>
          <w:tcPr>
            <w:tcW w:w="1445" w:type="pct"/>
            <w:shd w:val="clear" w:color="auto" w:fill="auto"/>
            <w:vAlign w:val="center"/>
          </w:tcPr>
          <w:p w:rsidR="00EA7861" w:rsidRPr="00146801" w:rsidRDefault="00EA7861" w:rsidP="00747DC5">
            <w:pPr>
              <w:keepNext/>
              <w:tabs>
                <w:tab w:val="left" w:pos="142"/>
              </w:tabs>
              <w:ind w:right="93"/>
              <w:rPr>
                <w:rFonts w:ascii="Arial Narrow" w:hAnsi="Arial Narrow"/>
                <w:sz w:val="20"/>
                <w:szCs w:val="20"/>
              </w:rPr>
            </w:pPr>
            <w:r w:rsidRPr="00146801">
              <w:rPr>
                <w:rFonts w:ascii="Arial Narrow" w:hAnsi="Arial Narrow"/>
                <w:sz w:val="20"/>
                <w:szCs w:val="20"/>
              </w:rPr>
              <w:t xml:space="preserve">Number treated </w:t>
            </w:r>
          </w:p>
        </w:tc>
        <w:tc>
          <w:tcPr>
            <w:tcW w:w="641" w:type="pct"/>
            <w:shd w:val="clear" w:color="auto" w:fill="auto"/>
            <w:vAlign w:val="center"/>
          </w:tcPr>
          <w:p w:rsidR="00EA7861" w:rsidRPr="000B1B9D" w:rsidRDefault="000B1B9D" w:rsidP="00747DC5">
            <w:pPr>
              <w:keepNext/>
              <w:ind w:right="93"/>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676" w:type="pct"/>
            <w:shd w:val="clear" w:color="auto" w:fill="auto"/>
            <w:vAlign w:val="center"/>
          </w:tcPr>
          <w:p w:rsidR="00EA7861" w:rsidRPr="000B1B9D" w:rsidRDefault="000B1B9D" w:rsidP="00747DC5">
            <w:pPr>
              <w:keepNext/>
              <w:ind w:right="93"/>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761" w:type="pct"/>
            <w:shd w:val="clear" w:color="auto" w:fill="auto"/>
            <w:vAlign w:val="center"/>
          </w:tcPr>
          <w:p w:rsidR="00EA7861" w:rsidRPr="000B1B9D" w:rsidRDefault="000B1B9D" w:rsidP="00747DC5">
            <w:pPr>
              <w:keepNext/>
              <w:ind w:right="93"/>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779" w:type="pct"/>
            <w:shd w:val="clear" w:color="auto" w:fill="auto"/>
            <w:vAlign w:val="center"/>
          </w:tcPr>
          <w:p w:rsidR="00EA7861" w:rsidRPr="000B1B9D" w:rsidRDefault="000B1B9D" w:rsidP="00747DC5">
            <w:pPr>
              <w:keepNext/>
              <w:ind w:right="93"/>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697" w:type="pct"/>
            <w:shd w:val="clear" w:color="auto" w:fill="auto"/>
            <w:vAlign w:val="center"/>
          </w:tcPr>
          <w:p w:rsidR="00EA7861" w:rsidRPr="000B1B9D" w:rsidRDefault="000B1B9D" w:rsidP="00747DC5">
            <w:pPr>
              <w:keepNext/>
              <w:ind w:right="93"/>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EA7861" w:rsidRPr="00146801" w:rsidTr="00EA7861">
        <w:tc>
          <w:tcPr>
            <w:tcW w:w="1445" w:type="pct"/>
            <w:shd w:val="clear" w:color="auto" w:fill="auto"/>
            <w:vAlign w:val="center"/>
          </w:tcPr>
          <w:p w:rsidR="00EA7861" w:rsidRPr="00146801" w:rsidRDefault="00487722" w:rsidP="00747DC5">
            <w:pPr>
              <w:keepNext/>
              <w:tabs>
                <w:tab w:val="left" w:pos="142"/>
              </w:tabs>
              <w:ind w:right="93"/>
              <w:rPr>
                <w:rFonts w:ascii="Arial Narrow" w:hAnsi="Arial Narrow"/>
                <w:sz w:val="20"/>
                <w:szCs w:val="20"/>
              </w:rPr>
            </w:pPr>
            <w:r>
              <w:rPr>
                <w:rFonts w:ascii="Arial Narrow" w:hAnsi="Arial Narrow"/>
                <w:sz w:val="20"/>
                <w:szCs w:val="20"/>
              </w:rPr>
              <w:t>6 x 40 </w:t>
            </w:r>
            <w:r w:rsidR="00EA7861" w:rsidRPr="00146801">
              <w:rPr>
                <w:rFonts w:ascii="Arial Narrow" w:hAnsi="Arial Narrow"/>
                <w:sz w:val="20"/>
                <w:szCs w:val="20"/>
              </w:rPr>
              <w:t>mg induction packs dispensed</w:t>
            </w:r>
          </w:p>
        </w:tc>
        <w:tc>
          <w:tcPr>
            <w:tcW w:w="641"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76"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61"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79"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97"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A7861" w:rsidRPr="00146801" w:rsidTr="00EA7861">
        <w:tc>
          <w:tcPr>
            <w:tcW w:w="1445" w:type="pct"/>
            <w:shd w:val="clear" w:color="auto" w:fill="auto"/>
            <w:vAlign w:val="center"/>
          </w:tcPr>
          <w:p w:rsidR="00EA7861" w:rsidRPr="00146801" w:rsidRDefault="00487722" w:rsidP="000232C9">
            <w:pPr>
              <w:keepNext/>
              <w:tabs>
                <w:tab w:val="left" w:pos="142"/>
              </w:tabs>
              <w:ind w:right="93"/>
              <w:rPr>
                <w:rFonts w:ascii="Arial Narrow" w:hAnsi="Arial Narrow"/>
                <w:sz w:val="20"/>
                <w:szCs w:val="20"/>
              </w:rPr>
            </w:pPr>
            <w:r>
              <w:rPr>
                <w:rFonts w:ascii="Arial Narrow" w:hAnsi="Arial Narrow"/>
                <w:sz w:val="20"/>
                <w:szCs w:val="20"/>
              </w:rPr>
              <w:t>2 x 40 </w:t>
            </w:r>
            <w:r w:rsidR="00EA7861" w:rsidRPr="00146801">
              <w:rPr>
                <w:rFonts w:ascii="Arial Narrow" w:hAnsi="Arial Narrow"/>
                <w:sz w:val="20"/>
                <w:szCs w:val="20"/>
              </w:rPr>
              <w:t>mg induction packs dispensed</w:t>
            </w:r>
          </w:p>
        </w:tc>
        <w:tc>
          <w:tcPr>
            <w:tcW w:w="641"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76"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61"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79"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97" w:type="pct"/>
            <w:shd w:val="clear" w:color="auto" w:fill="auto"/>
            <w:vAlign w:val="center"/>
          </w:tcPr>
          <w:p w:rsidR="00EA7861" w:rsidRPr="000B1B9D" w:rsidRDefault="000B1B9D" w:rsidP="00747DC5">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A7861" w:rsidRPr="00146801" w:rsidTr="00EA7861">
        <w:tc>
          <w:tcPr>
            <w:tcW w:w="5000" w:type="pct"/>
            <w:gridSpan w:val="6"/>
            <w:shd w:val="clear" w:color="auto" w:fill="auto"/>
            <w:vAlign w:val="center"/>
          </w:tcPr>
          <w:p w:rsidR="00EA7861" w:rsidRPr="00146801" w:rsidRDefault="00EA7861" w:rsidP="00747DC5">
            <w:pPr>
              <w:keepNext/>
              <w:ind w:right="93"/>
              <w:rPr>
                <w:rFonts w:ascii="Arial Narrow" w:hAnsi="Arial Narrow"/>
                <w:b/>
                <w:bCs/>
                <w:color w:val="000000"/>
                <w:sz w:val="20"/>
                <w:szCs w:val="20"/>
              </w:rPr>
            </w:pPr>
            <w:r w:rsidRPr="00146801">
              <w:rPr>
                <w:rFonts w:ascii="Arial Narrow" w:hAnsi="Arial Narrow"/>
                <w:b/>
                <w:bCs/>
                <w:color w:val="000000"/>
                <w:sz w:val="20"/>
                <w:szCs w:val="20"/>
              </w:rPr>
              <w:t>Estimated total cost to PBS/RPBS (excluding co-payments)</w:t>
            </w:r>
          </w:p>
        </w:tc>
      </w:tr>
      <w:tr w:rsidR="00EA7861" w:rsidRPr="00146801" w:rsidTr="00EA7861">
        <w:tc>
          <w:tcPr>
            <w:tcW w:w="1445" w:type="pct"/>
            <w:shd w:val="clear" w:color="auto" w:fill="auto"/>
            <w:vAlign w:val="center"/>
          </w:tcPr>
          <w:p w:rsidR="00EA7861" w:rsidRPr="00146801" w:rsidRDefault="00EA7861" w:rsidP="00747DC5">
            <w:pPr>
              <w:keepNext/>
              <w:tabs>
                <w:tab w:val="left" w:pos="142"/>
              </w:tabs>
              <w:ind w:right="93"/>
              <w:rPr>
                <w:rFonts w:ascii="Arial Narrow" w:hAnsi="Arial Narrow"/>
                <w:bCs/>
                <w:sz w:val="20"/>
                <w:szCs w:val="20"/>
              </w:rPr>
            </w:pPr>
            <w:r w:rsidRPr="00146801">
              <w:rPr>
                <w:rFonts w:ascii="Arial Narrow" w:hAnsi="Arial Narrow"/>
                <w:bCs/>
                <w:sz w:val="20"/>
                <w:szCs w:val="20"/>
              </w:rPr>
              <w:t>Total cost to PBS</w:t>
            </w:r>
          </w:p>
        </w:tc>
        <w:tc>
          <w:tcPr>
            <w:tcW w:w="641" w:type="pct"/>
            <w:shd w:val="clear" w:color="auto" w:fill="auto"/>
            <w:vAlign w:val="center"/>
          </w:tcPr>
          <w:p w:rsidR="00EA7861" w:rsidRPr="00146801" w:rsidRDefault="00487722" w:rsidP="00747DC5">
            <w:pPr>
              <w:jc w:val="right"/>
              <w:rPr>
                <w:rFonts w:ascii="Arial Narrow" w:hAnsi="Arial Narrow"/>
                <w:color w:val="000000"/>
                <w:sz w:val="20"/>
                <w:szCs w:val="20"/>
              </w:rPr>
            </w:pPr>
            <w:r>
              <w:rPr>
                <w:rFonts w:ascii="Arial Narrow" w:hAnsi="Arial Narrow"/>
                <w:color w:val="000000"/>
                <w:sz w:val="20"/>
                <w:szCs w:val="20"/>
              </w:rPr>
              <w:t>$</w:t>
            </w:r>
            <w:r w:rsidR="000B1B9D">
              <w:rPr>
                <w:rFonts w:ascii="Arial Narrow" w:hAnsi="Arial Narrow"/>
                <w:noProof/>
                <w:color w:val="000000"/>
                <w:sz w:val="20"/>
                <w:szCs w:val="20"/>
                <w:highlight w:val="black"/>
              </w:rPr>
              <w:t>''''''''''''''''''''''''''</w:t>
            </w:r>
          </w:p>
        </w:tc>
        <w:tc>
          <w:tcPr>
            <w:tcW w:w="676" w:type="pct"/>
            <w:shd w:val="clear" w:color="auto" w:fill="auto"/>
            <w:vAlign w:val="center"/>
          </w:tcPr>
          <w:p w:rsidR="00EA7861" w:rsidRPr="00146801" w:rsidRDefault="00487722" w:rsidP="00747DC5">
            <w:pPr>
              <w:jc w:val="right"/>
              <w:rPr>
                <w:rFonts w:ascii="Arial Narrow" w:hAnsi="Arial Narrow"/>
                <w:color w:val="000000"/>
                <w:sz w:val="20"/>
                <w:szCs w:val="20"/>
              </w:rPr>
            </w:pPr>
            <w:r>
              <w:rPr>
                <w:rFonts w:ascii="Arial Narrow" w:hAnsi="Arial Narrow"/>
                <w:color w:val="000000"/>
                <w:sz w:val="20"/>
                <w:szCs w:val="20"/>
              </w:rPr>
              <w:t>$</w:t>
            </w:r>
            <w:r w:rsidR="000B1B9D">
              <w:rPr>
                <w:rFonts w:ascii="Arial Narrow" w:hAnsi="Arial Narrow"/>
                <w:noProof/>
                <w:color w:val="000000"/>
                <w:sz w:val="20"/>
                <w:szCs w:val="20"/>
                <w:highlight w:val="black"/>
              </w:rPr>
              <w:t>''''''''''''''''''''''''''</w:t>
            </w:r>
          </w:p>
        </w:tc>
        <w:tc>
          <w:tcPr>
            <w:tcW w:w="761" w:type="pct"/>
            <w:shd w:val="clear" w:color="auto" w:fill="auto"/>
            <w:vAlign w:val="center"/>
          </w:tcPr>
          <w:p w:rsidR="00EA7861" w:rsidRPr="00146801" w:rsidRDefault="00487722" w:rsidP="00747DC5">
            <w:pPr>
              <w:jc w:val="right"/>
              <w:rPr>
                <w:rFonts w:ascii="Arial Narrow" w:hAnsi="Arial Narrow"/>
                <w:color w:val="000000"/>
                <w:sz w:val="20"/>
                <w:szCs w:val="20"/>
              </w:rPr>
            </w:pPr>
            <w:r>
              <w:rPr>
                <w:rFonts w:ascii="Arial Narrow" w:hAnsi="Arial Narrow"/>
                <w:color w:val="000000"/>
                <w:sz w:val="20"/>
                <w:szCs w:val="20"/>
              </w:rPr>
              <w:t>$</w:t>
            </w:r>
            <w:r w:rsidR="000B1B9D">
              <w:rPr>
                <w:rFonts w:ascii="Arial Narrow" w:hAnsi="Arial Narrow"/>
                <w:noProof/>
                <w:color w:val="000000"/>
                <w:sz w:val="20"/>
                <w:szCs w:val="20"/>
                <w:highlight w:val="black"/>
              </w:rPr>
              <w:t>''''''''''''''''''''''''''''</w:t>
            </w:r>
          </w:p>
        </w:tc>
        <w:tc>
          <w:tcPr>
            <w:tcW w:w="779" w:type="pct"/>
            <w:shd w:val="clear" w:color="auto" w:fill="auto"/>
            <w:vAlign w:val="center"/>
          </w:tcPr>
          <w:p w:rsidR="00EA7861" w:rsidRPr="00146801" w:rsidRDefault="00487722" w:rsidP="00747DC5">
            <w:pPr>
              <w:jc w:val="right"/>
              <w:rPr>
                <w:rFonts w:ascii="Arial Narrow" w:hAnsi="Arial Narrow"/>
                <w:color w:val="000000"/>
                <w:sz w:val="20"/>
                <w:szCs w:val="20"/>
              </w:rPr>
            </w:pPr>
            <w:r>
              <w:rPr>
                <w:rFonts w:ascii="Arial Narrow" w:hAnsi="Arial Narrow"/>
                <w:color w:val="000000"/>
                <w:sz w:val="20"/>
                <w:szCs w:val="20"/>
              </w:rPr>
              <w:t>$</w:t>
            </w:r>
            <w:r w:rsidR="000B1B9D">
              <w:rPr>
                <w:rFonts w:ascii="Arial Narrow" w:hAnsi="Arial Narrow"/>
                <w:noProof/>
                <w:color w:val="000000"/>
                <w:sz w:val="20"/>
                <w:szCs w:val="20"/>
                <w:highlight w:val="black"/>
              </w:rPr>
              <w:t>'''''''''''''''''''''''''''''</w:t>
            </w:r>
          </w:p>
        </w:tc>
        <w:tc>
          <w:tcPr>
            <w:tcW w:w="697" w:type="pct"/>
            <w:shd w:val="clear" w:color="auto" w:fill="auto"/>
            <w:vAlign w:val="center"/>
          </w:tcPr>
          <w:p w:rsidR="00EA7861" w:rsidRPr="00146801" w:rsidRDefault="00487722" w:rsidP="00747DC5">
            <w:pPr>
              <w:jc w:val="right"/>
              <w:rPr>
                <w:rFonts w:ascii="Arial Narrow" w:hAnsi="Arial Narrow"/>
                <w:color w:val="000000"/>
                <w:sz w:val="20"/>
                <w:szCs w:val="20"/>
              </w:rPr>
            </w:pPr>
            <w:r>
              <w:rPr>
                <w:rFonts w:ascii="Arial Narrow" w:hAnsi="Arial Narrow"/>
                <w:color w:val="000000"/>
                <w:sz w:val="20"/>
                <w:szCs w:val="20"/>
              </w:rPr>
              <w:t>$</w:t>
            </w:r>
            <w:r w:rsidR="000B1B9D">
              <w:rPr>
                <w:rFonts w:ascii="Arial Narrow" w:hAnsi="Arial Narrow"/>
                <w:noProof/>
                <w:color w:val="000000"/>
                <w:sz w:val="20"/>
                <w:szCs w:val="20"/>
                <w:highlight w:val="black"/>
              </w:rPr>
              <w:t>''''''''''''''''''''''''''''</w:t>
            </w:r>
          </w:p>
        </w:tc>
      </w:tr>
      <w:tr w:rsidR="00EA7861" w:rsidRPr="00146801" w:rsidTr="00EA7861">
        <w:tc>
          <w:tcPr>
            <w:tcW w:w="5000" w:type="pct"/>
            <w:gridSpan w:val="6"/>
            <w:shd w:val="clear" w:color="auto" w:fill="auto"/>
            <w:vAlign w:val="center"/>
          </w:tcPr>
          <w:p w:rsidR="00EA7861" w:rsidRPr="00146801" w:rsidRDefault="00EA7861" w:rsidP="00747DC5">
            <w:pPr>
              <w:keepNext/>
              <w:ind w:right="93"/>
              <w:rPr>
                <w:rFonts w:ascii="Arial Narrow" w:hAnsi="Arial Narrow"/>
                <w:b/>
                <w:color w:val="000000"/>
                <w:sz w:val="20"/>
                <w:szCs w:val="20"/>
              </w:rPr>
            </w:pPr>
            <w:r w:rsidRPr="00146801">
              <w:rPr>
                <w:rFonts w:ascii="Arial Narrow" w:hAnsi="Arial Narrow"/>
                <w:b/>
                <w:color w:val="000000"/>
                <w:sz w:val="20"/>
                <w:szCs w:val="20"/>
              </w:rPr>
              <w:t xml:space="preserve">Estimated total net cost to PBS/RPBS </w:t>
            </w:r>
            <w:r w:rsidRPr="00146801">
              <w:rPr>
                <w:rFonts w:ascii="Arial Narrow" w:hAnsi="Arial Narrow"/>
                <w:b/>
                <w:bCs/>
                <w:color w:val="000000"/>
                <w:sz w:val="20"/>
                <w:szCs w:val="20"/>
              </w:rPr>
              <w:t>(excluding co-payments)</w:t>
            </w:r>
          </w:p>
        </w:tc>
      </w:tr>
      <w:tr w:rsidR="00EA7861" w:rsidRPr="00146801" w:rsidTr="00EA7861">
        <w:tc>
          <w:tcPr>
            <w:tcW w:w="1445" w:type="pct"/>
            <w:shd w:val="clear" w:color="auto" w:fill="auto"/>
            <w:vAlign w:val="center"/>
          </w:tcPr>
          <w:p w:rsidR="00EA7861" w:rsidRPr="00146801" w:rsidRDefault="00EA7861" w:rsidP="00747DC5">
            <w:pPr>
              <w:keepNext/>
              <w:tabs>
                <w:tab w:val="left" w:pos="142"/>
              </w:tabs>
              <w:ind w:right="93"/>
              <w:rPr>
                <w:rFonts w:ascii="Arial Narrow" w:hAnsi="Arial Narrow"/>
                <w:bCs/>
                <w:sz w:val="20"/>
                <w:szCs w:val="20"/>
              </w:rPr>
            </w:pPr>
            <w:r w:rsidRPr="00146801">
              <w:rPr>
                <w:rFonts w:ascii="Arial Narrow" w:hAnsi="Arial Narrow"/>
                <w:bCs/>
                <w:sz w:val="20"/>
                <w:szCs w:val="20"/>
              </w:rPr>
              <w:t>Net cost to PBS/RPBS</w:t>
            </w:r>
          </w:p>
        </w:tc>
        <w:tc>
          <w:tcPr>
            <w:tcW w:w="641" w:type="pct"/>
            <w:shd w:val="clear" w:color="auto" w:fill="auto"/>
            <w:vAlign w:val="center"/>
          </w:tcPr>
          <w:p w:rsidR="00EA7861" w:rsidRPr="00146801" w:rsidRDefault="00EA7861" w:rsidP="00747DC5">
            <w:pPr>
              <w:jc w:val="right"/>
              <w:rPr>
                <w:rFonts w:ascii="Arial Narrow" w:hAnsi="Arial Narrow"/>
                <w:color w:val="000000"/>
                <w:sz w:val="20"/>
                <w:szCs w:val="20"/>
              </w:rPr>
            </w:pPr>
            <w:r w:rsidRPr="00146801">
              <w:rPr>
                <w:rFonts w:ascii="Arial Narrow" w:hAnsi="Arial Narrow"/>
                <w:color w:val="000000"/>
                <w:sz w:val="20"/>
                <w:szCs w:val="20"/>
              </w:rPr>
              <w:t>-</w:t>
            </w:r>
            <w:r w:rsidR="00487722">
              <w:rPr>
                <w:rFonts w:ascii="Arial Narrow" w:hAnsi="Arial Narrow"/>
                <w:color w:val="000000"/>
                <w:sz w:val="20"/>
                <w:szCs w:val="20"/>
              </w:rPr>
              <w:t>$</w:t>
            </w:r>
            <w:r w:rsidR="000B1B9D">
              <w:rPr>
                <w:rFonts w:ascii="Arial Narrow" w:hAnsi="Arial Narrow"/>
                <w:noProof/>
                <w:color w:val="000000"/>
                <w:sz w:val="20"/>
                <w:szCs w:val="20"/>
                <w:highlight w:val="black"/>
              </w:rPr>
              <w:t>''''''''''''''''''''</w:t>
            </w:r>
          </w:p>
        </w:tc>
        <w:tc>
          <w:tcPr>
            <w:tcW w:w="676" w:type="pct"/>
            <w:shd w:val="clear" w:color="auto" w:fill="auto"/>
            <w:vAlign w:val="center"/>
          </w:tcPr>
          <w:p w:rsidR="00EA7861" w:rsidRPr="00146801" w:rsidRDefault="00487722" w:rsidP="00747DC5">
            <w:pPr>
              <w:jc w:val="right"/>
              <w:rPr>
                <w:rFonts w:ascii="Arial Narrow" w:hAnsi="Arial Narrow"/>
                <w:color w:val="000000"/>
                <w:sz w:val="20"/>
                <w:szCs w:val="20"/>
              </w:rPr>
            </w:pPr>
            <w:r>
              <w:rPr>
                <w:rFonts w:ascii="Arial Narrow" w:hAnsi="Arial Narrow"/>
                <w:color w:val="000000"/>
                <w:sz w:val="20"/>
                <w:szCs w:val="20"/>
              </w:rPr>
              <w:t>$</w:t>
            </w:r>
            <w:r w:rsidR="000B1B9D">
              <w:rPr>
                <w:rFonts w:ascii="Arial Narrow" w:hAnsi="Arial Narrow"/>
                <w:noProof/>
                <w:color w:val="000000"/>
                <w:sz w:val="20"/>
                <w:szCs w:val="20"/>
                <w:highlight w:val="black"/>
              </w:rPr>
              <w:t>'''''''''''''''''</w:t>
            </w:r>
          </w:p>
        </w:tc>
        <w:tc>
          <w:tcPr>
            <w:tcW w:w="761" w:type="pct"/>
            <w:shd w:val="clear" w:color="auto" w:fill="auto"/>
            <w:vAlign w:val="center"/>
          </w:tcPr>
          <w:p w:rsidR="00EA7861" w:rsidRPr="00146801" w:rsidRDefault="00487722" w:rsidP="00747DC5">
            <w:pPr>
              <w:jc w:val="right"/>
              <w:rPr>
                <w:rFonts w:ascii="Arial Narrow" w:hAnsi="Arial Narrow"/>
                <w:color w:val="000000"/>
                <w:sz w:val="20"/>
                <w:szCs w:val="20"/>
              </w:rPr>
            </w:pPr>
            <w:r>
              <w:rPr>
                <w:rFonts w:ascii="Arial Narrow" w:hAnsi="Arial Narrow"/>
                <w:color w:val="000000"/>
                <w:sz w:val="20"/>
                <w:szCs w:val="20"/>
              </w:rPr>
              <w:t>$</w:t>
            </w:r>
            <w:r w:rsidR="000B1B9D">
              <w:rPr>
                <w:rFonts w:ascii="Arial Narrow" w:hAnsi="Arial Narrow"/>
                <w:noProof/>
                <w:color w:val="000000"/>
                <w:sz w:val="20"/>
                <w:szCs w:val="20"/>
                <w:highlight w:val="black"/>
              </w:rPr>
              <w:t>'''''''''''''''''''''''''</w:t>
            </w:r>
          </w:p>
        </w:tc>
        <w:tc>
          <w:tcPr>
            <w:tcW w:w="779" w:type="pct"/>
            <w:shd w:val="clear" w:color="auto" w:fill="auto"/>
            <w:vAlign w:val="center"/>
          </w:tcPr>
          <w:p w:rsidR="00EA7861" w:rsidRPr="00146801" w:rsidRDefault="00487722" w:rsidP="00747DC5">
            <w:pPr>
              <w:jc w:val="right"/>
              <w:rPr>
                <w:rFonts w:ascii="Arial Narrow" w:hAnsi="Arial Narrow"/>
                <w:color w:val="000000"/>
                <w:sz w:val="20"/>
                <w:szCs w:val="20"/>
              </w:rPr>
            </w:pPr>
            <w:r>
              <w:rPr>
                <w:rFonts w:ascii="Arial Narrow" w:hAnsi="Arial Narrow"/>
                <w:color w:val="000000"/>
                <w:sz w:val="20"/>
                <w:szCs w:val="20"/>
              </w:rPr>
              <w:t>$</w:t>
            </w:r>
            <w:r w:rsidR="000B1B9D">
              <w:rPr>
                <w:rFonts w:ascii="Arial Narrow" w:hAnsi="Arial Narrow"/>
                <w:noProof/>
                <w:color w:val="000000"/>
                <w:sz w:val="20"/>
                <w:szCs w:val="20"/>
                <w:highlight w:val="black"/>
              </w:rPr>
              <w:t>'''''''''''''''''''''''</w:t>
            </w:r>
          </w:p>
        </w:tc>
        <w:tc>
          <w:tcPr>
            <w:tcW w:w="697" w:type="pct"/>
            <w:shd w:val="clear" w:color="auto" w:fill="auto"/>
            <w:vAlign w:val="center"/>
          </w:tcPr>
          <w:p w:rsidR="00EA7861" w:rsidRPr="00146801" w:rsidRDefault="00487722" w:rsidP="00747DC5">
            <w:pPr>
              <w:jc w:val="right"/>
              <w:rPr>
                <w:rFonts w:ascii="Arial Narrow" w:hAnsi="Arial Narrow"/>
                <w:color w:val="000000"/>
                <w:sz w:val="20"/>
                <w:szCs w:val="20"/>
              </w:rPr>
            </w:pPr>
            <w:r>
              <w:rPr>
                <w:rFonts w:ascii="Arial Narrow" w:hAnsi="Arial Narrow"/>
                <w:color w:val="000000"/>
                <w:sz w:val="20"/>
                <w:szCs w:val="20"/>
              </w:rPr>
              <w:t>$</w:t>
            </w:r>
            <w:r w:rsidR="000B1B9D">
              <w:rPr>
                <w:rFonts w:ascii="Arial Narrow" w:hAnsi="Arial Narrow"/>
                <w:noProof/>
                <w:color w:val="000000"/>
                <w:sz w:val="20"/>
                <w:szCs w:val="20"/>
                <w:highlight w:val="black"/>
              </w:rPr>
              <w:t>''''''''''''''''''''''</w:t>
            </w:r>
          </w:p>
        </w:tc>
      </w:tr>
    </w:tbl>
    <w:p w:rsidR="00EA7861" w:rsidRPr="001B47DE" w:rsidRDefault="00EA7861" w:rsidP="00EA7861">
      <w:pPr>
        <w:pStyle w:val="ListParagraph"/>
        <w:jc w:val="both"/>
        <w:rPr>
          <w:rFonts w:ascii="Arial Narrow" w:hAnsi="Arial Narrow"/>
          <w:color w:val="000000" w:themeColor="text1"/>
          <w:sz w:val="18"/>
          <w:szCs w:val="18"/>
        </w:rPr>
      </w:pPr>
      <w:r w:rsidRPr="001B47DE">
        <w:rPr>
          <w:rFonts w:ascii="Arial Narrow" w:hAnsi="Arial Narrow"/>
          <w:color w:val="000000" w:themeColor="text1"/>
          <w:sz w:val="18"/>
          <w:szCs w:val="18"/>
        </w:rPr>
        <w:t xml:space="preserve">Source: </w:t>
      </w:r>
      <w:r>
        <w:rPr>
          <w:rFonts w:ascii="Arial Narrow" w:hAnsi="Arial Narrow"/>
          <w:color w:val="000000" w:themeColor="text1"/>
          <w:sz w:val="18"/>
          <w:szCs w:val="18"/>
        </w:rPr>
        <w:t>Table 5</w:t>
      </w:r>
      <w:r w:rsidRPr="001B47DE">
        <w:rPr>
          <w:rFonts w:ascii="Arial Narrow" w:hAnsi="Arial Narrow"/>
          <w:color w:val="000000" w:themeColor="text1"/>
          <w:sz w:val="18"/>
          <w:szCs w:val="18"/>
        </w:rPr>
        <w:t xml:space="preserve"> of the </w:t>
      </w:r>
      <w:r w:rsidR="00335AB9">
        <w:rPr>
          <w:rFonts w:ascii="Arial Narrow" w:hAnsi="Arial Narrow"/>
          <w:color w:val="000000" w:themeColor="text1"/>
          <w:sz w:val="18"/>
          <w:szCs w:val="18"/>
        </w:rPr>
        <w:t xml:space="preserve">minor </w:t>
      </w:r>
      <w:r w:rsidRPr="001B47DE">
        <w:rPr>
          <w:rFonts w:ascii="Arial Narrow" w:hAnsi="Arial Narrow"/>
          <w:color w:val="000000" w:themeColor="text1"/>
          <w:sz w:val="18"/>
          <w:szCs w:val="18"/>
        </w:rPr>
        <w:t>resubm</w:t>
      </w:r>
      <w:r>
        <w:rPr>
          <w:rFonts w:ascii="Arial Narrow" w:hAnsi="Arial Narrow"/>
          <w:color w:val="000000" w:themeColor="text1"/>
          <w:sz w:val="18"/>
          <w:szCs w:val="18"/>
        </w:rPr>
        <w:t>ission p14 and Section E attachment of the minor resubmission</w:t>
      </w:r>
    </w:p>
    <w:p w:rsidR="00C503E4" w:rsidRPr="00EA7861" w:rsidRDefault="00C503E4" w:rsidP="00EA7861">
      <w:pPr>
        <w:rPr>
          <w:rFonts w:ascii="Arial Narrow" w:hAnsi="Arial Narrow"/>
          <w:b/>
          <w:color w:val="000000" w:themeColor="text1"/>
          <w:sz w:val="22"/>
          <w:szCs w:val="22"/>
        </w:rPr>
      </w:pPr>
    </w:p>
    <w:p w:rsidR="00747DC5" w:rsidRDefault="00AC646A" w:rsidP="002C56A7">
      <w:pPr>
        <w:pStyle w:val="ListParagraph"/>
        <w:numPr>
          <w:ilvl w:val="1"/>
          <w:numId w:val="25"/>
        </w:numPr>
        <w:jc w:val="both"/>
        <w:rPr>
          <w:rFonts w:ascii="Arial" w:hAnsi="Arial"/>
          <w:color w:val="000000" w:themeColor="text1"/>
          <w:sz w:val="22"/>
          <w:szCs w:val="22"/>
        </w:rPr>
      </w:pPr>
      <w:r w:rsidRPr="00AA77FE">
        <w:rPr>
          <w:rFonts w:ascii="Arial" w:hAnsi="Arial"/>
          <w:color w:val="000000" w:themeColor="text1"/>
          <w:sz w:val="22"/>
          <w:szCs w:val="22"/>
        </w:rPr>
        <w:t xml:space="preserve">The net </w:t>
      </w:r>
      <w:r w:rsidR="00487722">
        <w:rPr>
          <w:rFonts w:ascii="Arial" w:hAnsi="Arial"/>
          <w:color w:val="000000" w:themeColor="text1"/>
          <w:sz w:val="22"/>
          <w:szCs w:val="22"/>
        </w:rPr>
        <w:t xml:space="preserve">financial implications were </w:t>
      </w:r>
      <w:r w:rsidR="00D242BB" w:rsidRPr="00AA77FE">
        <w:rPr>
          <w:rFonts w:ascii="Arial" w:hAnsi="Arial"/>
          <w:color w:val="000000" w:themeColor="text1"/>
          <w:sz w:val="22"/>
          <w:szCs w:val="22"/>
        </w:rPr>
        <w:t xml:space="preserve">estimated to be </w:t>
      </w:r>
      <w:r w:rsidR="00443DBC" w:rsidRPr="00AA77FE">
        <w:rPr>
          <w:rFonts w:ascii="Arial" w:hAnsi="Arial"/>
          <w:color w:val="000000" w:themeColor="text1"/>
          <w:sz w:val="22"/>
          <w:szCs w:val="22"/>
        </w:rPr>
        <w:t>-</w:t>
      </w:r>
      <w:r w:rsidR="00D242BB" w:rsidRPr="00AA77FE">
        <w:rPr>
          <w:rFonts w:ascii="Arial" w:hAnsi="Arial"/>
          <w:color w:val="000000" w:themeColor="text1"/>
          <w:sz w:val="22"/>
          <w:szCs w:val="22"/>
        </w:rPr>
        <w:t>$</w:t>
      </w:r>
      <w:r w:rsidR="000B1B9D">
        <w:rPr>
          <w:rFonts w:ascii="Arial" w:hAnsi="Arial"/>
          <w:noProof/>
          <w:color w:val="000000"/>
          <w:sz w:val="22"/>
          <w:szCs w:val="22"/>
          <w:highlight w:val="black"/>
        </w:rPr>
        <w:t>''''''''''''''''''</w:t>
      </w:r>
      <w:r w:rsidR="00443DBC" w:rsidRPr="00AA77FE">
        <w:rPr>
          <w:rFonts w:ascii="Arial" w:hAnsi="Arial"/>
          <w:color w:val="000000" w:themeColor="text1"/>
          <w:sz w:val="22"/>
          <w:szCs w:val="22"/>
        </w:rPr>
        <w:t xml:space="preserve"> (saving)</w:t>
      </w:r>
      <w:r w:rsidR="00D242BB" w:rsidRPr="00AA77FE">
        <w:rPr>
          <w:rFonts w:ascii="Arial" w:hAnsi="Arial"/>
          <w:color w:val="000000" w:themeColor="text1"/>
          <w:sz w:val="22"/>
          <w:szCs w:val="22"/>
        </w:rPr>
        <w:t xml:space="preserve"> in Year 1 increasing to $</w:t>
      </w:r>
      <w:r w:rsidR="000B1B9D">
        <w:rPr>
          <w:rFonts w:ascii="Arial" w:hAnsi="Arial"/>
          <w:noProof/>
          <w:color w:val="000000"/>
          <w:sz w:val="22"/>
          <w:szCs w:val="22"/>
          <w:highlight w:val="black"/>
        </w:rPr>
        <w:t>''''''''''''''''''''''</w:t>
      </w:r>
      <w:r w:rsidR="00D242BB" w:rsidRPr="00AA77FE">
        <w:rPr>
          <w:rFonts w:ascii="Arial" w:hAnsi="Arial"/>
          <w:color w:val="000000" w:themeColor="text1"/>
          <w:sz w:val="22"/>
          <w:szCs w:val="22"/>
        </w:rPr>
        <w:t xml:space="preserve"> in Year 5 for a total of $</w:t>
      </w:r>
      <w:r w:rsidR="000B1B9D">
        <w:rPr>
          <w:rFonts w:ascii="Arial" w:hAnsi="Arial"/>
          <w:noProof/>
          <w:color w:val="000000"/>
          <w:sz w:val="22"/>
          <w:szCs w:val="22"/>
          <w:highlight w:val="black"/>
        </w:rPr>
        <w:t>''''''''''''''''''''''''''</w:t>
      </w:r>
      <w:r w:rsidR="00D242BB" w:rsidRPr="00AA77FE">
        <w:rPr>
          <w:rFonts w:ascii="Arial" w:hAnsi="Arial"/>
          <w:color w:val="000000" w:themeColor="text1"/>
          <w:sz w:val="22"/>
          <w:szCs w:val="22"/>
        </w:rPr>
        <w:t xml:space="preserve"> </w:t>
      </w:r>
      <w:r w:rsidR="002C56A7" w:rsidRPr="002C56A7">
        <w:rPr>
          <w:rFonts w:ascii="Arial" w:hAnsi="Arial"/>
          <w:color w:val="000000" w:themeColor="text1"/>
          <w:sz w:val="22"/>
          <w:szCs w:val="22"/>
        </w:rPr>
        <w:t xml:space="preserve">less than $10 million </w:t>
      </w:r>
      <w:r w:rsidR="00D242BB" w:rsidRPr="00AA77FE">
        <w:rPr>
          <w:rFonts w:ascii="Arial" w:hAnsi="Arial"/>
          <w:color w:val="000000" w:themeColor="text1"/>
          <w:sz w:val="22"/>
          <w:szCs w:val="22"/>
        </w:rPr>
        <w:t>over the first 5 years of listing.</w:t>
      </w:r>
      <w:r w:rsidR="00487722">
        <w:rPr>
          <w:rFonts w:ascii="Arial" w:hAnsi="Arial"/>
          <w:color w:val="000000" w:themeColor="text1"/>
          <w:sz w:val="22"/>
          <w:szCs w:val="22"/>
        </w:rPr>
        <w:t xml:space="preserve"> </w:t>
      </w:r>
      <w:r w:rsidR="00146801" w:rsidRPr="00AA77FE">
        <w:rPr>
          <w:rFonts w:ascii="Arial" w:hAnsi="Arial"/>
          <w:color w:val="000000" w:themeColor="text1"/>
          <w:sz w:val="22"/>
          <w:szCs w:val="22"/>
        </w:rPr>
        <w:t>The</w:t>
      </w:r>
      <w:r w:rsidR="00487722">
        <w:rPr>
          <w:rFonts w:ascii="Arial" w:hAnsi="Arial"/>
          <w:color w:val="000000" w:themeColor="text1"/>
          <w:sz w:val="22"/>
          <w:szCs w:val="22"/>
        </w:rPr>
        <w:t>se implications</w:t>
      </w:r>
      <w:r w:rsidR="00146801" w:rsidRPr="00AA77FE">
        <w:rPr>
          <w:rFonts w:ascii="Arial" w:hAnsi="Arial"/>
          <w:color w:val="000000" w:themeColor="text1"/>
          <w:sz w:val="22"/>
          <w:szCs w:val="22"/>
        </w:rPr>
        <w:t xml:space="preserve"> only assumed </w:t>
      </w:r>
      <w:r w:rsidR="00487722">
        <w:rPr>
          <w:rFonts w:ascii="Arial" w:hAnsi="Arial"/>
          <w:color w:val="000000" w:themeColor="text1"/>
          <w:sz w:val="22"/>
          <w:szCs w:val="22"/>
        </w:rPr>
        <w:t xml:space="preserve">a </w:t>
      </w:r>
      <w:r w:rsidR="00146801" w:rsidRPr="00AA77FE">
        <w:rPr>
          <w:rFonts w:ascii="Arial" w:hAnsi="Arial"/>
          <w:color w:val="000000" w:themeColor="text1"/>
          <w:sz w:val="22"/>
          <w:szCs w:val="22"/>
        </w:rPr>
        <w:t>reduc</w:t>
      </w:r>
      <w:r w:rsidR="00487722">
        <w:rPr>
          <w:rFonts w:ascii="Arial" w:hAnsi="Arial"/>
          <w:color w:val="000000" w:themeColor="text1"/>
          <w:sz w:val="22"/>
          <w:szCs w:val="22"/>
        </w:rPr>
        <w:t>ed</w:t>
      </w:r>
      <w:r w:rsidR="00146801" w:rsidRPr="00AA77FE">
        <w:rPr>
          <w:rFonts w:ascii="Arial" w:hAnsi="Arial"/>
          <w:color w:val="000000" w:themeColor="text1"/>
          <w:sz w:val="22"/>
          <w:szCs w:val="22"/>
        </w:rPr>
        <w:t xml:space="preserve"> use of infliximab and did not factor the market share of adalimumab with the recent listing of vedolizumab.</w:t>
      </w:r>
    </w:p>
    <w:p w:rsidR="0046498E" w:rsidRDefault="0046498E" w:rsidP="00487722">
      <w:pPr>
        <w:jc w:val="both"/>
        <w:rPr>
          <w:rFonts w:ascii="Arial" w:hAnsi="Arial"/>
          <w:color w:val="000000" w:themeColor="text1"/>
          <w:sz w:val="22"/>
          <w:szCs w:val="22"/>
        </w:rPr>
      </w:pPr>
    </w:p>
    <w:p w:rsidR="0046498E" w:rsidRDefault="0046498E" w:rsidP="0046498E">
      <w:pPr>
        <w:pStyle w:val="ListParagraph"/>
        <w:rPr>
          <w:rFonts w:ascii="Arial" w:hAnsi="Arial"/>
          <w:sz w:val="22"/>
          <w:szCs w:val="22"/>
        </w:rPr>
      </w:pPr>
      <w:r w:rsidRPr="0007651C">
        <w:rPr>
          <w:rFonts w:ascii="Arial" w:hAnsi="Arial"/>
          <w:i/>
          <w:sz w:val="22"/>
          <w:szCs w:val="22"/>
        </w:rPr>
        <w:t>For more details on PBAC’s view, see section 7 “PBAC outcome”</w:t>
      </w:r>
      <w:r>
        <w:rPr>
          <w:rFonts w:ascii="Arial" w:hAnsi="Arial"/>
          <w:i/>
          <w:sz w:val="22"/>
          <w:szCs w:val="22"/>
        </w:rPr>
        <w:t>.</w:t>
      </w:r>
    </w:p>
    <w:p w:rsidR="0046498E" w:rsidRPr="0046498E" w:rsidRDefault="0046498E" w:rsidP="0046498E">
      <w:pPr>
        <w:jc w:val="both"/>
        <w:rPr>
          <w:rFonts w:ascii="Arial" w:hAnsi="Arial"/>
          <w:color w:val="000000" w:themeColor="text1"/>
          <w:sz w:val="22"/>
          <w:szCs w:val="22"/>
        </w:rPr>
      </w:pPr>
    </w:p>
    <w:p w:rsidR="006035F6" w:rsidRDefault="006035F6" w:rsidP="000D443F">
      <w:pPr>
        <w:rPr>
          <w:rFonts w:ascii="Arial" w:hAnsi="Arial"/>
          <w:color w:val="000000" w:themeColor="text1"/>
          <w:sz w:val="22"/>
          <w:szCs w:val="22"/>
        </w:rPr>
      </w:pPr>
    </w:p>
    <w:p w:rsidR="00AA77FE" w:rsidRPr="00EC3E76" w:rsidRDefault="00AA77FE" w:rsidP="005672DD">
      <w:pPr>
        <w:pStyle w:val="PBACheading1"/>
        <w:rPr>
          <w:snapToGrid w:val="0"/>
          <w:lang w:eastAsia="en-US"/>
        </w:rPr>
      </w:pPr>
      <w:r w:rsidRPr="00EC3E76">
        <w:rPr>
          <w:snapToGrid w:val="0"/>
          <w:lang w:eastAsia="en-US"/>
        </w:rPr>
        <w:t>PBAC Outcome</w:t>
      </w:r>
    </w:p>
    <w:p w:rsidR="00AA77FE" w:rsidRPr="00487722" w:rsidRDefault="00AA77FE" w:rsidP="00AA77FE">
      <w:pPr>
        <w:contextualSpacing/>
        <w:jc w:val="both"/>
        <w:rPr>
          <w:rFonts w:ascii="Arial" w:hAnsi="Arial" w:cs="Arial"/>
          <w:bCs/>
          <w:snapToGrid w:val="0"/>
          <w:sz w:val="22"/>
          <w:szCs w:val="22"/>
          <w:lang w:val="en-GB" w:eastAsia="en-US"/>
        </w:rPr>
      </w:pPr>
    </w:p>
    <w:p w:rsidR="00B07EDE" w:rsidRDefault="00EC3E76" w:rsidP="00AA77FE">
      <w:pPr>
        <w:widowControl w:val="0"/>
        <w:numPr>
          <w:ilvl w:val="1"/>
          <w:numId w:val="25"/>
        </w:numPr>
        <w:spacing w:after="120"/>
        <w:contextualSpacing/>
        <w:jc w:val="both"/>
        <w:rPr>
          <w:rFonts w:ascii="Arial" w:hAnsi="Arial" w:cs="Arial"/>
          <w:bCs/>
          <w:snapToGrid w:val="0"/>
          <w:sz w:val="22"/>
          <w:szCs w:val="22"/>
          <w:lang w:val="en-GB" w:eastAsia="en-US"/>
        </w:rPr>
      </w:pPr>
      <w:r w:rsidRPr="00EC3E76">
        <w:rPr>
          <w:rFonts w:ascii="Arial" w:hAnsi="Arial" w:cs="Arial"/>
          <w:bCs/>
          <w:snapToGrid w:val="0"/>
          <w:sz w:val="22"/>
          <w:szCs w:val="22"/>
          <w:lang w:val="en-GB" w:eastAsia="en-US"/>
        </w:rPr>
        <w:t>The PBAC</w:t>
      </w:r>
      <w:r>
        <w:rPr>
          <w:rFonts w:ascii="Arial" w:hAnsi="Arial" w:cs="Arial"/>
          <w:bCs/>
          <w:snapToGrid w:val="0"/>
          <w:sz w:val="22"/>
          <w:szCs w:val="22"/>
          <w:lang w:val="en-GB" w:eastAsia="en-US"/>
        </w:rPr>
        <w:t xml:space="preserve"> rejected </w:t>
      </w:r>
      <w:r w:rsidR="00FF4B7F">
        <w:rPr>
          <w:rFonts w:ascii="Arial" w:hAnsi="Arial" w:cs="Arial"/>
          <w:bCs/>
          <w:snapToGrid w:val="0"/>
          <w:sz w:val="22"/>
          <w:szCs w:val="22"/>
          <w:lang w:val="en-GB" w:eastAsia="en-US"/>
        </w:rPr>
        <w:t xml:space="preserve">the </w:t>
      </w:r>
      <w:r w:rsidR="00B07EDE">
        <w:rPr>
          <w:rFonts w:ascii="Arial" w:hAnsi="Arial" w:cs="Arial"/>
          <w:bCs/>
          <w:snapToGrid w:val="0"/>
          <w:sz w:val="22"/>
          <w:szCs w:val="22"/>
          <w:lang w:val="en-GB" w:eastAsia="en-US"/>
        </w:rPr>
        <w:t xml:space="preserve">request </w:t>
      </w:r>
      <w:r w:rsidR="0069081C">
        <w:rPr>
          <w:rFonts w:ascii="Arial" w:hAnsi="Arial" w:cs="Arial"/>
          <w:bCs/>
          <w:snapToGrid w:val="0"/>
          <w:sz w:val="22"/>
          <w:szCs w:val="22"/>
          <w:lang w:val="en-GB" w:eastAsia="en-US"/>
        </w:rPr>
        <w:t xml:space="preserve">to extend the PBS listing of adalimumab </w:t>
      </w:r>
      <w:r w:rsidR="00B07EDE">
        <w:rPr>
          <w:rFonts w:ascii="Arial" w:hAnsi="Arial" w:cs="Arial"/>
          <w:bCs/>
          <w:snapToGrid w:val="0"/>
          <w:sz w:val="22"/>
          <w:szCs w:val="22"/>
          <w:lang w:val="en-GB" w:eastAsia="en-US"/>
        </w:rPr>
        <w:t xml:space="preserve">for </w:t>
      </w:r>
      <w:r w:rsidR="00FF4B7F">
        <w:rPr>
          <w:rFonts w:ascii="Arial" w:hAnsi="Arial" w:cs="Arial"/>
          <w:bCs/>
          <w:snapToGrid w:val="0"/>
          <w:sz w:val="22"/>
          <w:szCs w:val="22"/>
          <w:lang w:val="en-GB" w:eastAsia="en-US"/>
        </w:rPr>
        <w:t>the treatment of patients with moderate to severe ulcerative colitis</w:t>
      </w:r>
      <w:r w:rsidR="00081C41">
        <w:rPr>
          <w:rFonts w:ascii="Arial" w:hAnsi="Arial" w:cs="Arial"/>
          <w:bCs/>
          <w:snapToGrid w:val="0"/>
          <w:sz w:val="22"/>
          <w:szCs w:val="22"/>
          <w:lang w:val="en-GB" w:eastAsia="en-US"/>
        </w:rPr>
        <w:t xml:space="preserve"> </w:t>
      </w:r>
      <w:r w:rsidR="0041604B">
        <w:rPr>
          <w:rFonts w:ascii="Arial" w:hAnsi="Arial" w:cs="Arial"/>
          <w:bCs/>
          <w:snapToGrid w:val="0"/>
          <w:sz w:val="22"/>
          <w:szCs w:val="22"/>
          <w:lang w:val="en-GB" w:eastAsia="en-US"/>
        </w:rPr>
        <w:t xml:space="preserve">on the basis </w:t>
      </w:r>
      <w:r w:rsidR="00931BC1">
        <w:rPr>
          <w:rFonts w:ascii="Arial" w:hAnsi="Arial" w:cs="Arial"/>
          <w:bCs/>
          <w:snapToGrid w:val="0"/>
          <w:sz w:val="22"/>
          <w:szCs w:val="22"/>
          <w:lang w:val="en-GB" w:eastAsia="en-US"/>
        </w:rPr>
        <w:t xml:space="preserve">that the evidence presented </w:t>
      </w:r>
      <w:r w:rsidR="00A42596">
        <w:rPr>
          <w:rFonts w:ascii="Arial" w:hAnsi="Arial" w:cs="Arial"/>
          <w:bCs/>
          <w:snapToGrid w:val="0"/>
          <w:sz w:val="22"/>
          <w:szCs w:val="22"/>
          <w:lang w:val="en-GB" w:eastAsia="en-US"/>
        </w:rPr>
        <w:t xml:space="preserve">in the July 2015 PBAC meeting </w:t>
      </w:r>
      <w:r w:rsidR="00931BC1">
        <w:rPr>
          <w:rFonts w:ascii="Arial" w:hAnsi="Arial" w:cs="Arial"/>
          <w:bCs/>
          <w:snapToGrid w:val="0"/>
          <w:sz w:val="22"/>
          <w:szCs w:val="22"/>
          <w:lang w:val="en-GB" w:eastAsia="en-US"/>
        </w:rPr>
        <w:t xml:space="preserve">did not </w:t>
      </w:r>
      <w:r w:rsidR="00A95441" w:rsidRPr="00A95441">
        <w:rPr>
          <w:rFonts w:ascii="Arial" w:hAnsi="Arial" w:cs="Arial"/>
          <w:bCs/>
          <w:snapToGrid w:val="0"/>
          <w:sz w:val="22"/>
          <w:szCs w:val="22"/>
          <w:lang w:val="en-GB" w:eastAsia="en-US"/>
        </w:rPr>
        <w:t>support the non</w:t>
      </w:r>
      <w:r w:rsidR="00487722">
        <w:rPr>
          <w:rFonts w:ascii="Arial" w:hAnsi="Arial" w:cs="Arial"/>
          <w:bCs/>
          <w:snapToGrid w:val="0"/>
          <w:sz w:val="22"/>
          <w:szCs w:val="22"/>
          <w:lang w:val="en-GB" w:eastAsia="en-US"/>
        </w:rPr>
        <w:t>-</w:t>
      </w:r>
      <w:r w:rsidR="00A95441" w:rsidRPr="00A95441">
        <w:rPr>
          <w:rFonts w:ascii="Arial" w:hAnsi="Arial" w:cs="Arial"/>
          <w:bCs/>
          <w:snapToGrid w:val="0"/>
          <w:sz w:val="22"/>
          <w:szCs w:val="22"/>
          <w:lang w:val="en-GB" w:eastAsia="en-US"/>
        </w:rPr>
        <w:t xml:space="preserve">inferiority claim in the maintenance phase </w:t>
      </w:r>
      <w:r w:rsidR="00B10A83">
        <w:rPr>
          <w:rFonts w:ascii="Arial" w:hAnsi="Arial" w:cs="Arial"/>
          <w:bCs/>
          <w:snapToGrid w:val="0"/>
          <w:sz w:val="22"/>
          <w:szCs w:val="22"/>
          <w:lang w:val="en-GB" w:eastAsia="en-US"/>
        </w:rPr>
        <w:t>against</w:t>
      </w:r>
      <w:r w:rsidR="0041604B">
        <w:rPr>
          <w:rFonts w:ascii="Arial" w:hAnsi="Arial" w:cs="Arial"/>
          <w:bCs/>
          <w:snapToGrid w:val="0"/>
          <w:sz w:val="22"/>
          <w:szCs w:val="22"/>
          <w:lang w:val="en-GB" w:eastAsia="en-US"/>
        </w:rPr>
        <w:t xml:space="preserve"> infliximab</w:t>
      </w:r>
      <w:r w:rsidR="00A95441" w:rsidRPr="00A95441">
        <w:rPr>
          <w:rFonts w:ascii="Arial" w:hAnsi="Arial" w:cs="Arial"/>
          <w:bCs/>
          <w:snapToGrid w:val="0"/>
          <w:sz w:val="22"/>
          <w:szCs w:val="22"/>
          <w:lang w:val="en-GB" w:eastAsia="en-US"/>
        </w:rPr>
        <w:t>.</w:t>
      </w:r>
    </w:p>
    <w:p w:rsidR="0069081C" w:rsidRDefault="0069081C" w:rsidP="00487722">
      <w:pPr>
        <w:widowControl w:val="0"/>
        <w:spacing w:after="120"/>
        <w:contextualSpacing/>
        <w:jc w:val="both"/>
        <w:rPr>
          <w:rFonts w:ascii="Arial" w:hAnsi="Arial" w:cs="Arial"/>
          <w:bCs/>
          <w:snapToGrid w:val="0"/>
          <w:sz w:val="22"/>
          <w:szCs w:val="22"/>
          <w:lang w:val="en-GB" w:eastAsia="en-US"/>
        </w:rPr>
      </w:pPr>
    </w:p>
    <w:p w:rsidR="00A95441" w:rsidRPr="0088156B" w:rsidRDefault="001B0D78" w:rsidP="00AA77FE">
      <w:pPr>
        <w:widowControl w:val="0"/>
        <w:numPr>
          <w:ilvl w:val="1"/>
          <w:numId w:val="25"/>
        </w:numPr>
        <w:spacing w:after="120"/>
        <w:contextualSpacing/>
        <w:jc w:val="both"/>
        <w:rPr>
          <w:rFonts w:ascii="Arial" w:hAnsi="Arial" w:cs="Arial"/>
          <w:bCs/>
          <w:snapToGrid w:val="0"/>
          <w:sz w:val="22"/>
          <w:szCs w:val="22"/>
          <w:lang w:val="en-GB" w:eastAsia="en-US"/>
        </w:rPr>
      </w:pPr>
      <w:r w:rsidRPr="0088156B">
        <w:rPr>
          <w:rFonts w:ascii="Arial" w:hAnsi="Arial" w:cs="Arial"/>
          <w:bCs/>
          <w:snapToGrid w:val="0"/>
          <w:sz w:val="22"/>
          <w:szCs w:val="22"/>
          <w:lang w:val="en-GB" w:eastAsia="en-US"/>
        </w:rPr>
        <w:t>The PBAC noted that th</w:t>
      </w:r>
      <w:r>
        <w:rPr>
          <w:rFonts w:ascii="Arial" w:hAnsi="Arial" w:cs="Arial"/>
          <w:bCs/>
          <w:snapToGrid w:val="0"/>
          <w:sz w:val="22"/>
          <w:szCs w:val="22"/>
          <w:lang w:val="en-GB" w:eastAsia="en-US"/>
        </w:rPr>
        <w:t>e proposed restriction</w:t>
      </w:r>
      <w:r w:rsidRPr="0088156B">
        <w:rPr>
          <w:rFonts w:ascii="Arial" w:hAnsi="Arial" w:cs="Arial"/>
          <w:bCs/>
          <w:snapToGrid w:val="0"/>
          <w:sz w:val="22"/>
          <w:szCs w:val="22"/>
          <w:lang w:val="en-GB" w:eastAsia="en-US"/>
        </w:rPr>
        <w:t xml:space="preserve"> </w:t>
      </w:r>
      <w:r>
        <w:rPr>
          <w:rFonts w:ascii="Arial" w:hAnsi="Arial" w:cs="Arial"/>
          <w:bCs/>
          <w:snapToGrid w:val="0"/>
          <w:sz w:val="22"/>
          <w:szCs w:val="22"/>
          <w:lang w:val="en-GB" w:eastAsia="en-US"/>
        </w:rPr>
        <w:t>was</w:t>
      </w:r>
      <w:r w:rsidRPr="0088156B">
        <w:rPr>
          <w:rFonts w:ascii="Arial" w:hAnsi="Arial" w:cs="Arial"/>
          <w:bCs/>
          <w:snapToGrid w:val="0"/>
          <w:sz w:val="22"/>
          <w:szCs w:val="22"/>
          <w:lang w:val="en-GB" w:eastAsia="en-US"/>
        </w:rPr>
        <w:t xml:space="preserve"> unchanged in the resubmission.</w:t>
      </w:r>
      <w:r w:rsidR="00487722">
        <w:rPr>
          <w:rFonts w:ascii="Arial" w:hAnsi="Arial" w:cs="Arial"/>
          <w:bCs/>
          <w:snapToGrid w:val="0"/>
          <w:sz w:val="22"/>
          <w:szCs w:val="22"/>
          <w:lang w:val="en-GB" w:eastAsia="en-US"/>
        </w:rPr>
        <w:t xml:space="preserve"> </w:t>
      </w:r>
      <w:r w:rsidR="0069081C" w:rsidRPr="0088156B">
        <w:rPr>
          <w:rFonts w:ascii="Arial" w:hAnsi="Arial" w:cs="Arial"/>
          <w:bCs/>
          <w:snapToGrid w:val="0"/>
          <w:sz w:val="22"/>
          <w:szCs w:val="22"/>
          <w:lang w:val="en-GB" w:eastAsia="en-US"/>
        </w:rPr>
        <w:t xml:space="preserve">The PBAC </w:t>
      </w:r>
      <w:r w:rsidR="000D443F">
        <w:rPr>
          <w:rFonts w:ascii="Arial" w:hAnsi="Arial" w:cs="Arial"/>
          <w:bCs/>
          <w:snapToGrid w:val="0"/>
          <w:sz w:val="22"/>
          <w:szCs w:val="22"/>
          <w:lang w:val="en-GB" w:eastAsia="en-US"/>
        </w:rPr>
        <w:t>maintained</w:t>
      </w:r>
      <w:r w:rsidR="003138BD">
        <w:rPr>
          <w:rFonts w:ascii="Arial" w:hAnsi="Arial" w:cs="Arial"/>
          <w:bCs/>
          <w:snapToGrid w:val="0"/>
          <w:sz w:val="22"/>
          <w:szCs w:val="22"/>
          <w:lang w:val="en-GB" w:eastAsia="en-US"/>
        </w:rPr>
        <w:t xml:space="preserve"> </w:t>
      </w:r>
      <w:r w:rsidR="00C86E30" w:rsidRPr="0088156B">
        <w:rPr>
          <w:rFonts w:ascii="Arial" w:hAnsi="Arial" w:cs="Arial"/>
          <w:bCs/>
          <w:snapToGrid w:val="0"/>
          <w:sz w:val="22"/>
          <w:szCs w:val="22"/>
          <w:lang w:val="en-GB" w:eastAsia="en-US"/>
        </w:rPr>
        <w:t xml:space="preserve">its </w:t>
      </w:r>
      <w:r w:rsidR="003B7BD2" w:rsidRPr="0088156B">
        <w:rPr>
          <w:rFonts w:ascii="Arial" w:hAnsi="Arial" w:cs="Arial"/>
          <w:bCs/>
          <w:snapToGrid w:val="0"/>
          <w:sz w:val="22"/>
          <w:szCs w:val="22"/>
          <w:lang w:val="en-GB" w:eastAsia="en-US"/>
        </w:rPr>
        <w:t>previous</w:t>
      </w:r>
      <w:r w:rsidR="00C86E30" w:rsidRPr="0088156B">
        <w:rPr>
          <w:rFonts w:ascii="Arial" w:hAnsi="Arial" w:cs="Arial"/>
          <w:bCs/>
          <w:snapToGrid w:val="0"/>
          <w:sz w:val="22"/>
          <w:szCs w:val="22"/>
          <w:lang w:val="en-GB" w:eastAsia="en-US"/>
        </w:rPr>
        <w:t xml:space="preserve"> consideration from the </w:t>
      </w:r>
      <w:r w:rsidR="00815446" w:rsidRPr="0088156B">
        <w:rPr>
          <w:rFonts w:ascii="Arial" w:hAnsi="Arial" w:cs="Arial"/>
          <w:bCs/>
          <w:snapToGrid w:val="0"/>
          <w:sz w:val="22"/>
          <w:szCs w:val="22"/>
          <w:lang w:val="en-GB" w:eastAsia="en-US"/>
        </w:rPr>
        <w:t xml:space="preserve">July 2015 meeting that the exclusion of paediatric patients from the </w:t>
      </w:r>
      <w:r w:rsidR="00C86E30" w:rsidRPr="0088156B">
        <w:rPr>
          <w:rFonts w:ascii="Arial" w:hAnsi="Arial" w:cs="Arial"/>
          <w:bCs/>
          <w:snapToGrid w:val="0"/>
          <w:sz w:val="22"/>
          <w:szCs w:val="22"/>
          <w:lang w:val="en-GB" w:eastAsia="en-US"/>
        </w:rPr>
        <w:t xml:space="preserve">adalimumab </w:t>
      </w:r>
      <w:r w:rsidR="00815446" w:rsidRPr="0088156B">
        <w:rPr>
          <w:rFonts w:ascii="Arial" w:hAnsi="Arial" w:cs="Arial"/>
          <w:bCs/>
          <w:snapToGrid w:val="0"/>
          <w:sz w:val="22"/>
          <w:szCs w:val="22"/>
          <w:lang w:val="en-GB" w:eastAsia="en-US"/>
        </w:rPr>
        <w:t>restriction was not adequately justified and should be addr</w:t>
      </w:r>
      <w:r w:rsidR="00487722">
        <w:rPr>
          <w:rFonts w:ascii="Arial" w:hAnsi="Arial" w:cs="Arial"/>
          <w:bCs/>
          <w:snapToGrid w:val="0"/>
          <w:sz w:val="22"/>
          <w:szCs w:val="22"/>
          <w:lang w:val="en-GB" w:eastAsia="en-US"/>
        </w:rPr>
        <w:t xml:space="preserve">essed in any future </w:t>
      </w:r>
      <w:r w:rsidR="004F0914">
        <w:rPr>
          <w:rFonts w:ascii="Arial" w:hAnsi="Arial" w:cs="Arial"/>
          <w:bCs/>
          <w:snapToGrid w:val="0"/>
          <w:sz w:val="22"/>
          <w:szCs w:val="22"/>
          <w:lang w:val="en-GB" w:eastAsia="en-US"/>
        </w:rPr>
        <w:t>re</w:t>
      </w:r>
      <w:r w:rsidR="00487722">
        <w:rPr>
          <w:rFonts w:ascii="Arial" w:hAnsi="Arial" w:cs="Arial"/>
          <w:bCs/>
          <w:snapToGrid w:val="0"/>
          <w:sz w:val="22"/>
          <w:szCs w:val="22"/>
          <w:lang w:val="en-GB" w:eastAsia="en-US"/>
        </w:rPr>
        <w:t>submission.</w:t>
      </w:r>
    </w:p>
    <w:p w:rsidR="00A95441" w:rsidRPr="0088156B" w:rsidRDefault="00A95441" w:rsidP="00487722">
      <w:pPr>
        <w:widowControl w:val="0"/>
        <w:spacing w:after="120"/>
        <w:contextualSpacing/>
        <w:jc w:val="both"/>
        <w:rPr>
          <w:rFonts w:ascii="Arial" w:hAnsi="Arial" w:cs="Arial"/>
          <w:bCs/>
          <w:snapToGrid w:val="0"/>
          <w:sz w:val="22"/>
          <w:szCs w:val="22"/>
          <w:lang w:val="en-GB" w:eastAsia="en-US"/>
        </w:rPr>
      </w:pPr>
    </w:p>
    <w:p w:rsidR="0069081C" w:rsidRPr="0088156B" w:rsidRDefault="00A95441" w:rsidP="00AA77FE">
      <w:pPr>
        <w:widowControl w:val="0"/>
        <w:numPr>
          <w:ilvl w:val="1"/>
          <w:numId w:val="25"/>
        </w:numPr>
        <w:spacing w:after="120"/>
        <w:contextualSpacing/>
        <w:jc w:val="both"/>
        <w:rPr>
          <w:rFonts w:ascii="Arial" w:hAnsi="Arial" w:cs="Arial"/>
          <w:bCs/>
          <w:snapToGrid w:val="0"/>
          <w:sz w:val="22"/>
          <w:szCs w:val="22"/>
          <w:lang w:val="en-GB" w:eastAsia="en-US"/>
        </w:rPr>
      </w:pPr>
      <w:r w:rsidRPr="0088156B">
        <w:rPr>
          <w:rFonts w:ascii="Arial" w:hAnsi="Arial" w:cs="Arial"/>
          <w:bCs/>
          <w:snapToGrid w:val="0"/>
          <w:sz w:val="22"/>
          <w:szCs w:val="22"/>
          <w:lang w:val="en-GB" w:eastAsia="en-US"/>
        </w:rPr>
        <w:t>The PBAC</w:t>
      </w:r>
      <w:r w:rsidR="00C86E30" w:rsidRPr="0088156B">
        <w:rPr>
          <w:rFonts w:ascii="Arial" w:hAnsi="Arial" w:cs="Arial"/>
          <w:bCs/>
          <w:snapToGrid w:val="0"/>
          <w:sz w:val="22"/>
          <w:szCs w:val="22"/>
          <w:lang w:val="en-GB" w:eastAsia="en-US"/>
        </w:rPr>
        <w:t xml:space="preserve"> </w:t>
      </w:r>
      <w:r w:rsidR="001B0D78">
        <w:rPr>
          <w:rFonts w:ascii="Arial" w:hAnsi="Arial" w:cs="Arial"/>
          <w:bCs/>
          <w:snapToGrid w:val="0"/>
          <w:sz w:val="22"/>
          <w:szCs w:val="22"/>
          <w:lang w:val="en-GB" w:eastAsia="en-US"/>
        </w:rPr>
        <w:t>reaffirmed</w:t>
      </w:r>
      <w:r w:rsidR="00C86E30" w:rsidRPr="0088156B">
        <w:rPr>
          <w:rFonts w:ascii="Arial" w:hAnsi="Arial" w:cs="Arial"/>
          <w:bCs/>
          <w:snapToGrid w:val="0"/>
          <w:sz w:val="22"/>
          <w:szCs w:val="22"/>
          <w:lang w:val="en-GB" w:eastAsia="en-US"/>
        </w:rPr>
        <w:t xml:space="preserve"> its </w:t>
      </w:r>
      <w:r w:rsidR="00675A7B">
        <w:rPr>
          <w:rFonts w:ascii="Arial" w:hAnsi="Arial" w:cs="Arial"/>
          <w:bCs/>
          <w:snapToGrid w:val="0"/>
          <w:sz w:val="22"/>
          <w:szCs w:val="22"/>
          <w:lang w:val="en-GB" w:eastAsia="en-US"/>
        </w:rPr>
        <w:t>views</w:t>
      </w:r>
      <w:r w:rsidR="00C86E30" w:rsidRPr="0088156B">
        <w:rPr>
          <w:rFonts w:ascii="Arial" w:hAnsi="Arial" w:cs="Arial"/>
          <w:bCs/>
          <w:snapToGrid w:val="0"/>
          <w:sz w:val="22"/>
          <w:szCs w:val="22"/>
          <w:lang w:val="en-GB" w:eastAsia="en-US"/>
        </w:rPr>
        <w:t xml:space="preserve"> from the July 2015 meeting that the clinical positioning of adalimumab </w:t>
      </w:r>
      <w:r w:rsidR="0088156B">
        <w:rPr>
          <w:rFonts w:ascii="Arial" w:hAnsi="Arial" w:cs="Arial"/>
          <w:bCs/>
          <w:snapToGrid w:val="0"/>
          <w:sz w:val="22"/>
          <w:szCs w:val="22"/>
          <w:lang w:val="en-GB" w:eastAsia="en-US"/>
        </w:rPr>
        <w:t>may be more</w:t>
      </w:r>
      <w:r w:rsidR="00C86E30" w:rsidRPr="0088156B">
        <w:rPr>
          <w:rFonts w:ascii="Arial" w:hAnsi="Arial" w:cs="Arial"/>
          <w:bCs/>
          <w:snapToGrid w:val="0"/>
          <w:sz w:val="22"/>
          <w:szCs w:val="22"/>
          <w:lang w:val="en-GB" w:eastAsia="en-US"/>
        </w:rPr>
        <w:t xml:space="preserve"> appro</w:t>
      </w:r>
      <w:r w:rsidR="00487722">
        <w:rPr>
          <w:rFonts w:ascii="Arial" w:hAnsi="Arial" w:cs="Arial"/>
          <w:bCs/>
          <w:snapToGrid w:val="0"/>
          <w:sz w:val="22"/>
          <w:szCs w:val="22"/>
          <w:lang w:val="en-GB" w:eastAsia="en-US"/>
        </w:rPr>
        <w:t>priately placed as a subsequent-</w:t>
      </w:r>
      <w:r w:rsidR="00C86E30" w:rsidRPr="0088156B">
        <w:rPr>
          <w:rFonts w:ascii="Arial" w:hAnsi="Arial" w:cs="Arial"/>
          <w:bCs/>
          <w:snapToGrid w:val="0"/>
          <w:sz w:val="22"/>
          <w:szCs w:val="22"/>
          <w:lang w:val="en-GB" w:eastAsia="en-US"/>
        </w:rPr>
        <w:t>line biologic, following failure of, or intolerance to, infliximab or vedolizumab</w:t>
      </w:r>
      <w:r w:rsidR="0088156B">
        <w:rPr>
          <w:rFonts w:ascii="Arial" w:hAnsi="Arial" w:cs="Arial"/>
          <w:bCs/>
          <w:snapToGrid w:val="0"/>
          <w:sz w:val="22"/>
          <w:szCs w:val="22"/>
          <w:lang w:val="en-GB" w:eastAsia="en-US"/>
        </w:rPr>
        <w:t xml:space="preserve"> </w:t>
      </w:r>
      <w:r w:rsidR="003418D6">
        <w:rPr>
          <w:rFonts w:ascii="Arial" w:hAnsi="Arial" w:cs="Arial"/>
          <w:bCs/>
          <w:snapToGrid w:val="0"/>
          <w:sz w:val="22"/>
          <w:szCs w:val="22"/>
          <w:lang w:val="en-GB" w:eastAsia="en-US"/>
        </w:rPr>
        <w:t>(adalimumab PSD, July 2015</w:t>
      </w:r>
      <w:r w:rsidR="00487722">
        <w:rPr>
          <w:rFonts w:ascii="Arial" w:hAnsi="Arial" w:cs="Arial"/>
          <w:bCs/>
          <w:snapToGrid w:val="0"/>
          <w:sz w:val="22"/>
          <w:szCs w:val="22"/>
          <w:lang w:val="en-GB" w:eastAsia="en-US"/>
        </w:rPr>
        <w:t>).</w:t>
      </w:r>
    </w:p>
    <w:p w:rsidR="00B07EDE" w:rsidRDefault="00B07EDE" w:rsidP="00487722">
      <w:pPr>
        <w:widowControl w:val="0"/>
        <w:spacing w:after="120"/>
        <w:contextualSpacing/>
        <w:jc w:val="both"/>
        <w:rPr>
          <w:rFonts w:ascii="Arial" w:hAnsi="Arial" w:cs="Arial"/>
          <w:bCs/>
          <w:snapToGrid w:val="0"/>
          <w:sz w:val="22"/>
          <w:szCs w:val="22"/>
          <w:lang w:val="en-GB" w:eastAsia="en-US"/>
        </w:rPr>
      </w:pPr>
    </w:p>
    <w:p w:rsidR="003138BD" w:rsidRDefault="003138BD" w:rsidP="003138BD">
      <w:pPr>
        <w:widowControl w:val="0"/>
        <w:numPr>
          <w:ilvl w:val="1"/>
          <w:numId w:val="25"/>
        </w:numPr>
        <w:spacing w:after="120"/>
        <w:contextualSpacing/>
        <w:jc w:val="both"/>
        <w:rPr>
          <w:rFonts w:ascii="Arial" w:hAnsi="Arial" w:cs="Arial"/>
          <w:bCs/>
          <w:snapToGrid w:val="0"/>
          <w:sz w:val="22"/>
          <w:szCs w:val="22"/>
          <w:lang w:val="en-GB" w:eastAsia="en-US"/>
        </w:rPr>
      </w:pPr>
      <w:r w:rsidRPr="003138BD">
        <w:rPr>
          <w:rFonts w:ascii="Arial" w:hAnsi="Arial" w:cs="Arial"/>
          <w:bCs/>
          <w:snapToGrid w:val="0"/>
          <w:sz w:val="22"/>
          <w:szCs w:val="22"/>
          <w:lang w:val="en-GB" w:eastAsia="en-US"/>
        </w:rPr>
        <w:t xml:space="preserve">The </w:t>
      </w:r>
      <w:r w:rsidR="004F0914">
        <w:rPr>
          <w:rFonts w:ascii="Arial" w:hAnsi="Arial" w:cs="Arial"/>
          <w:bCs/>
          <w:snapToGrid w:val="0"/>
          <w:sz w:val="22"/>
          <w:szCs w:val="22"/>
          <w:lang w:val="en-GB" w:eastAsia="en-US"/>
        </w:rPr>
        <w:t>PBAC recalled that it</w:t>
      </w:r>
      <w:r w:rsidRPr="003138BD">
        <w:rPr>
          <w:rFonts w:ascii="Arial" w:hAnsi="Arial" w:cs="Arial"/>
          <w:bCs/>
          <w:snapToGrid w:val="0"/>
          <w:sz w:val="22"/>
          <w:szCs w:val="22"/>
          <w:lang w:val="en-GB" w:eastAsia="en-US"/>
        </w:rPr>
        <w:t xml:space="preserve"> </w:t>
      </w:r>
      <w:r>
        <w:rPr>
          <w:rFonts w:ascii="Arial" w:hAnsi="Arial" w:cs="Arial"/>
          <w:bCs/>
          <w:snapToGrid w:val="0"/>
          <w:sz w:val="22"/>
          <w:szCs w:val="22"/>
          <w:lang w:val="en-GB" w:eastAsia="en-US"/>
        </w:rPr>
        <w:t xml:space="preserve">had previously accepted </w:t>
      </w:r>
      <w:r w:rsidR="004F0914">
        <w:rPr>
          <w:rFonts w:ascii="Arial" w:hAnsi="Arial" w:cs="Arial"/>
          <w:bCs/>
          <w:snapToGrid w:val="0"/>
          <w:sz w:val="22"/>
          <w:szCs w:val="22"/>
          <w:lang w:val="en-GB" w:eastAsia="en-US"/>
        </w:rPr>
        <w:t xml:space="preserve">infliximab </w:t>
      </w:r>
      <w:r>
        <w:rPr>
          <w:rFonts w:ascii="Arial" w:hAnsi="Arial" w:cs="Arial"/>
          <w:bCs/>
          <w:snapToGrid w:val="0"/>
          <w:sz w:val="22"/>
          <w:szCs w:val="22"/>
          <w:lang w:val="en-GB" w:eastAsia="en-US"/>
        </w:rPr>
        <w:t>as</w:t>
      </w:r>
      <w:r w:rsidR="00487722">
        <w:rPr>
          <w:rFonts w:ascii="Arial" w:hAnsi="Arial" w:cs="Arial"/>
          <w:bCs/>
          <w:snapToGrid w:val="0"/>
          <w:sz w:val="22"/>
          <w:szCs w:val="22"/>
          <w:lang w:val="en-GB" w:eastAsia="en-US"/>
        </w:rPr>
        <w:t xml:space="preserve"> the appropriate comparator.</w:t>
      </w:r>
    </w:p>
    <w:p w:rsidR="003138BD" w:rsidRPr="003138BD" w:rsidRDefault="003138BD" w:rsidP="003138BD">
      <w:pPr>
        <w:widowControl w:val="0"/>
        <w:spacing w:after="120"/>
        <w:contextualSpacing/>
        <w:jc w:val="both"/>
        <w:rPr>
          <w:rFonts w:ascii="Arial" w:hAnsi="Arial" w:cs="Arial"/>
          <w:bCs/>
          <w:snapToGrid w:val="0"/>
          <w:sz w:val="22"/>
          <w:szCs w:val="22"/>
          <w:lang w:val="en-GB" w:eastAsia="en-US"/>
        </w:rPr>
      </w:pPr>
    </w:p>
    <w:p w:rsidR="008C13E3" w:rsidRDefault="00B83580" w:rsidP="00335AB9">
      <w:pPr>
        <w:widowControl w:val="0"/>
        <w:numPr>
          <w:ilvl w:val="1"/>
          <w:numId w:val="25"/>
        </w:numPr>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PBAC noted that no new data were presented in the </w:t>
      </w:r>
      <w:r w:rsidR="00335AB9">
        <w:rPr>
          <w:rFonts w:ascii="Arial" w:hAnsi="Arial" w:cs="Arial"/>
          <w:bCs/>
          <w:snapToGrid w:val="0"/>
          <w:sz w:val="22"/>
          <w:szCs w:val="22"/>
          <w:lang w:val="en-GB" w:eastAsia="en-US"/>
        </w:rPr>
        <w:t>re</w:t>
      </w:r>
      <w:r>
        <w:rPr>
          <w:rFonts w:ascii="Arial" w:hAnsi="Arial" w:cs="Arial"/>
          <w:bCs/>
          <w:snapToGrid w:val="0"/>
          <w:sz w:val="22"/>
          <w:szCs w:val="22"/>
          <w:lang w:val="en-GB" w:eastAsia="en-US"/>
        </w:rPr>
        <w:t xml:space="preserve">submission. </w:t>
      </w:r>
      <w:r w:rsidR="007B0C61">
        <w:rPr>
          <w:rFonts w:ascii="Arial" w:hAnsi="Arial" w:cs="Arial"/>
          <w:bCs/>
          <w:snapToGrid w:val="0"/>
          <w:sz w:val="22"/>
          <w:szCs w:val="22"/>
          <w:lang w:val="en-GB" w:eastAsia="en-US"/>
        </w:rPr>
        <w:t>T</w:t>
      </w:r>
      <w:r w:rsidR="007B0C61" w:rsidRPr="007B0C61">
        <w:rPr>
          <w:rFonts w:ascii="Arial" w:hAnsi="Arial" w:cs="Arial"/>
          <w:bCs/>
          <w:snapToGrid w:val="0"/>
          <w:sz w:val="22"/>
          <w:szCs w:val="22"/>
          <w:lang w:val="en-GB" w:eastAsia="en-US"/>
        </w:rPr>
        <w:t xml:space="preserve">he </w:t>
      </w:r>
      <w:r w:rsidR="00B07EDE" w:rsidRPr="007B0C61">
        <w:rPr>
          <w:rFonts w:ascii="Arial" w:hAnsi="Arial" w:cs="Arial"/>
          <w:bCs/>
          <w:snapToGrid w:val="0"/>
          <w:sz w:val="22"/>
          <w:szCs w:val="22"/>
          <w:lang w:val="en-GB" w:eastAsia="en-US"/>
        </w:rPr>
        <w:t xml:space="preserve">PBAC recalled the July </w:t>
      </w:r>
      <w:r w:rsidR="000D3AF0" w:rsidRPr="007B0C61">
        <w:rPr>
          <w:rFonts w:ascii="Arial" w:hAnsi="Arial" w:cs="Arial"/>
          <w:bCs/>
          <w:snapToGrid w:val="0"/>
          <w:sz w:val="22"/>
          <w:szCs w:val="22"/>
          <w:lang w:val="en-GB" w:eastAsia="en-US"/>
        </w:rPr>
        <w:t>2015 PBAC meeting</w:t>
      </w:r>
      <w:r w:rsidR="007B0C61">
        <w:rPr>
          <w:rFonts w:ascii="Arial" w:hAnsi="Arial" w:cs="Arial"/>
          <w:bCs/>
          <w:snapToGrid w:val="0"/>
          <w:sz w:val="22"/>
          <w:szCs w:val="22"/>
          <w:lang w:val="en-GB" w:eastAsia="en-US"/>
        </w:rPr>
        <w:t xml:space="preserve"> where it</w:t>
      </w:r>
      <w:r w:rsidR="000D3AF0" w:rsidRPr="007B0C61">
        <w:rPr>
          <w:rFonts w:ascii="Arial" w:hAnsi="Arial" w:cs="Arial"/>
          <w:bCs/>
          <w:snapToGrid w:val="0"/>
          <w:sz w:val="22"/>
          <w:szCs w:val="22"/>
          <w:lang w:val="en-GB" w:eastAsia="en-US"/>
        </w:rPr>
        <w:t xml:space="preserve"> considered </w:t>
      </w:r>
      <w:r w:rsidR="005926A7">
        <w:rPr>
          <w:rFonts w:ascii="Arial" w:hAnsi="Arial" w:cs="Arial"/>
          <w:bCs/>
          <w:snapToGrid w:val="0"/>
          <w:sz w:val="22"/>
          <w:szCs w:val="22"/>
          <w:lang w:val="en-GB" w:eastAsia="en-US"/>
        </w:rPr>
        <w:t>an</w:t>
      </w:r>
      <w:r w:rsidR="000D3AF0" w:rsidRPr="007B0C61">
        <w:rPr>
          <w:rFonts w:ascii="Arial" w:hAnsi="Arial" w:cs="Arial"/>
          <w:bCs/>
          <w:snapToGrid w:val="0"/>
          <w:sz w:val="22"/>
          <w:szCs w:val="22"/>
          <w:lang w:val="en-GB" w:eastAsia="en-US"/>
        </w:rPr>
        <w:t xml:space="preserve"> indirect comparison</w:t>
      </w:r>
      <w:r w:rsidR="005926A7">
        <w:rPr>
          <w:rFonts w:ascii="Arial" w:hAnsi="Arial" w:cs="Arial"/>
          <w:bCs/>
          <w:snapToGrid w:val="0"/>
          <w:sz w:val="22"/>
          <w:szCs w:val="22"/>
          <w:lang w:val="en-GB" w:eastAsia="en-US"/>
        </w:rPr>
        <w:t xml:space="preserve"> based on three </w:t>
      </w:r>
      <w:r w:rsidR="00D82019">
        <w:rPr>
          <w:rFonts w:ascii="Arial" w:hAnsi="Arial" w:cs="Arial"/>
          <w:bCs/>
          <w:snapToGrid w:val="0"/>
          <w:sz w:val="22"/>
          <w:szCs w:val="22"/>
          <w:lang w:val="en-GB" w:eastAsia="en-US"/>
        </w:rPr>
        <w:t>randomised controlled trials (RCTs)</w:t>
      </w:r>
      <w:r w:rsidR="005926A7">
        <w:rPr>
          <w:rFonts w:ascii="Arial" w:hAnsi="Arial" w:cs="Arial"/>
          <w:bCs/>
          <w:snapToGrid w:val="0"/>
          <w:sz w:val="22"/>
          <w:szCs w:val="22"/>
          <w:lang w:val="en-GB" w:eastAsia="en-US"/>
        </w:rPr>
        <w:t xml:space="preserve"> comparing adalimumab to placebo (ULTRA 1, ULTRA 2 and Suzuki 2014) and three </w:t>
      </w:r>
      <w:r w:rsidR="00D82019">
        <w:rPr>
          <w:rFonts w:ascii="Arial" w:hAnsi="Arial" w:cs="Arial"/>
          <w:bCs/>
          <w:snapToGrid w:val="0"/>
          <w:sz w:val="22"/>
          <w:szCs w:val="22"/>
          <w:lang w:val="en-GB" w:eastAsia="en-US"/>
        </w:rPr>
        <w:t>RCTs</w:t>
      </w:r>
      <w:r w:rsidR="005926A7">
        <w:rPr>
          <w:rFonts w:ascii="Arial" w:hAnsi="Arial" w:cs="Arial"/>
          <w:bCs/>
          <w:snapToGrid w:val="0"/>
          <w:sz w:val="22"/>
          <w:szCs w:val="22"/>
          <w:lang w:val="en-GB" w:eastAsia="en-US"/>
        </w:rPr>
        <w:t xml:space="preserve"> comparing infliximab to placebo (ACT 1, ACT 2 and Probert).</w:t>
      </w:r>
      <w:r w:rsidR="007A2569">
        <w:rPr>
          <w:rFonts w:ascii="Arial" w:hAnsi="Arial" w:cs="Arial"/>
          <w:bCs/>
          <w:snapToGrid w:val="0"/>
          <w:sz w:val="22"/>
          <w:szCs w:val="22"/>
          <w:lang w:val="en-GB" w:eastAsia="en-US"/>
        </w:rPr>
        <w:t xml:space="preserve"> The </w:t>
      </w:r>
      <w:r w:rsidR="00D82019">
        <w:rPr>
          <w:rFonts w:ascii="Arial" w:hAnsi="Arial" w:cs="Arial"/>
          <w:bCs/>
          <w:snapToGrid w:val="0"/>
          <w:sz w:val="22"/>
          <w:szCs w:val="22"/>
          <w:lang w:val="en-GB" w:eastAsia="en-US"/>
        </w:rPr>
        <w:t>indirect comparison</w:t>
      </w:r>
      <w:r w:rsidR="000D3AF0" w:rsidRPr="007B0C61">
        <w:rPr>
          <w:rFonts w:ascii="Arial" w:hAnsi="Arial" w:cs="Arial"/>
          <w:bCs/>
          <w:snapToGrid w:val="0"/>
          <w:sz w:val="22"/>
          <w:szCs w:val="22"/>
          <w:lang w:val="en-GB" w:eastAsia="en-US"/>
        </w:rPr>
        <w:t xml:space="preserve"> </w:t>
      </w:r>
      <w:r w:rsidR="000D3AF0" w:rsidRPr="007A2569">
        <w:rPr>
          <w:rFonts w:ascii="Arial" w:hAnsi="Arial" w:cs="Arial"/>
          <w:bCs/>
          <w:snapToGrid w:val="0"/>
          <w:sz w:val="22"/>
          <w:szCs w:val="22"/>
          <w:lang w:val="en-GB" w:eastAsia="en-US"/>
        </w:rPr>
        <w:t>provided low certainty evidence</w:t>
      </w:r>
      <w:r w:rsidR="000D3AF0" w:rsidRPr="007B0C61">
        <w:rPr>
          <w:rFonts w:ascii="Arial" w:hAnsi="Arial" w:cs="Arial"/>
          <w:bCs/>
          <w:snapToGrid w:val="0"/>
          <w:sz w:val="22"/>
          <w:szCs w:val="22"/>
          <w:lang w:val="en-GB" w:eastAsia="en-US"/>
        </w:rPr>
        <w:t xml:space="preserve"> for the claim on non</w:t>
      </w:r>
      <w:r w:rsidR="00335AB9">
        <w:rPr>
          <w:rFonts w:ascii="Arial" w:hAnsi="Arial" w:cs="Arial"/>
          <w:bCs/>
          <w:snapToGrid w:val="0"/>
          <w:sz w:val="22"/>
          <w:szCs w:val="22"/>
          <w:lang w:val="en-GB" w:eastAsia="en-US"/>
        </w:rPr>
        <w:t>-</w:t>
      </w:r>
      <w:r w:rsidR="000D3AF0" w:rsidRPr="007B0C61">
        <w:rPr>
          <w:rFonts w:ascii="Arial" w:hAnsi="Arial" w:cs="Arial"/>
          <w:bCs/>
          <w:snapToGrid w:val="0"/>
          <w:sz w:val="22"/>
          <w:szCs w:val="22"/>
          <w:lang w:val="en-GB" w:eastAsia="en-US"/>
        </w:rPr>
        <w:t xml:space="preserve">inferiority between adalimumab and infliximab, both in the remission phase and in the maintenance phase </w:t>
      </w:r>
      <w:r w:rsidR="00CB5349" w:rsidRPr="005926A7">
        <w:rPr>
          <w:rFonts w:ascii="Arial" w:hAnsi="Arial" w:cs="Arial"/>
          <w:bCs/>
          <w:snapToGrid w:val="0"/>
          <w:sz w:val="22"/>
          <w:szCs w:val="22"/>
          <w:lang w:val="en-GB" w:eastAsia="en-US"/>
        </w:rPr>
        <w:t>(adalimumab PSD, July 2015).</w:t>
      </w:r>
    </w:p>
    <w:p w:rsidR="008C13E3" w:rsidRPr="00335AB9" w:rsidRDefault="008C13E3" w:rsidP="0046498E">
      <w:pPr>
        <w:rPr>
          <w:rFonts w:ascii="Arial" w:hAnsi="Arial" w:cs="Arial"/>
          <w:bCs/>
          <w:snapToGrid w:val="0"/>
          <w:sz w:val="22"/>
          <w:szCs w:val="22"/>
          <w:lang w:val="en-GB" w:eastAsia="en-US"/>
        </w:rPr>
      </w:pPr>
    </w:p>
    <w:p w:rsidR="000D443F" w:rsidRDefault="008C13E3" w:rsidP="000D443F">
      <w:pPr>
        <w:widowControl w:val="0"/>
        <w:numPr>
          <w:ilvl w:val="1"/>
          <w:numId w:val="25"/>
        </w:numPr>
        <w:spacing w:after="120"/>
        <w:contextualSpacing/>
        <w:jc w:val="both"/>
        <w:rPr>
          <w:rFonts w:ascii="Arial" w:hAnsi="Arial" w:cs="Arial"/>
          <w:bCs/>
          <w:snapToGrid w:val="0"/>
          <w:sz w:val="22"/>
          <w:szCs w:val="22"/>
          <w:lang w:val="en-GB" w:eastAsia="en-US"/>
        </w:rPr>
      </w:pPr>
      <w:r w:rsidRPr="000D443F">
        <w:rPr>
          <w:rFonts w:ascii="Arial" w:hAnsi="Arial" w:cs="Arial"/>
          <w:bCs/>
          <w:snapToGrid w:val="0"/>
          <w:sz w:val="22"/>
          <w:szCs w:val="22"/>
          <w:lang w:val="en-GB" w:eastAsia="en-US"/>
        </w:rPr>
        <w:t xml:space="preserve">The PBAC noted that the </w:t>
      </w:r>
      <w:r w:rsidR="00335AB9">
        <w:rPr>
          <w:rFonts w:ascii="Arial" w:hAnsi="Arial" w:cs="Arial"/>
          <w:bCs/>
          <w:snapToGrid w:val="0"/>
          <w:sz w:val="22"/>
          <w:szCs w:val="22"/>
          <w:lang w:val="en-GB" w:eastAsia="en-US"/>
        </w:rPr>
        <w:t xml:space="preserve">current </w:t>
      </w:r>
      <w:r w:rsidRPr="000D443F">
        <w:rPr>
          <w:rFonts w:ascii="Arial" w:hAnsi="Arial" w:cs="Arial"/>
          <w:bCs/>
          <w:snapToGrid w:val="0"/>
          <w:sz w:val="22"/>
          <w:szCs w:val="22"/>
          <w:lang w:val="en-GB" w:eastAsia="en-US"/>
        </w:rPr>
        <w:t xml:space="preserve">resubmission </w:t>
      </w:r>
      <w:r w:rsidR="000B1B9D">
        <w:rPr>
          <w:rFonts w:ascii="Arial" w:hAnsi="Arial" w:cs="Arial"/>
          <w:bCs/>
          <w:noProof/>
          <w:snapToGrid w:val="0"/>
          <w:color w:val="000000"/>
          <w:sz w:val="22"/>
          <w:szCs w:val="22"/>
          <w:highlight w:val="black"/>
          <w:lang w:val="en-GB" w:eastAsia="en-US"/>
        </w:rPr>
        <w:t>''''''''''''''''''''''''''''''''''''' '''''''''''''''''''''' '''' ''''''''''''''''''''''''''' ''''' ''''''' ''''''''''''''''''' '''''''''''''''' '''''''' ''''''''''''''''''''''' '''' ''''''''''''''''''''''''''''''''''' '''''''''''' ''''' ''''''''' '''''''''''''''''''''''''''' '''''''''''''''''</w:t>
      </w:r>
      <w:r w:rsidRPr="000D443F">
        <w:rPr>
          <w:rFonts w:ascii="Arial" w:hAnsi="Arial" w:cs="Arial"/>
          <w:bCs/>
          <w:snapToGrid w:val="0"/>
          <w:sz w:val="22"/>
          <w:szCs w:val="22"/>
          <w:lang w:val="en-GB" w:eastAsia="en-US"/>
        </w:rPr>
        <w:t xml:space="preserve"> The PBAC did not accept the non-inferiority c</w:t>
      </w:r>
      <w:r w:rsidR="004F0914">
        <w:rPr>
          <w:rFonts w:ascii="Arial" w:hAnsi="Arial" w:cs="Arial"/>
          <w:bCs/>
          <w:snapToGrid w:val="0"/>
          <w:sz w:val="22"/>
          <w:szCs w:val="22"/>
          <w:lang w:val="en-GB" w:eastAsia="en-US"/>
        </w:rPr>
        <w:t xml:space="preserve">laim in the maintenance phase. </w:t>
      </w:r>
      <w:r w:rsidRPr="000D443F">
        <w:rPr>
          <w:rFonts w:ascii="Arial" w:hAnsi="Arial" w:cs="Arial"/>
          <w:bCs/>
          <w:snapToGrid w:val="0"/>
          <w:sz w:val="22"/>
          <w:szCs w:val="22"/>
          <w:lang w:val="en-GB" w:eastAsia="en-US"/>
        </w:rPr>
        <w:t>The PBAC re</w:t>
      </w:r>
      <w:r w:rsidR="001A4CCB" w:rsidRPr="000D443F">
        <w:rPr>
          <w:rFonts w:ascii="Arial" w:hAnsi="Arial" w:cs="Arial"/>
          <w:bCs/>
          <w:snapToGrid w:val="0"/>
          <w:sz w:val="22"/>
          <w:szCs w:val="22"/>
          <w:lang w:val="en-GB" w:eastAsia="en-US"/>
        </w:rPr>
        <w:t xml:space="preserve">iterated </w:t>
      </w:r>
      <w:r w:rsidRPr="000D443F">
        <w:rPr>
          <w:rFonts w:ascii="Arial" w:hAnsi="Arial" w:cs="Arial"/>
          <w:bCs/>
          <w:snapToGrid w:val="0"/>
          <w:sz w:val="22"/>
          <w:szCs w:val="22"/>
          <w:lang w:val="en-GB" w:eastAsia="en-US"/>
        </w:rPr>
        <w:t xml:space="preserve">its </w:t>
      </w:r>
      <w:r w:rsidR="000D443F">
        <w:rPr>
          <w:rFonts w:ascii="Arial" w:hAnsi="Arial" w:cs="Arial"/>
          <w:bCs/>
          <w:snapToGrid w:val="0"/>
          <w:sz w:val="22"/>
          <w:szCs w:val="22"/>
          <w:lang w:val="en-GB" w:eastAsia="en-US"/>
        </w:rPr>
        <w:t>previous conclusions</w:t>
      </w:r>
      <w:r w:rsidR="001A4CCB" w:rsidRPr="000D443F">
        <w:rPr>
          <w:rFonts w:ascii="Arial" w:hAnsi="Arial" w:cs="Arial"/>
          <w:bCs/>
          <w:snapToGrid w:val="0"/>
          <w:sz w:val="22"/>
          <w:szCs w:val="22"/>
          <w:lang w:val="en-GB" w:eastAsia="en-US"/>
        </w:rPr>
        <w:t xml:space="preserve"> from the July 2015 PBAC meeting</w:t>
      </w:r>
      <w:r w:rsidRPr="000D443F">
        <w:rPr>
          <w:rFonts w:ascii="Arial" w:hAnsi="Arial" w:cs="Arial"/>
          <w:bCs/>
          <w:snapToGrid w:val="0"/>
          <w:sz w:val="22"/>
          <w:szCs w:val="22"/>
          <w:lang w:val="en-GB" w:eastAsia="en-US"/>
        </w:rPr>
        <w:t xml:space="preserve"> that the risk of bias </w:t>
      </w:r>
      <w:r w:rsidR="0046498E" w:rsidRPr="000D443F">
        <w:rPr>
          <w:rFonts w:ascii="Arial" w:hAnsi="Arial" w:cs="Arial"/>
          <w:bCs/>
          <w:snapToGrid w:val="0"/>
          <w:sz w:val="22"/>
          <w:szCs w:val="22"/>
          <w:lang w:val="en-GB" w:eastAsia="en-US"/>
        </w:rPr>
        <w:t xml:space="preserve">was high </w:t>
      </w:r>
      <w:r w:rsidR="004F0914">
        <w:rPr>
          <w:rFonts w:ascii="Arial" w:hAnsi="Arial" w:cs="Arial"/>
          <w:bCs/>
          <w:snapToGrid w:val="0"/>
          <w:sz w:val="22"/>
          <w:szCs w:val="22"/>
          <w:lang w:val="en-GB" w:eastAsia="en-US"/>
        </w:rPr>
        <w:t xml:space="preserve">for the maintenance phase. </w:t>
      </w:r>
      <w:r w:rsidRPr="000D443F">
        <w:rPr>
          <w:rFonts w:ascii="Arial" w:hAnsi="Arial" w:cs="Arial"/>
          <w:bCs/>
          <w:snapToGrid w:val="0"/>
          <w:sz w:val="22"/>
          <w:szCs w:val="22"/>
          <w:lang w:val="en-GB" w:eastAsia="en-US"/>
        </w:rPr>
        <w:t>The data for the maintenance phase were incomplete due to a large number of discontinuations and substantial loss to follow-u</w:t>
      </w:r>
      <w:r w:rsidR="004F0914">
        <w:rPr>
          <w:rFonts w:ascii="Arial" w:hAnsi="Arial" w:cs="Arial"/>
          <w:bCs/>
          <w:snapToGrid w:val="0"/>
          <w:sz w:val="22"/>
          <w:szCs w:val="22"/>
          <w:lang w:val="en-GB" w:eastAsia="en-US"/>
        </w:rPr>
        <w:t xml:space="preserve">p (adalimumab PSD, July 2015). </w:t>
      </w:r>
      <w:r w:rsidR="00286FB2" w:rsidRPr="000D443F">
        <w:rPr>
          <w:rFonts w:ascii="Arial" w:hAnsi="Arial" w:cs="Arial"/>
          <w:bCs/>
          <w:snapToGrid w:val="0"/>
          <w:sz w:val="22"/>
          <w:szCs w:val="22"/>
          <w:lang w:val="en-GB" w:eastAsia="en-US"/>
        </w:rPr>
        <w:t>The PBAC maintained its view that</w:t>
      </w:r>
      <w:r w:rsidR="004F0914">
        <w:rPr>
          <w:rFonts w:ascii="Arial" w:hAnsi="Arial" w:cs="Arial"/>
          <w:bCs/>
          <w:snapToGrid w:val="0"/>
          <w:sz w:val="22"/>
          <w:szCs w:val="22"/>
          <w:lang w:val="en-GB" w:eastAsia="en-US"/>
        </w:rPr>
        <w:t>, in UC,</w:t>
      </w:r>
      <w:r w:rsidR="00286FB2" w:rsidRPr="000D443F">
        <w:rPr>
          <w:rFonts w:ascii="Arial" w:hAnsi="Arial" w:cs="Arial"/>
          <w:bCs/>
          <w:snapToGrid w:val="0"/>
          <w:sz w:val="22"/>
          <w:szCs w:val="22"/>
          <w:lang w:val="en-GB" w:eastAsia="en-US"/>
        </w:rPr>
        <w:t xml:space="preserve"> </w:t>
      </w:r>
      <w:r w:rsidR="00235AE6">
        <w:rPr>
          <w:rFonts w:ascii="Arial" w:hAnsi="Arial" w:cs="Arial"/>
          <w:bCs/>
          <w:snapToGrid w:val="0"/>
          <w:sz w:val="22"/>
          <w:szCs w:val="22"/>
          <w:lang w:val="en-GB" w:eastAsia="en-US"/>
        </w:rPr>
        <w:t>based upon available</w:t>
      </w:r>
      <w:r w:rsidR="00A046FA">
        <w:rPr>
          <w:rFonts w:ascii="Arial" w:hAnsi="Arial" w:cs="Arial"/>
          <w:bCs/>
          <w:snapToGrid w:val="0"/>
          <w:sz w:val="22"/>
          <w:szCs w:val="22"/>
          <w:lang w:val="en-GB" w:eastAsia="en-US"/>
        </w:rPr>
        <w:t xml:space="preserve"> data,</w:t>
      </w:r>
      <w:r w:rsidR="00235AE6">
        <w:rPr>
          <w:rFonts w:ascii="Arial" w:hAnsi="Arial" w:cs="Arial"/>
          <w:bCs/>
          <w:snapToGrid w:val="0"/>
          <w:sz w:val="22"/>
          <w:szCs w:val="22"/>
          <w:lang w:val="en-GB" w:eastAsia="en-US"/>
        </w:rPr>
        <w:t xml:space="preserve"> </w:t>
      </w:r>
      <w:r w:rsidR="00286FB2" w:rsidRPr="000D443F">
        <w:rPr>
          <w:rFonts w:ascii="Arial" w:hAnsi="Arial" w:cs="Arial"/>
          <w:bCs/>
          <w:snapToGrid w:val="0"/>
          <w:sz w:val="22"/>
          <w:szCs w:val="22"/>
          <w:lang w:val="en-GB" w:eastAsia="en-US"/>
        </w:rPr>
        <w:t xml:space="preserve">adalimumab </w:t>
      </w:r>
      <w:r w:rsidR="00235AE6">
        <w:rPr>
          <w:rFonts w:ascii="Arial" w:hAnsi="Arial" w:cs="Arial"/>
          <w:bCs/>
          <w:snapToGrid w:val="0"/>
          <w:sz w:val="22"/>
          <w:szCs w:val="22"/>
          <w:lang w:val="en-GB" w:eastAsia="en-US"/>
        </w:rPr>
        <w:t xml:space="preserve">is likely to be </w:t>
      </w:r>
      <w:r w:rsidR="00286FB2" w:rsidRPr="000D443F">
        <w:rPr>
          <w:rFonts w:ascii="Arial" w:hAnsi="Arial" w:cs="Arial"/>
          <w:bCs/>
          <w:snapToGrid w:val="0"/>
          <w:sz w:val="22"/>
          <w:szCs w:val="22"/>
          <w:lang w:val="en-GB" w:eastAsia="en-US"/>
        </w:rPr>
        <w:t xml:space="preserve">inferior to </w:t>
      </w:r>
      <w:r w:rsidR="00E43E37" w:rsidRPr="000D443F">
        <w:rPr>
          <w:rFonts w:ascii="Arial" w:hAnsi="Arial" w:cs="Arial"/>
          <w:bCs/>
          <w:snapToGrid w:val="0"/>
          <w:sz w:val="22"/>
          <w:szCs w:val="22"/>
          <w:lang w:val="en-GB" w:eastAsia="en-US"/>
        </w:rPr>
        <w:t>infliximab</w:t>
      </w:r>
      <w:r w:rsidR="00E43E37">
        <w:rPr>
          <w:rFonts w:ascii="Arial" w:hAnsi="Arial" w:cs="Arial"/>
          <w:bCs/>
          <w:snapToGrid w:val="0"/>
          <w:sz w:val="22"/>
          <w:szCs w:val="22"/>
          <w:lang w:val="en-GB" w:eastAsia="en-US"/>
        </w:rPr>
        <w:t xml:space="preserve"> and</w:t>
      </w:r>
      <w:r w:rsidR="00235AE6">
        <w:rPr>
          <w:rFonts w:ascii="Arial" w:hAnsi="Arial" w:cs="Arial"/>
          <w:bCs/>
          <w:snapToGrid w:val="0"/>
          <w:sz w:val="22"/>
          <w:szCs w:val="22"/>
          <w:lang w:val="en-GB" w:eastAsia="en-US"/>
        </w:rPr>
        <w:t xml:space="preserve"> a claim of non-inferiority cannot be justified</w:t>
      </w:r>
      <w:r w:rsidR="00286FB2" w:rsidRPr="000D443F">
        <w:rPr>
          <w:rFonts w:ascii="Arial" w:hAnsi="Arial" w:cs="Arial"/>
          <w:bCs/>
          <w:snapToGrid w:val="0"/>
          <w:sz w:val="22"/>
          <w:szCs w:val="22"/>
          <w:lang w:val="en-GB" w:eastAsia="en-US"/>
        </w:rPr>
        <w:t>.</w:t>
      </w:r>
    </w:p>
    <w:p w:rsidR="000D443F" w:rsidRPr="000D443F" w:rsidRDefault="000D443F" w:rsidP="000D443F">
      <w:pPr>
        <w:widowControl w:val="0"/>
        <w:spacing w:after="120"/>
        <w:contextualSpacing/>
        <w:jc w:val="both"/>
        <w:rPr>
          <w:rFonts w:ascii="Arial" w:hAnsi="Arial" w:cs="Arial"/>
          <w:bCs/>
          <w:snapToGrid w:val="0"/>
          <w:sz w:val="22"/>
          <w:szCs w:val="22"/>
          <w:lang w:val="en-GB" w:eastAsia="en-US"/>
        </w:rPr>
      </w:pPr>
    </w:p>
    <w:p w:rsidR="0046498E" w:rsidRPr="005926A7" w:rsidRDefault="0046498E" w:rsidP="007B0C61">
      <w:pPr>
        <w:widowControl w:val="0"/>
        <w:numPr>
          <w:ilvl w:val="1"/>
          <w:numId w:val="25"/>
        </w:numPr>
        <w:spacing w:after="120"/>
        <w:contextualSpacing/>
        <w:jc w:val="both"/>
        <w:rPr>
          <w:rFonts w:ascii="Arial" w:hAnsi="Arial" w:cs="Arial"/>
          <w:bCs/>
          <w:snapToGrid w:val="0"/>
          <w:sz w:val="22"/>
          <w:szCs w:val="22"/>
          <w:lang w:val="en-GB" w:eastAsia="en-US"/>
        </w:rPr>
      </w:pPr>
      <w:r w:rsidRPr="00E63240">
        <w:rPr>
          <w:rFonts w:ascii="Arial" w:hAnsi="Arial" w:cs="Arial"/>
          <w:snapToGrid w:val="0"/>
          <w:sz w:val="22"/>
          <w:szCs w:val="20"/>
          <w:lang w:eastAsia="en-US"/>
        </w:rPr>
        <w:t>The</w:t>
      </w:r>
      <w:r>
        <w:rPr>
          <w:rFonts w:ascii="Arial" w:hAnsi="Arial" w:cs="Arial"/>
          <w:snapToGrid w:val="0"/>
          <w:sz w:val="22"/>
          <w:szCs w:val="20"/>
          <w:lang w:eastAsia="en-US"/>
        </w:rPr>
        <w:t xml:space="preserve"> PBAC noted that the</w:t>
      </w:r>
      <w:r w:rsidRPr="00E63240">
        <w:rPr>
          <w:rFonts w:ascii="Arial" w:hAnsi="Arial" w:cs="Arial"/>
          <w:snapToGrid w:val="0"/>
          <w:sz w:val="22"/>
          <w:szCs w:val="20"/>
          <w:lang w:eastAsia="en-US"/>
        </w:rPr>
        <w:t xml:space="preserve"> resubmission focused on </w:t>
      </w:r>
      <w:r w:rsidR="00783400">
        <w:rPr>
          <w:rFonts w:ascii="Arial" w:hAnsi="Arial" w:cs="Arial"/>
          <w:snapToGrid w:val="0"/>
          <w:sz w:val="22"/>
          <w:szCs w:val="20"/>
          <w:lang w:eastAsia="en-US"/>
        </w:rPr>
        <w:t xml:space="preserve">improving </w:t>
      </w:r>
      <w:r w:rsidRPr="00E63240">
        <w:rPr>
          <w:rFonts w:ascii="Arial" w:hAnsi="Arial" w:cs="Arial"/>
          <w:snapToGrid w:val="0"/>
          <w:sz w:val="22"/>
          <w:szCs w:val="20"/>
          <w:lang w:eastAsia="en-US"/>
        </w:rPr>
        <w:t xml:space="preserve">access in rural and remote Australia as </w:t>
      </w:r>
      <w:r w:rsidR="00783400">
        <w:rPr>
          <w:rFonts w:ascii="Arial" w:hAnsi="Arial" w:cs="Arial"/>
          <w:snapToGrid w:val="0"/>
          <w:sz w:val="22"/>
          <w:szCs w:val="20"/>
          <w:lang w:eastAsia="en-US"/>
        </w:rPr>
        <w:t xml:space="preserve">reflected in the consumer comments, and also </w:t>
      </w:r>
      <w:r w:rsidR="00E9790C">
        <w:rPr>
          <w:rFonts w:ascii="Arial" w:hAnsi="Arial" w:cs="Arial"/>
          <w:snapToGrid w:val="0"/>
          <w:sz w:val="22"/>
          <w:szCs w:val="20"/>
          <w:lang w:eastAsia="en-US"/>
        </w:rPr>
        <w:t xml:space="preserve">estimated </w:t>
      </w:r>
      <w:r w:rsidR="00783400">
        <w:rPr>
          <w:rFonts w:ascii="Arial" w:hAnsi="Arial" w:cs="Arial"/>
          <w:snapToGrid w:val="0"/>
          <w:sz w:val="22"/>
          <w:szCs w:val="20"/>
          <w:lang w:eastAsia="en-US"/>
        </w:rPr>
        <w:t xml:space="preserve">the </w:t>
      </w:r>
      <w:r w:rsidRPr="00E63240">
        <w:rPr>
          <w:rFonts w:ascii="Arial" w:hAnsi="Arial" w:cs="Arial"/>
          <w:snapToGrid w:val="0"/>
          <w:sz w:val="22"/>
          <w:szCs w:val="20"/>
          <w:lang w:eastAsia="en-US"/>
        </w:rPr>
        <w:t xml:space="preserve">distribution of adalimumab </w:t>
      </w:r>
      <w:r w:rsidR="00783400">
        <w:rPr>
          <w:rFonts w:ascii="Arial" w:hAnsi="Arial" w:cs="Arial"/>
          <w:snapToGrid w:val="0"/>
          <w:sz w:val="22"/>
          <w:szCs w:val="20"/>
          <w:lang w:eastAsia="en-US"/>
        </w:rPr>
        <w:t xml:space="preserve">use </w:t>
      </w:r>
      <w:r w:rsidRPr="00E63240">
        <w:rPr>
          <w:rFonts w:ascii="Arial" w:hAnsi="Arial" w:cs="Arial"/>
          <w:snapToGrid w:val="0"/>
          <w:sz w:val="22"/>
          <w:szCs w:val="20"/>
          <w:lang w:eastAsia="en-US"/>
        </w:rPr>
        <w:t>in these areas</w:t>
      </w:r>
      <w:r w:rsidR="00004143">
        <w:rPr>
          <w:rFonts w:ascii="Arial" w:hAnsi="Arial" w:cs="Arial"/>
          <w:snapToGrid w:val="0"/>
          <w:sz w:val="22"/>
          <w:szCs w:val="20"/>
          <w:lang w:eastAsia="en-US"/>
        </w:rPr>
        <w:t xml:space="preserve"> should it become listed </w:t>
      </w:r>
      <w:r w:rsidR="00783400">
        <w:rPr>
          <w:rFonts w:ascii="Arial" w:hAnsi="Arial" w:cs="Arial"/>
          <w:snapToGrid w:val="0"/>
          <w:sz w:val="22"/>
          <w:szCs w:val="20"/>
          <w:lang w:eastAsia="en-US"/>
        </w:rPr>
        <w:t>i</w:t>
      </w:r>
      <w:r w:rsidR="00004143">
        <w:rPr>
          <w:rFonts w:ascii="Arial" w:hAnsi="Arial" w:cs="Arial"/>
          <w:snapToGrid w:val="0"/>
          <w:sz w:val="22"/>
          <w:szCs w:val="20"/>
          <w:lang w:eastAsia="en-US"/>
        </w:rPr>
        <w:t>n the PBS</w:t>
      </w:r>
      <w:r w:rsidR="00783400">
        <w:rPr>
          <w:rFonts w:ascii="Arial" w:hAnsi="Arial" w:cs="Arial"/>
          <w:snapToGrid w:val="0"/>
          <w:sz w:val="22"/>
          <w:szCs w:val="20"/>
          <w:lang w:eastAsia="en-US"/>
        </w:rPr>
        <w:t xml:space="preserve"> for UC</w:t>
      </w:r>
      <w:r w:rsidRPr="00E63240">
        <w:rPr>
          <w:rFonts w:ascii="Arial" w:hAnsi="Arial" w:cs="Arial"/>
          <w:snapToGrid w:val="0"/>
          <w:sz w:val="22"/>
          <w:szCs w:val="20"/>
          <w:lang w:eastAsia="en-US"/>
        </w:rPr>
        <w:t>.</w:t>
      </w:r>
      <w:r w:rsidR="00D924C7">
        <w:rPr>
          <w:rFonts w:ascii="Arial" w:hAnsi="Arial" w:cs="Arial"/>
          <w:snapToGrid w:val="0"/>
          <w:sz w:val="22"/>
          <w:szCs w:val="20"/>
          <w:lang w:eastAsia="en-US"/>
        </w:rPr>
        <w:t xml:space="preserve"> The </w:t>
      </w:r>
      <w:r w:rsidR="004F0914">
        <w:rPr>
          <w:rFonts w:ascii="Arial" w:hAnsi="Arial" w:cs="Arial"/>
          <w:snapToGrid w:val="0"/>
          <w:sz w:val="22"/>
          <w:szCs w:val="20"/>
          <w:lang w:eastAsia="en-US"/>
        </w:rPr>
        <w:t>re</w:t>
      </w:r>
      <w:r w:rsidR="00004143">
        <w:rPr>
          <w:rFonts w:ascii="Arial" w:hAnsi="Arial" w:cs="Arial"/>
          <w:snapToGrid w:val="0"/>
          <w:sz w:val="22"/>
          <w:szCs w:val="20"/>
          <w:lang w:eastAsia="en-US"/>
        </w:rPr>
        <w:t xml:space="preserve">submission acknowledged that the availability of a subcutaneous preparation </w:t>
      </w:r>
      <w:r w:rsidR="00986796">
        <w:rPr>
          <w:rFonts w:ascii="Arial" w:hAnsi="Arial" w:cs="Arial"/>
          <w:snapToGrid w:val="0"/>
          <w:sz w:val="22"/>
          <w:szCs w:val="20"/>
          <w:lang w:eastAsia="en-US"/>
        </w:rPr>
        <w:t>would</w:t>
      </w:r>
      <w:r w:rsidR="00004143">
        <w:rPr>
          <w:rFonts w:ascii="Arial" w:hAnsi="Arial" w:cs="Arial"/>
          <w:snapToGrid w:val="0"/>
          <w:sz w:val="22"/>
          <w:szCs w:val="20"/>
          <w:lang w:eastAsia="en-US"/>
        </w:rPr>
        <w:t xml:space="preserve"> grow the market by providing </w:t>
      </w:r>
      <w:r w:rsidR="00783400">
        <w:rPr>
          <w:rFonts w:ascii="Arial" w:hAnsi="Arial" w:cs="Arial"/>
          <w:snapToGrid w:val="0"/>
          <w:sz w:val="22"/>
          <w:szCs w:val="20"/>
          <w:lang w:eastAsia="en-US"/>
        </w:rPr>
        <w:t xml:space="preserve">improved </w:t>
      </w:r>
      <w:r w:rsidR="00004143">
        <w:rPr>
          <w:rFonts w:ascii="Arial" w:hAnsi="Arial" w:cs="Arial"/>
          <w:snapToGrid w:val="0"/>
          <w:sz w:val="22"/>
          <w:szCs w:val="20"/>
          <w:lang w:eastAsia="en-US"/>
        </w:rPr>
        <w:t>access to pat</w:t>
      </w:r>
      <w:r w:rsidR="00F72A46">
        <w:rPr>
          <w:rFonts w:ascii="Arial" w:hAnsi="Arial" w:cs="Arial"/>
          <w:snapToGrid w:val="0"/>
          <w:sz w:val="22"/>
          <w:szCs w:val="20"/>
          <w:lang w:eastAsia="en-US"/>
        </w:rPr>
        <w:t>ients</w:t>
      </w:r>
      <w:r w:rsidR="00986796">
        <w:rPr>
          <w:rFonts w:ascii="Arial" w:hAnsi="Arial" w:cs="Arial"/>
          <w:snapToGrid w:val="0"/>
          <w:sz w:val="22"/>
          <w:szCs w:val="20"/>
          <w:lang w:eastAsia="en-US"/>
        </w:rPr>
        <w:t xml:space="preserve"> from rural and remote areas and those</w:t>
      </w:r>
      <w:r w:rsidR="00F72A46">
        <w:rPr>
          <w:rFonts w:ascii="Arial" w:hAnsi="Arial" w:cs="Arial"/>
          <w:snapToGrid w:val="0"/>
          <w:sz w:val="22"/>
          <w:szCs w:val="20"/>
          <w:lang w:eastAsia="en-US"/>
        </w:rPr>
        <w:t xml:space="preserve"> who </w:t>
      </w:r>
      <w:r w:rsidR="00004143">
        <w:rPr>
          <w:rFonts w:ascii="Arial" w:hAnsi="Arial" w:cs="Arial"/>
          <w:snapToGrid w:val="0"/>
          <w:sz w:val="22"/>
          <w:szCs w:val="20"/>
          <w:lang w:eastAsia="en-US"/>
        </w:rPr>
        <w:t>may prefer a self-administered injection</w:t>
      </w:r>
      <w:r w:rsidR="004F0914">
        <w:rPr>
          <w:rFonts w:ascii="Arial" w:hAnsi="Arial" w:cs="Arial"/>
          <w:snapToGrid w:val="0"/>
          <w:sz w:val="22"/>
          <w:szCs w:val="20"/>
          <w:lang w:eastAsia="en-US"/>
        </w:rPr>
        <w:t>.</w:t>
      </w:r>
    </w:p>
    <w:p w:rsidR="007A2569" w:rsidRPr="007A2569" w:rsidRDefault="007A2569" w:rsidP="007A2569">
      <w:pPr>
        <w:widowControl w:val="0"/>
        <w:spacing w:after="120"/>
        <w:contextualSpacing/>
        <w:jc w:val="both"/>
        <w:rPr>
          <w:rFonts w:ascii="Arial" w:hAnsi="Arial" w:cs="Arial"/>
          <w:bCs/>
          <w:snapToGrid w:val="0"/>
          <w:sz w:val="22"/>
          <w:szCs w:val="22"/>
          <w:lang w:val="en-GB" w:eastAsia="en-US"/>
        </w:rPr>
      </w:pPr>
    </w:p>
    <w:p w:rsidR="007A2569" w:rsidRDefault="00A4617F" w:rsidP="00AA77FE">
      <w:pPr>
        <w:widowControl w:val="0"/>
        <w:numPr>
          <w:ilvl w:val="1"/>
          <w:numId w:val="25"/>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The PBAC</w:t>
      </w:r>
      <w:r w:rsidR="0050791E">
        <w:rPr>
          <w:rFonts w:ascii="Arial" w:hAnsi="Arial" w:cs="Arial"/>
          <w:bCs/>
          <w:snapToGrid w:val="0"/>
          <w:sz w:val="22"/>
          <w:szCs w:val="22"/>
          <w:lang w:val="en-GB" w:eastAsia="en-US"/>
        </w:rPr>
        <w:t xml:space="preserve"> noted </w:t>
      </w:r>
      <w:r w:rsidR="00060496">
        <w:rPr>
          <w:rFonts w:ascii="Arial" w:hAnsi="Arial" w:cs="Arial"/>
          <w:bCs/>
          <w:snapToGrid w:val="0"/>
          <w:sz w:val="22"/>
          <w:szCs w:val="22"/>
          <w:lang w:val="en-GB" w:eastAsia="en-US"/>
        </w:rPr>
        <w:t xml:space="preserve">that the resubmission </w:t>
      </w:r>
      <w:r w:rsidR="00B1503F">
        <w:rPr>
          <w:rFonts w:ascii="Arial" w:hAnsi="Arial" w:cs="Arial"/>
          <w:bCs/>
          <w:snapToGrid w:val="0"/>
          <w:sz w:val="22"/>
          <w:szCs w:val="22"/>
          <w:lang w:val="en-GB" w:eastAsia="en-US"/>
        </w:rPr>
        <w:t xml:space="preserve">offered a </w:t>
      </w:r>
      <w:r w:rsidR="000B1B9D">
        <w:rPr>
          <w:rFonts w:ascii="Arial" w:hAnsi="Arial" w:cs="Arial"/>
          <w:bCs/>
          <w:noProof/>
          <w:snapToGrid w:val="0"/>
          <w:color w:val="000000"/>
          <w:sz w:val="22"/>
          <w:szCs w:val="22"/>
          <w:highlight w:val="black"/>
          <w:lang w:val="en-GB" w:eastAsia="en-US"/>
        </w:rPr>
        <w:t>''''''</w:t>
      </w:r>
      <w:r w:rsidR="00B1503F">
        <w:rPr>
          <w:rFonts w:ascii="Arial" w:hAnsi="Arial" w:cs="Arial"/>
          <w:bCs/>
          <w:snapToGrid w:val="0"/>
          <w:sz w:val="22"/>
          <w:szCs w:val="22"/>
          <w:lang w:val="en-GB" w:eastAsia="en-US"/>
        </w:rPr>
        <w:t xml:space="preserve">% </w:t>
      </w:r>
      <w:r w:rsidR="000B1B9D">
        <w:rPr>
          <w:rFonts w:ascii="Arial" w:hAnsi="Arial" w:cs="Arial"/>
          <w:bCs/>
          <w:noProof/>
          <w:snapToGrid w:val="0"/>
          <w:color w:val="000000"/>
          <w:sz w:val="22"/>
          <w:szCs w:val="22"/>
          <w:highlight w:val="black"/>
          <w:lang w:val="en-GB" w:eastAsia="en-US"/>
        </w:rPr>
        <w:t>''''''''''''' '''''''''''''''''''' '''' ''''''' '''''''''''''''''''' '''''''''''''''''''''''' ''''''''''''''''''</w:t>
      </w:r>
      <w:r w:rsidR="00B1503F">
        <w:rPr>
          <w:rFonts w:ascii="Arial" w:hAnsi="Arial" w:cs="Arial"/>
          <w:bCs/>
          <w:snapToGrid w:val="0"/>
          <w:sz w:val="22"/>
          <w:szCs w:val="22"/>
          <w:lang w:val="en-GB" w:eastAsia="en-US"/>
        </w:rPr>
        <w:t>.</w:t>
      </w:r>
      <w:r w:rsidR="00ED2EC8">
        <w:rPr>
          <w:rFonts w:ascii="Arial" w:hAnsi="Arial" w:cs="Arial"/>
          <w:bCs/>
          <w:snapToGrid w:val="0"/>
          <w:sz w:val="22"/>
          <w:szCs w:val="22"/>
          <w:lang w:val="en-GB" w:eastAsia="en-US"/>
        </w:rPr>
        <w:t xml:space="preserve"> </w:t>
      </w:r>
      <w:r w:rsidR="00235AE6">
        <w:rPr>
          <w:rFonts w:ascii="Arial" w:hAnsi="Arial" w:cs="Arial"/>
          <w:bCs/>
          <w:snapToGrid w:val="0"/>
          <w:sz w:val="22"/>
          <w:szCs w:val="22"/>
          <w:lang w:val="en-GB" w:eastAsia="en-US"/>
        </w:rPr>
        <w:t>Given that inferiority (compared with</w:t>
      </w:r>
      <w:r w:rsidR="00235AE6" w:rsidRPr="002167F4">
        <w:rPr>
          <w:rFonts w:ascii="Arial" w:hAnsi="Arial" w:cs="Arial"/>
          <w:bCs/>
          <w:snapToGrid w:val="0"/>
          <w:sz w:val="22"/>
          <w:szCs w:val="22"/>
          <w:lang w:val="en-GB" w:eastAsia="en-US"/>
        </w:rPr>
        <w:t xml:space="preserve"> infliximab</w:t>
      </w:r>
      <w:r w:rsidR="00235AE6">
        <w:rPr>
          <w:rFonts w:ascii="Arial" w:hAnsi="Arial" w:cs="Arial"/>
          <w:bCs/>
          <w:snapToGrid w:val="0"/>
          <w:sz w:val="22"/>
          <w:szCs w:val="22"/>
          <w:lang w:val="en-GB" w:eastAsia="en-US"/>
        </w:rPr>
        <w:t xml:space="preserve">) in the maintenance phase is also likely, there is no basis to accept the same price of </w:t>
      </w:r>
      <w:r w:rsidR="00235AE6" w:rsidRPr="002167F4">
        <w:rPr>
          <w:rFonts w:ascii="Arial" w:hAnsi="Arial" w:cs="Arial"/>
          <w:bCs/>
          <w:snapToGrid w:val="0"/>
          <w:sz w:val="22"/>
          <w:szCs w:val="22"/>
          <w:lang w:val="en-GB" w:eastAsia="en-US"/>
        </w:rPr>
        <w:t>infliximab</w:t>
      </w:r>
      <w:r w:rsidR="00235AE6">
        <w:rPr>
          <w:rFonts w:ascii="Arial" w:hAnsi="Arial" w:cs="Arial"/>
          <w:bCs/>
          <w:snapToGrid w:val="0"/>
          <w:sz w:val="22"/>
          <w:szCs w:val="22"/>
          <w:lang w:val="en-GB" w:eastAsia="en-US"/>
        </w:rPr>
        <w:t>. In the absence of a modelled economic evaluation of the cost savings per health outcome foregone, t</w:t>
      </w:r>
      <w:r w:rsidR="008C13E3">
        <w:rPr>
          <w:rFonts w:ascii="Arial" w:hAnsi="Arial" w:cs="Arial"/>
          <w:bCs/>
          <w:snapToGrid w:val="0"/>
          <w:sz w:val="22"/>
          <w:szCs w:val="22"/>
          <w:lang w:val="en-GB" w:eastAsia="en-US"/>
        </w:rPr>
        <w:t xml:space="preserve">he PBAC </w:t>
      </w:r>
      <w:r w:rsidR="000D443F">
        <w:rPr>
          <w:rFonts w:ascii="Arial" w:hAnsi="Arial" w:cs="Arial"/>
          <w:bCs/>
          <w:snapToGrid w:val="0"/>
          <w:sz w:val="22"/>
          <w:szCs w:val="22"/>
          <w:lang w:val="en-GB" w:eastAsia="en-US"/>
        </w:rPr>
        <w:t xml:space="preserve">considered that </w:t>
      </w:r>
      <w:r w:rsidR="00235AE6">
        <w:rPr>
          <w:rFonts w:ascii="Arial" w:hAnsi="Arial" w:cs="Arial"/>
          <w:bCs/>
          <w:snapToGrid w:val="0"/>
          <w:sz w:val="22"/>
          <w:szCs w:val="22"/>
          <w:lang w:val="en-GB" w:eastAsia="en-US"/>
        </w:rPr>
        <w:t xml:space="preserve">a reduction in </w:t>
      </w:r>
      <w:r w:rsidR="008C13E3">
        <w:rPr>
          <w:rFonts w:ascii="Arial" w:hAnsi="Arial" w:cs="Arial"/>
          <w:bCs/>
          <w:snapToGrid w:val="0"/>
          <w:sz w:val="22"/>
          <w:szCs w:val="22"/>
          <w:lang w:val="en-GB" w:eastAsia="en-US"/>
        </w:rPr>
        <w:t xml:space="preserve">price of adalimumab </w:t>
      </w:r>
      <w:r w:rsidR="00235AE6">
        <w:rPr>
          <w:rFonts w:ascii="Arial" w:hAnsi="Arial" w:cs="Arial"/>
          <w:bCs/>
          <w:snapToGrid w:val="0"/>
          <w:sz w:val="22"/>
          <w:szCs w:val="22"/>
          <w:lang w:val="en-GB" w:eastAsia="en-US"/>
        </w:rPr>
        <w:t xml:space="preserve">of around </w:t>
      </w:r>
      <w:r w:rsidR="000B1B9D">
        <w:rPr>
          <w:rFonts w:ascii="Arial" w:hAnsi="Arial" w:cs="Arial"/>
          <w:bCs/>
          <w:noProof/>
          <w:snapToGrid w:val="0"/>
          <w:color w:val="000000"/>
          <w:sz w:val="22"/>
          <w:szCs w:val="22"/>
          <w:highlight w:val="black"/>
          <w:lang w:val="en-GB" w:eastAsia="en-US"/>
        </w:rPr>
        <w:t>''''''</w:t>
      </w:r>
      <w:r w:rsidR="00235AE6">
        <w:rPr>
          <w:rFonts w:ascii="Arial" w:hAnsi="Arial" w:cs="Arial"/>
          <w:bCs/>
          <w:snapToGrid w:val="0"/>
          <w:sz w:val="22"/>
          <w:szCs w:val="22"/>
          <w:lang w:val="en-GB" w:eastAsia="en-US"/>
        </w:rPr>
        <w:t xml:space="preserve">% </w:t>
      </w:r>
      <w:r w:rsidR="00687EE3">
        <w:rPr>
          <w:rFonts w:ascii="Arial" w:hAnsi="Arial" w:cs="Arial"/>
          <w:bCs/>
          <w:snapToGrid w:val="0"/>
          <w:sz w:val="22"/>
          <w:szCs w:val="22"/>
          <w:lang w:val="en-GB" w:eastAsia="en-US"/>
        </w:rPr>
        <w:t xml:space="preserve">in the maintenance treatment </w:t>
      </w:r>
      <w:r w:rsidR="009228BC">
        <w:rPr>
          <w:rFonts w:ascii="Arial" w:hAnsi="Arial" w:cs="Arial"/>
          <w:bCs/>
          <w:snapToGrid w:val="0"/>
          <w:sz w:val="22"/>
          <w:szCs w:val="22"/>
          <w:lang w:val="en-GB" w:eastAsia="en-US"/>
        </w:rPr>
        <w:t xml:space="preserve">phase is likely to be reasonable given the observed relative treatment effects in both phases and that this about </w:t>
      </w:r>
      <w:r w:rsidR="000B1B9D">
        <w:rPr>
          <w:rFonts w:ascii="Arial" w:hAnsi="Arial" w:cs="Arial"/>
          <w:bCs/>
          <w:noProof/>
          <w:snapToGrid w:val="0"/>
          <w:color w:val="000000"/>
          <w:sz w:val="22"/>
          <w:szCs w:val="22"/>
          <w:highlight w:val="black"/>
          <w:lang w:val="en-GB" w:eastAsia="en-US"/>
        </w:rPr>
        <w:t>''''''''''''''''''</w:t>
      </w:r>
      <w:r w:rsidR="009228BC">
        <w:rPr>
          <w:rFonts w:ascii="Arial" w:hAnsi="Arial" w:cs="Arial"/>
          <w:bCs/>
          <w:snapToGrid w:val="0"/>
          <w:sz w:val="22"/>
          <w:szCs w:val="22"/>
          <w:lang w:val="en-GB" w:eastAsia="en-US"/>
        </w:rPr>
        <w:t xml:space="preserve"> of the </w:t>
      </w:r>
      <w:r w:rsidR="000B1B9D">
        <w:rPr>
          <w:rFonts w:ascii="Arial" w:hAnsi="Arial" w:cs="Arial"/>
          <w:bCs/>
          <w:noProof/>
          <w:snapToGrid w:val="0"/>
          <w:color w:val="000000"/>
          <w:sz w:val="22"/>
          <w:szCs w:val="22"/>
          <w:highlight w:val="black"/>
          <w:lang w:val="en-GB" w:eastAsia="en-US"/>
        </w:rPr>
        <w:t>''''''''''''''''''''' '''''''''''''''' '''''' '''''''' ''''''''''''''''''''''' '''''''''''''''</w:t>
      </w:r>
      <w:r w:rsidR="009228BC">
        <w:rPr>
          <w:rFonts w:ascii="Arial" w:hAnsi="Arial" w:cs="Arial"/>
          <w:bCs/>
          <w:snapToGrid w:val="0"/>
          <w:sz w:val="22"/>
          <w:szCs w:val="22"/>
          <w:lang w:val="en-GB" w:eastAsia="en-US"/>
        </w:rPr>
        <w:t xml:space="preserve">. </w:t>
      </w:r>
    </w:p>
    <w:p w:rsidR="00F32ECC" w:rsidRDefault="00F32ECC" w:rsidP="000D443F">
      <w:pPr>
        <w:widowControl w:val="0"/>
        <w:spacing w:after="120"/>
        <w:contextualSpacing/>
        <w:jc w:val="both"/>
        <w:rPr>
          <w:rFonts w:ascii="Arial" w:hAnsi="Arial" w:cs="Arial"/>
          <w:bCs/>
          <w:snapToGrid w:val="0"/>
          <w:sz w:val="22"/>
          <w:szCs w:val="22"/>
          <w:lang w:val="en-GB" w:eastAsia="en-US"/>
        </w:rPr>
      </w:pPr>
    </w:p>
    <w:p w:rsidR="00422133" w:rsidRPr="00A953DF" w:rsidRDefault="00422133" w:rsidP="00422133">
      <w:pPr>
        <w:widowControl w:val="0"/>
        <w:numPr>
          <w:ilvl w:val="1"/>
          <w:numId w:val="25"/>
        </w:numPr>
        <w:spacing w:after="120"/>
        <w:contextualSpacing/>
        <w:jc w:val="both"/>
        <w:rPr>
          <w:rFonts w:ascii="Arial" w:hAnsi="Arial" w:cs="Arial"/>
          <w:bCs/>
          <w:snapToGrid w:val="0"/>
          <w:sz w:val="22"/>
          <w:szCs w:val="22"/>
          <w:lang w:eastAsia="en-US"/>
        </w:rPr>
      </w:pPr>
      <w:r w:rsidRPr="00A953DF">
        <w:rPr>
          <w:rFonts w:ascii="Arial" w:hAnsi="Arial" w:cs="Arial"/>
          <w:bCs/>
          <w:snapToGrid w:val="0"/>
          <w:sz w:val="22"/>
          <w:szCs w:val="22"/>
          <w:lang w:eastAsia="en-US"/>
        </w:rPr>
        <w:t xml:space="preserve">The PBAC noted that the </w:t>
      </w:r>
      <w:r w:rsidR="004F0914">
        <w:rPr>
          <w:rFonts w:ascii="Arial" w:hAnsi="Arial" w:cs="Arial"/>
          <w:bCs/>
          <w:snapToGrid w:val="0"/>
          <w:sz w:val="22"/>
          <w:szCs w:val="22"/>
          <w:lang w:eastAsia="en-US"/>
        </w:rPr>
        <w:t>re</w:t>
      </w:r>
      <w:r w:rsidRPr="00A953DF">
        <w:rPr>
          <w:rFonts w:ascii="Arial" w:hAnsi="Arial" w:cs="Arial"/>
          <w:bCs/>
          <w:snapToGrid w:val="0"/>
          <w:sz w:val="22"/>
          <w:szCs w:val="22"/>
          <w:lang w:eastAsia="en-US"/>
        </w:rPr>
        <w:t xml:space="preserve">submission is eligible for an </w:t>
      </w:r>
      <w:r w:rsidR="007A2569">
        <w:rPr>
          <w:rFonts w:ascii="Arial" w:hAnsi="Arial" w:cs="Arial"/>
          <w:bCs/>
          <w:snapToGrid w:val="0"/>
          <w:sz w:val="22"/>
          <w:szCs w:val="22"/>
          <w:lang w:eastAsia="en-US"/>
        </w:rPr>
        <w:t>I</w:t>
      </w:r>
      <w:r w:rsidRPr="00A953DF">
        <w:rPr>
          <w:rFonts w:ascii="Arial" w:hAnsi="Arial" w:cs="Arial"/>
          <w:bCs/>
          <w:snapToGrid w:val="0"/>
          <w:sz w:val="22"/>
          <w:szCs w:val="22"/>
          <w:lang w:eastAsia="en-US"/>
        </w:rPr>
        <w:t xml:space="preserve">ndependent </w:t>
      </w:r>
      <w:r w:rsidR="007A2569">
        <w:rPr>
          <w:rFonts w:ascii="Arial" w:hAnsi="Arial" w:cs="Arial"/>
          <w:bCs/>
          <w:snapToGrid w:val="0"/>
          <w:sz w:val="22"/>
          <w:szCs w:val="22"/>
          <w:lang w:eastAsia="en-US"/>
        </w:rPr>
        <w:t>R</w:t>
      </w:r>
      <w:r w:rsidRPr="00A953DF">
        <w:rPr>
          <w:rFonts w:ascii="Arial" w:hAnsi="Arial" w:cs="Arial"/>
          <w:bCs/>
          <w:snapToGrid w:val="0"/>
          <w:sz w:val="22"/>
          <w:szCs w:val="22"/>
          <w:lang w:eastAsia="en-US"/>
        </w:rPr>
        <w:t>eview.</w:t>
      </w:r>
    </w:p>
    <w:p w:rsidR="00B1503F" w:rsidRDefault="00B1503F" w:rsidP="004F0914">
      <w:pPr>
        <w:widowControl w:val="0"/>
        <w:spacing w:after="120"/>
        <w:contextualSpacing/>
        <w:jc w:val="both"/>
        <w:rPr>
          <w:rFonts w:ascii="Arial" w:hAnsi="Arial" w:cs="Arial"/>
          <w:bCs/>
          <w:snapToGrid w:val="0"/>
          <w:sz w:val="22"/>
          <w:szCs w:val="22"/>
          <w:lang w:val="en-GB" w:eastAsia="en-US"/>
        </w:rPr>
      </w:pPr>
    </w:p>
    <w:p w:rsidR="00313DC4" w:rsidRPr="004F0914" w:rsidRDefault="00313DC4" w:rsidP="00AA77FE">
      <w:pPr>
        <w:jc w:val="both"/>
        <w:rPr>
          <w:rFonts w:ascii="Arial" w:hAnsi="Arial" w:cs="Arial"/>
          <w:bCs/>
          <w:snapToGrid w:val="0"/>
          <w:sz w:val="22"/>
          <w:szCs w:val="22"/>
          <w:lang w:val="en-GB" w:eastAsia="en-US"/>
        </w:rPr>
      </w:pPr>
    </w:p>
    <w:p w:rsidR="00AA77FE" w:rsidRPr="00EC3E76" w:rsidRDefault="00AA77FE" w:rsidP="00AA77FE">
      <w:pPr>
        <w:jc w:val="both"/>
        <w:rPr>
          <w:rFonts w:ascii="Arial" w:hAnsi="Arial" w:cs="Arial"/>
          <w:b/>
          <w:bCs/>
          <w:snapToGrid w:val="0"/>
          <w:sz w:val="22"/>
          <w:szCs w:val="22"/>
          <w:lang w:val="en-GB" w:eastAsia="en-US"/>
        </w:rPr>
      </w:pPr>
      <w:r w:rsidRPr="00EC3E76">
        <w:rPr>
          <w:rFonts w:ascii="Arial" w:hAnsi="Arial" w:cs="Arial"/>
          <w:b/>
          <w:bCs/>
          <w:snapToGrid w:val="0"/>
          <w:sz w:val="22"/>
          <w:szCs w:val="22"/>
          <w:lang w:val="en-GB" w:eastAsia="en-US"/>
        </w:rPr>
        <w:t>Outcome:</w:t>
      </w:r>
    </w:p>
    <w:p w:rsidR="00AA77FE" w:rsidRPr="00EC3E76" w:rsidRDefault="004F0914" w:rsidP="00AA77FE">
      <w:pPr>
        <w:jc w:val="both"/>
        <w:rPr>
          <w:rFonts w:ascii="Arial" w:hAnsi="Arial" w:cs="Arial"/>
          <w:bCs/>
          <w:snapToGrid w:val="0"/>
          <w:sz w:val="22"/>
          <w:szCs w:val="22"/>
          <w:lang w:val="en-GB" w:eastAsia="en-US"/>
        </w:rPr>
      </w:pPr>
      <w:r>
        <w:rPr>
          <w:rFonts w:ascii="Arial" w:hAnsi="Arial" w:cs="Arial"/>
          <w:bCs/>
          <w:snapToGrid w:val="0"/>
          <w:sz w:val="22"/>
          <w:szCs w:val="22"/>
          <w:lang w:val="en-GB" w:eastAsia="en-US"/>
        </w:rPr>
        <w:t>Rejected</w:t>
      </w:r>
    </w:p>
    <w:p w:rsidR="000173C1" w:rsidRDefault="000173C1" w:rsidP="00114EE8">
      <w:pPr>
        <w:jc w:val="both"/>
        <w:rPr>
          <w:rFonts w:ascii="Arial" w:hAnsi="Arial"/>
          <w:sz w:val="22"/>
          <w:szCs w:val="22"/>
        </w:rPr>
      </w:pPr>
    </w:p>
    <w:p w:rsidR="00A82F8D" w:rsidRDefault="00A82F8D" w:rsidP="005672DD">
      <w:pPr>
        <w:pStyle w:val="PBACheading1"/>
        <w:rPr>
          <w:rFonts w:eastAsia="SimSun"/>
          <w:lang w:eastAsia="en-US"/>
        </w:rPr>
      </w:pPr>
      <w:r>
        <w:rPr>
          <w:rFonts w:eastAsia="SimSun"/>
          <w:lang w:eastAsia="en-US"/>
        </w:rPr>
        <w:t>Context for Decision</w:t>
      </w:r>
    </w:p>
    <w:p w:rsidR="00A82F8D" w:rsidRDefault="00A82F8D" w:rsidP="00A82F8D">
      <w:pPr>
        <w:ind w:left="720"/>
        <w:contextualSpacing/>
        <w:rPr>
          <w:b/>
        </w:rPr>
      </w:pPr>
    </w:p>
    <w:p w:rsidR="00A82F8D" w:rsidRDefault="00A82F8D" w:rsidP="00A82F8D">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82F8D" w:rsidRDefault="00A82F8D" w:rsidP="00A82F8D">
      <w:pPr>
        <w:spacing w:line="720" w:lineRule="auto"/>
      </w:pPr>
    </w:p>
    <w:p w:rsidR="00A82F8D" w:rsidRDefault="00A82F8D" w:rsidP="005672DD">
      <w:pPr>
        <w:pStyle w:val="PBACheading1"/>
        <w:rPr>
          <w:rFonts w:eastAsia="SimSun"/>
          <w:lang w:eastAsia="en-US"/>
        </w:rPr>
      </w:pPr>
      <w:r>
        <w:rPr>
          <w:rFonts w:eastAsia="SimSun"/>
          <w:lang w:eastAsia="en-US"/>
        </w:rPr>
        <w:lastRenderedPageBreak/>
        <w:t>Sponsor’s Comment</w:t>
      </w:r>
    </w:p>
    <w:p w:rsidR="00A82F8D" w:rsidRDefault="00A82F8D" w:rsidP="00A82F8D">
      <w:pPr>
        <w:tabs>
          <w:tab w:val="left" w:pos="2940"/>
        </w:tabs>
        <w:jc w:val="both"/>
        <w:rPr>
          <w:rFonts w:ascii="Arial" w:hAnsi="Arial"/>
          <w:sz w:val="22"/>
          <w:szCs w:val="22"/>
        </w:rPr>
      </w:pPr>
    </w:p>
    <w:p w:rsidR="00A82F8D" w:rsidRDefault="00847220" w:rsidP="007C3A75">
      <w:pPr>
        <w:ind w:left="720"/>
        <w:rPr>
          <w:rFonts w:ascii="Arial" w:hAnsi="Arial"/>
          <w:sz w:val="22"/>
          <w:szCs w:val="22"/>
        </w:rPr>
      </w:pPr>
      <w:r w:rsidRPr="00622920">
        <w:rPr>
          <w:rFonts w:ascii="Arial" w:hAnsi="Arial" w:cs="Arial"/>
          <w:bCs/>
          <w:snapToGrid w:val="0"/>
          <w:sz w:val="22"/>
          <w:szCs w:val="22"/>
        </w:rPr>
        <w:t xml:space="preserve">AbbVie maintains that adalimumab offers an important treatment alternative in ulcerative colitis, </w:t>
      </w:r>
      <w:r w:rsidR="007C3A75" w:rsidRPr="007622F9">
        <w:rPr>
          <w:rFonts w:ascii="Arial" w:hAnsi="Arial" w:cs="Arial"/>
          <w:bCs/>
          <w:snapToGrid w:val="0"/>
          <w:sz w:val="22"/>
          <w:szCs w:val="22"/>
        </w:rPr>
        <w:t xml:space="preserve">and believes the data presented in its submission demonstrates non-inferiority of adalimumab in maintenance treatment of moderate to severe ulcerative colitis. The data included three randomised controlled trials comparing adalimumab to placebo, three RCTs comparing infliximab to placebo and three studies presenting real world evidence which demonstrate non-inferiority of adalimumab and infliximab. AbbVie understands that there is a significant unmet patient need for an alternative route of administration, </w:t>
      </w:r>
      <w:r w:rsidR="007C3A75">
        <w:rPr>
          <w:rFonts w:ascii="Arial" w:hAnsi="Arial" w:cs="Arial"/>
          <w:bCs/>
          <w:snapToGrid w:val="0"/>
          <w:sz w:val="22"/>
          <w:szCs w:val="22"/>
        </w:rPr>
        <w:t>and</w:t>
      </w:r>
      <w:r w:rsidR="007C3A75" w:rsidRPr="007622F9">
        <w:rPr>
          <w:rFonts w:ascii="Arial" w:hAnsi="Arial" w:cs="Arial"/>
          <w:bCs/>
          <w:snapToGrid w:val="0"/>
          <w:sz w:val="22"/>
          <w:szCs w:val="22"/>
        </w:rPr>
        <w:t xml:space="preserve"> will continue to work with the PBAC to find a way forward.</w:t>
      </w:r>
      <w:r w:rsidR="007C3A75">
        <w:rPr>
          <w:rFonts w:ascii="Arial" w:hAnsi="Arial" w:cs="Arial"/>
          <w:bCs/>
          <w:snapToGrid w:val="0"/>
          <w:sz w:val="22"/>
          <w:szCs w:val="22"/>
        </w:rPr>
        <w:t xml:space="preserve"> </w:t>
      </w:r>
    </w:p>
    <w:p w:rsidR="00A82F8D" w:rsidRDefault="00A82F8D" w:rsidP="00114EE8">
      <w:pPr>
        <w:jc w:val="both"/>
        <w:rPr>
          <w:rFonts w:ascii="Arial" w:hAnsi="Arial"/>
          <w:sz w:val="22"/>
          <w:szCs w:val="22"/>
        </w:rPr>
      </w:pPr>
    </w:p>
    <w:sectPr w:rsidR="00A82F8D" w:rsidSect="00F9497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B9D" w:rsidRDefault="000B1B9D">
      <w:r>
        <w:separator/>
      </w:r>
    </w:p>
    <w:p w:rsidR="000B1B9D" w:rsidRDefault="000B1B9D"/>
  </w:endnote>
  <w:endnote w:type="continuationSeparator" w:id="0">
    <w:p w:rsidR="000B1B9D" w:rsidRDefault="000B1B9D">
      <w:r>
        <w:continuationSeparator/>
      </w:r>
    </w:p>
    <w:p w:rsidR="000B1B9D" w:rsidRDefault="000B1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43E37" w:rsidTr="005A3173">
      <w:trPr>
        <w:trHeight w:val="151"/>
      </w:trPr>
      <w:tc>
        <w:tcPr>
          <w:tcW w:w="2250" w:type="pct"/>
          <w:tcBorders>
            <w:top w:val="nil"/>
            <w:left w:val="nil"/>
            <w:bottom w:val="single" w:sz="4" w:space="0" w:color="4F81BD"/>
            <w:right w:val="nil"/>
          </w:tcBorders>
        </w:tcPr>
        <w:p w:rsidR="00E43E37" w:rsidRPr="005A3173" w:rsidRDefault="00E43E3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43E37" w:rsidRPr="005A3173" w:rsidRDefault="00E43E3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43E37" w:rsidRPr="005A3173" w:rsidRDefault="00E43E37" w:rsidP="005A3173">
          <w:pPr>
            <w:pStyle w:val="Header"/>
            <w:spacing w:line="276" w:lineRule="auto"/>
            <w:rPr>
              <w:rFonts w:ascii="Calibri" w:eastAsia="MS Gothic" w:hAnsi="Calibri"/>
              <w:b/>
              <w:bCs/>
              <w:color w:val="4F81BD"/>
            </w:rPr>
          </w:pPr>
        </w:p>
      </w:tc>
    </w:tr>
    <w:tr w:rsidR="00E43E37" w:rsidTr="005A3173">
      <w:trPr>
        <w:trHeight w:val="150"/>
      </w:trPr>
      <w:tc>
        <w:tcPr>
          <w:tcW w:w="2250" w:type="pct"/>
          <w:tcBorders>
            <w:top w:val="single" w:sz="4" w:space="0" w:color="4F81BD"/>
            <w:left w:val="nil"/>
            <w:bottom w:val="nil"/>
            <w:right w:val="nil"/>
          </w:tcBorders>
        </w:tcPr>
        <w:p w:rsidR="00E43E37" w:rsidRPr="005A3173" w:rsidRDefault="00E43E37" w:rsidP="005A3173">
          <w:pPr>
            <w:pStyle w:val="Header"/>
            <w:spacing w:line="276" w:lineRule="auto"/>
            <w:rPr>
              <w:rFonts w:ascii="Calibri" w:eastAsia="MS Gothic" w:hAnsi="Calibri"/>
              <w:b/>
              <w:bCs/>
              <w:color w:val="4F81BD"/>
            </w:rPr>
          </w:pPr>
        </w:p>
      </w:tc>
      <w:tc>
        <w:tcPr>
          <w:tcW w:w="0" w:type="auto"/>
          <w:vMerge/>
          <w:vAlign w:val="center"/>
          <w:hideMark/>
        </w:tcPr>
        <w:p w:rsidR="00E43E37" w:rsidRPr="005A3173" w:rsidRDefault="00E43E37" w:rsidP="005A3173">
          <w:pPr>
            <w:rPr>
              <w:rFonts w:ascii="Calibri" w:hAnsi="Calibri"/>
              <w:color w:val="365F91"/>
              <w:sz w:val="22"/>
              <w:szCs w:val="22"/>
            </w:rPr>
          </w:pPr>
        </w:p>
      </w:tc>
      <w:tc>
        <w:tcPr>
          <w:tcW w:w="2250" w:type="pct"/>
          <w:tcBorders>
            <w:top w:val="single" w:sz="4" w:space="0" w:color="4F81BD"/>
            <w:left w:val="nil"/>
            <w:bottom w:val="nil"/>
            <w:right w:val="nil"/>
          </w:tcBorders>
        </w:tcPr>
        <w:p w:rsidR="00E43E37" w:rsidRPr="005A3173" w:rsidRDefault="00E43E37" w:rsidP="005A3173">
          <w:pPr>
            <w:pStyle w:val="Header"/>
            <w:spacing w:line="276" w:lineRule="auto"/>
            <w:rPr>
              <w:rFonts w:ascii="Calibri" w:eastAsia="MS Gothic" w:hAnsi="Calibri"/>
              <w:b/>
              <w:bCs/>
              <w:color w:val="4F81BD"/>
            </w:rPr>
          </w:pPr>
        </w:p>
      </w:tc>
    </w:tr>
  </w:tbl>
  <w:p w:rsidR="00E43E37" w:rsidRDefault="00E43E3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118C">
      <w:rPr>
        <w:rStyle w:val="PageNumber"/>
        <w:noProof/>
      </w:rPr>
      <w:t>1</w:t>
    </w:r>
    <w:r>
      <w:rPr>
        <w:rStyle w:val="PageNumber"/>
      </w:rPr>
      <w:fldChar w:fldCharType="end"/>
    </w:r>
  </w:p>
  <w:p w:rsidR="00E43E37" w:rsidRDefault="00E43E37">
    <w:pPr>
      <w:pStyle w:val="Footer"/>
    </w:pPr>
  </w:p>
  <w:p w:rsidR="00E43E37" w:rsidRDefault="00E43E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2139794029"/>
      <w:docPartObj>
        <w:docPartGallery w:val="Page Numbers (Bottom of Page)"/>
        <w:docPartUnique/>
      </w:docPartObj>
    </w:sdtPr>
    <w:sdtEndPr>
      <w:rPr>
        <w:noProof/>
      </w:rPr>
    </w:sdtEndPr>
    <w:sdtContent>
      <w:p w:rsidR="00E43E37" w:rsidRPr="00AA77FE" w:rsidRDefault="00E43E37" w:rsidP="00AA77FE">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2E644B">
          <w:rPr>
            <w:rFonts w:ascii="Arial Narrow" w:hAnsi="Arial Narrow"/>
            <w:noProof/>
            <w:sz w:val="20"/>
            <w:szCs w:val="20"/>
          </w:rPr>
          <w:t>1</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43E37" w:rsidTr="005A3173">
      <w:trPr>
        <w:trHeight w:val="151"/>
      </w:trPr>
      <w:tc>
        <w:tcPr>
          <w:tcW w:w="2250" w:type="pct"/>
          <w:tcBorders>
            <w:top w:val="nil"/>
            <w:left w:val="nil"/>
            <w:bottom w:val="single" w:sz="4" w:space="0" w:color="4F81BD"/>
            <w:right w:val="nil"/>
          </w:tcBorders>
        </w:tcPr>
        <w:p w:rsidR="00E43E37" w:rsidRPr="005A3173" w:rsidRDefault="00E43E3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43E37" w:rsidRPr="005A3173" w:rsidRDefault="00E43E3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43E37" w:rsidRPr="005A3173" w:rsidRDefault="00E43E37" w:rsidP="005A3173">
          <w:pPr>
            <w:pStyle w:val="Header"/>
            <w:spacing w:line="276" w:lineRule="auto"/>
            <w:rPr>
              <w:rFonts w:ascii="Calibri" w:eastAsia="MS Gothic" w:hAnsi="Calibri"/>
              <w:b/>
              <w:bCs/>
              <w:color w:val="4F81BD"/>
            </w:rPr>
          </w:pPr>
        </w:p>
      </w:tc>
    </w:tr>
    <w:tr w:rsidR="00E43E37" w:rsidTr="005A3173">
      <w:trPr>
        <w:trHeight w:val="150"/>
      </w:trPr>
      <w:tc>
        <w:tcPr>
          <w:tcW w:w="2250" w:type="pct"/>
          <w:tcBorders>
            <w:top w:val="single" w:sz="4" w:space="0" w:color="4F81BD"/>
            <w:left w:val="nil"/>
            <w:bottom w:val="nil"/>
            <w:right w:val="nil"/>
          </w:tcBorders>
        </w:tcPr>
        <w:p w:rsidR="00E43E37" w:rsidRPr="005A3173" w:rsidRDefault="00E43E37" w:rsidP="005A3173">
          <w:pPr>
            <w:pStyle w:val="Header"/>
            <w:spacing w:line="276" w:lineRule="auto"/>
            <w:rPr>
              <w:rFonts w:ascii="Calibri" w:eastAsia="MS Gothic" w:hAnsi="Calibri"/>
              <w:b/>
              <w:bCs/>
              <w:color w:val="4F81BD"/>
            </w:rPr>
          </w:pPr>
        </w:p>
      </w:tc>
      <w:tc>
        <w:tcPr>
          <w:tcW w:w="0" w:type="auto"/>
          <w:vMerge/>
          <w:vAlign w:val="center"/>
          <w:hideMark/>
        </w:tcPr>
        <w:p w:rsidR="00E43E37" w:rsidRPr="005A3173" w:rsidRDefault="00E43E37" w:rsidP="005A3173">
          <w:pPr>
            <w:rPr>
              <w:rFonts w:ascii="Calibri" w:hAnsi="Calibri"/>
              <w:color w:val="365F91"/>
              <w:sz w:val="22"/>
              <w:szCs w:val="22"/>
            </w:rPr>
          </w:pPr>
        </w:p>
      </w:tc>
      <w:tc>
        <w:tcPr>
          <w:tcW w:w="2250" w:type="pct"/>
          <w:tcBorders>
            <w:top w:val="single" w:sz="4" w:space="0" w:color="4F81BD"/>
            <w:left w:val="nil"/>
            <w:bottom w:val="nil"/>
            <w:right w:val="nil"/>
          </w:tcBorders>
        </w:tcPr>
        <w:p w:rsidR="00E43E37" w:rsidRPr="005A3173" w:rsidRDefault="00E43E3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43E37" w:rsidTr="005A3173">
      <w:trPr>
        <w:trHeight w:val="151"/>
      </w:trPr>
      <w:tc>
        <w:tcPr>
          <w:tcW w:w="2250" w:type="pct"/>
          <w:tcBorders>
            <w:top w:val="nil"/>
            <w:left w:val="nil"/>
            <w:bottom w:val="single" w:sz="4" w:space="0" w:color="4F81BD"/>
            <w:right w:val="nil"/>
          </w:tcBorders>
        </w:tcPr>
        <w:p w:rsidR="00E43E37" w:rsidRPr="005A3173" w:rsidRDefault="00E43E3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43E37" w:rsidRPr="005A3173" w:rsidRDefault="00E43E3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43E37" w:rsidRPr="005A3173" w:rsidRDefault="00E43E37" w:rsidP="005A3173">
          <w:pPr>
            <w:pStyle w:val="Header"/>
            <w:spacing w:line="276" w:lineRule="auto"/>
            <w:rPr>
              <w:rFonts w:ascii="Calibri" w:eastAsia="MS Gothic" w:hAnsi="Calibri"/>
              <w:b/>
              <w:bCs/>
              <w:color w:val="4F81BD"/>
            </w:rPr>
          </w:pPr>
        </w:p>
      </w:tc>
    </w:tr>
    <w:tr w:rsidR="00E43E37" w:rsidTr="005A3173">
      <w:trPr>
        <w:trHeight w:val="150"/>
      </w:trPr>
      <w:tc>
        <w:tcPr>
          <w:tcW w:w="2250" w:type="pct"/>
          <w:tcBorders>
            <w:top w:val="single" w:sz="4" w:space="0" w:color="4F81BD"/>
            <w:left w:val="nil"/>
            <w:bottom w:val="nil"/>
            <w:right w:val="nil"/>
          </w:tcBorders>
        </w:tcPr>
        <w:p w:rsidR="00E43E37" w:rsidRPr="005A3173" w:rsidRDefault="00E43E37" w:rsidP="005A3173">
          <w:pPr>
            <w:pStyle w:val="Header"/>
            <w:spacing w:line="276" w:lineRule="auto"/>
            <w:rPr>
              <w:rFonts w:ascii="Calibri" w:eastAsia="MS Gothic" w:hAnsi="Calibri"/>
              <w:b/>
              <w:bCs/>
              <w:color w:val="4F81BD"/>
            </w:rPr>
          </w:pPr>
        </w:p>
      </w:tc>
      <w:tc>
        <w:tcPr>
          <w:tcW w:w="0" w:type="auto"/>
          <w:vMerge/>
          <w:vAlign w:val="center"/>
          <w:hideMark/>
        </w:tcPr>
        <w:p w:rsidR="00E43E37" w:rsidRPr="005A3173" w:rsidRDefault="00E43E37" w:rsidP="005A3173">
          <w:pPr>
            <w:rPr>
              <w:rFonts w:ascii="Calibri" w:hAnsi="Calibri"/>
              <w:color w:val="365F91"/>
              <w:sz w:val="22"/>
              <w:szCs w:val="22"/>
            </w:rPr>
          </w:pPr>
        </w:p>
      </w:tc>
      <w:tc>
        <w:tcPr>
          <w:tcW w:w="2250" w:type="pct"/>
          <w:tcBorders>
            <w:top w:val="single" w:sz="4" w:space="0" w:color="4F81BD"/>
            <w:left w:val="nil"/>
            <w:bottom w:val="nil"/>
            <w:right w:val="nil"/>
          </w:tcBorders>
        </w:tcPr>
        <w:p w:rsidR="00E43E37" w:rsidRPr="005A3173" w:rsidRDefault="00E43E37" w:rsidP="005A3173">
          <w:pPr>
            <w:pStyle w:val="Header"/>
            <w:spacing w:line="276" w:lineRule="auto"/>
            <w:rPr>
              <w:rFonts w:ascii="Calibri" w:eastAsia="MS Gothic" w:hAnsi="Calibri"/>
              <w:b/>
              <w:bCs/>
              <w:color w:val="4F81BD"/>
            </w:rPr>
          </w:pPr>
        </w:p>
      </w:tc>
    </w:tr>
  </w:tbl>
  <w:p w:rsidR="00E43E37" w:rsidRPr="007C0F57" w:rsidRDefault="00E43E3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B5118C">
      <w:rPr>
        <w:rStyle w:val="PageNumber"/>
        <w:noProof/>
      </w:rPr>
      <w:t>1</w:t>
    </w:r>
    <w:r>
      <w:rPr>
        <w:rStyle w:val="PageNumber"/>
      </w:rPr>
      <w:fldChar w:fldCharType="end"/>
    </w:r>
    <w:r w:rsidRPr="007C0F57">
      <w:rPr>
        <w:b/>
        <w:i/>
        <w:sz w:val="20"/>
        <w:szCs w:val="20"/>
      </w:rPr>
      <w:t>BAC Meeting</w:t>
    </w:r>
  </w:p>
  <w:p w:rsidR="00E43E37" w:rsidRPr="007C0F57" w:rsidRDefault="00E43E37" w:rsidP="007C0F57">
    <w:pPr>
      <w:pStyle w:val="Footer"/>
      <w:jc w:val="center"/>
      <w:rPr>
        <w:b/>
        <w:i/>
        <w:sz w:val="20"/>
        <w:szCs w:val="20"/>
      </w:rPr>
    </w:pPr>
    <w:r w:rsidRPr="007C0F57">
      <w:rPr>
        <w:b/>
        <w:i/>
        <w:sz w:val="20"/>
        <w:szCs w:val="20"/>
      </w:rPr>
      <w:t>Commercial-in-Confidence</w:t>
    </w:r>
  </w:p>
  <w:p w:rsidR="00E43E37" w:rsidRDefault="00E43E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B9D" w:rsidRDefault="000B1B9D">
      <w:r>
        <w:separator/>
      </w:r>
    </w:p>
    <w:p w:rsidR="000B1B9D" w:rsidRDefault="000B1B9D"/>
  </w:footnote>
  <w:footnote w:type="continuationSeparator" w:id="0">
    <w:p w:rsidR="000B1B9D" w:rsidRDefault="000B1B9D">
      <w:r>
        <w:continuationSeparator/>
      </w:r>
    </w:p>
    <w:p w:rsidR="000B1B9D" w:rsidRDefault="000B1B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43E37" w:rsidRPr="008E0D90" w:rsidTr="00A06225">
      <w:trPr>
        <w:trHeight w:val="151"/>
      </w:trPr>
      <w:tc>
        <w:tcPr>
          <w:tcW w:w="2389" w:type="pct"/>
          <w:tcBorders>
            <w:top w:val="nil"/>
            <w:left w:val="nil"/>
            <w:bottom w:val="single" w:sz="4" w:space="0" w:color="4F81BD"/>
            <w:right w:val="nil"/>
          </w:tcBorders>
        </w:tcPr>
        <w:p w:rsidR="00E43E37" w:rsidRPr="00A06225" w:rsidRDefault="00E43E37">
          <w:pPr>
            <w:pStyle w:val="Header"/>
            <w:spacing w:line="276" w:lineRule="auto"/>
            <w:rPr>
              <w:rFonts w:ascii="Cambria" w:eastAsia="MS Gothic" w:hAnsi="Cambria"/>
              <w:b/>
              <w:bCs/>
              <w:color w:val="4F81BD"/>
            </w:rPr>
          </w:pPr>
        </w:p>
      </w:tc>
      <w:tc>
        <w:tcPr>
          <w:tcW w:w="333" w:type="pct"/>
          <w:vMerge w:val="restart"/>
          <w:noWrap/>
          <w:vAlign w:val="center"/>
          <w:hideMark/>
        </w:tcPr>
        <w:p w:rsidR="00E43E37" w:rsidRPr="00A06225" w:rsidRDefault="00E43E3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43E37" w:rsidRPr="00A06225" w:rsidRDefault="00E43E37">
          <w:pPr>
            <w:pStyle w:val="Header"/>
            <w:spacing w:line="276" w:lineRule="auto"/>
            <w:rPr>
              <w:rFonts w:ascii="Cambria" w:eastAsia="MS Gothic" w:hAnsi="Cambria"/>
              <w:b/>
              <w:bCs/>
              <w:color w:val="4F81BD"/>
            </w:rPr>
          </w:pPr>
        </w:p>
      </w:tc>
    </w:tr>
    <w:tr w:rsidR="00E43E37" w:rsidRPr="008E0D90" w:rsidTr="00A06225">
      <w:trPr>
        <w:trHeight w:val="150"/>
      </w:trPr>
      <w:tc>
        <w:tcPr>
          <w:tcW w:w="2389" w:type="pct"/>
          <w:tcBorders>
            <w:top w:val="single" w:sz="4" w:space="0" w:color="4F81BD"/>
            <w:left w:val="nil"/>
            <w:bottom w:val="nil"/>
            <w:right w:val="nil"/>
          </w:tcBorders>
        </w:tcPr>
        <w:p w:rsidR="00E43E37" w:rsidRPr="00A06225" w:rsidRDefault="00E43E37">
          <w:pPr>
            <w:pStyle w:val="Header"/>
            <w:spacing w:line="276" w:lineRule="auto"/>
            <w:rPr>
              <w:rFonts w:ascii="Cambria" w:eastAsia="MS Gothic" w:hAnsi="Cambria"/>
              <w:b/>
              <w:bCs/>
              <w:color w:val="4F81BD"/>
            </w:rPr>
          </w:pPr>
        </w:p>
      </w:tc>
      <w:tc>
        <w:tcPr>
          <w:tcW w:w="0" w:type="auto"/>
          <w:vMerge/>
          <w:vAlign w:val="center"/>
          <w:hideMark/>
        </w:tcPr>
        <w:p w:rsidR="00E43E37" w:rsidRPr="00A06225" w:rsidRDefault="00E43E37">
          <w:pPr>
            <w:rPr>
              <w:rFonts w:ascii="Cambria" w:hAnsi="Cambria"/>
              <w:color w:val="4F81BD"/>
              <w:sz w:val="22"/>
              <w:szCs w:val="22"/>
            </w:rPr>
          </w:pPr>
        </w:p>
      </w:tc>
      <w:tc>
        <w:tcPr>
          <w:tcW w:w="2278" w:type="pct"/>
          <w:tcBorders>
            <w:top w:val="single" w:sz="4" w:space="0" w:color="4F81BD"/>
            <w:left w:val="nil"/>
            <w:bottom w:val="nil"/>
            <w:right w:val="nil"/>
          </w:tcBorders>
        </w:tcPr>
        <w:p w:rsidR="00E43E37" w:rsidRPr="00A06225" w:rsidRDefault="00E43E37">
          <w:pPr>
            <w:pStyle w:val="Header"/>
            <w:spacing w:line="276" w:lineRule="auto"/>
            <w:rPr>
              <w:rFonts w:ascii="Cambria" w:eastAsia="MS Gothic" w:hAnsi="Cambria"/>
              <w:b/>
              <w:bCs/>
              <w:color w:val="4F81BD"/>
            </w:rPr>
          </w:pPr>
        </w:p>
      </w:tc>
    </w:tr>
  </w:tbl>
  <w:p w:rsidR="00E43E37" w:rsidRDefault="00E43E37">
    <w:pPr>
      <w:pStyle w:val="Header"/>
    </w:pPr>
  </w:p>
  <w:p w:rsidR="00E43E37" w:rsidRDefault="00E43E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8D" w:rsidRPr="00DF217D" w:rsidRDefault="00A82F8D" w:rsidP="00A82F8D">
    <w:pPr>
      <w:pStyle w:val="Header"/>
      <w:ind w:left="360"/>
      <w:jc w:val="center"/>
      <w:rPr>
        <w:rFonts w:ascii="Arial" w:hAnsi="Arial" w:cs="Arial"/>
        <w:i/>
        <w:color w:val="808080"/>
        <w:sz w:val="22"/>
      </w:rPr>
    </w:pPr>
    <w:r w:rsidRPr="00E810C7">
      <w:rPr>
        <w:rFonts w:ascii="Arial" w:hAnsi="Arial" w:cs="Arial"/>
        <w:i/>
        <w:color w:val="808080"/>
        <w:sz w:val="22"/>
        <w:szCs w:val="22"/>
      </w:rPr>
      <w:t>Public Summary Document –</w:t>
    </w:r>
    <w:r w:rsidRPr="00DF217D">
      <w:rPr>
        <w:rFonts w:ascii="Arial" w:hAnsi="Arial" w:cs="Arial"/>
        <w:i/>
        <w:color w:val="808080"/>
        <w:sz w:val="22"/>
      </w:rPr>
      <w:t xml:space="preserve"> </w:t>
    </w:r>
    <w:r>
      <w:rPr>
        <w:rFonts w:ascii="Arial" w:hAnsi="Arial" w:cs="Arial"/>
        <w:i/>
        <w:color w:val="808080"/>
        <w:sz w:val="22"/>
      </w:rPr>
      <w:t xml:space="preserve">November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E43E37" w:rsidRPr="00A82F8D" w:rsidRDefault="00E43E37" w:rsidP="00A82F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4B" w:rsidRDefault="00350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A53D8"/>
    <w:multiLevelType w:val="multilevel"/>
    <w:tmpl w:val="2E503B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8A7D7B"/>
    <w:multiLevelType w:val="hybridMultilevel"/>
    <w:tmpl w:val="A5AE8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4">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1">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2">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3">
    <w:nsid w:val="4A11291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8">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6">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8">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9">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1">
    <w:nsid w:val="784D033C"/>
    <w:multiLevelType w:val="multilevel"/>
    <w:tmpl w:val="F448146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2"/>
  </w:num>
  <w:num w:numId="2">
    <w:abstractNumId w:val="37"/>
  </w:num>
  <w:num w:numId="3">
    <w:abstractNumId w:val="22"/>
  </w:num>
  <w:num w:numId="4">
    <w:abstractNumId w:val="0"/>
  </w:num>
  <w:num w:numId="5">
    <w:abstractNumId w:val="7"/>
  </w:num>
  <w:num w:numId="6">
    <w:abstractNumId w:val="21"/>
  </w:num>
  <w:num w:numId="7">
    <w:abstractNumId w:val="18"/>
  </w:num>
  <w:num w:numId="8">
    <w:abstractNumId w:val="6"/>
  </w:num>
  <w:num w:numId="9">
    <w:abstractNumId w:val="9"/>
  </w:num>
  <w:num w:numId="10">
    <w:abstractNumId w:val="35"/>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8"/>
  </w:num>
  <w:num w:numId="15">
    <w:abstractNumId w:val="30"/>
  </w:num>
  <w:num w:numId="16">
    <w:abstractNumId w:val="26"/>
  </w:num>
  <w:num w:numId="17">
    <w:abstractNumId w:val="40"/>
  </w:num>
  <w:num w:numId="18">
    <w:abstractNumId w:val="15"/>
  </w:num>
  <w:num w:numId="19">
    <w:abstractNumId w:val="20"/>
  </w:num>
  <w:num w:numId="20">
    <w:abstractNumId w:val="5"/>
  </w:num>
  <w:num w:numId="21">
    <w:abstractNumId w:val="33"/>
  </w:num>
  <w:num w:numId="22">
    <w:abstractNumId w:val="36"/>
  </w:num>
  <w:num w:numId="23">
    <w:abstractNumId w:val="42"/>
  </w:num>
  <w:num w:numId="24">
    <w:abstractNumId w:val="17"/>
  </w:num>
  <w:num w:numId="25">
    <w:abstractNumId w:val="41"/>
  </w:num>
  <w:num w:numId="26">
    <w:abstractNumId w:val="31"/>
  </w:num>
  <w:num w:numId="27">
    <w:abstractNumId w:val="14"/>
  </w:num>
  <w:num w:numId="28">
    <w:abstractNumId w:val="8"/>
  </w:num>
  <w:num w:numId="29">
    <w:abstractNumId w:val="28"/>
  </w:num>
  <w:num w:numId="30">
    <w:abstractNumId w:val="3"/>
  </w:num>
  <w:num w:numId="31">
    <w:abstractNumId w:val="29"/>
  </w:num>
  <w:num w:numId="32">
    <w:abstractNumId w:val="39"/>
  </w:num>
  <w:num w:numId="33">
    <w:abstractNumId w:val="27"/>
  </w:num>
  <w:num w:numId="34">
    <w:abstractNumId w:val="43"/>
  </w:num>
  <w:num w:numId="35">
    <w:abstractNumId w:val="13"/>
  </w:num>
  <w:num w:numId="36">
    <w:abstractNumId w:val="25"/>
  </w:num>
  <w:num w:numId="37">
    <w:abstractNumId w:val="32"/>
  </w:num>
  <w:num w:numId="38">
    <w:abstractNumId w:val="10"/>
  </w:num>
  <w:num w:numId="39">
    <w:abstractNumId w:val="19"/>
  </w:num>
  <w:num w:numId="40">
    <w:abstractNumId w:val="1"/>
  </w:num>
  <w:num w:numId="41">
    <w:abstractNumId w:val="16"/>
  </w:num>
  <w:num w:numId="42">
    <w:abstractNumId w:val="34"/>
  </w:num>
  <w:num w:numId="43">
    <w:abstractNumId w:val="2"/>
  </w:num>
  <w:num w:numId="44">
    <w:abstractNumId w:val="23"/>
  </w:num>
  <w:num w:numId="45">
    <w:abstractNumId w:val="1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EC6"/>
    <w:rsid w:val="000025AD"/>
    <w:rsid w:val="00004143"/>
    <w:rsid w:val="000173C1"/>
    <w:rsid w:val="000232C9"/>
    <w:rsid w:val="00023B2E"/>
    <w:rsid w:val="0002464A"/>
    <w:rsid w:val="0003106B"/>
    <w:rsid w:val="00031ADA"/>
    <w:rsid w:val="000421A1"/>
    <w:rsid w:val="0004240E"/>
    <w:rsid w:val="00045E26"/>
    <w:rsid w:val="000514B5"/>
    <w:rsid w:val="00060496"/>
    <w:rsid w:val="00060E64"/>
    <w:rsid w:val="000652FC"/>
    <w:rsid w:val="00066755"/>
    <w:rsid w:val="00072558"/>
    <w:rsid w:val="0007651C"/>
    <w:rsid w:val="00077484"/>
    <w:rsid w:val="00081C41"/>
    <w:rsid w:val="000961B7"/>
    <w:rsid w:val="000969AD"/>
    <w:rsid w:val="000B1B9D"/>
    <w:rsid w:val="000B558D"/>
    <w:rsid w:val="000C2C52"/>
    <w:rsid w:val="000C6996"/>
    <w:rsid w:val="000D23BA"/>
    <w:rsid w:val="000D3AF0"/>
    <w:rsid w:val="000D443F"/>
    <w:rsid w:val="000E681E"/>
    <w:rsid w:val="000F4E6A"/>
    <w:rsid w:val="0010356C"/>
    <w:rsid w:val="001107BF"/>
    <w:rsid w:val="00114EE8"/>
    <w:rsid w:val="0012417C"/>
    <w:rsid w:val="00133FAC"/>
    <w:rsid w:val="00136CDC"/>
    <w:rsid w:val="00142395"/>
    <w:rsid w:val="00142714"/>
    <w:rsid w:val="001452ED"/>
    <w:rsid w:val="00146801"/>
    <w:rsid w:val="00173284"/>
    <w:rsid w:val="001830CE"/>
    <w:rsid w:val="0018347E"/>
    <w:rsid w:val="00196307"/>
    <w:rsid w:val="001A4CCB"/>
    <w:rsid w:val="001A53C9"/>
    <w:rsid w:val="001A6B28"/>
    <w:rsid w:val="001B017F"/>
    <w:rsid w:val="001B0D78"/>
    <w:rsid w:val="001B47DE"/>
    <w:rsid w:val="001B5129"/>
    <w:rsid w:val="001C1195"/>
    <w:rsid w:val="001C7BFC"/>
    <w:rsid w:val="001E4B62"/>
    <w:rsid w:val="00206A2A"/>
    <w:rsid w:val="00213CFB"/>
    <w:rsid w:val="0021617C"/>
    <w:rsid w:val="002167F4"/>
    <w:rsid w:val="0022236E"/>
    <w:rsid w:val="00235AE6"/>
    <w:rsid w:val="00243302"/>
    <w:rsid w:val="00271BA1"/>
    <w:rsid w:val="00277505"/>
    <w:rsid w:val="00286FB2"/>
    <w:rsid w:val="0029458F"/>
    <w:rsid w:val="002A104C"/>
    <w:rsid w:val="002A37BE"/>
    <w:rsid w:val="002A3D9C"/>
    <w:rsid w:val="002A4960"/>
    <w:rsid w:val="002B1AE6"/>
    <w:rsid w:val="002B30F8"/>
    <w:rsid w:val="002C212F"/>
    <w:rsid w:val="002C50FE"/>
    <w:rsid w:val="002C56A7"/>
    <w:rsid w:val="002E3153"/>
    <w:rsid w:val="002E644B"/>
    <w:rsid w:val="002E72CA"/>
    <w:rsid w:val="002F391D"/>
    <w:rsid w:val="003138BD"/>
    <w:rsid w:val="00313DC4"/>
    <w:rsid w:val="00326E79"/>
    <w:rsid w:val="00331CBC"/>
    <w:rsid w:val="00335AB9"/>
    <w:rsid w:val="003367EF"/>
    <w:rsid w:val="003418D6"/>
    <w:rsid w:val="00341AE4"/>
    <w:rsid w:val="0035044B"/>
    <w:rsid w:val="003872CF"/>
    <w:rsid w:val="0039782C"/>
    <w:rsid w:val="003A5B4A"/>
    <w:rsid w:val="003B23C5"/>
    <w:rsid w:val="003B2A75"/>
    <w:rsid w:val="003B7BD2"/>
    <w:rsid w:val="003D17BC"/>
    <w:rsid w:val="003D4035"/>
    <w:rsid w:val="003D4AC4"/>
    <w:rsid w:val="003D63B7"/>
    <w:rsid w:val="003E468B"/>
    <w:rsid w:val="003F5C8C"/>
    <w:rsid w:val="004048A1"/>
    <w:rsid w:val="0041604B"/>
    <w:rsid w:val="00422133"/>
    <w:rsid w:val="00443DBC"/>
    <w:rsid w:val="004465BD"/>
    <w:rsid w:val="004521BE"/>
    <w:rsid w:val="00456B5B"/>
    <w:rsid w:val="0046498E"/>
    <w:rsid w:val="00466ADA"/>
    <w:rsid w:val="00471BF0"/>
    <w:rsid w:val="00476245"/>
    <w:rsid w:val="00485940"/>
    <w:rsid w:val="00487722"/>
    <w:rsid w:val="004967E1"/>
    <w:rsid w:val="004A1DD5"/>
    <w:rsid w:val="004A5A85"/>
    <w:rsid w:val="004B5640"/>
    <w:rsid w:val="004C1BD7"/>
    <w:rsid w:val="004C691D"/>
    <w:rsid w:val="004D1718"/>
    <w:rsid w:val="004E6327"/>
    <w:rsid w:val="004E692D"/>
    <w:rsid w:val="004F0914"/>
    <w:rsid w:val="00501554"/>
    <w:rsid w:val="0050791E"/>
    <w:rsid w:val="00514CD7"/>
    <w:rsid w:val="00516FB4"/>
    <w:rsid w:val="005319B2"/>
    <w:rsid w:val="00532C74"/>
    <w:rsid w:val="00534E2E"/>
    <w:rsid w:val="00544552"/>
    <w:rsid w:val="005672DD"/>
    <w:rsid w:val="0057066C"/>
    <w:rsid w:val="00572692"/>
    <w:rsid w:val="00581932"/>
    <w:rsid w:val="005860E8"/>
    <w:rsid w:val="005926A7"/>
    <w:rsid w:val="0059469F"/>
    <w:rsid w:val="005963BB"/>
    <w:rsid w:val="005A3173"/>
    <w:rsid w:val="005A3223"/>
    <w:rsid w:val="005A3DA3"/>
    <w:rsid w:val="005A52C4"/>
    <w:rsid w:val="005C7F94"/>
    <w:rsid w:val="005D03AB"/>
    <w:rsid w:val="005D5017"/>
    <w:rsid w:val="005E0BCD"/>
    <w:rsid w:val="00601A91"/>
    <w:rsid w:val="00602BA3"/>
    <w:rsid w:val="006035F6"/>
    <w:rsid w:val="006066C0"/>
    <w:rsid w:val="00612CA3"/>
    <w:rsid w:val="00614159"/>
    <w:rsid w:val="006149D2"/>
    <w:rsid w:val="00617C00"/>
    <w:rsid w:val="00622920"/>
    <w:rsid w:val="006263BF"/>
    <w:rsid w:val="0062748A"/>
    <w:rsid w:val="00630A2C"/>
    <w:rsid w:val="00633F2E"/>
    <w:rsid w:val="00651169"/>
    <w:rsid w:val="006527CD"/>
    <w:rsid w:val="00653D69"/>
    <w:rsid w:val="00663D07"/>
    <w:rsid w:val="00670A76"/>
    <w:rsid w:val="006711AA"/>
    <w:rsid w:val="00672B57"/>
    <w:rsid w:val="00675622"/>
    <w:rsid w:val="00675A7B"/>
    <w:rsid w:val="00687EE3"/>
    <w:rsid w:val="006906DB"/>
    <w:rsid w:val="0069081C"/>
    <w:rsid w:val="0069748C"/>
    <w:rsid w:val="006A12A5"/>
    <w:rsid w:val="006B0D94"/>
    <w:rsid w:val="006B485D"/>
    <w:rsid w:val="006C32B0"/>
    <w:rsid w:val="006C708E"/>
    <w:rsid w:val="006D6EC7"/>
    <w:rsid w:val="006F5125"/>
    <w:rsid w:val="007174BB"/>
    <w:rsid w:val="00723CE2"/>
    <w:rsid w:val="00747DC5"/>
    <w:rsid w:val="00751DE9"/>
    <w:rsid w:val="0076420C"/>
    <w:rsid w:val="007753C2"/>
    <w:rsid w:val="00783400"/>
    <w:rsid w:val="007838B8"/>
    <w:rsid w:val="0078737D"/>
    <w:rsid w:val="007A1D4E"/>
    <w:rsid w:val="007A2569"/>
    <w:rsid w:val="007A7D09"/>
    <w:rsid w:val="007B0C61"/>
    <w:rsid w:val="007B132E"/>
    <w:rsid w:val="007B4096"/>
    <w:rsid w:val="007B7C9E"/>
    <w:rsid w:val="007C0F57"/>
    <w:rsid w:val="007C3A75"/>
    <w:rsid w:val="007C40B6"/>
    <w:rsid w:val="007C729F"/>
    <w:rsid w:val="007E1D28"/>
    <w:rsid w:val="007F2641"/>
    <w:rsid w:val="007F7C36"/>
    <w:rsid w:val="00806796"/>
    <w:rsid w:val="00815446"/>
    <w:rsid w:val="0081666D"/>
    <w:rsid w:val="00826F6D"/>
    <w:rsid w:val="00840723"/>
    <w:rsid w:val="00847220"/>
    <w:rsid w:val="00856DDD"/>
    <w:rsid w:val="0086262E"/>
    <w:rsid w:val="00863E68"/>
    <w:rsid w:val="0088156B"/>
    <w:rsid w:val="00882085"/>
    <w:rsid w:val="00883188"/>
    <w:rsid w:val="00897D58"/>
    <w:rsid w:val="008A1956"/>
    <w:rsid w:val="008A4937"/>
    <w:rsid w:val="008A6F41"/>
    <w:rsid w:val="008C13E3"/>
    <w:rsid w:val="008D3C82"/>
    <w:rsid w:val="008D447E"/>
    <w:rsid w:val="008D7A41"/>
    <w:rsid w:val="008E3680"/>
    <w:rsid w:val="008E5870"/>
    <w:rsid w:val="008E73AB"/>
    <w:rsid w:val="008F1434"/>
    <w:rsid w:val="008F7355"/>
    <w:rsid w:val="009067B7"/>
    <w:rsid w:val="00920608"/>
    <w:rsid w:val="009228BC"/>
    <w:rsid w:val="00930937"/>
    <w:rsid w:val="00931BC1"/>
    <w:rsid w:val="00933E6C"/>
    <w:rsid w:val="00942160"/>
    <w:rsid w:val="00943DB3"/>
    <w:rsid w:val="009602C5"/>
    <w:rsid w:val="00966377"/>
    <w:rsid w:val="00974C21"/>
    <w:rsid w:val="009754FD"/>
    <w:rsid w:val="00986796"/>
    <w:rsid w:val="00995BB9"/>
    <w:rsid w:val="009B0F67"/>
    <w:rsid w:val="009C703C"/>
    <w:rsid w:val="009C7719"/>
    <w:rsid w:val="009D3CAA"/>
    <w:rsid w:val="009E216B"/>
    <w:rsid w:val="009F4E46"/>
    <w:rsid w:val="009F5B65"/>
    <w:rsid w:val="009F5F2E"/>
    <w:rsid w:val="00A046FA"/>
    <w:rsid w:val="00A06225"/>
    <w:rsid w:val="00A128E6"/>
    <w:rsid w:val="00A37C8D"/>
    <w:rsid w:val="00A42596"/>
    <w:rsid w:val="00A4617F"/>
    <w:rsid w:val="00A5273B"/>
    <w:rsid w:val="00A53A9D"/>
    <w:rsid w:val="00A55FEE"/>
    <w:rsid w:val="00A62C1A"/>
    <w:rsid w:val="00A63A87"/>
    <w:rsid w:val="00A6426D"/>
    <w:rsid w:val="00A70622"/>
    <w:rsid w:val="00A70977"/>
    <w:rsid w:val="00A73E5B"/>
    <w:rsid w:val="00A74361"/>
    <w:rsid w:val="00A82F8D"/>
    <w:rsid w:val="00A8390C"/>
    <w:rsid w:val="00A928BD"/>
    <w:rsid w:val="00A95441"/>
    <w:rsid w:val="00AA4D1C"/>
    <w:rsid w:val="00AA77FE"/>
    <w:rsid w:val="00AB3396"/>
    <w:rsid w:val="00AB4DDC"/>
    <w:rsid w:val="00AC194D"/>
    <w:rsid w:val="00AC5206"/>
    <w:rsid w:val="00AC646A"/>
    <w:rsid w:val="00AE11A5"/>
    <w:rsid w:val="00AE13E2"/>
    <w:rsid w:val="00AE7986"/>
    <w:rsid w:val="00AF68CC"/>
    <w:rsid w:val="00B07EDE"/>
    <w:rsid w:val="00B10A83"/>
    <w:rsid w:val="00B1503F"/>
    <w:rsid w:val="00B205AA"/>
    <w:rsid w:val="00B22E84"/>
    <w:rsid w:val="00B23EEF"/>
    <w:rsid w:val="00B25D8A"/>
    <w:rsid w:val="00B25F75"/>
    <w:rsid w:val="00B40056"/>
    <w:rsid w:val="00B43E90"/>
    <w:rsid w:val="00B43FB6"/>
    <w:rsid w:val="00B44542"/>
    <w:rsid w:val="00B5118C"/>
    <w:rsid w:val="00B56118"/>
    <w:rsid w:val="00B6773F"/>
    <w:rsid w:val="00B801BA"/>
    <w:rsid w:val="00B8334C"/>
    <w:rsid w:val="00B83580"/>
    <w:rsid w:val="00B87CDD"/>
    <w:rsid w:val="00BA2C2F"/>
    <w:rsid w:val="00BB69F5"/>
    <w:rsid w:val="00BB7EC3"/>
    <w:rsid w:val="00BC4B9A"/>
    <w:rsid w:val="00BD784C"/>
    <w:rsid w:val="00BF4CB6"/>
    <w:rsid w:val="00C00DA7"/>
    <w:rsid w:val="00C04561"/>
    <w:rsid w:val="00C12768"/>
    <w:rsid w:val="00C27B58"/>
    <w:rsid w:val="00C31138"/>
    <w:rsid w:val="00C35996"/>
    <w:rsid w:val="00C475BE"/>
    <w:rsid w:val="00C503E4"/>
    <w:rsid w:val="00C5342C"/>
    <w:rsid w:val="00C53B76"/>
    <w:rsid w:val="00C60B65"/>
    <w:rsid w:val="00C6256A"/>
    <w:rsid w:val="00C6533B"/>
    <w:rsid w:val="00C7098B"/>
    <w:rsid w:val="00C73AA2"/>
    <w:rsid w:val="00C86E30"/>
    <w:rsid w:val="00C91449"/>
    <w:rsid w:val="00C92D10"/>
    <w:rsid w:val="00CB3012"/>
    <w:rsid w:val="00CB5349"/>
    <w:rsid w:val="00CD6FFA"/>
    <w:rsid w:val="00CE10C4"/>
    <w:rsid w:val="00CE27B5"/>
    <w:rsid w:val="00D0321E"/>
    <w:rsid w:val="00D125D5"/>
    <w:rsid w:val="00D1455A"/>
    <w:rsid w:val="00D17153"/>
    <w:rsid w:val="00D17797"/>
    <w:rsid w:val="00D17934"/>
    <w:rsid w:val="00D20855"/>
    <w:rsid w:val="00D242BB"/>
    <w:rsid w:val="00D24D16"/>
    <w:rsid w:val="00D3096D"/>
    <w:rsid w:val="00D3280C"/>
    <w:rsid w:val="00D3406A"/>
    <w:rsid w:val="00D44C85"/>
    <w:rsid w:val="00D469B2"/>
    <w:rsid w:val="00D5268C"/>
    <w:rsid w:val="00D52DAD"/>
    <w:rsid w:val="00D66BFF"/>
    <w:rsid w:val="00D741EB"/>
    <w:rsid w:val="00D82019"/>
    <w:rsid w:val="00D8209E"/>
    <w:rsid w:val="00D84934"/>
    <w:rsid w:val="00D869FE"/>
    <w:rsid w:val="00D91271"/>
    <w:rsid w:val="00D9154A"/>
    <w:rsid w:val="00D924C7"/>
    <w:rsid w:val="00D976D6"/>
    <w:rsid w:val="00DA2CB5"/>
    <w:rsid w:val="00DA41E3"/>
    <w:rsid w:val="00DA4BAC"/>
    <w:rsid w:val="00DA5D2F"/>
    <w:rsid w:val="00DA62CC"/>
    <w:rsid w:val="00DD50F7"/>
    <w:rsid w:val="00DE4E1E"/>
    <w:rsid w:val="00DE6D27"/>
    <w:rsid w:val="00DF1A38"/>
    <w:rsid w:val="00DF217D"/>
    <w:rsid w:val="00DF26A7"/>
    <w:rsid w:val="00DF6E5F"/>
    <w:rsid w:val="00E0355E"/>
    <w:rsid w:val="00E14481"/>
    <w:rsid w:val="00E164B3"/>
    <w:rsid w:val="00E16910"/>
    <w:rsid w:val="00E43E37"/>
    <w:rsid w:val="00E57838"/>
    <w:rsid w:val="00E626F7"/>
    <w:rsid w:val="00E63240"/>
    <w:rsid w:val="00E65E54"/>
    <w:rsid w:val="00E80155"/>
    <w:rsid w:val="00E848C0"/>
    <w:rsid w:val="00E91B96"/>
    <w:rsid w:val="00E93619"/>
    <w:rsid w:val="00E941A1"/>
    <w:rsid w:val="00E95CE3"/>
    <w:rsid w:val="00E9790C"/>
    <w:rsid w:val="00EA2825"/>
    <w:rsid w:val="00EA7861"/>
    <w:rsid w:val="00EB5088"/>
    <w:rsid w:val="00EC0C9D"/>
    <w:rsid w:val="00EC3E76"/>
    <w:rsid w:val="00ED1644"/>
    <w:rsid w:val="00ED2EC8"/>
    <w:rsid w:val="00ED344B"/>
    <w:rsid w:val="00ED4357"/>
    <w:rsid w:val="00EE1BAF"/>
    <w:rsid w:val="00EE651F"/>
    <w:rsid w:val="00EE6958"/>
    <w:rsid w:val="00EF44A0"/>
    <w:rsid w:val="00EF4FED"/>
    <w:rsid w:val="00F02CBD"/>
    <w:rsid w:val="00F03C50"/>
    <w:rsid w:val="00F050BD"/>
    <w:rsid w:val="00F05657"/>
    <w:rsid w:val="00F173B4"/>
    <w:rsid w:val="00F25578"/>
    <w:rsid w:val="00F258E5"/>
    <w:rsid w:val="00F25CE1"/>
    <w:rsid w:val="00F26C26"/>
    <w:rsid w:val="00F300BC"/>
    <w:rsid w:val="00F32ECC"/>
    <w:rsid w:val="00F3334E"/>
    <w:rsid w:val="00F340B4"/>
    <w:rsid w:val="00F50EC4"/>
    <w:rsid w:val="00F53756"/>
    <w:rsid w:val="00F57A6D"/>
    <w:rsid w:val="00F60FB5"/>
    <w:rsid w:val="00F638CC"/>
    <w:rsid w:val="00F64CC1"/>
    <w:rsid w:val="00F72A46"/>
    <w:rsid w:val="00F805AE"/>
    <w:rsid w:val="00F8247A"/>
    <w:rsid w:val="00F94972"/>
    <w:rsid w:val="00F9629A"/>
    <w:rsid w:val="00FA5883"/>
    <w:rsid w:val="00FA6055"/>
    <w:rsid w:val="00FA650C"/>
    <w:rsid w:val="00FB322F"/>
    <w:rsid w:val="00FB442F"/>
    <w:rsid w:val="00FC1929"/>
    <w:rsid w:val="00FC5B46"/>
    <w:rsid w:val="00FF00BD"/>
    <w:rsid w:val="00FF0ACD"/>
    <w:rsid w:val="00FF1ED4"/>
    <w:rsid w:val="00FF2801"/>
    <w:rsid w:val="00FF4B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7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242BB"/>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5672DD"/>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basedOn w:val="ListParagraph"/>
    <w:qFormat/>
    <w:rsid w:val="005672DD"/>
    <w:pPr>
      <w:numPr>
        <w:numId w:val="25"/>
      </w:numPr>
      <w:jc w:val="both"/>
      <w:outlineLvl w:val="0"/>
    </w:pPr>
    <w:rPr>
      <w:rFonts w:ascii="Arial" w:hAnsi="Arial"/>
      <w:b/>
      <w:sz w:val="22"/>
      <w:szCs w:val="22"/>
    </w:rPr>
  </w:style>
  <w:style w:type="character" w:customStyle="1" w:styleId="TableText0">
    <w:name w:val="Table Text"/>
    <w:basedOn w:val="DefaultParagraphFont"/>
    <w:uiPriority w:val="99"/>
    <w:qFormat/>
    <w:rsid w:val="00C503E4"/>
    <w:rPr>
      <w:rFonts w:ascii="Calibri" w:hAnsi="Calibri"/>
      <w:sz w:val="20"/>
    </w:rPr>
  </w:style>
  <w:style w:type="paragraph" w:customStyle="1" w:styleId="TableLeft">
    <w:name w:val="Table Left"/>
    <w:basedOn w:val="Normal"/>
    <w:link w:val="TableLeftChar"/>
    <w:uiPriority w:val="99"/>
    <w:qFormat/>
    <w:rsid w:val="00C503E4"/>
    <w:rPr>
      <w:rFonts w:ascii="Calibri" w:eastAsiaTheme="majorEastAsia" w:hAnsi="Calibri" w:cstheme="majorBidi"/>
      <w:sz w:val="20"/>
      <w:szCs w:val="22"/>
      <w:lang w:eastAsia="en-US" w:bidi="en-US"/>
    </w:rPr>
  </w:style>
  <w:style w:type="character" w:customStyle="1" w:styleId="TableLeftChar">
    <w:name w:val="Table Left Char"/>
    <w:basedOn w:val="DefaultParagraphFont"/>
    <w:link w:val="TableLeft"/>
    <w:uiPriority w:val="99"/>
    <w:rsid w:val="00C503E4"/>
    <w:rPr>
      <w:rFonts w:ascii="Calibri" w:eastAsiaTheme="majorEastAsia" w:hAnsi="Calibri" w:cstheme="majorBidi"/>
      <w:szCs w:val="22"/>
      <w:lang w:eastAsia="en-US" w:bidi="en-US"/>
    </w:rPr>
  </w:style>
  <w:style w:type="paragraph" w:styleId="BodyText">
    <w:name w:val="Body Text"/>
    <w:basedOn w:val="Normal"/>
    <w:link w:val="BodyTextChar"/>
    <w:rsid w:val="00077484"/>
    <w:pPr>
      <w:spacing w:after="120"/>
    </w:pPr>
  </w:style>
  <w:style w:type="character" w:customStyle="1" w:styleId="BodyTextChar">
    <w:name w:val="Body Text Char"/>
    <w:basedOn w:val="DefaultParagraphFont"/>
    <w:link w:val="BodyText"/>
    <w:rsid w:val="00077484"/>
    <w:rPr>
      <w:sz w:val="24"/>
      <w:szCs w:val="24"/>
    </w:rPr>
  </w:style>
  <w:style w:type="table" w:customStyle="1" w:styleId="TableGrid401">
    <w:name w:val="Table Grid401"/>
    <w:basedOn w:val="TableNormal"/>
    <w:next w:val="TableGrid"/>
    <w:uiPriority w:val="59"/>
    <w:rsid w:val="00747D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73C1"/>
    <w:rPr>
      <w:color w:val="0000FF" w:themeColor="hyperlink"/>
      <w:u w:val="single"/>
    </w:rPr>
  </w:style>
  <w:style w:type="character" w:customStyle="1" w:styleId="ListParagraphChar">
    <w:name w:val="List Paragraph Char"/>
    <w:link w:val="ListParagraph"/>
    <w:uiPriority w:val="72"/>
    <w:rsid w:val="00A82F8D"/>
    <w:rPr>
      <w:sz w:val="24"/>
      <w:szCs w:val="24"/>
    </w:rPr>
  </w:style>
  <w:style w:type="paragraph" w:styleId="Title">
    <w:name w:val="Title"/>
    <w:basedOn w:val="Normal"/>
    <w:next w:val="Normal"/>
    <w:link w:val="TitleChar"/>
    <w:qFormat/>
    <w:rsid w:val="005672DD"/>
    <w:pPr>
      <w:ind w:left="720" w:hanging="720"/>
      <w:outlineLvl w:val="0"/>
    </w:pPr>
    <w:rPr>
      <w:rFonts w:ascii="Arial" w:hAnsi="Arial"/>
      <w:b/>
      <w:sz w:val="28"/>
      <w:szCs w:val="28"/>
    </w:rPr>
  </w:style>
  <w:style w:type="character" w:customStyle="1" w:styleId="TitleChar">
    <w:name w:val="Title Char"/>
    <w:basedOn w:val="DefaultParagraphFont"/>
    <w:link w:val="Title"/>
    <w:rsid w:val="005672DD"/>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242BB"/>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5672DD"/>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basedOn w:val="ListParagraph"/>
    <w:qFormat/>
    <w:rsid w:val="005672DD"/>
    <w:pPr>
      <w:numPr>
        <w:numId w:val="25"/>
      </w:numPr>
      <w:jc w:val="both"/>
      <w:outlineLvl w:val="0"/>
    </w:pPr>
    <w:rPr>
      <w:rFonts w:ascii="Arial" w:hAnsi="Arial"/>
      <w:b/>
      <w:sz w:val="22"/>
      <w:szCs w:val="22"/>
    </w:rPr>
  </w:style>
  <w:style w:type="character" w:customStyle="1" w:styleId="TableText0">
    <w:name w:val="Table Text"/>
    <w:basedOn w:val="DefaultParagraphFont"/>
    <w:uiPriority w:val="99"/>
    <w:qFormat/>
    <w:rsid w:val="00C503E4"/>
    <w:rPr>
      <w:rFonts w:ascii="Calibri" w:hAnsi="Calibri"/>
      <w:sz w:val="20"/>
    </w:rPr>
  </w:style>
  <w:style w:type="paragraph" w:customStyle="1" w:styleId="TableLeft">
    <w:name w:val="Table Left"/>
    <w:basedOn w:val="Normal"/>
    <w:link w:val="TableLeftChar"/>
    <w:uiPriority w:val="99"/>
    <w:qFormat/>
    <w:rsid w:val="00C503E4"/>
    <w:rPr>
      <w:rFonts w:ascii="Calibri" w:eastAsiaTheme="majorEastAsia" w:hAnsi="Calibri" w:cstheme="majorBidi"/>
      <w:sz w:val="20"/>
      <w:szCs w:val="22"/>
      <w:lang w:eastAsia="en-US" w:bidi="en-US"/>
    </w:rPr>
  </w:style>
  <w:style w:type="character" w:customStyle="1" w:styleId="TableLeftChar">
    <w:name w:val="Table Left Char"/>
    <w:basedOn w:val="DefaultParagraphFont"/>
    <w:link w:val="TableLeft"/>
    <w:uiPriority w:val="99"/>
    <w:rsid w:val="00C503E4"/>
    <w:rPr>
      <w:rFonts w:ascii="Calibri" w:eastAsiaTheme="majorEastAsia" w:hAnsi="Calibri" w:cstheme="majorBidi"/>
      <w:szCs w:val="22"/>
      <w:lang w:eastAsia="en-US" w:bidi="en-US"/>
    </w:rPr>
  </w:style>
  <w:style w:type="paragraph" w:styleId="BodyText">
    <w:name w:val="Body Text"/>
    <w:basedOn w:val="Normal"/>
    <w:link w:val="BodyTextChar"/>
    <w:rsid w:val="00077484"/>
    <w:pPr>
      <w:spacing w:after="120"/>
    </w:pPr>
  </w:style>
  <w:style w:type="character" w:customStyle="1" w:styleId="BodyTextChar">
    <w:name w:val="Body Text Char"/>
    <w:basedOn w:val="DefaultParagraphFont"/>
    <w:link w:val="BodyText"/>
    <w:rsid w:val="00077484"/>
    <w:rPr>
      <w:sz w:val="24"/>
      <w:szCs w:val="24"/>
    </w:rPr>
  </w:style>
  <w:style w:type="table" w:customStyle="1" w:styleId="TableGrid401">
    <w:name w:val="Table Grid401"/>
    <w:basedOn w:val="TableNormal"/>
    <w:next w:val="TableGrid"/>
    <w:uiPriority w:val="59"/>
    <w:rsid w:val="00747D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73C1"/>
    <w:rPr>
      <w:color w:val="0000FF" w:themeColor="hyperlink"/>
      <w:u w:val="single"/>
    </w:rPr>
  </w:style>
  <w:style w:type="character" w:customStyle="1" w:styleId="ListParagraphChar">
    <w:name w:val="List Paragraph Char"/>
    <w:link w:val="ListParagraph"/>
    <w:uiPriority w:val="72"/>
    <w:rsid w:val="00A82F8D"/>
    <w:rPr>
      <w:sz w:val="24"/>
      <w:szCs w:val="24"/>
    </w:rPr>
  </w:style>
  <w:style w:type="paragraph" w:styleId="Title">
    <w:name w:val="Title"/>
    <w:basedOn w:val="Normal"/>
    <w:next w:val="Normal"/>
    <w:link w:val="TitleChar"/>
    <w:qFormat/>
    <w:rsid w:val="005672DD"/>
    <w:pPr>
      <w:ind w:left="720" w:hanging="720"/>
      <w:outlineLvl w:val="0"/>
    </w:pPr>
    <w:rPr>
      <w:rFonts w:ascii="Arial" w:hAnsi="Arial"/>
      <w:b/>
      <w:sz w:val="28"/>
      <w:szCs w:val="28"/>
    </w:rPr>
  </w:style>
  <w:style w:type="character" w:customStyle="1" w:styleId="TitleChar">
    <w:name w:val="Title Char"/>
    <w:basedOn w:val="DefaultParagraphFont"/>
    <w:link w:val="Title"/>
    <w:rsid w:val="005672DD"/>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1383921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3712</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2016-02-29T05:35:00Z</dcterms:created>
  <dcterms:modified xsi:type="dcterms:W3CDTF">2016-02-29T05:37:00Z</dcterms:modified>
</cp:coreProperties>
</file>