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8D" w:rsidRPr="00C235BA" w:rsidRDefault="00DF6AAE" w:rsidP="00C235BA">
      <w:pPr>
        <w:pStyle w:val="Title"/>
        <w:outlineLvl w:val="0"/>
      </w:pPr>
      <w:r w:rsidRPr="00C235BA">
        <w:t>5.22</w:t>
      </w:r>
      <w:r w:rsidRPr="00C235BA">
        <w:tab/>
      </w:r>
      <w:r w:rsidR="0038442E" w:rsidRPr="00C235BA">
        <w:t xml:space="preserve">AMINO ACID FORMULA WITH VITAMINS AND MINERALS WITHOUT PHENYLALANINE </w:t>
      </w:r>
    </w:p>
    <w:p w:rsidR="007D3C2D" w:rsidRPr="00C235BA" w:rsidRDefault="007D3C2D" w:rsidP="00C235BA">
      <w:pPr>
        <w:pStyle w:val="Title"/>
        <w:ind w:firstLine="0"/>
        <w:outlineLvl w:val="0"/>
      </w:pPr>
      <w:r w:rsidRPr="00C235BA">
        <w:t>Oral liquid: powder for, 30 x 20 g sachets</w:t>
      </w:r>
      <w:r w:rsidR="0038442E" w:rsidRPr="00C235BA">
        <w:t>;</w:t>
      </w:r>
      <w:r w:rsidRPr="00C235BA">
        <w:t xml:space="preserve"> </w:t>
      </w:r>
    </w:p>
    <w:p w:rsidR="00D3280C" w:rsidRPr="00C235BA" w:rsidRDefault="0038442E" w:rsidP="00C235BA">
      <w:pPr>
        <w:pStyle w:val="Title"/>
        <w:ind w:firstLine="0"/>
        <w:outlineLvl w:val="0"/>
      </w:pPr>
      <w:r w:rsidRPr="00C235BA">
        <w:t xml:space="preserve">PKU Go, </w:t>
      </w:r>
      <w:proofErr w:type="spellStart"/>
      <w:r w:rsidR="007D3C2D" w:rsidRPr="00C235BA">
        <w:t>Orpharma</w:t>
      </w:r>
      <w:proofErr w:type="spellEnd"/>
      <w:r w:rsidR="007D3C2D" w:rsidRPr="00C235BA">
        <w:t xml:space="preserve"> Pty Ltd</w:t>
      </w:r>
      <w:r w:rsidRPr="00C235BA">
        <w:t>.</w:t>
      </w:r>
    </w:p>
    <w:p w:rsidR="00C27B58" w:rsidRDefault="00C27B58" w:rsidP="00C27B58">
      <w:pPr>
        <w:pStyle w:val="NoSpacing"/>
      </w:pPr>
    </w:p>
    <w:p w:rsidR="00CE10C4" w:rsidRPr="00C235BA" w:rsidRDefault="00CE10C4" w:rsidP="00C235BA">
      <w:pPr>
        <w:pStyle w:val="Heading1"/>
      </w:pPr>
      <w:r w:rsidRPr="00C235BA">
        <w:t xml:space="preserve">Purpose of </w:t>
      </w:r>
      <w:r w:rsidR="0004240E" w:rsidRPr="00C235BA">
        <w:t>Application</w:t>
      </w:r>
    </w:p>
    <w:p w:rsidR="006A12A5" w:rsidRPr="00882085" w:rsidRDefault="006A12A5" w:rsidP="00882085">
      <w:pPr>
        <w:jc w:val="both"/>
        <w:rPr>
          <w:rFonts w:ascii="Arial" w:hAnsi="Arial"/>
          <w:sz w:val="22"/>
          <w:szCs w:val="22"/>
        </w:rPr>
      </w:pPr>
    </w:p>
    <w:p w:rsidR="00F9629A" w:rsidRPr="00F9629A" w:rsidRDefault="000A4E96" w:rsidP="00C27B58">
      <w:pPr>
        <w:pStyle w:val="NoSpacing"/>
      </w:pPr>
      <w:r>
        <w:t xml:space="preserve">1.1 </w:t>
      </w:r>
      <w:r>
        <w:tab/>
        <w:t>The minor submission requested a restricted benefit listing for phenylketonuria</w:t>
      </w:r>
    </w:p>
    <w:p w:rsidR="00EF44A0" w:rsidRPr="00C27B58" w:rsidRDefault="00EF44A0" w:rsidP="00C27B58">
      <w:pPr>
        <w:pStyle w:val="NoSpacing"/>
      </w:pPr>
    </w:p>
    <w:p w:rsidR="00614159" w:rsidRPr="00882085" w:rsidRDefault="006A12A5" w:rsidP="00C235BA">
      <w:pPr>
        <w:pStyle w:val="Heading1"/>
      </w:pPr>
      <w:r w:rsidRPr="00882085">
        <w:t>Requested listing</w:t>
      </w:r>
    </w:p>
    <w:p w:rsidR="000A4E96" w:rsidRPr="00247CF5" w:rsidRDefault="000A4E96" w:rsidP="00247CF5">
      <w:pPr>
        <w:jc w:val="both"/>
        <w:rPr>
          <w:rFonts w:ascii="Arial" w:hAnsi="Arial"/>
          <w:sz w:val="22"/>
          <w:szCs w:val="22"/>
        </w:rPr>
      </w:pP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restriction"/>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0A4E96" w:rsidRPr="00263CB8" w:rsidRDefault="000A4E96" w:rsidP="000A4E96">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 xml:space="preserve">WITH VITAMINS AND MINERALS </w:t>
            </w:r>
            <w:r>
              <w:rPr>
                <w:rFonts w:ascii="Arial Narrow" w:hAnsi="Arial Narrow" w:cs="Arial"/>
                <w:sz w:val="20"/>
              </w:rPr>
              <w:t>WITHOUT PHENYLALANINE</w:t>
            </w:r>
          </w:p>
          <w:p w:rsidR="00826F6D" w:rsidRPr="00260CE3" w:rsidRDefault="000A4E96" w:rsidP="000A4E96">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acid formula</w:t>
            </w:r>
            <w:r w:rsidRPr="00263CB8">
              <w:rPr>
                <w:rFonts w:ascii="Arial Narrow" w:hAnsi="Arial Narrow" w:cs="Arial"/>
                <w:sz w:val="20"/>
              </w:rPr>
              <w:t xml:space="preserve"> with vitamins and minerals</w:t>
            </w:r>
            <w:r>
              <w:rPr>
                <w:rFonts w:ascii="Arial Narrow" w:hAnsi="Arial Narrow" w:cs="Arial"/>
                <w:sz w:val="20"/>
              </w:rPr>
              <w:t xml:space="preserve"> without phenylalanine</w:t>
            </w:r>
            <w:r w:rsidRPr="00263CB8">
              <w:rPr>
                <w:rFonts w:ascii="Arial Narrow" w:hAnsi="Arial Narrow" w:cs="Arial"/>
                <w:sz w:val="20"/>
              </w:rPr>
              <w:t xml:space="preserve"> containing 15 g protein oral liquid</w:t>
            </w:r>
            <w:r>
              <w:rPr>
                <w:rFonts w:ascii="Arial Narrow" w:hAnsi="Arial Narrow" w:cs="Arial"/>
                <w:sz w:val="20"/>
              </w:rPr>
              <w:t>: powder</w:t>
            </w:r>
            <w:r w:rsidRPr="00263CB8">
              <w:rPr>
                <w:rFonts w:ascii="Arial Narrow" w:hAnsi="Arial Narrow" w:cs="Arial"/>
                <w:sz w:val="20"/>
              </w:rPr>
              <w:t xml:space="preserve">, </w:t>
            </w:r>
            <w:r>
              <w:rPr>
                <w:rFonts w:ascii="Arial Narrow" w:hAnsi="Arial Narrow" w:cs="Arial"/>
                <w:sz w:val="20"/>
              </w:rPr>
              <w:t>30, 20g sachets</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0A4E96" w:rsidP="00C27B58">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0A4E96"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C27B58">
            <w:pPr>
              <w:keepNext/>
              <w:ind w:left="-108"/>
              <w:jc w:val="both"/>
              <w:rPr>
                <w:rFonts w:ascii="Arial Narrow" w:hAnsi="Arial Narrow" w:cs="Arial"/>
                <w:sz w:val="20"/>
                <w:szCs w:val="20"/>
              </w:rPr>
            </w:pPr>
            <w:r w:rsidRPr="00260CE3">
              <w:rPr>
                <w:rFonts w:ascii="Arial Narrow" w:hAnsi="Arial Narrow" w:cs="Arial"/>
                <w:sz w:val="20"/>
                <w:szCs w:val="20"/>
              </w:rPr>
              <w:t>$</w:t>
            </w:r>
            <w:r w:rsidR="0032425F">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0A4E96" w:rsidRPr="00263CB8" w:rsidRDefault="000A4E96" w:rsidP="000A4E96">
            <w:pPr>
              <w:keepNext/>
              <w:rPr>
                <w:rFonts w:ascii="Arial Narrow" w:hAnsi="Arial Narrow" w:cs="Arial"/>
                <w:sz w:val="20"/>
              </w:rPr>
            </w:pPr>
            <w:r w:rsidRPr="00263CB8">
              <w:rPr>
                <w:rFonts w:ascii="Arial Narrow" w:hAnsi="Arial Narrow" w:cs="Arial"/>
                <w:sz w:val="20"/>
              </w:rPr>
              <w:t xml:space="preserve">PKU </w:t>
            </w:r>
            <w:r w:rsidRPr="00783832">
              <w:rPr>
                <w:rFonts w:ascii="Arial Narrow" w:hAnsi="Arial Narrow" w:cs="Arial"/>
                <w:sz w:val="20"/>
              </w:rPr>
              <w:t>Go</w:t>
            </w:r>
          </w:p>
          <w:p w:rsidR="00826F6D" w:rsidRPr="00260CE3" w:rsidRDefault="00826F6D" w:rsidP="00C27B58">
            <w:pPr>
              <w:keepNext/>
              <w:jc w:val="both"/>
              <w:rPr>
                <w:rFonts w:ascii="Arial Narrow" w:hAnsi="Arial Narrow" w:cs="Arial"/>
                <w:sz w:val="20"/>
                <w:szCs w:val="20"/>
              </w:rPr>
            </w:pPr>
          </w:p>
        </w:tc>
        <w:tc>
          <w:tcPr>
            <w:tcW w:w="1134" w:type="dxa"/>
          </w:tcPr>
          <w:p w:rsidR="000A4E96" w:rsidRDefault="000A4E96" w:rsidP="000A4E96">
            <w:pPr>
              <w:keepNext/>
              <w:rPr>
                <w:rFonts w:ascii="Arial Narrow" w:hAnsi="Arial Narrow" w:cs="Arial"/>
                <w:sz w:val="20"/>
              </w:rPr>
            </w:pPr>
            <w:r>
              <w:rPr>
                <w:rFonts w:ascii="Arial Narrow" w:hAnsi="Arial Narrow" w:cs="Arial"/>
                <w:sz w:val="20"/>
              </w:rPr>
              <w:t>To be confirmed</w:t>
            </w:r>
          </w:p>
          <w:p w:rsidR="00826F6D" w:rsidRPr="00260CE3" w:rsidRDefault="00826F6D" w:rsidP="00C27B58">
            <w:pPr>
              <w:keepNext/>
              <w:jc w:val="both"/>
              <w:rPr>
                <w:rFonts w:ascii="Arial Narrow" w:hAnsi="Arial Narrow" w:cs="Arial"/>
                <w:sz w:val="20"/>
                <w:szCs w:val="20"/>
              </w:rPr>
            </w:pP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A4E96">
              <w:rPr>
                <w:rFonts w:ascii="Arial Narrow" w:hAnsi="Arial Narrow" w:cs="Arial"/>
                <w:sz w:val="20"/>
                <w:szCs w:val="20"/>
              </w:rPr>
              <w:fldChar w:fldCharType="begin">
                <w:ffData>
                  <w:name w:val=""/>
                  <w:enabled/>
                  <w:calcOnExit w:val="0"/>
                  <w:checkBox>
                    <w:sizeAuto/>
                    <w:default w:val="1"/>
                  </w:checkBox>
                </w:ffData>
              </w:fldChar>
            </w:r>
            <w:r w:rsidR="000A4E96">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000A4E9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0A4E96">
              <w:rPr>
                <w:rFonts w:ascii="Arial Narrow" w:hAnsi="Arial Narrow" w:cs="Arial"/>
                <w:sz w:val="20"/>
                <w:szCs w:val="20"/>
              </w:rPr>
              <w:fldChar w:fldCharType="begin">
                <w:ffData>
                  <w:name w:val="Check3"/>
                  <w:enabled/>
                  <w:calcOnExit w:val="0"/>
                  <w:checkBox>
                    <w:sizeAuto/>
                    <w:default w:val="1"/>
                  </w:checkBox>
                </w:ffData>
              </w:fldChar>
            </w:r>
            <w:bookmarkStart w:id="0" w:name="Check3"/>
            <w:r w:rsidR="000A4E96">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000A4E96">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0A4E96"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0A4E96"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904F9">
              <w:rPr>
                <w:rFonts w:ascii="Arial Narrow" w:hAnsi="Arial Narrow" w:cs="Arial"/>
                <w:sz w:val="20"/>
                <w:szCs w:val="20"/>
              </w:rPr>
            </w:r>
            <w:r w:rsidR="006904F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826F6D" w:rsidRPr="00826F6D" w:rsidRDefault="00826F6D" w:rsidP="00826F6D">
      <w:pPr>
        <w:pStyle w:val="ListParagraph"/>
        <w:jc w:val="both"/>
        <w:rPr>
          <w:rFonts w:ascii="Arial" w:hAnsi="Arial"/>
          <w:sz w:val="22"/>
          <w:szCs w:val="22"/>
        </w:rPr>
      </w:pPr>
    </w:p>
    <w:p w:rsidR="000A4E96" w:rsidRDefault="000A4E96" w:rsidP="00067955">
      <w:pPr>
        <w:rPr>
          <w:rFonts w:ascii="Arial" w:hAnsi="Arial"/>
          <w:b/>
          <w:i/>
          <w:sz w:val="22"/>
          <w:szCs w:val="22"/>
        </w:rPr>
      </w:pPr>
    </w:p>
    <w:p w:rsidR="00CE10C4" w:rsidRPr="00C235BA" w:rsidRDefault="00793BB5" w:rsidP="00C235BA">
      <w:pPr>
        <w:pStyle w:val="Heading2"/>
      </w:pPr>
      <w:r>
        <w:rPr>
          <w:i/>
        </w:rPr>
        <w:br w:type="page"/>
      </w:r>
      <w:r w:rsidR="00CE10C4" w:rsidRPr="00C235BA">
        <w:lastRenderedPageBreak/>
        <w:t>Background</w:t>
      </w:r>
    </w:p>
    <w:p w:rsidR="006A12A5" w:rsidRPr="00882085" w:rsidRDefault="006A12A5" w:rsidP="00882085">
      <w:pPr>
        <w:jc w:val="both"/>
        <w:rPr>
          <w:rFonts w:ascii="Arial" w:hAnsi="Arial"/>
          <w:sz w:val="22"/>
          <w:szCs w:val="22"/>
        </w:rPr>
      </w:pPr>
    </w:p>
    <w:p w:rsidR="00111ED6" w:rsidRPr="00DF6AAE" w:rsidRDefault="00111ED6" w:rsidP="00111ED6">
      <w:pPr>
        <w:pStyle w:val="ListParagraph"/>
        <w:numPr>
          <w:ilvl w:val="1"/>
          <w:numId w:val="2"/>
        </w:numPr>
        <w:spacing w:after="240"/>
        <w:contextualSpacing w:val="0"/>
        <w:jc w:val="both"/>
        <w:rPr>
          <w:rFonts w:ascii="Arial" w:hAnsi="Arial"/>
          <w:sz w:val="22"/>
          <w:szCs w:val="22"/>
        </w:rPr>
      </w:pPr>
      <w:r w:rsidRPr="00DF6AAE">
        <w:rPr>
          <w:rFonts w:ascii="Arial" w:hAnsi="Arial"/>
          <w:sz w:val="22"/>
          <w:szCs w:val="22"/>
        </w:rPr>
        <w:t xml:space="preserve">PKU </w:t>
      </w:r>
      <w:r w:rsidR="00793BB5" w:rsidRPr="00DF6AAE">
        <w:rPr>
          <w:rFonts w:ascii="Arial" w:hAnsi="Arial"/>
          <w:sz w:val="22"/>
          <w:szCs w:val="22"/>
        </w:rPr>
        <w:t>Go</w:t>
      </w:r>
      <w:r w:rsidRPr="00DF6AAE">
        <w:rPr>
          <w:rFonts w:ascii="Arial" w:hAnsi="Arial"/>
          <w:sz w:val="22"/>
          <w:szCs w:val="22"/>
        </w:rPr>
        <w:t xml:space="preserve"> does not requ</w:t>
      </w:r>
      <w:r w:rsidR="009E3375">
        <w:rPr>
          <w:rFonts w:ascii="Arial" w:hAnsi="Arial"/>
          <w:sz w:val="22"/>
          <w:szCs w:val="22"/>
        </w:rPr>
        <w:t>ire registration with the TGA. The sponsor has confirmed</w:t>
      </w:r>
      <w:r w:rsidRPr="00DF6AAE">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9E3375">
        <w:rPr>
          <w:rFonts w:ascii="Arial" w:hAnsi="Arial"/>
          <w:sz w:val="22"/>
          <w:szCs w:val="22"/>
        </w:rPr>
        <w:t>.</w:t>
      </w:r>
    </w:p>
    <w:p w:rsidR="00111ED6" w:rsidRPr="00DF6AAE" w:rsidRDefault="00111ED6" w:rsidP="00111ED6">
      <w:pPr>
        <w:pStyle w:val="ListParagraph"/>
        <w:numPr>
          <w:ilvl w:val="1"/>
          <w:numId w:val="2"/>
        </w:numPr>
        <w:jc w:val="both"/>
        <w:rPr>
          <w:rFonts w:ascii="Arial" w:hAnsi="Arial"/>
          <w:b/>
          <w:sz w:val="22"/>
          <w:szCs w:val="22"/>
        </w:rPr>
      </w:pPr>
      <w:r w:rsidRPr="00DF6AAE">
        <w:rPr>
          <w:rFonts w:ascii="Arial" w:hAnsi="Arial"/>
          <w:sz w:val="22"/>
          <w:szCs w:val="22"/>
        </w:rPr>
        <w:t xml:space="preserve">PKU </w:t>
      </w:r>
      <w:r w:rsidR="00793BB5" w:rsidRPr="00DF6AAE">
        <w:rPr>
          <w:rFonts w:ascii="Arial" w:hAnsi="Arial"/>
          <w:sz w:val="22"/>
          <w:szCs w:val="22"/>
        </w:rPr>
        <w:t>Go</w:t>
      </w:r>
      <w:r w:rsidRPr="00DF6AAE">
        <w:rPr>
          <w:rFonts w:ascii="Arial" w:hAnsi="Arial"/>
          <w:sz w:val="22"/>
          <w:szCs w:val="22"/>
        </w:rPr>
        <w:t xml:space="preserve"> has not been considered by the PBAC previously.</w:t>
      </w:r>
    </w:p>
    <w:p w:rsidR="008A1956" w:rsidRPr="00DF6AAE" w:rsidRDefault="008A1956" w:rsidP="00882085">
      <w:pPr>
        <w:jc w:val="both"/>
        <w:rPr>
          <w:rFonts w:ascii="Arial" w:hAnsi="Arial"/>
          <w:b/>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Pr="00882085" w:rsidRDefault="005A3173" w:rsidP="00C235BA">
      <w:pPr>
        <w:pStyle w:val="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DF6AAE" w:rsidRDefault="00793BB5" w:rsidP="00476245">
      <w:pPr>
        <w:pStyle w:val="ListParagraph"/>
        <w:numPr>
          <w:ilvl w:val="1"/>
          <w:numId w:val="2"/>
        </w:numPr>
        <w:jc w:val="both"/>
        <w:rPr>
          <w:rFonts w:ascii="Arial" w:hAnsi="Arial"/>
          <w:sz w:val="22"/>
          <w:szCs w:val="22"/>
        </w:rPr>
      </w:pPr>
      <w:r w:rsidRPr="00DF6AAE">
        <w:rPr>
          <w:rFonts w:ascii="Arial" w:hAnsi="Arial"/>
          <w:sz w:val="22"/>
          <w:szCs w:val="22"/>
        </w:rPr>
        <w:t xml:space="preserve">The submission nominates PKU Gel and PKU </w:t>
      </w:r>
      <w:proofErr w:type="spellStart"/>
      <w:r w:rsidRPr="00DF6AAE">
        <w:rPr>
          <w:rFonts w:ascii="Arial" w:hAnsi="Arial"/>
          <w:sz w:val="22"/>
          <w:szCs w:val="22"/>
        </w:rPr>
        <w:t>Anamix</w:t>
      </w:r>
      <w:proofErr w:type="spellEnd"/>
      <w:r w:rsidRPr="00DF6AAE">
        <w:rPr>
          <w:rFonts w:ascii="Arial" w:hAnsi="Arial"/>
          <w:sz w:val="22"/>
          <w:szCs w:val="22"/>
        </w:rPr>
        <w:t xml:space="preserve"> Junior as the main comparator</w:t>
      </w:r>
      <w:r w:rsidRPr="00DF6AAE">
        <w:rPr>
          <w:rFonts w:ascii="Arial" w:hAnsi="Arial"/>
          <w:b/>
          <w:sz w:val="22"/>
          <w:szCs w:val="22"/>
        </w:rPr>
        <w:t>.</w:t>
      </w:r>
      <w:r w:rsidRPr="00DF6AAE">
        <w:rPr>
          <w:rFonts w:ascii="Arial" w:hAnsi="Arial"/>
          <w:b/>
          <w:color w:val="FF00FF"/>
          <w:sz w:val="22"/>
          <w:szCs w:val="22"/>
        </w:rPr>
        <w:t xml:space="preserve"> </w:t>
      </w:r>
      <w:r w:rsidRPr="00DF6AAE">
        <w:rPr>
          <w:rFonts w:ascii="Arial" w:hAnsi="Arial"/>
          <w:sz w:val="22"/>
          <w:szCs w:val="22"/>
        </w:rPr>
        <w:t>All 3 products are supplied as a powder sachet and contain 10g protein equivalent per single use pack.</w:t>
      </w:r>
    </w:p>
    <w:p w:rsidR="008A1956" w:rsidRPr="00476245" w:rsidRDefault="008A1956" w:rsidP="00476245">
      <w:pPr>
        <w:jc w:val="both"/>
        <w:rPr>
          <w:rFonts w:ascii="Arial" w:hAnsi="Arial"/>
          <w:sz w:val="22"/>
          <w:szCs w:val="22"/>
        </w:rPr>
      </w:pPr>
    </w:p>
    <w:p w:rsidR="000B558D" w:rsidRDefault="008D7A41" w:rsidP="00C235BA">
      <w:pPr>
        <w:pStyle w:val="Heading1"/>
      </w:pPr>
      <w:r>
        <w:t>C</w:t>
      </w:r>
      <w:r w:rsidR="00D84934">
        <w:t>onsideration of the evidence</w:t>
      </w:r>
    </w:p>
    <w:p w:rsidR="00DF6AAE" w:rsidRDefault="00DF6AAE" w:rsidP="00DF6AAE">
      <w:pPr>
        <w:jc w:val="both"/>
        <w:rPr>
          <w:rFonts w:ascii="Arial" w:hAnsi="Arial"/>
          <w:b/>
          <w:sz w:val="22"/>
          <w:szCs w:val="22"/>
          <w:highlight w:val="yellow"/>
        </w:rPr>
      </w:pPr>
    </w:p>
    <w:p w:rsidR="00DF6AAE" w:rsidRPr="004E4E73" w:rsidRDefault="00DF6AAE" w:rsidP="00C235BA">
      <w:pPr>
        <w:pStyle w:val="Heading2"/>
      </w:pPr>
      <w:r w:rsidRPr="004E4E73">
        <w:t>Sponsor hearing</w:t>
      </w:r>
    </w:p>
    <w:p w:rsidR="00DF6AAE" w:rsidRPr="004E4E73" w:rsidRDefault="00DF6AAE" w:rsidP="00DF6AAE">
      <w:pPr>
        <w:jc w:val="both"/>
        <w:rPr>
          <w:rFonts w:ascii="Arial" w:hAnsi="Arial"/>
          <w:b/>
          <w:sz w:val="22"/>
          <w:szCs w:val="22"/>
        </w:rPr>
      </w:pPr>
    </w:p>
    <w:p w:rsidR="00DF6AAE" w:rsidRPr="004E4E73" w:rsidRDefault="00DF6AAE" w:rsidP="00DF6AAE">
      <w:pPr>
        <w:pStyle w:val="ListParagraph"/>
        <w:numPr>
          <w:ilvl w:val="1"/>
          <w:numId w:val="2"/>
        </w:numPr>
        <w:jc w:val="both"/>
        <w:rPr>
          <w:rFonts w:ascii="Arial" w:hAnsi="Arial"/>
          <w:b/>
          <w:sz w:val="22"/>
          <w:szCs w:val="22"/>
        </w:rPr>
      </w:pPr>
      <w:r w:rsidRPr="004E4E73">
        <w:rPr>
          <w:rFonts w:ascii="Arial" w:hAnsi="Arial" w:cs="Arial"/>
          <w:bCs/>
          <w:snapToGrid w:val="0"/>
          <w:sz w:val="22"/>
          <w:szCs w:val="22"/>
        </w:rPr>
        <w:t>There was no hearing for this item as it was a minor submission.</w:t>
      </w:r>
    </w:p>
    <w:p w:rsidR="00DF6AAE" w:rsidRPr="004E4E73" w:rsidRDefault="00DF6AAE" w:rsidP="00DF6AAE">
      <w:pPr>
        <w:jc w:val="both"/>
        <w:rPr>
          <w:rFonts w:ascii="Arial" w:hAnsi="Arial"/>
          <w:b/>
          <w:sz w:val="22"/>
          <w:szCs w:val="22"/>
        </w:rPr>
      </w:pPr>
    </w:p>
    <w:p w:rsidR="00DF6AAE" w:rsidRPr="004E4E73" w:rsidRDefault="00DF6AAE" w:rsidP="00C235BA">
      <w:pPr>
        <w:pStyle w:val="Heading2"/>
      </w:pPr>
      <w:r w:rsidRPr="004E4E73">
        <w:t>Consumer comments</w:t>
      </w:r>
    </w:p>
    <w:p w:rsidR="00DF6AAE" w:rsidRPr="004E4E73" w:rsidRDefault="00DF6AAE" w:rsidP="00DF6AAE">
      <w:pPr>
        <w:jc w:val="both"/>
        <w:rPr>
          <w:rFonts w:ascii="Arial" w:hAnsi="Arial"/>
          <w:b/>
          <w:sz w:val="22"/>
          <w:szCs w:val="22"/>
        </w:rPr>
      </w:pPr>
    </w:p>
    <w:p w:rsidR="00DF6AAE" w:rsidRPr="004E4E73" w:rsidRDefault="00DF6AAE" w:rsidP="00DF6AAE">
      <w:pPr>
        <w:pStyle w:val="ListParagraph"/>
        <w:numPr>
          <w:ilvl w:val="1"/>
          <w:numId w:val="2"/>
        </w:numPr>
        <w:jc w:val="both"/>
        <w:rPr>
          <w:rFonts w:ascii="Arial" w:hAnsi="Arial"/>
          <w:b/>
          <w:sz w:val="22"/>
          <w:szCs w:val="22"/>
        </w:rPr>
      </w:pPr>
      <w:r w:rsidRPr="004E4E73">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DF6AAE" w:rsidRDefault="00D84934" w:rsidP="00C235BA">
      <w:pPr>
        <w:pStyle w:val="Heading2"/>
      </w:pPr>
      <w:r w:rsidRPr="00DF6AAE">
        <w:t>Clinical trials</w:t>
      </w:r>
    </w:p>
    <w:p w:rsidR="00D84934" w:rsidRPr="00F9629A" w:rsidRDefault="00D84934" w:rsidP="00F9629A">
      <w:pPr>
        <w:jc w:val="both"/>
        <w:rPr>
          <w:rFonts w:ascii="Arial" w:hAnsi="Arial"/>
          <w:sz w:val="22"/>
          <w:szCs w:val="22"/>
        </w:rPr>
      </w:pPr>
    </w:p>
    <w:p w:rsidR="0076420C" w:rsidRDefault="005C4322" w:rsidP="00C7792B">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Pr>
          <w:rFonts w:ascii="Arial" w:hAnsi="Arial"/>
          <w:sz w:val="22"/>
          <w:szCs w:val="22"/>
        </w:rPr>
        <w:t xml:space="preserve"> presented in the </w:t>
      </w:r>
      <w:r w:rsidR="0076420C">
        <w:rPr>
          <w:rFonts w:ascii="Arial" w:hAnsi="Arial"/>
          <w:sz w:val="22"/>
          <w:szCs w:val="22"/>
        </w:rPr>
        <w:t>submission.</w:t>
      </w:r>
    </w:p>
    <w:p w:rsidR="001748CE" w:rsidRPr="001748CE" w:rsidRDefault="001748CE" w:rsidP="001748CE">
      <w:pPr>
        <w:jc w:val="both"/>
        <w:rPr>
          <w:rFonts w:ascii="Arial" w:hAnsi="Arial"/>
          <w:sz w:val="22"/>
          <w:szCs w:val="22"/>
        </w:rPr>
      </w:pPr>
    </w:p>
    <w:p w:rsidR="001748CE" w:rsidRDefault="001748CE" w:rsidP="001748CE">
      <w:pPr>
        <w:pStyle w:val="ListParagraph"/>
        <w:numPr>
          <w:ilvl w:val="1"/>
          <w:numId w:val="2"/>
        </w:numPr>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1748CE" w:rsidRPr="001748CE" w:rsidRDefault="001748CE" w:rsidP="001748CE">
      <w:pPr>
        <w:pStyle w:val="ListParagraph"/>
        <w:numPr>
          <w:ilvl w:val="0"/>
          <w:numId w:val="18"/>
        </w:numPr>
        <w:jc w:val="both"/>
        <w:rPr>
          <w:rFonts w:ascii="Arial" w:hAnsi="Arial"/>
          <w:sz w:val="22"/>
          <w:szCs w:val="22"/>
        </w:rPr>
      </w:pPr>
      <w:r w:rsidRPr="001748CE">
        <w:rPr>
          <w:rFonts w:ascii="Arial" w:hAnsi="Arial"/>
          <w:sz w:val="22"/>
          <w:szCs w:val="22"/>
        </w:rPr>
        <w:t xml:space="preserve">This product has a similar proportion of amino acids to the comparators, PKU Gel® and PKU </w:t>
      </w:r>
      <w:proofErr w:type="spellStart"/>
      <w:r w:rsidRPr="001748CE">
        <w:rPr>
          <w:rFonts w:ascii="Arial" w:hAnsi="Arial"/>
          <w:sz w:val="22"/>
          <w:szCs w:val="22"/>
        </w:rPr>
        <w:t>Anamix</w:t>
      </w:r>
      <w:proofErr w:type="spellEnd"/>
      <w:r w:rsidRPr="001748CE">
        <w:rPr>
          <w:rFonts w:ascii="Arial" w:hAnsi="Arial"/>
          <w:sz w:val="22"/>
          <w:szCs w:val="22"/>
        </w:rPr>
        <w:t xml:space="preserve"> Infant®; but it does not contain choline. There is an RDI level for choline, and patients on a PKU-suitable diet are likely to have low levels of choline. The sponsor was therefore encouraged to consider adding choline to future formulations of the product.</w:t>
      </w:r>
    </w:p>
    <w:p w:rsidR="001748CE" w:rsidRPr="001748CE" w:rsidRDefault="001748CE" w:rsidP="001748CE">
      <w:pPr>
        <w:pStyle w:val="ListParagraph"/>
        <w:numPr>
          <w:ilvl w:val="0"/>
          <w:numId w:val="18"/>
        </w:numPr>
        <w:jc w:val="both"/>
        <w:rPr>
          <w:rFonts w:ascii="Arial" w:hAnsi="Arial"/>
          <w:sz w:val="22"/>
          <w:szCs w:val="22"/>
        </w:rPr>
      </w:pPr>
      <w:r w:rsidRPr="001748CE">
        <w:rPr>
          <w:rFonts w:ascii="Arial" w:hAnsi="Arial"/>
          <w:sz w:val="22"/>
          <w:szCs w:val="22"/>
        </w:rPr>
        <w:t xml:space="preserve">This product can be used across the age range of 6 months to 10 years of age. </w:t>
      </w:r>
    </w:p>
    <w:p w:rsidR="001748CE" w:rsidRPr="001748CE" w:rsidRDefault="001748CE" w:rsidP="001748CE">
      <w:pPr>
        <w:pStyle w:val="ListParagraph"/>
        <w:numPr>
          <w:ilvl w:val="0"/>
          <w:numId w:val="18"/>
        </w:numPr>
        <w:jc w:val="both"/>
        <w:rPr>
          <w:rFonts w:ascii="Arial" w:hAnsi="Arial"/>
          <w:sz w:val="22"/>
          <w:szCs w:val="22"/>
        </w:rPr>
      </w:pPr>
      <w:r w:rsidRPr="001748CE">
        <w:rPr>
          <w:rFonts w:ascii="Arial" w:hAnsi="Arial"/>
          <w:sz w:val="22"/>
          <w:szCs w:val="22"/>
        </w:rPr>
        <w:t>Although the sponsor stated that this product meets “Australia New Zealand Food Standards Code - Standard 2.9.5 - Food for Special Medical Purposes”, the NPWP noted that the submission, for a formula proposed to be used in infants younger than 12 months, did not provide a comparison with the requirements of the “Australia New Zealand Food Standards Code - Standard 2.9.1 - Infant Formula Products”, as recommended in the PBAC Guidelines.</w:t>
      </w:r>
    </w:p>
    <w:p w:rsidR="001748CE" w:rsidRPr="001748CE" w:rsidRDefault="001748CE" w:rsidP="001748CE">
      <w:pPr>
        <w:pStyle w:val="ListParagraph"/>
        <w:numPr>
          <w:ilvl w:val="0"/>
          <w:numId w:val="18"/>
        </w:numPr>
        <w:jc w:val="both"/>
        <w:rPr>
          <w:rFonts w:ascii="Arial" w:hAnsi="Arial"/>
          <w:sz w:val="22"/>
          <w:szCs w:val="22"/>
        </w:rPr>
      </w:pPr>
      <w:r w:rsidRPr="001748CE">
        <w:rPr>
          <w:rFonts w:ascii="Arial" w:hAnsi="Arial"/>
          <w:sz w:val="22"/>
          <w:szCs w:val="22"/>
        </w:rPr>
        <w:t>The sponsor did not provide any information about the osmola</w:t>
      </w:r>
      <w:r w:rsidR="001E072D">
        <w:rPr>
          <w:rFonts w:ascii="Arial" w:hAnsi="Arial"/>
          <w:sz w:val="22"/>
          <w:szCs w:val="22"/>
        </w:rPr>
        <w:t>l</w:t>
      </w:r>
      <w:r w:rsidRPr="001748CE">
        <w:rPr>
          <w:rFonts w:ascii="Arial" w:hAnsi="Arial"/>
          <w:sz w:val="22"/>
          <w:szCs w:val="22"/>
        </w:rPr>
        <w:t xml:space="preserve">ity when this product is mixed with 20mL of water. This is important in clinical practice as high levels can cause gastrointestinal upsets in young children (for example, the 3000 </w:t>
      </w:r>
      <w:proofErr w:type="spellStart"/>
      <w:r w:rsidRPr="001748CE">
        <w:rPr>
          <w:rFonts w:ascii="Arial" w:hAnsi="Arial"/>
          <w:sz w:val="22"/>
          <w:szCs w:val="22"/>
        </w:rPr>
        <w:t>mOsm</w:t>
      </w:r>
      <w:proofErr w:type="spellEnd"/>
      <w:r w:rsidRPr="001748CE">
        <w:rPr>
          <w:rFonts w:ascii="Arial" w:hAnsi="Arial"/>
          <w:sz w:val="22"/>
          <w:szCs w:val="22"/>
        </w:rPr>
        <w:t>/kg per 30mL water measured in PKU Gel®).</w:t>
      </w:r>
    </w:p>
    <w:p w:rsidR="001748CE" w:rsidRPr="001748CE" w:rsidRDefault="001748CE" w:rsidP="001748CE">
      <w:pPr>
        <w:pStyle w:val="ListParagraph"/>
        <w:numPr>
          <w:ilvl w:val="0"/>
          <w:numId w:val="18"/>
        </w:numPr>
        <w:jc w:val="both"/>
        <w:rPr>
          <w:rFonts w:ascii="Arial" w:hAnsi="Arial"/>
          <w:sz w:val="22"/>
          <w:szCs w:val="22"/>
        </w:rPr>
      </w:pPr>
      <w:r w:rsidRPr="001748CE">
        <w:rPr>
          <w:rFonts w:ascii="Arial" w:hAnsi="Arial"/>
          <w:sz w:val="22"/>
          <w:szCs w:val="22"/>
        </w:rPr>
        <w:t>The sponsor presented different vitamin and mineral levels in Table A.17 (p. 10) and Attachment 3.</w:t>
      </w:r>
    </w:p>
    <w:p w:rsidR="001748CE" w:rsidRDefault="001748CE" w:rsidP="001748CE">
      <w:pPr>
        <w:pStyle w:val="ListParagraph"/>
        <w:jc w:val="both"/>
        <w:rPr>
          <w:rFonts w:ascii="Arial" w:hAnsi="Arial"/>
          <w:sz w:val="22"/>
          <w:szCs w:val="22"/>
        </w:rPr>
      </w:pPr>
      <w:r w:rsidRPr="001748CE">
        <w:rPr>
          <w:rFonts w:ascii="Arial" w:hAnsi="Arial"/>
          <w:sz w:val="22"/>
          <w:szCs w:val="22"/>
        </w:rPr>
        <w:t>•</w:t>
      </w:r>
      <w:r w:rsidRPr="001748CE">
        <w:rPr>
          <w:rFonts w:ascii="Arial" w:hAnsi="Arial"/>
          <w:sz w:val="22"/>
          <w:szCs w:val="22"/>
        </w:rPr>
        <w:tab/>
        <w:t>At the price proposed, the submission estimated no net cost to the PBS.</w:t>
      </w:r>
    </w:p>
    <w:p w:rsidR="001748CE" w:rsidRDefault="001748CE" w:rsidP="001748CE">
      <w:pPr>
        <w:pStyle w:val="ListParagraph"/>
        <w:jc w:val="both"/>
        <w:rPr>
          <w:rFonts w:ascii="Arial" w:hAnsi="Arial"/>
          <w:sz w:val="22"/>
          <w:szCs w:val="22"/>
        </w:rPr>
      </w:pPr>
    </w:p>
    <w:p w:rsidR="001748CE" w:rsidRPr="001748CE" w:rsidRDefault="001748CE" w:rsidP="001748CE">
      <w:pPr>
        <w:pStyle w:val="ListParagraph"/>
        <w:numPr>
          <w:ilvl w:val="1"/>
          <w:numId w:val="2"/>
        </w:numPr>
        <w:jc w:val="both"/>
        <w:rPr>
          <w:rFonts w:ascii="Arial" w:hAnsi="Arial"/>
          <w:sz w:val="22"/>
          <w:szCs w:val="22"/>
        </w:rPr>
      </w:pPr>
      <w:r>
        <w:rPr>
          <w:rFonts w:ascii="Arial" w:hAnsi="Arial"/>
          <w:sz w:val="22"/>
          <w:szCs w:val="22"/>
        </w:rPr>
        <w:t xml:space="preserve">The </w:t>
      </w:r>
      <w:r w:rsidRPr="001748CE">
        <w:rPr>
          <w:rFonts w:ascii="Arial" w:hAnsi="Arial"/>
          <w:sz w:val="22"/>
          <w:szCs w:val="22"/>
        </w:rPr>
        <w:t>NPWP deferred its consideration of this submission until such time that clarification from the sponsor can be sought regarding:</w:t>
      </w:r>
    </w:p>
    <w:p w:rsidR="001748CE" w:rsidRPr="001748CE" w:rsidRDefault="001748CE" w:rsidP="001748CE">
      <w:pPr>
        <w:pStyle w:val="ListParagraph"/>
        <w:numPr>
          <w:ilvl w:val="0"/>
          <w:numId w:val="16"/>
        </w:numPr>
        <w:jc w:val="both"/>
        <w:rPr>
          <w:rFonts w:ascii="Arial" w:hAnsi="Arial"/>
          <w:sz w:val="22"/>
          <w:szCs w:val="22"/>
        </w:rPr>
      </w:pPr>
      <w:r w:rsidRPr="001748CE">
        <w:rPr>
          <w:rFonts w:ascii="Arial" w:hAnsi="Arial"/>
          <w:sz w:val="22"/>
          <w:szCs w:val="22"/>
        </w:rPr>
        <w:t>whether the product meets “Australia New Zealand Food Standards Code - Standard 2.9.1 - Infant Formula Products”; and</w:t>
      </w:r>
    </w:p>
    <w:p w:rsidR="001748CE" w:rsidRDefault="001748CE" w:rsidP="001748CE">
      <w:pPr>
        <w:pStyle w:val="ListParagraph"/>
        <w:numPr>
          <w:ilvl w:val="0"/>
          <w:numId w:val="16"/>
        </w:numPr>
        <w:jc w:val="both"/>
        <w:rPr>
          <w:rFonts w:ascii="Arial" w:hAnsi="Arial"/>
          <w:sz w:val="22"/>
          <w:szCs w:val="22"/>
        </w:rPr>
      </w:pPr>
      <w:proofErr w:type="gramStart"/>
      <w:r w:rsidRPr="001748CE">
        <w:rPr>
          <w:rFonts w:ascii="Arial" w:hAnsi="Arial"/>
          <w:sz w:val="22"/>
          <w:szCs w:val="22"/>
        </w:rPr>
        <w:t>the</w:t>
      </w:r>
      <w:proofErr w:type="gramEnd"/>
      <w:r w:rsidRPr="001748CE">
        <w:rPr>
          <w:rFonts w:ascii="Arial" w:hAnsi="Arial"/>
          <w:sz w:val="22"/>
          <w:szCs w:val="22"/>
        </w:rPr>
        <w:t xml:space="preserve"> vitamin and mineral values for the product (which differed between Table A.17 on p. 10 and Attachment 3).</w:t>
      </w:r>
    </w:p>
    <w:p w:rsidR="001748CE" w:rsidRPr="001748CE" w:rsidRDefault="001748CE" w:rsidP="001748CE">
      <w:pPr>
        <w:jc w:val="both"/>
        <w:rPr>
          <w:rFonts w:ascii="Arial" w:hAnsi="Arial"/>
          <w:sz w:val="22"/>
          <w:szCs w:val="22"/>
        </w:rPr>
      </w:pPr>
    </w:p>
    <w:p w:rsidR="001748CE" w:rsidRPr="00297F88" w:rsidRDefault="001748CE" w:rsidP="001748CE">
      <w:pPr>
        <w:pStyle w:val="ListParagraph"/>
        <w:numPr>
          <w:ilvl w:val="1"/>
          <w:numId w:val="2"/>
        </w:numPr>
        <w:jc w:val="both"/>
        <w:rPr>
          <w:rFonts w:ascii="Arial" w:hAnsi="Arial"/>
          <w:sz w:val="22"/>
          <w:szCs w:val="22"/>
        </w:rPr>
      </w:pPr>
      <w:r>
        <w:rPr>
          <w:rFonts w:ascii="Arial" w:hAnsi="Arial"/>
          <w:sz w:val="22"/>
          <w:szCs w:val="22"/>
        </w:rPr>
        <w:t>The PBAC noted that the sponsor provided the requested information in its Pre-PBAC Response, however it was not possible in the available time for the NPWP to fully evaluate the information prior to the PBAC meeting.</w:t>
      </w:r>
    </w:p>
    <w:p w:rsidR="001748CE" w:rsidRPr="001748CE" w:rsidRDefault="001748CE" w:rsidP="001748CE">
      <w:pPr>
        <w:jc w:val="both"/>
        <w:rPr>
          <w:rFonts w:ascii="Arial" w:hAnsi="Arial"/>
          <w:sz w:val="22"/>
          <w:szCs w:val="22"/>
        </w:rPr>
      </w:pPr>
    </w:p>
    <w:p w:rsidR="00A15C90" w:rsidRPr="00A15C90" w:rsidRDefault="00A15C90" w:rsidP="00A15C90">
      <w:pPr>
        <w:jc w:val="both"/>
        <w:rPr>
          <w:rFonts w:ascii="Arial" w:hAnsi="Arial"/>
          <w:b/>
          <w:i/>
          <w:sz w:val="22"/>
          <w:szCs w:val="22"/>
        </w:rPr>
      </w:pPr>
    </w:p>
    <w:p w:rsidR="005A3173" w:rsidRPr="00DF6AAE" w:rsidRDefault="005A3173" w:rsidP="00C235BA">
      <w:pPr>
        <w:pStyle w:val="Heading2"/>
      </w:pPr>
      <w:r w:rsidRPr="00DF6AAE">
        <w:t>Estimated PBS usage &amp; financial implications</w:t>
      </w:r>
    </w:p>
    <w:p w:rsidR="005A3173" w:rsidRPr="00882085" w:rsidRDefault="005A3173" w:rsidP="00882085">
      <w:pPr>
        <w:ind w:left="720" w:hanging="720"/>
        <w:jc w:val="both"/>
        <w:rPr>
          <w:rFonts w:ascii="Arial" w:hAnsi="Arial"/>
          <w:b/>
          <w:i/>
          <w:sz w:val="22"/>
          <w:szCs w:val="22"/>
        </w:rPr>
      </w:pPr>
    </w:p>
    <w:p w:rsidR="00A15C90" w:rsidRPr="00DF6AAE" w:rsidRDefault="005C4322" w:rsidP="00247CF5">
      <w:pPr>
        <w:pStyle w:val="ListParagraph"/>
        <w:numPr>
          <w:ilvl w:val="1"/>
          <w:numId w:val="2"/>
        </w:numPr>
        <w:jc w:val="both"/>
        <w:rPr>
          <w:rFonts w:ascii="Arial" w:hAnsi="Arial"/>
          <w:sz w:val="22"/>
          <w:szCs w:val="22"/>
        </w:rPr>
      </w:pPr>
      <w:r w:rsidRPr="00DF6AAE">
        <w:rPr>
          <w:rFonts w:ascii="Arial" w:hAnsi="Arial"/>
          <w:sz w:val="22"/>
          <w:szCs w:val="22"/>
        </w:rPr>
        <w:t>The DPMQ ($</w:t>
      </w:r>
      <w:r w:rsidR="0032425F">
        <w:rPr>
          <w:rFonts w:ascii="Arial" w:hAnsi="Arial"/>
          <w:noProof/>
          <w:color w:val="000000"/>
          <w:sz w:val="22"/>
          <w:szCs w:val="22"/>
          <w:highlight w:val="black"/>
        </w:rPr>
        <w:t>'''''''''''''''''''</w:t>
      </w:r>
      <w:r w:rsidRPr="00DF6AAE">
        <w:rPr>
          <w:rFonts w:ascii="Arial" w:hAnsi="Arial"/>
          <w:sz w:val="22"/>
          <w:szCs w:val="22"/>
        </w:rPr>
        <w:t>) has been calculated based on the same cost per protein equivalent of t</w:t>
      </w:r>
      <w:r w:rsidR="005072A3" w:rsidRPr="00DF6AAE">
        <w:rPr>
          <w:rFonts w:ascii="Arial" w:hAnsi="Arial"/>
          <w:sz w:val="22"/>
          <w:szCs w:val="22"/>
        </w:rPr>
        <w:t xml:space="preserve">he comparator PKU </w:t>
      </w:r>
      <w:proofErr w:type="spellStart"/>
      <w:r w:rsidR="005072A3" w:rsidRPr="00DF6AAE">
        <w:rPr>
          <w:rFonts w:ascii="Arial" w:hAnsi="Arial"/>
          <w:sz w:val="22"/>
          <w:szCs w:val="22"/>
        </w:rPr>
        <w:t>Anamix</w:t>
      </w:r>
      <w:proofErr w:type="spellEnd"/>
      <w:r w:rsidR="005072A3" w:rsidRPr="00DF6AAE">
        <w:rPr>
          <w:rFonts w:ascii="Arial" w:hAnsi="Arial"/>
          <w:sz w:val="22"/>
          <w:szCs w:val="22"/>
        </w:rPr>
        <w:t xml:space="preserve"> Junior</w:t>
      </w:r>
      <w:r w:rsidRPr="00DF6AAE">
        <w:rPr>
          <w:rFonts w:ascii="Arial" w:hAnsi="Arial"/>
          <w:sz w:val="22"/>
          <w:szCs w:val="22"/>
        </w:rPr>
        <w:t>, consistent with the pricing of all similar nutritional products for PKU.</w:t>
      </w:r>
      <w:r w:rsidR="0032425F">
        <w:rPr>
          <w:rFonts w:ascii="Arial" w:hAnsi="Arial"/>
          <w:sz w:val="22"/>
          <w:szCs w:val="22"/>
        </w:rPr>
        <w:t xml:space="preserve"> </w:t>
      </w:r>
    </w:p>
    <w:p w:rsidR="005072A3" w:rsidRPr="00DF6AAE" w:rsidRDefault="005072A3" w:rsidP="005072A3">
      <w:pPr>
        <w:jc w:val="both"/>
        <w:rPr>
          <w:rFonts w:ascii="Arial" w:hAnsi="Arial"/>
          <w:sz w:val="22"/>
          <w:szCs w:val="22"/>
        </w:rPr>
      </w:pPr>
    </w:p>
    <w:p w:rsidR="00A21683" w:rsidRPr="00DF6AAE" w:rsidRDefault="005C4322" w:rsidP="005C4322">
      <w:pPr>
        <w:pStyle w:val="ListParagraph"/>
        <w:numPr>
          <w:ilvl w:val="1"/>
          <w:numId w:val="2"/>
        </w:numPr>
        <w:jc w:val="both"/>
        <w:rPr>
          <w:rFonts w:ascii="Arial" w:hAnsi="Arial"/>
          <w:sz w:val="22"/>
          <w:szCs w:val="22"/>
        </w:rPr>
      </w:pPr>
      <w:r w:rsidRPr="00DF6AAE">
        <w:rPr>
          <w:rFonts w:ascii="Arial" w:hAnsi="Arial"/>
          <w:sz w:val="22"/>
          <w:szCs w:val="22"/>
        </w:rPr>
        <w:t xml:space="preserve">The submission assumes </w:t>
      </w:r>
      <w:r w:rsidR="0032425F">
        <w:rPr>
          <w:rFonts w:ascii="Arial" w:hAnsi="Arial"/>
          <w:noProof/>
          <w:color w:val="000000"/>
          <w:sz w:val="22"/>
          <w:szCs w:val="22"/>
          <w:highlight w:val="black"/>
        </w:rPr>
        <w:t>'''''''''''</w:t>
      </w:r>
      <w:r w:rsidRPr="00DF6AAE">
        <w:rPr>
          <w:rFonts w:ascii="Arial" w:hAnsi="Arial"/>
          <w:sz w:val="22"/>
          <w:szCs w:val="22"/>
        </w:rPr>
        <w:t xml:space="preserve"> </w:t>
      </w:r>
      <w:r w:rsidR="00670D57" w:rsidRPr="00DF6AAE">
        <w:rPr>
          <w:rFonts w:ascii="Arial" w:hAnsi="Arial"/>
          <w:sz w:val="22"/>
          <w:szCs w:val="22"/>
        </w:rPr>
        <w:t>dispensing</w:t>
      </w:r>
      <w:r w:rsidR="00247CF5" w:rsidRPr="00DF6AAE">
        <w:rPr>
          <w:rFonts w:ascii="Arial" w:hAnsi="Arial"/>
          <w:sz w:val="22"/>
          <w:szCs w:val="22"/>
        </w:rPr>
        <w:t xml:space="preserve"> per</w:t>
      </w:r>
      <w:r w:rsidRPr="00DF6AAE">
        <w:rPr>
          <w:rFonts w:ascii="Arial" w:hAnsi="Arial"/>
          <w:sz w:val="22"/>
          <w:szCs w:val="22"/>
        </w:rPr>
        <w:t xml:space="preserve"> year for this product. </w:t>
      </w:r>
    </w:p>
    <w:p w:rsidR="00247CF5" w:rsidRPr="00DF6AAE" w:rsidRDefault="00247CF5" w:rsidP="00247CF5">
      <w:pPr>
        <w:jc w:val="both"/>
        <w:rPr>
          <w:rFonts w:ascii="Arial" w:hAnsi="Arial"/>
          <w:sz w:val="22"/>
          <w:szCs w:val="22"/>
        </w:rPr>
      </w:pPr>
    </w:p>
    <w:p w:rsidR="00A21683" w:rsidRPr="00DF6AAE" w:rsidRDefault="00A15C90" w:rsidP="00A15C90">
      <w:pPr>
        <w:pStyle w:val="ListParagraph"/>
        <w:numPr>
          <w:ilvl w:val="1"/>
          <w:numId w:val="2"/>
        </w:numPr>
        <w:jc w:val="both"/>
        <w:rPr>
          <w:rFonts w:ascii="Arial" w:hAnsi="Arial"/>
          <w:sz w:val="22"/>
          <w:szCs w:val="22"/>
        </w:rPr>
      </w:pPr>
      <w:r w:rsidRPr="00DF6AAE">
        <w:rPr>
          <w:rFonts w:ascii="Arial" w:hAnsi="Arial"/>
          <w:sz w:val="22"/>
          <w:szCs w:val="22"/>
        </w:rPr>
        <w:t>Based on the DPMQ in the submission</w:t>
      </w:r>
      <w:r w:rsidR="005C4322" w:rsidRPr="00DF6AAE">
        <w:rPr>
          <w:rFonts w:ascii="Arial" w:hAnsi="Arial"/>
          <w:sz w:val="22"/>
          <w:szCs w:val="22"/>
        </w:rPr>
        <w:t xml:space="preserve">, </w:t>
      </w:r>
      <w:r w:rsidR="00247CF5" w:rsidRPr="00DF6AAE">
        <w:rPr>
          <w:rFonts w:ascii="Arial" w:hAnsi="Arial"/>
          <w:sz w:val="22"/>
          <w:szCs w:val="22"/>
        </w:rPr>
        <w:t>there was e</w:t>
      </w:r>
      <w:r w:rsidR="005C4322" w:rsidRPr="00DF6AAE">
        <w:rPr>
          <w:rFonts w:ascii="Arial" w:hAnsi="Arial"/>
          <w:sz w:val="22"/>
          <w:szCs w:val="22"/>
        </w:rPr>
        <w:t xml:space="preserve">stimated </w:t>
      </w:r>
      <w:r w:rsidR="00247CF5" w:rsidRPr="00DF6AAE">
        <w:rPr>
          <w:rFonts w:ascii="Arial" w:hAnsi="Arial"/>
          <w:sz w:val="22"/>
          <w:szCs w:val="22"/>
        </w:rPr>
        <w:t xml:space="preserve">to be </w:t>
      </w:r>
      <w:r w:rsidR="005C4322" w:rsidRPr="00DF6AAE">
        <w:rPr>
          <w:rFonts w:ascii="Arial" w:hAnsi="Arial"/>
          <w:sz w:val="22"/>
          <w:szCs w:val="22"/>
        </w:rPr>
        <w:t xml:space="preserve">no net cost to the PBS as the submission expects PKU Go to only replace the use of </w:t>
      </w:r>
      <w:r w:rsidR="00670D57" w:rsidRPr="00DF6AAE">
        <w:rPr>
          <w:rFonts w:ascii="Arial" w:hAnsi="Arial"/>
          <w:sz w:val="22"/>
          <w:szCs w:val="22"/>
        </w:rPr>
        <w:t>other PBS</w:t>
      </w:r>
      <w:r w:rsidR="005C4322" w:rsidRPr="00DF6AAE">
        <w:rPr>
          <w:rFonts w:ascii="Arial" w:hAnsi="Arial"/>
          <w:sz w:val="22"/>
          <w:szCs w:val="22"/>
        </w:rPr>
        <w:t xml:space="preserve"> listed nutritional products for PKU</w:t>
      </w:r>
      <w:r w:rsidR="00247CF5" w:rsidRPr="00DF6AAE">
        <w:rPr>
          <w:rFonts w:ascii="Arial" w:hAnsi="Arial"/>
          <w:sz w:val="22"/>
          <w:szCs w:val="22"/>
        </w:rPr>
        <w:t>.</w:t>
      </w:r>
    </w:p>
    <w:p w:rsidR="00A15C90" w:rsidRDefault="00A15C90" w:rsidP="00C00DA7">
      <w:pPr>
        <w:jc w:val="both"/>
        <w:rPr>
          <w:rFonts w:ascii="Arial" w:hAnsi="Arial"/>
          <w:sz w:val="22"/>
          <w:szCs w:val="22"/>
        </w:rPr>
      </w:pPr>
    </w:p>
    <w:p w:rsidR="00DF6AAE" w:rsidRDefault="00DF6AAE" w:rsidP="00C00DA7">
      <w:pPr>
        <w:jc w:val="both"/>
        <w:rPr>
          <w:rFonts w:ascii="Arial" w:hAnsi="Arial"/>
          <w:sz w:val="22"/>
          <w:szCs w:val="22"/>
        </w:rPr>
      </w:pPr>
    </w:p>
    <w:p w:rsidR="00DF6AAE" w:rsidRPr="004E4E73" w:rsidRDefault="00DF6AAE" w:rsidP="00C235BA">
      <w:pPr>
        <w:pStyle w:val="Heading1"/>
        <w:rPr>
          <w:snapToGrid w:val="0"/>
          <w:lang w:eastAsia="en-US"/>
        </w:rPr>
      </w:pPr>
      <w:r w:rsidRPr="004E4E73">
        <w:rPr>
          <w:snapToGrid w:val="0"/>
          <w:lang w:eastAsia="en-US"/>
        </w:rPr>
        <w:t>PBAC Outcome</w:t>
      </w:r>
    </w:p>
    <w:p w:rsidR="00DF6AAE" w:rsidRPr="004E4E73" w:rsidRDefault="00DF6AAE" w:rsidP="00DF6AAE">
      <w:pPr>
        <w:contextualSpacing/>
        <w:jc w:val="both"/>
        <w:rPr>
          <w:rFonts w:ascii="Arial" w:hAnsi="Arial" w:cs="Arial"/>
          <w:b/>
          <w:bCs/>
          <w:snapToGrid w:val="0"/>
          <w:sz w:val="22"/>
          <w:szCs w:val="22"/>
          <w:lang w:val="en-GB" w:eastAsia="en-US"/>
        </w:rPr>
      </w:pPr>
    </w:p>
    <w:p w:rsidR="00644FBF" w:rsidRPr="004E4E73" w:rsidRDefault="00644FBF" w:rsidP="00644FBF">
      <w:pPr>
        <w:widowControl w:val="0"/>
        <w:numPr>
          <w:ilvl w:val="1"/>
          <w:numId w:val="2"/>
        </w:numPr>
        <w:spacing w:after="120"/>
        <w:contextualSpacing/>
        <w:jc w:val="both"/>
        <w:rPr>
          <w:rFonts w:ascii="Arial" w:hAnsi="Arial" w:cs="Arial"/>
          <w:b/>
          <w:bCs/>
          <w:snapToGrid w:val="0"/>
          <w:sz w:val="22"/>
          <w:szCs w:val="22"/>
          <w:lang w:val="en-GB" w:eastAsia="en-US"/>
        </w:rPr>
      </w:pPr>
      <w:r w:rsidRPr="006C6DA0">
        <w:rPr>
          <w:rFonts w:ascii="Arial" w:hAnsi="Arial" w:cs="Arial"/>
          <w:sz w:val="22"/>
          <w:szCs w:val="22"/>
        </w:rPr>
        <w:t>The PBAC</w:t>
      </w:r>
      <w:r>
        <w:rPr>
          <w:rFonts w:ascii="Arial" w:hAnsi="Arial" w:cs="Arial"/>
          <w:sz w:val="22"/>
          <w:szCs w:val="22"/>
        </w:rPr>
        <w:t xml:space="preserve"> noted that the Nutritional Products Working Party (NPWP) deferred its consideration of the submission until further information could be provided. The PBA</w:t>
      </w:r>
      <w:bookmarkStart w:id="2" w:name="_GoBack"/>
      <w:bookmarkEnd w:id="2"/>
      <w:r>
        <w:rPr>
          <w:rFonts w:ascii="Arial" w:hAnsi="Arial" w:cs="Arial"/>
          <w:sz w:val="22"/>
          <w:szCs w:val="22"/>
        </w:rPr>
        <w:t xml:space="preserve">C therefore </w:t>
      </w:r>
      <w:r w:rsidRPr="006C6DA0">
        <w:rPr>
          <w:rFonts w:ascii="Arial" w:hAnsi="Arial" w:cs="Arial"/>
          <w:sz w:val="22"/>
          <w:szCs w:val="22"/>
        </w:rPr>
        <w:t>deferred its recommendation until further advice could be provided by the NPWP on this submission in view of the additional information received from the sponsor</w:t>
      </w:r>
      <w:r>
        <w:rPr>
          <w:rFonts w:ascii="Arial" w:hAnsi="Arial" w:cs="Arial"/>
          <w:sz w:val="22"/>
          <w:szCs w:val="22"/>
        </w:rPr>
        <w:t>.</w:t>
      </w:r>
    </w:p>
    <w:p w:rsidR="00DF6AAE" w:rsidRPr="004E4E73" w:rsidRDefault="00DF6AAE" w:rsidP="00DF6AAE">
      <w:pPr>
        <w:rPr>
          <w:rFonts w:ascii="Arial" w:hAnsi="Arial" w:cs="Arial"/>
          <w:b/>
          <w:snapToGrid w:val="0"/>
          <w:sz w:val="22"/>
          <w:szCs w:val="22"/>
          <w:lang w:val="en-GB" w:eastAsia="en-US"/>
        </w:rPr>
      </w:pPr>
    </w:p>
    <w:p w:rsidR="00DF6AAE" w:rsidRPr="004E4E73" w:rsidRDefault="00DF6AAE" w:rsidP="00DF6AAE">
      <w:pPr>
        <w:jc w:val="both"/>
        <w:rPr>
          <w:rFonts w:ascii="Arial" w:hAnsi="Arial" w:cs="Arial"/>
          <w:b/>
          <w:bCs/>
          <w:snapToGrid w:val="0"/>
          <w:sz w:val="22"/>
          <w:szCs w:val="22"/>
          <w:lang w:val="en-GB" w:eastAsia="en-US"/>
        </w:rPr>
      </w:pPr>
    </w:p>
    <w:p w:rsidR="00DF6AAE" w:rsidRPr="004E4E73" w:rsidRDefault="00DF6AAE" w:rsidP="00DF6AAE">
      <w:pPr>
        <w:jc w:val="both"/>
        <w:rPr>
          <w:rFonts w:ascii="Arial" w:hAnsi="Arial" w:cs="Arial"/>
          <w:b/>
          <w:bCs/>
          <w:snapToGrid w:val="0"/>
          <w:sz w:val="22"/>
          <w:szCs w:val="22"/>
          <w:lang w:val="en-GB" w:eastAsia="en-US"/>
        </w:rPr>
      </w:pPr>
      <w:r w:rsidRPr="004E4E73">
        <w:rPr>
          <w:rFonts w:ascii="Arial" w:hAnsi="Arial" w:cs="Arial"/>
          <w:b/>
          <w:bCs/>
          <w:snapToGrid w:val="0"/>
          <w:sz w:val="22"/>
          <w:szCs w:val="22"/>
          <w:lang w:val="en-GB" w:eastAsia="en-US"/>
        </w:rPr>
        <w:t>Outcome:</w:t>
      </w:r>
    </w:p>
    <w:p w:rsidR="00DF6AAE" w:rsidRPr="000E195B" w:rsidRDefault="00DF6AAE" w:rsidP="00DF6AAE">
      <w:pPr>
        <w:jc w:val="both"/>
        <w:rPr>
          <w:rFonts w:ascii="Arial" w:hAnsi="Arial" w:cs="Arial"/>
          <w:bCs/>
          <w:snapToGrid w:val="0"/>
          <w:sz w:val="22"/>
          <w:szCs w:val="22"/>
          <w:highlight w:val="yellow"/>
          <w:lang w:val="en-GB" w:eastAsia="en-US"/>
        </w:rPr>
      </w:pPr>
      <w:r w:rsidRPr="004E4E73">
        <w:rPr>
          <w:rFonts w:ascii="Arial" w:hAnsi="Arial" w:cs="Arial"/>
          <w:bCs/>
          <w:snapToGrid w:val="0"/>
          <w:sz w:val="22"/>
          <w:szCs w:val="22"/>
          <w:lang w:val="en-GB" w:eastAsia="en-US"/>
        </w:rPr>
        <w:t xml:space="preserve">Deferred </w:t>
      </w:r>
    </w:p>
    <w:p w:rsidR="00DF6AAE" w:rsidRPr="000E195B" w:rsidRDefault="00DF6AAE" w:rsidP="00DF6AAE">
      <w:pPr>
        <w:widowControl w:val="0"/>
        <w:jc w:val="both"/>
        <w:rPr>
          <w:rFonts w:ascii="Arial" w:hAnsi="Arial" w:cs="Arial"/>
          <w:b/>
          <w:bCs/>
          <w:snapToGrid w:val="0"/>
          <w:sz w:val="22"/>
          <w:szCs w:val="22"/>
          <w:highlight w:val="yellow"/>
          <w:lang w:eastAsia="en-US"/>
        </w:rPr>
      </w:pPr>
    </w:p>
    <w:p w:rsidR="00F43121" w:rsidRDefault="00F43121" w:rsidP="00C235BA">
      <w:pPr>
        <w:pStyle w:val="Heading1"/>
        <w:rPr>
          <w:rFonts w:eastAsia="SimSun"/>
          <w:lang w:eastAsia="en-US"/>
        </w:rPr>
      </w:pPr>
      <w:r>
        <w:rPr>
          <w:rFonts w:eastAsia="SimSun"/>
          <w:lang w:eastAsia="en-US"/>
        </w:rPr>
        <w:t>Context for Decision</w:t>
      </w:r>
    </w:p>
    <w:p w:rsidR="00F43121" w:rsidRDefault="00F43121" w:rsidP="00F43121">
      <w:pPr>
        <w:ind w:left="720"/>
        <w:contextualSpacing/>
        <w:rPr>
          <w:b/>
        </w:rPr>
      </w:pPr>
    </w:p>
    <w:p w:rsidR="00F43121" w:rsidRDefault="00F43121" w:rsidP="00F43121">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43121" w:rsidRDefault="00F43121" w:rsidP="00F43121"/>
    <w:p w:rsidR="00F43121" w:rsidRDefault="00F43121" w:rsidP="00C235BA">
      <w:pPr>
        <w:pStyle w:val="Heading1"/>
        <w:rPr>
          <w:rFonts w:eastAsia="SimSun"/>
          <w:lang w:eastAsia="en-US"/>
        </w:rPr>
      </w:pPr>
      <w:r>
        <w:rPr>
          <w:rFonts w:eastAsia="SimSun"/>
          <w:lang w:eastAsia="en-US"/>
        </w:rPr>
        <w:t>Sponsor’s Comment</w:t>
      </w:r>
    </w:p>
    <w:p w:rsidR="00F43121" w:rsidRDefault="00F43121" w:rsidP="00F43121">
      <w:pPr>
        <w:tabs>
          <w:tab w:val="left" w:pos="2940"/>
        </w:tabs>
        <w:jc w:val="both"/>
        <w:rPr>
          <w:rFonts w:ascii="Arial" w:hAnsi="Arial"/>
          <w:sz w:val="22"/>
          <w:szCs w:val="22"/>
        </w:rPr>
      </w:pPr>
    </w:p>
    <w:p w:rsidR="0079224B" w:rsidRPr="002900B6" w:rsidRDefault="0079224B" w:rsidP="0079224B">
      <w:pPr>
        <w:ind w:left="720"/>
        <w:rPr>
          <w:rFonts w:ascii="Arial" w:hAnsi="Arial" w:cs="Arial"/>
          <w:bCs/>
          <w:snapToGrid w:val="0"/>
          <w:sz w:val="22"/>
          <w:szCs w:val="22"/>
        </w:rPr>
      </w:pPr>
      <w:r w:rsidRPr="002900B6">
        <w:rPr>
          <w:rFonts w:ascii="Arial" w:hAnsi="Arial" w:cs="Arial"/>
          <w:bCs/>
          <w:snapToGrid w:val="0"/>
          <w:sz w:val="22"/>
          <w:szCs w:val="22"/>
        </w:rPr>
        <w:t xml:space="preserve">The Sponsor thanks the PBAC for their considerations and looks forward to being able to list PKU </w:t>
      </w:r>
      <w:r>
        <w:rPr>
          <w:rFonts w:ascii="Arial" w:hAnsi="Arial" w:cs="Arial"/>
          <w:bCs/>
          <w:snapToGrid w:val="0"/>
          <w:sz w:val="22"/>
          <w:szCs w:val="22"/>
        </w:rPr>
        <w:t>Go</w:t>
      </w:r>
      <w:r w:rsidRPr="002900B6">
        <w:rPr>
          <w:rFonts w:ascii="Arial" w:hAnsi="Arial" w:cs="Arial"/>
          <w:bCs/>
          <w:snapToGrid w:val="0"/>
          <w:sz w:val="22"/>
          <w:szCs w:val="22"/>
        </w:rPr>
        <w:t xml:space="preserve"> in the near future.</w:t>
      </w:r>
    </w:p>
    <w:p w:rsidR="00DF6AAE" w:rsidRDefault="00DF6AAE" w:rsidP="0079224B">
      <w:pPr>
        <w:ind w:left="720"/>
        <w:jc w:val="both"/>
        <w:rPr>
          <w:rFonts w:ascii="Arial" w:hAnsi="Arial" w:cs="Arial"/>
          <w:b/>
          <w:sz w:val="22"/>
          <w:szCs w:val="22"/>
        </w:rPr>
      </w:pPr>
    </w:p>
    <w:sectPr w:rsidR="00DF6AA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5F" w:rsidRDefault="0032425F">
      <w:r>
        <w:separator/>
      </w:r>
    </w:p>
    <w:p w:rsidR="0032425F" w:rsidRDefault="0032425F"/>
  </w:endnote>
  <w:endnote w:type="continuationSeparator" w:id="0">
    <w:p w:rsidR="0032425F" w:rsidRDefault="0032425F">
      <w:r>
        <w:continuationSeparator/>
      </w:r>
    </w:p>
    <w:p w:rsidR="0032425F" w:rsidRDefault="0032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DF6AAE" w:rsidRDefault="00DF6AAE" w:rsidP="00DF6AAE">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6904F9">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5F" w:rsidRDefault="0032425F">
      <w:r>
        <w:separator/>
      </w:r>
    </w:p>
    <w:p w:rsidR="0032425F" w:rsidRDefault="0032425F"/>
  </w:footnote>
  <w:footnote w:type="continuationSeparator" w:id="0">
    <w:p w:rsidR="0032425F" w:rsidRDefault="0032425F">
      <w:r>
        <w:continuationSeparator/>
      </w:r>
    </w:p>
    <w:p w:rsidR="0032425F" w:rsidRDefault="003242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21" w:rsidRPr="00DF217D" w:rsidRDefault="00F43121" w:rsidP="00F43121">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4E4E73" w:rsidRPr="00DF6AAE" w:rsidRDefault="004E4E73" w:rsidP="00DF6AAE">
    <w:pPr>
      <w:pStyle w:val="Header"/>
      <w:ind w:left="360"/>
      <w:jc w:val="center"/>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5F" w:rsidRDefault="00324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FC2565"/>
    <w:multiLevelType w:val="hybridMultilevel"/>
    <w:tmpl w:val="A6EE912A"/>
    <w:lvl w:ilvl="0" w:tplc="09B24FA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C154D20"/>
    <w:multiLevelType w:val="hybridMultilevel"/>
    <w:tmpl w:val="3334D5D2"/>
    <w:lvl w:ilvl="0" w:tplc="09B24FA6">
      <w:numFmt w:val="bullet"/>
      <w:lvlText w:val="•"/>
      <w:lvlJc w:val="left"/>
      <w:pPr>
        <w:ind w:left="2160" w:hanging="72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1E0230A"/>
    <w:multiLevelType w:val="hybridMultilevel"/>
    <w:tmpl w:val="DA440F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784D033C"/>
    <w:multiLevelType w:val="multilevel"/>
    <w:tmpl w:val="23340F3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7212F4"/>
    <w:multiLevelType w:val="hybridMultilevel"/>
    <w:tmpl w:val="1EC25D80"/>
    <w:lvl w:ilvl="0" w:tplc="09B24FA6">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1"/>
  </w:num>
  <w:num w:numId="4">
    <w:abstractNumId w:val="14"/>
  </w:num>
  <w:num w:numId="5">
    <w:abstractNumId w:val="2"/>
  </w:num>
  <w:num w:numId="6">
    <w:abstractNumId w:val="5"/>
  </w:num>
  <w:num w:numId="7">
    <w:abstractNumId w:val="9"/>
  </w:num>
  <w:num w:numId="8">
    <w:abstractNumId w:val="6"/>
  </w:num>
  <w:num w:numId="9">
    <w:abstractNumId w:val="15"/>
  </w:num>
  <w:num w:numId="10">
    <w:abstractNumId w:val="13"/>
  </w:num>
  <w:num w:numId="11">
    <w:abstractNumId w:val="7"/>
  </w:num>
  <w:num w:numId="12">
    <w:abstractNumId w:val="8"/>
  </w:num>
  <w:num w:numId="13">
    <w:abstractNumId w:val="3"/>
  </w:num>
  <w:num w:numId="14">
    <w:abstractNumId w:val="0"/>
  </w:num>
  <w:num w:numId="15">
    <w:abstractNumId w:val="12"/>
  </w:num>
  <w:num w:numId="16">
    <w:abstractNumId w:val="17"/>
  </w:num>
  <w:num w:numId="17">
    <w:abstractNumId w:val="11"/>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5E26"/>
    <w:rsid w:val="000514B5"/>
    <w:rsid w:val="0005154F"/>
    <w:rsid w:val="0005748D"/>
    <w:rsid w:val="00060E64"/>
    <w:rsid w:val="00066755"/>
    <w:rsid w:val="00067955"/>
    <w:rsid w:val="00067964"/>
    <w:rsid w:val="000969AD"/>
    <w:rsid w:val="000A4E96"/>
    <w:rsid w:val="000B558D"/>
    <w:rsid w:val="000C6996"/>
    <w:rsid w:val="000D23BA"/>
    <w:rsid w:val="000E681E"/>
    <w:rsid w:val="000F4E6A"/>
    <w:rsid w:val="001107BF"/>
    <w:rsid w:val="00111ED6"/>
    <w:rsid w:val="0012417C"/>
    <w:rsid w:val="00142395"/>
    <w:rsid w:val="00142714"/>
    <w:rsid w:val="001452ED"/>
    <w:rsid w:val="0016410F"/>
    <w:rsid w:val="001748CE"/>
    <w:rsid w:val="00174E6C"/>
    <w:rsid w:val="001830CE"/>
    <w:rsid w:val="00187CF9"/>
    <w:rsid w:val="00196307"/>
    <w:rsid w:val="001B017F"/>
    <w:rsid w:val="001B5129"/>
    <w:rsid w:val="001C1195"/>
    <w:rsid w:val="001E072D"/>
    <w:rsid w:val="00213CFB"/>
    <w:rsid w:val="0022550F"/>
    <w:rsid w:val="002341BA"/>
    <w:rsid w:val="00247CF5"/>
    <w:rsid w:val="00271BA1"/>
    <w:rsid w:val="00277505"/>
    <w:rsid w:val="0029458F"/>
    <w:rsid w:val="002A104C"/>
    <w:rsid w:val="002A4960"/>
    <w:rsid w:val="002B1AE6"/>
    <w:rsid w:val="002B30F8"/>
    <w:rsid w:val="002C14A4"/>
    <w:rsid w:val="002C212F"/>
    <w:rsid w:val="002D5C51"/>
    <w:rsid w:val="002E3153"/>
    <w:rsid w:val="002E72CA"/>
    <w:rsid w:val="0032425F"/>
    <w:rsid w:val="00326E79"/>
    <w:rsid w:val="003367EF"/>
    <w:rsid w:val="00341AE4"/>
    <w:rsid w:val="00367455"/>
    <w:rsid w:val="00377334"/>
    <w:rsid w:val="0038442E"/>
    <w:rsid w:val="003872CF"/>
    <w:rsid w:val="00394CA2"/>
    <w:rsid w:val="0039782C"/>
    <w:rsid w:val="003A5B4A"/>
    <w:rsid w:val="003A5FCF"/>
    <w:rsid w:val="003B1855"/>
    <w:rsid w:val="003B23C5"/>
    <w:rsid w:val="003B2A75"/>
    <w:rsid w:val="003B5A77"/>
    <w:rsid w:val="003D4AC4"/>
    <w:rsid w:val="003D63B7"/>
    <w:rsid w:val="003E468B"/>
    <w:rsid w:val="003F5C8C"/>
    <w:rsid w:val="00437468"/>
    <w:rsid w:val="004465BD"/>
    <w:rsid w:val="00466ADA"/>
    <w:rsid w:val="00476245"/>
    <w:rsid w:val="00485940"/>
    <w:rsid w:val="0049407A"/>
    <w:rsid w:val="004A08DA"/>
    <w:rsid w:val="004A5A85"/>
    <w:rsid w:val="004B5640"/>
    <w:rsid w:val="004C1BD7"/>
    <w:rsid w:val="004C691D"/>
    <w:rsid w:val="004E4E73"/>
    <w:rsid w:val="004E60A9"/>
    <w:rsid w:val="004E692D"/>
    <w:rsid w:val="00501554"/>
    <w:rsid w:val="005072A3"/>
    <w:rsid w:val="00514CD7"/>
    <w:rsid w:val="005319B2"/>
    <w:rsid w:val="00532C74"/>
    <w:rsid w:val="00534E2E"/>
    <w:rsid w:val="00544552"/>
    <w:rsid w:val="00581932"/>
    <w:rsid w:val="00591733"/>
    <w:rsid w:val="005963BB"/>
    <w:rsid w:val="005A3173"/>
    <w:rsid w:val="005A3223"/>
    <w:rsid w:val="005A3DA3"/>
    <w:rsid w:val="005A52C4"/>
    <w:rsid w:val="005B2207"/>
    <w:rsid w:val="005C4322"/>
    <w:rsid w:val="005D03AB"/>
    <w:rsid w:val="005D5017"/>
    <w:rsid w:val="00601A91"/>
    <w:rsid w:val="00602BA3"/>
    <w:rsid w:val="00614159"/>
    <w:rsid w:val="00617C00"/>
    <w:rsid w:val="006263BF"/>
    <w:rsid w:val="0062748A"/>
    <w:rsid w:val="00630A2C"/>
    <w:rsid w:val="00633D36"/>
    <w:rsid w:val="00635B9A"/>
    <w:rsid w:val="00644FBF"/>
    <w:rsid w:val="00651169"/>
    <w:rsid w:val="00653D69"/>
    <w:rsid w:val="00670A76"/>
    <w:rsid w:val="00670D57"/>
    <w:rsid w:val="006711AA"/>
    <w:rsid w:val="00672B57"/>
    <w:rsid w:val="00675622"/>
    <w:rsid w:val="00680B43"/>
    <w:rsid w:val="00680E9E"/>
    <w:rsid w:val="006856CD"/>
    <w:rsid w:val="006904F9"/>
    <w:rsid w:val="006906DB"/>
    <w:rsid w:val="00692ACF"/>
    <w:rsid w:val="006A12A5"/>
    <w:rsid w:val="006A37C1"/>
    <w:rsid w:val="006B0D94"/>
    <w:rsid w:val="006B485D"/>
    <w:rsid w:val="006C3A82"/>
    <w:rsid w:val="006C708E"/>
    <w:rsid w:val="006D22A0"/>
    <w:rsid w:val="006D6EC7"/>
    <w:rsid w:val="006F5125"/>
    <w:rsid w:val="00704DE3"/>
    <w:rsid w:val="00713A79"/>
    <w:rsid w:val="007174BB"/>
    <w:rsid w:val="007461DB"/>
    <w:rsid w:val="0076420C"/>
    <w:rsid w:val="007753C2"/>
    <w:rsid w:val="007838B8"/>
    <w:rsid w:val="0079224B"/>
    <w:rsid w:val="00793BB5"/>
    <w:rsid w:val="007A2B91"/>
    <w:rsid w:val="007C065B"/>
    <w:rsid w:val="007C0F57"/>
    <w:rsid w:val="007C40B6"/>
    <w:rsid w:val="007C729F"/>
    <w:rsid w:val="007D3C2D"/>
    <w:rsid w:val="007E1D28"/>
    <w:rsid w:val="007F2641"/>
    <w:rsid w:val="007F7C36"/>
    <w:rsid w:val="00806796"/>
    <w:rsid w:val="00826F6D"/>
    <w:rsid w:val="00856DDD"/>
    <w:rsid w:val="00863E68"/>
    <w:rsid w:val="00882085"/>
    <w:rsid w:val="00883188"/>
    <w:rsid w:val="00897D58"/>
    <w:rsid w:val="008A1956"/>
    <w:rsid w:val="008A4937"/>
    <w:rsid w:val="008B58E0"/>
    <w:rsid w:val="008C2E00"/>
    <w:rsid w:val="008C4C93"/>
    <w:rsid w:val="008D3C82"/>
    <w:rsid w:val="008D447E"/>
    <w:rsid w:val="008D7A41"/>
    <w:rsid w:val="008E3680"/>
    <w:rsid w:val="008E5870"/>
    <w:rsid w:val="008F1434"/>
    <w:rsid w:val="008F7355"/>
    <w:rsid w:val="009067B7"/>
    <w:rsid w:val="009104C6"/>
    <w:rsid w:val="00930937"/>
    <w:rsid w:val="00933E6C"/>
    <w:rsid w:val="00942160"/>
    <w:rsid w:val="00946C55"/>
    <w:rsid w:val="009602C5"/>
    <w:rsid w:val="00964C23"/>
    <w:rsid w:val="00974C21"/>
    <w:rsid w:val="009B0F67"/>
    <w:rsid w:val="009C703C"/>
    <w:rsid w:val="009D3CAA"/>
    <w:rsid w:val="009E3375"/>
    <w:rsid w:val="009F4E46"/>
    <w:rsid w:val="009F5B65"/>
    <w:rsid w:val="009F5F2E"/>
    <w:rsid w:val="00A06225"/>
    <w:rsid w:val="00A128E6"/>
    <w:rsid w:val="00A15C90"/>
    <w:rsid w:val="00A21683"/>
    <w:rsid w:val="00A37C8D"/>
    <w:rsid w:val="00A51804"/>
    <w:rsid w:val="00A5273B"/>
    <w:rsid w:val="00A53A9D"/>
    <w:rsid w:val="00A55FEE"/>
    <w:rsid w:val="00A62C1A"/>
    <w:rsid w:val="00A6426D"/>
    <w:rsid w:val="00A70622"/>
    <w:rsid w:val="00A70977"/>
    <w:rsid w:val="00A8390C"/>
    <w:rsid w:val="00A928BD"/>
    <w:rsid w:val="00AA4D1C"/>
    <w:rsid w:val="00AB1F97"/>
    <w:rsid w:val="00AC5206"/>
    <w:rsid w:val="00AE11A5"/>
    <w:rsid w:val="00AE13E2"/>
    <w:rsid w:val="00AF68CC"/>
    <w:rsid w:val="00B205AA"/>
    <w:rsid w:val="00B22E84"/>
    <w:rsid w:val="00B25F75"/>
    <w:rsid w:val="00B43B7E"/>
    <w:rsid w:val="00B43E90"/>
    <w:rsid w:val="00B56118"/>
    <w:rsid w:val="00B6773F"/>
    <w:rsid w:val="00B801BA"/>
    <w:rsid w:val="00B95324"/>
    <w:rsid w:val="00BB69F5"/>
    <w:rsid w:val="00BB7EC3"/>
    <w:rsid w:val="00BC4B9A"/>
    <w:rsid w:val="00BD589B"/>
    <w:rsid w:val="00BD784C"/>
    <w:rsid w:val="00BE4594"/>
    <w:rsid w:val="00BF4CB6"/>
    <w:rsid w:val="00C00DA7"/>
    <w:rsid w:val="00C02FA3"/>
    <w:rsid w:val="00C12768"/>
    <w:rsid w:val="00C235BA"/>
    <w:rsid w:val="00C27B58"/>
    <w:rsid w:val="00C35996"/>
    <w:rsid w:val="00C5342C"/>
    <w:rsid w:val="00C6256A"/>
    <w:rsid w:val="00C7792B"/>
    <w:rsid w:val="00C91449"/>
    <w:rsid w:val="00C92D10"/>
    <w:rsid w:val="00CA3B47"/>
    <w:rsid w:val="00CE10C4"/>
    <w:rsid w:val="00CE27B5"/>
    <w:rsid w:val="00D0321E"/>
    <w:rsid w:val="00D046D8"/>
    <w:rsid w:val="00D1455A"/>
    <w:rsid w:val="00D3280C"/>
    <w:rsid w:val="00D3406A"/>
    <w:rsid w:val="00D469B2"/>
    <w:rsid w:val="00D741EB"/>
    <w:rsid w:val="00D84934"/>
    <w:rsid w:val="00D91271"/>
    <w:rsid w:val="00D9160A"/>
    <w:rsid w:val="00DA2CB5"/>
    <w:rsid w:val="00DA4BAC"/>
    <w:rsid w:val="00DE6D27"/>
    <w:rsid w:val="00DF217D"/>
    <w:rsid w:val="00DF26A7"/>
    <w:rsid w:val="00DF6AAE"/>
    <w:rsid w:val="00E07E6D"/>
    <w:rsid w:val="00E164B3"/>
    <w:rsid w:val="00E16910"/>
    <w:rsid w:val="00E65E54"/>
    <w:rsid w:val="00E72ED6"/>
    <w:rsid w:val="00E80155"/>
    <w:rsid w:val="00E848C0"/>
    <w:rsid w:val="00E91B96"/>
    <w:rsid w:val="00E941A1"/>
    <w:rsid w:val="00E95CE3"/>
    <w:rsid w:val="00EA2825"/>
    <w:rsid w:val="00EB2E81"/>
    <w:rsid w:val="00EB5088"/>
    <w:rsid w:val="00ED1644"/>
    <w:rsid w:val="00EE5C63"/>
    <w:rsid w:val="00EF44A0"/>
    <w:rsid w:val="00EF4FED"/>
    <w:rsid w:val="00F020E1"/>
    <w:rsid w:val="00F050BD"/>
    <w:rsid w:val="00F05657"/>
    <w:rsid w:val="00F22606"/>
    <w:rsid w:val="00F243F5"/>
    <w:rsid w:val="00F25578"/>
    <w:rsid w:val="00F258E5"/>
    <w:rsid w:val="00F300BC"/>
    <w:rsid w:val="00F3334E"/>
    <w:rsid w:val="00F43121"/>
    <w:rsid w:val="00F45BFC"/>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235BA"/>
    <w:pPr>
      <w:numPr>
        <w:numId w:val="2"/>
      </w:numPr>
      <w:jc w:val="both"/>
      <w:outlineLvl w:val="0"/>
    </w:pPr>
    <w:rPr>
      <w:rFonts w:ascii="Arial" w:hAnsi="Arial"/>
      <w:b/>
      <w:sz w:val="22"/>
      <w:szCs w:val="22"/>
    </w:rPr>
  </w:style>
  <w:style w:type="paragraph" w:styleId="Heading2">
    <w:name w:val="heading 2"/>
    <w:basedOn w:val="Normal"/>
    <w:next w:val="Normal"/>
    <w:qFormat/>
    <w:rsid w:val="00C235BA"/>
    <w:pPr>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customStyle="1" w:styleId="ListParagraphChar">
    <w:name w:val="List Paragraph Char"/>
    <w:link w:val="ListParagraph"/>
    <w:uiPriority w:val="72"/>
    <w:rsid w:val="00F43121"/>
    <w:rPr>
      <w:sz w:val="24"/>
      <w:szCs w:val="24"/>
    </w:rPr>
  </w:style>
  <w:style w:type="paragraph" w:styleId="Title">
    <w:name w:val="Title"/>
    <w:basedOn w:val="Normal"/>
    <w:next w:val="Normal"/>
    <w:link w:val="TitleChar"/>
    <w:qFormat/>
    <w:rsid w:val="00C235BA"/>
    <w:pPr>
      <w:ind w:left="720" w:hanging="720"/>
    </w:pPr>
    <w:rPr>
      <w:rFonts w:ascii="Arial" w:hAnsi="Arial"/>
      <w:b/>
      <w:sz w:val="28"/>
      <w:szCs w:val="28"/>
    </w:rPr>
  </w:style>
  <w:style w:type="character" w:customStyle="1" w:styleId="TitleChar">
    <w:name w:val="Title Char"/>
    <w:basedOn w:val="DefaultParagraphFont"/>
    <w:link w:val="Title"/>
    <w:rsid w:val="00C235BA"/>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235BA"/>
    <w:pPr>
      <w:numPr>
        <w:numId w:val="2"/>
      </w:numPr>
      <w:jc w:val="both"/>
      <w:outlineLvl w:val="0"/>
    </w:pPr>
    <w:rPr>
      <w:rFonts w:ascii="Arial" w:hAnsi="Arial"/>
      <w:b/>
      <w:sz w:val="22"/>
      <w:szCs w:val="22"/>
    </w:rPr>
  </w:style>
  <w:style w:type="paragraph" w:styleId="Heading2">
    <w:name w:val="heading 2"/>
    <w:basedOn w:val="Normal"/>
    <w:next w:val="Normal"/>
    <w:qFormat/>
    <w:rsid w:val="00C235BA"/>
    <w:pPr>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customStyle="1" w:styleId="ListParagraphChar">
    <w:name w:val="List Paragraph Char"/>
    <w:link w:val="ListParagraph"/>
    <w:uiPriority w:val="72"/>
    <w:rsid w:val="00F43121"/>
    <w:rPr>
      <w:sz w:val="24"/>
      <w:szCs w:val="24"/>
    </w:rPr>
  </w:style>
  <w:style w:type="paragraph" w:styleId="Title">
    <w:name w:val="Title"/>
    <w:basedOn w:val="Normal"/>
    <w:next w:val="Normal"/>
    <w:link w:val="TitleChar"/>
    <w:qFormat/>
    <w:rsid w:val="00C235BA"/>
    <w:pPr>
      <w:ind w:left="720" w:hanging="720"/>
    </w:pPr>
    <w:rPr>
      <w:rFonts w:ascii="Arial" w:hAnsi="Arial"/>
      <w:b/>
      <w:sz w:val="28"/>
      <w:szCs w:val="28"/>
    </w:rPr>
  </w:style>
  <w:style w:type="character" w:customStyle="1" w:styleId="TitleChar">
    <w:name w:val="Title Char"/>
    <w:basedOn w:val="DefaultParagraphFont"/>
    <w:link w:val="Title"/>
    <w:rsid w:val="00C235BA"/>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B71E-1D12-4809-83EF-2A5A9F8A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5.22 PKU Go</vt:lpstr>
    </vt:vector>
  </TitlesOfParts>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PKU Go</dc:title>
  <dc:creator/>
  <cp:lastModifiedBy/>
  <cp:revision>1</cp:revision>
  <dcterms:created xsi:type="dcterms:W3CDTF">2016-02-17T00:32:00Z</dcterms:created>
  <dcterms:modified xsi:type="dcterms:W3CDTF">2016-02-26T03:15:00Z</dcterms:modified>
</cp:coreProperties>
</file>