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B7" w:rsidRPr="002654C1" w:rsidRDefault="000F28E1" w:rsidP="002654C1">
      <w:pPr>
        <w:pStyle w:val="Title"/>
      </w:pPr>
      <w:r w:rsidRPr="002654C1">
        <w:t>5.17</w:t>
      </w:r>
      <w:r w:rsidR="007C0F57" w:rsidRPr="002654C1">
        <w:tab/>
      </w:r>
      <w:r w:rsidR="00355AB7" w:rsidRPr="002654C1">
        <w:t xml:space="preserve">AMINO ACID FORMULA WITHOUT PHENYLALANINE, </w:t>
      </w:r>
      <w:r w:rsidR="003D4793" w:rsidRPr="002654C1">
        <w:t>110g modified release tablet x 4</w:t>
      </w:r>
      <w:r w:rsidR="007C1864" w:rsidRPr="002654C1">
        <w:t>, bottle,</w:t>
      </w:r>
    </w:p>
    <w:p w:rsidR="00D3280C" w:rsidRPr="002654C1" w:rsidRDefault="000F28E1" w:rsidP="002654C1">
      <w:pPr>
        <w:pStyle w:val="Title"/>
        <w:ind w:firstLine="0"/>
      </w:pPr>
      <w:proofErr w:type="gramStart"/>
      <w:r w:rsidRPr="002654C1">
        <w:t>PKU Easy Microtabs</w:t>
      </w:r>
      <w:r w:rsidR="00355AB7" w:rsidRPr="002654C1">
        <w:t>®</w:t>
      </w:r>
      <w:r w:rsidR="00F84BA4" w:rsidRPr="002654C1">
        <w:t xml:space="preserve">, </w:t>
      </w:r>
      <w:proofErr w:type="spellStart"/>
      <w:r w:rsidR="00EB6FA1" w:rsidRPr="002654C1">
        <w:t>Orpharma</w:t>
      </w:r>
      <w:proofErr w:type="spellEnd"/>
      <w:r w:rsidR="00EB6FA1" w:rsidRPr="002654C1">
        <w:t xml:space="preserve"> Pty Ltd</w:t>
      </w:r>
      <w:r w:rsidR="007C1864" w:rsidRPr="002654C1">
        <w:t>.</w:t>
      </w:r>
      <w:proofErr w:type="gramEnd"/>
    </w:p>
    <w:p w:rsidR="00CE10C4" w:rsidRDefault="00CE10C4" w:rsidP="00C27B58">
      <w:pPr>
        <w:pStyle w:val="NoSpacing"/>
      </w:pPr>
    </w:p>
    <w:p w:rsidR="00C27B58" w:rsidRDefault="00C27B58" w:rsidP="00C27B58">
      <w:pPr>
        <w:pStyle w:val="NoSpacing"/>
      </w:pPr>
    </w:p>
    <w:p w:rsidR="00CE10C4" w:rsidRPr="002654C1" w:rsidRDefault="00CE10C4" w:rsidP="002654C1">
      <w:pPr>
        <w:pStyle w:val="Heading1"/>
      </w:pPr>
      <w:r w:rsidRPr="002654C1">
        <w:t xml:space="preserve">Purpose of </w:t>
      </w:r>
      <w:r w:rsidR="0004240E" w:rsidRPr="002654C1">
        <w:t>Application</w:t>
      </w:r>
    </w:p>
    <w:p w:rsidR="006A12A5" w:rsidRPr="00882085" w:rsidRDefault="006A12A5" w:rsidP="00882085">
      <w:pPr>
        <w:jc w:val="both"/>
        <w:rPr>
          <w:rFonts w:ascii="Arial" w:hAnsi="Arial"/>
          <w:sz w:val="22"/>
          <w:szCs w:val="22"/>
        </w:rPr>
      </w:pPr>
    </w:p>
    <w:p w:rsidR="00E52D19" w:rsidRPr="003B3D89" w:rsidRDefault="00E52D19" w:rsidP="00A21DCE">
      <w:pPr>
        <w:ind w:left="720" w:hanging="720"/>
        <w:jc w:val="both"/>
        <w:rPr>
          <w:rFonts w:ascii="Arial" w:hAnsi="Arial"/>
          <w:sz w:val="22"/>
          <w:szCs w:val="22"/>
        </w:rPr>
      </w:pPr>
      <w:r>
        <w:rPr>
          <w:rFonts w:ascii="Arial" w:hAnsi="Arial"/>
          <w:sz w:val="22"/>
          <w:szCs w:val="22"/>
        </w:rPr>
        <w:t xml:space="preserve">1.1 </w:t>
      </w:r>
      <w:r>
        <w:rPr>
          <w:rFonts w:ascii="Arial" w:hAnsi="Arial"/>
          <w:sz w:val="22"/>
          <w:szCs w:val="22"/>
        </w:rPr>
        <w:tab/>
        <w:t>The minor submission requested a restricted benefit listing for phenylketonuria</w:t>
      </w:r>
      <w:r w:rsidR="00A21DCE">
        <w:rPr>
          <w:rFonts w:ascii="Arial" w:hAnsi="Arial"/>
          <w:sz w:val="22"/>
          <w:szCs w:val="22"/>
        </w:rPr>
        <w:t xml:space="preserve"> (PKU)</w:t>
      </w:r>
      <w:r w:rsidR="002B276D">
        <w:rPr>
          <w:rFonts w:ascii="Arial" w:hAnsi="Arial"/>
          <w:sz w:val="22"/>
          <w:szCs w:val="22"/>
        </w:rPr>
        <w:t>.</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2654C1">
      <w:pPr>
        <w:pStyle w:val="Heading1"/>
      </w:pPr>
      <w:r w:rsidRPr="00882085">
        <w:t>Requested listing</w:t>
      </w:r>
    </w:p>
    <w:p w:rsidR="006A12A5" w:rsidRPr="00882085" w:rsidRDefault="006A12A5" w:rsidP="00882085">
      <w:pPr>
        <w:jc w:val="both"/>
        <w:rPr>
          <w:rFonts w:ascii="Arial" w:hAnsi="Arial"/>
          <w:b/>
          <w:sz w:val="22"/>
          <w:szCs w:val="22"/>
        </w:rPr>
      </w:pPr>
    </w:p>
    <w:p w:rsidR="00796CD0" w:rsidRPr="00826F6D" w:rsidRDefault="00796CD0" w:rsidP="00796CD0">
      <w:pPr>
        <w:pStyle w:val="ListParagraph"/>
        <w:numPr>
          <w:ilvl w:val="1"/>
          <w:numId w:val="2"/>
        </w:numPr>
        <w:jc w:val="both"/>
        <w:rPr>
          <w:rFonts w:ascii="Arial" w:hAnsi="Arial"/>
          <w:sz w:val="22"/>
          <w:szCs w:val="22"/>
        </w:rPr>
      </w:pPr>
      <w:r w:rsidRPr="00F12B37">
        <w:rPr>
          <w:rFonts w:ascii="Arial" w:hAnsi="Arial"/>
          <w:sz w:val="22"/>
          <w:szCs w:val="22"/>
        </w:rPr>
        <w:t xml:space="preserve">The </w:t>
      </w:r>
      <w:r>
        <w:rPr>
          <w:rFonts w:ascii="Arial" w:hAnsi="Arial"/>
          <w:sz w:val="22"/>
          <w:szCs w:val="22"/>
        </w:rPr>
        <w:t xml:space="preserve">submission’s </w:t>
      </w:r>
      <w:r w:rsidRPr="00F12B37">
        <w:rPr>
          <w:rFonts w:ascii="Arial" w:hAnsi="Arial"/>
          <w:sz w:val="22"/>
          <w:szCs w:val="22"/>
        </w:rPr>
        <w:t>requested listing</w:t>
      </w:r>
      <w:r>
        <w:rPr>
          <w:rFonts w:ascii="Arial" w:hAnsi="Arial"/>
          <w:sz w:val="22"/>
          <w:szCs w:val="22"/>
        </w:rPr>
        <w:t xml:space="preserve"> is shown below:</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listing"/>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E3307C" w:rsidRPr="00260CE3" w:rsidRDefault="00E3307C" w:rsidP="00E3307C">
            <w:pPr>
              <w:keepNext/>
              <w:ind w:left="-108"/>
              <w:jc w:val="both"/>
              <w:rPr>
                <w:rFonts w:ascii="Arial Narrow" w:hAnsi="Arial Narrow" w:cs="Arial"/>
                <w:sz w:val="20"/>
                <w:szCs w:val="20"/>
              </w:rPr>
            </w:pPr>
            <w:r>
              <w:rPr>
                <w:rFonts w:ascii="Arial Narrow" w:hAnsi="Arial Narrow" w:cs="Arial"/>
                <w:smallCaps/>
                <w:sz w:val="20"/>
                <w:szCs w:val="20"/>
              </w:rPr>
              <w:t>AMINO ACID FORMULA WITHOUT PHENYLALANINE</w:t>
            </w:r>
          </w:p>
          <w:p w:rsidR="00826F6D" w:rsidRPr="00737635" w:rsidRDefault="00E3307C" w:rsidP="00E3307C">
            <w:pPr>
              <w:keepNext/>
              <w:ind w:left="-108"/>
              <w:rPr>
                <w:rFonts w:ascii="Arial Narrow" w:hAnsi="Arial Narrow" w:cs="Arial"/>
                <w:sz w:val="20"/>
                <w:szCs w:val="20"/>
              </w:rPr>
            </w:pPr>
            <w:r>
              <w:rPr>
                <w:rFonts w:ascii="Arial Narrow" w:hAnsi="Arial Narrow" w:cstheme="minorHAnsi"/>
                <w:sz w:val="20"/>
                <w:szCs w:val="20"/>
              </w:rPr>
              <w:t>M</w:t>
            </w:r>
            <w:r w:rsidRPr="00737635">
              <w:rPr>
                <w:rFonts w:ascii="Arial Narrow" w:hAnsi="Arial Narrow" w:cstheme="minorHAnsi"/>
                <w:sz w:val="20"/>
                <w:szCs w:val="20"/>
              </w:rPr>
              <w:t>odified release, 4 x 110 g, bottle</w:t>
            </w:r>
          </w:p>
        </w:tc>
        <w:tc>
          <w:tcPr>
            <w:tcW w:w="850" w:type="dxa"/>
          </w:tcPr>
          <w:p w:rsidR="00826F6D" w:rsidRPr="00260CE3" w:rsidRDefault="00826F6D" w:rsidP="00F84BA4">
            <w:pPr>
              <w:keepNext/>
              <w:ind w:left="-108"/>
              <w:rPr>
                <w:rFonts w:ascii="Arial Narrow" w:hAnsi="Arial Narrow" w:cs="Arial"/>
                <w:sz w:val="20"/>
                <w:szCs w:val="20"/>
              </w:rPr>
            </w:pPr>
          </w:p>
          <w:p w:rsidR="00826F6D" w:rsidRPr="00260CE3" w:rsidRDefault="00737635" w:rsidP="00F84BA4">
            <w:pPr>
              <w:keepNext/>
              <w:ind w:left="-108"/>
              <w:rPr>
                <w:rFonts w:ascii="Arial Narrow" w:hAnsi="Arial Narrow" w:cs="Arial"/>
                <w:sz w:val="20"/>
                <w:szCs w:val="20"/>
              </w:rPr>
            </w:pPr>
            <w:r>
              <w:rPr>
                <w:rFonts w:ascii="Arial Narrow" w:hAnsi="Arial Narrow" w:cs="Arial"/>
                <w:sz w:val="20"/>
                <w:szCs w:val="20"/>
              </w:rPr>
              <w:t>5</w:t>
            </w:r>
          </w:p>
        </w:tc>
        <w:tc>
          <w:tcPr>
            <w:tcW w:w="709" w:type="dxa"/>
          </w:tcPr>
          <w:p w:rsidR="00826F6D" w:rsidRPr="00260CE3" w:rsidRDefault="00826F6D" w:rsidP="00F84BA4">
            <w:pPr>
              <w:keepNext/>
              <w:ind w:left="-108"/>
              <w:rPr>
                <w:rFonts w:ascii="Arial Narrow" w:hAnsi="Arial Narrow" w:cs="Arial"/>
                <w:sz w:val="20"/>
                <w:szCs w:val="20"/>
              </w:rPr>
            </w:pPr>
          </w:p>
          <w:p w:rsidR="00826F6D" w:rsidRPr="00260CE3" w:rsidRDefault="00737635" w:rsidP="00F84BA4">
            <w:pPr>
              <w:keepNext/>
              <w:ind w:left="-108"/>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F84BA4">
            <w:pPr>
              <w:keepNext/>
              <w:ind w:left="-108"/>
              <w:rPr>
                <w:rFonts w:ascii="Arial Narrow" w:hAnsi="Arial Narrow" w:cs="Arial"/>
                <w:sz w:val="20"/>
                <w:szCs w:val="20"/>
              </w:rPr>
            </w:pPr>
          </w:p>
          <w:p w:rsidR="00826F6D" w:rsidRPr="00260CE3" w:rsidRDefault="00826F6D" w:rsidP="00F84BA4">
            <w:pPr>
              <w:keepNext/>
              <w:ind w:left="-108"/>
              <w:rPr>
                <w:rFonts w:ascii="Arial Narrow" w:hAnsi="Arial Narrow" w:cs="Arial"/>
                <w:sz w:val="20"/>
                <w:szCs w:val="20"/>
              </w:rPr>
            </w:pPr>
            <w:r w:rsidRPr="00260CE3">
              <w:rPr>
                <w:rFonts w:ascii="Arial Narrow" w:hAnsi="Arial Narrow" w:cs="Arial"/>
                <w:sz w:val="20"/>
                <w:szCs w:val="20"/>
              </w:rPr>
              <w:t>$</w:t>
            </w:r>
            <w:r w:rsidR="00900F81">
              <w:rPr>
                <w:rFonts w:ascii="Arial Narrow" w:hAnsi="Arial Narrow" w:cs="Arial"/>
                <w:noProof/>
                <w:color w:val="000000"/>
                <w:sz w:val="20"/>
                <w:szCs w:val="20"/>
                <w:highlight w:val="black"/>
              </w:rPr>
              <w:t>'''''''''''''''''''</w:t>
            </w:r>
          </w:p>
        </w:tc>
        <w:tc>
          <w:tcPr>
            <w:tcW w:w="1275" w:type="dxa"/>
          </w:tcPr>
          <w:p w:rsidR="00F84BA4" w:rsidRDefault="00F84BA4" w:rsidP="00F84BA4">
            <w:pPr>
              <w:keepNext/>
              <w:rPr>
                <w:rFonts w:ascii="Arial Narrow" w:hAnsi="Arial Narrow" w:cs="Arial"/>
                <w:sz w:val="20"/>
                <w:szCs w:val="20"/>
              </w:rPr>
            </w:pPr>
          </w:p>
          <w:p w:rsidR="00826F6D" w:rsidRPr="00260CE3" w:rsidRDefault="00737635" w:rsidP="00F84BA4">
            <w:pPr>
              <w:keepNext/>
              <w:rPr>
                <w:rFonts w:ascii="Arial Narrow" w:hAnsi="Arial Narrow" w:cs="Arial"/>
                <w:sz w:val="20"/>
                <w:szCs w:val="20"/>
              </w:rPr>
            </w:pPr>
            <w:r>
              <w:rPr>
                <w:rFonts w:ascii="Arial Narrow" w:hAnsi="Arial Narrow" w:cs="Arial"/>
                <w:sz w:val="20"/>
                <w:szCs w:val="20"/>
              </w:rPr>
              <w:t>PKU Easy Microtabs</w:t>
            </w:r>
            <w:r w:rsidR="003C3317" w:rsidRPr="008A016A">
              <w:rPr>
                <w:rFonts w:ascii="Arial" w:hAnsi="Arial" w:cs="Arial"/>
                <w:color w:val="000000"/>
                <w:sz w:val="22"/>
                <w:szCs w:val="22"/>
                <w:vertAlign w:val="superscript"/>
              </w:rPr>
              <w:t>®</w:t>
            </w:r>
          </w:p>
        </w:tc>
        <w:tc>
          <w:tcPr>
            <w:tcW w:w="1134" w:type="dxa"/>
          </w:tcPr>
          <w:p w:rsidR="00F84BA4" w:rsidRDefault="00F84BA4" w:rsidP="00F84BA4">
            <w:pPr>
              <w:keepNext/>
              <w:rPr>
                <w:rFonts w:ascii="Arial Narrow" w:hAnsi="Arial Narrow" w:cs="Arial"/>
                <w:sz w:val="20"/>
                <w:szCs w:val="20"/>
              </w:rPr>
            </w:pPr>
          </w:p>
          <w:p w:rsidR="00826F6D" w:rsidRPr="00260CE3" w:rsidRDefault="00F84BA4" w:rsidP="00F84BA4">
            <w:pPr>
              <w:keepNext/>
              <w:rPr>
                <w:rFonts w:ascii="Arial Narrow" w:hAnsi="Arial Narrow" w:cs="Arial"/>
                <w:sz w:val="20"/>
                <w:szCs w:val="20"/>
              </w:rPr>
            </w:pPr>
            <w:proofErr w:type="spellStart"/>
            <w:r w:rsidRPr="00F84BA4">
              <w:rPr>
                <w:rFonts w:ascii="Arial Narrow" w:hAnsi="Arial Narrow" w:cs="Arial"/>
                <w:sz w:val="20"/>
                <w:szCs w:val="20"/>
              </w:rPr>
              <w:t>Orpharma</w:t>
            </w:r>
            <w:proofErr w:type="spellEnd"/>
            <w:r w:rsidRPr="00F84BA4">
              <w:rPr>
                <w:rFonts w:ascii="Arial Narrow" w:hAnsi="Arial Narrow" w:cs="Arial"/>
                <w:sz w:val="20"/>
                <w:szCs w:val="20"/>
              </w:rPr>
              <w:t xml:space="preserve"> Pty Ltd</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52D19">
              <w:rPr>
                <w:rFonts w:ascii="Arial Narrow" w:hAnsi="Arial Narrow" w:cs="Arial"/>
                <w:sz w:val="20"/>
                <w:szCs w:val="20"/>
              </w:rPr>
              <w:fldChar w:fldCharType="begin">
                <w:ffData>
                  <w:name w:val=""/>
                  <w:enabled/>
                  <w:calcOnExit w:val="0"/>
                  <w:checkBox>
                    <w:sizeAuto/>
                    <w:default w:val="1"/>
                  </w:checkBox>
                </w:ffData>
              </w:fldChar>
            </w:r>
            <w:r w:rsidR="00E52D19">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00E52D19">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E52D19">
              <w:rPr>
                <w:rFonts w:ascii="Arial Narrow" w:hAnsi="Arial Narrow" w:cs="Arial"/>
                <w:sz w:val="20"/>
                <w:szCs w:val="20"/>
              </w:rPr>
              <w:fldChar w:fldCharType="begin">
                <w:ffData>
                  <w:name w:val="Check3"/>
                  <w:enabled/>
                  <w:calcOnExit w:val="0"/>
                  <w:checkBox>
                    <w:sizeAuto/>
                    <w:default w:val="1"/>
                  </w:checkBox>
                </w:ffData>
              </w:fldChar>
            </w:r>
            <w:bookmarkStart w:id="0" w:name="Check3"/>
            <w:r w:rsidR="00E52D19">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00E52D19">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E52D19"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2767" w:rsidRDefault="00E42767" w:rsidP="00E42767">
            <w:pPr>
              <w:jc w:val="both"/>
              <w:rPr>
                <w:rFonts w:ascii="Arial Narrow" w:hAnsi="Arial Narrow" w:cs="Arial"/>
                <w:b/>
                <w:sz w:val="20"/>
                <w:szCs w:val="20"/>
              </w:rPr>
            </w:pPr>
            <w:r w:rsidRPr="00E42767">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75539D" w:rsidP="00C27B58">
            <w:pPr>
              <w:rPr>
                <w:rFonts w:ascii="Arial Narrow" w:hAnsi="Arial Narrow" w:cs="Arial"/>
                <w:sz w:val="20"/>
                <w:szCs w:val="20"/>
              </w:rPr>
            </w:pPr>
            <w:r w:rsidRPr="0075539D">
              <w:rPr>
                <w:rFonts w:ascii="Arial Narrow" w:hAnsi="Arial Narrow" w:cs="Arial"/>
                <w:sz w:val="20"/>
                <w:szCs w:val="20"/>
              </w:rPr>
              <w:t>Phenylketonuria</w:t>
            </w:r>
          </w:p>
          <w:p w:rsidR="00826F6D" w:rsidRPr="00260CE3" w:rsidRDefault="00826F6D" w:rsidP="00E42767">
            <w:pPr>
              <w:rPr>
                <w:rFonts w:ascii="Arial Narrow" w:hAnsi="Arial Narrow" w:cs="Arial"/>
                <w:sz w:val="20"/>
                <w:szCs w:val="20"/>
              </w:rPr>
            </w:pPr>
          </w:p>
        </w:tc>
      </w:tr>
      <w:tr w:rsidR="0075539D"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5539D" w:rsidRPr="00260CE3" w:rsidRDefault="0075539D" w:rsidP="00B9484A">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75539D" w:rsidRPr="00260CE3" w:rsidRDefault="0075539D" w:rsidP="00B9484A">
            <w:pPr>
              <w:rPr>
                <w:rFonts w:ascii="Arial Narrow" w:hAnsi="Arial Narrow" w:cs="Arial"/>
                <w:sz w:val="20"/>
                <w:szCs w:val="20"/>
              </w:rPr>
            </w:pPr>
            <w:r w:rsidRPr="00263CB8">
              <w:rPr>
                <w:rFonts w:ascii="Arial Narrow" w:hAnsi="Arial Narrow" w:cs="Arial"/>
                <w:sz w:val="20"/>
              </w:rPr>
              <w:t>Phenylketonuria</w:t>
            </w:r>
          </w:p>
        </w:tc>
      </w:tr>
    </w:tbl>
    <w:p w:rsidR="00796CD0" w:rsidRDefault="00796CD0">
      <w:pPr>
        <w:rPr>
          <w:rFonts w:ascii="Arial" w:hAnsi="Arial"/>
          <w:sz w:val="22"/>
          <w:szCs w:val="22"/>
        </w:rPr>
      </w:pPr>
    </w:p>
    <w:p w:rsidR="002654C1" w:rsidRDefault="002654C1">
      <w:pPr>
        <w:rPr>
          <w:rFonts w:ascii="Arial" w:hAnsi="Arial"/>
          <w:sz w:val="22"/>
          <w:szCs w:val="22"/>
        </w:rPr>
      </w:pPr>
    </w:p>
    <w:p w:rsidR="00CE10C4" w:rsidRPr="00882085" w:rsidRDefault="00CE10C4" w:rsidP="002654C1">
      <w:pPr>
        <w:pStyle w:val="Heading1"/>
      </w:pPr>
      <w:r w:rsidRPr="00882085">
        <w:t>Background</w:t>
      </w:r>
    </w:p>
    <w:p w:rsidR="006A12A5" w:rsidRPr="00882085" w:rsidRDefault="006A12A5" w:rsidP="00882085">
      <w:pPr>
        <w:jc w:val="both"/>
        <w:rPr>
          <w:rFonts w:ascii="Arial" w:hAnsi="Arial"/>
          <w:sz w:val="22"/>
          <w:szCs w:val="22"/>
        </w:rPr>
      </w:pPr>
    </w:p>
    <w:p w:rsidR="002B252C" w:rsidRPr="006678E6" w:rsidRDefault="003C3317" w:rsidP="002B252C">
      <w:pPr>
        <w:pStyle w:val="ListParagraph"/>
        <w:numPr>
          <w:ilvl w:val="1"/>
          <w:numId w:val="2"/>
        </w:numPr>
        <w:spacing w:after="240"/>
        <w:contextualSpacing w:val="0"/>
        <w:jc w:val="both"/>
        <w:rPr>
          <w:rFonts w:ascii="Arial" w:hAnsi="Arial"/>
          <w:i/>
          <w:sz w:val="22"/>
          <w:szCs w:val="22"/>
        </w:rPr>
      </w:pPr>
      <w:r>
        <w:rPr>
          <w:rFonts w:ascii="Arial" w:hAnsi="Arial"/>
          <w:sz w:val="22"/>
          <w:szCs w:val="22"/>
        </w:rPr>
        <w:t>PKU Easy Microtabs®</w:t>
      </w:r>
      <w:r w:rsidR="00027FD4" w:rsidRPr="006678E6">
        <w:rPr>
          <w:rFonts w:ascii="Arial" w:hAnsi="Arial"/>
          <w:sz w:val="22"/>
          <w:szCs w:val="22"/>
        </w:rPr>
        <w:t xml:space="preserve"> </w:t>
      </w:r>
      <w:r w:rsidR="002B252C" w:rsidRPr="006678E6">
        <w:rPr>
          <w:rFonts w:ascii="Arial" w:hAnsi="Arial"/>
          <w:sz w:val="22"/>
          <w:szCs w:val="22"/>
        </w:rPr>
        <w:t xml:space="preserve">does not require registration with the TGA. </w:t>
      </w:r>
      <w:r w:rsidR="009B3D07">
        <w:rPr>
          <w:rFonts w:ascii="Arial" w:hAnsi="Arial"/>
          <w:sz w:val="22"/>
          <w:szCs w:val="22"/>
        </w:rPr>
        <w:t>The sponsor</w:t>
      </w:r>
      <w:r w:rsidR="002B252C" w:rsidRPr="006678E6">
        <w:rPr>
          <w:rFonts w:ascii="Arial" w:hAnsi="Arial"/>
          <w:sz w:val="22"/>
          <w:szCs w:val="22"/>
        </w:rPr>
        <w:t xml:space="preserve"> confirms that it meets the requirements for foods that have medical purposes as set out under </w:t>
      </w:r>
      <w:r w:rsidR="002B252C" w:rsidRPr="006678E6">
        <w:rPr>
          <w:rFonts w:ascii="Arial" w:hAnsi="Arial"/>
          <w:i/>
          <w:sz w:val="22"/>
          <w:szCs w:val="22"/>
        </w:rPr>
        <w:t>The Australia New Zealand Food Standards Code — Standard 2.9.5: Food for Special Medical Purposes</w:t>
      </w:r>
      <w:r w:rsidR="006678E6">
        <w:rPr>
          <w:rFonts w:ascii="Arial" w:hAnsi="Arial"/>
          <w:i/>
          <w:sz w:val="22"/>
          <w:szCs w:val="22"/>
        </w:rPr>
        <w:t>.</w:t>
      </w:r>
    </w:p>
    <w:p w:rsidR="002B252C" w:rsidRPr="006678E6" w:rsidRDefault="003C3317" w:rsidP="002B252C">
      <w:pPr>
        <w:pStyle w:val="ListParagraph"/>
        <w:numPr>
          <w:ilvl w:val="1"/>
          <w:numId w:val="2"/>
        </w:numPr>
        <w:jc w:val="both"/>
        <w:rPr>
          <w:rFonts w:ascii="Arial" w:hAnsi="Arial"/>
          <w:b/>
          <w:sz w:val="22"/>
          <w:szCs w:val="22"/>
        </w:rPr>
      </w:pPr>
      <w:r>
        <w:rPr>
          <w:rFonts w:ascii="Arial" w:hAnsi="Arial"/>
          <w:sz w:val="22"/>
          <w:szCs w:val="22"/>
        </w:rPr>
        <w:t>PKU Easy Microtabs®</w:t>
      </w:r>
      <w:r w:rsidR="009B3D07">
        <w:rPr>
          <w:rFonts w:ascii="Arial" w:hAnsi="Arial" w:cs="Arial"/>
          <w:color w:val="000000"/>
          <w:sz w:val="22"/>
          <w:szCs w:val="22"/>
          <w:vertAlign w:val="superscript"/>
        </w:rPr>
        <w:t xml:space="preserve"> </w:t>
      </w:r>
      <w:r w:rsidR="002B252C" w:rsidRPr="006678E6">
        <w:rPr>
          <w:rFonts w:ascii="Arial" w:hAnsi="Arial"/>
          <w:sz w:val="22"/>
          <w:szCs w:val="22"/>
        </w:rPr>
        <w:t>has not been considered by the PBAC previously.</w:t>
      </w:r>
    </w:p>
    <w:p w:rsidR="002654C1" w:rsidRDefault="002654C1" w:rsidP="00882085">
      <w:pPr>
        <w:pStyle w:val="Header"/>
        <w:tabs>
          <w:tab w:val="clear" w:pos="4153"/>
          <w:tab w:val="clear" w:pos="8306"/>
        </w:tabs>
        <w:jc w:val="both"/>
        <w:rPr>
          <w:rFonts w:ascii="Arial" w:hAnsi="Arial"/>
          <w:sz w:val="22"/>
          <w:szCs w:val="22"/>
        </w:rPr>
      </w:pPr>
    </w:p>
    <w:p w:rsidR="002654C1" w:rsidRDefault="002654C1" w:rsidP="00882085">
      <w:pPr>
        <w:pStyle w:val="Header"/>
        <w:tabs>
          <w:tab w:val="clear" w:pos="4153"/>
          <w:tab w:val="clear" w:pos="8306"/>
        </w:tabs>
        <w:jc w:val="both"/>
        <w:rPr>
          <w:rFonts w:ascii="Arial" w:hAnsi="Arial"/>
          <w:sz w:val="22"/>
          <w:szCs w:val="22"/>
        </w:rPr>
      </w:pPr>
    </w:p>
    <w:p w:rsidR="002654C1" w:rsidRDefault="002654C1" w:rsidP="00882085">
      <w:pPr>
        <w:pStyle w:val="Header"/>
        <w:tabs>
          <w:tab w:val="clear" w:pos="4153"/>
          <w:tab w:val="clear" w:pos="8306"/>
        </w:tabs>
        <w:jc w:val="both"/>
        <w:rPr>
          <w:rFonts w:ascii="Arial" w:hAnsi="Arial"/>
          <w:sz w:val="22"/>
          <w:szCs w:val="22"/>
        </w:rPr>
      </w:pPr>
    </w:p>
    <w:p w:rsidR="002654C1" w:rsidRDefault="002654C1" w:rsidP="00882085">
      <w:pPr>
        <w:pStyle w:val="Header"/>
        <w:tabs>
          <w:tab w:val="clear" w:pos="4153"/>
          <w:tab w:val="clear" w:pos="8306"/>
        </w:tabs>
        <w:jc w:val="both"/>
        <w:rPr>
          <w:rFonts w:ascii="Arial" w:hAnsi="Arial"/>
          <w:sz w:val="22"/>
          <w:szCs w:val="22"/>
        </w:rPr>
      </w:pPr>
    </w:p>
    <w:p w:rsidR="002654C1" w:rsidRDefault="002654C1" w:rsidP="00882085">
      <w:pPr>
        <w:pStyle w:val="Header"/>
        <w:tabs>
          <w:tab w:val="clear" w:pos="4153"/>
          <w:tab w:val="clear" w:pos="8306"/>
        </w:tabs>
        <w:jc w:val="both"/>
        <w:rPr>
          <w:rFonts w:ascii="Arial" w:hAnsi="Arial"/>
          <w:sz w:val="22"/>
          <w:szCs w:val="22"/>
        </w:rPr>
      </w:pPr>
    </w:p>
    <w:p w:rsidR="008A15E7" w:rsidRPr="00882085" w:rsidRDefault="008A15E7" w:rsidP="00882085">
      <w:pPr>
        <w:pStyle w:val="Header"/>
        <w:tabs>
          <w:tab w:val="clear" w:pos="4153"/>
          <w:tab w:val="clear" w:pos="8306"/>
        </w:tabs>
        <w:jc w:val="both"/>
        <w:rPr>
          <w:rFonts w:ascii="Arial" w:hAnsi="Arial"/>
          <w:sz w:val="22"/>
          <w:szCs w:val="22"/>
        </w:rPr>
      </w:pPr>
    </w:p>
    <w:p w:rsidR="005A3173" w:rsidRPr="00882085" w:rsidRDefault="005A3173" w:rsidP="002654C1">
      <w:pPr>
        <w:pStyle w:val="Heading1"/>
      </w:pPr>
      <w:r w:rsidRPr="00882085">
        <w:lastRenderedPageBreak/>
        <w:t>Comparator</w:t>
      </w:r>
    </w:p>
    <w:p w:rsidR="005A3173" w:rsidRPr="00882085" w:rsidRDefault="005A3173" w:rsidP="00882085">
      <w:pPr>
        <w:pStyle w:val="Header"/>
        <w:tabs>
          <w:tab w:val="clear" w:pos="4153"/>
          <w:tab w:val="clear" w:pos="8306"/>
        </w:tabs>
        <w:jc w:val="both"/>
        <w:rPr>
          <w:rFonts w:ascii="Arial" w:hAnsi="Arial"/>
          <w:b/>
          <w:sz w:val="22"/>
          <w:szCs w:val="22"/>
        </w:rPr>
      </w:pPr>
    </w:p>
    <w:p w:rsidR="009C20DF" w:rsidRDefault="00BE76E7" w:rsidP="001941D3">
      <w:pPr>
        <w:pStyle w:val="ListParagraph"/>
        <w:numPr>
          <w:ilvl w:val="1"/>
          <w:numId w:val="2"/>
        </w:numPr>
        <w:jc w:val="both"/>
        <w:rPr>
          <w:rFonts w:ascii="Arial" w:hAnsi="Arial"/>
          <w:sz w:val="22"/>
          <w:szCs w:val="22"/>
        </w:rPr>
      </w:pPr>
      <w:r w:rsidRPr="006678E6">
        <w:rPr>
          <w:rFonts w:ascii="Arial" w:hAnsi="Arial"/>
          <w:sz w:val="22"/>
          <w:szCs w:val="22"/>
        </w:rPr>
        <w:t>The submission nominates Phlexy-10</w:t>
      </w:r>
      <w:r w:rsidR="008A15E7">
        <w:rPr>
          <w:rFonts w:ascii="Arial" w:hAnsi="Arial"/>
          <w:sz w:val="22"/>
          <w:szCs w:val="22"/>
        </w:rPr>
        <w:t xml:space="preserve">® </w:t>
      </w:r>
      <w:r w:rsidR="00D868F2" w:rsidRPr="006678E6">
        <w:rPr>
          <w:rFonts w:ascii="Arial" w:hAnsi="Arial"/>
          <w:sz w:val="22"/>
          <w:szCs w:val="22"/>
        </w:rPr>
        <w:t xml:space="preserve">standard release </w:t>
      </w:r>
      <w:r w:rsidR="00277203" w:rsidRPr="006678E6">
        <w:rPr>
          <w:rFonts w:ascii="Arial" w:hAnsi="Arial"/>
          <w:sz w:val="22"/>
          <w:szCs w:val="22"/>
        </w:rPr>
        <w:t xml:space="preserve">tablet </w:t>
      </w:r>
      <w:r w:rsidRPr="006678E6">
        <w:rPr>
          <w:rFonts w:ascii="Arial" w:hAnsi="Arial"/>
          <w:sz w:val="22"/>
          <w:szCs w:val="22"/>
        </w:rPr>
        <w:t>as the main comparator</w:t>
      </w:r>
      <w:r w:rsidRPr="008A15E7">
        <w:rPr>
          <w:rFonts w:ascii="Arial" w:hAnsi="Arial"/>
          <w:sz w:val="22"/>
          <w:szCs w:val="22"/>
        </w:rPr>
        <w:t>.</w:t>
      </w:r>
      <w:r w:rsidRPr="006678E6">
        <w:rPr>
          <w:rFonts w:ascii="Arial" w:hAnsi="Arial"/>
          <w:b/>
          <w:color w:val="FF00FF"/>
          <w:sz w:val="22"/>
          <w:szCs w:val="22"/>
        </w:rPr>
        <w:t xml:space="preserve"> </w:t>
      </w:r>
      <w:r w:rsidR="001218A5" w:rsidRPr="006678E6">
        <w:rPr>
          <w:rFonts w:ascii="Arial" w:hAnsi="Arial"/>
          <w:sz w:val="22"/>
          <w:szCs w:val="22"/>
        </w:rPr>
        <w:t>Both</w:t>
      </w:r>
      <w:r w:rsidR="001218A5" w:rsidRPr="006678E6">
        <w:rPr>
          <w:rFonts w:ascii="Arial" w:hAnsi="Arial"/>
          <w:b/>
          <w:color w:val="FF00FF"/>
          <w:sz w:val="22"/>
          <w:szCs w:val="22"/>
        </w:rPr>
        <w:t xml:space="preserve"> </w:t>
      </w:r>
      <w:r w:rsidR="003C3317">
        <w:rPr>
          <w:rFonts w:ascii="Arial" w:hAnsi="Arial"/>
          <w:sz w:val="22"/>
          <w:szCs w:val="22"/>
        </w:rPr>
        <w:t>PKU Easy Microtabs®</w:t>
      </w:r>
      <w:r w:rsidR="001218A5" w:rsidRPr="006678E6">
        <w:rPr>
          <w:rFonts w:ascii="Arial" w:hAnsi="Arial"/>
          <w:sz w:val="22"/>
          <w:szCs w:val="22"/>
        </w:rPr>
        <w:t xml:space="preserve"> and Phlexy-10</w:t>
      </w:r>
      <w:r w:rsidR="008A15E7">
        <w:rPr>
          <w:rFonts w:ascii="Arial" w:hAnsi="Arial"/>
          <w:sz w:val="22"/>
          <w:szCs w:val="22"/>
        </w:rPr>
        <w:t>®</w:t>
      </w:r>
      <w:r w:rsidR="001218A5" w:rsidRPr="006678E6">
        <w:rPr>
          <w:rFonts w:ascii="Arial" w:hAnsi="Arial"/>
          <w:sz w:val="22"/>
          <w:szCs w:val="22"/>
        </w:rPr>
        <w:t xml:space="preserve"> are tablets containing essential and non-essential amino acids, without phenylalanine.</w:t>
      </w:r>
    </w:p>
    <w:p w:rsidR="002654C1" w:rsidRDefault="002654C1" w:rsidP="002654C1">
      <w:pPr>
        <w:jc w:val="both"/>
        <w:rPr>
          <w:rFonts w:ascii="Arial" w:hAnsi="Arial"/>
          <w:sz w:val="22"/>
          <w:szCs w:val="22"/>
        </w:rPr>
      </w:pPr>
    </w:p>
    <w:p w:rsidR="002654C1" w:rsidRPr="002654C1" w:rsidRDefault="002654C1" w:rsidP="002654C1">
      <w:pPr>
        <w:jc w:val="both"/>
        <w:rPr>
          <w:rFonts w:ascii="Arial" w:hAnsi="Arial"/>
          <w:sz w:val="22"/>
          <w:szCs w:val="22"/>
        </w:rPr>
      </w:pPr>
    </w:p>
    <w:p w:rsidR="000B558D" w:rsidRDefault="002035DC" w:rsidP="002654C1">
      <w:pPr>
        <w:pStyle w:val="Heading1"/>
      </w:pPr>
      <w:r>
        <w:t xml:space="preserve">PBAC </w:t>
      </w:r>
      <w:r w:rsidR="008D7A41" w:rsidRPr="006678E6">
        <w:t>C</w:t>
      </w:r>
      <w:r w:rsidR="00D84934" w:rsidRPr="006678E6">
        <w:t>onsideration of the evidence</w:t>
      </w:r>
    </w:p>
    <w:p w:rsidR="006678E6" w:rsidRDefault="006678E6" w:rsidP="006678E6">
      <w:pPr>
        <w:jc w:val="both"/>
        <w:rPr>
          <w:rFonts w:ascii="Arial" w:hAnsi="Arial"/>
          <w:b/>
          <w:sz w:val="22"/>
          <w:szCs w:val="22"/>
          <w:highlight w:val="yellow"/>
        </w:rPr>
      </w:pPr>
    </w:p>
    <w:p w:rsidR="00796CD0" w:rsidRPr="002654C1" w:rsidRDefault="00796CD0" w:rsidP="002654C1">
      <w:pPr>
        <w:pStyle w:val="Heading2"/>
      </w:pPr>
      <w:r w:rsidRPr="002654C1">
        <w:t>Sponsor hearing</w:t>
      </w:r>
    </w:p>
    <w:p w:rsidR="00796CD0" w:rsidRPr="0049338F" w:rsidRDefault="00796CD0" w:rsidP="00796CD0">
      <w:pPr>
        <w:jc w:val="both"/>
        <w:rPr>
          <w:rFonts w:ascii="Arial" w:hAnsi="Arial"/>
          <w:b/>
          <w:sz w:val="22"/>
          <w:szCs w:val="22"/>
        </w:rPr>
      </w:pPr>
    </w:p>
    <w:p w:rsidR="00796CD0" w:rsidRPr="0049338F" w:rsidRDefault="00796CD0" w:rsidP="00796CD0">
      <w:pPr>
        <w:pStyle w:val="ListParagraph"/>
        <w:numPr>
          <w:ilvl w:val="1"/>
          <w:numId w:val="2"/>
        </w:numPr>
        <w:jc w:val="both"/>
        <w:rPr>
          <w:rFonts w:ascii="Arial" w:hAnsi="Arial"/>
          <w:b/>
          <w:sz w:val="22"/>
          <w:szCs w:val="22"/>
        </w:rPr>
      </w:pPr>
      <w:r w:rsidRPr="0049338F">
        <w:rPr>
          <w:rFonts w:ascii="Arial" w:hAnsi="Arial" w:cs="Arial"/>
          <w:bCs/>
          <w:snapToGrid w:val="0"/>
          <w:sz w:val="22"/>
          <w:szCs w:val="22"/>
        </w:rPr>
        <w:t>There was no hearing for this item as it was a minor submission.</w:t>
      </w:r>
    </w:p>
    <w:p w:rsidR="00796CD0" w:rsidRDefault="00796CD0" w:rsidP="00796CD0">
      <w:pPr>
        <w:jc w:val="both"/>
        <w:rPr>
          <w:rFonts w:ascii="Arial" w:hAnsi="Arial"/>
          <w:b/>
          <w:sz w:val="22"/>
          <w:szCs w:val="22"/>
        </w:rPr>
      </w:pPr>
    </w:p>
    <w:p w:rsidR="002654C1" w:rsidRPr="0049338F" w:rsidRDefault="002654C1" w:rsidP="00796CD0">
      <w:pPr>
        <w:jc w:val="both"/>
        <w:rPr>
          <w:rFonts w:ascii="Arial" w:hAnsi="Arial"/>
          <w:b/>
          <w:sz w:val="22"/>
          <w:szCs w:val="22"/>
        </w:rPr>
      </w:pPr>
    </w:p>
    <w:p w:rsidR="00796CD0" w:rsidRPr="0049338F" w:rsidRDefault="00796CD0" w:rsidP="002654C1">
      <w:pPr>
        <w:pStyle w:val="Heading2"/>
      </w:pPr>
      <w:r w:rsidRPr="0049338F">
        <w:t>Consumer comments</w:t>
      </w:r>
    </w:p>
    <w:p w:rsidR="00796CD0" w:rsidRPr="0049338F" w:rsidRDefault="00796CD0" w:rsidP="00796CD0">
      <w:pPr>
        <w:jc w:val="both"/>
        <w:rPr>
          <w:rFonts w:ascii="Arial" w:hAnsi="Arial"/>
          <w:b/>
          <w:sz w:val="22"/>
          <w:szCs w:val="22"/>
        </w:rPr>
      </w:pPr>
    </w:p>
    <w:p w:rsidR="00796CD0" w:rsidRPr="0049338F" w:rsidRDefault="00796CD0" w:rsidP="00796CD0">
      <w:pPr>
        <w:pStyle w:val="ListParagraph"/>
        <w:numPr>
          <w:ilvl w:val="1"/>
          <w:numId w:val="2"/>
        </w:numPr>
        <w:jc w:val="both"/>
        <w:rPr>
          <w:rFonts w:ascii="Arial" w:hAnsi="Arial"/>
          <w:b/>
          <w:sz w:val="22"/>
          <w:szCs w:val="22"/>
        </w:rPr>
      </w:pPr>
      <w:r w:rsidRPr="0049338F">
        <w:rPr>
          <w:rFonts w:ascii="Arial" w:hAnsi="Arial" w:cs="Arial"/>
          <w:bCs/>
          <w:snapToGrid w:val="0"/>
          <w:sz w:val="22"/>
          <w:szCs w:val="22"/>
        </w:rPr>
        <w:t>The PBAC noted that no consumer comments were received for this item</w:t>
      </w:r>
      <w:r w:rsidR="003C6E03">
        <w:rPr>
          <w:rFonts w:ascii="Arial" w:hAnsi="Arial" w:cs="Arial"/>
          <w:bCs/>
          <w:snapToGrid w:val="0"/>
          <w:sz w:val="22"/>
          <w:szCs w:val="22"/>
        </w:rPr>
        <w:t>.</w:t>
      </w:r>
    </w:p>
    <w:p w:rsidR="00BB7EC3" w:rsidRDefault="00BB7EC3" w:rsidP="00F9629A">
      <w:pPr>
        <w:jc w:val="both"/>
        <w:rPr>
          <w:rFonts w:ascii="Arial" w:hAnsi="Arial"/>
          <w:sz w:val="22"/>
          <w:szCs w:val="22"/>
        </w:rPr>
      </w:pPr>
    </w:p>
    <w:p w:rsidR="002654C1" w:rsidRDefault="002654C1" w:rsidP="00F9629A">
      <w:pPr>
        <w:jc w:val="both"/>
        <w:rPr>
          <w:rFonts w:ascii="Arial" w:hAnsi="Arial"/>
          <w:sz w:val="22"/>
          <w:szCs w:val="22"/>
        </w:rPr>
      </w:pPr>
    </w:p>
    <w:p w:rsidR="0076420C" w:rsidRPr="006678E6" w:rsidRDefault="00A5523B" w:rsidP="002654C1">
      <w:pPr>
        <w:pStyle w:val="Heading2"/>
      </w:pPr>
      <w:r>
        <w:t>Consideration of the evidence</w:t>
      </w:r>
    </w:p>
    <w:p w:rsidR="006220AC" w:rsidRPr="006678E6" w:rsidRDefault="006220AC" w:rsidP="007B37F8">
      <w:pPr>
        <w:jc w:val="both"/>
        <w:rPr>
          <w:rFonts w:ascii="Arial" w:hAnsi="Arial"/>
          <w:b/>
          <w:sz w:val="22"/>
          <w:szCs w:val="22"/>
        </w:rPr>
      </w:pPr>
    </w:p>
    <w:p w:rsidR="00A21DCE" w:rsidRDefault="006220AC" w:rsidP="001279C8">
      <w:pPr>
        <w:pStyle w:val="ListParagraph"/>
        <w:numPr>
          <w:ilvl w:val="1"/>
          <w:numId w:val="2"/>
        </w:numPr>
        <w:jc w:val="both"/>
        <w:rPr>
          <w:rFonts w:ascii="Arial" w:hAnsi="Arial" w:cs="Arial"/>
          <w:sz w:val="22"/>
          <w:szCs w:val="22"/>
        </w:rPr>
      </w:pPr>
      <w:bookmarkStart w:id="2" w:name="_ENREF_5"/>
      <w:r w:rsidRPr="006220AC">
        <w:rPr>
          <w:rFonts w:ascii="Arial" w:hAnsi="Arial" w:cs="Arial"/>
          <w:sz w:val="22"/>
          <w:szCs w:val="22"/>
        </w:rPr>
        <w:t xml:space="preserve">A clinical study compared the use of </w:t>
      </w:r>
      <w:r w:rsidR="003C3317">
        <w:rPr>
          <w:rFonts w:ascii="Arial" w:hAnsi="Arial" w:cs="Arial"/>
          <w:sz w:val="22"/>
          <w:szCs w:val="22"/>
        </w:rPr>
        <w:t>PKU Easy Microtabs®</w:t>
      </w:r>
      <w:r w:rsidRPr="006220AC">
        <w:rPr>
          <w:rFonts w:ascii="Arial" w:hAnsi="Arial" w:cs="Arial"/>
          <w:sz w:val="22"/>
          <w:szCs w:val="22"/>
        </w:rPr>
        <w:t xml:space="preserve"> (utilising a different brand available overseas) with conventional amino acid substitutes (i.e. the type used at baseline) in children with PKU (N=55), </w:t>
      </w:r>
      <w:proofErr w:type="spellStart"/>
      <w:r w:rsidRPr="006220AC">
        <w:rPr>
          <w:rFonts w:ascii="Arial" w:hAnsi="Arial" w:cs="Arial"/>
          <w:sz w:val="22"/>
          <w:szCs w:val="22"/>
        </w:rPr>
        <w:t>hyperphenylalaninemia</w:t>
      </w:r>
      <w:proofErr w:type="spellEnd"/>
      <w:r w:rsidRPr="006220AC">
        <w:rPr>
          <w:rFonts w:ascii="Arial" w:hAnsi="Arial" w:cs="Arial"/>
          <w:sz w:val="22"/>
          <w:szCs w:val="22"/>
        </w:rPr>
        <w:t xml:space="preserve"> (N=60) and unaffected subjects (N=60) (</w:t>
      </w:r>
      <w:proofErr w:type="spellStart"/>
      <w:r w:rsidRPr="006220AC">
        <w:rPr>
          <w:rFonts w:ascii="Arial" w:hAnsi="Arial" w:cs="Arial"/>
          <w:sz w:val="22"/>
          <w:szCs w:val="22"/>
        </w:rPr>
        <w:t>Giovannini</w:t>
      </w:r>
      <w:proofErr w:type="spellEnd"/>
      <w:r w:rsidRPr="006220AC">
        <w:rPr>
          <w:rFonts w:ascii="Arial" w:hAnsi="Arial" w:cs="Arial"/>
          <w:sz w:val="22"/>
          <w:szCs w:val="22"/>
        </w:rPr>
        <w:t>, M., Riva, E., et al. (2014). "Randomized controlled trial of a protein substitute with prolonged release on the protein status of children with phenylketonuria." Journal of the American College of Nutrition</w:t>
      </w:r>
      <w:r w:rsidRPr="008A15E7">
        <w:rPr>
          <w:rFonts w:ascii="Arial" w:hAnsi="Arial" w:cs="Arial"/>
          <w:sz w:val="22"/>
          <w:szCs w:val="22"/>
        </w:rPr>
        <w:t xml:space="preserve"> 332</w:t>
      </w:r>
      <w:r w:rsidRPr="006220AC">
        <w:rPr>
          <w:rFonts w:ascii="Arial" w:hAnsi="Arial" w:cs="Arial"/>
          <w:sz w:val="22"/>
          <w:szCs w:val="22"/>
        </w:rPr>
        <w:t>: 103-110.</w:t>
      </w:r>
      <w:bookmarkEnd w:id="2"/>
      <w:r w:rsidRPr="006220AC">
        <w:rPr>
          <w:rFonts w:ascii="Arial" w:hAnsi="Arial" w:cs="Arial"/>
          <w:sz w:val="22"/>
          <w:szCs w:val="22"/>
        </w:rPr>
        <w:t>)</w:t>
      </w:r>
      <w:r w:rsidR="001279C8">
        <w:rPr>
          <w:rFonts w:ascii="Arial" w:hAnsi="Arial" w:cs="Arial"/>
          <w:sz w:val="22"/>
          <w:szCs w:val="22"/>
        </w:rPr>
        <w:t>.</w:t>
      </w:r>
    </w:p>
    <w:p w:rsidR="001279C8" w:rsidRPr="001279C8" w:rsidRDefault="001279C8" w:rsidP="001279C8">
      <w:pPr>
        <w:pStyle w:val="ListParagraph"/>
        <w:jc w:val="both"/>
        <w:rPr>
          <w:rFonts w:ascii="Arial" w:hAnsi="Arial" w:cs="Arial"/>
          <w:sz w:val="22"/>
          <w:szCs w:val="22"/>
        </w:rPr>
      </w:pPr>
    </w:p>
    <w:p w:rsidR="006C5818" w:rsidRDefault="006C5818" w:rsidP="006678E6">
      <w:pPr>
        <w:pStyle w:val="Caption"/>
        <w:ind w:left="720" w:firstLine="0"/>
        <w:jc w:val="left"/>
        <w:rPr>
          <w:rFonts w:ascii="Arial Narrow" w:hAnsi="Arial Narrow"/>
        </w:rPr>
      </w:pPr>
      <w:r w:rsidRPr="00E30B11">
        <w:rPr>
          <w:rFonts w:ascii="Arial Narrow" w:hAnsi="Arial Narrow"/>
        </w:rPr>
        <w:t xml:space="preserve">Table </w:t>
      </w:r>
      <w:r w:rsidRPr="00E30B11">
        <w:rPr>
          <w:rFonts w:ascii="Arial Narrow" w:hAnsi="Arial Narrow"/>
          <w:noProof/>
        </w:rPr>
        <w:t>1</w:t>
      </w:r>
      <w:r w:rsidRPr="00E30B11">
        <w:rPr>
          <w:rFonts w:ascii="Arial Narrow" w:hAnsi="Arial Narrow"/>
        </w:rPr>
        <w:t>: Protein status and phenylalanine levels in children receiving slow release or conventional amino acid substitute at baseline and end of trial</w:t>
      </w:r>
    </w:p>
    <w:tbl>
      <w:tblPr>
        <w:tblStyle w:val="TableGrid"/>
        <w:tblW w:w="0" w:type="auto"/>
        <w:tblInd w:w="817" w:type="dxa"/>
        <w:tblLook w:val="04A0" w:firstRow="1" w:lastRow="0" w:firstColumn="1" w:lastColumn="0" w:noHBand="0" w:noVBand="1"/>
        <w:tblCaption w:val="Summary of clinical trial evidence"/>
        <w:tblDescription w:val="Table 1: Protein status and phenylalanine levels in children receiving slow release or conventional amino acid substitute at baseline and end of trial"/>
      </w:tblPr>
      <w:tblGrid>
        <w:gridCol w:w="2122"/>
        <w:gridCol w:w="2268"/>
        <w:gridCol w:w="2126"/>
        <w:gridCol w:w="1134"/>
      </w:tblGrid>
      <w:tr w:rsidR="006C5818" w:rsidRPr="00E30B11" w:rsidTr="00EB44D2">
        <w:trPr>
          <w:tblHeader/>
        </w:trPr>
        <w:tc>
          <w:tcPr>
            <w:tcW w:w="2122" w:type="dxa"/>
            <w:vMerge w:val="restart"/>
            <w:shd w:val="clear" w:color="auto" w:fill="auto"/>
          </w:tcPr>
          <w:p w:rsidR="006C5818" w:rsidRPr="00E30B11" w:rsidRDefault="006C5818" w:rsidP="00B9484A">
            <w:pPr>
              <w:pStyle w:val="PBStable"/>
              <w:rPr>
                <w:b/>
                <w:sz w:val="20"/>
              </w:rPr>
            </w:pPr>
            <w:r w:rsidRPr="00E30B11">
              <w:rPr>
                <w:b/>
                <w:sz w:val="20"/>
              </w:rPr>
              <w:t>Variable</w:t>
            </w:r>
          </w:p>
        </w:tc>
        <w:tc>
          <w:tcPr>
            <w:tcW w:w="4394" w:type="dxa"/>
            <w:gridSpan w:val="2"/>
            <w:shd w:val="clear" w:color="auto" w:fill="auto"/>
          </w:tcPr>
          <w:p w:rsidR="006C5818" w:rsidRPr="00E30B11" w:rsidRDefault="006C5818" w:rsidP="00B9484A">
            <w:pPr>
              <w:pStyle w:val="PBStable"/>
              <w:jc w:val="center"/>
              <w:rPr>
                <w:b/>
                <w:sz w:val="20"/>
              </w:rPr>
            </w:pPr>
            <w:r w:rsidRPr="00E30B11">
              <w:rPr>
                <w:b/>
                <w:sz w:val="20"/>
              </w:rPr>
              <w:t>Children with PKU</w:t>
            </w:r>
          </w:p>
        </w:tc>
        <w:tc>
          <w:tcPr>
            <w:tcW w:w="1134" w:type="dxa"/>
            <w:vMerge w:val="restart"/>
            <w:shd w:val="clear" w:color="auto" w:fill="auto"/>
          </w:tcPr>
          <w:p w:rsidR="006C5818" w:rsidRPr="00E30B11" w:rsidRDefault="006C5818" w:rsidP="00B9484A">
            <w:pPr>
              <w:pStyle w:val="PBStable"/>
              <w:rPr>
                <w:b/>
                <w:sz w:val="20"/>
              </w:rPr>
            </w:pPr>
            <w:r w:rsidRPr="00E30B11">
              <w:rPr>
                <w:b/>
                <w:sz w:val="20"/>
              </w:rPr>
              <w:t>P value</w:t>
            </w:r>
            <w:r w:rsidRPr="00E30B11">
              <w:rPr>
                <w:b/>
                <w:sz w:val="20"/>
                <w:vertAlign w:val="superscript"/>
              </w:rPr>
              <w:t>+</w:t>
            </w:r>
          </w:p>
        </w:tc>
      </w:tr>
      <w:tr w:rsidR="006C5818" w:rsidRPr="00E30B11" w:rsidTr="00EB44D2">
        <w:trPr>
          <w:tblHeader/>
        </w:trPr>
        <w:tc>
          <w:tcPr>
            <w:tcW w:w="2122" w:type="dxa"/>
            <w:vMerge/>
            <w:tcBorders>
              <w:bottom w:val="single" w:sz="4" w:space="0" w:color="auto"/>
            </w:tcBorders>
            <w:shd w:val="clear" w:color="auto" w:fill="auto"/>
          </w:tcPr>
          <w:p w:rsidR="006C5818" w:rsidRPr="00E30B11" w:rsidRDefault="006C5818" w:rsidP="00B9484A">
            <w:pPr>
              <w:pStyle w:val="PBStable"/>
              <w:rPr>
                <w:b/>
                <w:sz w:val="20"/>
              </w:rPr>
            </w:pPr>
          </w:p>
        </w:tc>
        <w:tc>
          <w:tcPr>
            <w:tcW w:w="2268" w:type="dxa"/>
            <w:tcBorders>
              <w:bottom w:val="single" w:sz="4" w:space="0" w:color="auto"/>
            </w:tcBorders>
            <w:shd w:val="clear" w:color="auto" w:fill="auto"/>
          </w:tcPr>
          <w:p w:rsidR="006C5818" w:rsidRPr="00E30B11" w:rsidRDefault="006C5818" w:rsidP="00B9484A">
            <w:pPr>
              <w:pStyle w:val="PBStable"/>
              <w:jc w:val="left"/>
              <w:rPr>
                <w:b/>
                <w:sz w:val="20"/>
              </w:rPr>
            </w:pPr>
            <w:r w:rsidRPr="00E30B11">
              <w:rPr>
                <w:b/>
                <w:sz w:val="20"/>
              </w:rPr>
              <w:t>Slow-release substitute (N=27)</w:t>
            </w:r>
          </w:p>
        </w:tc>
        <w:tc>
          <w:tcPr>
            <w:tcW w:w="2126" w:type="dxa"/>
            <w:tcBorders>
              <w:bottom w:val="single" w:sz="4" w:space="0" w:color="auto"/>
            </w:tcBorders>
            <w:shd w:val="clear" w:color="auto" w:fill="auto"/>
          </w:tcPr>
          <w:p w:rsidR="006C5818" w:rsidRPr="00E30B11" w:rsidRDefault="006C5818" w:rsidP="00B9484A">
            <w:pPr>
              <w:pStyle w:val="PBStable"/>
              <w:jc w:val="left"/>
              <w:rPr>
                <w:b/>
                <w:sz w:val="20"/>
              </w:rPr>
            </w:pPr>
            <w:r w:rsidRPr="00E30B11">
              <w:rPr>
                <w:b/>
                <w:sz w:val="20"/>
              </w:rPr>
              <w:t>Conventional substitute</w:t>
            </w:r>
          </w:p>
          <w:p w:rsidR="006C5818" w:rsidRPr="00E30B11" w:rsidRDefault="006C5818" w:rsidP="00B9484A">
            <w:pPr>
              <w:pStyle w:val="PBStable"/>
              <w:jc w:val="left"/>
              <w:rPr>
                <w:b/>
                <w:sz w:val="20"/>
              </w:rPr>
            </w:pPr>
            <w:r w:rsidRPr="00E30B11">
              <w:rPr>
                <w:b/>
                <w:sz w:val="20"/>
              </w:rPr>
              <w:t>(N=28)</w:t>
            </w:r>
          </w:p>
        </w:tc>
        <w:tc>
          <w:tcPr>
            <w:tcW w:w="1134" w:type="dxa"/>
            <w:vMerge/>
            <w:tcBorders>
              <w:bottom w:val="single" w:sz="4" w:space="0" w:color="auto"/>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bottom w:val="nil"/>
            </w:tcBorders>
            <w:shd w:val="clear" w:color="auto" w:fill="auto"/>
          </w:tcPr>
          <w:p w:rsidR="006C5818" w:rsidRPr="00E30B11" w:rsidRDefault="006C5818" w:rsidP="00B9484A">
            <w:pPr>
              <w:pStyle w:val="PBStable"/>
              <w:rPr>
                <w:b/>
                <w:sz w:val="20"/>
              </w:rPr>
            </w:pPr>
            <w:r w:rsidRPr="00E30B11">
              <w:rPr>
                <w:b/>
                <w:sz w:val="20"/>
              </w:rPr>
              <w:t>Protein status:</w:t>
            </w:r>
          </w:p>
        </w:tc>
        <w:tc>
          <w:tcPr>
            <w:tcW w:w="2268" w:type="dxa"/>
            <w:tcBorders>
              <w:bottom w:val="nil"/>
            </w:tcBorders>
            <w:shd w:val="clear" w:color="auto" w:fill="auto"/>
          </w:tcPr>
          <w:p w:rsidR="006C5818" w:rsidRPr="00E30B11" w:rsidRDefault="006C5818" w:rsidP="00B9484A">
            <w:pPr>
              <w:pStyle w:val="PBStable"/>
              <w:rPr>
                <w:b/>
                <w:sz w:val="20"/>
              </w:rPr>
            </w:pPr>
          </w:p>
        </w:tc>
        <w:tc>
          <w:tcPr>
            <w:tcW w:w="2126" w:type="dxa"/>
            <w:tcBorders>
              <w:bottom w:val="nil"/>
            </w:tcBorders>
            <w:shd w:val="clear" w:color="auto" w:fill="auto"/>
          </w:tcPr>
          <w:p w:rsidR="006C5818" w:rsidRPr="00E30B11" w:rsidRDefault="006C5818" w:rsidP="00B9484A">
            <w:pPr>
              <w:pStyle w:val="PBStable"/>
              <w:rPr>
                <w:b/>
                <w:sz w:val="20"/>
              </w:rPr>
            </w:pPr>
          </w:p>
        </w:tc>
        <w:tc>
          <w:tcPr>
            <w:tcW w:w="1134" w:type="dxa"/>
            <w:tcBorders>
              <w:bottom w:val="nil"/>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bottom w:val="nil"/>
            </w:tcBorders>
            <w:shd w:val="clear" w:color="auto" w:fill="auto"/>
          </w:tcPr>
          <w:p w:rsidR="006C5818" w:rsidRPr="00E30B11" w:rsidRDefault="006C5818" w:rsidP="00B9484A">
            <w:pPr>
              <w:pStyle w:val="PBStable"/>
              <w:rPr>
                <w:b/>
                <w:sz w:val="20"/>
              </w:rPr>
            </w:pPr>
            <w:r w:rsidRPr="00E30B11">
              <w:rPr>
                <w:b/>
                <w:sz w:val="20"/>
              </w:rPr>
              <w:t>Albumin (g/</w:t>
            </w:r>
            <w:proofErr w:type="spellStart"/>
            <w:r w:rsidRPr="00E30B11">
              <w:rPr>
                <w:b/>
                <w:sz w:val="20"/>
              </w:rPr>
              <w:t>dL</w:t>
            </w:r>
            <w:proofErr w:type="spellEnd"/>
            <w:r w:rsidRPr="00E30B11">
              <w:rPr>
                <w:b/>
                <w:sz w:val="20"/>
              </w:rPr>
              <w:t>)</w:t>
            </w:r>
          </w:p>
        </w:tc>
        <w:tc>
          <w:tcPr>
            <w:tcW w:w="2268" w:type="dxa"/>
            <w:tcBorders>
              <w:bottom w:val="nil"/>
            </w:tcBorders>
            <w:shd w:val="clear" w:color="auto" w:fill="auto"/>
          </w:tcPr>
          <w:p w:rsidR="006C5818" w:rsidRPr="00E30B11" w:rsidRDefault="006C5818" w:rsidP="00B9484A">
            <w:pPr>
              <w:pStyle w:val="PBStable"/>
              <w:rPr>
                <w:b/>
                <w:sz w:val="20"/>
              </w:rPr>
            </w:pPr>
          </w:p>
        </w:tc>
        <w:tc>
          <w:tcPr>
            <w:tcW w:w="2126" w:type="dxa"/>
            <w:tcBorders>
              <w:bottom w:val="nil"/>
            </w:tcBorders>
            <w:shd w:val="clear" w:color="auto" w:fill="auto"/>
          </w:tcPr>
          <w:p w:rsidR="006C5818" w:rsidRPr="00E30B11" w:rsidRDefault="006C5818" w:rsidP="00B9484A">
            <w:pPr>
              <w:pStyle w:val="PBStable"/>
              <w:rPr>
                <w:b/>
                <w:sz w:val="20"/>
              </w:rPr>
            </w:pPr>
          </w:p>
        </w:tc>
        <w:tc>
          <w:tcPr>
            <w:tcW w:w="1134" w:type="dxa"/>
            <w:tcBorders>
              <w:bottom w:val="nil"/>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Baseline</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4.5 (0.2)</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4.5 (0.2)</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0.885</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End of study</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4.6 (0.2)</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4.5 (0.2)</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0.334</w:t>
            </w:r>
          </w:p>
        </w:tc>
      </w:tr>
      <w:tr w:rsidR="006C5818" w:rsidRPr="00E30B11" w:rsidTr="006678E6">
        <w:tc>
          <w:tcPr>
            <w:tcW w:w="2122" w:type="dxa"/>
            <w:tcBorders>
              <w:top w:val="nil"/>
              <w:bottom w:val="single" w:sz="4" w:space="0" w:color="auto"/>
            </w:tcBorders>
            <w:shd w:val="clear" w:color="auto" w:fill="auto"/>
          </w:tcPr>
          <w:p w:rsidR="006C5818" w:rsidRPr="00E30B11" w:rsidRDefault="006C5818" w:rsidP="00B9484A">
            <w:pPr>
              <w:pStyle w:val="PBStable"/>
              <w:ind w:left="171"/>
              <w:rPr>
                <w:sz w:val="20"/>
              </w:rPr>
            </w:pPr>
            <w:r w:rsidRPr="00E30B11">
              <w:rPr>
                <w:sz w:val="20"/>
              </w:rPr>
              <w:t>P value</w:t>
            </w:r>
            <w:r w:rsidRPr="00E30B11">
              <w:rPr>
                <w:sz w:val="20"/>
                <w:vertAlign w:val="superscript"/>
              </w:rPr>
              <w:t>‡</w:t>
            </w:r>
          </w:p>
        </w:tc>
        <w:tc>
          <w:tcPr>
            <w:tcW w:w="2268"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0.068</w:t>
            </w:r>
          </w:p>
        </w:tc>
        <w:tc>
          <w:tcPr>
            <w:tcW w:w="2126"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0.537</w:t>
            </w:r>
          </w:p>
        </w:tc>
        <w:tc>
          <w:tcPr>
            <w:tcW w:w="1134" w:type="dxa"/>
            <w:tcBorders>
              <w:top w:val="nil"/>
              <w:bottom w:val="single" w:sz="4" w:space="0" w:color="auto"/>
            </w:tcBorders>
            <w:shd w:val="clear" w:color="auto" w:fill="auto"/>
          </w:tcPr>
          <w:p w:rsidR="006C5818" w:rsidRPr="00E30B11" w:rsidRDefault="006C5818" w:rsidP="00B9484A">
            <w:pPr>
              <w:pStyle w:val="PBStable"/>
              <w:rPr>
                <w:sz w:val="20"/>
              </w:rPr>
            </w:pPr>
          </w:p>
        </w:tc>
      </w:tr>
      <w:tr w:rsidR="006C5818" w:rsidRPr="00E30B11" w:rsidTr="006678E6">
        <w:tc>
          <w:tcPr>
            <w:tcW w:w="2122" w:type="dxa"/>
            <w:tcBorders>
              <w:bottom w:val="nil"/>
            </w:tcBorders>
            <w:shd w:val="clear" w:color="auto" w:fill="auto"/>
          </w:tcPr>
          <w:p w:rsidR="006C5818" w:rsidRPr="00E30B11" w:rsidRDefault="006C5818" w:rsidP="00B9484A">
            <w:pPr>
              <w:pStyle w:val="PBStable"/>
              <w:rPr>
                <w:b/>
                <w:sz w:val="20"/>
              </w:rPr>
            </w:pPr>
            <w:r w:rsidRPr="00E30B11">
              <w:rPr>
                <w:b/>
                <w:sz w:val="20"/>
              </w:rPr>
              <w:t>Transthyretin (mg/</w:t>
            </w:r>
            <w:proofErr w:type="spellStart"/>
            <w:r w:rsidRPr="00E30B11">
              <w:rPr>
                <w:b/>
                <w:sz w:val="20"/>
              </w:rPr>
              <w:t>dL</w:t>
            </w:r>
            <w:proofErr w:type="spellEnd"/>
            <w:r w:rsidRPr="00E30B11">
              <w:rPr>
                <w:b/>
                <w:sz w:val="20"/>
              </w:rPr>
              <w:t>)</w:t>
            </w:r>
          </w:p>
        </w:tc>
        <w:tc>
          <w:tcPr>
            <w:tcW w:w="2268" w:type="dxa"/>
            <w:tcBorders>
              <w:bottom w:val="nil"/>
            </w:tcBorders>
            <w:shd w:val="clear" w:color="auto" w:fill="auto"/>
          </w:tcPr>
          <w:p w:rsidR="006C5818" w:rsidRPr="00E30B11" w:rsidRDefault="006C5818" w:rsidP="00B9484A">
            <w:pPr>
              <w:pStyle w:val="PBStable"/>
              <w:rPr>
                <w:b/>
                <w:sz w:val="20"/>
              </w:rPr>
            </w:pPr>
          </w:p>
        </w:tc>
        <w:tc>
          <w:tcPr>
            <w:tcW w:w="2126" w:type="dxa"/>
            <w:tcBorders>
              <w:bottom w:val="nil"/>
            </w:tcBorders>
            <w:shd w:val="clear" w:color="auto" w:fill="auto"/>
          </w:tcPr>
          <w:p w:rsidR="006C5818" w:rsidRPr="00E30B11" w:rsidRDefault="006C5818" w:rsidP="00B9484A">
            <w:pPr>
              <w:pStyle w:val="PBStable"/>
              <w:rPr>
                <w:b/>
                <w:sz w:val="20"/>
              </w:rPr>
            </w:pPr>
          </w:p>
        </w:tc>
        <w:tc>
          <w:tcPr>
            <w:tcW w:w="1134" w:type="dxa"/>
            <w:tcBorders>
              <w:bottom w:val="nil"/>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Baseline</w:t>
            </w:r>
          </w:p>
        </w:tc>
        <w:tc>
          <w:tcPr>
            <w:tcW w:w="2268"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19.1 (6.4)</w:t>
            </w:r>
          </w:p>
        </w:tc>
        <w:tc>
          <w:tcPr>
            <w:tcW w:w="2126"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19.0 (6.3)</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0.986</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End of study</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20.7 (6.8)</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19.2 (6.0)</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0.385</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Mean change (95% CI)</w:t>
            </w:r>
          </w:p>
        </w:tc>
        <w:tc>
          <w:tcPr>
            <w:tcW w:w="2268" w:type="dxa"/>
            <w:tcBorders>
              <w:top w:val="nil"/>
              <w:bottom w:val="nil"/>
            </w:tcBorders>
            <w:shd w:val="clear" w:color="auto" w:fill="auto"/>
          </w:tcPr>
          <w:p w:rsidR="006C5818" w:rsidRPr="00E30B11" w:rsidRDefault="006C5818" w:rsidP="00B9484A">
            <w:pPr>
              <w:pStyle w:val="PBStable"/>
              <w:rPr>
                <w:b/>
                <w:sz w:val="20"/>
              </w:rPr>
            </w:pPr>
            <w:r w:rsidRPr="00E30B11">
              <w:rPr>
                <w:b/>
                <w:sz w:val="20"/>
              </w:rPr>
              <w:t>1.6 (0.4, 2.8)</w:t>
            </w:r>
          </w:p>
        </w:tc>
        <w:tc>
          <w:tcPr>
            <w:tcW w:w="2126" w:type="dxa"/>
            <w:tcBorders>
              <w:top w:val="nil"/>
              <w:bottom w:val="nil"/>
            </w:tcBorders>
            <w:shd w:val="clear" w:color="auto" w:fill="auto"/>
          </w:tcPr>
          <w:p w:rsidR="006C5818" w:rsidRPr="00E30B11" w:rsidRDefault="006C5818" w:rsidP="00B9484A">
            <w:pPr>
              <w:pStyle w:val="PBStable"/>
              <w:rPr>
                <w:sz w:val="20"/>
              </w:rPr>
            </w:pPr>
          </w:p>
        </w:tc>
        <w:tc>
          <w:tcPr>
            <w:tcW w:w="1134" w:type="dxa"/>
            <w:tcBorders>
              <w:top w:val="nil"/>
              <w:bottom w:val="nil"/>
            </w:tcBorders>
            <w:shd w:val="clear" w:color="auto" w:fill="auto"/>
          </w:tcPr>
          <w:p w:rsidR="006C5818" w:rsidRPr="00E30B11" w:rsidRDefault="006C5818" w:rsidP="00B9484A">
            <w:pPr>
              <w:pStyle w:val="PBStable"/>
              <w:rPr>
                <w:sz w:val="20"/>
              </w:rPr>
            </w:pPr>
          </w:p>
        </w:tc>
      </w:tr>
      <w:tr w:rsidR="006C5818" w:rsidRPr="00E30B11" w:rsidTr="006678E6">
        <w:tc>
          <w:tcPr>
            <w:tcW w:w="2122" w:type="dxa"/>
            <w:tcBorders>
              <w:top w:val="nil"/>
              <w:bottom w:val="single" w:sz="4" w:space="0" w:color="auto"/>
            </w:tcBorders>
            <w:shd w:val="clear" w:color="auto" w:fill="auto"/>
          </w:tcPr>
          <w:p w:rsidR="006C5818" w:rsidRPr="00E30B11" w:rsidRDefault="006C5818" w:rsidP="00B9484A">
            <w:pPr>
              <w:pStyle w:val="PBStable"/>
              <w:ind w:left="171"/>
              <w:rPr>
                <w:sz w:val="20"/>
              </w:rPr>
            </w:pPr>
            <w:r w:rsidRPr="00E30B11">
              <w:rPr>
                <w:sz w:val="20"/>
              </w:rPr>
              <w:t>P value</w:t>
            </w:r>
            <w:r w:rsidRPr="00E30B11">
              <w:rPr>
                <w:sz w:val="20"/>
                <w:vertAlign w:val="superscript"/>
              </w:rPr>
              <w:t>‡</w:t>
            </w:r>
          </w:p>
        </w:tc>
        <w:tc>
          <w:tcPr>
            <w:tcW w:w="2268" w:type="dxa"/>
            <w:tcBorders>
              <w:top w:val="nil"/>
              <w:bottom w:val="single" w:sz="4" w:space="0" w:color="auto"/>
            </w:tcBorders>
            <w:shd w:val="clear" w:color="auto" w:fill="auto"/>
          </w:tcPr>
          <w:p w:rsidR="006C5818" w:rsidRPr="00E30B11" w:rsidRDefault="006C5818" w:rsidP="00B9484A">
            <w:pPr>
              <w:pStyle w:val="PBStable"/>
              <w:rPr>
                <w:b/>
                <w:sz w:val="20"/>
              </w:rPr>
            </w:pPr>
            <w:r w:rsidRPr="00E30B11">
              <w:rPr>
                <w:b/>
                <w:sz w:val="20"/>
              </w:rPr>
              <w:t>0.017*</w:t>
            </w:r>
          </w:p>
        </w:tc>
        <w:tc>
          <w:tcPr>
            <w:tcW w:w="2126"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0.350</w:t>
            </w:r>
          </w:p>
        </w:tc>
        <w:tc>
          <w:tcPr>
            <w:tcW w:w="1134" w:type="dxa"/>
            <w:tcBorders>
              <w:top w:val="nil"/>
              <w:bottom w:val="single" w:sz="4" w:space="0" w:color="auto"/>
            </w:tcBorders>
            <w:shd w:val="clear" w:color="auto" w:fill="auto"/>
          </w:tcPr>
          <w:p w:rsidR="006C5818" w:rsidRPr="00E30B11" w:rsidRDefault="006C5818" w:rsidP="00B9484A">
            <w:pPr>
              <w:pStyle w:val="PBStable"/>
              <w:rPr>
                <w:sz w:val="20"/>
              </w:rPr>
            </w:pPr>
          </w:p>
        </w:tc>
      </w:tr>
      <w:tr w:rsidR="006C5818" w:rsidRPr="00E30B11" w:rsidTr="006678E6">
        <w:tc>
          <w:tcPr>
            <w:tcW w:w="2122" w:type="dxa"/>
            <w:tcBorders>
              <w:bottom w:val="nil"/>
            </w:tcBorders>
            <w:shd w:val="clear" w:color="auto" w:fill="auto"/>
          </w:tcPr>
          <w:p w:rsidR="006C5818" w:rsidRPr="00E30B11" w:rsidRDefault="006C5818" w:rsidP="00B9484A">
            <w:pPr>
              <w:pStyle w:val="PBStable"/>
              <w:rPr>
                <w:b/>
                <w:sz w:val="20"/>
              </w:rPr>
            </w:pPr>
            <w:r w:rsidRPr="00E30B11">
              <w:rPr>
                <w:b/>
                <w:sz w:val="20"/>
              </w:rPr>
              <w:t>RBP (mg/L)</w:t>
            </w:r>
          </w:p>
        </w:tc>
        <w:tc>
          <w:tcPr>
            <w:tcW w:w="2268" w:type="dxa"/>
            <w:tcBorders>
              <w:bottom w:val="nil"/>
            </w:tcBorders>
            <w:shd w:val="clear" w:color="auto" w:fill="auto"/>
          </w:tcPr>
          <w:p w:rsidR="006C5818" w:rsidRPr="00E30B11" w:rsidRDefault="006C5818" w:rsidP="00B9484A">
            <w:pPr>
              <w:pStyle w:val="PBStable"/>
              <w:rPr>
                <w:b/>
                <w:sz w:val="20"/>
              </w:rPr>
            </w:pPr>
          </w:p>
        </w:tc>
        <w:tc>
          <w:tcPr>
            <w:tcW w:w="2126" w:type="dxa"/>
            <w:tcBorders>
              <w:bottom w:val="nil"/>
            </w:tcBorders>
            <w:shd w:val="clear" w:color="auto" w:fill="auto"/>
          </w:tcPr>
          <w:p w:rsidR="006C5818" w:rsidRPr="00E30B11" w:rsidRDefault="006C5818" w:rsidP="00B9484A">
            <w:pPr>
              <w:pStyle w:val="PBStable"/>
              <w:rPr>
                <w:b/>
                <w:sz w:val="20"/>
              </w:rPr>
            </w:pPr>
          </w:p>
        </w:tc>
        <w:tc>
          <w:tcPr>
            <w:tcW w:w="1134" w:type="dxa"/>
            <w:tcBorders>
              <w:bottom w:val="nil"/>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Baseline</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25.6 (10.0)</w:t>
            </w:r>
          </w:p>
        </w:tc>
        <w:tc>
          <w:tcPr>
            <w:tcW w:w="2126"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25.6 (9.5)</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0.997</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End of study</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26.1 (10.1)</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25.5 (8.7)</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0.856</w:t>
            </w:r>
          </w:p>
        </w:tc>
      </w:tr>
      <w:tr w:rsidR="006C5818" w:rsidRPr="00E30B11" w:rsidTr="006678E6">
        <w:tc>
          <w:tcPr>
            <w:tcW w:w="2122" w:type="dxa"/>
            <w:tcBorders>
              <w:top w:val="nil"/>
              <w:bottom w:val="single" w:sz="4" w:space="0" w:color="auto"/>
            </w:tcBorders>
            <w:shd w:val="clear" w:color="auto" w:fill="auto"/>
          </w:tcPr>
          <w:p w:rsidR="006C5818" w:rsidRPr="00E30B11" w:rsidRDefault="006C5818" w:rsidP="00B9484A">
            <w:pPr>
              <w:pStyle w:val="PBStable"/>
              <w:ind w:left="171"/>
              <w:rPr>
                <w:sz w:val="20"/>
              </w:rPr>
            </w:pPr>
            <w:r w:rsidRPr="00E30B11">
              <w:rPr>
                <w:sz w:val="20"/>
              </w:rPr>
              <w:t>P value</w:t>
            </w:r>
            <w:r w:rsidRPr="00E30B11">
              <w:rPr>
                <w:sz w:val="20"/>
                <w:vertAlign w:val="superscript"/>
              </w:rPr>
              <w:t>‡</w:t>
            </w:r>
          </w:p>
        </w:tc>
        <w:tc>
          <w:tcPr>
            <w:tcW w:w="2268"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0.167</w:t>
            </w:r>
          </w:p>
        </w:tc>
        <w:tc>
          <w:tcPr>
            <w:tcW w:w="2126"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0.926</w:t>
            </w:r>
          </w:p>
        </w:tc>
        <w:tc>
          <w:tcPr>
            <w:tcW w:w="1134" w:type="dxa"/>
            <w:tcBorders>
              <w:top w:val="nil"/>
              <w:bottom w:val="single" w:sz="4" w:space="0" w:color="auto"/>
            </w:tcBorders>
            <w:shd w:val="clear" w:color="auto" w:fill="auto"/>
          </w:tcPr>
          <w:p w:rsidR="006C5818" w:rsidRPr="00E30B11" w:rsidRDefault="006C5818" w:rsidP="00B9484A">
            <w:pPr>
              <w:pStyle w:val="PBStable"/>
              <w:rPr>
                <w:sz w:val="20"/>
              </w:rPr>
            </w:pPr>
          </w:p>
        </w:tc>
      </w:tr>
      <w:tr w:rsidR="006C5818" w:rsidRPr="00E30B11" w:rsidTr="006678E6">
        <w:tc>
          <w:tcPr>
            <w:tcW w:w="2122" w:type="dxa"/>
            <w:tcBorders>
              <w:bottom w:val="nil"/>
            </w:tcBorders>
            <w:shd w:val="clear" w:color="auto" w:fill="auto"/>
          </w:tcPr>
          <w:p w:rsidR="006C5818" w:rsidRPr="00E30B11" w:rsidRDefault="006C5818" w:rsidP="00B9484A">
            <w:pPr>
              <w:pStyle w:val="PBStable"/>
              <w:rPr>
                <w:b/>
                <w:sz w:val="20"/>
              </w:rPr>
            </w:pPr>
            <w:r w:rsidRPr="00E30B11">
              <w:rPr>
                <w:b/>
                <w:sz w:val="20"/>
              </w:rPr>
              <w:lastRenderedPageBreak/>
              <w:t>AA ratio</w:t>
            </w:r>
          </w:p>
        </w:tc>
        <w:tc>
          <w:tcPr>
            <w:tcW w:w="2268" w:type="dxa"/>
            <w:tcBorders>
              <w:bottom w:val="nil"/>
            </w:tcBorders>
            <w:shd w:val="clear" w:color="auto" w:fill="auto"/>
          </w:tcPr>
          <w:p w:rsidR="006C5818" w:rsidRPr="00E30B11" w:rsidRDefault="006C5818" w:rsidP="00B9484A">
            <w:pPr>
              <w:pStyle w:val="PBStable"/>
              <w:rPr>
                <w:b/>
                <w:sz w:val="20"/>
              </w:rPr>
            </w:pPr>
          </w:p>
        </w:tc>
        <w:tc>
          <w:tcPr>
            <w:tcW w:w="2126" w:type="dxa"/>
            <w:tcBorders>
              <w:bottom w:val="nil"/>
            </w:tcBorders>
            <w:shd w:val="clear" w:color="auto" w:fill="auto"/>
          </w:tcPr>
          <w:p w:rsidR="006C5818" w:rsidRPr="00E30B11" w:rsidRDefault="006C5818" w:rsidP="00B9484A">
            <w:pPr>
              <w:pStyle w:val="PBStable"/>
              <w:rPr>
                <w:b/>
                <w:sz w:val="20"/>
              </w:rPr>
            </w:pPr>
          </w:p>
        </w:tc>
        <w:tc>
          <w:tcPr>
            <w:tcW w:w="1134" w:type="dxa"/>
            <w:tcBorders>
              <w:bottom w:val="nil"/>
            </w:tcBorders>
            <w:shd w:val="clear" w:color="auto" w:fill="auto"/>
          </w:tcPr>
          <w:p w:rsidR="006C5818" w:rsidRPr="00E30B11" w:rsidRDefault="006C5818" w:rsidP="00B9484A">
            <w:pPr>
              <w:pStyle w:val="PBStable"/>
              <w:rPr>
                <w:b/>
                <w:sz w:val="20"/>
              </w:rPr>
            </w:pP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Baseline</w:t>
            </w:r>
          </w:p>
        </w:tc>
        <w:tc>
          <w:tcPr>
            <w:tcW w:w="2268"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2.6 (0.9)</w:t>
            </w:r>
          </w:p>
        </w:tc>
        <w:tc>
          <w:tcPr>
            <w:tcW w:w="2126"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2.6 (0.8)</w:t>
            </w:r>
          </w:p>
        </w:tc>
        <w:tc>
          <w:tcPr>
            <w:tcW w:w="1134"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0.897</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End of study</w:t>
            </w:r>
          </w:p>
        </w:tc>
        <w:tc>
          <w:tcPr>
            <w:tcW w:w="2268" w:type="dxa"/>
            <w:tcBorders>
              <w:top w:val="nil"/>
              <w:bottom w:val="nil"/>
            </w:tcBorders>
            <w:shd w:val="clear" w:color="auto" w:fill="auto"/>
          </w:tcPr>
          <w:p w:rsidR="006C5818" w:rsidRPr="00E30B11" w:rsidRDefault="006C5818" w:rsidP="00B9484A">
            <w:pPr>
              <w:pStyle w:val="PBSNormal"/>
              <w:spacing w:before="40" w:after="40" w:line="240" w:lineRule="auto"/>
              <w:rPr>
                <w:rFonts w:ascii="Arial Narrow" w:hAnsi="Arial Narrow"/>
                <w:sz w:val="20"/>
              </w:rPr>
            </w:pPr>
            <w:r w:rsidRPr="00E30B11">
              <w:rPr>
                <w:rFonts w:ascii="Arial Narrow" w:hAnsi="Arial Narrow"/>
                <w:sz w:val="20"/>
              </w:rPr>
              <w:t>2.7 (0.8)</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2.6 (0.8)</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0.588</w:t>
            </w:r>
          </w:p>
        </w:tc>
      </w:tr>
      <w:tr w:rsidR="006C5818" w:rsidRPr="00E30B11" w:rsidTr="00F4300C">
        <w:tc>
          <w:tcPr>
            <w:tcW w:w="2122" w:type="dxa"/>
            <w:tcBorders>
              <w:top w:val="nil"/>
              <w:bottom w:val="single" w:sz="4" w:space="0" w:color="auto"/>
            </w:tcBorders>
            <w:shd w:val="clear" w:color="auto" w:fill="auto"/>
          </w:tcPr>
          <w:p w:rsidR="006C5818" w:rsidRPr="00E30B11" w:rsidRDefault="006C5818" w:rsidP="00B9484A">
            <w:pPr>
              <w:pStyle w:val="PBStable"/>
              <w:ind w:left="171"/>
              <w:rPr>
                <w:sz w:val="20"/>
              </w:rPr>
            </w:pPr>
            <w:r w:rsidRPr="00E30B11">
              <w:rPr>
                <w:sz w:val="20"/>
              </w:rPr>
              <w:t>P value</w:t>
            </w:r>
            <w:r w:rsidRPr="00E30B11">
              <w:rPr>
                <w:sz w:val="20"/>
                <w:vertAlign w:val="superscript"/>
              </w:rPr>
              <w:t>‡</w:t>
            </w:r>
          </w:p>
        </w:tc>
        <w:tc>
          <w:tcPr>
            <w:tcW w:w="2268"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0.536</w:t>
            </w:r>
          </w:p>
        </w:tc>
        <w:tc>
          <w:tcPr>
            <w:tcW w:w="2126" w:type="dxa"/>
            <w:tcBorders>
              <w:top w:val="nil"/>
              <w:bottom w:val="single" w:sz="4" w:space="0" w:color="auto"/>
            </w:tcBorders>
            <w:shd w:val="clear" w:color="auto" w:fill="auto"/>
          </w:tcPr>
          <w:p w:rsidR="006C5818" w:rsidRPr="00E30B11" w:rsidRDefault="006C5818" w:rsidP="00B9484A">
            <w:pPr>
              <w:pStyle w:val="PBStable"/>
              <w:rPr>
                <w:sz w:val="20"/>
              </w:rPr>
            </w:pPr>
            <w:r w:rsidRPr="00E30B11">
              <w:rPr>
                <w:sz w:val="20"/>
              </w:rPr>
              <w:t>0.945</w:t>
            </w:r>
          </w:p>
        </w:tc>
        <w:tc>
          <w:tcPr>
            <w:tcW w:w="1134" w:type="dxa"/>
            <w:tcBorders>
              <w:top w:val="nil"/>
              <w:bottom w:val="single" w:sz="4" w:space="0" w:color="auto"/>
            </w:tcBorders>
            <w:shd w:val="clear" w:color="auto" w:fill="auto"/>
          </w:tcPr>
          <w:p w:rsidR="006C5818" w:rsidRPr="00E30B11" w:rsidRDefault="006C5818" w:rsidP="00B9484A">
            <w:pPr>
              <w:pStyle w:val="PBStable"/>
              <w:rPr>
                <w:sz w:val="20"/>
              </w:rPr>
            </w:pPr>
          </w:p>
        </w:tc>
      </w:tr>
      <w:tr w:rsidR="006C5818" w:rsidRPr="00E30B11" w:rsidTr="00F4300C">
        <w:tc>
          <w:tcPr>
            <w:tcW w:w="7650" w:type="dxa"/>
            <w:gridSpan w:val="4"/>
            <w:tcBorders>
              <w:bottom w:val="single" w:sz="4" w:space="0" w:color="auto"/>
            </w:tcBorders>
            <w:shd w:val="clear" w:color="auto" w:fill="auto"/>
          </w:tcPr>
          <w:p w:rsidR="006C5818" w:rsidRPr="00E30B11" w:rsidRDefault="006C5818" w:rsidP="00B9484A">
            <w:pPr>
              <w:pStyle w:val="PBStable"/>
              <w:rPr>
                <w:b/>
                <w:sz w:val="20"/>
              </w:rPr>
            </w:pPr>
            <w:r w:rsidRPr="00E30B11">
              <w:rPr>
                <w:b/>
                <w:sz w:val="20"/>
              </w:rPr>
              <w:t>Phenylalanine, mean plasma concentration (SD), mg/</w:t>
            </w:r>
            <w:proofErr w:type="spellStart"/>
            <w:r w:rsidRPr="00E30B11">
              <w:rPr>
                <w:b/>
                <w:sz w:val="20"/>
              </w:rPr>
              <w:t>dL</w:t>
            </w:r>
            <w:proofErr w:type="spellEnd"/>
            <w:r w:rsidRPr="00E30B11">
              <w:rPr>
                <w:b/>
                <w:sz w:val="20"/>
              </w:rPr>
              <w:t xml:space="preserve"> &amp; </w:t>
            </w:r>
            <w:r w:rsidRPr="00E30B11">
              <w:rPr>
                <w:b/>
                <w:sz w:val="20"/>
              </w:rPr>
              <w:sym w:font="Symbol" w:char="F06D"/>
            </w:r>
            <w:proofErr w:type="spellStart"/>
            <w:r w:rsidRPr="00E30B11">
              <w:rPr>
                <w:b/>
                <w:sz w:val="20"/>
              </w:rPr>
              <w:t>mol</w:t>
            </w:r>
            <w:proofErr w:type="spellEnd"/>
            <w:r w:rsidRPr="00E30B11">
              <w:rPr>
                <w:b/>
                <w:sz w:val="20"/>
              </w:rPr>
              <w:t>/L</w:t>
            </w:r>
            <w:r w:rsidRPr="00E30B11">
              <w:rPr>
                <w:b/>
                <w:sz w:val="20"/>
                <w:vertAlign w:val="superscript"/>
              </w:rPr>
              <w:sym w:font="Symbol" w:char="F061"/>
            </w:r>
            <w:r w:rsidRPr="00E30B11">
              <w:rPr>
                <w:b/>
                <w:sz w:val="20"/>
              </w:rPr>
              <w:t>:</w:t>
            </w:r>
          </w:p>
        </w:tc>
      </w:tr>
      <w:tr w:rsidR="006C5818" w:rsidRPr="00E30B11" w:rsidTr="00F4300C">
        <w:tc>
          <w:tcPr>
            <w:tcW w:w="2122" w:type="dxa"/>
            <w:tcBorders>
              <w:top w:val="single" w:sz="4" w:space="0" w:color="auto"/>
              <w:bottom w:val="nil"/>
            </w:tcBorders>
            <w:shd w:val="clear" w:color="auto" w:fill="auto"/>
          </w:tcPr>
          <w:p w:rsidR="006C5818" w:rsidRPr="00E30B11" w:rsidRDefault="006C5818" w:rsidP="00B9484A">
            <w:pPr>
              <w:pStyle w:val="PBStable"/>
              <w:ind w:left="171"/>
              <w:rPr>
                <w:sz w:val="20"/>
              </w:rPr>
            </w:pPr>
            <w:r w:rsidRPr="00E30B11">
              <w:rPr>
                <w:sz w:val="20"/>
              </w:rPr>
              <w:t>Baseline</w:t>
            </w:r>
          </w:p>
        </w:tc>
        <w:tc>
          <w:tcPr>
            <w:tcW w:w="2268" w:type="dxa"/>
            <w:tcBorders>
              <w:top w:val="single" w:sz="4" w:space="0" w:color="auto"/>
              <w:bottom w:val="nil"/>
            </w:tcBorders>
            <w:shd w:val="clear" w:color="auto" w:fill="auto"/>
          </w:tcPr>
          <w:p w:rsidR="006C5818" w:rsidRPr="00E30B11" w:rsidRDefault="006C5818" w:rsidP="00B9484A">
            <w:pPr>
              <w:pStyle w:val="PBStable"/>
              <w:rPr>
                <w:sz w:val="20"/>
              </w:rPr>
            </w:pPr>
            <w:r w:rsidRPr="00E30B11">
              <w:rPr>
                <w:sz w:val="20"/>
              </w:rPr>
              <w:t>6.22 (5.4) mg/</w:t>
            </w:r>
            <w:proofErr w:type="spellStart"/>
            <w:r w:rsidRPr="00E30B11">
              <w:rPr>
                <w:sz w:val="20"/>
              </w:rPr>
              <w:t>dL</w:t>
            </w:r>
            <w:proofErr w:type="spellEnd"/>
          </w:p>
          <w:p w:rsidR="006C5818" w:rsidRPr="00E30B11" w:rsidRDefault="006C5818" w:rsidP="00B9484A">
            <w:pPr>
              <w:pStyle w:val="PBStable"/>
              <w:rPr>
                <w:sz w:val="20"/>
              </w:rPr>
            </w:pPr>
            <w:r w:rsidRPr="00E30B11">
              <w:rPr>
                <w:sz w:val="20"/>
              </w:rPr>
              <w:t xml:space="preserve">377 (327) </w:t>
            </w:r>
            <w:r w:rsidRPr="00E30B11">
              <w:rPr>
                <w:sz w:val="20"/>
              </w:rPr>
              <w:sym w:font="Symbol" w:char="F06D"/>
            </w:r>
            <w:proofErr w:type="spellStart"/>
            <w:r w:rsidRPr="00E30B11">
              <w:rPr>
                <w:sz w:val="20"/>
              </w:rPr>
              <w:t>mol</w:t>
            </w:r>
            <w:proofErr w:type="spellEnd"/>
            <w:r w:rsidRPr="00E30B11">
              <w:rPr>
                <w:sz w:val="20"/>
              </w:rPr>
              <w:t>/L</w:t>
            </w:r>
          </w:p>
        </w:tc>
        <w:tc>
          <w:tcPr>
            <w:tcW w:w="2126" w:type="dxa"/>
            <w:tcBorders>
              <w:top w:val="single" w:sz="4" w:space="0" w:color="auto"/>
              <w:bottom w:val="nil"/>
            </w:tcBorders>
            <w:shd w:val="clear" w:color="auto" w:fill="auto"/>
          </w:tcPr>
          <w:p w:rsidR="006C5818" w:rsidRPr="00E30B11" w:rsidRDefault="006C5818" w:rsidP="00B9484A">
            <w:pPr>
              <w:pStyle w:val="PBStable"/>
              <w:rPr>
                <w:sz w:val="20"/>
              </w:rPr>
            </w:pPr>
            <w:r w:rsidRPr="00E30B11">
              <w:rPr>
                <w:sz w:val="20"/>
              </w:rPr>
              <w:t>5.96 (5.02) mg/</w:t>
            </w:r>
            <w:proofErr w:type="spellStart"/>
            <w:r w:rsidRPr="00E30B11">
              <w:rPr>
                <w:sz w:val="20"/>
              </w:rPr>
              <w:t>dL</w:t>
            </w:r>
            <w:proofErr w:type="spellEnd"/>
          </w:p>
          <w:p w:rsidR="006C5818" w:rsidRPr="00E30B11" w:rsidRDefault="006C5818" w:rsidP="00B9484A">
            <w:pPr>
              <w:pStyle w:val="PBStable"/>
              <w:rPr>
                <w:sz w:val="20"/>
              </w:rPr>
            </w:pPr>
            <w:r w:rsidRPr="00E30B11">
              <w:rPr>
                <w:sz w:val="20"/>
              </w:rPr>
              <w:t xml:space="preserve">361 (304) </w:t>
            </w:r>
            <w:r w:rsidRPr="00E30B11">
              <w:rPr>
                <w:sz w:val="20"/>
              </w:rPr>
              <w:sym w:font="Symbol" w:char="F06D"/>
            </w:r>
            <w:proofErr w:type="spellStart"/>
            <w:r w:rsidRPr="00E30B11">
              <w:rPr>
                <w:sz w:val="20"/>
              </w:rPr>
              <w:t>mol</w:t>
            </w:r>
            <w:proofErr w:type="spellEnd"/>
            <w:r w:rsidRPr="00E30B11">
              <w:rPr>
                <w:sz w:val="20"/>
              </w:rPr>
              <w:t>/L</w:t>
            </w:r>
          </w:p>
        </w:tc>
        <w:tc>
          <w:tcPr>
            <w:tcW w:w="1134" w:type="dxa"/>
            <w:tcBorders>
              <w:top w:val="single" w:sz="4" w:space="0" w:color="auto"/>
              <w:bottom w:val="nil"/>
            </w:tcBorders>
            <w:shd w:val="clear" w:color="auto" w:fill="auto"/>
          </w:tcPr>
          <w:p w:rsidR="006C5818" w:rsidRPr="00E30B11" w:rsidRDefault="006C5818" w:rsidP="00B9484A">
            <w:pPr>
              <w:pStyle w:val="PBStable"/>
              <w:rPr>
                <w:sz w:val="20"/>
              </w:rPr>
            </w:pPr>
            <w:r w:rsidRPr="00E30B11">
              <w:rPr>
                <w:sz w:val="20"/>
              </w:rPr>
              <w:t>0.887</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End of study</w:t>
            </w:r>
          </w:p>
        </w:tc>
        <w:tc>
          <w:tcPr>
            <w:tcW w:w="2268" w:type="dxa"/>
            <w:tcBorders>
              <w:top w:val="nil"/>
              <w:bottom w:val="nil"/>
            </w:tcBorders>
            <w:shd w:val="clear" w:color="auto" w:fill="auto"/>
          </w:tcPr>
          <w:p w:rsidR="006C5818" w:rsidRPr="00E30B11" w:rsidRDefault="006C5818" w:rsidP="00B9484A">
            <w:pPr>
              <w:pStyle w:val="PBStable"/>
              <w:rPr>
                <w:sz w:val="20"/>
              </w:rPr>
            </w:pPr>
            <w:r w:rsidRPr="00E30B11">
              <w:rPr>
                <w:sz w:val="20"/>
              </w:rPr>
              <w:t>4.47 (4.08) mg/</w:t>
            </w:r>
            <w:proofErr w:type="spellStart"/>
            <w:r w:rsidRPr="00E30B11">
              <w:rPr>
                <w:sz w:val="20"/>
              </w:rPr>
              <w:t>dL</w:t>
            </w:r>
            <w:proofErr w:type="spellEnd"/>
          </w:p>
          <w:p w:rsidR="006C5818" w:rsidRPr="00E30B11" w:rsidRDefault="006C5818" w:rsidP="00B9484A">
            <w:pPr>
              <w:pStyle w:val="PBStable"/>
              <w:rPr>
                <w:sz w:val="20"/>
              </w:rPr>
            </w:pPr>
            <w:r w:rsidRPr="00E30B11">
              <w:rPr>
                <w:sz w:val="20"/>
              </w:rPr>
              <w:t xml:space="preserve">270 (247) </w:t>
            </w:r>
            <w:r w:rsidRPr="00E30B11">
              <w:rPr>
                <w:sz w:val="20"/>
              </w:rPr>
              <w:sym w:font="Symbol" w:char="F06D"/>
            </w:r>
            <w:proofErr w:type="spellStart"/>
            <w:r w:rsidRPr="00E30B11">
              <w:rPr>
                <w:sz w:val="20"/>
              </w:rPr>
              <w:t>mol</w:t>
            </w:r>
            <w:proofErr w:type="spellEnd"/>
            <w:r w:rsidRPr="00E30B11">
              <w:rPr>
                <w:sz w:val="20"/>
              </w:rPr>
              <w:t>/L</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5.56 (4.92) mg/</w:t>
            </w:r>
            <w:proofErr w:type="spellStart"/>
            <w:r w:rsidRPr="00E30B11">
              <w:rPr>
                <w:sz w:val="20"/>
              </w:rPr>
              <w:t>dL</w:t>
            </w:r>
            <w:proofErr w:type="spellEnd"/>
          </w:p>
          <w:p w:rsidR="006C5818" w:rsidRPr="00E30B11" w:rsidRDefault="006C5818" w:rsidP="00B9484A">
            <w:pPr>
              <w:pStyle w:val="PBStable"/>
              <w:rPr>
                <w:sz w:val="20"/>
              </w:rPr>
            </w:pPr>
            <w:r w:rsidRPr="00E30B11">
              <w:rPr>
                <w:sz w:val="20"/>
              </w:rPr>
              <w:t xml:space="preserve">337 (298) </w:t>
            </w:r>
            <w:r w:rsidRPr="00E30B11">
              <w:rPr>
                <w:sz w:val="20"/>
              </w:rPr>
              <w:sym w:font="Symbol" w:char="F06D"/>
            </w:r>
            <w:proofErr w:type="spellStart"/>
            <w:r w:rsidRPr="00E30B11">
              <w:rPr>
                <w:sz w:val="20"/>
              </w:rPr>
              <w:t>mol</w:t>
            </w:r>
            <w:proofErr w:type="spellEnd"/>
            <w:r w:rsidRPr="00E30B11">
              <w:rPr>
                <w:sz w:val="20"/>
              </w:rPr>
              <w:t>/L</w:t>
            </w:r>
          </w:p>
        </w:tc>
        <w:tc>
          <w:tcPr>
            <w:tcW w:w="1134" w:type="dxa"/>
            <w:tcBorders>
              <w:top w:val="nil"/>
              <w:bottom w:val="nil"/>
            </w:tcBorders>
            <w:shd w:val="clear" w:color="auto" w:fill="auto"/>
          </w:tcPr>
          <w:p w:rsidR="006C5818" w:rsidRPr="00E30B11" w:rsidRDefault="006C5818" w:rsidP="00B9484A">
            <w:pPr>
              <w:pStyle w:val="PBStable"/>
              <w:rPr>
                <w:sz w:val="20"/>
              </w:rPr>
            </w:pPr>
            <w:r w:rsidRPr="00E30B11">
              <w:rPr>
                <w:sz w:val="20"/>
              </w:rPr>
              <w:t>0.183</w:t>
            </w:r>
          </w:p>
        </w:tc>
      </w:tr>
      <w:tr w:rsidR="006C5818" w:rsidRPr="00E30B11" w:rsidTr="006678E6">
        <w:tc>
          <w:tcPr>
            <w:tcW w:w="2122" w:type="dxa"/>
            <w:tcBorders>
              <w:top w:val="nil"/>
              <w:bottom w:val="nil"/>
            </w:tcBorders>
            <w:shd w:val="clear" w:color="auto" w:fill="auto"/>
          </w:tcPr>
          <w:p w:rsidR="006C5818" w:rsidRPr="00E30B11" w:rsidRDefault="006C5818" w:rsidP="00B9484A">
            <w:pPr>
              <w:pStyle w:val="PBStable"/>
              <w:ind w:left="171"/>
              <w:rPr>
                <w:sz w:val="20"/>
              </w:rPr>
            </w:pPr>
            <w:r w:rsidRPr="00E30B11">
              <w:rPr>
                <w:sz w:val="20"/>
              </w:rPr>
              <w:t>Mean change (95% CI)</w:t>
            </w:r>
          </w:p>
        </w:tc>
        <w:tc>
          <w:tcPr>
            <w:tcW w:w="2268" w:type="dxa"/>
            <w:tcBorders>
              <w:top w:val="nil"/>
              <w:bottom w:val="nil"/>
            </w:tcBorders>
            <w:shd w:val="clear" w:color="auto" w:fill="auto"/>
          </w:tcPr>
          <w:p w:rsidR="006C5818" w:rsidRPr="00E30B11" w:rsidRDefault="006C5818" w:rsidP="00B9484A">
            <w:pPr>
              <w:pStyle w:val="PBStable"/>
              <w:rPr>
                <w:b/>
                <w:sz w:val="20"/>
              </w:rPr>
            </w:pPr>
            <w:r w:rsidRPr="00E30B11">
              <w:rPr>
                <w:b/>
                <w:sz w:val="20"/>
              </w:rPr>
              <w:t>-1.75 (-3.34, -0.16) mg/</w:t>
            </w:r>
            <w:proofErr w:type="spellStart"/>
            <w:r w:rsidRPr="00E30B11">
              <w:rPr>
                <w:b/>
                <w:sz w:val="20"/>
              </w:rPr>
              <w:t>dL</w:t>
            </w:r>
            <w:proofErr w:type="spellEnd"/>
          </w:p>
          <w:p w:rsidR="006C5818" w:rsidRPr="00E30B11" w:rsidRDefault="006C5818" w:rsidP="00B9484A">
            <w:pPr>
              <w:pStyle w:val="PBStable"/>
              <w:rPr>
                <w:b/>
                <w:sz w:val="20"/>
              </w:rPr>
            </w:pPr>
            <w:r w:rsidRPr="00E30B11">
              <w:rPr>
                <w:b/>
                <w:sz w:val="20"/>
              </w:rPr>
              <w:t xml:space="preserve">-106 (-60, -10) </w:t>
            </w:r>
            <w:r w:rsidRPr="00E30B11">
              <w:rPr>
                <w:b/>
                <w:sz w:val="20"/>
              </w:rPr>
              <w:sym w:font="Symbol" w:char="F06D"/>
            </w:r>
            <w:proofErr w:type="spellStart"/>
            <w:r w:rsidRPr="00E30B11">
              <w:rPr>
                <w:b/>
                <w:sz w:val="20"/>
              </w:rPr>
              <w:t>mol</w:t>
            </w:r>
            <w:proofErr w:type="spellEnd"/>
            <w:r w:rsidRPr="00E30B11">
              <w:rPr>
                <w:b/>
                <w:sz w:val="20"/>
              </w:rPr>
              <w:t>/L</w:t>
            </w:r>
          </w:p>
        </w:tc>
        <w:tc>
          <w:tcPr>
            <w:tcW w:w="2126" w:type="dxa"/>
            <w:tcBorders>
              <w:top w:val="nil"/>
              <w:bottom w:val="nil"/>
            </w:tcBorders>
            <w:shd w:val="clear" w:color="auto" w:fill="auto"/>
          </w:tcPr>
          <w:p w:rsidR="006C5818" w:rsidRPr="00E30B11" w:rsidRDefault="006C5818" w:rsidP="00B9484A">
            <w:pPr>
              <w:pStyle w:val="PBStable"/>
              <w:rPr>
                <w:sz w:val="20"/>
              </w:rPr>
            </w:pPr>
            <w:r w:rsidRPr="00E30B11">
              <w:rPr>
                <w:sz w:val="20"/>
              </w:rPr>
              <w:t>-0.40 (-2.11, 1.31) mg/</w:t>
            </w:r>
            <w:proofErr w:type="spellStart"/>
            <w:r w:rsidRPr="00E30B11">
              <w:rPr>
                <w:sz w:val="20"/>
              </w:rPr>
              <w:t>dL</w:t>
            </w:r>
            <w:proofErr w:type="spellEnd"/>
          </w:p>
          <w:p w:rsidR="006C5818" w:rsidRPr="00E30B11" w:rsidRDefault="006C5818" w:rsidP="00B9484A">
            <w:pPr>
              <w:pStyle w:val="PBStable"/>
              <w:rPr>
                <w:sz w:val="20"/>
              </w:rPr>
            </w:pPr>
            <w:r w:rsidRPr="00E30B11">
              <w:rPr>
                <w:sz w:val="20"/>
              </w:rPr>
              <w:t xml:space="preserve">-24 (-128, 79) </w:t>
            </w:r>
            <w:r w:rsidRPr="00E30B11">
              <w:rPr>
                <w:sz w:val="20"/>
              </w:rPr>
              <w:sym w:font="Symbol" w:char="F06D"/>
            </w:r>
            <w:proofErr w:type="spellStart"/>
            <w:r w:rsidRPr="00E30B11">
              <w:rPr>
                <w:sz w:val="20"/>
              </w:rPr>
              <w:t>mol</w:t>
            </w:r>
            <w:proofErr w:type="spellEnd"/>
            <w:r w:rsidRPr="00E30B11">
              <w:rPr>
                <w:sz w:val="20"/>
              </w:rPr>
              <w:t>/L</w:t>
            </w:r>
          </w:p>
        </w:tc>
        <w:tc>
          <w:tcPr>
            <w:tcW w:w="1134" w:type="dxa"/>
            <w:tcBorders>
              <w:top w:val="nil"/>
              <w:bottom w:val="nil"/>
            </w:tcBorders>
            <w:shd w:val="clear" w:color="auto" w:fill="auto"/>
          </w:tcPr>
          <w:p w:rsidR="006C5818" w:rsidRPr="00E30B11" w:rsidRDefault="006C5818" w:rsidP="00B9484A">
            <w:pPr>
              <w:pStyle w:val="PBStable"/>
              <w:rPr>
                <w:sz w:val="20"/>
              </w:rPr>
            </w:pPr>
          </w:p>
        </w:tc>
      </w:tr>
      <w:tr w:rsidR="006C5818" w:rsidRPr="00E30B11" w:rsidTr="006678E6">
        <w:tc>
          <w:tcPr>
            <w:tcW w:w="2122" w:type="dxa"/>
            <w:tcBorders>
              <w:top w:val="nil"/>
            </w:tcBorders>
            <w:shd w:val="clear" w:color="auto" w:fill="auto"/>
          </w:tcPr>
          <w:p w:rsidR="006C5818" w:rsidRPr="00E30B11" w:rsidRDefault="006C5818" w:rsidP="00B9484A">
            <w:pPr>
              <w:pStyle w:val="PBStable"/>
              <w:ind w:left="171"/>
              <w:rPr>
                <w:sz w:val="20"/>
              </w:rPr>
            </w:pPr>
            <w:r w:rsidRPr="00E30B11">
              <w:rPr>
                <w:sz w:val="20"/>
              </w:rPr>
              <w:t>P value</w:t>
            </w:r>
          </w:p>
        </w:tc>
        <w:tc>
          <w:tcPr>
            <w:tcW w:w="2268" w:type="dxa"/>
            <w:tcBorders>
              <w:top w:val="nil"/>
            </w:tcBorders>
            <w:shd w:val="clear" w:color="auto" w:fill="auto"/>
          </w:tcPr>
          <w:p w:rsidR="006C5818" w:rsidRPr="00E30B11" w:rsidRDefault="006C5818" w:rsidP="00B9484A">
            <w:pPr>
              <w:pStyle w:val="PBStable"/>
              <w:rPr>
                <w:sz w:val="20"/>
              </w:rPr>
            </w:pPr>
            <w:r w:rsidRPr="00E30B11">
              <w:rPr>
                <w:sz w:val="20"/>
              </w:rPr>
              <w:t>NR</w:t>
            </w:r>
          </w:p>
        </w:tc>
        <w:tc>
          <w:tcPr>
            <w:tcW w:w="2126" w:type="dxa"/>
            <w:tcBorders>
              <w:top w:val="nil"/>
            </w:tcBorders>
            <w:shd w:val="clear" w:color="auto" w:fill="auto"/>
          </w:tcPr>
          <w:p w:rsidR="006C5818" w:rsidRPr="00E30B11" w:rsidRDefault="006C5818" w:rsidP="00B9484A">
            <w:pPr>
              <w:pStyle w:val="PBStable"/>
              <w:rPr>
                <w:sz w:val="20"/>
              </w:rPr>
            </w:pPr>
            <w:r w:rsidRPr="00E30B11">
              <w:rPr>
                <w:sz w:val="20"/>
              </w:rPr>
              <w:t>NR</w:t>
            </w:r>
          </w:p>
        </w:tc>
        <w:tc>
          <w:tcPr>
            <w:tcW w:w="1134" w:type="dxa"/>
            <w:tcBorders>
              <w:top w:val="nil"/>
            </w:tcBorders>
            <w:shd w:val="clear" w:color="auto" w:fill="auto"/>
          </w:tcPr>
          <w:p w:rsidR="006C5818" w:rsidRPr="00E30B11" w:rsidRDefault="006C5818" w:rsidP="00B9484A">
            <w:pPr>
              <w:pStyle w:val="PBStable"/>
              <w:rPr>
                <w:sz w:val="20"/>
              </w:rPr>
            </w:pPr>
          </w:p>
        </w:tc>
      </w:tr>
    </w:tbl>
    <w:p w:rsidR="00152B77" w:rsidRPr="006678E6" w:rsidRDefault="00152B77" w:rsidP="006678E6">
      <w:pPr>
        <w:pStyle w:val="tablenotes"/>
        <w:ind w:firstLine="720"/>
        <w:rPr>
          <w:rFonts w:ascii="Arial Narrow" w:hAnsi="Arial Narrow"/>
          <w:sz w:val="18"/>
        </w:rPr>
      </w:pPr>
      <w:r w:rsidRPr="006678E6">
        <w:rPr>
          <w:rFonts w:ascii="Arial Narrow" w:hAnsi="Arial Narrow"/>
          <w:sz w:val="18"/>
        </w:rPr>
        <w:t>Source: table B.2-1 of the submission, page 21</w:t>
      </w:r>
    </w:p>
    <w:p w:rsidR="006C5818" w:rsidRPr="006678E6" w:rsidRDefault="006C5818" w:rsidP="00152B77">
      <w:pPr>
        <w:pStyle w:val="tablenotes"/>
        <w:ind w:firstLine="720"/>
        <w:rPr>
          <w:rFonts w:ascii="Arial Narrow" w:hAnsi="Arial Narrow"/>
          <w:sz w:val="18"/>
        </w:rPr>
      </w:pPr>
      <w:r w:rsidRPr="006678E6">
        <w:rPr>
          <w:rFonts w:ascii="Arial Narrow" w:hAnsi="Arial Narrow"/>
          <w:sz w:val="18"/>
        </w:rPr>
        <w:t xml:space="preserve">AA = nonessential to essential amino acids ratio, NR = not reported, PKU = phenylketonuria, </w:t>
      </w:r>
    </w:p>
    <w:p w:rsidR="006C5818" w:rsidRPr="006678E6" w:rsidRDefault="006C5818" w:rsidP="006C5818">
      <w:pPr>
        <w:pStyle w:val="tablenotes"/>
        <w:ind w:firstLine="720"/>
        <w:rPr>
          <w:rFonts w:ascii="Arial Narrow" w:hAnsi="Arial Narrow"/>
          <w:sz w:val="18"/>
        </w:rPr>
      </w:pPr>
      <w:r w:rsidRPr="006678E6">
        <w:rPr>
          <w:rFonts w:ascii="Arial Narrow" w:hAnsi="Arial Narrow"/>
          <w:sz w:val="18"/>
        </w:rPr>
        <w:t>RBP = retinol-binding protein. Values are means (SD).</w:t>
      </w:r>
    </w:p>
    <w:p w:rsidR="006C5818" w:rsidRPr="006678E6" w:rsidRDefault="006C5818" w:rsidP="006C5818">
      <w:pPr>
        <w:pStyle w:val="tablenotes"/>
        <w:ind w:left="720"/>
        <w:rPr>
          <w:rFonts w:ascii="Arial Narrow" w:hAnsi="Arial Narrow"/>
          <w:sz w:val="18"/>
        </w:rPr>
      </w:pPr>
      <w:r w:rsidRPr="006678E6">
        <w:rPr>
          <w:rFonts w:ascii="Arial Narrow" w:hAnsi="Arial Narrow"/>
          <w:sz w:val="18"/>
        </w:rPr>
        <w:t>+ Significance of between-group difference (independent samples t</w:t>
      </w:r>
      <w:r w:rsidR="009A5212" w:rsidRPr="006678E6">
        <w:rPr>
          <w:rFonts w:ascii="Arial Narrow" w:hAnsi="Arial Narrow"/>
          <w:sz w:val="18"/>
        </w:rPr>
        <w:t>-</w:t>
      </w:r>
      <w:r w:rsidRPr="006678E6">
        <w:rPr>
          <w:rFonts w:ascii="Arial Narrow" w:hAnsi="Arial Narrow"/>
          <w:sz w:val="18"/>
        </w:rPr>
        <w:t>test or Mann-Whitney test).</w:t>
      </w:r>
    </w:p>
    <w:p w:rsidR="006C5818" w:rsidRPr="006678E6" w:rsidRDefault="006C5818" w:rsidP="006C5818">
      <w:pPr>
        <w:pStyle w:val="tablenotes"/>
        <w:ind w:firstLine="720"/>
        <w:rPr>
          <w:rFonts w:ascii="Arial Narrow" w:hAnsi="Arial Narrow"/>
          <w:sz w:val="18"/>
        </w:rPr>
      </w:pPr>
      <w:r w:rsidRPr="006678E6">
        <w:rPr>
          <w:rFonts w:ascii="Arial Narrow" w:hAnsi="Arial Narrow"/>
          <w:sz w:val="18"/>
          <w:vertAlign w:val="superscript"/>
        </w:rPr>
        <w:t xml:space="preserve">‡ </w:t>
      </w:r>
      <w:r w:rsidRPr="006678E6">
        <w:rPr>
          <w:rFonts w:ascii="Arial Narrow" w:hAnsi="Arial Narrow"/>
          <w:sz w:val="18"/>
        </w:rPr>
        <w:t xml:space="preserve">Significance of within-group difference (paired samples </w:t>
      </w:r>
      <w:proofErr w:type="spellStart"/>
      <w:r w:rsidRPr="006678E6">
        <w:rPr>
          <w:rFonts w:ascii="Arial Narrow" w:hAnsi="Arial Narrow"/>
          <w:sz w:val="18"/>
        </w:rPr>
        <w:t>t</w:t>
      </w:r>
      <w:proofErr w:type="spellEnd"/>
      <w:r w:rsidRPr="006678E6">
        <w:rPr>
          <w:rFonts w:ascii="Arial Narrow" w:hAnsi="Arial Narrow"/>
          <w:sz w:val="18"/>
        </w:rPr>
        <w:t xml:space="preserve"> test or Wilcoxon test).</w:t>
      </w:r>
    </w:p>
    <w:p w:rsidR="006C5818" w:rsidRPr="006678E6" w:rsidRDefault="006C5818" w:rsidP="006C5818">
      <w:pPr>
        <w:pStyle w:val="tablenotes"/>
        <w:ind w:firstLine="720"/>
        <w:jc w:val="left"/>
        <w:rPr>
          <w:rFonts w:ascii="Arial Narrow" w:hAnsi="Arial Narrow"/>
          <w:sz w:val="18"/>
        </w:rPr>
      </w:pPr>
      <w:r w:rsidRPr="006678E6">
        <w:rPr>
          <w:rFonts w:ascii="Arial Narrow" w:hAnsi="Arial Narrow"/>
          <w:sz w:val="18"/>
        </w:rPr>
        <w:sym w:font="Symbol" w:char="F061"/>
      </w:r>
      <w:r w:rsidRPr="006678E6">
        <w:rPr>
          <w:rFonts w:ascii="Arial Narrow" w:hAnsi="Arial Narrow"/>
          <w:sz w:val="18"/>
        </w:rPr>
        <w:t xml:space="preserve"> Converted from mg/</w:t>
      </w:r>
      <w:proofErr w:type="spellStart"/>
      <w:r w:rsidRPr="006678E6">
        <w:rPr>
          <w:rFonts w:ascii="Arial Narrow" w:hAnsi="Arial Narrow"/>
          <w:sz w:val="18"/>
        </w:rPr>
        <w:t>dL</w:t>
      </w:r>
      <w:proofErr w:type="spellEnd"/>
      <w:r w:rsidRPr="006678E6">
        <w:rPr>
          <w:rFonts w:ascii="Arial Narrow" w:hAnsi="Arial Narrow"/>
          <w:sz w:val="18"/>
        </w:rPr>
        <w:t xml:space="preserve"> using 1mg/</w:t>
      </w:r>
      <w:proofErr w:type="spellStart"/>
      <w:r w:rsidRPr="006678E6">
        <w:rPr>
          <w:rFonts w:ascii="Arial Narrow" w:hAnsi="Arial Narrow"/>
          <w:sz w:val="18"/>
        </w:rPr>
        <w:t>dL</w:t>
      </w:r>
      <w:proofErr w:type="spellEnd"/>
      <w:r w:rsidRPr="006678E6">
        <w:rPr>
          <w:rFonts w:ascii="Arial Narrow" w:hAnsi="Arial Narrow"/>
          <w:sz w:val="18"/>
        </w:rPr>
        <w:t xml:space="preserve"> = 60.54 </w:t>
      </w:r>
      <w:r w:rsidRPr="006678E6">
        <w:rPr>
          <w:rFonts w:ascii="Arial Narrow" w:hAnsi="Arial Narrow"/>
          <w:sz w:val="18"/>
        </w:rPr>
        <w:sym w:font="Symbol" w:char="F06D"/>
      </w:r>
      <w:proofErr w:type="spellStart"/>
      <w:r w:rsidRPr="006678E6">
        <w:rPr>
          <w:rFonts w:ascii="Arial Narrow" w:hAnsi="Arial Narrow"/>
          <w:sz w:val="18"/>
        </w:rPr>
        <w:t>mol</w:t>
      </w:r>
      <w:proofErr w:type="spellEnd"/>
      <w:r w:rsidRPr="006678E6">
        <w:rPr>
          <w:rFonts w:ascii="Arial Narrow" w:hAnsi="Arial Narrow"/>
          <w:sz w:val="18"/>
        </w:rPr>
        <w:t xml:space="preserve">/L </w:t>
      </w:r>
    </w:p>
    <w:p w:rsidR="00D84934" w:rsidRPr="006678E6" w:rsidRDefault="006C5818" w:rsidP="006220AC">
      <w:pPr>
        <w:pStyle w:val="tablenotes"/>
        <w:ind w:left="720"/>
        <w:rPr>
          <w:rFonts w:ascii="Arial Narrow" w:hAnsi="Arial Narrow"/>
          <w:sz w:val="18"/>
        </w:rPr>
      </w:pPr>
      <w:proofErr w:type="gramStart"/>
      <w:r w:rsidRPr="006678E6">
        <w:rPr>
          <w:rFonts w:ascii="Cambria Math" w:hAnsi="Cambria Math" w:cs="Cambria Math"/>
          <w:sz w:val="18"/>
        </w:rPr>
        <w:t>∗</w:t>
      </w:r>
      <w:r w:rsidRPr="006678E6">
        <w:rPr>
          <w:rFonts w:ascii="Arial Narrow" w:hAnsi="Arial Narrow"/>
          <w:sz w:val="18"/>
        </w:rPr>
        <w:t>Statistically significant.</w:t>
      </w:r>
      <w:proofErr w:type="gramEnd"/>
      <w:r w:rsidRPr="006678E6">
        <w:rPr>
          <w:rFonts w:ascii="Arial Narrow" w:hAnsi="Arial Narrow"/>
          <w:sz w:val="18"/>
        </w:rPr>
        <w:t xml:space="preserve"> Significance of difference between PKU groups with 2-way analysis of variance was p &gt; 0.674 for any variable.</w:t>
      </w:r>
    </w:p>
    <w:p w:rsidR="006B699A" w:rsidRPr="00A17713" w:rsidRDefault="006B699A" w:rsidP="006B699A">
      <w:pPr>
        <w:pStyle w:val="ListParagraph"/>
        <w:jc w:val="both"/>
        <w:rPr>
          <w:rFonts w:ascii="Arial" w:hAnsi="Arial"/>
          <w:b/>
          <w:i/>
          <w:sz w:val="22"/>
          <w:szCs w:val="22"/>
        </w:rPr>
      </w:pPr>
    </w:p>
    <w:p w:rsidR="00A17713" w:rsidRPr="006678E6" w:rsidRDefault="006C5818" w:rsidP="00EB2E81">
      <w:pPr>
        <w:pStyle w:val="ListParagraph"/>
        <w:numPr>
          <w:ilvl w:val="1"/>
          <w:numId w:val="2"/>
        </w:numPr>
        <w:jc w:val="both"/>
        <w:rPr>
          <w:rFonts w:ascii="Arial" w:hAnsi="Arial"/>
          <w:b/>
          <w:sz w:val="22"/>
          <w:szCs w:val="22"/>
        </w:rPr>
      </w:pPr>
      <w:r w:rsidRPr="006678E6">
        <w:rPr>
          <w:rFonts w:ascii="Arial" w:hAnsi="Arial"/>
          <w:sz w:val="22"/>
          <w:szCs w:val="22"/>
        </w:rPr>
        <w:t xml:space="preserve">At the end of the study </w:t>
      </w:r>
      <w:r w:rsidR="00E8496E" w:rsidRPr="006678E6">
        <w:rPr>
          <w:rFonts w:ascii="Arial" w:hAnsi="Arial"/>
          <w:sz w:val="22"/>
          <w:szCs w:val="22"/>
        </w:rPr>
        <w:t>it found statistically significantly greater effect on transthyretin concentrations in PKU patients</w:t>
      </w:r>
      <w:r w:rsidR="006B699A" w:rsidRPr="006678E6">
        <w:rPr>
          <w:rFonts w:ascii="Arial" w:hAnsi="Arial"/>
          <w:sz w:val="22"/>
          <w:szCs w:val="22"/>
        </w:rPr>
        <w:t xml:space="preserve"> (</w:t>
      </w:r>
      <w:r w:rsidRPr="006678E6">
        <w:rPr>
          <w:rFonts w:ascii="Arial" w:hAnsi="Arial"/>
          <w:sz w:val="22"/>
          <w:szCs w:val="22"/>
        </w:rPr>
        <w:t xml:space="preserve">refer </w:t>
      </w:r>
      <w:r w:rsidR="00A21DCE">
        <w:rPr>
          <w:rFonts w:ascii="Arial" w:hAnsi="Arial"/>
          <w:sz w:val="22"/>
          <w:szCs w:val="22"/>
        </w:rPr>
        <w:t>T</w:t>
      </w:r>
      <w:r w:rsidR="006B699A" w:rsidRPr="006678E6">
        <w:rPr>
          <w:rFonts w:ascii="Arial" w:hAnsi="Arial"/>
          <w:sz w:val="22"/>
          <w:szCs w:val="22"/>
        </w:rPr>
        <w:t>able 1). It was suggested that ingestion of the prolonged release substitute contributed to better regulation of protein status, with more harmonised protein synthesis due to longer retention of proteins.</w:t>
      </w:r>
    </w:p>
    <w:p w:rsidR="00A15C90" w:rsidRPr="006678E6" w:rsidRDefault="00A15C90" w:rsidP="00A15C90">
      <w:pPr>
        <w:jc w:val="both"/>
        <w:rPr>
          <w:rFonts w:ascii="Arial" w:hAnsi="Arial"/>
          <w:b/>
          <w:sz w:val="22"/>
          <w:szCs w:val="22"/>
        </w:rPr>
      </w:pPr>
    </w:p>
    <w:p w:rsidR="006B699A" w:rsidRPr="006678E6" w:rsidRDefault="003B5BCB" w:rsidP="006B699A">
      <w:pPr>
        <w:pStyle w:val="ListParagraph"/>
        <w:numPr>
          <w:ilvl w:val="1"/>
          <w:numId w:val="2"/>
        </w:numPr>
        <w:jc w:val="both"/>
        <w:rPr>
          <w:rFonts w:ascii="Arial" w:hAnsi="Arial"/>
          <w:b/>
          <w:sz w:val="22"/>
          <w:szCs w:val="22"/>
        </w:rPr>
      </w:pPr>
      <w:r w:rsidRPr="006678E6">
        <w:rPr>
          <w:rFonts w:ascii="Arial" w:hAnsi="Arial"/>
          <w:sz w:val="22"/>
          <w:szCs w:val="22"/>
        </w:rPr>
        <w:t>The c</w:t>
      </w:r>
      <w:r w:rsidR="006B699A" w:rsidRPr="006678E6">
        <w:rPr>
          <w:rFonts w:ascii="Arial" w:hAnsi="Arial"/>
          <w:sz w:val="22"/>
          <w:szCs w:val="22"/>
        </w:rPr>
        <w:t xml:space="preserve">linical trial data has demonstrated statistically significant improvements in protein status and plasma phenylalanine concentrations in children with PKU receiving </w:t>
      </w:r>
      <w:r w:rsidR="003C3317">
        <w:rPr>
          <w:rFonts w:ascii="Arial" w:hAnsi="Arial"/>
          <w:sz w:val="22"/>
          <w:szCs w:val="22"/>
        </w:rPr>
        <w:t>PKU Easy Microtabs®</w:t>
      </w:r>
      <w:r w:rsidR="006B699A" w:rsidRPr="006678E6">
        <w:rPr>
          <w:rFonts w:ascii="Arial" w:hAnsi="Arial"/>
          <w:sz w:val="22"/>
          <w:szCs w:val="22"/>
        </w:rPr>
        <w:t xml:space="preserve"> supplements for one month.</w:t>
      </w:r>
    </w:p>
    <w:p w:rsidR="003B5BCB" w:rsidRPr="006678E6" w:rsidRDefault="003B5BCB" w:rsidP="003B5BCB">
      <w:pPr>
        <w:pStyle w:val="ListParagraph"/>
        <w:rPr>
          <w:rFonts w:ascii="Arial" w:hAnsi="Arial"/>
          <w:b/>
          <w:sz w:val="22"/>
          <w:szCs w:val="22"/>
        </w:rPr>
      </w:pPr>
    </w:p>
    <w:p w:rsidR="003B5BCB" w:rsidRPr="006678E6" w:rsidRDefault="003B5BCB" w:rsidP="006B699A">
      <w:pPr>
        <w:pStyle w:val="ListParagraph"/>
        <w:numPr>
          <w:ilvl w:val="1"/>
          <w:numId w:val="2"/>
        </w:numPr>
        <w:jc w:val="both"/>
        <w:rPr>
          <w:rFonts w:ascii="Arial" w:hAnsi="Arial"/>
          <w:sz w:val="22"/>
          <w:szCs w:val="22"/>
        </w:rPr>
      </w:pPr>
      <w:r w:rsidRPr="006678E6">
        <w:rPr>
          <w:rFonts w:ascii="Arial" w:hAnsi="Arial"/>
          <w:sz w:val="22"/>
          <w:szCs w:val="22"/>
        </w:rPr>
        <w:t xml:space="preserve">The clinical trial results suggest that the slow release amino acid tablet formulation </w:t>
      </w:r>
      <w:r w:rsidR="003C3317">
        <w:rPr>
          <w:rFonts w:ascii="Arial" w:hAnsi="Arial"/>
          <w:sz w:val="22"/>
          <w:szCs w:val="22"/>
        </w:rPr>
        <w:t>PKU Easy Microtabs®</w:t>
      </w:r>
      <w:r w:rsidRPr="006678E6">
        <w:rPr>
          <w:rFonts w:ascii="Arial" w:hAnsi="Arial"/>
          <w:sz w:val="22"/>
          <w:szCs w:val="22"/>
        </w:rPr>
        <w:t xml:space="preserve"> may provide a benefit over other amino acid formulations for some people, demonstrating the importance of slow release formulation as an additional treatment option in phenylketonuria. </w:t>
      </w:r>
      <w:r w:rsidR="001941D3" w:rsidRPr="006678E6">
        <w:rPr>
          <w:rFonts w:ascii="Arial" w:hAnsi="Arial"/>
          <w:sz w:val="22"/>
          <w:szCs w:val="22"/>
        </w:rPr>
        <w:t xml:space="preserve">As a minor submission, the clinical evidence was not evaluated. </w:t>
      </w:r>
    </w:p>
    <w:p w:rsidR="001941D3" w:rsidRPr="006678E6" w:rsidRDefault="001941D3" w:rsidP="001941D3">
      <w:pPr>
        <w:pStyle w:val="ListParagraph"/>
        <w:rPr>
          <w:rFonts w:ascii="Arial" w:hAnsi="Arial"/>
          <w:sz w:val="22"/>
          <w:szCs w:val="22"/>
        </w:rPr>
      </w:pPr>
    </w:p>
    <w:p w:rsidR="001941D3" w:rsidRDefault="003C3317" w:rsidP="001941D3">
      <w:pPr>
        <w:pStyle w:val="ListParagraph"/>
        <w:numPr>
          <w:ilvl w:val="1"/>
          <w:numId w:val="2"/>
        </w:numPr>
        <w:jc w:val="both"/>
        <w:rPr>
          <w:rFonts w:ascii="Arial" w:hAnsi="Arial"/>
          <w:sz w:val="22"/>
          <w:szCs w:val="22"/>
        </w:rPr>
      </w:pPr>
      <w:r>
        <w:rPr>
          <w:rFonts w:ascii="Arial" w:hAnsi="Arial"/>
          <w:sz w:val="22"/>
          <w:szCs w:val="22"/>
        </w:rPr>
        <w:t>PKU Easy Microtabs®</w:t>
      </w:r>
      <w:r w:rsidR="001941D3" w:rsidRPr="006678E6">
        <w:rPr>
          <w:rFonts w:ascii="Arial" w:hAnsi="Arial"/>
          <w:sz w:val="22"/>
          <w:szCs w:val="22"/>
        </w:rPr>
        <w:t xml:space="preserve"> are formulated as convenient, easy to swallow tablets whereas Phlexy-10 tablets are much larger, similar to a large vitamin tablet, limiting their use to older children and adults able to swallow larger tablets.</w:t>
      </w:r>
    </w:p>
    <w:p w:rsidR="00A5523B" w:rsidRPr="00A5523B" w:rsidRDefault="00A5523B" w:rsidP="00A5523B">
      <w:pPr>
        <w:pStyle w:val="ListParagraph"/>
        <w:rPr>
          <w:rFonts w:ascii="Arial" w:hAnsi="Arial"/>
          <w:sz w:val="22"/>
          <w:szCs w:val="22"/>
        </w:rPr>
      </w:pPr>
    </w:p>
    <w:p w:rsidR="00A5523B" w:rsidRDefault="00A5523B" w:rsidP="00A5523B">
      <w:pPr>
        <w:pStyle w:val="ListParagraph"/>
        <w:numPr>
          <w:ilvl w:val="1"/>
          <w:numId w:val="2"/>
        </w:numPr>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A5523B" w:rsidRPr="00A5523B" w:rsidRDefault="00A5523B" w:rsidP="00A5523B">
      <w:pPr>
        <w:pStyle w:val="ListParagraph"/>
        <w:numPr>
          <w:ilvl w:val="1"/>
          <w:numId w:val="19"/>
        </w:numPr>
        <w:ind w:left="1134" w:hanging="283"/>
        <w:jc w:val="both"/>
        <w:rPr>
          <w:rFonts w:ascii="Arial" w:hAnsi="Arial"/>
          <w:sz w:val="22"/>
          <w:szCs w:val="22"/>
        </w:rPr>
      </w:pPr>
      <w:r w:rsidRPr="00A5523B">
        <w:rPr>
          <w:rFonts w:ascii="Arial" w:hAnsi="Arial"/>
          <w:sz w:val="22"/>
          <w:szCs w:val="22"/>
        </w:rPr>
        <w:t>The nominated comparator for this product, Phlexy-10®, was appropriate as the products have a similar amino acid composition, but the NPWP considered that other products that included vitamins and minerals could potentially be considered as comparators.</w:t>
      </w:r>
    </w:p>
    <w:p w:rsidR="00A5523B" w:rsidRPr="00A5523B" w:rsidRDefault="00A5523B" w:rsidP="00A5523B">
      <w:pPr>
        <w:pStyle w:val="ListParagraph"/>
        <w:numPr>
          <w:ilvl w:val="1"/>
          <w:numId w:val="19"/>
        </w:numPr>
        <w:ind w:left="1134" w:hanging="283"/>
        <w:jc w:val="both"/>
        <w:rPr>
          <w:rFonts w:ascii="Arial" w:hAnsi="Arial"/>
          <w:sz w:val="22"/>
          <w:szCs w:val="22"/>
        </w:rPr>
      </w:pPr>
      <w:r w:rsidRPr="00A5523B">
        <w:rPr>
          <w:rFonts w:ascii="Arial" w:hAnsi="Arial"/>
          <w:sz w:val="22"/>
          <w:szCs w:val="22"/>
        </w:rPr>
        <w:lastRenderedPageBreak/>
        <w:t>This product has several benefits, including small size and a lack of taste and odour.</w:t>
      </w:r>
    </w:p>
    <w:p w:rsidR="00A5523B" w:rsidRPr="00A5523B" w:rsidRDefault="00A5523B" w:rsidP="00A5523B">
      <w:pPr>
        <w:pStyle w:val="ListParagraph"/>
        <w:numPr>
          <w:ilvl w:val="1"/>
          <w:numId w:val="19"/>
        </w:numPr>
        <w:ind w:left="1134" w:hanging="283"/>
        <w:jc w:val="both"/>
        <w:rPr>
          <w:rFonts w:ascii="Arial" w:hAnsi="Arial"/>
          <w:sz w:val="22"/>
          <w:szCs w:val="22"/>
        </w:rPr>
      </w:pPr>
      <w:r w:rsidRPr="00A5523B">
        <w:rPr>
          <w:rFonts w:ascii="Arial" w:hAnsi="Arial"/>
          <w:sz w:val="22"/>
          <w:szCs w:val="22"/>
        </w:rPr>
        <w:t xml:space="preserve">The authors of the cited </w:t>
      </w:r>
      <w:r w:rsidR="00B9484A">
        <w:rPr>
          <w:rFonts w:ascii="Arial" w:hAnsi="Arial"/>
          <w:sz w:val="22"/>
          <w:szCs w:val="22"/>
        </w:rPr>
        <w:t xml:space="preserve">clinical trial </w:t>
      </w:r>
      <w:r w:rsidRPr="00A5523B">
        <w:rPr>
          <w:rFonts w:ascii="Arial" w:hAnsi="Arial"/>
          <w:sz w:val="22"/>
          <w:szCs w:val="22"/>
        </w:rPr>
        <w:t xml:space="preserve">comment that longer and adequately powered longitudinal studies are required to assess the effective value of protein substitutes with prolonged release, and the NPWP agreed with this comment.  Overall, the clinical trial results suggest that the slow release amino acid tablet formulation </w:t>
      </w:r>
      <w:r w:rsidR="003C3317">
        <w:rPr>
          <w:rFonts w:ascii="Arial" w:hAnsi="Arial"/>
          <w:sz w:val="22"/>
          <w:szCs w:val="22"/>
        </w:rPr>
        <w:t>PKU Easy Microtabs®</w:t>
      </w:r>
      <w:r w:rsidRPr="00A5523B">
        <w:rPr>
          <w:rFonts w:ascii="Arial" w:hAnsi="Arial"/>
          <w:sz w:val="22"/>
          <w:szCs w:val="22"/>
        </w:rPr>
        <w:t xml:space="preserve"> may provide a benefit over other amino acid formulations for some people.</w:t>
      </w:r>
    </w:p>
    <w:p w:rsidR="00A5523B" w:rsidRPr="00A5523B" w:rsidRDefault="00A5523B" w:rsidP="00A5523B">
      <w:pPr>
        <w:pStyle w:val="ListParagraph"/>
        <w:numPr>
          <w:ilvl w:val="1"/>
          <w:numId w:val="19"/>
        </w:numPr>
        <w:ind w:left="1134" w:hanging="283"/>
        <w:jc w:val="both"/>
        <w:rPr>
          <w:rFonts w:ascii="Arial" w:hAnsi="Arial"/>
          <w:sz w:val="22"/>
          <w:szCs w:val="22"/>
        </w:rPr>
      </w:pPr>
      <w:r w:rsidRPr="00A5523B">
        <w:rPr>
          <w:rFonts w:ascii="Arial" w:hAnsi="Arial"/>
          <w:sz w:val="22"/>
          <w:szCs w:val="22"/>
        </w:rPr>
        <w:t xml:space="preserve">The NPWP considered that the listing of this product may not be cost-neutral to the PBS.  </w:t>
      </w:r>
      <w:r w:rsidR="003C3317">
        <w:rPr>
          <w:rFonts w:ascii="Arial" w:hAnsi="Arial"/>
          <w:sz w:val="22"/>
          <w:szCs w:val="22"/>
        </w:rPr>
        <w:t>PKU Easy Microtabs®</w:t>
      </w:r>
      <w:r w:rsidRPr="00A5523B">
        <w:rPr>
          <w:rFonts w:ascii="Arial" w:hAnsi="Arial"/>
          <w:sz w:val="22"/>
          <w:szCs w:val="22"/>
        </w:rPr>
        <w:t xml:space="preserve"> are not a complete nutritional product and patients may need to supplement their consumption with vitamins and minerals, such as Paediatric </w:t>
      </w:r>
      <w:proofErr w:type="spellStart"/>
      <w:r w:rsidRPr="00A5523B">
        <w:rPr>
          <w:rFonts w:ascii="Arial" w:hAnsi="Arial"/>
          <w:sz w:val="22"/>
          <w:szCs w:val="22"/>
        </w:rPr>
        <w:t>Seravit</w:t>
      </w:r>
      <w:proofErr w:type="spellEnd"/>
      <w:r w:rsidRPr="00A5523B">
        <w:rPr>
          <w:rFonts w:ascii="Arial" w:hAnsi="Arial"/>
          <w:sz w:val="22"/>
          <w:szCs w:val="22"/>
        </w:rPr>
        <w:t xml:space="preserve">®. If uptake of </w:t>
      </w:r>
      <w:r w:rsidR="003C3317">
        <w:rPr>
          <w:rFonts w:ascii="Arial" w:hAnsi="Arial"/>
          <w:sz w:val="22"/>
          <w:szCs w:val="22"/>
        </w:rPr>
        <w:t>PKU Easy Microtabs®</w:t>
      </w:r>
      <w:r w:rsidRPr="00A5523B">
        <w:rPr>
          <w:rFonts w:ascii="Arial" w:hAnsi="Arial"/>
          <w:sz w:val="22"/>
          <w:szCs w:val="22"/>
        </w:rPr>
        <w:t xml:space="preserve"> is greater than substitution of only Phlexy-10®, an additional cost to the PBS and/or the patient may be incurred as patients may need to supplement their diet with additional vitamins and minerals.</w:t>
      </w:r>
    </w:p>
    <w:p w:rsidR="00A5523B" w:rsidRDefault="00A5523B" w:rsidP="00A5523B">
      <w:pPr>
        <w:pStyle w:val="ListParagraph"/>
        <w:numPr>
          <w:ilvl w:val="1"/>
          <w:numId w:val="19"/>
        </w:numPr>
        <w:ind w:left="1134" w:hanging="283"/>
        <w:jc w:val="both"/>
        <w:rPr>
          <w:rFonts w:ascii="Arial" w:hAnsi="Arial"/>
          <w:sz w:val="22"/>
          <w:szCs w:val="22"/>
        </w:rPr>
      </w:pPr>
      <w:r w:rsidRPr="00A5523B">
        <w:rPr>
          <w:rFonts w:ascii="Arial" w:hAnsi="Arial"/>
          <w:sz w:val="22"/>
          <w:szCs w:val="22"/>
        </w:rPr>
        <w:t xml:space="preserve">The cost per gram of protein equivalent was used to derive the price of </w:t>
      </w:r>
      <w:r w:rsidR="003C3317">
        <w:rPr>
          <w:rFonts w:ascii="Arial" w:hAnsi="Arial"/>
          <w:sz w:val="22"/>
          <w:szCs w:val="22"/>
        </w:rPr>
        <w:t>PKU Easy Microtabs®</w:t>
      </w:r>
      <w:r w:rsidRPr="00A5523B">
        <w:rPr>
          <w:rFonts w:ascii="Arial" w:hAnsi="Arial"/>
          <w:sz w:val="22"/>
          <w:szCs w:val="22"/>
        </w:rPr>
        <w:t xml:space="preserve"> compared to Phlexy-10®. In light of the financial concerns (that is, the additional costs for vitamin and mineral supplementation), it is appropriate to review the pricing arrangements for similar products, such as Phlexy-10®, as this may not have been fully considered previous</w:t>
      </w:r>
      <w:r w:rsidR="00B9484A">
        <w:rPr>
          <w:rFonts w:ascii="Arial" w:hAnsi="Arial"/>
          <w:sz w:val="22"/>
          <w:szCs w:val="22"/>
        </w:rPr>
        <w:t>ly</w:t>
      </w:r>
      <w:r w:rsidRPr="00A5523B">
        <w:rPr>
          <w:rFonts w:ascii="Arial" w:hAnsi="Arial"/>
          <w:sz w:val="22"/>
          <w:szCs w:val="22"/>
        </w:rPr>
        <w:t xml:space="preserve"> by the NPWP and PBAC.</w:t>
      </w:r>
    </w:p>
    <w:p w:rsidR="00A5523B" w:rsidRPr="00A5523B" w:rsidRDefault="00A5523B" w:rsidP="00A5523B">
      <w:pPr>
        <w:jc w:val="both"/>
        <w:rPr>
          <w:rFonts w:ascii="Arial" w:hAnsi="Arial"/>
          <w:sz w:val="22"/>
          <w:szCs w:val="22"/>
        </w:rPr>
      </w:pPr>
    </w:p>
    <w:p w:rsidR="00796CD0" w:rsidRPr="0027167F" w:rsidRDefault="00A5523B" w:rsidP="0027167F">
      <w:pPr>
        <w:pStyle w:val="ListParagraph"/>
        <w:numPr>
          <w:ilvl w:val="1"/>
          <w:numId w:val="2"/>
        </w:numPr>
        <w:jc w:val="both"/>
        <w:rPr>
          <w:rFonts w:ascii="Arial" w:hAnsi="Arial"/>
          <w:b/>
          <w:i/>
          <w:sz w:val="22"/>
          <w:szCs w:val="22"/>
        </w:rPr>
      </w:pPr>
      <w:r w:rsidRPr="0027167F">
        <w:rPr>
          <w:rFonts w:ascii="Arial" w:hAnsi="Arial"/>
          <w:sz w:val="22"/>
          <w:szCs w:val="22"/>
        </w:rPr>
        <w:t xml:space="preserve">The NPWP supported the listing of </w:t>
      </w:r>
      <w:r w:rsidR="003C3317">
        <w:rPr>
          <w:rFonts w:ascii="Arial" w:hAnsi="Arial"/>
          <w:sz w:val="22"/>
          <w:szCs w:val="22"/>
        </w:rPr>
        <w:t>PKU Easy Microtabs®</w:t>
      </w:r>
      <w:r w:rsidRPr="0027167F">
        <w:rPr>
          <w:rFonts w:ascii="Arial" w:hAnsi="Arial"/>
          <w:sz w:val="22"/>
          <w:szCs w:val="22"/>
        </w:rPr>
        <w:t xml:space="preserve"> as a Restricted Benefit for phenylketonuria on a cost-minimisation basis against Phlexy-10® at an equivalent price per gram of protein.</w:t>
      </w:r>
    </w:p>
    <w:p w:rsidR="00A15C90" w:rsidRPr="00A15C90" w:rsidRDefault="00A15C90" w:rsidP="00A15C90">
      <w:pPr>
        <w:jc w:val="both"/>
        <w:rPr>
          <w:rFonts w:ascii="Arial" w:hAnsi="Arial"/>
          <w:b/>
          <w:i/>
          <w:sz w:val="22"/>
          <w:szCs w:val="22"/>
        </w:rPr>
      </w:pPr>
    </w:p>
    <w:p w:rsidR="005A3173" w:rsidRPr="006678E6" w:rsidRDefault="005A3173" w:rsidP="002654C1">
      <w:pPr>
        <w:pStyle w:val="Heading2"/>
      </w:pPr>
      <w:r w:rsidRPr="006678E6">
        <w:t>Estimated PBS usage &amp; financial implications</w:t>
      </w:r>
    </w:p>
    <w:p w:rsidR="007B37F8" w:rsidRPr="00E30B11" w:rsidRDefault="007B37F8" w:rsidP="006678E6">
      <w:pPr>
        <w:pStyle w:val="Caption"/>
        <w:ind w:hanging="720"/>
        <w:rPr>
          <w:rFonts w:ascii="Arial Narrow" w:hAnsi="Arial Narrow"/>
        </w:rPr>
      </w:pPr>
      <w:bookmarkStart w:id="3" w:name="_Ref319574766"/>
      <w:bookmarkStart w:id="4" w:name="_Toc427607181"/>
      <w:r w:rsidRPr="00E30B11">
        <w:rPr>
          <w:rFonts w:ascii="Arial Narrow" w:hAnsi="Arial Narrow"/>
        </w:rPr>
        <w:t>Table</w:t>
      </w:r>
      <w:bookmarkEnd w:id="3"/>
      <w:r w:rsidRPr="00E30B11">
        <w:rPr>
          <w:rFonts w:ascii="Arial Narrow" w:hAnsi="Arial Narrow"/>
        </w:rPr>
        <w:t xml:space="preserve"> 2: Cost to the PBS of </w:t>
      </w:r>
      <w:r w:rsidR="003C3317">
        <w:rPr>
          <w:rFonts w:ascii="Arial Narrow" w:hAnsi="Arial Narrow"/>
        </w:rPr>
        <w:t>PKU Easy Microtabs®</w:t>
      </w:r>
      <w:r w:rsidRPr="00E30B11">
        <w:rPr>
          <w:rFonts w:ascii="Arial Narrow" w:hAnsi="Arial Narrow"/>
        </w:rPr>
        <w:t xml:space="preserve"> listing over the first 6 years.</w:t>
      </w:r>
      <w:bookmarkEnd w:id="4"/>
    </w:p>
    <w:tbl>
      <w:tblPr>
        <w:tblStyle w:val="TableGrid"/>
        <w:tblW w:w="8222" w:type="dxa"/>
        <w:tblInd w:w="817" w:type="dxa"/>
        <w:tblLayout w:type="fixed"/>
        <w:tblLook w:val="04A0" w:firstRow="1" w:lastRow="0" w:firstColumn="1" w:lastColumn="0" w:noHBand="0" w:noVBand="1"/>
        <w:tblCaption w:val="Utilisation estimates and financial implications"/>
        <w:tblDescription w:val="Table 2: Cost to the PBS of PKU Easy Microtabs® listing over the first 6 years."/>
      </w:tblPr>
      <w:tblGrid>
        <w:gridCol w:w="1174"/>
        <w:gridCol w:w="1175"/>
        <w:gridCol w:w="1174"/>
        <w:gridCol w:w="1175"/>
        <w:gridCol w:w="1174"/>
        <w:gridCol w:w="1175"/>
        <w:gridCol w:w="1175"/>
      </w:tblGrid>
      <w:tr w:rsidR="007B37F8" w:rsidRPr="00E30B11" w:rsidTr="00480C3A">
        <w:trPr>
          <w:trHeight w:val="335"/>
          <w:tblHeader/>
        </w:trPr>
        <w:tc>
          <w:tcPr>
            <w:tcW w:w="1174" w:type="dxa"/>
            <w:shd w:val="clear" w:color="auto" w:fill="auto"/>
          </w:tcPr>
          <w:p w:rsidR="007B37F8" w:rsidRPr="00E30B11" w:rsidRDefault="007B37F8" w:rsidP="00B9484A">
            <w:pPr>
              <w:pStyle w:val="PBSnormal0"/>
              <w:spacing w:before="40" w:after="40" w:line="240" w:lineRule="auto"/>
              <w:jc w:val="left"/>
              <w:rPr>
                <w:rFonts w:ascii="Arial Narrow" w:hAnsi="Arial Narrow"/>
                <w:b/>
                <w:sz w:val="20"/>
              </w:rPr>
            </w:pPr>
          </w:p>
        </w:tc>
        <w:tc>
          <w:tcPr>
            <w:tcW w:w="1175"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1</w:t>
            </w:r>
          </w:p>
        </w:tc>
        <w:tc>
          <w:tcPr>
            <w:tcW w:w="1174"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2</w:t>
            </w:r>
          </w:p>
        </w:tc>
        <w:tc>
          <w:tcPr>
            <w:tcW w:w="1175"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3</w:t>
            </w:r>
          </w:p>
        </w:tc>
        <w:tc>
          <w:tcPr>
            <w:tcW w:w="1174"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4</w:t>
            </w:r>
          </w:p>
        </w:tc>
        <w:tc>
          <w:tcPr>
            <w:tcW w:w="1175"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5</w:t>
            </w:r>
          </w:p>
        </w:tc>
        <w:tc>
          <w:tcPr>
            <w:tcW w:w="1175" w:type="dxa"/>
            <w:shd w:val="clear" w:color="auto" w:fill="auto"/>
          </w:tcPr>
          <w:p w:rsidR="007B37F8" w:rsidRPr="00E30B11" w:rsidRDefault="007B37F8" w:rsidP="00B9484A">
            <w:pPr>
              <w:pStyle w:val="PBSnormal0"/>
              <w:spacing w:before="40" w:after="40" w:line="240" w:lineRule="auto"/>
              <w:jc w:val="center"/>
              <w:rPr>
                <w:rFonts w:ascii="Arial Narrow" w:hAnsi="Arial Narrow"/>
                <w:b/>
                <w:sz w:val="20"/>
              </w:rPr>
            </w:pPr>
            <w:r w:rsidRPr="00E30B11">
              <w:rPr>
                <w:rFonts w:ascii="Arial Narrow" w:hAnsi="Arial Narrow"/>
                <w:b/>
                <w:sz w:val="20"/>
              </w:rPr>
              <w:t>Year 6</w:t>
            </w:r>
          </w:p>
        </w:tc>
      </w:tr>
      <w:tr w:rsidR="007B37F8" w:rsidRPr="00E30B11" w:rsidTr="006678E6">
        <w:trPr>
          <w:trHeight w:val="345"/>
        </w:trPr>
        <w:tc>
          <w:tcPr>
            <w:tcW w:w="1174" w:type="dxa"/>
          </w:tcPr>
          <w:p w:rsidR="007B37F8" w:rsidRPr="00E30B11" w:rsidRDefault="007B37F8" w:rsidP="00B9484A">
            <w:pPr>
              <w:pStyle w:val="PBSnormal0"/>
              <w:spacing w:before="40" w:after="40" w:line="240" w:lineRule="auto"/>
              <w:jc w:val="left"/>
              <w:rPr>
                <w:rFonts w:ascii="Arial Narrow" w:hAnsi="Arial Narrow"/>
                <w:sz w:val="20"/>
              </w:rPr>
            </w:pPr>
            <w:r w:rsidRPr="00E30B11">
              <w:rPr>
                <w:rFonts w:ascii="Arial Narrow" w:hAnsi="Arial Narrow"/>
                <w:sz w:val="20"/>
              </w:rPr>
              <w:t>Total units*</w:t>
            </w:r>
          </w:p>
        </w:tc>
        <w:tc>
          <w:tcPr>
            <w:tcW w:w="1175"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4"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5"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4"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5"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5" w:type="dxa"/>
          </w:tcPr>
          <w:p w:rsidR="007B37F8" w:rsidRPr="00900F81" w:rsidRDefault="00900F81" w:rsidP="00B9484A">
            <w:pPr>
              <w:pStyle w:val="PBSnormal0"/>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r>
      <w:tr w:rsidR="007B37F8" w:rsidRPr="00E30B11" w:rsidTr="006678E6">
        <w:trPr>
          <w:trHeight w:val="335"/>
        </w:trPr>
        <w:tc>
          <w:tcPr>
            <w:tcW w:w="1174" w:type="dxa"/>
            <w:shd w:val="clear" w:color="auto" w:fill="auto"/>
          </w:tcPr>
          <w:p w:rsidR="007B37F8" w:rsidRPr="00E30B11" w:rsidRDefault="007B37F8" w:rsidP="00B9484A">
            <w:pPr>
              <w:pStyle w:val="PBSnormal0"/>
              <w:spacing w:before="40" w:after="40" w:line="240" w:lineRule="auto"/>
              <w:jc w:val="left"/>
              <w:rPr>
                <w:rFonts w:ascii="Arial Narrow" w:hAnsi="Arial Narrow"/>
                <w:sz w:val="20"/>
              </w:rPr>
            </w:pPr>
            <w:r w:rsidRPr="00E30B11">
              <w:rPr>
                <w:rFonts w:ascii="Arial Narrow" w:hAnsi="Arial Narrow"/>
                <w:sz w:val="20"/>
              </w:rPr>
              <w:t>Cost at DPMQ</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4"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4"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r>
      <w:tr w:rsidR="007B37F8" w:rsidRPr="00E30B11" w:rsidTr="006678E6">
        <w:trPr>
          <w:trHeight w:val="863"/>
        </w:trPr>
        <w:tc>
          <w:tcPr>
            <w:tcW w:w="1174" w:type="dxa"/>
            <w:shd w:val="clear" w:color="auto" w:fill="auto"/>
          </w:tcPr>
          <w:p w:rsidR="007B37F8" w:rsidRPr="00E30B11" w:rsidRDefault="007B37F8" w:rsidP="00B9484A">
            <w:pPr>
              <w:pStyle w:val="PBSnormal0"/>
              <w:spacing w:before="40" w:after="40" w:line="240" w:lineRule="auto"/>
              <w:jc w:val="left"/>
              <w:rPr>
                <w:rFonts w:ascii="Arial Narrow" w:hAnsi="Arial Narrow"/>
                <w:sz w:val="20"/>
              </w:rPr>
            </w:pPr>
            <w:r w:rsidRPr="00E30B11">
              <w:rPr>
                <w:rFonts w:ascii="Arial Narrow" w:hAnsi="Arial Narrow"/>
                <w:sz w:val="20"/>
              </w:rPr>
              <w:t>Cost at DPMQ with average co-payment removed</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4"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 '</w:t>
            </w:r>
          </w:p>
        </w:tc>
        <w:tc>
          <w:tcPr>
            <w:tcW w:w="1174"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c>
          <w:tcPr>
            <w:tcW w:w="1175" w:type="dxa"/>
            <w:shd w:val="clear" w:color="auto" w:fill="auto"/>
          </w:tcPr>
          <w:p w:rsidR="007B37F8" w:rsidRPr="00E30B11" w:rsidRDefault="007B37F8" w:rsidP="00B9484A">
            <w:pPr>
              <w:pStyle w:val="PBSnormal0"/>
              <w:keepNext/>
              <w:keepLines/>
              <w:spacing w:before="40" w:after="40" w:line="240" w:lineRule="auto"/>
              <w:jc w:val="center"/>
              <w:rPr>
                <w:rFonts w:ascii="Arial Narrow" w:hAnsi="Arial Narrow"/>
                <w:sz w:val="20"/>
              </w:rPr>
            </w:pPr>
            <w:r w:rsidRPr="00E30B11">
              <w:rPr>
                <w:rFonts w:ascii="Arial Narrow" w:hAnsi="Arial Narrow"/>
                <w:sz w:val="20"/>
              </w:rPr>
              <w:t>$</w:t>
            </w:r>
            <w:r w:rsidR="00900F81">
              <w:rPr>
                <w:rFonts w:ascii="Arial Narrow" w:hAnsi="Arial Narrow"/>
                <w:noProof/>
                <w:color w:val="000000"/>
                <w:sz w:val="20"/>
                <w:highlight w:val="black"/>
              </w:rPr>
              <w:t>''''''''''''''''</w:t>
            </w:r>
          </w:p>
        </w:tc>
      </w:tr>
    </w:tbl>
    <w:p w:rsidR="007B37F8" w:rsidRPr="00DD0A77" w:rsidRDefault="007B37F8" w:rsidP="006678E6">
      <w:pPr>
        <w:pStyle w:val="tablenotes"/>
        <w:ind w:left="720"/>
      </w:pPr>
      <w:r w:rsidRPr="00E30B11">
        <w:rPr>
          <w:rFonts w:ascii="Arial Narrow" w:hAnsi="Arial Narrow"/>
        </w:rPr>
        <w:t>Source</w:t>
      </w:r>
      <w:r w:rsidR="009210CE">
        <w:rPr>
          <w:rFonts w:ascii="Arial Narrow" w:hAnsi="Arial Narrow"/>
        </w:rPr>
        <w:t>:</w:t>
      </w:r>
      <w:r w:rsidRPr="00E30B11">
        <w:rPr>
          <w:rFonts w:ascii="Arial Narrow" w:hAnsi="Arial Narrow"/>
        </w:rPr>
        <w:t xml:space="preserve"> table E 2-4 of the submission, page 27</w:t>
      </w:r>
      <w:r w:rsidR="00E30B11" w:rsidRPr="00E30B11">
        <w:rPr>
          <w:rFonts w:ascii="Arial Narrow" w:hAnsi="Arial Narrow"/>
        </w:rPr>
        <w:t xml:space="preserve">, based on the DPMQ in the submission. </w:t>
      </w:r>
      <w:r w:rsidRPr="00E30B11">
        <w:rPr>
          <w:rFonts w:ascii="Arial Narrow" w:hAnsi="Arial Narrow"/>
        </w:rPr>
        <w:t>* 1 unit = proposed PBS maximum quantity</w:t>
      </w:r>
      <w:r w:rsidRPr="00DD0A77">
        <w:t>.</w:t>
      </w:r>
    </w:p>
    <w:p w:rsidR="00D868F2" w:rsidRPr="00152B77" w:rsidRDefault="00D868F2" w:rsidP="00152B77">
      <w:pPr>
        <w:jc w:val="both"/>
        <w:rPr>
          <w:rFonts w:ascii="Arial" w:hAnsi="Arial"/>
          <w:i/>
          <w:sz w:val="22"/>
          <w:szCs w:val="22"/>
        </w:rPr>
      </w:pPr>
    </w:p>
    <w:p w:rsidR="00D868F2" w:rsidRPr="006678E6" w:rsidRDefault="00D868F2" w:rsidP="00D868F2">
      <w:pPr>
        <w:pStyle w:val="ListParagraph"/>
        <w:numPr>
          <w:ilvl w:val="1"/>
          <w:numId w:val="2"/>
        </w:numPr>
        <w:jc w:val="both"/>
        <w:rPr>
          <w:rFonts w:ascii="Arial" w:hAnsi="Arial"/>
          <w:sz w:val="22"/>
          <w:szCs w:val="22"/>
        </w:rPr>
      </w:pPr>
      <w:r w:rsidRPr="006678E6">
        <w:rPr>
          <w:rFonts w:ascii="Arial" w:hAnsi="Arial"/>
          <w:sz w:val="22"/>
          <w:szCs w:val="22"/>
        </w:rPr>
        <w:t xml:space="preserve">The </w:t>
      </w:r>
      <w:r w:rsidR="00066ADC" w:rsidRPr="006678E6">
        <w:rPr>
          <w:rFonts w:ascii="Arial" w:hAnsi="Arial"/>
          <w:sz w:val="22"/>
          <w:szCs w:val="22"/>
        </w:rPr>
        <w:t xml:space="preserve">submission assumes </w:t>
      </w:r>
      <w:r w:rsidR="00900F81">
        <w:rPr>
          <w:rFonts w:ascii="Arial" w:hAnsi="Arial"/>
          <w:noProof/>
          <w:color w:val="000000"/>
          <w:sz w:val="22"/>
          <w:szCs w:val="22"/>
          <w:highlight w:val="black"/>
        </w:rPr>
        <w:t>''''''''''''''</w:t>
      </w:r>
      <w:r w:rsidRPr="006678E6">
        <w:rPr>
          <w:rFonts w:ascii="Arial" w:hAnsi="Arial"/>
          <w:sz w:val="22"/>
          <w:szCs w:val="22"/>
        </w:rPr>
        <w:t xml:space="preserve"> dispensing per year for this product. The submission expects the listing of </w:t>
      </w:r>
      <w:r w:rsidR="003C3317">
        <w:rPr>
          <w:rFonts w:ascii="Arial" w:hAnsi="Arial"/>
          <w:sz w:val="22"/>
          <w:szCs w:val="22"/>
        </w:rPr>
        <w:t>PKU Easy Microtabs®</w:t>
      </w:r>
      <w:r w:rsidRPr="006678E6">
        <w:rPr>
          <w:rFonts w:ascii="Arial" w:hAnsi="Arial"/>
          <w:sz w:val="22"/>
          <w:szCs w:val="22"/>
        </w:rPr>
        <w:t xml:space="preserve"> to be cost neutral as it is at the same cost per gram of protein equivalent as the comparator, and all usage will substitute for currently listed therapies, there is no expected net cost of PBS listing.</w:t>
      </w:r>
    </w:p>
    <w:p w:rsidR="006678E6" w:rsidRDefault="006678E6" w:rsidP="00A96BA0">
      <w:pPr>
        <w:rPr>
          <w:rFonts w:ascii="Arial" w:hAnsi="Arial"/>
          <w:sz w:val="22"/>
          <w:szCs w:val="22"/>
        </w:rPr>
      </w:pPr>
    </w:p>
    <w:p w:rsidR="002654C1" w:rsidRPr="00A96BA0" w:rsidRDefault="002654C1" w:rsidP="00A96BA0">
      <w:pPr>
        <w:rPr>
          <w:rFonts w:ascii="Arial" w:hAnsi="Arial"/>
          <w:sz w:val="22"/>
          <w:szCs w:val="22"/>
        </w:rPr>
      </w:pPr>
    </w:p>
    <w:p w:rsidR="00796CD0" w:rsidRPr="00496D02" w:rsidRDefault="00796CD0" w:rsidP="002654C1">
      <w:pPr>
        <w:pStyle w:val="Heading1"/>
        <w:rPr>
          <w:snapToGrid w:val="0"/>
          <w:lang w:eastAsia="en-US"/>
        </w:rPr>
      </w:pPr>
      <w:r w:rsidRPr="00496D02">
        <w:rPr>
          <w:snapToGrid w:val="0"/>
          <w:lang w:eastAsia="en-US"/>
        </w:rPr>
        <w:t>PBAC Outcome</w:t>
      </w:r>
    </w:p>
    <w:p w:rsidR="00796CD0" w:rsidRPr="000E195B" w:rsidRDefault="00796CD0" w:rsidP="00796CD0">
      <w:pPr>
        <w:contextualSpacing/>
        <w:jc w:val="both"/>
        <w:rPr>
          <w:rFonts w:ascii="Arial" w:hAnsi="Arial" w:cs="Arial"/>
          <w:b/>
          <w:bCs/>
          <w:snapToGrid w:val="0"/>
          <w:sz w:val="22"/>
          <w:szCs w:val="22"/>
          <w:highlight w:val="yellow"/>
          <w:lang w:val="en-GB" w:eastAsia="en-US"/>
        </w:rPr>
      </w:pPr>
    </w:p>
    <w:p w:rsidR="00E80D91" w:rsidRPr="00496D02" w:rsidRDefault="00E80D91" w:rsidP="00A96BA0">
      <w:pPr>
        <w:widowControl w:val="0"/>
        <w:numPr>
          <w:ilvl w:val="1"/>
          <w:numId w:val="2"/>
        </w:numPr>
        <w:spacing w:after="120"/>
        <w:contextualSpacing/>
        <w:rPr>
          <w:rFonts w:ascii="Arial" w:hAnsi="Arial" w:cs="Arial"/>
          <w:b/>
          <w:bCs/>
          <w:snapToGrid w:val="0"/>
          <w:sz w:val="22"/>
          <w:szCs w:val="22"/>
          <w:lang w:val="en-GB" w:eastAsia="en-US"/>
        </w:rPr>
      </w:pPr>
      <w:r w:rsidRPr="00496D02">
        <w:rPr>
          <w:rFonts w:ascii="Arial" w:hAnsi="Arial"/>
          <w:sz w:val="22"/>
          <w:szCs w:val="22"/>
        </w:rPr>
        <w:t xml:space="preserve">The PBAC recommended the listing of </w:t>
      </w:r>
      <w:r w:rsidR="003C3317">
        <w:rPr>
          <w:rFonts w:ascii="Arial" w:hAnsi="Arial"/>
          <w:sz w:val="22"/>
          <w:szCs w:val="22"/>
        </w:rPr>
        <w:t>PKU Easy Microtabs®</w:t>
      </w:r>
      <w:r w:rsidRPr="00496D02">
        <w:rPr>
          <w:rFonts w:ascii="Arial" w:hAnsi="Arial"/>
          <w:sz w:val="22"/>
          <w:szCs w:val="22"/>
        </w:rPr>
        <w:t xml:space="preserve"> as a Restricted Benefit for the treatment of phenylketonuria on a cost-minimisation basis against Phlexy-10</w:t>
      </w:r>
      <w:r w:rsidR="00A01499">
        <w:rPr>
          <w:rFonts w:ascii="Arial" w:hAnsi="Arial"/>
          <w:sz w:val="22"/>
          <w:szCs w:val="22"/>
        </w:rPr>
        <w:t>®</w:t>
      </w:r>
      <w:r w:rsidR="0027167F" w:rsidRPr="0027167F">
        <w:rPr>
          <w:rFonts w:ascii="Arial" w:hAnsi="Arial"/>
          <w:sz w:val="22"/>
          <w:szCs w:val="22"/>
          <w:vertAlign w:val="superscript"/>
        </w:rPr>
        <w:t xml:space="preserve"> </w:t>
      </w:r>
      <w:r w:rsidRPr="00496D02">
        <w:rPr>
          <w:rFonts w:ascii="Arial" w:hAnsi="Arial"/>
          <w:sz w:val="22"/>
          <w:szCs w:val="22"/>
        </w:rPr>
        <w:t xml:space="preserve">listing at the same price per gram of protein. </w:t>
      </w:r>
    </w:p>
    <w:p w:rsidR="00E80D91" w:rsidRPr="00496D02" w:rsidRDefault="00E80D91" w:rsidP="00A96BA0">
      <w:pPr>
        <w:widowControl w:val="0"/>
        <w:spacing w:after="120"/>
        <w:ind w:left="720"/>
        <w:contextualSpacing/>
        <w:rPr>
          <w:rFonts w:ascii="Arial" w:hAnsi="Arial" w:cs="Arial"/>
          <w:b/>
          <w:bCs/>
          <w:snapToGrid w:val="0"/>
          <w:sz w:val="22"/>
          <w:szCs w:val="22"/>
          <w:highlight w:val="yellow"/>
          <w:lang w:val="en-GB" w:eastAsia="en-US"/>
        </w:rPr>
      </w:pPr>
    </w:p>
    <w:p w:rsidR="00E80D91" w:rsidRPr="004D2744" w:rsidRDefault="00E80D91" w:rsidP="00A96BA0">
      <w:pPr>
        <w:widowControl w:val="0"/>
        <w:numPr>
          <w:ilvl w:val="1"/>
          <w:numId w:val="2"/>
        </w:numPr>
        <w:spacing w:after="120"/>
        <w:contextualSpacing/>
        <w:rPr>
          <w:rFonts w:ascii="Arial" w:hAnsi="Arial" w:cs="Arial"/>
          <w:b/>
          <w:bCs/>
          <w:snapToGrid w:val="0"/>
          <w:sz w:val="22"/>
          <w:szCs w:val="22"/>
          <w:lang w:val="en-GB" w:eastAsia="en-US"/>
        </w:rPr>
      </w:pPr>
      <w:r w:rsidRPr="004D2744">
        <w:rPr>
          <w:rFonts w:ascii="Arial" w:hAnsi="Arial"/>
          <w:sz w:val="22"/>
          <w:szCs w:val="22"/>
        </w:rPr>
        <w:t>The PBAC noted and agreed with Nutritional Products Working Party’s (NPWP) view that the nominated comparator for this product, Phlexy-10</w:t>
      </w:r>
      <w:r w:rsidR="00A01499">
        <w:rPr>
          <w:rFonts w:ascii="Arial" w:hAnsi="Arial"/>
          <w:sz w:val="22"/>
          <w:szCs w:val="22"/>
        </w:rPr>
        <w:t>®</w:t>
      </w:r>
      <w:r w:rsidRPr="004D2744">
        <w:rPr>
          <w:rFonts w:ascii="Arial" w:hAnsi="Arial"/>
          <w:sz w:val="22"/>
          <w:szCs w:val="22"/>
        </w:rPr>
        <w:t xml:space="preserve">, was appropriate as the products have similar amino acid composition. </w:t>
      </w:r>
    </w:p>
    <w:p w:rsidR="00E80D91" w:rsidRDefault="00E80D91" w:rsidP="00A96BA0">
      <w:pPr>
        <w:pStyle w:val="ListParagraph"/>
        <w:rPr>
          <w:rFonts w:ascii="Arial" w:hAnsi="Arial" w:cs="Arial"/>
          <w:bCs/>
          <w:snapToGrid w:val="0"/>
          <w:sz w:val="22"/>
          <w:szCs w:val="22"/>
          <w:lang w:val="en-GB" w:eastAsia="en-US"/>
        </w:rPr>
      </w:pPr>
    </w:p>
    <w:p w:rsidR="00E80D91" w:rsidRPr="00A96BA0" w:rsidRDefault="00E80D91" w:rsidP="00A96BA0">
      <w:pPr>
        <w:widowControl w:val="0"/>
        <w:numPr>
          <w:ilvl w:val="1"/>
          <w:numId w:val="2"/>
        </w:numPr>
        <w:spacing w:after="120"/>
        <w:contextualSpacing/>
        <w:rPr>
          <w:rFonts w:ascii="Arial" w:hAnsi="Arial" w:cs="Arial"/>
          <w:b/>
          <w:bCs/>
          <w:snapToGrid w:val="0"/>
          <w:sz w:val="22"/>
          <w:szCs w:val="22"/>
          <w:lang w:val="en-GB" w:eastAsia="en-US"/>
        </w:rPr>
      </w:pPr>
      <w:r w:rsidRPr="00A96BA0">
        <w:rPr>
          <w:rFonts w:ascii="Arial" w:hAnsi="Arial" w:cs="Arial"/>
          <w:bCs/>
          <w:snapToGrid w:val="0"/>
          <w:sz w:val="22"/>
          <w:szCs w:val="22"/>
          <w:lang w:val="en-GB" w:eastAsia="en-US"/>
        </w:rPr>
        <w:t xml:space="preserve">The PBAC noted </w:t>
      </w:r>
      <w:r w:rsidR="00A96BA0" w:rsidRPr="00A96BA0">
        <w:rPr>
          <w:rFonts w:ascii="Arial" w:hAnsi="Arial" w:cs="Arial"/>
          <w:bCs/>
          <w:snapToGrid w:val="0"/>
          <w:sz w:val="22"/>
          <w:szCs w:val="22"/>
          <w:lang w:val="en-GB" w:eastAsia="en-US"/>
        </w:rPr>
        <w:t xml:space="preserve">the </w:t>
      </w:r>
      <w:r w:rsidRPr="00A96BA0">
        <w:rPr>
          <w:rFonts w:ascii="Arial" w:hAnsi="Arial" w:cs="Arial"/>
          <w:bCs/>
          <w:snapToGrid w:val="0"/>
          <w:sz w:val="22"/>
          <w:szCs w:val="22"/>
          <w:lang w:val="en-GB" w:eastAsia="en-US"/>
        </w:rPr>
        <w:t>NPWP</w:t>
      </w:r>
      <w:r w:rsidR="00A96BA0">
        <w:rPr>
          <w:rFonts w:ascii="Arial" w:hAnsi="Arial" w:cs="Arial"/>
          <w:bCs/>
          <w:snapToGrid w:val="0"/>
          <w:sz w:val="22"/>
          <w:szCs w:val="22"/>
          <w:lang w:val="en-GB" w:eastAsia="en-US"/>
        </w:rPr>
        <w:t xml:space="preserve">’s comments on the benefits of this product for patients with PKU. </w:t>
      </w:r>
      <w:r w:rsidRPr="00A96BA0">
        <w:rPr>
          <w:rFonts w:ascii="Arial" w:hAnsi="Arial" w:cs="Arial"/>
          <w:color w:val="000000"/>
          <w:sz w:val="22"/>
          <w:szCs w:val="22"/>
        </w:rPr>
        <w:br/>
      </w:r>
    </w:p>
    <w:p w:rsidR="00E80D91" w:rsidRPr="0049338F" w:rsidRDefault="00E80D91" w:rsidP="00A96BA0">
      <w:pPr>
        <w:widowControl w:val="0"/>
        <w:numPr>
          <w:ilvl w:val="1"/>
          <w:numId w:val="2"/>
        </w:numPr>
        <w:spacing w:after="120"/>
        <w:contextualSpacing/>
        <w:rPr>
          <w:rFonts w:ascii="Arial" w:hAnsi="Arial" w:cs="Arial"/>
          <w:b/>
          <w:bCs/>
          <w:snapToGrid w:val="0"/>
          <w:sz w:val="22"/>
          <w:szCs w:val="22"/>
          <w:lang w:val="en-GB" w:eastAsia="en-US"/>
        </w:rPr>
      </w:pPr>
      <w:r>
        <w:rPr>
          <w:rFonts w:ascii="Arial" w:hAnsi="Arial"/>
          <w:sz w:val="22"/>
          <w:szCs w:val="22"/>
        </w:rPr>
        <w:t xml:space="preserve">In accordance with subsection 101(3BA) of the Act the </w:t>
      </w:r>
      <w:r w:rsidRPr="005D6136">
        <w:rPr>
          <w:rFonts w:ascii="Arial" w:hAnsi="Arial"/>
          <w:sz w:val="22"/>
          <w:szCs w:val="22"/>
        </w:rPr>
        <w:t>PBAC advised that</w:t>
      </w:r>
      <w:r>
        <w:rPr>
          <w:rFonts w:ascii="Arial" w:hAnsi="Arial"/>
          <w:sz w:val="22"/>
          <w:szCs w:val="22"/>
        </w:rPr>
        <w:t xml:space="preserve">, on the basis of the material available to its November 2015 meeting, </w:t>
      </w:r>
      <w:r w:rsidR="003C3317">
        <w:rPr>
          <w:rFonts w:ascii="Arial" w:hAnsi="Arial"/>
          <w:sz w:val="22"/>
          <w:szCs w:val="22"/>
        </w:rPr>
        <w:t>PKU Easy Microtabs®</w:t>
      </w:r>
      <w:r>
        <w:rPr>
          <w:rFonts w:ascii="Arial" w:hAnsi="Arial"/>
          <w:sz w:val="22"/>
          <w:szCs w:val="22"/>
        </w:rPr>
        <w:t xml:space="preserve"> should not be treated as interchangeable on an individual patient basis with any other drugs.</w:t>
      </w:r>
    </w:p>
    <w:p w:rsidR="00E80D91" w:rsidRDefault="00E80D91" w:rsidP="00A96BA0">
      <w:pPr>
        <w:pStyle w:val="ListParagraph"/>
        <w:rPr>
          <w:rFonts w:ascii="Arial" w:hAnsi="Arial"/>
          <w:sz w:val="22"/>
          <w:szCs w:val="22"/>
        </w:rPr>
      </w:pPr>
    </w:p>
    <w:p w:rsidR="00E80D91" w:rsidRDefault="00E80D91" w:rsidP="00A96BA0">
      <w:pPr>
        <w:pStyle w:val="ListParagraph"/>
        <w:numPr>
          <w:ilvl w:val="1"/>
          <w:numId w:val="2"/>
        </w:numPr>
        <w:rPr>
          <w:rFonts w:ascii="Arial" w:hAnsi="Arial"/>
          <w:sz w:val="22"/>
          <w:szCs w:val="22"/>
        </w:rPr>
      </w:pPr>
      <w:r w:rsidRPr="00287D86">
        <w:rPr>
          <w:rFonts w:ascii="Arial" w:hAnsi="Arial"/>
          <w:sz w:val="22"/>
          <w:szCs w:val="22"/>
        </w:rPr>
        <w:t xml:space="preserve">The PBAC recommended that </w:t>
      </w:r>
      <w:r w:rsidR="003C3317">
        <w:rPr>
          <w:rFonts w:ascii="Arial" w:hAnsi="Arial"/>
          <w:sz w:val="22"/>
          <w:szCs w:val="22"/>
        </w:rPr>
        <w:t>PKU Easy Microtabs®</w:t>
      </w:r>
      <w:r w:rsidRPr="00287D86">
        <w:rPr>
          <w:rFonts w:ascii="Arial" w:hAnsi="Arial"/>
          <w:sz w:val="22"/>
          <w:szCs w:val="22"/>
        </w:rPr>
        <w:t xml:space="preserve"> is suitable for inclusion in the PBS medicines for prescribing by nurse practitioners within collaborative arrangements</w:t>
      </w:r>
      <w:r>
        <w:rPr>
          <w:rFonts w:ascii="Arial" w:hAnsi="Arial"/>
          <w:sz w:val="22"/>
          <w:szCs w:val="22"/>
        </w:rPr>
        <w:t>.</w:t>
      </w:r>
    </w:p>
    <w:p w:rsidR="00E80D91" w:rsidRPr="0049338F" w:rsidRDefault="00E80D91" w:rsidP="00A96BA0">
      <w:pPr>
        <w:pStyle w:val="ListParagraph"/>
        <w:rPr>
          <w:rFonts w:ascii="Arial" w:hAnsi="Arial"/>
          <w:sz w:val="22"/>
          <w:szCs w:val="22"/>
        </w:rPr>
      </w:pPr>
    </w:p>
    <w:p w:rsidR="00E80D91" w:rsidRDefault="00E80D91" w:rsidP="00A96BA0">
      <w:pPr>
        <w:pStyle w:val="ListParagraph"/>
        <w:numPr>
          <w:ilvl w:val="1"/>
          <w:numId w:val="2"/>
        </w:numPr>
        <w:rPr>
          <w:rFonts w:ascii="Arial" w:hAnsi="Arial"/>
          <w:sz w:val="22"/>
          <w:szCs w:val="22"/>
        </w:rPr>
      </w:pPr>
      <w:r>
        <w:rPr>
          <w:rFonts w:ascii="Arial" w:hAnsi="Arial"/>
          <w:sz w:val="22"/>
          <w:szCs w:val="22"/>
        </w:rPr>
        <w:t xml:space="preserve">The PBAC recommended that the Safety Net 20 Day Rule should not apply as it has been the PBAC’s view that general nutrients be exempt.      </w:t>
      </w:r>
    </w:p>
    <w:p w:rsidR="006678E6" w:rsidRPr="000E195B" w:rsidRDefault="006678E6" w:rsidP="006678E6">
      <w:pPr>
        <w:rPr>
          <w:rFonts w:ascii="Arial" w:hAnsi="Arial" w:cs="Arial"/>
          <w:b/>
          <w:snapToGrid w:val="0"/>
          <w:sz w:val="22"/>
          <w:szCs w:val="22"/>
          <w:highlight w:val="yellow"/>
          <w:lang w:val="en-GB" w:eastAsia="en-US"/>
        </w:rPr>
      </w:pPr>
    </w:p>
    <w:p w:rsidR="006678E6" w:rsidRPr="000E195B" w:rsidRDefault="006678E6" w:rsidP="006678E6">
      <w:pPr>
        <w:jc w:val="both"/>
        <w:rPr>
          <w:rFonts w:ascii="Arial" w:hAnsi="Arial" w:cs="Arial"/>
          <w:b/>
          <w:bCs/>
          <w:snapToGrid w:val="0"/>
          <w:sz w:val="22"/>
          <w:szCs w:val="22"/>
          <w:highlight w:val="yellow"/>
          <w:lang w:val="en-GB" w:eastAsia="en-US"/>
        </w:rPr>
      </w:pPr>
    </w:p>
    <w:p w:rsidR="006678E6" w:rsidRPr="00796CD0" w:rsidRDefault="006678E6" w:rsidP="002654C1">
      <w:pPr>
        <w:pStyle w:val="Heading2"/>
        <w:rPr>
          <w:snapToGrid w:val="0"/>
          <w:lang w:val="en-GB" w:eastAsia="en-US"/>
        </w:rPr>
      </w:pPr>
      <w:r w:rsidRPr="00796CD0">
        <w:rPr>
          <w:snapToGrid w:val="0"/>
          <w:lang w:val="en-GB" w:eastAsia="en-US"/>
        </w:rPr>
        <w:t>Outcome:</w:t>
      </w:r>
    </w:p>
    <w:p w:rsidR="00E80D91" w:rsidRDefault="006678E6" w:rsidP="00F242EA">
      <w:pPr>
        <w:jc w:val="both"/>
        <w:rPr>
          <w:rFonts w:ascii="Arial" w:hAnsi="Arial" w:cs="Arial"/>
          <w:bCs/>
          <w:snapToGrid w:val="0"/>
          <w:sz w:val="22"/>
          <w:szCs w:val="22"/>
          <w:highlight w:val="yellow"/>
          <w:lang w:eastAsia="en-US"/>
        </w:rPr>
      </w:pPr>
      <w:r w:rsidRPr="00796CD0">
        <w:rPr>
          <w:rFonts w:ascii="Arial" w:hAnsi="Arial" w:cs="Arial"/>
          <w:bCs/>
          <w:snapToGrid w:val="0"/>
          <w:sz w:val="22"/>
          <w:szCs w:val="22"/>
          <w:lang w:val="en-GB" w:eastAsia="en-US"/>
        </w:rPr>
        <w:t>Recommended</w:t>
      </w:r>
    </w:p>
    <w:p w:rsidR="006678E6" w:rsidRDefault="006678E6" w:rsidP="006678E6">
      <w:pPr>
        <w:widowControl w:val="0"/>
        <w:jc w:val="both"/>
        <w:rPr>
          <w:rFonts w:ascii="Arial" w:hAnsi="Arial" w:cs="Arial"/>
          <w:bCs/>
          <w:snapToGrid w:val="0"/>
          <w:sz w:val="22"/>
          <w:szCs w:val="22"/>
          <w:highlight w:val="yellow"/>
          <w:lang w:eastAsia="en-US"/>
        </w:rPr>
      </w:pPr>
    </w:p>
    <w:p w:rsidR="002654C1" w:rsidRDefault="002654C1" w:rsidP="006678E6">
      <w:pPr>
        <w:widowControl w:val="0"/>
        <w:jc w:val="both"/>
        <w:rPr>
          <w:rFonts w:ascii="Arial" w:hAnsi="Arial" w:cs="Arial"/>
          <w:bCs/>
          <w:snapToGrid w:val="0"/>
          <w:sz w:val="22"/>
          <w:szCs w:val="22"/>
          <w:highlight w:val="yellow"/>
          <w:lang w:eastAsia="en-US"/>
        </w:rPr>
      </w:pPr>
    </w:p>
    <w:p w:rsidR="006678E6" w:rsidRPr="00496D02" w:rsidRDefault="006678E6" w:rsidP="002654C1">
      <w:pPr>
        <w:pStyle w:val="Heading1"/>
        <w:rPr>
          <w:i/>
          <w:snapToGrid w:val="0"/>
          <w:lang w:val="en-GB" w:eastAsia="en-US"/>
        </w:rPr>
      </w:pPr>
      <w:r w:rsidRPr="00796CD0">
        <w:rPr>
          <w:snapToGrid w:val="0"/>
          <w:lang w:val="en-GB" w:eastAsia="en-US"/>
        </w:rPr>
        <w:t>Recommended listing</w:t>
      </w:r>
    </w:p>
    <w:p w:rsidR="006678E6" w:rsidRPr="00796CD0" w:rsidRDefault="006678E6" w:rsidP="00796CD0">
      <w:pPr>
        <w:widowControl w:val="0"/>
        <w:numPr>
          <w:ilvl w:val="1"/>
          <w:numId w:val="2"/>
        </w:numPr>
        <w:spacing w:after="120"/>
        <w:contextualSpacing/>
        <w:jc w:val="both"/>
        <w:rPr>
          <w:rFonts w:ascii="Arial" w:hAnsi="Arial" w:cs="Arial"/>
          <w:b/>
          <w:bCs/>
          <w:snapToGrid w:val="0"/>
          <w:sz w:val="22"/>
          <w:szCs w:val="22"/>
          <w:lang w:eastAsia="en-US"/>
        </w:rPr>
      </w:pPr>
      <w:r w:rsidRPr="00796CD0">
        <w:rPr>
          <w:rFonts w:ascii="Arial" w:hAnsi="Arial" w:cs="Arial"/>
          <w:bCs/>
          <w:snapToGrid w:val="0"/>
          <w:sz w:val="22"/>
          <w:szCs w:val="22"/>
          <w:lang w:eastAsia="en-US"/>
        </w:rPr>
        <w:t>Add new item:</w:t>
      </w:r>
    </w:p>
    <w:p w:rsidR="006678E6" w:rsidRPr="000E195B" w:rsidRDefault="006678E6" w:rsidP="006678E6">
      <w:pPr>
        <w:widowControl w:val="0"/>
        <w:jc w:val="both"/>
        <w:rPr>
          <w:rFonts w:ascii="Arial" w:hAnsi="Arial" w:cs="Arial"/>
          <w:b/>
          <w:bCs/>
          <w:snapToGrid w:val="0"/>
          <w:sz w:val="22"/>
          <w:szCs w:val="22"/>
          <w:highlight w:val="yellow"/>
          <w:lang w:eastAsia="en-US"/>
        </w:rPr>
      </w:pPr>
    </w:p>
    <w:tbl>
      <w:tblPr>
        <w:tblW w:w="8363" w:type="dxa"/>
        <w:tblInd w:w="817" w:type="dxa"/>
        <w:tblLayout w:type="fixed"/>
        <w:tblLook w:val="0000" w:firstRow="0" w:lastRow="0" w:firstColumn="0" w:lastColumn="0" w:noHBand="0" w:noVBand="0"/>
        <w:tblCaption w:val="Recommended PBS listing"/>
      </w:tblPr>
      <w:tblGrid>
        <w:gridCol w:w="1985"/>
        <w:gridCol w:w="1417"/>
        <w:gridCol w:w="851"/>
        <w:gridCol w:w="567"/>
        <w:gridCol w:w="1984"/>
        <w:gridCol w:w="1559"/>
      </w:tblGrid>
      <w:tr w:rsidR="00A01499" w:rsidRPr="0039782C" w:rsidTr="00A01499">
        <w:trPr>
          <w:cantSplit/>
          <w:trHeight w:val="471"/>
        </w:trPr>
        <w:tc>
          <w:tcPr>
            <w:tcW w:w="3402" w:type="dxa"/>
            <w:gridSpan w:val="2"/>
            <w:tcBorders>
              <w:bottom w:val="single" w:sz="4" w:space="0" w:color="auto"/>
            </w:tcBorders>
          </w:tcPr>
          <w:p w:rsidR="00A01499" w:rsidRPr="0039782C" w:rsidRDefault="00A01499" w:rsidP="00B9484A">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A01499" w:rsidRPr="0039782C" w:rsidRDefault="00A01499" w:rsidP="00B9484A">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1" w:type="dxa"/>
            <w:tcBorders>
              <w:bottom w:val="single" w:sz="4" w:space="0" w:color="auto"/>
            </w:tcBorders>
          </w:tcPr>
          <w:p w:rsidR="00A01499" w:rsidRPr="0039782C" w:rsidRDefault="00A01499" w:rsidP="00B9484A">
            <w:pPr>
              <w:keepNext/>
              <w:ind w:left="-108"/>
              <w:jc w:val="both"/>
              <w:rPr>
                <w:rFonts w:ascii="Arial Narrow" w:hAnsi="Arial Narrow" w:cs="Arial"/>
                <w:b/>
                <w:sz w:val="20"/>
                <w:szCs w:val="20"/>
              </w:rPr>
            </w:pPr>
            <w:r w:rsidRPr="0039782C">
              <w:rPr>
                <w:rFonts w:ascii="Arial Narrow" w:hAnsi="Arial Narrow" w:cs="Arial"/>
                <w:b/>
                <w:sz w:val="20"/>
                <w:szCs w:val="20"/>
              </w:rPr>
              <w:t>Max.</w:t>
            </w:r>
          </w:p>
          <w:p w:rsidR="00A01499" w:rsidRPr="0039782C" w:rsidRDefault="00A01499" w:rsidP="00B9484A">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67" w:type="dxa"/>
            <w:tcBorders>
              <w:bottom w:val="single" w:sz="4" w:space="0" w:color="auto"/>
            </w:tcBorders>
          </w:tcPr>
          <w:p w:rsidR="00A01499" w:rsidRPr="0039782C" w:rsidRDefault="00A01499" w:rsidP="00B9484A">
            <w:pPr>
              <w:keepNext/>
              <w:ind w:left="-108"/>
              <w:jc w:val="both"/>
              <w:rPr>
                <w:rFonts w:ascii="Arial Narrow" w:hAnsi="Arial Narrow" w:cs="Arial"/>
                <w:b/>
                <w:sz w:val="20"/>
                <w:szCs w:val="20"/>
              </w:rPr>
            </w:pPr>
            <w:r w:rsidRPr="0039782C">
              <w:rPr>
                <w:rFonts w:ascii="Arial Narrow" w:hAnsi="Arial Narrow" w:cs="Arial"/>
                <w:b/>
                <w:sz w:val="20"/>
                <w:szCs w:val="20"/>
              </w:rPr>
              <w:t>№.of</w:t>
            </w:r>
          </w:p>
          <w:p w:rsidR="00A01499" w:rsidRPr="0039782C" w:rsidRDefault="00A01499" w:rsidP="00B9484A">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3543" w:type="dxa"/>
            <w:gridSpan w:val="2"/>
            <w:tcBorders>
              <w:bottom w:val="single" w:sz="4" w:space="0" w:color="auto"/>
            </w:tcBorders>
          </w:tcPr>
          <w:p w:rsidR="00A01499" w:rsidRPr="0039782C" w:rsidRDefault="00A01499" w:rsidP="00B9484A">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A01499" w:rsidRPr="00260CE3" w:rsidTr="00F4300C">
        <w:trPr>
          <w:cantSplit/>
          <w:trHeight w:val="577"/>
        </w:trPr>
        <w:tc>
          <w:tcPr>
            <w:tcW w:w="3402" w:type="dxa"/>
            <w:gridSpan w:val="2"/>
          </w:tcPr>
          <w:p w:rsidR="008C4CB1" w:rsidRPr="00260CE3" w:rsidRDefault="008C4CB1" w:rsidP="008C4CB1">
            <w:pPr>
              <w:keepNext/>
              <w:ind w:left="-108"/>
              <w:jc w:val="both"/>
              <w:rPr>
                <w:rFonts w:ascii="Arial Narrow" w:hAnsi="Arial Narrow" w:cs="Arial"/>
                <w:sz w:val="20"/>
                <w:szCs w:val="20"/>
              </w:rPr>
            </w:pPr>
            <w:r>
              <w:rPr>
                <w:rFonts w:ascii="Arial Narrow" w:hAnsi="Arial Narrow" w:cs="Arial"/>
                <w:smallCaps/>
                <w:sz w:val="20"/>
                <w:szCs w:val="20"/>
              </w:rPr>
              <w:t>AMINO ACID FORMULA WITHOUT PHENYLALANINE</w:t>
            </w:r>
          </w:p>
          <w:p w:rsidR="00A01499" w:rsidRPr="00737635" w:rsidRDefault="008C4CB1" w:rsidP="008C4CB1">
            <w:pPr>
              <w:keepNext/>
              <w:ind w:left="-108"/>
              <w:jc w:val="both"/>
              <w:rPr>
                <w:rFonts w:ascii="Arial Narrow" w:hAnsi="Arial Narrow" w:cs="Arial"/>
                <w:sz w:val="20"/>
                <w:szCs w:val="20"/>
              </w:rPr>
            </w:pPr>
            <w:r>
              <w:rPr>
                <w:rFonts w:ascii="Arial Narrow" w:hAnsi="Arial Narrow" w:cstheme="minorHAnsi"/>
                <w:sz w:val="20"/>
                <w:szCs w:val="20"/>
              </w:rPr>
              <w:t>M</w:t>
            </w:r>
            <w:r w:rsidRPr="00737635">
              <w:rPr>
                <w:rFonts w:ascii="Arial Narrow" w:hAnsi="Arial Narrow" w:cstheme="minorHAnsi"/>
                <w:sz w:val="20"/>
                <w:szCs w:val="20"/>
              </w:rPr>
              <w:t>odified release, 4 x 110 g, bottle</w:t>
            </w:r>
          </w:p>
        </w:tc>
        <w:tc>
          <w:tcPr>
            <w:tcW w:w="851" w:type="dxa"/>
          </w:tcPr>
          <w:p w:rsidR="00A01499" w:rsidRPr="00260CE3" w:rsidRDefault="00A01499" w:rsidP="00B9484A">
            <w:pPr>
              <w:keepNext/>
              <w:ind w:left="-108"/>
              <w:jc w:val="both"/>
              <w:rPr>
                <w:rFonts w:ascii="Arial Narrow" w:hAnsi="Arial Narrow" w:cs="Arial"/>
                <w:sz w:val="20"/>
                <w:szCs w:val="20"/>
              </w:rPr>
            </w:pPr>
          </w:p>
          <w:p w:rsidR="00A01499" w:rsidRPr="00260CE3" w:rsidRDefault="00A01499" w:rsidP="00B9484A">
            <w:pPr>
              <w:keepNext/>
              <w:ind w:left="-108"/>
              <w:jc w:val="both"/>
              <w:rPr>
                <w:rFonts w:ascii="Arial Narrow" w:hAnsi="Arial Narrow" w:cs="Arial"/>
                <w:sz w:val="20"/>
                <w:szCs w:val="20"/>
              </w:rPr>
            </w:pPr>
            <w:r>
              <w:rPr>
                <w:rFonts w:ascii="Arial Narrow" w:hAnsi="Arial Narrow" w:cs="Arial"/>
                <w:sz w:val="20"/>
                <w:szCs w:val="20"/>
              </w:rPr>
              <w:t>5</w:t>
            </w:r>
          </w:p>
        </w:tc>
        <w:tc>
          <w:tcPr>
            <w:tcW w:w="567" w:type="dxa"/>
          </w:tcPr>
          <w:p w:rsidR="00A01499" w:rsidRPr="00260CE3" w:rsidRDefault="00A01499" w:rsidP="00B9484A">
            <w:pPr>
              <w:keepNext/>
              <w:ind w:left="-108"/>
              <w:jc w:val="both"/>
              <w:rPr>
                <w:rFonts w:ascii="Arial Narrow" w:hAnsi="Arial Narrow" w:cs="Arial"/>
                <w:sz w:val="20"/>
                <w:szCs w:val="20"/>
              </w:rPr>
            </w:pPr>
          </w:p>
          <w:p w:rsidR="00A01499" w:rsidRPr="00260CE3" w:rsidRDefault="00A01499" w:rsidP="00B9484A">
            <w:pPr>
              <w:keepNext/>
              <w:ind w:left="-108"/>
              <w:jc w:val="both"/>
              <w:rPr>
                <w:rFonts w:ascii="Arial Narrow" w:hAnsi="Arial Narrow" w:cs="Arial"/>
                <w:sz w:val="20"/>
                <w:szCs w:val="20"/>
              </w:rPr>
            </w:pPr>
            <w:r>
              <w:rPr>
                <w:rFonts w:ascii="Arial Narrow" w:hAnsi="Arial Narrow" w:cs="Arial"/>
                <w:sz w:val="20"/>
                <w:szCs w:val="20"/>
              </w:rPr>
              <w:t>5</w:t>
            </w:r>
          </w:p>
        </w:tc>
        <w:tc>
          <w:tcPr>
            <w:tcW w:w="1984" w:type="dxa"/>
          </w:tcPr>
          <w:p w:rsidR="00A01499" w:rsidRDefault="00A01499" w:rsidP="00B9484A">
            <w:pPr>
              <w:keepNext/>
              <w:jc w:val="both"/>
              <w:rPr>
                <w:rFonts w:ascii="Arial Narrow" w:hAnsi="Arial Narrow" w:cs="Arial"/>
                <w:sz w:val="20"/>
                <w:szCs w:val="20"/>
              </w:rPr>
            </w:pPr>
          </w:p>
          <w:p w:rsidR="00A01499" w:rsidRPr="00260CE3" w:rsidRDefault="00A01499" w:rsidP="00B9484A">
            <w:pPr>
              <w:keepNext/>
              <w:jc w:val="both"/>
              <w:rPr>
                <w:rFonts w:ascii="Arial Narrow" w:hAnsi="Arial Narrow" w:cs="Arial"/>
                <w:sz w:val="20"/>
                <w:szCs w:val="20"/>
              </w:rPr>
            </w:pPr>
            <w:r>
              <w:rPr>
                <w:rFonts w:ascii="Arial Narrow" w:hAnsi="Arial Narrow" w:cs="Arial"/>
                <w:sz w:val="20"/>
                <w:szCs w:val="20"/>
              </w:rPr>
              <w:t>PKU Easy Microtabs®</w:t>
            </w:r>
          </w:p>
        </w:tc>
        <w:tc>
          <w:tcPr>
            <w:tcW w:w="1559" w:type="dxa"/>
          </w:tcPr>
          <w:p w:rsidR="00A01499" w:rsidRDefault="00A01499" w:rsidP="00B9484A">
            <w:pPr>
              <w:keepNext/>
              <w:jc w:val="both"/>
              <w:rPr>
                <w:rFonts w:ascii="Arial Narrow" w:hAnsi="Arial Narrow" w:cs="Arial"/>
                <w:sz w:val="20"/>
                <w:szCs w:val="20"/>
              </w:rPr>
            </w:pPr>
          </w:p>
          <w:p w:rsidR="00A01499" w:rsidRPr="00260CE3" w:rsidRDefault="00F4300C" w:rsidP="00B9484A">
            <w:pPr>
              <w:keepNext/>
              <w:jc w:val="both"/>
              <w:rPr>
                <w:rFonts w:ascii="Arial Narrow" w:hAnsi="Arial Narrow" w:cs="Arial"/>
                <w:sz w:val="20"/>
                <w:szCs w:val="20"/>
              </w:rPr>
            </w:pPr>
            <w:proofErr w:type="spellStart"/>
            <w:r w:rsidRPr="00F84BA4">
              <w:rPr>
                <w:rFonts w:ascii="Arial Narrow" w:hAnsi="Arial Narrow" w:cs="Arial"/>
                <w:sz w:val="20"/>
                <w:szCs w:val="20"/>
              </w:rPr>
              <w:t>Orpharma</w:t>
            </w:r>
            <w:proofErr w:type="spellEnd"/>
            <w:r w:rsidRPr="00F84BA4">
              <w:rPr>
                <w:rFonts w:ascii="Arial Narrow" w:hAnsi="Arial Narrow" w:cs="Arial"/>
                <w:sz w:val="20"/>
                <w:szCs w:val="20"/>
              </w:rPr>
              <w:t xml:space="preserve"> Pty Ltd</w:t>
            </w:r>
          </w:p>
        </w:tc>
      </w:tr>
      <w:tr w:rsidR="00796CD0" w:rsidRPr="00260CE3" w:rsidTr="00B9484A">
        <w:trPr>
          <w:cantSplit/>
          <w:trHeight w:val="360"/>
        </w:trPr>
        <w:tc>
          <w:tcPr>
            <w:tcW w:w="8363" w:type="dxa"/>
            <w:gridSpan w:val="6"/>
            <w:tcBorders>
              <w:bottom w:val="single" w:sz="4" w:space="0" w:color="auto"/>
            </w:tcBorders>
          </w:tcPr>
          <w:p w:rsidR="00796CD0" w:rsidRPr="00260CE3" w:rsidRDefault="00796CD0" w:rsidP="00B9484A">
            <w:pPr>
              <w:jc w:val="both"/>
              <w:rPr>
                <w:rFonts w:ascii="Arial Narrow" w:hAnsi="Arial Narrow" w:cs="Arial"/>
                <w:sz w:val="20"/>
                <w:szCs w:val="20"/>
              </w:rPr>
            </w:pPr>
          </w:p>
        </w:tc>
      </w:tr>
      <w:tr w:rsidR="00796CD0"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96CD0" w:rsidRPr="00260CE3" w:rsidRDefault="00796CD0" w:rsidP="00B9484A">
            <w:pPr>
              <w:jc w:val="both"/>
              <w:rPr>
                <w:rFonts w:ascii="Arial Narrow" w:hAnsi="Arial Narrow" w:cs="Arial"/>
                <w:b/>
                <w:sz w:val="20"/>
                <w:szCs w:val="20"/>
              </w:rPr>
            </w:pPr>
            <w:r w:rsidRPr="00260CE3">
              <w:rPr>
                <w:rFonts w:ascii="Arial Narrow" w:hAnsi="Arial Narrow" w:cs="Arial"/>
                <w:b/>
                <w:sz w:val="20"/>
                <w:szCs w:val="20"/>
              </w:rPr>
              <w:t xml:space="preserve">Category / </w:t>
            </w:r>
          </w:p>
          <w:p w:rsidR="00796CD0" w:rsidRPr="00260CE3" w:rsidRDefault="00796CD0" w:rsidP="00B9484A">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796CD0" w:rsidRPr="00260CE3" w:rsidRDefault="00796CD0" w:rsidP="00B9484A">
            <w:pPr>
              <w:rPr>
                <w:rFonts w:ascii="Arial Narrow" w:hAnsi="Arial Narrow" w:cs="Arial"/>
                <w:sz w:val="20"/>
                <w:szCs w:val="20"/>
              </w:rPr>
            </w:pPr>
            <w:r w:rsidRPr="00260CE3">
              <w:rPr>
                <w:rFonts w:ascii="Arial Narrow" w:hAnsi="Arial Narrow" w:cs="Arial"/>
                <w:sz w:val="20"/>
                <w:szCs w:val="20"/>
              </w:rPr>
              <w:t>GENERAL – General Schedule (Code GE)</w:t>
            </w:r>
          </w:p>
          <w:p w:rsidR="00796CD0" w:rsidRPr="00260CE3" w:rsidRDefault="00796CD0" w:rsidP="00B9484A">
            <w:pPr>
              <w:rPr>
                <w:rFonts w:ascii="Arial Narrow" w:hAnsi="Arial Narrow" w:cs="Arial"/>
                <w:sz w:val="20"/>
                <w:szCs w:val="20"/>
              </w:rPr>
            </w:pPr>
            <w:r w:rsidRPr="00260CE3">
              <w:rPr>
                <w:rFonts w:ascii="Arial Narrow" w:hAnsi="Arial Narrow" w:cs="Arial"/>
                <w:sz w:val="20"/>
                <w:szCs w:val="20"/>
              </w:rPr>
              <w:t>.</w:t>
            </w:r>
          </w:p>
        </w:tc>
      </w:tr>
      <w:tr w:rsidR="00796CD0"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96CD0" w:rsidRPr="00260CE3" w:rsidRDefault="00796CD0" w:rsidP="00B9484A">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796CD0" w:rsidRPr="00260CE3" w:rsidRDefault="00796CD0" w:rsidP="00B9484A">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96CD0" w:rsidRPr="00260CE3" w:rsidRDefault="00796CD0" w:rsidP="00B9484A">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96CD0"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96CD0" w:rsidRPr="00260CE3" w:rsidRDefault="00796CD0" w:rsidP="00B9484A">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96CD0" w:rsidRPr="00260CE3" w:rsidRDefault="00796CD0" w:rsidP="00B9484A">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796CD0" w:rsidRPr="00106BCF" w:rsidRDefault="00796CD0" w:rsidP="00B9484A">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796CD0" w:rsidRPr="00106BCF" w:rsidRDefault="00796CD0" w:rsidP="00B9484A">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796CD0" w:rsidRPr="00106BCF" w:rsidRDefault="00796CD0" w:rsidP="00B9484A">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796CD0" w:rsidRPr="00106BCF" w:rsidRDefault="00796CD0" w:rsidP="00B9484A">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796CD0" w:rsidRPr="00106BCF" w:rsidRDefault="00796CD0" w:rsidP="00B9484A">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796CD0" w:rsidRPr="00260CE3" w:rsidRDefault="00796CD0" w:rsidP="00B9484A">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B0E8E">
              <w:rPr>
                <w:rFonts w:ascii="Arial Narrow" w:hAnsi="Arial Narrow" w:cs="Arial"/>
                <w:sz w:val="20"/>
                <w:szCs w:val="20"/>
              </w:rPr>
            </w:r>
            <w:r w:rsidR="00BB0E8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796CD0"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96CD0" w:rsidRPr="00E42767" w:rsidRDefault="00796CD0" w:rsidP="00B9484A">
            <w:pPr>
              <w:jc w:val="both"/>
              <w:rPr>
                <w:rFonts w:ascii="Arial Narrow" w:hAnsi="Arial Narrow" w:cs="Arial"/>
                <w:b/>
                <w:sz w:val="20"/>
                <w:szCs w:val="20"/>
              </w:rPr>
            </w:pPr>
            <w:r w:rsidRPr="00E42767">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796CD0" w:rsidRPr="00260CE3" w:rsidRDefault="00796CD0" w:rsidP="00B9484A">
            <w:pPr>
              <w:rPr>
                <w:rFonts w:ascii="Arial Narrow" w:hAnsi="Arial Narrow" w:cs="Arial"/>
                <w:sz w:val="20"/>
                <w:szCs w:val="20"/>
              </w:rPr>
            </w:pPr>
            <w:r w:rsidRPr="0075539D">
              <w:rPr>
                <w:rFonts w:ascii="Arial Narrow" w:hAnsi="Arial Narrow" w:cs="Arial"/>
                <w:sz w:val="20"/>
                <w:szCs w:val="20"/>
              </w:rPr>
              <w:t>Phenylketonuria</w:t>
            </w:r>
          </w:p>
          <w:p w:rsidR="00796CD0" w:rsidRPr="00260CE3" w:rsidRDefault="00796CD0" w:rsidP="00B9484A">
            <w:pPr>
              <w:rPr>
                <w:rFonts w:ascii="Arial Narrow" w:hAnsi="Arial Narrow" w:cs="Arial"/>
                <w:sz w:val="20"/>
                <w:szCs w:val="20"/>
              </w:rPr>
            </w:pPr>
          </w:p>
        </w:tc>
      </w:tr>
      <w:tr w:rsidR="00796CD0" w:rsidRPr="00260CE3" w:rsidTr="00B9484A">
        <w:trPr>
          <w:cantSplit/>
          <w:trHeight w:val="360"/>
        </w:trPr>
        <w:tc>
          <w:tcPr>
            <w:tcW w:w="1985" w:type="dxa"/>
            <w:tcBorders>
              <w:top w:val="single" w:sz="4" w:space="0" w:color="auto"/>
              <w:left w:val="single" w:sz="4" w:space="0" w:color="auto"/>
              <w:bottom w:val="single" w:sz="4" w:space="0" w:color="auto"/>
              <w:right w:val="single" w:sz="4" w:space="0" w:color="auto"/>
            </w:tcBorders>
          </w:tcPr>
          <w:p w:rsidR="00796CD0" w:rsidRPr="00260CE3" w:rsidRDefault="00796CD0" w:rsidP="00B9484A">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796CD0" w:rsidRPr="00260CE3" w:rsidRDefault="00796CD0" w:rsidP="00B9484A">
            <w:pPr>
              <w:rPr>
                <w:rFonts w:ascii="Arial Narrow" w:hAnsi="Arial Narrow" w:cs="Arial"/>
                <w:sz w:val="20"/>
                <w:szCs w:val="20"/>
              </w:rPr>
            </w:pPr>
            <w:r w:rsidRPr="00263CB8">
              <w:rPr>
                <w:rFonts w:ascii="Arial Narrow" w:hAnsi="Arial Narrow" w:cs="Arial"/>
                <w:sz w:val="20"/>
              </w:rPr>
              <w:t>Phenylketonuria</w:t>
            </w:r>
          </w:p>
        </w:tc>
      </w:tr>
    </w:tbl>
    <w:p w:rsidR="006678E6" w:rsidRDefault="006678E6" w:rsidP="006678E6">
      <w:pPr>
        <w:jc w:val="both"/>
        <w:rPr>
          <w:rFonts w:ascii="Arial" w:hAnsi="Arial" w:cs="Arial"/>
          <w:b/>
          <w:sz w:val="22"/>
          <w:szCs w:val="22"/>
        </w:rPr>
      </w:pPr>
    </w:p>
    <w:p w:rsidR="001279C8" w:rsidRDefault="001279C8" w:rsidP="001279C8">
      <w:pPr>
        <w:rPr>
          <w:bCs/>
          <w:szCs w:val="22"/>
        </w:rPr>
      </w:pPr>
    </w:p>
    <w:p w:rsidR="00BB0E8E" w:rsidRDefault="00BB0E8E" w:rsidP="001279C8">
      <w:pPr>
        <w:rPr>
          <w:bCs/>
          <w:szCs w:val="22"/>
        </w:rPr>
      </w:pPr>
    </w:p>
    <w:p w:rsidR="00BB0E8E" w:rsidRPr="006D54A5" w:rsidRDefault="00BB0E8E" w:rsidP="001279C8">
      <w:pPr>
        <w:rPr>
          <w:bCs/>
          <w:szCs w:val="22"/>
        </w:rPr>
      </w:pPr>
      <w:bookmarkStart w:id="5" w:name="_GoBack"/>
      <w:bookmarkEnd w:id="5"/>
    </w:p>
    <w:p w:rsidR="001279C8" w:rsidRPr="002A5741" w:rsidRDefault="001279C8" w:rsidP="002654C1">
      <w:pPr>
        <w:pStyle w:val="Heading1"/>
        <w:rPr>
          <w:rFonts w:eastAsia="SimSun"/>
        </w:rPr>
      </w:pPr>
      <w:r w:rsidRPr="002A5741">
        <w:rPr>
          <w:rFonts w:eastAsia="SimSun"/>
        </w:rPr>
        <w:t>Context for Decision</w:t>
      </w:r>
    </w:p>
    <w:p w:rsidR="001279C8" w:rsidRDefault="001279C8" w:rsidP="001279C8">
      <w:pPr>
        <w:ind w:left="720"/>
        <w:contextualSpacing/>
        <w:rPr>
          <w:b/>
        </w:rPr>
      </w:pPr>
    </w:p>
    <w:p w:rsidR="001279C8" w:rsidRPr="001279C8" w:rsidRDefault="001279C8" w:rsidP="001279C8">
      <w:pPr>
        <w:ind w:left="720"/>
        <w:rPr>
          <w:rFonts w:ascii="Arial" w:hAnsi="Arial" w:cs="Arial"/>
          <w:bCs/>
          <w:sz w:val="22"/>
          <w:szCs w:val="22"/>
        </w:rPr>
      </w:pPr>
      <w:r w:rsidRPr="001279C8">
        <w:rPr>
          <w:rFonts w:ascii="Arial" w:hAnsi="Arial" w:cs="Arial"/>
          <w:bCs/>
          <w:sz w:val="22"/>
          <w:szCs w:val="22"/>
        </w:rPr>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279C8" w:rsidRDefault="001279C8" w:rsidP="001279C8"/>
    <w:p w:rsidR="002654C1" w:rsidRDefault="002654C1" w:rsidP="001279C8"/>
    <w:p w:rsidR="001279C8" w:rsidRPr="002A5741" w:rsidRDefault="001279C8" w:rsidP="002654C1">
      <w:pPr>
        <w:pStyle w:val="Heading1"/>
        <w:rPr>
          <w:rFonts w:eastAsia="SimSun"/>
        </w:rPr>
      </w:pPr>
      <w:r w:rsidRPr="002A5741">
        <w:rPr>
          <w:rFonts w:eastAsia="SimSun"/>
        </w:rPr>
        <w:t>Sponsor’s Comment</w:t>
      </w:r>
    </w:p>
    <w:p w:rsidR="001279C8" w:rsidRDefault="001279C8" w:rsidP="001279C8">
      <w:pPr>
        <w:tabs>
          <w:tab w:val="left" w:pos="2940"/>
        </w:tabs>
        <w:rPr>
          <w:szCs w:val="22"/>
        </w:rPr>
      </w:pPr>
    </w:p>
    <w:p w:rsidR="00562210" w:rsidRPr="00562210" w:rsidRDefault="00562210" w:rsidP="00562210">
      <w:pPr>
        <w:ind w:firstLine="720"/>
        <w:rPr>
          <w:rFonts w:ascii="Arial" w:hAnsi="Arial" w:cs="Arial"/>
          <w:bCs/>
          <w:sz w:val="22"/>
          <w:szCs w:val="22"/>
        </w:rPr>
      </w:pPr>
      <w:r w:rsidRPr="00562210">
        <w:rPr>
          <w:rFonts w:ascii="Arial" w:hAnsi="Arial" w:cs="Arial"/>
          <w:bCs/>
          <w:sz w:val="22"/>
          <w:szCs w:val="22"/>
        </w:rPr>
        <w:t>The Sponsor thanks the PBAC for their considerations.</w:t>
      </w:r>
    </w:p>
    <w:p w:rsidR="00796CD0" w:rsidRPr="00A76D5E" w:rsidRDefault="00796CD0" w:rsidP="00562210">
      <w:pPr>
        <w:ind w:left="720"/>
        <w:rPr>
          <w:rFonts w:ascii="Calibri" w:hAnsi="Calibri" w:cs="Calibri"/>
        </w:rPr>
      </w:pPr>
    </w:p>
    <w:sectPr w:rsidR="00796CD0" w:rsidRPr="00A76D5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81" w:rsidRDefault="00900F81">
      <w:r>
        <w:separator/>
      </w:r>
    </w:p>
    <w:p w:rsidR="00900F81" w:rsidRDefault="00900F81"/>
  </w:endnote>
  <w:endnote w:type="continuationSeparator" w:id="0">
    <w:p w:rsidR="00900F81" w:rsidRDefault="00900F81">
      <w:r>
        <w:continuationSeparator/>
      </w:r>
    </w:p>
    <w:p w:rsidR="00900F81" w:rsidRDefault="00900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9484A" w:rsidTr="005A3173">
      <w:trPr>
        <w:trHeight w:val="151"/>
      </w:trPr>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9484A" w:rsidRPr="005A3173" w:rsidRDefault="00B94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r>
    <w:tr w:rsidR="00B9484A" w:rsidTr="005A3173">
      <w:trPr>
        <w:trHeight w:val="150"/>
      </w:trPr>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0" w:type="auto"/>
          <w:vMerge/>
          <w:vAlign w:val="center"/>
          <w:hideMark/>
        </w:tcPr>
        <w:p w:rsidR="00B9484A" w:rsidRPr="005A3173" w:rsidRDefault="00B948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r>
  </w:tbl>
  <w:p w:rsidR="00B9484A" w:rsidRDefault="00B9484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84A" w:rsidRDefault="00B9484A">
    <w:pPr>
      <w:pStyle w:val="Footer"/>
    </w:pPr>
  </w:p>
  <w:p w:rsidR="00B9484A" w:rsidRDefault="00B948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006552202"/>
      <w:docPartObj>
        <w:docPartGallery w:val="Page Numbers (Bottom of Page)"/>
        <w:docPartUnique/>
      </w:docPartObj>
    </w:sdtPr>
    <w:sdtEndPr>
      <w:rPr>
        <w:noProof/>
      </w:rPr>
    </w:sdtEndPr>
    <w:sdtContent>
      <w:p w:rsidR="00B9484A" w:rsidRPr="006678E6" w:rsidRDefault="00B9484A" w:rsidP="006678E6">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BB0E8E">
          <w:rPr>
            <w:rFonts w:ascii="Arial Narrow" w:hAnsi="Arial Narrow"/>
            <w:noProof/>
            <w:sz w:val="20"/>
            <w:szCs w:val="20"/>
          </w:rPr>
          <w:t>6</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9484A" w:rsidTr="005A3173">
      <w:trPr>
        <w:trHeight w:val="151"/>
      </w:trPr>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9484A" w:rsidRPr="005A3173" w:rsidRDefault="00B94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r>
    <w:tr w:rsidR="00B9484A" w:rsidTr="005A3173">
      <w:trPr>
        <w:trHeight w:val="150"/>
      </w:trPr>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0" w:type="auto"/>
          <w:vMerge/>
          <w:vAlign w:val="center"/>
          <w:hideMark/>
        </w:tcPr>
        <w:p w:rsidR="00B9484A" w:rsidRPr="005A3173" w:rsidRDefault="00B948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9484A" w:rsidTr="005A3173">
      <w:trPr>
        <w:trHeight w:val="151"/>
      </w:trPr>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9484A" w:rsidRPr="005A3173" w:rsidRDefault="00B94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9484A" w:rsidRPr="005A3173" w:rsidRDefault="00B9484A" w:rsidP="005A3173">
          <w:pPr>
            <w:pStyle w:val="Header"/>
            <w:spacing w:line="276" w:lineRule="auto"/>
            <w:rPr>
              <w:rFonts w:ascii="Calibri" w:eastAsia="MS Gothic" w:hAnsi="Calibri"/>
              <w:b/>
              <w:bCs/>
              <w:color w:val="4F81BD"/>
            </w:rPr>
          </w:pPr>
        </w:p>
      </w:tc>
    </w:tr>
    <w:tr w:rsidR="00B9484A" w:rsidTr="005A3173">
      <w:trPr>
        <w:trHeight w:val="150"/>
      </w:trPr>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c>
        <w:tcPr>
          <w:tcW w:w="0" w:type="auto"/>
          <w:vMerge/>
          <w:vAlign w:val="center"/>
          <w:hideMark/>
        </w:tcPr>
        <w:p w:rsidR="00B9484A" w:rsidRPr="005A3173" w:rsidRDefault="00B948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9484A" w:rsidRPr="005A3173" w:rsidRDefault="00B9484A" w:rsidP="005A3173">
          <w:pPr>
            <w:pStyle w:val="Header"/>
            <w:spacing w:line="276" w:lineRule="auto"/>
            <w:rPr>
              <w:rFonts w:ascii="Calibri" w:eastAsia="MS Gothic" w:hAnsi="Calibri"/>
              <w:b/>
              <w:bCs/>
              <w:color w:val="4F81BD"/>
            </w:rPr>
          </w:pPr>
        </w:p>
      </w:tc>
    </w:tr>
  </w:tbl>
  <w:p w:rsidR="00B9484A" w:rsidRPr="007C0F57" w:rsidRDefault="00B9484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9484A" w:rsidRPr="007C0F57" w:rsidRDefault="00B9484A" w:rsidP="007C0F57">
    <w:pPr>
      <w:pStyle w:val="Footer"/>
      <w:jc w:val="center"/>
      <w:rPr>
        <w:b/>
        <w:i/>
        <w:sz w:val="20"/>
        <w:szCs w:val="20"/>
      </w:rPr>
    </w:pPr>
    <w:r w:rsidRPr="007C0F57">
      <w:rPr>
        <w:b/>
        <w:i/>
        <w:sz w:val="20"/>
        <w:szCs w:val="20"/>
      </w:rPr>
      <w:t>Commercial-in-Confidence</w:t>
    </w:r>
  </w:p>
  <w:p w:rsidR="00B9484A" w:rsidRDefault="00B948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81" w:rsidRDefault="00900F81">
      <w:r>
        <w:separator/>
      </w:r>
    </w:p>
    <w:p w:rsidR="00900F81" w:rsidRDefault="00900F81"/>
  </w:footnote>
  <w:footnote w:type="continuationSeparator" w:id="0">
    <w:p w:rsidR="00900F81" w:rsidRDefault="00900F81">
      <w:r>
        <w:continuationSeparator/>
      </w:r>
    </w:p>
    <w:p w:rsidR="00900F81" w:rsidRDefault="00900F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9484A" w:rsidRPr="008E0D90" w:rsidTr="00A06225">
      <w:trPr>
        <w:trHeight w:val="151"/>
      </w:trPr>
      <w:tc>
        <w:tcPr>
          <w:tcW w:w="2389" w:type="pct"/>
          <w:tcBorders>
            <w:top w:val="nil"/>
            <w:left w:val="nil"/>
            <w:bottom w:val="single" w:sz="4" w:space="0" w:color="4F81BD"/>
            <w:right w:val="nil"/>
          </w:tcBorders>
        </w:tcPr>
        <w:p w:rsidR="00B9484A" w:rsidRPr="00A06225" w:rsidRDefault="00B9484A">
          <w:pPr>
            <w:pStyle w:val="Header"/>
            <w:spacing w:line="276" w:lineRule="auto"/>
            <w:rPr>
              <w:rFonts w:ascii="Cambria" w:eastAsia="MS Gothic" w:hAnsi="Cambria"/>
              <w:b/>
              <w:bCs/>
              <w:color w:val="4F81BD"/>
            </w:rPr>
          </w:pPr>
        </w:p>
      </w:tc>
      <w:tc>
        <w:tcPr>
          <w:tcW w:w="333" w:type="pct"/>
          <w:vMerge w:val="restart"/>
          <w:noWrap/>
          <w:vAlign w:val="center"/>
          <w:hideMark/>
        </w:tcPr>
        <w:p w:rsidR="00B9484A" w:rsidRPr="00A06225" w:rsidRDefault="00B9484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9484A" w:rsidRPr="00A06225" w:rsidRDefault="00B9484A">
          <w:pPr>
            <w:pStyle w:val="Header"/>
            <w:spacing w:line="276" w:lineRule="auto"/>
            <w:rPr>
              <w:rFonts w:ascii="Cambria" w:eastAsia="MS Gothic" w:hAnsi="Cambria"/>
              <w:b/>
              <w:bCs/>
              <w:color w:val="4F81BD"/>
            </w:rPr>
          </w:pPr>
        </w:p>
      </w:tc>
    </w:tr>
    <w:tr w:rsidR="00B9484A" w:rsidRPr="008E0D90" w:rsidTr="00A06225">
      <w:trPr>
        <w:trHeight w:val="150"/>
      </w:trPr>
      <w:tc>
        <w:tcPr>
          <w:tcW w:w="2389" w:type="pct"/>
          <w:tcBorders>
            <w:top w:val="single" w:sz="4" w:space="0" w:color="4F81BD"/>
            <w:left w:val="nil"/>
            <w:bottom w:val="nil"/>
            <w:right w:val="nil"/>
          </w:tcBorders>
        </w:tcPr>
        <w:p w:rsidR="00B9484A" w:rsidRPr="00A06225" w:rsidRDefault="00B9484A">
          <w:pPr>
            <w:pStyle w:val="Header"/>
            <w:spacing w:line="276" w:lineRule="auto"/>
            <w:rPr>
              <w:rFonts w:ascii="Cambria" w:eastAsia="MS Gothic" w:hAnsi="Cambria"/>
              <w:b/>
              <w:bCs/>
              <w:color w:val="4F81BD"/>
            </w:rPr>
          </w:pPr>
        </w:p>
      </w:tc>
      <w:tc>
        <w:tcPr>
          <w:tcW w:w="0" w:type="auto"/>
          <w:vMerge/>
          <w:vAlign w:val="center"/>
          <w:hideMark/>
        </w:tcPr>
        <w:p w:rsidR="00B9484A" w:rsidRPr="00A06225" w:rsidRDefault="00B9484A">
          <w:pPr>
            <w:rPr>
              <w:rFonts w:ascii="Cambria" w:hAnsi="Cambria"/>
              <w:color w:val="4F81BD"/>
              <w:sz w:val="22"/>
              <w:szCs w:val="22"/>
            </w:rPr>
          </w:pPr>
        </w:p>
      </w:tc>
      <w:tc>
        <w:tcPr>
          <w:tcW w:w="2278" w:type="pct"/>
          <w:tcBorders>
            <w:top w:val="single" w:sz="4" w:space="0" w:color="4F81BD"/>
            <w:left w:val="nil"/>
            <w:bottom w:val="nil"/>
            <w:right w:val="nil"/>
          </w:tcBorders>
        </w:tcPr>
        <w:p w:rsidR="00B9484A" w:rsidRPr="00A06225" w:rsidRDefault="00B9484A">
          <w:pPr>
            <w:pStyle w:val="Header"/>
            <w:spacing w:line="276" w:lineRule="auto"/>
            <w:rPr>
              <w:rFonts w:ascii="Cambria" w:eastAsia="MS Gothic" w:hAnsi="Cambria"/>
              <w:b/>
              <w:bCs/>
              <w:color w:val="4F81BD"/>
            </w:rPr>
          </w:pPr>
        </w:p>
      </w:tc>
    </w:tr>
  </w:tbl>
  <w:p w:rsidR="00B9484A" w:rsidRDefault="00B9484A">
    <w:pPr>
      <w:pStyle w:val="Header"/>
    </w:pPr>
  </w:p>
  <w:p w:rsidR="00B9484A" w:rsidRDefault="00B948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E5" w:rsidRPr="007E34E5" w:rsidRDefault="007E34E5" w:rsidP="007E34E5">
    <w:pPr>
      <w:pStyle w:val="Header"/>
      <w:jc w:val="center"/>
      <w:rPr>
        <w:rFonts w:ascii="Arial" w:hAnsi="Arial" w:cs="Arial"/>
        <w:sz w:val="22"/>
        <w:szCs w:val="22"/>
      </w:rPr>
    </w:pPr>
    <w:r w:rsidRPr="007E34E5">
      <w:rPr>
        <w:rFonts w:ascii="Arial" w:hAnsi="Arial" w:cs="Arial"/>
        <w:i/>
        <w:color w:val="808080"/>
        <w:sz w:val="22"/>
        <w:szCs w:val="22"/>
      </w:rPr>
      <w:t>Public Summary Document – November 2015 PBAC Meeting</w:t>
    </w:r>
  </w:p>
  <w:p w:rsidR="00B9484A" w:rsidRPr="006678E6" w:rsidRDefault="00B9484A" w:rsidP="006678E6">
    <w:pPr>
      <w:pStyle w:val="Header"/>
      <w:ind w:left="360"/>
      <w:jc w:val="center"/>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81" w:rsidRDefault="00900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61C484C"/>
    <w:multiLevelType w:val="hybridMultilevel"/>
    <w:tmpl w:val="25186952"/>
    <w:lvl w:ilvl="0" w:tplc="5B5E8AB0">
      <w:start w:val="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3F531379"/>
    <w:multiLevelType w:val="multilevel"/>
    <w:tmpl w:val="54A6C8F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3355E7"/>
    <w:multiLevelType w:val="hybridMultilevel"/>
    <w:tmpl w:val="7E2E2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611940E4"/>
    <w:multiLevelType w:val="hybridMultilevel"/>
    <w:tmpl w:val="400EB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784D033C"/>
    <w:multiLevelType w:val="multilevel"/>
    <w:tmpl w:val="16DC642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8"/>
  </w:num>
  <w:num w:numId="3">
    <w:abstractNumId w:val="1"/>
  </w:num>
  <w:num w:numId="4">
    <w:abstractNumId w:val="16"/>
  </w:num>
  <w:num w:numId="5">
    <w:abstractNumId w:val="2"/>
  </w:num>
  <w:num w:numId="6">
    <w:abstractNumId w:val="6"/>
  </w:num>
  <w:num w:numId="7">
    <w:abstractNumId w:val="12"/>
  </w:num>
  <w:num w:numId="8">
    <w:abstractNumId w:val="7"/>
  </w:num>
  <w:num w:numId="9">
    <w:abstractNumId w:val="17"/>
  </w:num>
  <w:num w:numId="10">
    <w:abstractNumId w:val="15"/>
  </w:num>
  <w:num w:numId="11">
    <w:abstractNumId w:val="8"/>
  </w:num>
  <w:num w:numId="12">
    <w:abstractNumId w:val="9"/>
  </w:num>
  <w:num w:numId="13">
    <w:abstractNumId w:val="3"/>
  </w:num>
  <w:num w:numId="14">
    <w:abstractNumId w:val="0"/>
  </w:num>
  <w:num w:numId="15">
    <w:abstractNumId w:val="14"/>
  </w:num>
  <w:num w:numId="16">
    <w:abstractNumId w:val="11"/>
  </w:num>
  <w:num w:numId="17">
    <w:abstractNumId w:val="5"/>
  </w:num>
  <w:num w:numId="18">
    <w:abstractNumId w:val="13"/>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7FD4"/>
    <w:rsid w:val="0003106B"/>
    <w:rsid w:val="0003116E"/>
    <w:rsid w:val="00036FC4"/>
    <w:rsid w:val="000421A1"/>
    <w:rsid w:val="0004240E"/>
    <w:rsid w:val="00045E26"/>
    <w:rsid w:val="000514B5"/>
    <w:rsid w:val="0005154F"/>
    <w:rsid w:val="00057AF2"/>
    <w:rsid w:val="00060E64"/>
    <w:rsid w:val="00066755"/>
    <w:rsid w:val="00066ADC"/>
    <w:rsid w:val="00067955"/>
    <w:rsid w:val="00067964"/>
    <w:rsid w:val="000969AD"/>
    <w:rsid w:val="000B558D"/>
    <w:rsid w:val="000C6996"/>
    <w:rsid w:val="000D23BA"/>
    <w:rsid w:val="000E681E"/>
    <w:rsid w:val="000F28E1"/>
    <w:rsid w:val="000F4E6A"/>
    <w:rsid w:val="0010425C"/>
    <w:rsid w:val="001107BF"/>
    <w:rsid w:val="001218A5"/>
    <w:rsid w:val="0012417C"/>
    <w:rsid w:val="001279C8"/>
    <w:rsid w:val="00142395"/>
    <w:rsid w:val="00142714"/>
    <w:rsid w:val="001452ED"/>
    <w:rsid w:val="00152B77"/>
    <w:rsid w:val="0016410F"/>
    <w:rsid w:val="001830CE"/>
    <w:rsid w:val="00187CF9"/>
    <w:rsid w:val="001941D3"/>
    <w:rsid w:val="00196307"/>
    <w:rsid w:val="001B017F"/>
    <w:rsid w:val="001B5129"/>
    <w:rsid w:val="001C1195"/>
    <w:rsid w:val="00200E13"/>
    <w:rsid w:val="002035DC"/>
    <w:rsid w:val="0021335F"/>
    <w:rsid w:val="00213CFB"/>
    <w:rsid w:val="00226554"/>
    <w:rsid w:val="002654C1"/>
    <w:rsid w:val="0027167F"/>
    <w:rsid w:val="00271BA1"/>
    <w:rsid w:val="00277203"/>
    <w:rsid w:val="00277505"/>
    <w:rsid w:val="0029458F"/>
    <w:rsid w:val="002A104C"/>
    <w:rsid w:val="002A4960"/>
    <w:rsid w:val="002B1AE6"/>
    <w:rsid w:val="002B252C"/>
    <w:rsid w:val="002B276D"/>
    <w:rsid w:val="002B30F8"/>
    <w:rsid w:val="002C14A4"/>
    <w:rsid w:val="002C212F"/>
    <w:rsid w:val="002D5C51"/>
    <w:rsid w:val="002D776F"/>
    <w:rsid w:val="002E3153"/>
    <w:rsid w:val="002E72CA"/>
    <w:rsid w:val="002F531F"/>
    <w:rsid w:val="00326E79"/>
    <w:rsid w:val="003367EF"/>
    <w:rsid w:val="00341AE4"/>
    <w:rsid w:val="00351FB9"/>
    <w:rsid w:val="00355AB7"/>
    <w:rsid w:val="00377334"/>
    <w:rsid w:val="003872CF"/>
    <w:rsid w:val="0039466E"/>
    <w:rsid w:val="00394E3A"/>
    <w:rsid w:val="0039782C"/>
    <w:rsid w:val="003A5B4A"/>
    <w:rsid w:val="003A5FCF"/>
    <w:rsid w:val="003B0FF3"/>
    <w:rsid w:val="003B23C5"/>
    <w:rsid w:val="003B2A75"/>
    <w:rsid w:val="003B5BCB"/>
    <w:rsid w:val="003C3317"/>
    <w:rsid w:val="003C6E03"/>
    <w:rsid w:val="003D4793"/>
    <w:rsid w:val="003D4AC4"/>
    <w:rsid w:val="003D63B7"/>
    <w:rsid w:val="003E468B"/>
    <w:rsid w:val="003F5C8C"/>
    <w:rsid w:val="00413D56"/>
    <w:rsid w:val="00421370"/>
    <w:rsid w:val="00436B52"/>
    <w:rsid w:val="00437468"/>
    <w:rsid w:val="004465BD"/>
    <w:rsid w:val="00464182"/>
    <w:rsid w:val="00466ADA"/>
    <w:rsid w:val="00476245"/>
    <w:rsid w:val="00480C3A"/>
    <w:rsid w:val="00485940"/>
    <w:rsid w:val="0049407A"/>
    <w:rsid w:val="00496D02"/>
    <w:rsid w:val="004A08DA"/>
    <w:rsid w:val="004A5A85"/>
    <w:rsid w:val="004B5640"/>
    <w:rsid w:val="004B6630"/>
    <w:rsid w:val="004C1BD7"/>
    <w:rsid w:val="004C691D"/>
    <w:rsid w:val="004D2744"/>
    <w:rsid w:val="004E692D"/>
    <w:rsid w:val="00501554"/>
    <w:rsid w:val="00514CD7"/>
    <w:rsid w:val="005316E0"/>
    <w:rsid w:val="005319B2"/>
    <w:rsid w:val="00532C74"/>
    <w:rsid w:val="00534E2E"/>
    <w:rsid w:val="00544552"/>
    <w:rsid w:val="00562210"/>
    <w:rsid w:val="00581932"/>
    <w:rsid w:val="00591733"/>
    <w:rsid w:val="005963BB"/>
    <w:rsid w:val="005A3173"/>
    <w:rsid w:val="005A3223"/>
    <w:rsid w:val="005A3DA3"/>
    <w:rsid w:val="005A52C4"/>
    <w:rsid w:val="005B2207"/>
    <w:rsid w:val="005D03AB"/>
    <w:rsid w:val="005D5017"/>
    <w:rsid w:val="005D6136"/>
    <w:rsid w:val="00601A91"/>
    <w:rsid w:val="00602BA3"/>
    <w:rsid w:val="00614159"/>
    <w:rsid w:val="0061626F"/>
    <w:rsid w:val="00617C00"/>
    <w:rsid w:val="006220AC"/>
    <w:rsid w:val="006263BF"/>
    <w:rsid w:val="0062748A"/>
    <w:rsid w:val="00630A2C"/>
    <w:rsid w:val="00635B9A"/>
    <w:rsid w:val="00651169"/>
    <w:rsid w:val="00653D69"/>
    <w:rsid w:val="006678E6"/>
    <w:rsid w:val="00670A76"/>
    <w:rsid w:val="006711AA"/>
    <w:rsid w:val="00672B57"/>
    <w:rsid w:val="00675622"/>
    <w:rsid w:val="00680B43"/>
    <w:rsid w:val="00680E9E"/>
    <w:rsid w:val="006856CD"/>
    <w:rsid w:val="00685860"/>
    <w:rsid w:val="006906DB"/>
    <w:rsid w:val="00692ACF"/>
    <w:rsid w:val="006A12A5"/>
    <w:rsid w:val="006A37C1"/>
    <w:rsid w:val="006B0D94"/>
    <w:rsid w:val="006B46DA"/>
    <w:rsid w:val="006B485D"/>
    <w:rsid w:val="006B4AA0"/>
    <w:rsid w:val="006B699A"/>
    <w:rsid w:val="006C3A82"/>
    <w:rsid w:val="006C5818"/>
    <w:rsid w:val="006C708E"/>
    <w:rsid w:val="006D22A0"/>
    <w:rsid w:val="006D6EC7"/>
    <w:rsid w:val="006F5125"/>
    <w:rsid w:val="00704DE3"/>
    <w:rsid w:val="00713A79"/>
    <w:rsid w:val="007174BB"/>
    <w:rsid w:val="00737635"/>
    <w:rsid w:val="007461DB"/>
    <w:rsid w:val="0075044B"/>
    <w:rsid w:val="0075539D"/>
    <w:rsid w:val="0076420C"/>
    <w:rsid w:val="0076472C"/>
    <w:rsid w:val="00772534"/>
    <w:rsid w:val="007753C2"/>
    <w:rsid w:val="007838B8"/>
    <w:rsid w:val="00796CD0"/>
    <w:rsid w:val="007A2B91"/>
    <w:rsid w:val="007B37F8"/>
    <w:rsid w:val="007C065B"/>
    <w:rsid w:val="007C0F57"/>
    <w:rsid w:val="007C1864"/>
    <w:rsid w:val="007C40B6"/>
    <w:rsid w:val="007C729F"/>
    <w:rsid w:val="007E1D28"/>
    <w:rsid w:val="007E3081"/>
    <w:rsid w:val="007E34E5"/>
    <w:rsid w:val="007F2641"/>
    <w:rsid w:val="007F7C36"/>
    <w:rsid w:val="00806796"/>
    <w:rsid w:val="00823F9E"/>
    <w:rsid w:val="00826623"/>
    <w:rsid w:val="00826F6D"/>
    <w:rsid w:val="00856DDD"/>
    <w:rsid w:val="00863E68"/>
    <w:rsid w:val="00875721"/>
    <w:rsid w:val="00882085"/>
    <w:rsid w:val="00883188"/>
    <w:rsid w:val="00897D58"/>
    <w:rsid w:val="008A016A"/>
    <w:rsid w:val="008A15E7"/>
    <w:rsid w:val="008A1956"/>
    <w:rsid w:val="008A4937"/>
    <w:rsid w:val="008B4ECF"/>
    <w:rsid w:val="008B58E0"/>
    <w:rsid w:val="008C2E00"/>
    <w:rsid w:val="008C4C93"/>
    <w:rsid w:val="008C4CB1"/>
    <w:rsid w:val="008D3C82"/>
    <w:rsid w:val="008D447E"/>
    <w:rsid w:val="008D50AB"/>
    <w:rsid w:val="008D7A41"/>
    <w:rsid w:val="008E3680"/>
    <w:rsid w:val="008E5870"/>
    <w:rsid w:val="008F1434"/>
    <w:rsid w:val="008F7355"/>
    <w:rsid w:val="00900F81"/>
    <w:rsid w:val="009067B7"/>
    <w:rsid w:val="009210CE"/>
    <w:rsid w:val="009301DA"/>
    <w:rsid w:val="00930937"/>
    <w:rsid w:val="00933E6C"/>
    <w:rsid w:val="00942160"/>
    <w:rsid w:val="00946C55"/>
    <w:rsid w:val="009602C5"/>
    <w:rsid w:val="00964C23"/>
    <w:rsid w:val="00974C21"/>
    <w:rsid w:val="009A5212"/>
    <w:rsid w:val="009B0F67"/>
    <w:rsid w:val="009B3D07"/>
    <w:rsid w:val="009B5E1D"/>
    <w:rsid w:val="009C1338"/>
    <w:rsid w:val="009C20DF"/>
    <w:rsid w:val="009C703C"/>
    <w:rsid w:val="009D2302"/>
    <w:rsid w:val="009D3CAA"/>
    <w:rsid w:val="009F4E46"/>
    <w:rsid w:val="009F5B65"/>
    <w:rsid w:val="009F5F2E"/>
    <w:rsid w:val="00A00D1E"/>
    <w:rsid w:val="00A01499"/>
    <w:rsid w:val="00A06225"/>
    <w:rsid w:val="00A128E6"/>
    <w:rsid w:val="00A15C90"/>
    <w:rsid w:val="00A17713"/>
    <w:rsid w:val="00A21683"/>
    <w:rsid w:val="00A21DCE"/>
    <w:rsid w:val="00A37C8D"/>
    <w:rsid w:val="00A5036E"/>
    <w:rsid w:val="00A504D8"/>
    <w:rsid w:val="00A51804"/>
    <w:rsid w:val="00A5273B"/>
    <w:rsid w:val="00A53A9D"/>
    <w:rsid w:val="00A5523B"/>
    <w:rsid w:val="00A55FEE"/>
    <w:rsid w:val="00A62C1A"/>
    <w:rsid w:val="00A6426D"/>
    <w:rsid w:val="00A70622"/>
    <w:rsid w:val="00A70977"/>
    <w:rsid w:val="00A76D5E"/>
    <w:rsid w:val="00A8390C"/>
    <w:rsid w:val="00A928BD"/>
    <w:rsid w:val="00A96BA0"/>
    <w:rsid w:val="00AA3382"/>
    <w:rsid w:val="00AA4D1C"/>
    <w:rsid w:val="00AB1F97"/>
    <w:rsid w:val="00AC5206"/>
    <w:rsid w:val="00AE11A5"/>
    <w:rsid w:val="00AE13E2"/>
    <w:rsid w:val="00AF68CC"/>
    <w:rsid w:val="00B03385"/>
    <w:rsid w:val="00B205AA"/>
    <w:rsid w:val="00B22E84"/>
    <w:rsid w:val="00B25F75"/>
    <w:rsid w:val="00B43B7E"/>
    <w:rsid w:val="00B43E90"/>
    <w:rsid w:val="00B52EDA"/>
    <w:rsid w:val="00B56118"/>
    <w:rsid w:val="00B65F97"/>
    <w:rsid w:val="00B6773F"/>
    <w:rsid w:val="00B801BA"/>
    <w:rsid w:val="00B9484A"/>
    <w:rsid w:val="00BB0E8E"/>
    <w:rsid w:val="00BB69F5"/>
    <w:rsid w:val="00BB7EC3"/>
    <w:rsid w:val="00BC4B9A"/>
    <w:rsid w:val="00BD589B"/>
    <w:rsid w:val="00BD784C"/>
    <w:rsid w:val="00BE4594"/>
    <w:rsid w:val="00BE76E7"/>
    <w:rsid w:val="00BF4CB6"/>
    <w:rsid w:val="00C00DA7"/>
    <w:rsid w:val="00C12768"/>
    <w:rsid w:val="00C151D4"/>
    <w:rsid w:val="00C27B58"/>
    <w:rsid w:val="00C35996"/>
    <w:rsid w:val="00C4459E"/>
    <w:rsid w:val="00C5342C"/>
    <w:rsid w:val="00C6256A"/>
    <w:rsid w:val="00C7792B"/>
    <w:rsid w:val="00C91449"/>
    <w:rsid w:val="00C92D10"/>
    <w:rsid w:val="00CA3B47"/>
    <w:rsid w:val="00CE10C4"/>
    <w:rsid w:val="00CE27B5"/>
    <w:rsid w:val="00D02FA0"/>
    <w:rsid w:val="00D0321E"/>
    <w:rsid w:val="00D046D8"/>
    <w:rsid w:val="00D1455A"/>
    <w:rsid w:val="00D3280C"/>
    <w:rsid w:val="00D3406A"/>
    <w:rsid w:val="00D469B2"/>
    <w:rsid w:val="00D741EB"/>
    <w:rsid w:val="00D84934"/>
    <w:rsid w:val="00D868F2"/>
    <w:rsid w:val="00D91271"/>
    <w:rsid w:val="00D9160A"/>
    <w:rsid w:val="00DA2CB5"/>
    <w:rsid w:val="00DA4BAC"/>
    <w:rsid w:val="00DE6D27"/>
    <w:rsid w:val="00DF217D"/>
    <w:rsid w:val="00DF26A7"/>
    <w:rsid w:val="00E07E6D"/>
    <w:rsid w:val="00E164B3"/>
    <w:rsid w:val="00E16910"/>
    <w:rsid w:val="00E30B11"/>
    <w:rsid w:val="00E3307C"/>
    <w:rsid w:val="00E42767"/>
    <w:rsid w:val="00E52D19"/>
    <w:rsid w:val="00E57636"/>
    <w:rsid w:val="00E65E54"/>
    <w:rsid w:val="00E72ED6"/>
    <w:rsid w:val="00E80155"/>
    <w:rsid w:val="00E80D91"/>
    <w:rsid w:val="00E848C0"/>
    <w:rsid w:val="00E8496E"/>
    <w:rsid w:val="00E91B96"/>
    <w:rsid w:val="00E941A1"/>
    <w:rsid w:val="00E95CE3"/>
    <w:rsid w:val="00EA2825"/>
    <w:rsid w:val="00EB2E81"/>
    <w:rsid w:val="00EB44D2"/>
    <w:rsid w:val="00EB5088"/>
    <w:rsid w:val="00EB6FA1"/>
    <w:rsid w:val="00ED1644"/>
    <w:rsid w:val="00EF44A0"/>
    <w:rsid w:val="00EF4FED"/>
    <w:rsid w:val="00F020E1"/>
    <w:rsid w:val="00F050BD"/>
    <w:rsid w:val="00F05657"/>
    <w:rsid w:val="00F10E32"/>
    <w:rsid w:val="00F22606"/>
    <w:rsid w:val="00F242EA"/>
    <w:rsid w:val="00F243F5"/>
    <w:rsid w:val="00F25578"/>
    <w:rsid w:val="00F258E5"/>
    <w:rsid w:val="00F300BC"/>
    <w:rsid w:val="00F3334E"/>
    <w:rsid w:val="00F4300C"/>
    <w:rsid w:val="00F45BFC"/>
    <w:rsid w:val="00F50EC4"/>
    <w:rsid w:val="00F57A6D"/>
    <w:rsid w:val="00F61A96"/>
    <w:rsid w:val="00F638CC"/>
    <w:rsid w:val="00F64CC1"/>
    <w:rsid w:val="00F8247A"/>
    <w:rsid w:val="00F84BA4"/>
    <w:rsid w:val="00F9629A"/>
    <w:rsid w:val="00FA5883"/>
    <w:rsid w:val="00FA6055"/>
    <w:rsid w:val="00FB322F"/>
    <w:rsid w:val="00FB442F"/>
    <w:rsid w:val="00FC1929"/>
    <w:rsid w:val="00FC5B46"/>
    <w:rsid w:val="00FF00BD"/>
    <w:rsid w:val="00FF1ED4"/>
    <w:rsid w:val="00FF2801"/>
    <w:rsid w:val="00FF304E"/>
    <w:rsid w:val="00FF70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2654C1"/>
    <w:pPr>
      <w:numPr>
        <w:numId w:val="2"/>
      </w:numPr>
      <w:jc w:val="both"/>
      <w:outlineLvl w:val="0"/>
    </w:pPr>
    <w:rPr>
      <w:rFonts w:ascii="Arial" w:hAnsi="Arial"/>
      <w:b/>
      <w:sz w:val="22"/>
      <w:szCs w:val="22"/>
    </w:rPr>
  </w:style>
  <w:style w:type="paragraph" w:styleId="Heading2">
    <w:name w:val="heading 2"/>
    <w:basedOn w:val="Normal"/>
    <w:next w:val="Normal"/>
    <w:qFormat/>
    <w:rsid w:val="002654C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customStyle="1" w:styleId="PBSNormal">
    <w:name w:val="PBS Normal"/>
    <w:basedOn w:val="Normal"/>
    <w:link w:val="PBSNormalChar1"/>
    <w:rsid w:val="006C5818"/>
    <w:pPr>
      <w:spacing w:before="120" w:after="120" w:line="360" w:lineRule="auto"/>
      <w:jc w:val="both"/>
    </w:pPr>
    <w:rPr>
      <w:rFonts w:ascii="Arial" w:hAnsi="Arial"/>
      <w:sz w:val="22"/>
      <w:szCs w:val="20"/>
    </w:rPr>
  </w:style>
  <w:style w:type="character" w:customStyle="1" w:styleId="PBSNormalChar1">
    <w:name w:val="PBS Normal Char1"/>
    <w:basedOn w:val="DefaultParagraphFont"/>
    <w:link w:val="PBSNormal"/>
    <w:rsid w:val="006C5818"/>
    <w:rPr>
      <w:rFonts w:ascii="Arial" w:hAnsi="Arial"/>
      <w:sz w:val="22"/>
    </w:rPr>
  </w:style>
  <w:style w:type="paragraph" w:styleId="Caption">
    <w:name w:val="caption"/>
    <w:aliases w:val="CSR Caption"/>
    <w:basedOn w:val="Normal"/>
    <w:next w:val="Normal"/>
    <w:link w:val="CaptionChar"/>
    <w:uiPriority w:val="35"/>
    <w:qFormat/>
    <w:rsid w:val="006C5818"/>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6C5818"/>
    <w:rPr>
      <w:rFonts w:ascii="Arial" w:hAnsi="Arial"/>
      <w:b/>
      <w:bCs/>
    </w:rPr>
  </w:style>
  <w:style w:type="character" w:customStyle="1" w:styleId="tablenotesChar">
    <w:name w:val="table notes Char"/>
    <w:basedOn w:val="PBSNormalChar1"/>
    <w:link w:val="tablenotes"/>
    <w:rsid w:val="006C5818"/>
    <w:rPr>
      <w:rFonts w:ascii="Arial" w:hAnsi="Arial"/>
      <w:snapToGrid w:val="0"/>
      <w:sz w:val="22"/>
      <w:lang w:eastAsia="en-US"/>
    </w:rPr>
  </w:style>
  <w:style w:type="paragraph" w:customStyle="1" w:styleId="PBStable">
    <w:name w:val="PBS table"/>
    <w:basedOn w:val="PBSNormal"/>
    <w:link w:val="PBStableChar"/>
    <w:qFormat/>
    <w:rsid w:val="006C5818"/>
    <w:pPr>
      <w:spacing w:before="40" w:after="40" w:line="240" w:lineRule="auto"/>
    </w:pPr>
    <w:rPr>
      <w:rFonts w:ascii="Arial Narrow" w:hAnsi="Arial Narrow"/>
    </w:rPr>
  </w:style>
  <w:style w:type="character" w:customStyle="1" w:styleId="PBStableChar">
    <w:name w:val="PBS table Char"/>
    <w:basedOn w:val="PBSNormalChar1"/>
    <w:link w:val="PBStable"/>
    <w:rsid w:val="006C5818"/>
    <w:rPr>
      <w:rFonts w:ascii="Arial Narrow" w:hAnsi="Arial Narrow"/>
      <w:sz w:val="22"/>
    </w:rPr>
  </w:style>
  <w:style w:type="paragraph" w:customStyle="1" w:styleId="PBSnormal0">
    <w:name w:val="PBS normal"/>
    <w:basedOn w:val="PBSNormal"/>
    <w:link w:val="PBSnormalChar"/>
    <w:qFormat/>
    <w:rsid w:val="007B37F8"/>
  </w:style>
  <w:style w:type="character" w:customStyle="1" w:styleId="PBSnormalChar">
    <w:name w:val="PBS normal Char"/>
    <w:basedOn w:val="PBSNormalChar1"/>
    <w:link w:val="PBSnormal0"/>
    <w:rsid w:val="007B37F8"/>
    <w:rPr>
      <w:rFonts w:ascii="Arial" w:hAnsi="Arial"/>
      <w:sz w:val="22"/>
    </w:rPr>
  </w:style>
  <w:style w:type="paragraph" w:customStyle="1" w:styleId="EndNoteBibliography">
    <w:name w:val="EndNote Bibliography"/>
    <w:basedOn w:val="Normal"/>
    <w:link w:val="EndNoteBibliographyChar"/>
    <w:rsid w:val="006220AC"/>
    <w:pPr>
      <w:jc w:val="both"/>
    </w:pPr>
    <w:rPr>
      <w:rFonts w:ascii="Arial" w:hAnsi="Arial" w:cs="Arial"/>
      <w:noProof/>
      <w:sz w:val="18"/>
      <w:szCs w:val="20"/>
    </w:rPr>
  </w:style>
  <w:style w:type="character" w:customStyle="1" w:styleId="EndNoteBibliographyChar">
    <w:name w:val="EndNote Bibliography Char"/>
    <w:basedOn w:val="PBSNormalChar1"/>
    <w:link w:val="EndNoteBibliography"/>
    <w:rsid w:val="006220AC"/>
    <w:rPr>
      <w:rFonts w:ascii="Arial" w:hAnsi="Arial" w:cs="Arial"/>
      <w:noProof/>
      <w:sz w:val="18"/>
    </w:rPr>
  </w:style>
  <w:style w:type="paragraph" w:styleId="Revision">
    <w:name w:val="Revision"/>
    <w:hidden/>
    <w:uiPriority w:val="71"/>
    <w:rsid w:val="00C4459E"/>
    <w:rPr>
      <w:sz w:val="24"/>
      <w:szCs w:val="24"/>
    </w:rPr>
  </w:style>
  <w:style w:type="character" w:styleId="IntenseReference">
    <w:name w:val="Intense Reference"/>
    <w:basedOn w:val="DefaultParagraphFont"/>
    <w:uiPriority w:val="32"/>
    <w:qFormat/>
    <w:rsid w:val="00796CD0"/>
    <w:rPr>
      <w:b/>
      <w:bCs/>
      <w:i/>
      <w:smallCaps/>
      <w:color w:val="C0504D" w:themeColor="accent2"/>
      <w:spacing w:val="5"/>
      <w:u w:val="none"/>
    </w:rPr>
  </w:style>
  <w:style w:type="paragraph" w:customStyle="1" w:styleId="PBACHeading1">
    <w:name w:val="PBAC Heading 1"/>
    <w:qFormat/>
    <w:rsid w:val="001279C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2654C1"/>
    <w:pPr>
      <w:ind w:left="720" w:hanging="720"/>
      <w:outlineLvl w:val="0"/>
    </w:pPr>
    <w:rPr>
      <w:rFonts w:ascii="Arial" w:hAnsi="Arial"/>
      <w:b/>
      <w:sz w:val="28"/>
      <w:szCs w:val="28"/>
    </w:rPr>
  </w:style>
  <w:style w:type="character" w:customStyle="1" w:styleId="TitleChar">
    <w:name w:val="Title Char"/>
    <w:basedOn w:val="DefaultParagraphFont"/>
    <w:link w:val="Title"/>
    <w:rsid w:val="002654C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2654C1"/>
    <w:pPr>
      <w:numPr>
        <w:numId w:val="2"/>
      </w:numPr>
      <w:jc w:val="both"/>
      <w:outlineLvl w:val="0"/>
    </w:pPr>
    <w:rPr>
      <w:rFonts w:ascii="Arial" w:hAnsi="Arial"/>
      <w:b/>
      <w:sz w:val="22"/>
      <w:szCs w:val="22"/>
    </w:rPr>
  </w:style>
  <w:style w:type="paragraph" w:styleId="Heading2">
    <w:name w:val="heading 2"/>
    <w:basedOn w:val="Normal"/>
    <w:next w:val="Normal"/>
    <w:qFormat/>
    <w:rsid w:val="002654C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customStyle="1" w:styleId="PBSNormal">
    <w:name w:val="PBS Normal"/>
    <w:basedOn w:val="Normal"/>
    <w:link w:val="PBSNormalChar1"/>
    <w:rsid w:val="006C5818"/>
    <w:pPr>
      <w:spacing w:before="120" w:after="120" w:line="360" w:lineRule="auto"/>
      <w:jc w:val="both"/>
    </w:pPr>
    <w:rPr>
      <w:rFonts w:ascii="Arial" w:hAnsi="Arial"/>
      <w:sz w:val="22"/>
      <w:szCs w:val="20"/>
    </w:rPr>
  </w:style>
  <w:style w:type="character" w:customStyle="1" w:styleId="PBSNormalChar1">
    <w:name w:val="PBS Normal Char1"/>
    <w:basedOn w:val="DefaultParagraphFont"/>
    <w:link w:val="PBSNormal"/>
    <w:rsid w:val="006C5818"/>
    <w:rPr>
      <w:rFonts w:ascii="Arial" w:hAnsi="Arial"/>
      <w:sz w:val="22"/>
    </w:rPr>
  </w:style>
  <w:style w:type="paragraph" w:styleId="Caption">
    <w:name w:val="caption"/>
    <w:aliases w:val="CSR Caption"/>
    <w:basedOn w:val="Normal"/>
    <w:next w:val="Normal"/>
    <w:link w:val="CaptionChar"/>
    <w:uiPriority w:val="35"/>
    <w:qFormat/>
    <w:rsid w:val="006C5818"/>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6C5818"/>
    <w:rPr>
      <w:rFonts w:ascii="Arial" w:hAnsi="Arial"/>
      <w:b/>
      <w:bCs/>
    </w:rPr>
  </w:style>
  <w:style w:type="character" w:customStyle="1" w:styleId="tablenotesChar">
    <w:name w:val="table notes Char"/>
    <w:basedOn w:val="PBSNormalChar1"/>
    <w:link w:val="tablenotes"/>
    <w:rsid w:val="006C5818"/>
    <w:rPr>
      <w:rFonts w:ascii="Arial" w:hAnsi="Arial"/>
      <w:snapToGrid w:val="0"/>
      <w:sz w:val="22"/>
      <w:lang w:eastAsia="en-US"/>
    </w:rPr>
  </w:style>
  <w:style w:type="paragraph" w:customStyle="1" w:styleId="PBStable">
    <w:name w:val="PBS table"/>
    <w:basedOn w:val="PBSNormal"/>
    <w:link w:val="PBStableChar"/>
    <w:qFormat/>
    <w:rsid w:val="006C5818"/>
    <w:pPr>
      <w:spacing w:before="40" w:after="40" w:line="240" w:lineRule="auto"/>
    </w:pPr>
    <w:rPr>
      <w:rFonts w:ascii="Arial Narrow" w:hAnsi="Arial Narrow"/>
    </w:rPr>
  </w:style>
  <w:style w:type="character" w:customStyle="1" w:styleId="PBStableChar">
    <w:name w:val="PBS table Char"/>
    <w:basedOn w:val="PBSNormalChar1"/>
    <w:link w:val="PBStable"/>
    <w:rsid w:val="006C5818"/>
    <w:rPr>
      <w:rFonts w:ascii="Arial Narrow" w:hAnsi="Arial Narrow"/>
      <w:sz w:val="22"/>
    </w:rPr>
  </w:style>
  <w:style w:type="paragraph" w:customStyle="1" w:styleId="PBSnormal0">
    <w:name w:val="PBS normal"/>
    <w:basedOn w:val="PBSNormal"/>
    <w:link w:val="PBSnormalChar"/>
    <w:qFormat/>
    <w:rsid w:val="007B37F8"/>
  </w:style>
  <w:style w:type="character" w:customStyle="1" w:styleId="PBSnormalChar">
    <w:name w:val="PBS normal Char"/>
    <w:basedOn w:val="PBSNormalChar1"/>
    <w:link w:val="PBSnormal0"/>
    <w:rsid w:val="007B37F8"/>
    <w:rPr>
      <w:rFonts w:ascii="Arial" w:hAnsi="Arial"/>
      <w:sz w:val="22"/>
    </w:rPr>
  </w:style>
  <w:style w:type="paragraph" w:customStyle="1" w:styleId="EndNoteBibliography">
    <w:name w:val="EndNote Bibliography"/>
    <w:basedOn w:val="Normal"/>
    <w:link w:val="EndNoteBibliographyChar"/>
    <w:rsid w:val="006220AC"/>
    <w:pPr>
      <w:jc w:val="both"/>
    </w:pPr>
    <w:rPr>
      <w:rFonts w:ascii="Arial" w:hAnsi="Arial" w:cs="Arial"/>
      <w:noProof/>
      <w:sz w:val="18"/>
      <w:szCs w:val="20"/>
    </w:rPr>
  </w:style>
  <w:style w:type="character" w:customStyle="1" w:styleId="EndNoteBibliographyChar">
    <w:name w:val="EndNote Bibliography Char"/>
    <w:basedOn w:val="PBSNormalChar1"/>
    <w:link w:val="EndNoteBibliography"/>
    <w:rsid w:val="006220AC"/>
    <w:rPr>
      <w:rFonts w:ascii="Arial" w:hAnsi="Arial" w:cs="Arial"/>
      <w:noProof/>
      <w:sz w:val="18"/>
    </w:rPr>
  </w:style>
  <w:style w:type="paragraph" w:styleId="Revision">
    <w:name w:val="Revision"/>
    <w:hidden/>
    <w:uiPriority w:val="71"/>
    <w:rsid w:val="00C4459E"/>
    <w:rPr>
      <w:sz w:val="24"/>
      <w:szCs w:val="24"/>
    </w:rPr>
  </w:style>
  <w:style w:type="character" w:styleId="IntenseReference">
    <w:name w:val="Intense Reference"/>
    <w:basedOn w:val="DefaultParagraphFont"/>
    <w:uiPriority w:val="32"/>
    <w:qFormat/>
    <w:rsid w:val="00796CD0"/>
    <w:rPr>
      <w:b/>
      <w:bCs/>
      <w:i/>
      <w:smallCaps/>
      <w:color w:val="C0504D" w:themeColor="accent2"/>
      <w:spacing w:val="5"/>
      <w:u w:val="none"/>
    </w:rPr>
  </w:style>
  <w:style w:type="paragraph" w:customStyle="1" w:styleId="PBACHeading1">
    <w:name w:val="PBAC Heading 1"/>
    <w:qFormat/>
    <w:rsid w:val="001279C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2654C1"/>
    <w:pPr>
      <w:ind w:left="720" w:hanging="720"/>
      <w:outlineLvl w:val="0"/>
    </w:pPr>
    <w:rPr>
      <w:rFonts w:ascii="Arial" w:hAnsi="Arial"/>
      <w:b/>
      <w:sz w:val="28"/>
      <w:szCs w:val="28"/>
    </w:rPr>
  </w:style>
  <w:style w:type="character" w:customStyle="1" w:styleId="TitleChar">
    <w:name w:val="Title Char"/>
    <w:basedOn w:val="DefaultParagraphFont"/>
    <w:link w:val="Title"/>
    <w:rsid w:val="002654C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1387850">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18283226">
      <w:bodyDiv w:val="1"/>
      <w:marLeft w:val="0"/>
      <w:marRight w:val="0"/>
      <w:marTop w:val="0"/>
      <w:marBottom w:val="0"/>
      <w:divBdr>
        <w:top w:val="none" w:sz="0" w:space="0" w:color="auto"/>
        <w:left w:val="none" w:sz="0" w:space="0" w:color="auto"/>
        <w:bottom w:val="none" w:sz="0" w:space="0" w:color="auto"/>
        <w:right w:val="none" w:sz="0" w:space="0" w:color="auto"/>
      </w:divBdr>
    </w:div>
    <w:div w:id="144483876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8563037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CF1F-52F2-4E71-A983-33E94CAC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5.17 PKU Easy Microtabs</vt:lpstr>
    </vt:vector>
  </TitlesOfParts>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 PKU Easy Microtabs</dc:title>
  <dc:creator/>
  <cp:lastModifiedBy/>
  <cp:revision>1</cp:revision>
  <dcterms:created xsi:type="dcterms:W3CDTF">2016-02-16T22:31:00Z</dcterms:created>
  <dcterms:modified xsi:type="dcterms:W3CDTF">2016-02-26T04:21:00Z</dcterms:modified>
</cp:coreProperties>
</file>