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A4" w:rsidRPr="005D5CA4" w:rsidRDefault="00FF2F64" w:rsidP="00FF2F64">
      <w:pPr>
        <w:ind w:left="1440" w:hanging="1440"/>
        <w:rPr>
          <w:rFonts w:ascii="Arial" w:hAnsi="Arial"/>
          <w:b/>
          <w:sz w:val="28"/>
          <w:szCs w:val="28"/>
        </w:rPr>
      </w:pPr>
      <w:r>
        <w:rPr>
          <w:rFonts w:ascii="Arial" w:hAnsi="Arial"/>
          <w:b/>
          <w:sz w:val="28"/>
          <w:szCs w:val="28"/>
        </w:rPr>
        <w:t>14.03</w:t>
      </w:r>
      <w:r>
        <w:rPr>
          <w:rFonts w:ascii="Arial" w:hAnsi="Arial"/>
          <w:b/>
          <w:sz w:val="28"/>
          <w:szCs w:val="28"/>
        </w:rPr>
        <w:tab/>
      </w:r>
      <w:r w:rsidR="005D5CA4" w:rsidRPr="005D5CA4">
        <w:rPr>
          <w:rFonts w:ascii="Arial" w:hAnsi="Arial"/>
          <w:b/>
          <w:sz w:val="28"/>
          <w:szCs w:val="28"/>
        </w:rPr>
        <w:t>AMINO ACID SYNTHETIC FORMULA SUPPLEMENTED with LONG CHAIN POLYUNSATURATED FATTY ACIDS and MEDIUM CHAIN TRIGLYCERIDES</w:t>
      </w:r>
    </w:p>
    <w:p w:rsidR="00A67779" w:rsidRDefault="005D5CA4" w:rsidP="00FF2F64">
      <w:pPr>
        <w:ind w:left="720" w:firstLine="720"/>
        <w:rPr>
          <w:rFonts w:ascii="Arial" w:hAnsi="Arial"/>
          <w:b/>
          <w:sz w:val="28"/>
          <w:szCs w:val="28"/>
        </w:rPr>
      </w:pPr>
      <w:r w:rsidRPr="005D5CA4">
        <w:rPr>
          <w:rFonts w:ascii="Arial" w:hAnsi="Arial"/>
          <w:b/>
          <w:sz w:val="28"/>
          <w:szCs w:val="28"/>
        </w:rPr>
        <w:t xml:space="preserve">oral liquid: powder for, 400 g, </w:t>
      </w:r>
    </w:p>
    <w:p w:rsidR="00CE10C4" w:rsidRDefault="005D5CA4" w:rsidP="00FF2F64">
      <w:pPr>
        <w:ind w:left="1440"/>
      </w:pPr>
      <w:r w:rsidRPr="005D5CA4">
        <w:rPr>
          <w:rFonts w:ascii="Arial" w:hAnsi="Arial"/>
          <w:b/>
          <w:sz w:val="28"/>
          <w:szCs w:val="28"/>
        </w:rPr>
        <w:t>Alfamino® and Alfamino</w:t>
      </w:r>
      <w:r w:rsidR="00330BD3" w:rsidRPr="005D5CA4">
        <w:rPr>
          <w:rFonts w:ascii="Arial" w:hAnsi="Arial"/>
          <w:b/>
          <w:sz w:val="28"/>
          <w:szCs w:val="28"/>
        </w:rPr>
        <w:t>®</w:t>
      </w:r>
      <w:r w:rsidRPr="005D5CA4">
        <w:rPr>
          <w:rFonts w:ascii="Arial" w:hAnsi="Arial"/>
          <w:b/>
          <w:sz w:val="28"/>
          <w:szCs w:val="28"/>
        </w:rPr>
        <w:t xml:space="preserve"> Junior, Nestlé Health Science (Nestlé Australia Ltd)</w:t>
      </w:r>
    </w:p>
    <w:p w:rsidR="00C27B58" w:rsidRDefault="00C27B58" w:rsidP="00C27B58">
      <w:pPr>
        <w:pStyle w:val="NoSpacing"/>
      </w:pPr>
    </w:p>
    <w:p w:rsidR="00CE10C4" w:rsidRPr="00882085" w:rsidRDefault="00CE10C4" w:rsidP="00C7792B">
      <w:pPr>
        <w:pStyle w:val="ListParagraph"/>
        <w:numPr>
          <w:ilvl w:val="0"/>
          <w:numId w:val="2"/>
        </w:numPr>
        <w:jc w:val="both"/>
        <w:rPr>
          <w:rFonts w:ascii="Arial" w:hAnsi="Arial"/>
          <w:b/>
          <w:sz w:val="22"/>
          <w:szCs w:val="22"/>
        </w:rPr>
      </w:pPr>
      <w:r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F9629A" w:rsidRDefault="00330BD3" w:rsidP="00C27B58">
      <w:pPr>
        <w:pStyle w:val="ListParagraph"/>
        <w:numPr>
          <w:ilvl w:val="1"/>
          <w:numId w:val="2"/>
        </w:numPr>
        <w:spacing w:after="240"/>
        <w:rPr>
          <w:rFonts w:ascii="Arial" w:hAnsi="Arial"/>
          <w:sz w:val="22"/>
          <w:szCs w:val="22"/>
        </w:rPr>
      </w:pPr>
      <w:r>
        <w:rPr>
          <w:rFonts w:ascii="Arial" w:hAnsi="Arial"/>
          <w:sz w:val="22"/>
          <w:szCs w:val="22"/>
        </w:rPr>
        <w:t>For Alfamino®, t</w:t>
      </w:r>
      <w:r w:rsidR="00EF44A0" w:rsidRPr="005D5CA4">
        <w:rPr>
          <w:rFonts w:ascii="Arial" w:hAnsi="Arial"/>
          <w:sz w:val="22"/>
          <w:szCs w:val="22"/>
        </w:rPr>
        <w:t>he mi</w:t>
      </w:r>
      <w:r w:rsidR="00FF2801" w:rsidRPr="005D5CA4">
        <w:rPr>
          <w:rFonts w:ascii="Arial" w:hAnsi="Arial"/>
          <w:sz w:val="22"/>
          <w:szCs w:val="22"/>
        </w:rPr>
        <w:t>nor submission requested</w:t>
      </w:r>
      <w:r w:rsidR="005D5CA4" w:rsidRPr="005D5CA4">
        <w:rPr>
          <w:rFonts w:ascii="Arial" w:hAnsi="Arial"/>
          <w:sz w:val="22"/>
          <w:szCs w:val="22"/>
        </w:rPr>
        <w:t xml:space="preserve"> </w:t>
      </w:r>
      <w:r>
        <w:rPr>
          <w:rFonts w:ascii="Arial" w:hAnsi="Arial"/>
          <w:sz w:val="22"/>
          <w:szCs w:val="22"/>
        </w:rPr>
        <w:t xml:space="preserve">an </w:t>
      </w:r>
      <w:r w:rsidR="005D5CA4" w:rsidRPr="005D5CA4">
        <w:rPr>
          <w:rFonts w:ascii="Arial" w:hAnsi="Arial"/>
          <w:sz w:val="22"/>
          <w:szCs w:val="22"/>
        </w:rPr>
        <w:t>Authority Required listing for patients with eosinophilic oesophagitis and patients with severe intestinal malabsorption</w:t>
      </w:r>
      <w:r>
        <w:rPr>
          <w:rFonts w:ascii="Arial" w:hAnsi="Arial"/>
          <w:sz w:val="22"/>
          <w:szCs w:val="22"/>
        </w:rPr>
        <w:t xml:space="preserve"> including short bowel syndrome.</w:t>
      </w:r>
    </w:p>
    <w:p w:rsidR="00330BD3" w:rsidRDefault="00330BD3" w:rsidP="00330BD3">
      <w:pPr>
        <w:pStyle w:val="ListParagraph"/>
        <w:spacing w:after="240"/>
        <w:rPr>
          <w:rFonts w:ascii="Arial" w:hAnsi="Arial"/>
          <w:sz w:val="22"/>
          <w:szCs w:val="22"/>
        </w:rPr>
      </w:pPr>
    </w:p>
    <w:p w:rsidR="00330BD3" w:rsidRPr="00330BD3" w:rsidRDefault="00330BD3" w:rsidP="00330BD3">
      <w:pPr>
        <w:pStyle w:val="ListParagraph"/>
        <w:numPr>
          <w:ilvl w:val="1"/>
          <w:numId w:val="2"/>
        </w:numPr>
        <w:spacing w:after="240"/>
        <w:rPr>
          <w:rFonts w:ascii="Arial" w:hAnsi="Arial"/>
          <w:sz w:val="22"/>
          <w:szCs w:val="22"/>
        </w:rPr>
      </w:pPr>
      <w:r>
        <w:rPr>
          <w:rFonts w:ascii="Arial" w:hAnsi="Arial"/>
          <w:sz w:val="22"/>
          <w:szCs w:val="22"/>
        </w:rPr>
        <w:t xml:space="preserve">For Alfamino® Junior, the minor submission requested an Authority Required listing for patients with </w:t>
      </w:r>
      <w:r w:rsidR="008D5BCA">
        <w:rPr>
          <w:rFonts w:ascii="Arial" w:hAnsi="Arial"/>
          <w:sz w:val="22"/>
          <w:szCs w:val="22"/>
        </w:rPr>
        <w:t>eosinophilic oesophagitis</w:t>
      </w:r>
      <w:r w:rsidR="001A1791">
        <w:rPr>
          <w:rFonts w:ascii="Arial" w:hAnsi="Arial"/>
          <w:sz w:val="22"/>
          <w:szCs w:val="22"/>
        </w:rPr>
        <w:t>.</w:t>
      </w:r>
    </w:p>
    <w:p w:rsidR="00EF44A0" w:rsidRPr="00C27B58" w:rsidRDefault="00EF44A0" w:rsidP="00C27B58">
      <w:pPr>
        <w:pStyle w:val="NoSpacing"/>
      </w:pPr>
    </w:p>
    <w:p w:rsidR="00614159" w:rsidRPr="00882085" w:rsidRDefault="006A12A5" w:rsidP="00C7792B">
      <w:pPr>
        <w:pStyle w:val="ListParagraph"/>
        <w:numPr>
          <w:ilvl w:val="0"/>
          <w:numId w:val="2"/>
        </w:numPr>
        <w:jc w:val="both"/>
        <w:rPr>
          <w:rFonts w:ascii="Arial" w:hAnsi="Arial"/>
          <w:b/>
          <w:sz w:val="22"/>
          <w:szCs w:val="22"/>
        </w:rPr>
      </w:pPr>
      <w:r w:rsidRPr="00882085">
        <w:rPr>
          <w:rFonts w:ascii="Arial" w:hAnsi="Arial"/>
          <w:b/>
          <w:sz w:val="22"/>
          <w:szCs w:val="22"/>
        </w:rPr>
        <w:t>Requested listing</w:t>
      </w:r>
    </w:p>
    <w:p w:rsidR="006A12A5" w:rsidRPr="00882085" w:rsidRDefault="006A12A5" w:rsidP="00882085">
      <w:pPr>
        <w:jc w:val="both"/>
        <w:rPr>
          <w:rFonts w:ascii="Arial" w:hAnsi="Arial"/>
          <w:b/>
          <w:sz w:val="22"/>
          <w:szCs w:val="22"/>
        </w:rPr>
      </w:pPr>
    </w:p>
    <w:p w:rsidR="002D5C51" w:rsidRPr="006960D4" w:rsidRDefault="00EF44A0" w:rsidP="002D5C51">
      <w:pPr>
        <w:pStyle w:val="ListParagraph"/>
        <w:numPr>
          <w:ilvl w:val="1"/>
          <w:numId w:val="2"/>
        </w:numPr>
        <w:jc w:val="both"/>
        <w:rPr>
          <w:rFonts w:ascii="Arial" w:hAnsi="Arial"/>
          <w:sz w:val="22"/>
          <w:szCs w:val="22"/>
        </w:rPr>
      </w:pPr>
      <w:r w:rsidRPr="006960D4">
        <w:rPr>
          <w:rFonts w:ascii="Arial" w:hAnsi="Arial"/>
          <w:sz w:val="22"/>
          <w:szCs w:val="22"/>
        </w:rPr>
        <w:t xml:space="preserve">The submission </w:t>
      </w:r>
      <w:r w:rsidR="00157260" w:rsidRPr="006960D4">
        <w:rPr>
          <w:rFonts w:ascii="Arial" w:hAnsi="Arial"/>
          <w:sz w:val="22"/>
          <w:szCs w:val="22"/>
        </w:rPr>
        <w:t xml:space="preserve">requested </w:t>
      </w:r>
      <w:r w:rsidR="002D62D1" w:rsidRPr="006960D4">
        <w:rPr>
          <w:rFonts w:ascii="Arial" w:hAnsi="Arial"/>
          <w:sz w:val="22"/>
          <w:szCs w:val="22"/>
        </w:rPr>
        <w:t>restrictions</w:t>
      </w:r>
      <w:r w:rsidR="00157260" w:rsidRPr="006960D4">
        <w:rPr>
          <w:rFonts w:ascii="Arial" w:hAnsi="Arial"/>
          <w:sz w:val="22"/>
          <w:szCs w:val="22"/>
        </w:rPr>
        <w:t xml:space="preserve"> in line with comparable products. </w:t>
      </w:r>
    </w:p>
    <w:p w:rsidR="00BE1C98" w:rsidRDefault="00BE1C98" w:rsidP="00826F6D">
      <w:pPr>
        <w:pStyle w:val="ListParagraph"/>
        <w:jc w:val="both"/>
        <w:rPr>
          <w:rFonts w:ascii="Arial" w:hAnsi="Arial"/>
          <w:sz w:val="22"/>
          <w:szCs w:val="22"/>
        </w:rPr>
      </w:pPr>
    </w:p>
    <w:p w:rsidR="00605E37" w:rsidRPr="00826F6D" w:rsidRDefault="00605E37" w:rsidP="00826F6D">
      <w:pPr>
        <w:pStyle w:val="ListParagraph"/>
        <w:jc w:val="both"/>
        <w:rPr>
          <w:rFonts w:ascii="Arial" w:hAnsi="Arial"/>
          <w:sz w:val="22"/>
          <w:szCs w:val="22"/>
        </w:rPr>
      </w:pPr>
    </w:p>
    <w:p w:rsidR="00CE10C4" w:rsidRPr="00882085" w:rsidRDefault="00CE10C4" w:rsidP="00C7792B">
      <w:pPr>
        <w:pStyle w:val="ListParagraph"/>
        <w:numPr>
          <w:ilvl w:val="0"/>
          <w:numId w:val="2"/>
        </w:numPr>
        <w:jc w:val="both"/>
        <w:rPr>
          <w:rFonts w:ascii="Arial" w:hAnsi="Arial"/>
          <w:sz w:val="22"/>
          <w:szCs w:val="22"/>
        </w:rPr>
      </w:pPr>
      <w:r w:rsidRPr="00882085">
        <w:rPr>
          <w:rFonts w:ascii="Arial" w:hAnsi="Arial"/>
          <w:b/>
          <w:sz w:val="22"/>
          <w:szCs w:val="22"/>
        </w:rPr>
        <w:t>Background</w:t>
      </w:r>
    </w:p>
    <w:p w:rsidR="006A12A5" w:rsidRPr="00882085" w:rsidRDefault="006A12A5" w:rsidP="00882085">
      <w:pPr>
        <w:jc w:val="both"/>
        <w:rPr>
          <w:rFonts w:ascii="Arial" w:hAnsi="Arial"/>
          <w:sz w:val="22"/>
          <w:szCs w:val="22"/>
        </w:rPr>
      </w:pPr>
    </w:p>
    <w:p w:rsidR="00704DE3" w:rsidRPr="00A64D55" w:rsidRDefault="00704DE3" w:rsidP="00B44CC4">
      <w:pPr>
        <w:pStyle w:val="ListParagraph"/>
        <w:numPr>
          <w:ilvl w:val="1"/>
          <w:numId w:val="2"/>
        </w:numPr>
        <w:jc w:val="both"/>
        <w:rPr>
          <w:rFonts w:ascii="Arial" w:hAnsi="Arial"/>
          <w:sz w:val="22"/>
          <w:szCs w:val="22"/>
        </w:rPr>
      </w:pPr>
      <w:r w:rsidRPr="00A64D55">
        <w:rPr>
          <w:rFonts w:ascii="Arial" w:hAnsi="Arial"/>
          <w:sz w:val="22"/>
          <w:szCs w:val="22"/>
        </w:rPr>
        <w:t xml:space="preserve">The sponsor of </w:t>
      </w:r>
      <w:r w:rsidR="00B44CC4" w:rsidRPr="00A64D55">
        <w:rPr>
          <w:rFonts w:ascii="Arial" w:hAnsi="Arial"/>
          <w:sz w:val="22"/>
          <w:szCs w:val="22"/>
        </w:rPr>
        <w:t>Alfamino® and Alfamino</w:t>
      </w:r>
      <w:r w:rsidR="00330BD3" w:rsidRPr="00A64D55">
        <w:rPr>
          <w:rFonts w:ascii="Arial" w:hAnsi="Arial"/>
          <w:sz w:val="22"/>
          <w:szCs w:val="22"/>
        </w:rPr>
        <w:t>®</w:t>
      </w:r>
      <w:r w:rsidR="00B44CC4" w:rsidRPr="00A64D55">
        <w:rPr>
          <w:rFonts w:ascii="Arial" w:hAnsi="Arial"/>
          <w:sz w:val="22"/>
          <w:szCs w:val="22"/>
        </w:rPr>
        <w:t xml:space="preserve"> </w:t>
      </w:r>
      <w:r w:rsidR="00B44CC4" w:rsidRPr="003F4A49">
        <w:rPr>
          <w:rFonts w:ascii="Arial" w:hAnsi="Arial"/>
          <w:sz w:val="22"/>
          <w:szCs w:val="22"/>
        </w:rPr>
        <w:t>Junior</w:t>
      </w:r>
      <w:r w:rsidRPr="003F4A49">
        <w:rPr>
          <w:rFonts w:ascii="Arial" w:hAnsi="Arial"/>
          <w:sz w:val="22"/>
          <w:szCs w:val="22"/>
        </w:rPr>
        <w:t xml:space="preserve"> </w:t>
      </w:r>
      <w:r w:rsidR="00A64D55" w:rsidRPr="003F4A49">
        <w:rPr>
          <w:rFonts w:ascii="Arial" w:hAnsi="Arial"/>
          <w:sz w:val="22"/>
          <w:szCs w:val="22"/>
        </w:rPr>
        <w:t xml:space="preserve">has previously </w:t>
      </w:r>
      <w:r w:rsidRPr="003F4A49">
        <w:rPr>
          <w:rFonts w:ascii="Arial" w:hAnsi="Arial"/>
          <w:sz w:val="22"/>
          <w:szCs w:val="22"/>
        </w:rPr>
        <w:t>confirm</w:t>
      </w:r>
      <w:r w:rsidR="00A64D55" w:rsidRPr="003F4A49">
        <w:rPr>
          <w:rFonts w:ascii="Arial" w:hAnsi="Arial"/>
          <w:sz w:val="22"/>
          <w:szCs w:val="22"/>
        </w:rPr>
        <w:t>ed</w:t>
      </w:r>
      <w:r w:rsidRPr="003F4A49">
        <w:rPr>
          <w:rFonts w:ascii="Arial" w:hAnsi="Arial"/>
          <w:sz w:val="22"/>
          <w:szCs w:val="22"/>
        </w:rPr>
        <w:t xml:space="preserve"> that</w:t>
      </w:r>
      <w:r w:rsidRPr="00A64D55">
        <w:rPr>
          <w:rFonts w:ascii="Arial" w:hAnsi="Arial"/>
          <w:sz w:val="22"/>
          <w:szCs w:val="22"/>
        </w:rPr>
        <w:t xml:space="preserve"> </w:t>
      </w:r>
      <w:r w:rsidR="00B44CC4" w:rsidRPr="00A64D55">
        <w:rPr>
          <w:rFonts w:ascii="Arial" w:hAnsi="Arial"/>
          <w:sz w:val="22"/>
          <w:szCs w:val="22"/>
        </w:rPr>
        <w:t>they meet</w:t>
      </w:r>
      <w:r w:rsidRPr="00A64D55">
        <w:rPr>
          <w:rFonts w:ascii="Arial" w:hAnsi="Arial"/>
          <w:sz w:val="22"/>
          <w:szCs w:val="22"/>
        </w:rPr>
        <w:t xml:space="preserve"> the requirements for foods that have medical purposes as set out under </w:t>
      </w:r>
      <w:r w:rsidRPr="00A64D55">
        <w:rPr>
          <w:rFonts w:ascii="Arial" w:hAnsi="Arial"/>
          <w:i/>
          <w:sz w:val="22"/>
          <w:szCs w:val="22"/>
        </w:rPr>
        <w:t>The Australia New Zealand Food Standards Code — Standard 2.9.5: Food for Special Medical Purposes</w:t>
      </w:r>
      <w:r w:rsidR="00A64D55" w:rsidRPr="00A64D55">
        <w:rPr>
          <w:rFonts w:ascii="Arial" w:hAnsi="Arial"/>
          <w:i/>
          <w:sz w:val="22"/>
          <w:szCs w:val="22"/>
        </w:rPr>
        <w:t>.</w:t>
      </w:r>
    </w:p>
    <w:p w:rsidR="00440560" w:rsidRDefault="00440560" w:rsidP="00440560">
      <w:pPr>
        <w:pStyle w:val="ListParagraph"/>
        <w:contextualSpacing w:val="0"/>
        <w:jc w:val="both"/>
        <w:rPr>
          <w:rFonts w:ascii="Arial" w:hAnsi="Arial"/>
          <w:sz w:val="22"/>
          <w:szCs w:val="22"/>
        </w:rPr>
      </w:pPr>
    </w:p>
    <w:p w:rsidR="00440560" w:rsidRDefault="00440560" w:rsidP="0079701F">
      <w:pPr>
        <w:pStyle w:val="ListParagraph"/>
        <w:numPr>
          <w:ilvl w:val="1"/>
          <w:numId w:val="2"/>
        </w:numPr>
        <w:contextualSpacing w:val="0"/>
        <w:jc w:val="both"/>
        <w:rPr>
          <w:rFonts w:ascii="Arial" w:hAnsi="Arial"/>
          <w:sz w:val="22"/>
          <w:szCs w:val="22"/>
        </w:rPr>
      </w:pPr>
      <w:r>
        <w:rPr>
          <w:rFonts w:ascii="Arial" w:hAnsi="Arial"/>
          <w:sz w:val="22"/>
          <w:szCs w:val="22"/>
        </w:rPr>
        <w:t>At its</w:t>
      </w:r>
      <w:r w:rsidRPr="002E5173">
        <w:rPr>
          <w:rFonts w:ascii="Arial" w:hAnsi="Arial"/>
          <w:sz w:val="22"/>
          <w:szCs w:val="22"/>
        </w:rPr>
        <w:t xml:space="preserve"> July 2013</w:t>
      </w:r>
      <w:r>
        <w:rPr>
          <w:rFonts w:ascii="Arial" w:hAnsi="Arial"/>
          <w:sz w:val="22"/>
          <w:szCs w:val="22"/>
        </w:rPr>
        <w:t xml:space="preserve"> meeting</w:t>
      </w:r>
      <w:r w:rsidRPr="002E5173">
        <w:rPr>
          <w:rFonts w:ascii="Arial" w:hAnsi="Arial"/>
          <w:sz w:val="22"/>
          <w:szCs w:val="22"/>
        </w:rPr>
        <w:t>, the PBAC recommended listing Alfamino</w:t>
      </w:r>
      <w:r>
        <w:rPr>
          <w:rFonts w:ascii="Arial" w:hAnsi="Arial"/>
          <w:sz w:val="22"/>
          <w:szCs w:val="22"/>
        </w:rPr>
        <w:t>®</w:t>
      </w:r>
      <w:r w:rsidRPr="002E5173">
        <w:rPr>
          <w:rFonts w:ascii="Arial" w:hAnsi="Arial"/>
          <w:sz w:val="22"/>
          <w:szCs w:val="22"/>
        </w:rPr>
        <w:t xml:space="preserve"> as an Authority required benefit for the same indications as those applying to Neocate</w:t>
      </w:r>
      <w:r>
        <w:rPr>
          <w:rFonts w:ascii="Arial" w:hAnsi="Arial"/>
          <w:sz w:val="22"/>
          <w:szCs w:val="22"/>
        </w:rPr>
        <w:t>®</w:t>
      </w:r>
      <w:r w:rsidRPr="002E5173">
        <w:rPr>
          <w:rFonts w:ascii="Arial" w:hAnsi="Arial"/>
          <w:sz w:val="22"/>
          <w:szCs w:val="22"/>
        </w:rPr>
        <w:t xml:space="preserve"> Gold, on a cost-minimisation basis compared to Neocate Gold and at an equivalent price per gram of protein</w:t>
      </w:r>
      <w:r>
        <w:rPr>
          <w:rFonts w:ascii="Arial" w:hAnsi="Arial"/>
          <w:sz w:val="22"/>
          <w:szCs w:val="22"/>
        </w:rPr>
        <w:t>.</w:t>
      </w:r>
    </w:p>
    <w:p w:rsidR="00326E79" w:rsidRPr="00440560" w:rsidRDefault="00354720" w:rsidP="00440560">
      <w:pPr>
        <w:jc w:val="both"/>
        <w:rPr>
          <w:rFonts w:ascii="Arial" w:hAnsi="Arial"/>
          <w:sz w:val="22"/>
          <w:szCs w:val="22"/>
          <w:highlight w:val="green"/>
        </w:rPr>
      </w:pPr>
      <w:r w:rsidRPr="00440560">
        <w:rPr>
          <w:rFonts w:ascii="Arial" w:hAnsi="Arial"/>
          <w:sz w:val="22"/>
          <w:szCs w:val="22"/>
          <w:highlight w:val="green"/>
        </w:rPr>
        <w:t xml:space="preserve"> </w:t>
      </w:r>
    </w:p>
    <w:p w:rsidR="00440560" w:rsidRDefault="00440560" w:rsidP="00440560">
      <w:pPr>
        <w:pStyle w:val="ListParagraph"/>
        <w:numPr>
          <w:ilvl w:val="1"/>
          <w:numId w:val="2"/>
        </w:numPr>
        <w:contextualSpacing w:val="0"/>
        <w:jc w:val="both"/>
        <w:rPr>
          <w:rFonts w:ascii="Arial" w:hAnsi="Arial"/>
          <w:sz w:val="22"/>
          <w:szCs w:val="22"/>
        </w:rPr>
      </w:pPr>
      <w:r>
        <w:rPr>
          <w:rFonts w:ascii="Arial" w:hAnsi="Arial"/>
          <w:sz w:val="22"/>
          <w:szCs w:val="22"/>
        </w:rPr>
        <w:t xml:space="preserve">At its March 2015 meeting, the PBAC recommended an Authority Required listing for Alfamino® </w:t>
      </w:r>
      <w:r w:rsidR="008D5BCA">
        <w:rPr>
          <w:rFonts w:ascii="Arial" w:hAnsi="Arial"/>
          <w:sz w:val="22"/>
          <w:szCs w:val="22"/>
        </w:rPr>
        <w:t xml:space="preserve">Junior </w:t>
      </w:r>
      <w:r>
        <w:rPr>
          <w:rFonts w:ascii="Arial" w:hAnsi="Arial"/>
          <w:sz w:val="22"/>
          <w:szCs w:val="22"/>
        </w:rPr>
        <w:t xml:space="preserve">for the same conditions as the existing Alfamino® product listed on the PBS, </w:t>
      </w:r>
      <w:r w:rsidRPr="001C64ED">
        <w:rPr>
          <w:rFonts w:ascii="Arial" w:hAnsi="Arial"/>
          <w:sz w:val="22"/>
          <w:szCs w:val="22"/>
        </w:rPr>
        <w:t>as well as for severe intestinal malabsorption including short bowel syndrome.</w:t>
      </w:r>
    </w:p>
    <w:p w:rsidR="008A1956" w:rsidRDefault="008A1956" w:rsidP="00882085">
      <w:pPr>
        <w:pStyle w:val="Header"/>
        <w:tabs>
          <w:tab w:val="clear" w:pos="4153"/>
          <w:tab w:val="clear" w:pos="8306"/>
        </w:tabs>
        <w:jc w:val="both"/>
        <w:rPr>
          <w:rFonts w:ascii="Arial" w:hAnsi="Arial"/>
          <w:sz w:val="22"/>
          <w:szCs w:val="22"/>
        </w:rPr>
      </w:pPr>
    </w:p>
    <w:p w:rsidR="00605E37" w:rsidRPr="00882085" w:rsidRDefault="00605E37" w:rsidP="00882085">
      <w:pPr>
        <w:pStyle w:val="Header"/>
        <w:tabs>
          <w:tab w:val="clear" w:pos="4153"/>
          <w:tab w:val="clear" w:pos="8306"/>
        </w:tabs>
        <w:jc w:val="both"/>
        <w:rPr>
          <w:rFonts w:ascii="Arial" w:hAnsi="Arial"/>
          <w:sz w:val="22"/>
          <w:szCs w:val="22"/>
        </w:rPr>
      </w:pPr>
    </w:p>
    <w:p w:rsidR="005A3173" w:rsidRPr="00882085" w:rsidRDefault="005A3173" w:rsidP="00C7792B">
      <w:pPr>
        <w:pStyle w:val="Header"/>
        <w:numPr>
          <w:ilvl w:val="0"/>
          <w:numId w:val="2"/>
        </w:numPr>
        <w:tabs>
          <w:tab w:val="clear" w:pos="4153"/>
          <w:tab w:val="clear" w:pos="8306"/>
        </w:tabs>
        <w:jc w:val="both"/>
        <w:rPr>
          <w:rFonts w:ascii="Arial" w:hAnsi="Arial"/>
          <w:b/>
          <w:sz w:val="22"/>
          <w:szCs w:val="22"/>
        </w:rPr>
      </w:pPr>
      <w:r w:rsidRPr="00882085">
        <w:rPr>
          <w:rFonts w:ascii="Arial" w:hAnsi="Arial"/>
          <w:b/>
          <w:sz w:val="22"/>
          <w:szCs w:val="22"/>
        </w:rPr>
        <w:t>Comparator</w:t>
      </w:r>
    </w:p>
    <w:p w:rsidR="005A3173" w:rsidRPr="00882085" w:rsidRDefault="005A3173" w:rsidP="00882085">
      <w:pPr>
        <w:pStyle w:val="Header"/>
        <w:tabs>
          <w:tab w:val="clear" w:pos="4153"/>
          <w:tab w:val="clear" w:pos="8306"/>
        </w:tabs>
        <w:jc w:val="both"/>
        <w:rPr>
          <w:rFonts w:ascii="Arial" w:hAnsi="Arial"/>
          <w:b/>
          <w:sz w:val="22"/>
          <w:szCs w:val="22"/>
        </w:rPr>
      </w:pPr>
    </w:p>
    <w:p w:rsidR="000C3F54" w:rsidRPr="00FA3294" w:rsidRDefault="000C3F54" w:rsidP="0079701F">
      <w:pPr>
        <w:pStyle w:val="ListParagraph"/>
        <w:numPr>
          <w:ilvl w:val="1"/>
          <w:numId w:val="2"/>
        </w:numPr>
        <w:jc w:val="both"/>
        <w:rPr>
          <w:rFonts w:ascii="Arial" w:hAnsi="Arial"/>
          <w:sz w:val="22"/>
          <w:szCs w:val="22"/>
        </w:rPr>
      </w:pPr>
      <w:r w:rsidRPr="00FA3294">
        <w:rPr>
          <w:rFonts w:ascii="Arial" w:hAnsi="Arial"/>
          <w:sz w:val="22"/>
          <w:szCs w:val="22"/>
        </w:rPr>
        <w:t>For Alfamino®, the minor submission nominated Neocate® Gold</w:t>
      </w:r>
      <w:r w:rsidR="00FF2801" w:rsidRPr="00FA3294">
        <w:rPr>
          <w:rFonts w:ascii="Arial" w:hAnsi="Arial"/>
          <w:sz w:val="22"/>
          <w:szCs w:val="22"/>
        </w:rPr>
        <w:t xml:space="preserve"> </w:t>
      </w:r>
      <w:r w:rsidRPr="00FA3294">
        <w:rPr>
          <w:rFonts w:ascii="Arial" w:hAnsi="Arial"/>
          <w:sz w:val="22"/>
          <w:szCs w:val="22"/>
        </w:rPr>
        <w:t xml:space="preserve">as the comparator. </w:t>
      </w:r>
    </w:p>
    <w:p w:rsidR="000C3F54" w:rsidRPr="00FA3294" w:rsidRDefault="000C3F54" w:rsidP="000C3F54">
      <w:pPr>
        <w:pStyle w:val="ListParagraph"/>
        <w:jc w:val="both"/>
        <w:rPr>
          <w:rFonts w:ascii="Arial" w:hAnsi="Arial"/>
          <w:sz w:val="22"/>
          <w:szCs w:val="22"/>
        </w:rPr>
      </w:pPr>
    </w:p>
    <w:p w:rsidR="00476245" w:rsidRPr="00FA3294" w:rsidRDefault="000C3F54" w:rsidP="000C3F54">
      <w:pPr>
        <w:pStyle w:val="ListParagraph"/>
        <w:numPr>
          <w:ilvl w:val="1"/>
          <w:numId w:val="2"/>
        </w:numPr>
        <w:jc w:val="both"/>
        <w:rPr>
          <w:rFonts w:ascii="Arial" w:hAnsi="Arial"/>
          <w:sz w:val="22"/>
          <w:szCs w:val="22"/>
        </w:rPr>
      </w:pPr>
      <w:r w:rsidRPr="00FA3294">
        <w:rPr>
          <w:rFonts w:ascii="Arial" w:hAnsi="Arial"/>
          <w:sz w:val="22"/>
          <w:szCs w:val="22"/>
        </w:rPr>
        <w:t xml:space="preserve">For Alfamino® Junior, the minor </w:t>
      </w:r>
      <w:r w:rsidR="00FF2801" w:rsidRPr="00FA3294">
        <w:rPr>
          <w:rFonts w:ascii="Arial" w:hAnsi="Arial"/>
          <w:sz w:val="22"/>
          <w:szCs w:val="22"/>
        </w:rPr>
        <w:t>submission nominated</w:t>
      </w:r>
      <w:r w:rsidR="00CF4C4B" w:rsidRPr="00FA3294">
        <w:rPr>
          <w:rFonts w:ascii="Arial" w:hAnsi="Arial"/>
          <w:sz w:val="22"/>
          <w:szCs w:val="22"/>
        </w:rPr>
        <w:t xml:space="preserve"> Neocate</w:t>
      </w:r>
      <w:r w:rsidR="0079701F" w:rsidRPr="00FA3294">
        <w:rPr>
          <w:rFonts w:ascii="Arial" w:hAnsi="Arial"/>
          <w:sz w:val="22"/>
          <w:szCs w:val="22"/>
        </w:rPr>
        <w:t>® Advance</w:t>
      </w:r>
      <w:r w:rsidRPr="00FA3294">
        <w:rPr>
          <w:rFonts w:ascii="Arial" w:hAnsi="Arial"/>
          <w:sz w:val="22"/>
          <w:szCs w:val="22"/>
        </w:rPr>
        <w:t>, which the PBAC has previous accepted is similar to Neocate Advance Vanilla (a flavoured version of Neocate</w:t>
      </w:r>
      <w:r w:rsidR="00FA3294">
        <w:rPr>
          <w:rFonts w:ascii="Arial" w:hAnsi="Arial"/>
          <w:sz w:val="22"/>
          <w:szCs w:val="22"/>
        </w:rPr>
        <w:t>®</w:t>
      </w:r>
      <w:r w:rsidRPr="00FA3294">
        <w:rPr>
          <w:rFonts w:ascii="Arial" w:hAnsi="Arial"/>
          <w:sz w:val="22"/>
          <w:szCs w:val="22"/>
        </w:rPr>
        <w:t xml:space="preserve"> Advance) and EleCare</w:t>
      </w:r>
      <w:r w:rsidR="00FA3294">
        <w:rPr>
          <w:rFonts w:ascii="Arial" w:hAnsi="Arial"/>
          <w:sz w:val="22"/>
          <w:szCs w:val="22"/>
        </w:rPr>
        <w:t>®</w:t>
      </w:r>
      <w:r w:rsidRPr="00FA3294">
        <w:rPr>
          <w:rFonts w:ascii="Arial" w:hAnsi="Arial"/>
          <w:sz w:val="22"/>
          <w:szCs w:val="22"/>
        </w:rPr>
        <w:t>.</w:t>
      </w:r>
      <w:r w:rsidR="000019A2">
        <w:rPr>
          <w:rFonts w:ascii="Arial" w:hAnsi="Arial"/>
          <w:sz w:val="22"/>
          <w:szCs w:val="22"/>
        </w:rPr>
        <w:t xml:space="preserve"> </w:t>
      </w:r>
      <w:r w:rsidR="00FF2801" w:rsidRPr="00FA3294">
        <w:rPr>
          <w:rFonts w:ascii="Arial" w:hAnsi="Arial"/>
          <w:sz w:val="22"/>
          <w:szCs w:val="22"/>
        </w:rPr>
        <w:t>As a minor submission, there wa</w:t>
      </w:r>
      <w:r w:rsidR="00476245" w:rsidRPr="00FA3294">
        <w:rPr>
          <w:rFonts w:ascii="Arial" w:hAnsi="Arial"/>
          <w:sz w:val="22"/>
          <w:szCs w:val="22"/>
        </w:rPr>
        <w:t>s no economic comparison.</w:t>
      </w:r>
    </w:p>
    <w:p w:rsidR="00385479" w:rsidRDefault="00385479" w:rsidP="00385479">
      <w:pPr>
        <w:pStyle w:val="ListParagraph"/>
        <w:jc w:val="both"/>
        <w:rPr>
          <w:rFonts w:ascii="Arial" w:hAnsi="Arial"/>
          <w:sz w:val="22"/>
          <w:szCs w:val="22"/>
        </w:rPr>
      </w:pPr>
    </w:p>
    <w:p w:rsidR="00DF26A7" w:rsidRPr="00FA3294" w:rsidRDefault="00385479" w:rsidP="00476245">
      <w:pPr>
        <w:pStyle w:val="ListParagraph"/>
        <w:numPr>
          <w:ilvl w:val="1"/>
          <w:numId w:val="2"/>
        </w:numPr>
        <w:jc w:val="both"/>
        <w:rPr>
          <w:rFonts w:ascii="Arial" w:hAnsi="Arial"/>
          <w:sz w:val="22"/>
          <w:szCs w:val="22"/>
        </w:rPr>
      </w:pPr>
      <w:r w:rsidRPr="00FA3294">
        <w:rPr>
          <w:rFonts w:ascii="Arial" w:hAnsi="Arial"/>
          <w:sz w:val="22"/>
          <w:szCs w:val="22"/>
        </w:rPr>
        <w:t>The PBAC has previously accepted</w:t>
      </w:r>
      <w:r w:rsidR="000C3F54" w:rsidRPr="00FA3294">
        <w:rPr>
          <w:rFonts w:ascii="Arial" w:hAnsi="Arial"/>
          <w:sz w:val="22"/>
          <w:szCs w:val="22"/>
        </w:rPr>
        <w:t xml:space="preserve"> that </w:t>
      </w:r>
      <w:r w:rsidR="00FA3294" w:rsidRPr="00FA3294">
        <w:rPr>
          <w:rFonts w:ascii="Arial" w:hAnsi="Arial"/>
          <w:sz w:val="22"/>
          <w:szCs w:val="22"/>
        </w:rPr>
        <w:t>t</w:t>
      </w:r>
      <w:r w:rsidR="00FA3294">
        <w:rPr>
          <w:rFonts w:ascii="Arial" w:hAnsi="Arial"/>
          <w:sz w:val="22"/>
          <w:szCs w:val="22"/>
        </w:rPr>
        <w:t>hese comparators are appropriate.</w:t>
      </w:r>
    </w:p>
    <w:p w:rsidR="000B558D" w:rsidRDefault="008D7A41" w:rsidP="00C7792B">
      <w:pPr>
        <w:pStyle w:val="Header"/>
        <w:numPr>
          <w:ilvl w:val="0"/>
          <w:numId w:val="2"/>
        </w:numPr>
        <w:tabs>
          <w:tab w:val="clear" w:pos="4153"/>
          <w:tab w:val="clear" w:pos="8306"/>
        </w:tabs>
        <w:jc w:val="both"/>
        <w:rPr>
          <w:rFonts w:ascii="Arial" w:hAnsi="Arial"/>
          <w:b/>
          <w:sz w:val="22"/>
          <w:szCs w:val="22"/>
        </w:rPr>
      </w:pPr>
      <w:r>
        <w:rPr>
          <w:rFonts w:ascii="Arial" w:hAnsi="Arial"/>
          <w:b/>
          <w:sz w:val="22"/>
          <w:szCs w:val="22"/>
        </w:rPr>
        <w:lastRenderedPageBreak/>
        <w:t>C</w:t>
      </w:r>
      <w:r w:rsidR="00D84934">
        <w:rPr>
          <w:rFonts w:ascii="Arial" w:hAnsi="Arial"/>
          <w:b/>
          <w:sz w:val="22"/>
          <w:szCs w:val="22"/>
        </w:rPr>
        <w:t>onsideration of the evidence</w:t>
      </w:r>
    </w:p>
    <w:p w:rsidR="003C0EF2" w:rsidRPr="008B54E8" w:rsidRDefault="003C0EF2" w:rsidP="003C0EF2">
      <w:pPr>
        <w:jc w:val="both"/>
        <w:rPr>
          <w:rFonts w:ascii="Arial" w:hAnsi="Arial"/>
          <w:b/>
          <w:sz w:val="22"/>
          <w:szCs w:val="22"/>
        </w:rPr>
      </w:pPr>
    </w:p>
    <w:p w:rsidR="003C0EF2" w:rsidRPr="00605E37" w:rsidRDefault="003C0EF2" w:rsidP="003C0EF2">
      <w:pPr>
        <w:jc w:val="both"/>
        <w:rPr>
          <w:rFonts w:ascii="Arial" w:hAnsi="Arial"/>
          <w:b/>
          <w:i/>
          <w:sz w:val="22"/>
          <w:szCs w:val="22"/>
        </w:rPr>
      </w:pPr>
      <w:r w:rsidRPr="00605E37">
        <w:rPr>
          <w:rFonts w:ascii="Arial" w:hAnsi="Arial"/>
          <w:b/>
          <w:i/>
          <w:sz w:val="22"/>
          <w:szCs w:val="22"/>
        </w:rPr>
        <w:t>Sponsor hearing</w:t>
      </w:r>
    </w:p>
    <w:p w:rsidR="003C0EF2" w:rsidRPr="008B54E8" w:rsidRDefault="003C0EF2" w:rsidP="003C0EF2">
      <w:pPr>
        <w:jc w:val="both"/>
        <w:rPr>
          <w:rFonts w:ascii="Arial" w:hAnsi="Arial"/>
          <w:b/>
          <w:sz w:val="22"/>
          <w:szCs w:val="22"/>
        </w:rPr>
      </w:pPr>
    </w:p>
    <w:p w:rsidR="003C0EF2" w:rsidRPr="008B54E8" w:rsidRDefault="003C0EF2" w:rsidP="003C0EF2">
      <w:pPr>
        <w:pStyle w:val="ListParagraph"/>
        <w:numPr>
          <w:ilvl w:val="1"/>
          <w:numId w:val="2"/>
        </w:numPr>
        <w:jc w:val="both"/>
        <w:rPr>
          <w:rFonts w:ascii="Arial" w:hAnsi="Arial"/>
          <w:b/>
          <w:sz w:val="22"/>
          <w:szCs w:val="22"/>
        </w:rPr>
      </w:pPr>
      <w:r w:rsidRPr="008B54E8">
        <w:rPr>
          <w:rFonts w:ascii="Arial" w:hAnsi="Arial" w:cs="Arial"/>
          <w:bCs/>
          <w:snapToGrid w:val="0"/>
          <w:sz w:val="22"/>
          <w:szCs w:val="22"/>
        </w:rPr>
        <w:t>There was no hearing for this item as it was a minor submission.</w:t>
      </w:r>
    </w:p>
    <w:p w:rsidR="003C0EF2" w:rsidRPr="008B54E8" w:rsidRDefault="003C0EF2" w:rsidP="003C0EF2">
      <w:pPr>
        <w:jc w:val="both"/>
        <w:rPr>
          <w:rFonts w:ascii="Arial" w:hAnsi="Arial"/>
          <w:b/>
          <w:sz w:val="22"/>
          <w:szCs w:val="22"/>
        </w:rPr>
      </w:pPr>
    </w:p>
    <w:p w:rsidR="003C0EF2" w:rsidRPr="00605E37" w:rsidRDefault="003C0EF2" w:rsidP="003C0EF2">
      <w:pPr>
        <w:jc w:val="both"/>
        <w:rPr>
          <w:rFonts w:ascii="Arial" w:hAnsi="Arial"/>
          <w:b/>
          <w:i/>
          <w:sz w:val="22"/>
          <w:szCs w:val="22"/>
        </w:rPr>
      </w:pPr>
      <w:r w:rsidRPr="00605E37">
        <w:rPr>
          <w:rFonts w:ascii="Arial" w:hAnsi="Arial"/>
          <w:b/>
          <w:i/>
          <w:sz w:val="22"/>
          <w:szCs w:val="22"/>
        </w:rPr>
        <w:t>Consumer comments</w:t>
      </w:r>
    </w:p>
    <w:p w:rsidR="003C0EF2" w:rsidRPr="008B54E8" w:rsidRDefault="003C0EF2" w:rsidP="003C0EF2">
      <w:pPr>
        <w:jc w:val="both"/>
        <w:rPr>
          <w:rFonts w:ascii="Arial" w:hAnsi="Arial"/>
          <w:b/>
          <w:sz w:val="22"/>
          <w:szCs w:val="22"/>
        </w:rPr>
      </w:pPr>
    </w:p>
    <w:p w:rsidR="003C0EF2" w:rsidRPr="008B54E8" w:rsidRDefault="003C0EF2" w:rsidP="003C0EF2">
      <w:pPr>
        <w:pStyle w:val="ListParagraph"/>
        <w:numPr>
          <w:ilvl w:val="1"/>
          <w:numId w:val="2"/>
        </w:numPr>
        <w:jc w:val="both"/>
        <w:rPr>
          <w:rFonts w:ascii="Arial" w:hAnsi="Arial"/>
          <w:b/>
          <w:sz w:val="22"/>
          <w:szCs w:val="22"/>
        </w:rPr>
      </w:pPr>
      <w:r w:rsidRPr="008B54E8">
        <w:rPr>
          <w:rFonts w:ascii="Arial" w:hAnsi="Arial" w:cs="Arial"/>
          <w:bCs/>
          <w:snapToGrid w:val="0"/>
          <w:sz w:val="22"/>
          <w:szCs w:val="22"/>
        </w:rPr>
        <w:t>The PBAC noted that no consumer comments were received for this item.</w:t>
      </w:r>
    </w:p>
    <w:p w:rsidR="00BB7EC3" w:rsidRDefault="00BB7EC3" w:rsidP="00F9629A">
      <w:pPr>
        <w:jc w:val="both"/>
        <w:rPr>
          <w:rFonts w:ascii="Arial" w:hAnsi="Arial"/>
          <w:sz w:val="22"/>
          <w:szCs w:val="22"/>
        </w:rPr>
      </w:pPr>
    </w:p>
    <w:p w:rsidR="00D84934" w:rsidRPr="00605E37" w:rsidRDefault="00D84934" w:rsidP="00D84934">
      <w:pPr>
        <w:jc w:val="both"/>
        <w:rPr>
          <w:rFonts w:ascii="Arial" w:hAnsi="Arial"/>
          <w:b/>
          <w:i/>
          <w:sz w:val="22"/>
          <w:szCs w:val="22"/>
        </w:rPr>
      </w:pPr>
      <w:r w:rsidRPr="00605E37">
        <w:rPr>
          <w:rFonts w:ascii="Arial" w:hAnsi="Arial"/>
          <w:b/>
          <w:i/>
          <w:sz w:val="22"/>
          <w:szCs w:val="22"/>
        </w:rPr>
        <w:t>Clinical trials</w:t>
      </w:r>
    </w:p>
    <w:p w:rsidR="00D84934" w:rsidRPr="00F9629A" w:rsidRDefault="00D84934" w:rsidP="00F9629A">
      <w:pPr>
        <w:jc w:val="both"/>
        <w:rPr>
          <w:rFonts w:ascii="Arial" w:hAnsi="Arial"/>
          <w:sz w:val="22"/>
          <w:szCs w:val="22"/>
        </w:rPr>
      </w:pPr>
    </w:p>
    <w:p w:rsidR="0076420C" w:rsidRDefault="00385479" w:rsidP="00C7792B">
      <w:pPr>
        <w:pStyle w:val="ListParagraph"/>
        <w:numPr>
          <w:ilvl w:val="1"/>
          <w:numId w:val="2"/>
        </w:numPr>
        <w:jc w:val="both"/>
        <w:rPr>
          <w:rFonts w:ascii="Arial" w:hAnsi="Arial"/>
          <w:sz w:val="22"/>
          <w:szCs w:val="22"/>
        </w:rPr>
      </w:pPr>
      <w:r>
        <w:rPr>
          <w:rFonts w:ascii="Arial" w:hAnsi="Arial"/>
          <w:sz w:val="22"/>
          <w:szCs w:val="22"/>
        </w:rPr>
        <w:t>No clinical data was provided in this submission.</w:t>
      </w:r>
    </w:p>
    <w:p w:rsidR="003573C8" w:rsidRDefault="003573C8" w:rsidP="003573C8">
      <w:pPr>
        <w:pStyle w:val="ListParagraph"/>
        <w:jc w:val="both"/>
        <w:rPr>
          <w:rFonts w:ascii="Arial" w:hAnsi="Arial"/>
          <w:sz w:val="22"/>
          <w:szCs w:val="22"/>
        </w:rPr>
      </w:pPr>
    </w:p>
    <w:p w:rsidR="00605E37" w:rsidRPr="00605E37" w:rsidRDefault="003573C8" w:rsidP="00605E37">
      <w:pPr>
        <w:pStyle w:val="ListParagraph"/>
        <w:numPr>
          <w:ilvl w:val="1"/>
          <w:numId w:val="2"/>
        </w:numPr>
        <w:jc w:val="both"/>
        <w:rPr>
          <w:rFonts w:ascii="Arial" w:hAnsi="Arial" w:cs="Arial"/>
          <w:bCs/>
          <w:snapToGrid w:val="0"/>
          <w:sz w:val="22"/>
          <w:szCs w:val="22"/>
          <w:lang w:val="en-GB" w:eastAsia="en-US"/>
        </w:rPr>
      </w:pPr>
      <w:r w:rsidRPr="00605E37">
        <w:rPr>
          <w:rFonts w:ascii="Arial" w:hAnsi="Arial"/>
          <w:sz w:val="22"/>
          <w:szCs w:val="22"/>
        </w:rPr>
        <w:t>In consideration of the submission, the Nutritional Products Working Party (NPWP) noted:</w:t>
      </w:r>
      <w:r w:rsidR="00605E37" w:rsidRPr="00605E37">
        <w:rPr>
          <w:rFonts w:ascii="Arial" w:hAnsi="Arial" w:cs="Arial"/>
          <w:sz w:val="22"/>
          <w:szCs w:val="22"/>
        </w:rPr>
        <w:t xml:space="preserve"> </w:t>
      </w:r>
    </w:p>
    <w:p w:rsidR="00605E37" w:rsidRPr="003573C8" w:rsidRDefault="00605E37" w:rsidP="00605E37">
      <w:pPr>
        <w:pStyle w:val="ListParagraph"/>
        <w:widowControl w:val="0"/>
        <w:numPr>
          <w:ilvl w:val="0"/>
          <w:numId w:val="18"/>
        </w:numPr>
        <w:ind w:left="1134" w:hanging="425"/>
        <w:rPr>
          <w:rFonts w:ascii="Arial" w:hAnsi="Arial" w:cs="Arial"/>
          <w:bCs/>
          <w:snapToGrid w:val="0"/>
          <w:sz w:val="22"/>
          <w:szCs w:val="22"/>
          <w:lang w:val="en-GB" w:eastAsia="en-US"/>
        </w:rPr>
      </w:pPr>
      <w:r w:rsidRPr="003573C8">
        <w:rPr>
          <w:rFonts w:ascii="Arial" w:hAnsi="Arial" w:cs="Arial"/>
          <w:sz w:val="22"/>
          <w:szCs w:val="22"/>
        </w:rPr>
        <w:t>Alfamino® Junior was recommended by the NPWP and PBAC for listing at the March 2015 meeting, but that this listing has not yet been implemented, as of 1 October.</w:t>
      </w:r>
    </w:p>
    <w:p w:rsidR="00605E37" w:rsidRPr="003573C8" w:rsidRDefault="00605E37" w:rsidP="00605E37">
      <w:pPr>
        <w:pStyle w:val="ListParagraph"/>
        <w:widowControl w:val="0"/>
        <w:numPr>
          <w:ilvl w:val="0"/>
          <w:numId w:val="18"/>
        </w:numPr>
        <w:ind w:left="1134" w:hanging="425"/>
        <w:rPr>
          <w:rFonts w:ascii="Arial" w:hAnsi="Arial" w:cs="Arial"/>
          <w:bCs/>
          <w:snapToGrid w:val="0"/>
          <w:sz w:val="22"/>
          <w:szCs w:val="22"/>
          <w:lang w:val="en-GB" w:eastAsia="en-US"/>
        </w:rPr>
      </w:pPr>
      <w:r w:rsidRPr="003573C8">
        <w:rPr>
          <w:rFonts w:ascii="Arial" w:hAnsi="Arial" w:cs="Arial"/>
          <w:sz w:val="22"/>
          <w:szCs w:val="22"/>
        </w:rPr>
        <w:t>The addition of indications for eosinophilic oesophagitis and severe intestinal malabsorption including short bowel syndrome would bring the listing for Alfamino® and Alfamino Junior® in line with listings for comparable products.</w:t>
      </w:r>
    </w:p>
    <w:p w:rsidR="00605E37" w:rsidRPr="003573C8" w:rsidRDefault="00605E37" w:rsidP="00605E37">
      <w:pPr>
        <w:pStyle w:val="ListParagraph"/>
        <w:widowControl w:val="0"/>
        <w:numPr>
          <w:ilvl w:val="0"/>
          <w:numId w:val="18"/>
        </w:numPr>
        <w:ind w:left="1134" w:hanging="425"/>
        <w:rPr>
          <w:rFonts w:ascii="Arial" w:hAnsi="Arial" w:cs="Arial"/>
          <w:bCs/>
          <w:snapToGrid w:val="0"/>
          <w:sz w:val="22"/>
          <w:szCs w:val="22"/>
          <w:lang w:val="en-GB" w:eastAsia="en-US"/>
        </w:rPr>
      </w:pPr>
      <w:r w:rsidRPr="003573C8">
        <w:rPr>
          <w:rFonts w:ascii="Arial" w:hAnsi="Arial" w:cs="Arial"/>
          <w:sz w:val="22"/>
          <w:szCs w:val="22"/>
        </w:rPr>
        <w:t>The PBAC has previously stated that Alfamino® is a comparable product to Neocate Gold®, and Alfamino® Junior is a comparable product to Neocate Advance®, which PBAC has concluded is in turn similar to Neocate Advance® Vanilla and Elecare®.</w:t>
      </w:r>
    </w:p>
    <w:p w:rsidR="003573C8" w:rsidRPr="00605E37" w:rsidRDefault="00605E37" w:rsidP="00605E37">
      <w:pPr>
        <w:pStyle w:val="ListParagraph"/>
        <w:widowControl w:val="0"/>
        <w:numPr>
          <w:ilvl w:val="0"/>
          <w:numId w:val="18"/>
        </w:numPr>
        <w:ind w:left="1134" w:hanging="425"/>
        <w:rPr>
          <w:rFonts w:ascii="Arial" w:hAnsi="Arial" w:cs="Arial"/>
          <w:bCs/>
          <w:snapToGrid w:val="0"/>
          <w:sz w:val="22"/>
          <w:szCs w:val="22"/>
          <w:lang w:val="en-GB" w:eastAsia="en-US"/>
        </w:rPr>
      </w:pPr>
      <w:r w:rsidRPr="003573C8">
        <w:rPr>
          <w:rFonts w:ascii="Arial" w:hAnsi="Arial" w:cs="Arial"/>
          <w:sz w:val="22"/>
          <w:szCs w:val="22"/>
        </w:rPr>
        <w:t>No changes to current pricing arrangements were requested, and the submission was therefore considered to be cost neutral to the PBS.</w:t>
      </w:r>
    </w:p>
    <w:p w:rsidR="003573C8" w:rsidRDefault="003573C8" w:rsidP="003573C8">
      <w:pPr>
        <w:pStyle w:val="ListParagraph"/>
        <w:jc w:val="both"/>
        <w:rPr>
          <w:rFonts w:ascii="Arial" w:hAnsi="Arial"/>
          <w:sz w:val="22"/>
          <w:szCs w:val="22"/>
        </w:rPr>
      </w:pPr>
    </w:p>
    <w:p w:rsidR="0076420C" w:rsidRDefault="0076420C" w:rsidP="0076420C">
      <w:pPr>
        <w:pStyle w:val="ListParagraph"/>
        <w:ind w:left="709"/>
        <w:jc w:val="both"/>
        <w:rPr>
          <w:rFonts w:ascii="Arial" w:hAnsi="Arial"/>
          <w:sz w:val="22"/>
          <w:szCs w:val="22"/>
        </w:rPr>
      </w:pPr>
    </w:p>
    <w:p w:rsidR="005A3173" w:rsidRPr="00605E37" w:rsidRDefault="005A3173" w:rsidP="00882085">
      <w:pPr>
        <w:ind w:left="720" w:hanging="720"/>
        <w:jc w:val="both"/>
        <w:rPr>
          <w:rFonts w:ascii="Arial" w:hAnsi="Arial"/>
          <w:b/>
          <w:i/>
          <w:sz w:val="22"/>
          <w:szCs w:val="22"/>
        </w:rPr>
      </w:pPr>
      <w:r w:rsidRPr="00605E37">
        <w:rPr>
          <w:rFonts w:ascii="Arial" w:hAnsi="Arial"/>
          <w:b/>
          <w:i/>
          <w:sz w:val="22"/>
          <w:szCs w:val="22"/>
        </w:rPr>
        <w:t>Estimated PBS usage &amp; financial implications</w:t>
      </w:r>
    </w:p>
    <w:p w:rsidR="005A3173" w:rsidRPr="00882085" w:rsidRDefault="005A3173" w:rsidP="00882085">
      <w:pPr>
        <w:ind w:left="720" w:hanging="720"/>
        <w:jc w:val="both"/>
        <w:rPr>
          <w:rFonts w:ascii="Arial" w:hAnsi="Arial"/>
          <w:b/>
          <w:i/>
          <w:sz w:val="22"/>
          <w:szCs w:val="22"/>
        </w:rPr>
      </w:pPr>
    </w:p>
    <w:p w:rsidR="00A15C90" w:rsidRPr="003C0EF2" w:rsidRDefault="00383E2E" w:rsidP="00A15C90">
      <w:pPr>
        <w:pStyle w:val="ListParagraph"/>
        <w:numPr>
          <w:ilvl w:val="1"/>
          <w:numId w:val="2"/>
        </w:numPr>
        <w:jc w:val="both"/>
        <w:rPr>
          <w:rFonts w:ascii="Arial" w:hAnsi="Arial"/>
          <w:sz w:val="22"/>
          <w:szCs w:val="22"/>
        </w:rPr>
      </w:pPr>
      <w:r w:rsidRPr="003C0EF2">
        <w:rPr>
          <w:rFonts w:ascii="Arial" w:hAnsi="Arial"/>
          <w:sz w:val="22"/>
          <w:szCs w:val="22"/>
        </w:rPr>
        <w:t>The submission proposed n</w:t>
      </w:r>
      <w:r w:rsidR="00962671" w:rsidRPr="003C0EF2">
        <w:rPr>
          <w:rFonts w:ascii="Arial" w:hAnsi="Arial"/>
          <w:sz w:val="22"/>
          <w:szCs w:val="22"/>
        </w:rPr>
        <w:t>o change</w:t>
      </w:r>
      <w:r w:rsidRPr="003C0EF2">
        <w:rPr>
          <w:rFonts w:ascii="Arial" w:hAnsi="Arial"/>
          <w:sz w:val="22"/>
          <w:szCs w:val="22"/>
        </w:rPr>
        <w:t>s to current pricing arrangements, and the listing of these items for additional conditions is expected to be cost-neutral to the PBS.</w:t>
      </w:r>
    </w:p>
    <w:p w:rsidR="00A15C90" w:rsidRDefault="00A15C90" w:rsidP="00C00DA7">
      <w:pPr>
        <w:jc w:val="both"/>
        <w:rPr>
          <w:rFonts w:ascii="Arial" w:hAnsi="Arial"/>
          <w:sz w:val="22"/>
          <w:szCs w:val="22"/>
        </w:rPr>
      </w:pPr>
    </w:p>
    <w:p w:rsidR="00440CAD" w:rsidRPr="00C00DA7" w:rsidRDefault="00440CAD" w:rsidP="00C00DA7">
      <w:pPr>
        <w:jc w:val="both"/>
        <w:rPr>
          <w:rFonts w:ascii="Arial" w:hAnsi="Arial"/>
          <w:sz w:val="22"/>
          <w:szCs w:val="22"/>
        </w:rPr>
      </w:pPr>
    </w:p>
    <w:p w:rsidR="003C0EF2" w:rsidRPr="00AB1F9A" w:rsidRDefault="003C0EF2" w:rsidP="003C0EF2">
      <w:pPr>
        <w:widowControl w:val="0"/>
        <w:numPr>
          <w:ilvl w:val="0"/>
          <w:numId w:val="2"/>
        </w:numPr>
        <w:spacing w:after="120"/>
        <w:jc w:val="both"/>
        <w:rPr>
          <w:rFonts w:ascii="Arial" w:hAnsi="Arial" w:cs="Arial"/>
          <w:b/>
          <w:bCs/>
          <w:snapToGrid w:val="0"/>
          <w:sz w:val="22"/>
          <w:szCs w:val="22"/>
          <w:lang w:eastAsia="en-US"/>
        </w:rPr>
      </w:pPr>
      <w:r w:rsidRPr="00AB1F9A">
        <w:rPr>
          <w:rFonts w:ascii="Arial" w:hAnsi="Arial" w:cs="Arial"/>
          <w:b/>
          <w:bCs/>
          <w:snapToGrid w:val="0"/>
          <w:sz w:val="22"/>
          <w:szCs w:val="22"/>
          <w:lang w:eastAsia="en-US"/>
        </w:rPr>
        <w:t>PBAC Outcome</w:t>
      </w:r>
    </w:p>
    <w:p w:rsidR="003C0EF2" w:rsidRPr="00AB1F9A" w:rsidRDefault="003C0EF2" w:rsidP="003C0EF2">
      <w:pPr>
        <w:contextualSpacing/>
        <w:jc w:val="both"/>
        <w:rPr>
          <w:rFonts w:ascii="Arial" w:hAnsi="Arial" w:cs="Arial"/>
          <w:b/>
          <w:bCs/>
          <w:snapToGrid w:val="0"/>
          <w:sz w:val="22"/>
          <w:szCs w:val="22"/>
          <w:lang w:val="en-GB" w:eastAsia="en-US"/>
        </w:rPr>
      </w:pPr>
    </w:p>
    <w:p w:rsidR="003C0EF2" w:rsidRDefault="00AB1F9A" w:rsidP="00AB1F9A">
      <w:pPr>
        <w:widowControl w:val="0"/>
        <w:numPr>
          <w:ilvl w:val="1"/>
          <w:numId w:val="2"/>
        </w:numPr>
        <w:spacing w:after="120"/>
        <w:contextualSpacing/>
        <w:jc w:val="both"/>
        <w:rPr>
          <w:rFonts w:ascii="Arial" w:hAnsi="Arial" w:cs="Arial"/>
          <w:bCs/>
          <w:snapToGrid w:val="0"/>
          <w:sz w:val="22"/>
          <w:szCs w:val="22"/>
          <w:lang w:val="en-GB" w:eastAsia="en-US"/>
        </w:rPr>
      </w:pPr>
      <w:r w:rsidRPr="00AB1F9A">
        <w:rPr>
          <w:rFonts w:ascii="Arial" w:hAnsi="Arial" w:cs="Arial"/>
          <w:bCs/>
          <w:snapToGrid w:val="0"/>
          <w:sz w:val="22"/>
          <w:szCs w:val="22"/>
          <w:lang w:val="en-GB" w:eastAsia="en-US"/>
        </w:rPr>
        <w:t>The PBAC recommended the listing of Alfamino® as an Authority Required Benefit for patients with eosinophilic oesophagitis and patients with severe intestinal malabsorption, with no changes to current pricing arrangements.</w:t>
      </w:r>
    </w:p>
    <w:p w:rsidR="008D5BCA" w:rsidRDefault="008D5BCA" w:rsidP="008D5BCA">
      <w:pPr>
        <w:widowControl w:val="0"/>
        <w:spacing w:after="120"/>
        <w:ind w:left="720"/>
        <w:contextualSpacing/>
        <w:jc w:val="both"/>
        <w:rPr>
          <w:rFonts w:ascii="Arial" w:hAnsi="Arial" w:cs="Arial"/>
          <w:bCs/>
          <w:snapToGrid w:val="0"/>
          <w:sz w:val="22"/>
          <w:szCs w:val="22"/>
          <w:lang w:val="en-GB" w:eastAsia="en-US"/>
        </w:rPr>
      </w:pPr>
    </w:p>
    <w:p w:rsidR="008D5BCA" w:rsidRPr="008D5BCA" w:rsidRDefault="008D5BCA" w:rsidP="008D5BCA">
      <w:pPr>
        <w:widowControl w:val="0"/>
        <w:numPr>
          <w:ilvl w:val="1"/>
          <w:numId w:val="2"/>
        </w:numPr>
        <w:spacing w:after="120"/>
        <w:contextualSpacing/>
        <w:jc w:val="both"/>
        <w:rPr>
          <w:rFonts w:ascii="Arial" w:hAnsi="Arial" w:cs="Arial"/>
          <w:bCs/>
          <w:snapToGrid w:val="0"/>
          <w:sz w:val="22"/>
          <w:szCs w:val="22"/>
          <w:lang w:val="en-GB" w:eastAsia="en-US"/>
        </w:rPr>
      </w:pPr>
      <w:r w:rsidRPr="008D5BCA">
        <w:rPr>
          <w:rFonts w:ascii="Arial" w:hAnsi="Arial" w:cs="Arial"/>
          <w:bCs/>
          <w:snapToGrid w:val="0"/>
          <w:sz w:val="22"/>
          <w:szCs w:val="22"/>
          <w:lang w:val="en-GB" w:eastAsia="en-US"/>
        </w:rPr>
        <w:t>The PBAC recommended the listing of and Alfamino® Junior as an Authority Required Benefit for patients with eosinophilic oesophagitis, with no changes to current pricing arrangements.</w:t>
      </w:r>
    </w:p>
    <w:p w:rsidR="007C54D1" w:rsidRDefault="007C54D1" w:rsidP="0006163D">
      <w:pPr>
        <w:widowControl w:val="0"/>
        <w:spacing w:after="120"/>
        <w:ind w:left="720"/>
        <w:contextualSpacing/>
        <w:jc w:val="both"/>
        <w:rPr>
          <w:rFonts w:ascii="Arial" w:hAnsi="Arial" w:cs="Arial"/>
          <w:bCs/>
          <w:snapToGrid w:val="0"/>
          <w:sz w:val="22"/>
          <w:szCs w:val="22"/>
          <w:lang w:val="en-GB" w:eastAsia="en-US"/>
        </w:rPr>
      </w:pPr>
    </w:p>
    <w:p w:rsidR="00A56597" w:rsidRPr="0059402E" w:rsidRDefault="00A56597" w:rsidP="00A56597">
      <w:pPr>
        <w:widowControl w:val="0"/>
        <w:numPr>
          <w:ilvl w:val="1"/>
          <w:numId w:val="2"/>
        </w:numPr>
        <w:contextualSpacing/>
        <w:jc w:val="both"/>
        <w:rPr>
          <w:rFonts w:ascii="Arial" w:hAnsi="Arial" w:cs="Arial"/>
          <w:b/>
          <w:bCs/>
          <w:snapToGrid w:val="0"/>
          <w:sz w:val="22"/>
          <w:szCs w:val="22"/>
          <w:lang w:val="en-GB" w:eastAsia="en-US"/>
        </w:rPr>
      </w:pPr>
      <w:r w:rsidRPr="0059402E">
        <w:rPr>
          <w:rFonts w:ascii="Arial" w:hAnsi="Arial" w:cs="Arial"/>
          <w:bCs/>
          <w:snapToGrid w:val="0"/>
          <w:sz w:val="22"/>
          <w:szCs w:val="22"/>
          <w:lang w:val="en-GB" w:eastAsia="en-US"/>
        </w:rPr>
        <w:t xml:space="preserve">The PBAC noted the advice of the Nutritional Products Working Party that supported the listing of </w:t>
      </w:r>
      <w:r>
        <w:rPr>
          <w:rFonts w:ascii="Arial" w:hAnsi="Arial" w:cs="Arial"/>
          <w:bCs/>
          <w:snapToGrid w:val="0"/>
          <w:sz w:val="22"/>
          <w:szCs w:val="22"/>
          <w:lang w:val="en-GB" w:eastAsia="en-US"/>
        </w:rPr>
        <w:t>Alfamino</w:t>
      </w:r>
      <w:r w:rsidRPr="00AB1F9A">
        <w:rPr>
          <w:rFonts w:ascii="Arial" w:hAnsi="Arial" w:cs="Arial"/>
          <w:bCs/>
          <w:snapToGrid w:val="0"/>
          <w:sz w:val="22"/>
          <w:szCs w:val="22"/>
          <w:lang w:val="en-GB" w:eastAsia="en-US"/>
        </w:rPr>
        <w:t>®</w:t>
      </w:r>
      <w:r>
        <w:rPr>
          <w:rFonts w:ascii="Arial" w:hAnsi="Arial" w:cs="Arial"/>
          <w:bCs/>
          <w:snapToGrid w:val="0"/>
          <w:sz w:val="22"/>
          <w:szCs w:val="22"/>
          <w:lang w:val="en-GB" w:eastAsia="en-US"/>
        </w:rPr>
        <w:t xml:space="preserve"> and Alfamino</w:t>
      </w:r>
      <w:r w:rsidRPr="0059402E">
        <w:rPr>
          <w:rFonts w:ascii="Arial" w:hAnsi="Arial" w:cs="Arial"/>
          <w:bCs/>
          <w:snapToGrid w:val="0"/>
          <w:sz w:val="22"/>
          <w:szCs w:val="22"/>
          <w:lang w:val="en-GB" w:eastAsia="en-US"/>
        </w:rPr>
        <w:t>® Junior on the PBS</w:t>
      </w:r>
      <w:r>
        <w:rPr>
          <w:rFonts w:ascii="Arial" w:hAnsi="Arial" w:cs="Arial"/>
          <w:bCs/>
          <w:snapToGrid w:val="0"/>
          <w:sz w:val="22"/>
          <w:szCs w:val="22"/>
          <w:lang w:val="en-GB" w:eastAsia="en-US"/>
        </w:rPr>
        <w:t xml:space="preserve"> for the requested indications</w:t>
      </w:r>
      <w:r w:rsidRPr="0059402E">
        <w:rPr>
          <w:rFonts w:ascii="Arial" w:hAnsi="Arial" w:cs="Arial"/>
          <w:bCs/>
          <w:snapToGrid w:val="0"/>
          <w:sz w:val="22"/>
          <w:szCs w:val="22"/>
          <w:lang w:val="en-GB" w:eastAsia="en-US"/>
        </w:rPr>
        <w:t>.</w:t>
      </w:r>
    </w:p>
    <w:p w:rsidR="00A56597" w:rsidRDefault="00A56597" w:rsidP="00A56597">
      <w:pPr>
        <w:pStyle w:val="ListParagraph"/>
        <w:rPr>
          <w:rFonts w:ascii="Arial" w:hAnsi="Arial" w:cs="Arial"/>
          <w:bCs/>
          <w:snapToGrid w:val="0"/>
          <w:sz w:val="22"/>
          <w:szCs w:val="22"/>
          <w:lang w:val="en-GB" w:eastAsia="en-US"/>
        </w:rPr>
      </w:pPr>
    </w:p>
    <w:p w:rsidR="00F32A8C" w:rsidRPr="00C02588" w:rsidRDefault="007C54D1" w:rsidP="00F32A8C">
      <w:pPr>
        <w:widowControl w:val="0"/>
        <w:numPr>
          <w:ilvl w:val="1"/>
          <w:numId w:val="2"/>
        </w:numPr>
        <w:contextualSpacing/>
        <w:jc w:val="both"/>
        <w:rPr>
          <w:rFonts w:ascii="Arial" w:hAnsi="Arial" w:cs="Arial"/>
          <w:bCs/>
          <w:snapToGrid w:val="0"/>
          <w:sz w:val="22"/>
          <w:szCs w:val="22"/>
          <w:lang w:val="en-GB" w:eastAsia="en-US"/>
        </w:rPr>
      </w:pPr>
      <w:r>
        <w:rPr>
          <w:rFonts w:ascii="Arial" w:hAnsi="Arial" w:cs="Arial"/>
          <w:bCs/>
          <w:snapToGrid w:val="0"/>
          <w:sz w:val="22"/>
          <w:szCs w:val="22"/>
          <w:lang w:val="en-GB" w:eastAsia="en-US"/>
        </w:rPr>
        <w:lastRenderedPageBreak/>
        <w:t>The PBAC recommended that the restriction wording for these indications align with currently listed products, and that the follow</w:t>
      </w:r>
      <w:r w:rsidR="000F1358">
        <w:rPr>
          <w:rFonts w:ascii="Arial" w:hAnsi="Arial" w:cs="Arial"/>
          <w:bCs/>
          <w:snapToGrid w:val="0"/>
          <w:sz w:val="22"/>
          <w:szCs w:val="22"/>
          <w:lang w:val="en-GB" w:eastAsia="en-US"/>
        </w:rPr>
        <w:t xml:space="preserve">ing Administrative Advice apply: </w:t>
      </w:r>
      <w:r w:rsidR="000F1358" w:rsidRPr="000F1358">
        <w:rPr>
          <w:rFonts w:ascii="Arial" w:hAnsi="Arial" w:cs="Arial"/>
          <w:bCs/>
          <w:snapToGrid w:val="0"/>
          <w:sz w:val="22"/>
          <w:szCs w:val="22"/>
          <w:lang w:val="en-GB" w:eastAsia="en-US"/>
        </w:rPr>
        <w:t>“</w:t>
      </w:r>
      <w:r w:rsidR="000F1358" w:rsidRPr="000F1358">
        <w:rPr>
          <w:rFonts w:ascii="Arial" w:hAnsi="Arial"/>
          <w:sz w:val="22"/>
          <w:szCs w:val="22"/>
        </w:rPr>
        <w:t>Authorities for increased maximum quantities, up to a maximum of 20, may be authorised.”</w:t>
      </w:r>
    </w:p>
    <w:p w:rsidR="00C02588" w:rsidRDefault="00C02588" w:rsidP="00C02588">
      <w:pPr>
        <w:widowControl w:val="0"/>
        <w:contextualSpacing/>
        <w:jc w:val="both"/>
        <w:rPr>
          <w:rFonts w:ascii="Arial" w:hAnsi="Arial" w:cs="Arial"/>
          <w:bCs/>
          <w:snapToGrid w:val="0"/>
          <w:sz w:val="22"/>
          <w:szCs w:val="22"/>
          <w:lang w:val="en-GB" w:eastAsia="en-US"/>
        </w:rPr>
      </w:pPr>
    </w:p>
    <w:p w:rsidR="00C20D2B" w:rsidRDefault="00C20D2B" w:rsidP="003C0EF2">
      <w:pPr>
        <w:widowControl w:val="0"/>
        <w:numPr>
          <w:ilvl w:val="1"/>
          <w:numId w:val="2"/>
        </w:numPr>
        <w:spacing w:after="120"/>
        <w:contextualSpacing/>
        <w:jc w:val="both"/>
        <w:rPr>
          <w:rFonts w:ascii="Arial" w:hAnsi="Arial" w:cs="Arial"/>
          <w:bCs/>
          <w:snapToGrid w:val="0"/>
          <w:sz w:val="22"/>
          <w:szCs w:val="22"/>
          <w:lang w:val="en-GB" w:eastAsia="en-US"/>
        </w:rPr>
      </w:pPr>
      <w:r w:rsidRPr="004D3148">
        <w:rPr>
          <w:rFonts w:ascii="Arial" w:hAnsi="Arial" w:cs="Arial"/>
          <w:bCs/>
          <w:snapToGrid w:val="0"/>
          <w:sz w:val="22"/>
          <w:szCs w:val="22"/>
          <w:lang w:val="en-GB" w:eastAsia="en-US"/>
        </w:rPr>
        <w:t>The PBAC noted that the submission estimated a nil cost to the PBS</w:t>
      </w:r>
      <w:r>
        <w:rPr>
          <w:rFonts w:ascii="Arial" w:hAnsi="Arial" w:cs="Arial"/>
          <w:bCs/>
          <w:snapToGrid w:val="0"/>
          <w:sz w:val="22"/>
          <w:szCs w:val="22"/>
          <w:lang w:val="en-GB" w:eastAsia="en-US"/>
        </w:rPr>
        <w:t>.</w:t>
      </w:r>
    </w:p>
    <w:p w:rsidR="00B3379C" w:rsidRPr="00EF1326" w:rsidRDefault="00B3379C" w:rsidP="00B3379C">
      <w:pPr>
        <w:widowControl w:val="0"/>
        <w:ind w:left="720"/>
        <w:contextualSpacing/>
        <w:jc w:val="both"/>
        <w:rPr>
          <w:rFonts w:ascii="Arial" w:hAnsi="Arial" w:cs="Arial"/>
          <w:bCs/>
          <w:snapToGrid w:val="0"/>
          <w:color w:val="FF00FF"/>
          <w:sz w:val="22"/>
          <w:szCs w:val="22"/>
          <w:lang w:val="en-GB" w:eastAsia="en-US"/>
        </w:rPr>
      </w:pPr>
    </w:p>
    <w:p w:rsidR="00B3379C" w:rsidRPr="005152E4" w:rsidRDefault="00C02588" w:rsidP="00B3379C">
      <w:pPr>
        <w:widowControl w:val="0"/>
        <w:numPr>
          <w:ilvl w:val="1"/>
          <w:numId w:val="2"/>
        </w:numPr>
        <w:contextualSpacing/>
        <w:jc w:val="both"/>
        <w:rPr>
          <w:rFonts w:ascii="Arial" w:hAnsi="Arial" w:cs="Arial"/>
          <w:bCs/>
          <w:snapToGrid w:val="0"/>
          <w:sz w:val="22"/>
          <w:szCs w:val="22"/>
          <w:lang w:val="en-GB" w:eastAsia="en-US"/>
        </w:rPr>
      </w:pPr>
      <w:r w:rsidRPr="0006163D">
        <w:rPr>
          <w:rFonts w:ascii="Arial" w:hAnsi="Arial" w:cs="Arial"/>
          <w:bCs/>
          <w:snapToGrid w:val="0"/>
          <w:sz w:val="22"/>
          <w:szCs w:val="22"/>
          <w:lang w:val="en-GB" w:eastAsia="en-US"/>
        </w:rPr>
        <w:t>For the requested indications, t</w:t>
      </w:r>
      <w:r w:rsidR="00B3379C" w:rsidRPr="005152E4">
        <w:rPr>
          <w:rFonts w:ascii="Arial" w:hAnsi="Arial" w:cs="Arial"/>
          <w:bCs/>
          <w:snapToGrid w:val="0"/>
          <w:sz w:val="22"/>
          <w:szCs w:val="22"/>
          <w:lang w:val="en-GB" w:eastAsia="en-US"/>
        </w:rPr>
        <w:t>he PBAC recommended that Alfamino® and Alfamino® Junior are suitable for inclusion in the PBS medicines for prescribing by nurse practitioners within collaborative arrangements</w:t>
      </w:r>
      <w:r w:rsidR="00620339" w:rsidRPr="005152E4">
        <w:rPr>
          <w:rFonts w:ascii="Arial" w:hAnsi="Arial" w:cs="Arial"/>
          <w:bCs/>
          <w:snapToGrid w:val="0"/>
          <w:sz w:val="22"/>
          <w:szCs w:val="22"/>
          <w:lang w:val="en-GB" w:eastAsia="en-US"/>
        </w:rPr>
        <w:t>.</w:t>
      </w:r>
    </w:p>
    <w:p w:rsidR="00B3379C" w:rsidRDefault="00B3379C" w:rsidP="00B3379C">
      <w:pPr>
        <w:pStyle w:val="ListParagraph"/>
        <w:rPr>
          <w:rFonts w:ascii="Arial" w:hAnsi="Arial" w:cs="Arial"/>
          <w:bCs/>
          <w:snapToGrid w:val="0"/>
          <w:sz w:val="22"/>
          <w:szCs w:val="22"/>
          <w:lang w:val="en-GB" w:eastAsia="en-US"/>
        </w:rPr>
      </w:pPr>
    </w:p>
    <w:p w:rsidR="00B3379C" w:rsidRDefault="00B3379C" w:rsidP="00B3379C">
      <w:pPr>
        <w:widowControl w:val="0"/>
        <w:numPr>
          <w:ilvl w:val="1"/>
          <w:numId w:val="2"/>
        </w:numPr>
        <w:spacing w:after="120"/>
        <w:contextualSpacing/>
        <w:jc w:val="both"/>
        <w:rPr>
          <w:rFonts w:ascii="Arial" w:hAnsi="Arial" w:cs="Arial"/>
          <w:bCs/>
          <w:snapToGrid w:val="0"/>
          <w:sz w:val="22"/>
          <w:szCs w:val="22"/>
          <w:lang w:val="en-GB" w:eastAsia="en-US"/>
        </w:rPr>
      </w:pPr>
      <w:r w:rsidRPr="004D3148">
        <w:rPr>
          <w:rFonts w:ascii="Arial" w:hAnsi="Arial" w:cs="Arial"/>
          <w:bCs/>
          <w:snapToGrid w:val="0"/>
          <w:sz w:val="22"/>
          <w:szCs w:val="22"/>
          <w:lang w:val="en-GB" w:eastAsia="en-US"/>
        </w:rPr>
        <w:t xml:space="preserve">The PBAC </w:t>
      </w:r>
      <w:r>
        <w:rPr>
          <w:rFonts w:ascii="Arial" w:hAnsi="Arial" w:cs="Arial"/>
          <w:bCs/>
          <w:snapToGrid w:val="0"/>
          <w:sz w:val="22"/>
          <w:szCs w:val="22"/>
          <w:lang w:val="en-GB" w:eastAsia="en-US"/>
        </w:rPr>
        <w:t>recommended</w:t>
      </w:r>
      <w:r w:rsidRPr="004D3148">
        <w:rPr>
          <w:rFonts w:ascii="Arial" w:hAnsi="Arial" w:cs="Arial"/>
          <w:bCs/>
          <w:snapToGrid w:val="0"/>
          <w:sz w:val="22"/>
          <w:szCs w:val="22"/>
          <w:lang w:val="en-GB" w:eastAsia="en-US"/>
        </w:rPr>
        <w:t xml:space="preserve"> that the Safety Net 20 Day Rule should not apply as it has been the PBAC’s view that general nutrients be exempt.</w:t>
      </w:r>
    </w:p>
    <w:p w:rsidR="000F1358" w:rsidRDefault="000F1358" w:rsidP="003C0EF2">
      <w:pPr>
        <w:jc w:val="both"/>
        <w:rPr>
          <w:rFonts w:ascii="Arial" w:hAnsi="Arial" w:cs="Arial"/>
          <w:b/>
          <w:bCs/>
          <w:snapToGrid w:val="0"/>
          <w:sz w:val="22"/>
          <w:szCs w:val="22"/>
          <w:lang w:val="en-GB" w:eastAsia="en-US"/>
        </w:rPr>
      </w:pPr>
    </w:p>
    <w:p w:rsidR="000F1358" w:rsidRDefault="000F1358" w:rsidP="003C0EF2">
      <w:pPr>
        <w:jc w:val="both"/>
        <w:rPr>
          <w:rFonts w:ascii="Arial" w:hAnsi="Arial" w:cs="Arial"/>
          <w:b/>
          <w:bCs/>
          <w:snapToGrid w:val="0"/>
          <w:sz w:val="22"/>
          <w:szCs w:val="22"/>
          <w:lang w:val="en-GB" w:eastAsia="en-US"/>
        </w:rPr>
      </w:pPr>
    </w:p>
    <w:p w:rsidR="003C0EF2" w:rsidRPr="00B41E4C" w:rsidRDefault="003C0EF2" w:rsidP="003C0EF2">
      <w:pPr>
        <w:jc w:val="both"/>
        <w:rPr>
          <w:rFonts w:ascii="Arial" w:hAnsi="Arial" w:cs="Arial"/>
          <w:b/>
          <w:bCs/>
          <w:snapToGrid w:val="0"/>
          <w:sz w:val="22"/>
          <w:szCs w:val="22"/>
          <w:lang w:val="en-GB" w:eastAsia="en-US"/>
        </w:rPr>
      </w:pPr>
      <w:r w:rsidRPr="00B41E4C">
        <w:rPr>
          <w:rFonts w:ascii="Arial" w:hAnsi="Arial" w:cs="Arial"/>
          <w:b/>
          <w:bCs/>
          <w:snapToGrid w:val="0"/>
          <w:sz w:val="22"/>
          <w:szCs w:val="22"/>
          <w:lang w:val="en-GB" w:eastAsia="en-US"/>
        </w:rPr>
        <w:t>Outcome:</w:t>
      </w:r>
    </w:p>
    <w:p w:rsidR="003C0EF2" w:rsidRPr="00B41E4C" w:rsidRDefault="00B41E4C" w:rsidP="003C0EF2">
      <w:pPr>
        <w:jc w:val="both"/>
        <w:rPr>
          <w:rFonts w:ascii="Arial" w:hAnsi="Arial" w:cs="Arial"/>
          <w:bCs/>
          <w:snapToGrid w:val="0"/>
          <w:sz w:val="22"/>
          <w:szCs w:val="22"/>
          <w:lang w:val="en-GB" w:eastAsia="en-US"/>
        </w:rPr>
      </w:pPr>
      <w:r w:rsidRPr="00B41E4C">
        <w:rPr>
          <w:rFonts w:ascii="Arial" w:hAnsi="Arial" w:cs="Arial"/>
          <w:bCs/>
          <w:snapToGrid w:val="0"/>
          <w:sz w:val="22"/>
          <w:szCs w:val="22"/>
          <w:lang w:val="en-GB" w:eastAsia="en-US"/>
        </w:rPr>
        <w:t>Recommended</w:t>
      </w:r>
    </w:p>
    <w:p w:rsidR="003C0EF2" w:rsidRPr="000E195B" w:rsidRDefault="003C0EF2" w:rsidP="003C0EF2">
      <w:pPr>
        <w:widowControl w:val="0"/>
        <w:jc w:val="both"/>
        <w:rPr>
          <w:rFonts w:ascii="Arial" w:hAnsi="Arial" w:cs="Arial"/>
          <w:b/>
          <w:bCs/>
          <w:snapToGrid w:val="0"/>
          <w:sz w:val="22"/>
          <w:szCs w:val="22"/>
          <w:highlight w:val="yellow"/>
          <w:lang w:eastAsia="en-US"/>
        </w:rPr>
      </w:pPr>
    </w:p>
    <w:p w:rsidR="003C0EF2" w:rsidRPr="00620339" w:rsidRDefault="003C0EF2" w:rsidP="003C0EF2">
      <w:pPr>
        <w:widowControl w:val="0"/>
        <w:numPr>
          <w:ilvl w:val="0"/>
          <w:numId w:val="2"/>
        </w:numPr>
        <w:spacing w:after="120"/>
        <w:jc w:val="both"/>
        <w:rPr>
          <w:rFonts w:ascii="Arial" w:hAnsi="Arial" w:cs="Arial"/>
          <w:b/>
          <w:bCs/>
          <w:i/>
          <w:snapToGrid w:val="0"/>
          <w:sz w:val="22"/>
          <w:szCs w:val="22"/>
          <w:lang w:val="en-GB" w:eastAsia="en-US"/>
        </w:rPr>
      </w:pPr>
      <w:r w:rsidRPr="00620339">
        <w:rPr>
          <w:rFonts w:ascii="Arial" w:hAnsi="Arial" w:cs="Arial"/>
          <w:b/>
          <w:bCs/>
          <w:snapToGrid w:val="0"/>
          <w:sz w:val="22"/>
          <w:szCs w:val="22"/>
          <w:lang w:val="en-GB" w:eastAsia="en-US"/>
        </w:rPr>
        <w:t>Recommended listing</w:t>
      </w:r>
    </w:p>
    <w:p w:rsidR="003C0EF2" w:rsidRPr="00894ED4" w:rsidRDefault="003C0EF2" w:rsidP="003C0EF2">
      <w:pPr>
        <w:jc w:val="both"/>
        <w:rPr>
          <w:rFonts w:ascii="Arial" w:hAnsi="Arial" w:cs="Arial"/>
          <w:b/>
          <w:bCs/>
          <w:i/>
          <w:snapToGrid w:val="0"/>
          <w:sz w:val="22"/>
          <w:szCs w:val="22"/>
          <w:highlight w:val="yellow"/>
          <w:lang w:val="en-GB" w:eastAsia="en-US"/>
        </w:rPr>
      </w:pPr>
    </w:p>
    <w:p w:rsidR="003C0EF2" w:rsidRPr="008D5BCA" w:rsidRDefault="00620339" w:rsidP="00620339">
      <w:pPr>
        <w:widowControl w:val="0"/>
        <w:numPr>
          <w:ilvl w:val="1"/>
          <w:numId w:val="2"/>
        </w:numPr>
        <w:spacing w:after="120"/>
        <w:contextualSpacing/>
        <w:jc w:val="both"/>
        <w:rPr>
          <w:rFonts w:ascii="Arial" w:hAnsi="Arial" w:cs="Arial"/>
          <w:b/>
          <w:bCs/>
          <w:snapToGrid w:val="0"/>
          <w:sz w:val="22"/>
          <w:szCs w:val="22"/>
          <w:lang w:eastAsia="en-US"/>
        </w:rPr>
      </w:pPr>
      <w:r w:rsidRPr="008D5BCA">
        <w:rPr>
          <w:rFonts w:ascii="Arial" w:hAnsi="Arial" w:cs="Arial"/>
          <w:bCs/>
          <w:snapToGrid w:val="0"/>
          <w:sz w:val="22"/>
          <w:szCs w:val="22"/>
          <w:lang w:eastAsia="en-US"/>
        </w:rPr>
        <w:t>Add additional indications to existing listings as follows</w:t>
      </w:r>
      <w:r w:rsidR="003C0EF2" w:rsidRPr="008D5BCA">
        <w:rPr>
          <w:rFonts w:ascii="Arial" w:hAnsi="Arial" w:cs="Arial"/>
          <w:bCs/>
          <w:snapToGrid w:val="0"/>
          <w:sz w:val="22"/>
          <w:szCs w:val="22"/>
          <w:lang w:eastAsia="en-US"/>
        </w:rPr>
        <w:t>:</w:t>
      </w:r>
    </w:p>
    <w:p w:rsidR="003C0EF2" w:rsidRPr="000E195B" w:rsidRDefault="003C0EF2" w:rsidP="003C0EF2">
      <w:pPr>
        <w:widowControl w:val="0"/>
        <w:jc w:val="both"/>
        <w:rPr>
          <w:rFonts w:ascii="Arial" w:hAnsi="Arial" w:cs="Arial"/>
          <w:b/>
          <w:bCs/>
          <w:snapToGrid w:val="0"/>
          <w:sz w:val="22"/>
          <w:szCs w:val="22"/>
          <w:highlight w:val="yellow"/>
          <w:lang w:eastAsia="en-US"/>
        </w:rPr>
      </w:pPr>
    </w:p>
    <w:p w:rsidR="006960D4" w:rsidRPr="00157260" w:rsidRDefault="006960D4" w:rsidP="006960D4">
      <w:pPr>
        <w:ind w:left="720"/>
        <w:jc w:val="both"/>
        <w:rPr>
          <w:rFonts w:ascii="Arial" w:hAnsi="Arial"/>
          <w:sz w:val="22"/>
          <w:szCs w:val="22"/>
          <w:u w:val="single"/>
        </w:rPr>
      </w:pPr>
      <w:r w:rsidRPr="00157260">
        <w:rPr>
          <w:rFonts w:ascii="Arial" w:hAnsi="Arial"/>
          <w:sz w:val="22"/>
          <w:szCs w:val="22"/>
          <w:u w:val="single"/>
        </w:rPr>
        <w:t>Eosinophilic oesophagitis</w:t>
      </w:r>
    </w:p>
    <w:p w:rsidR="006960D4" w:rsidRPr="00C27B58" w:rsidRDefault="006960D4" w:rsidP="006960D4">
      <w:pPr>
        <w:pStyle w:val="NoSpacing"/>
      </w:pPr>
    </w:p>
    <w:tbl>
      <w:tblPr>
        <w:tblW w:w="8363" w:type="dxa"/>
        <w:tblInd w:w="817" w:type="dxa"/>
        <w:tblLayout w:type="fixed"/>
        <w:tblLook w:val="0000" w:firstRow="0" w:lastRow="0" w:firstColumn="0" w:lastColumn="0" w:noHBand="0" w:noVBand="0"/>
        <w:tblCaption w:val="Recommended listing - eosinophilic oesophagitis - initial treatment"/>
      </w:tblPr>
      <w:tblGrid>
        <w:gridCol w:w="1985"/>
        <w:gridCol w:w="1984"/>
        <w:gridCol w:w="992"/>
        <w:gridCol w:w="567"/>
        <w:gridCol w:w="1276"/>
        <w:gridCol w:w="1559"/>
      </w:tblGrid>
      <w:tr w:rsidR="00894ED4" w:rsidRPr="0039782C" w:rsidTr="00894ED4">
        <w:trPr>
          <w:cantSplit/>
          <w:trHeight w:val="471"/>
        </w:trPr>
        <w:tc>
          <w:tcPr>
            <w:tcW w:w="3969" w:type="dxa"/>
            <w:gridSpan w:val="2"/>
            <w:tcBorders>
              <w:bottom w:val="single" w:sz="4" w:space="0" w:color="auto"/>
            </w:tcBorders>
          </w:tcPr>
          <w:p w:rsidR="00894ED4" w:rsidRPr="0039782C" w:rsidRDefault="00894ED4" w:rsidP="00050E81">
            <w:pPr>
              <w:keepNext/>
              <w:ind w:left="-108"/>
              <w:rPr>
                <w:rFonts w:ascii="Arial Narrow" w:hAnsi="Arial Narrow" w:cs="Arial"/>
                <w:b/>
                <w:sz w:val="20"/>
                <w:szCs w:val="20"/>
              </w:rPr>
            </w:pPr>
            <w:r w:rsidRPr="0039782C">
              <w:rPr>
                <w:rFonts w:ascii="Arial Narrow" w:hAnsi="Arial Narrow" w:cs="Arial"/>
                <w:b/>
                <w:sz w:val="20"/>
                <w:szCs w:val="20"/>
              </w:rPr>
              <w:t>Name, Restriction,</w:t>
            </w:r>
          </w:p>
          <w:p w:rsidR="00894ED4" w:rsidRPr="0039782C" w:rsidRDefault="00894ED4" w:rsidP="00050E81">
            <w:pPr>
              <w:keepNext/>
              <w:ind w:left="-108"/>
              <w:rPr>
                <w:rFonts w:ascii="Arial Narrow" w:hAnsi="Arial Narrow" w:cs="Arial"/>
                <w:b/>
                <w:sz w:val="20"/>
                <w:szCs w:val="20"/>
              </w:rPr>
            </w:pPr>
            <w:r w:rsidRPr="0039782C">
              <w:rPr>
                <w:rFonts w:ascii="Arial Narrow" w:hAnsi="Arial Narrow" w:cs="Arial"/>
                <w:b/>
                <w:sz w:val="20"/>
                <w:szCs w:val="20"/>
              </w:rPr>
              <w:t>Manner of administration and form</w:t>
            </w:r>
          </w:p>
        </w:tc>
        <w:tc>
          <w:tcPr>
            <w:tcW w:w="992" w:type="dxa"/>
            <w:tcBorders>
              <w:bottom w:val="single" w:sz="4" w:space="0" w:color="auto"/>
            </w:tcBorders>
          </w:tcPr>
          <w:p w:rsidR="00894ED4" w:rsidRPr="0039782C" w:rsidRDefault="00894ED4" w:rsidP="00050E81">
            <w:pPr>
              <w:keepNext/>
              <w:ind w:left="-108"/>
              <w:rPr>
                <w:rFonts w:ascii="Arial Narrow" w:hAnsi="Arial Narrow" w:cs="Arial"/>
                <w:b/>
                <w:sz w:val="20"/>
                <w:szCs w:val="20"/>
              </w:rPr>
            </w:pPr>
            <w:r w:rsidRPr="0039782C">
              <w:rPr>
                <w:rFonts w:ascii="Arial Narrow" w:hAnsi="Arial Narrow" w:cs="Arial"/>
                <w:b/>
                <w:sz w:val="20"/>
                <w:szCs w:val="20"/>
              </w:rPr>
              <w:t>Max.</w:t>
            </w:r>
          </w:p>
          <w:p w:rsidR="00894ED4" w:rsidRPr="0039782C" w:rsidRDefault="00894ED4" w:rsidP="00050E81">
            <w:pPr>
              <w:keepNext/>
              <w:ind w:left="-108"/>
              <w:rPr>
                <w:rFonts w:ascii="Arial Narrow" w:hAnsi="Arial Narrow" w:cs="Arial"/>
                <w:b/>
                <w:sz w:val="20"/>
                <w:szCs w:val="20"/>
              </w:rPr>
            </w:pPr>
            <w:r w:rsidRPr="0039782C">
              <w:rPr>
                <w:rFonts w:ascii="Arial Narrow" w:hAnsi="Arial Narrow" w:cs="Arial"/>
                <w:b/>
                <w:sz w:val="20"/>
                <w:szCs w:val="20"/>
              </w:rPr>
              <w:t>Qty</w:t>
            </w:r>
          </w:p>
        </w:tc>
        <w:tc>
          <w:tcPr>
            <w:tcW w:w="567" w:type="dxa"/>
            <w:tcBorders>
              <w:bottom w:val="single" w:sz="4" w:space="0" w:color="auto"/>
            </w:tcBorders>
          </w:tcPr>
          <w:p w:rsidR="00894ED4" w:rsidRPr="0039782C" w:rsidRDefault="00894ED4" w:rsidP="00050E81">
            <w:pPr>
              <w:keepNext/>
              <w:ind w:left="-108"/>
              <w:rPr>
                <w:rFonts w:ascii="Arial Narrow" w:hAnsi="Arial Narrow" w:cs="Arial"/>
                <w:b/>
                <w:sz w:val="20"/>
                <w:szCs w:val="20"/>
              </w:rPr>
            </w:pPr>
            <w:r w:rsidRPr="0039782C">
              <w:rPr>
                <w:rFonts w:ascii="Arial Narrow" w:hAnsi="Arial Narrow" w:cs="Arial"/>
                <w:b/>
                <w:sz w:val="20"/>
                <w:szCs w:val="20"/>
              </w:rPr>
              <w:t>№.of</w:t>
            </w:r>
          </w:p>
          <w:p w:rsidR="00894ED4" w:rsidRPr="0039782C" w:rsidRDefault="00894ED4" w:rsidP="00050E81">
            <w:pPr>
              <w:keepNext/>
              <w:ind w:left="-108"/>
              <w:rPr>
                <w:rFonts w:ascii="Arial Narrow" w:hAnsi="Arial Narrow" w:cs="Arial"/>
                <w:b/>
                <w:sz w:val="20"/>
                <w:szCs w:val="20"/>
              </w:rPr>
            </w:pPr>
            <w:r w:rsidRPr="0039782C">
              <w:rPr>
                <w:rFonts w:ascii="Arial Narrow" w:hAnsi="Arial Narrow" w:cs="Arial"/>
                <w:b/>
                <w:sz w:val="20"/>
                <w:szCs w:val="20"/>
              </w:rPr>
              <w:t>Rpts</w:t>
            </w:r>
          </w:p>
        </w:tc>
        <w:tc>
          <w:tcPr>
            <w:tcW w:w="2835" w:type="dxa"/>
            <w:gridSpan w:val="2"/>
            <w:tcBorders>
              <w:bottom w:val="single" w:sz="4" w:space="0" w:color="auto"/>
            </w:tcBorders>
          </w:tcPr>
          <w:p w:rsidR="00894ED4" w:rsidRPr="0039782C" w:rsidRDefault="00894ED4" w:rsidP="00050E81">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94ED4" w:rsidRPr="00260CE3" w:rsidTr="00894ED4">
        <w:trPr>
          <w:cantSplit/>
          <w:trHeight w:val="1554"/>
        </w:trPr>
        <w:tc>
          <w:tcPr>
            <w:tcW w:w="3969" w:type="dxa"/>
            <w:gridSpan w:val="2"/>
            <w:vAlign w:val="center"/>
          </w:tcPr>
          <w:p w:rsidR="00894ED4" w:rsidRPr="00F248E3" w:rsidRDefault="00894ED4" w:rsidP="00050E81">
            <w:pPr>
              <w:keepNext/>
              <w:ind w:left="-108"/>
              <w:rPr>
                <w:rFonts w:ascii="Arial Narrow" w:hAnsi="Arial Narrow" w:cs="Arial"/>
                <w:sz w:val="20"/>
                <w:szCs w:val="20"/>
              </w:rPr>
            </w:pPr>
            <w:r w:rsidRPr="00F248E3">
              <w:rPr>
                <w:rFonts w:ascii="Arial Narrow" w:hAnsi="Arial Narrow" w:cs="Arial"/>
                <w:smallCaps/>
                <w:sz w:val="20"/>
                <w:szCs w:val="20"/>
              </w:rPr>
              <w:t xml:space="preserve">AMINO ACID SYNTHETIC FORMULA SUPPLEMENTED WITH LONG CHAIN POLYUNSATURATED FATTY ACIDS AND MEDIUM CHAIN TRIGLYCERIDES </w:t>
            </w:r>
            <w:r w:rsidRPr="00F248E3">
              <w:t xml:space="preserve"> </w:t>
            </w:r>
            <w:r w:rsidRPr="00F248E3">
              <w:rPr>
                <w:rFonts w:ascii="Arial Narrow" w:hAnsi="Arial Narrow" w:cs="Arial"/>
                <w:sz w:val="20"/>
                <w:szCs w:val="20"/>
              </w:rPr>
              <w:t>oral liquid: powder for, 400 g</w:t>
            </w:r>
          </w:p>
        </w:tc>
        <w:tc>
          <w:tcPr>
            <w:tcW w:w="992" w:type="dxa"/>
            <w:vAlign w:val="center"/>
          </w:tcPr>
          <w:p w:rsidR="00894ED4" w:rsidRPr="00F248E3" w:rsidRDefault="00894ED4" w:rsidP="00050E81">
            <w:pPr>
              <w:keepNext/>
              <w:ind w:left="-108"/>
              <w:rPr>
                <w:rFonts w:ascii="Arial Narrow" w:hAnsi="Arial Narrow" w:cs="Arial"/>
                <w:sz w:val="20"/>
                <w:szCs w:val="20"/>
              </w:rPr>
            </w:pPr>
          </w:p>
          <w:p w:rsidR="00894ED4" w:rsidRPr="00F248E3" w:rsidRDefault="00894ED4" w:rsidP="00050E81">
            <w:pPr>
              <w:keepNext/>
              <w:ind w:left="-108"/>
              <w:rPr>
                <w:rFonts w:ascii="Arial Narrow" w:hAnsi="Arial Narrow" w:cs="Arial"/>
                <w:sz w:val="20"/>
                <w:szCs w:val="20"/>
              </w:rPr>
            </w:pPr>
            <w:r w:rsidRPr="00F248E3">
              <w:rPr>
                <w:rFonts w:ascii="Arial Narrow" w:hAnsi="Arial Narrow" w:cs="Arial"/>
                <w:sz w:val="20"/>
                <w:szCs w:val="20"/>
              </w:rPr>
              <w:t>8</w:t>
            </w:r>
          </w:p>
        </w:tc>
        <w:tc>
          <w:tcPr>
            <w:tcW w:w="567" w:type="dxa"/>
            <w:vAlign w:val="center"/>
          </w:tcPr>
          <w:p w:rsidR="00894ED4" w:rsidRPr="00F248E3" w:rsidRDefault="00894ED4" w:rsidP="00050E81">
            <w:pPr>
              <w:keepNext/>
              <w:ind w:left="-108"/>
              <w:rPr>
                <w:rFonts w:ascii="Arial Narrow" w:hAnsi="Arial Narrow" w:cs="Arial"/>
                <w:sz w:val="20"/>
                <w:szCs w:val="20"/>
              </w:rPr>
            </w:pPr>
          </w:p>
          <w:p w:rsidR="00894ED4" w:rsidRPr="00F248E3" w:rsidRDefault="00894ED4" w:rsidP="00050E81">
            <w:pPr>
              <w:keepNext/>
              <w:ind w:left="-108"/>
              <w:rPr>
                <w:rFonts w:ascii="Arial Narrow" w:hAnsi="Arial Narrow" w:cs="Arial"/>
                <w:sz w:val="20"/>
                <w:szCs w:val="20"/>
              </w:rPr>
            </w:pPr>
            <w:r w:rsidRPr="00F248E3">
              <w:rPr>
                <w:rFonts w:ascii="Arial Narrow" w:hAnsi="Arial Narrow" w:cs="Arial"/>
                <w:sz w:val="20"/>
                <w:szCs w:val="20"/>
              </w:rPr>
              <w:t>5</w:t>
            </w:r>
          </w:p>
        </w:tc>
        <w:tc>
          <w:tcPr>
            <w:tcW w:w="1276" w:type="dxa"/>
            <w:vAlign w:val="center"/>
          </w:tcPr>
          <w:p w:rsidR="00894ED4" w:rsidRPr="001344F2" w:rsidRDefault="00894ED4" w:rsidP="00050E81">
            <w:pPr>
              <w:keepNext/>
              <w:rPr>
                <w:rFonts w:ascii="Arial Narrow" w:hAnsi="Arial Narrow" w:cs="Arial"/>
                <w:sz w:val="20"/>
                <w:szCs w:val="20"/>
                <w:highlight w:val="green"/>
              </w:rPr>
            </w:pPr>
          </w:p>
          <w:p w:rsidR="00894ED4" w:rsidRPr="001344F2" w:rsidRDefault="00894ED4" w:rsidP="00050E81">
            <w:pPr>
              <w:keepNext/>
              <w:rPr>
                <w:rFonts w:ascii="Arial Narrow" w:hAnsi="Arial Narrow" w:cs="Arial"/>
                <w:sz w:val="20"/>
                <w:szCs w:val="20"/>
                <w:highlight w:val="green"/>
              </w:rPr>
            </w:pPr>
            <w:r w:rsidRPr="00E849D3">
              <w:rPr>
                <w:rFonts w:ascii="Arial Narrow" w:hAnsi="Arial Narrow" w:cs="Arial"/>
                <w:sz w:val="20"/>
                <w:szCs w:val="20"/>
              </w:rPr>
              <w:t>Alfamino®</w:t>
            </w:r>
          </w:p>
        </w:tc>
        <w:tc>
          <w:tcPr>
            <w:tcW w:w="1559" w:type="dxa"/>
            <w:vAlign w:val="center"/>
          </w:tcPr>
          <w:p w:rsidR="00894ED4" w:rsidRDefault="00894ED4" w:rsidP="00050E81">
            <w:pPr>
              <w:keepNext/>
              <w:rPr>
                <w:rFonts w:ascii="Arial Narrow" w:hAnsi="Arial Narrow" w:cs="Arial"/>
                <w:sz w:val="20"/>
                <w:szCs w:val="20"/>
              </w:rPr>
            </w:pPr>
          </w:p>
          <w:p w:rsidR="00894ED4" w:rsidRPr="00260CE3" w:rsidRDefault="00894ED4" w:rsidP="00050E81">
            <w:pPr>
              <w:keepNext/>
              <w:rPr>
                <w:rFonts w:ascii="Arial Narrow" w:hAnsi="Arial Narrow" w:cs="Arial"/>
                <w:sz w:val="20"/>
                <w:szCs w:val="20"/>
              </w:rPr>
            </w:pPr>
            <w:r w:rsidRPr="001344F2">
              <w:rPr>
                <w:rFonts w:ascii="Arial Narrow" w:hAnsi="Arial Narrow" w:cs="Arial"/>
                <w:sz w:val="20"/>
                <w:szCs w:val="20"/>
              </w:rPr>
              <w:t>Nestlé Australia Ltd</w:t>
            </w:r>
          </w:p>
        </w:tc>
      </w:tr>
      <w:tr w:rsidR="00894ED4" w:rsidRPr="00260CE3" w:rsidTr="00894ED4">
        <w:trPr>
          <w:cantSplit/>
          <w:trHeight w:val="577"/>
        </w:trPr>
        <w:tc>
          <w:tcPr>
            <w:tcW w:w="3969" w:type="dxa"/>
            <w:gridSpan w:val="2"/>
            <w:vAlign w:val="center"/>
          </w:tcPr>
          <w:p w:rsidR="00894ED4" w:rsidRPr="00F248E3" w:rsidRDefault="00894ED4" w:rsidP="00050E81">
            <w:pPr>
              <w:keepNext/>
              <w:ind w:left="-108"/>
              <w:rPr>
                <w:rFonts w:ascii="Arial Narrow" w:hAnsi="Arial Narrow" w:cs="Arial"/>
                <w:sz w:val="20"/>
                <w:szCs w:val="20"/>
              </w:rPr>
            </w:pPr>
            <w:r w:rsidRPr="00F248E3">
              <w:rPr>
                <w:rFonts w:ascii="Arial Narrow" w:hAnsi="Arial Narrow" w:cs="Arial"/>
                <w:smallCaps/>
                <w:sz w:val="20"/>
                <w:szCs w:val="20"/>
              </w:rPr>
              <w:t xml:space="preserve">AMINO ACID SYNTHETIC FORMULA SUPPLEMENTED WITH LONG CHAIN POLYUNSATURATED FATTY ACIDS AND MEDIUM CHAIN TRIGLYCERIDES </w:t>
            </w:r>
            <w:r w:rsidRPr="00F248E3">
              <w:t xml:space="preserve"> </w:t>
            </w:r>
            <w:r w:rsidRPr="00F248E3">
              <w:rPr>
                <w:rFonts w:ascii="Arial Narrow" w:hAnsi="Arial Narrow" w:cs="Arial"/>
                <w:sz w:val="20"/>
                <w:szCs w:val="20"/>
              </w:rPr>
              <w:t>oral liquid: powder for, 400 g</w:t>
            </w:r>
          </w:p>
        </w:tc>
        <w:tc>
          <w:tcPr>
            <w:tcW w:w="992" w:type="dxa"/>
            <w:vAlign w:val="center"/>
          </w:tcPr>
          <w:p w:rsidR="00894ED4" w:rsidRPr="00F248E3" w:rsidRDefault="00894ED4" w:rsidP="00050E81">
            <w:pPr>
              <w:keepNext/>
              <w:ind w:left="-108"/>
              <w:rPr>
                <w:rFonts w:ascii="Arial Narrow" w:hAnsi="Arial Narrow" w:cs="Arial"/>
                <w:sz w:val="20"/>
                <w:szCs w:val="20"/>
              </w:rPr>
            </w:pPr>
          </w:p>
          <w:p w:rsidR="00894ED4" w:rsidRPr="00F248E3" w:rsidRDefault="00894ED4" w:rsidP="00050E81">
            <w:pPr>
              <w:keepNext/>
              <w:ind w:left="-108"/>
              <w:rPr>
                <w:rFonts w:ascii="Arial Narrow" w:hAnsi="Arial Narrow" w:cs="Arial"/>
                <w:sz w:val="20"/>
                <w:szCs w:val="20"/>
              </w:rPr>
            </w:pPr>
            <w:r w:rsidRPr="00F248E3">
              <w:rPr>
                <w:rFonts w:ascii="Arial Narrow" w:hAnsi="Arial Narrow" w:cs="Arial"/>
                <w:sz w:val="20"/>
                <w:szCs w:val="20"/>
              </w:rPr>
              <w:t>8</w:t>
            </w:r>
          </w:p>
        </w:tc>
        <w:tc>
          <w:tcPr>
            <w:tcW w:w="567" w:type="dxa"/>
            <w:vAlign w:val="center"/>
          </w:tcPr>
          <w:p w:rsidR="00894ED4" w:rsidRPr="00F248E3" w:rsidRDefault="00894ED4" w:rsidP="00050E81">
            <w:pPr>
              <w:keepNext/>
              <w:ind w:left="-108"/>
              <w:rPr>
                <w:rFonts w:ascii="Arial Narrow" w:hAnsi="Arial Narrow" w:cs="Arial"/>
                <w:sz w:val="20"/>
                <w:szCs w:val="20"/>
              </w:rPr>
            </w:pPr>
          </w:p>
          <w:p w:rsidR="00894ED4" w:rsidRPr="00F248E3" w:rsidRDefault="00894ED4" w:rsidP="00050E81">
            <w:pPr>
              <w:keepNext/>
              <w:ind w:left="-108"/>
              <w:rPr>
                <w:rFonts w:ascii="Arial Narrow" w:hAnsi="Arial Narrow" w:cs="Arial"/>
                <w:sz w:val="20"/>
                <w:szCs w:val="20"/>
              </w:rPr>
            </w:pPr>
            <w:r w:rsidRPr="00F248E3">
              <w:rPr>
                <w:rFonts w:ascii="Arial Narrow" w:hAnsi="Arial Narrow" w:cs="Arial"/>
                <w:sz w:val="20"/>
                <w:szCs w:val="20"/>
              </w:rPr>
              <w:t>5</w:t>
            </w:r>
          </w:p>
        </w:tc>
        <w:tc>
          <w:tcPr>
            <w:tcW w:w="1276" w:type="dxa"/>
            <w:vAlign w:val="center"/>
          </w:tcPr>
          <w:p w:rsidR="00894ED4" w:rsidRPr="001344F2" w:rsidRDefault="00894ED4" w:rsidP="00050E81">
            <w:pPr>
              <w:keepNext/>
              <w:rPr>
                <w:rFonts w:ascii="Arial Narrow" w:hAnsi="Arial Narrow" w:cs="Arial"/>
                <w:sz w:val="20"/>
                <w:szCs w:val="20"/>
                <w:highlight w:val="green"/>
              </w:rPr>
            </w:pPr>
          </w:p>
          <w:p w:rsidR="00894ED4" w:rsidRPr="001344F2" w:rsidRDefault="00894ED4" w:rsidP="00050E81">
            <w:pPr>
              <w:keepNext/>
              <w:rPr>
                <w:rFonts w:ascii="Arial Narrow" w:hAnsi="Arial Narrow" w:cs="Arial"/>
                <w:sz w:val="20"/>
                <w:szCs w:val="20"/>
                <w:highlight w:val="green"/>
              </w:rPr>
            </w:pPr>
            <w:r w:rsidRPr="00E849D3">
              <w:rPr>
                <w:rFonts w:ascii="Arial Narrow" w:hAnsi="Arial Narrow" w:cs="Arial"/>
                <w:sz w:val="20"/>
                <w:szCs w:val="20"/>
              </w:rPr>
              <w:t>Alfamino® Junior</w:t>
            </w:r>
          </w:p>
        </w:tc>
        <w:tc>
          <w:tcPr>
            <w:tcW w:w="1559" w:type="dxa"/>
            <w:vAlign w:val="center"/>
          </w:tcPr>
          <w:p w:rsidR="00894ED4" w:rsidRDefault="00894ED4" w:rsidP="00050E81">
            <w:pPr>
              <w:keepNext/>
              <w:rPr>
                <w:rFonts w:ascii="Arial Narrow" w:hAnsi="Arial Narrow" w:cs="Arial"/>
                <w:sz w:val="20"/>
                <w:szCs w:val="20"/>
              </w:rPr>
            </w:pPr>
          </w:p>
          <w:p w:rsidR="00894ED4" w:rsidRPr="00260CE3" w:rsidRDefault="00894ED4" w:rsidP="00050E81">
            <w:pPr>
              <w:keepNext/>
              <w:rPr>
                <w:rFonts w:ascii="Arial Narrow" w:hAnsi="Arial Narrow" w:cs="Arial"/>
                <w:sz w:val="20"/>
                <w:szCs w:val="20"/>
              </w:rPr>
            </w:pPr>
            <w:r w:rsidRPr="001344F2">
              <w:rPr>
                <w:rFonts w:ascii="Arial Narrow" w:hAnsi="Arial Narrow" w:cs="Arial"/>
                <w:sz w:val="20"/>
                <w:szCs w:val="20"/>
              </w:rPr>
              <w:t>Nestlé Australia Ltd</w:t>
            </w:r>
          </w:p>
        </w:tc>
      </w:tr>
      <w:tr w:rsidR="006960D4" w:rsidRPr="00260CE3" w:rsidTr="00050E81">
        <w:trPr>
          <w:cantSplit/>
          <w:trHeight w:val="360"/>
        </w:trPr>
        <w:tc>
          <w:tcPr>
            <w:tcW w:w="8363" w:type="dxa"/>
            <w:gridSpan w:val="6"/>
            <w:tcBorders>
              <w:bottom w:val="single" w:sz="4" w:space="0" w:color="auto"/>
            </w:tcBorders>
            <w:vAlign w:val="center"/>
          </w:tcPr>
          <w:p w:rsidR="006960D4" w:rsidRPr="00260CE3" w:rsidRDefault="006960D4" w:rsidP="00050E81">
            <w:pPr>
              <w:rPr>
                <w:rFonts w:ascii="Arial Narrow" w:hAnsi="Arial Narrow" w:cs="Arial"/>
                <w:sz w:val="20"/>
                <w:szCs w:val="20"/>
              </w:rPr>
            </w:pP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 xml:space="preserve">Category / </w:t>
            </w:r>
          </w:p>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Program</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t>GENERAL – General Schedule (Code GE)</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Eosinophilic oesophagitis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8F57F8" w:rsidRDefault="006960D4" w:rsidP="00050E81">
            <w:pPr>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Initial treatment for up to 3 months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960D4" w:rsidRPr="00260CE3" w:rsidRDefault="006960D4" w:rsidP="00050E81">
            <w:pPr>
              <w:rPr>
                <w:rFonts w:ascii="Arial Narrow" w:hAnsi="Arial Narrow" w:cs="Arial"/>
                <w:sz w:val="20"/>
                <w:szCs w:val="20"/>
              </w:rPr>
            </w:pP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106BCF" w:rsidRDefault="006960D4" w:rsidP="00050E81">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bookmarkStart w:id="1" w:name="Check1"/>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Restricted benefit</w:t>
            </w:r>
          </w:p>
          <w:p w:rsidR="006960D4" w:rsidRPr="00106BCF" w:rsidRDefault="0073401F"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006960D4" w:rsidRPr="00106BCF">
              <w:rPr>
                <w:rFonts w:ascii="Arial Narrow" w:hAnsi="Arial Narrow" w:cs="Arial"/>
                <w:sz w:val="20"/>
                <w:szCs w:val="20"/>
              </w:rPr>
              <w:t>Authority Required - In Writing</w:t>
            </w:r>
          </w:p>
          <w:p w:rsidR="006960D4" w:rsidRPr="00106BCF" w:rsidRDefault="006960D4"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6960D4" w:rsidRPr="00106BCF" w:rsidRDefault="0073401F"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006960D4" w:rsidRPr="00106BCF">
              <w:rPr>
                <w:rFonts w:ascii="Arial Narrow" w:hAnsi="Arial Narrow" w:cs="Arial"/>
                <w:sz w:val="20"/>
                <w:szCs w:val="20"/>
              </w:rPr>
              <w:t>Authority Required – Emergency</w:t>
            </w:r>
          </w:p>
          <w:p w:rsidR="006960D4" w:rsidRPr="00106BCF" w:rsidRDefault="0073401F" w:rsidP="00050E81">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bookmarkEnd w:id="2"/>
            <w:r w:rsidR="006960D4" w:rsidRPr="00106BCF">
              <w:rPr>
                <w:rFonts w:ascii="Arial Narrow" w:hAnsi="Arial Narrow" w:cs="Arial"/>
                <w:sz w:val="20"/>
                <w:szCs w:val="20"/>
              </w:rPr>
              <w:t>Authority Required - Electronic</w:t>
            </w:r>
          </w:p>
          <w:p w:rsidR="006960D4" w:rsidRPr="00260CE3" w:rsidRDefault="006960D4" w:rsidP="00050E8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b/>
                <w:sz w:val="20"/>
                <w:szCs w:val="20"/>
              </w:rPr>
              <w:t>Treatment criteria</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Must be treated by a clinical immunologist, suitably qualified allergist or gastroenterologist.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Patient must require an amino acid based formula as a component of a dietary elimination program.</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b/>
                <w:sz w:val="20"/>
                <w:szCs w:val="20"/>
              </w:rPr>
              <w:t>Population criteria:</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D903BD">
              <w:rPr>
                <w:rFonts w:ascii="Arial Narrow" w:hAnsi="Arial Narrow" w:cs="Arial"/>
                <w:sz w:val="20"/>
                <w:szCs w:val="20"/>
              </w:rPr>
              <w:t>Patient must be</w:t>
            </w:r>
            <w:r w:rsidRPr="00BE1C98">
              <w:rPr>
                <w:rFonts w:ascii="Arial Narrow" w:hAnsi="Arial Narrow" w:cs="Arial"/>
                <w:sz w:val="20"/>
                <w:szCs w:val="20"/>
              </w:rPr>
              <w:t>18 years of age or less.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F248E3" w:rsidRDefault="006960D4" w:rsidP="00050E81">
            <w:pPr>
              <w:rPr>
                <w:rFonts w:ascii="Arial Narrow" w:hAnsi="Arial Narrow" w:cs="Arial"/>
                <w:sz w:val="20"/>
                <w:szCs w:val="20"/>
              </w:rPr>
            </w:pPr>
            <w:r w:rsidRPr="00F248E3">
              <w:rPr>
                <w:rFonts w:ascii="Arial Narrow" w:hAnsi="Arial Narrow" w:cs="Arial"/>
                <w:b/>
                <w:sz w:val="20"/>
                <w:szCs w:val="20"/>
              </w:rPr>
              <w:t>Prescriber Instructions</w:t>
            </w: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73401F" w:rsidRPr="00BE1C98" w:rsidRDefault="0073401F" w:rsidP="0073401F">
            <w:pPr>
              <w:rPr>
                <w:rFonts w:ascii="Arial Narrow" w:hAnsi="Arial Narrow" w:cs="Arial"/>
                <w:sz w:val="20"/>
                <w:szCs w:val="20"/>
              </w:rPr>
            </w:pPr>
            <w:r w:rsidRPr="00BE1C98">
              <w:rPr>
                <w:rFonts w:ascii="Arial Narrow" w:hAnsi="Arial Narrow" w:cs="Arial"/>
                <w:sz w:val="20"/>
                <w:szCs w:val="20"/>
              </w:rPr>
              <w:t>Treatment with oral steroids should not be commenced during the period of initial treatment.</w:t>
            </w:r>
          </w:p>
          <w:p w:rsidR="0073401F" w:rsidRPr="00BE1C98" w:rsidRDefault="0073401F" w:rsidP="0073401F">
            <w:pPr>
              <w:rPr>
                <w:rFonts w:ascii="Arial Narrow" w:hAnsi="Arial Narrow" w:cs="Arial"/>
                <w:sz w:val="20"/>
                <w:szCs w:val="20"/>
              </w:rPr>
            </w:pPr>
            <w:r w:rsidRPr="00D903BD">
              <w:rPr>
                <w:rFonts w:ascii="Arial Narrow" w:hAnsi="Arial Narrow" w:cs="Arial"/>
                <w:sz w:val="20"/>
                <w:szCs w:val="20"/>
              </w:rPr>
              <w:t>Eosinophilic oesophagitis</w:t>
            </w:r>
            <w:r w:rsidRPr="00BE1C98">
              <w:rPr>
                <w:rFonts w:ascii="Arial Narrow" w:hAnsi="Arial Narrow" w:cs="Arial"/>
                <w:sz w:val="20"/>
                <w:szCs w:val="20"/>
              </w:rPr>
              <w:t xml:space="preserve"> is demonstrated by the following criteria:</w:t>
            </w:r>
          </w:p>
          <w:p w:rsidR="0073401F" w:rsidRPr="00BE1C98" w:rsidRDefault="0073401F" w:rsidP="0073401F">
            <w:pPr>
              <w:rPr>
                <w:rFonts w:ascii="Arial Narrow" w:hAnsi="Arial Narrow" w:cs="Arial"/>
                <w:sz w:val="20"/>
                <w:szCs w:val="20"/>
              </w:rPr>
            </w:pPr>
            <w:r w:rsidRPr="00BE1C98">
              <w:rPr>
                <w:rFonts w:ascii="Arial Narrow" w:hAnsi="Arial Narrow" w:cs="Arial"/>
                <w:sz w:val="20"/>
                <w:szCs w:val="20"/>
              </w:rPr>
              <w:t>(i) Chronic symptoms of reflux that persisted despite a 2-month trial of a proton pump inhibitor or chronic dysphagia; and</w:t>
            </w:r>
          </w:p>
          <w:p w:rsidR="0073401F" w:rsidRPr="00BE1C98" w:rsidRDefault="0073401F" w:rsidP="0073401F">
            <w:pPr>
              <w:rPr>
                <w:rFonts w:ascii="Arial Narrow" w:hAnsi="Arial Narrow" w:cs="Arial"/>
                <w:sz w:val="20"/>
                <w:szCs w:val="20"/>
              </w:rPr>
            </w:pPr>
            <w:r w:rsidRPr="00BE1C98">
              <w:rPr>
                <w:rFonts w:ascii="Arial Narrow" w:hAnsi="Arial Narrow" w:cs="Arial"/>
                <w:sz w:val="20"/>
                <w:szCs w:val="20"/>
              </w:rPr>
              <w:t>(ii) A lack of demonstrable anatomic abnormality with the exception of stricture, which can be attributable to eosinophilic oesophagitis; and</w:t>
            </w:r>
          </w:p>
          <w:p w:rsidR="0073401F" w:rsidRDefault="0073401F" w:rsidP="0073401F">
            <w:pPr>
              <w:rPr>
                <w:rFonts w:ascii="Arial Narrow" w:hAnsi="Arial Narrow" w:cs="Arial"/>
                <w:sz w:val="20"/>
                <w:szCs w:val="20"/>
              </w:rPr>
            </w:pPr>
            <w:r w:rsidRPr="00BE1C98">
              <w:rPr>
                <w:rFonts w:ascii="Arial Narrow" w:hAnsi="Arial Narrow" w:cs="Arial"/>
                <w:sz w:val="20"/>
                <w:szCs w:val="20"/>
              </w:rPr>
              <w:t>(iii) Eosinophilic infiltration of the oesophagus, demonstrated by oesophageal biopsy specimens obtained by endoscopy and where the most densely involved oesophageal biopsy had 20 or more eosinophils in any single 400 x high powered field, along with normal antral and duodenal biopsies.</w:t>
            </w:r>
          </w:p>
          <w:p w:rsidR="0073401F" w:rsidRDefault="0073401F" w:rsidP="0073401F">
            <w:pPr>
              <w:rPr>
                <w:rFonts w:ascii="Arial Narrow" w:hAnsi="Arial Narrow" w:cs="Arial"/>
                <w:sz w:val="20"/>
                <w:szCs w:val="20"/>
              </w:rPr>
            </w:pPr>
          </w:p>
          <w:p w:rsidR="006960D4" w:rsidRPr="00260CE3" w:rsidRDefault="0073401F" w:rsidP="0073401F">
            <w:pPr>
              <w:rPr>
                <w:rFonts w:ascii="Arial Narrow" w:hAnsi="Arial Narrow" w:cs="Arial"/>
                <w:sz w:val="20"/>
                <w:szCs w:val="20"/>
              </w:rPr>
            </w:pPr>
            <w:r w:rsidRPr="00F248E3">
              <w:rPr>
                <w:rFonts w:ascii="Arial Narrow" w:hAnsi="Arial Narrow" w:cs="Arial"/>
                <w:sz w:val="20"/>
                <w:szCs w:val="20"/>
              </w:rPr>
              <w:t>The date of birth of the patient must be included in the authority application.</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F248E3" w:rsidRDefault="006960D4" w:rsidP="00050E81">
            <w:pPr>
              <w:rPr>
                <w:rFonts w:ascii="Arial Narrow" w:hAnsi="Arial Narrow" w:cs="Arial"/>
                <w:b/>
                <w:sz w:val="20"/>
                <w:szCs w:val="20"/>
              </w:rPr>
            </w:pPr>
            <w:r w:rsidRPr="00F248E3">
              <w:rPr>
                <w:rFonts w:ascii="Arial Narrow" w:hAnsi="Arial Narrow" w:cs="Arial"/>
                <w:b/>
                <w:sz w:val="20"/>
                <w:szCs w:val="20"/>
              </w:rPr>
              <w:t>Administrative Advice</w:t>
            </w:r>
          </w:p>
          <w:p w:rsidR="006960D4" w:rsidRPr="00F248E3" w:rsidRDefault="006960D4" w:rsidP="00050E81">
            <w:pPr>
              <w:rPr>
                <w:rFonts w:ascii="Arial Narrow" w:hAnsi="Arial Narrow" w:cs="Arial"/>
                <w:i/>
                <w:sz w:val="20"/>
                <w:szCs w:val="20"/>
              </w:rPr>
            </w:pPr>
          </w:p>
        </w:tc>
        <w:tc>
          <w:tcPr>
            <w:tcW w:w="6378" w:type="dxa"/>
            <w:gridSpan w:val="5"/>
            <w:tcBorders>
              <w:top w:val="single" w:sz="4" w:space="0" w:color="auto"/>
              <w:left w:val="single" w:sz="4" w:space="0" w:color="auto"/>
              <w:bottom w:val="single" w:sz="4" w:space="0" w:color="auto"/>
              <w:right w:val="single" w:sz="4" w:space="0" w:color="auto"/>
            </w:tcBorders>
            <w:vAlign w:val="center"/>
          </w:tcPr>
          <w:p w:rsidR="006960D4" w:rsidRPr="00894ED4" w:rsidRDefault="006960D4" w:rsidP="00050E81">
            <w:pPr>
              <w:rPr>
                <w:rFonts w:ascii="Arial Narrow" w:hAnsi="Arial Narrow" w:cs="Arial"/>
                <w:sz w:val="20"/>
                <w:szCs w:val="20"/>
              </w:rPr>
            </w:pPr>
            <w:r w:rsidRPr="00894ED4">
              <w:rPr>
                <w:rFonts w:ascii="Arial Narrow" w:hAnsi="Arial Narrow" w:cs="Arial"/>
                <w:sz w:val="20"/>
                <w:szCs w:val="20"/>
              </w:rPr>
              <w:t>Authorities for increased maximum quantities, up to a maximum of 20, may be authorised.</w:t>
            </w:r>
          </w:p>
        </w:tc>
      </w:tr>
    </w:tbl>
    <w:p w:rsidR="006960D4" w:rsidRDefault="006960D4" w:rsidP="006960D4">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Caption w:val="Requested listing - eosinophilic oesophagitis - continuing treatment"/>
      </w:tblPr>
      <w:tblGrid>
        <w:gridCol w:w="1985"/>
        <w:gridCol w:w="6378"/>
      </w:tblGrid>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 xml:space="preserve">Category / </w:t>
            </w:r>
          </w:p>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Program</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t>GENERAL – General Schedule (Code GE)</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Eosinophilic oesophagitis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8F57F8" w:rsidRDefault="006960D4" w:rsidP="00050E81">
            <w:pPr>
              <w:rPr>
                <w:rFonts w:ascii="Arial Narrow" w:hAnsi="Arial Narrow" w:cs="Arial"/>
                <w:b/>
                <w:sz w:val="20"/>
                <w:szCs w:val="20"/>
              </w:rPr>
            </w:pPr>
            <w:r w:rsidRPr="00260CE3">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Continuing treatment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6960D4" w:rsidRPr="00260CE3" w:rsidRDefault="006960D4" w:rsidP="00050E81">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106BCF" w:rsidRDefault="006960D4"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6960D4" w:rsidRPr="00106BCF" w:rsidRDefault="0073401F"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006960D4" w:rsidRPr="00106BCF">
              <w:rPr>
                <w:rFonts w:ascii="Arial Narrow" w:hAnsi="Arial Narrow" w:cs="Arial"/>
                <w:sz w:val="20"/>
                <w:szCs w:val="20"/>
              </w:rPr>
              <w:t>Authority Required - In Writing</w:t>
            </w:r>
          </w:p>
          <w:p w:rsidR="006960D4" w:rsidRPr="00106BCF" w:rsidRDefault="006960D4"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6960D4" w:rsidRPr="00106BCF" w:rsidRDefault="0073401F"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006960D4" w:rsidRPr="00106BCF">
              <w:rPr>
                <w:rFonts w:ascii="Arial Narrow" w:hAnsi="Arial Narrow" w:cs="Arial"/>
                <w:sz w:val="20"/>
                <w:szCs w:val="20"/>
              </w:rPr>
              <w:t>Authority Required – Emergency</w:t>
            </w:r>
          </w:p>
          <w:p w:rsidR="006960D4" w:rsidRPr="00106BCF" w:rsidRDefault="0073401F"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006960D4" w:rsidRPr="00106BCF">
              <w:rPr>
                <w:rFonts w:ascii="Arial Narrow" w:hAnsi="Arial Narrow" w:cs="Arial"/>
                <w:sz w:val="20"/>
                <w:szCs w:val="20"/>
              </w:rPr>
              <w:t>Authority Required - Electronic</w:t>
            </w:r>
          </w:p>
          <w:p w:rsidR="006960D4" w:rsidRPr="00260CE3" w:rsidRDefault="006960D4" w:rsidP="00050E81">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b/>
                <w:sz w:val="20"/>
                <w:szCs w:val="20"/>
              </w:rPr>
              <w:t>Treatment criteria</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Must be treated by a clinical immunologist, suitably qualified allergist or gastroenterologist.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BE1C98">
              <w:rPr>
                <w:rFonts w:ascii="Arial Narrow" w:hAnsi="Arial Narrow" w:cs="Arial"/>
                <w:sz w:val="20"/>
                <w:szCs w:val="20"/>
              </w:rPr>
              <w:t>Patient must have responded to an initial course of PBS-subsidised treatment.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b/>
                <w:sz w:val="20"/>
                <w:szCs w:val="20"/>
              </w:rPr>
              <w:t>Population criteria:</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464B9A">
              <w:rPr>
                <w:rFonts w:ascii="Arial Narrow" w:hAnsi="Arial Narrow" w:cs="Arial"/>
                <w:sz w:val="20"/>
                <w:szCs w:val="20"/>
              </w:rPr>
              <w:t xml:space="preserve">Patient must be </w:t>
            </w:r>
            <w:r w:rsidRPr="00BE1C98">
              <w:rPr>
                <w:rFonts w:ascii="Arial Narrow" w:hAnsi="Arial Narrow" w:cs="Arial"/>
                <w:sz w:val="20"/>
                <w:szCs w:val="20"/>
              </w:rPr>
              <w:t>18 years of age or less.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F248E3" w:rsidRDefault="006960D4" w:rsidP="00050E81">
            <w:pPr>
              <w:rPr>
                <w:rFonts w:ascii="Arial Narrow" w:hAnsi="Arial Narrow" w:cs="Arial"/>
                <w:sz w:val="20"/>
                <w:szCs w:val="20"/>
              </w:rPr>
            </w:pPr>
            <w:r w:rsidRPr="00F248E3">
              <w:rPr>
                <w:rFonts w:ascii="Arial Narrow" w:hAnsi="Arial Narrow" w:cs="Arial"/>
                <w:b/>
                <w:sz w:val="20"/>
                <w:szCs w:val="20"/>
              </w:rPr>
              <w:t>Prescriber Instructions</w:t>
            </w: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260CE3" w:rsidRDefault="00F301A5" w:rsidP="00050E81">
            <w:pPr>
              <w:rPr>
                <w:rFonts w:ascii="Arial Narrow" w:hAnsi="Arial Narrow" w:cs="Arial"/>
                <w:sz w:val="20"/>
                <w:szCs w:val="20"/>
              </w:rPr>
            </w:pPr>
            <w:r w:rsidRPr="00BE1C98">
              <w:rPr>
                <w:rFonts w:ascii="Arial Narrow" w:hAnsi="Arial Narrow" w:cs="Arial"/>
                <w:sz w:val="20"/>
                <w:szCs w:val="20"/>
              </w:rPr>
              <w:t>Response to initial treatment is demonstrated by oesophageal biopsy specimens obtained by endoscopy, where the most densely involved oesophageal biopsy had 5 or less eosinophils in any single 400 x high powered field, along with normal antral and duodenal biopsies. The response criteria will not be deemed to have been met if oral steroids were commenced during initial treatment.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F248E3" w:rsidRDefault="006960D4" w:rsidP="00050E81">
            <w:pPr>
              <w:rPr>
                <w:rFonts w:ascii="Arial Narrow" w:hAnsi="Arial Narrow" w:cs="Arial"/>
                <w:b/>
                <w:sz w:val="20"/>
                <w:szCs w:val="20"/>
              </w:rPr>
            </w:pPr>
            <w:r w:rsidRPr="00F248E3">
              <w:rPr>
                <w:rFonts w:ascii="Arial Narrow" w:hAnsi="Arial Narrow" w:cs="Arial"/>
                <w:b/>
                <w:sz w:val="20"/>
                <w:szCs w:val="20"/>
              </w:rPr>
              <w:t>Administrative Advice</w:t>
            </w:r>
          </w:p>
          <w:p w:rsidR="006960D4" w:rsidRPr="00F248E3" w:rsidRDefault="006960D4" w:rsidP="00050E81">
            <w:pPr>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vAlign w:val="center"/>
          </w:tcPr>
          <w:p w:rsidR="006960D4" w:rsidRPr="000F1358" w:rsidRDefault="006960D4" w:rsidP="00050E81">
            <w:pPr>
              <w:rPr>
                <w:rFonts w:ascii="Arial Narrow" w:hAnsi="Arial Narrow" w:cs="Arial"/>
                <w:sz w:val="20"/>
                <w:szCs w:val="20"/>
              </w:rPr>
            </w:pPr>
            <w:r w:rsidRPr="000F1358">
              <w:rPr>
                <w:rFonts w:ascii="Arial Narrow" w:hAnsi="Arial Narrow" w:cs="Arial"/>
                <w:sz w:val="20"/>
                <w:szCs w:val="20"/>
              </w:rPr>
              <w:t>Authorities for increased maximum quantities, up to a maximum of 20, may be authorised.</w:t>
            </w:r>
          </w:p>
        </w:tc>
      </w:tr>
    </w:tbl>
    <w:p w:rsidR="008A6FE9" w:rsidRDefault="008A6FE9" w:rsidP="000A647C">
      <w:pPr>
        <w:pStyle w:val="ListParagraph"/>
        <w:spacing w:line="2400" w:lineRule="auto"/>
        <w:jc w:val="both"/>
        <w:rPr>
          <w:rFonts w:ascii="Arial" w:hAnsi="Arial"/>
          <w:sz w:val="22"/>
          <w:szCs w:val="22"/>
        </w:rPr>
      </w:pPr>
    </w:p>
    <w:p w:rsidR="006960D4" w:rsidRPr="008F57F8" w:rsidRDefault="006960D4" w:rsidP="006960D4">
      <w:pPr>
        <w:pStyle w:val="ListParagraph"/>
        <w:jc w:val="both"/>
        <w:rPr>
          <w:rFonts w:ascii="Arial" w:hAnsi="Arial"/>
          <w:bCs/>
          <w:iCs/>
          <w:sz w:val="22"/>
          <w:szCs w:val="22"/>
          <w:u w:val="single"/>
        </w:rPr>
      </w:pPr>
      <w:r w:rsidRPr="008F57F8">
        <w:rPr>
          <w:rFonts w:ascii="Arial" w:hAnsi="Arial"/>
          <w:bCs/>
          <w:iCs/>
          <w:sz w:val="22"/>
          <w:szCs w:val="22"/>
          <w:u w:val="single"/>
        </w:rPr>
        <w:t>Severe intestinal malabsorption including short bowel syndrome</w:t>
      </w:r>
    </w:p>
    <w:p w:rsidR="006960D4" w:rsidRDefault="006960D4" w:rsidP="006960D4">
      <w:pPr>
        <w:pStyle w:val="ListParagraph"/>
        <w:jc w:val="both"/>
        <w:rPr>
          <w:rFonts w:ascii="Arial" w:hAnsi="Arial"/>
          <w:sz w:val="22"/>
          <w:szCs w:val="22"/>
        </w:rPr>
      </w:pPr>
    </w:p>
    <w:tbl>
      <w:tblPr>
        <w:tblW w:w="8363" w:type="dxa"/>
        <w:tblInd w:w="817" w:type="dxa"/>
        <w:tblLayout w:type="fixed"/>
        <w:tblLook w:val="0000" w:firstRow="0" w:lastRow="0" w:firstColumn="0" w:lastColumn="0" w:noHBand="0" w:noVBand="0"/>
        <w:tblCaption w:val="Requested listing - severe intestinal malabsorption including short bowel syndrome"/>
      </w:tblPr>
      <w:tblGrid>
        <w:gridCol w:w="1985"/>
        <w:gridCol w:w="1134"/>
        <w:gridCol w:w="850"/>
        <w:gridCol w:w="709"/>
        <w:gridCol w:w="1276"/>
        <w:gridCol w:w="1275"/>
        <w:gridCol w:w="1134"/>
      </w:tblGrid>
      <w:tr w:rsidR="006960D4" w:rsidRPr="0039782C" w:rsidTr="00050E81">
        <w:trPr>
          <w:cantSplit/>
          <w:trHeight w:val="471"/>
        </w:trPr>
        <w:tc>
          <w:tcPr>
            <w:tcW w:w="3119" w:type="dxa"/>
            <w:gridSpan w:val="2"/>
            <w:tcBorders>
              <w:bottom w:val="single" w:sz="4" w:space="0" w:color="auto"/>
            </w:tcBorders>
          </w:tcPr>
          <w:p w:rsidR="006960D4" w:rsidRPr="0039782C" w:rsidRDefault="006960D4" w:rsidP="00050E81">
            <w:pPr>
              <w:keepNext/>
              <w:ind w:left="-108"/>
              <w:rPr>
                <w:rFonts w:ascii="Arial Narrow" w:hAnsi="Arial Narrow" w:cs="Arial"/>
                <w:b/>
                <w:sz w:val="20"/>
                <w:szCs w:val="20"/>
              </w:rPr>
            </w:pPr>
            <w:r w:rsidRPr="0039782C">
              <w:rPr>
                <w:rFonts w:ascii="Arial Narrow" w:hAnsi="Arial Narrow" w:cs="Arial"/>
                <w:b/>
                <w:sz w:val="20"/>
                <w:szCs w:val="20"/>
              </w:rPr>
              <w:t>Name, Restriction,</w:t>
            </w:r>
          </w:p>
          <w:p w:rsidR="006960D4" w:rsidRPr="0039782C" w:rsidRDefault="006960D4" w:rsidP="00050E81">
            <w:pPr>
              <w:keepNext/>
              <w:ind w:left="-108"/>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6960D4" w:rsidRPr="0039782C" w:rsidRDefault="006960D4" w:rsidP="00050E81">
            <w:pPr>
              <w:keepNext/>
              <w:ind w:left="-108"/>
              <w:rPr>
                <w:rFonts w:ascii="Arial Narrow" w:hAnsi="Arial Narrow" w:cs="Arial"/>
                <w:b/>
                <w:sz w:val="20"/>
                <w:szCs w:val="20"/>
              </w:rPr>
            </w:pPr>
            <w:r w:rsidRPr="0039782C">
              <w:rPr>
                <w:rFonts w:ascii="Arial Narrow" w:hAnsi="Arial Narrow" w:cs="Arial"/>
                <w:b/>
                <w:sz w:val="20"/>
                <w:szCs w:val="20"/>
              </w:rPr>
              <w:t>Max.</w:t>
            </w:r>
          </w:p>
          <w:p w:rsidR="006960D4" w:rsidRPr="0039782C" w:rsidRDefault="006960D4" w:rsidP="00050E81">
            <w:pPr>
              <w:keepNext/>
              <w:ind w:left="-108"/>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6960D4" w:rsidRPr="0039782C" w:rsidRDefault="006960D4" w:rsidP="00050E81">
            <w:pPr>
              <w:keepNext/>
              <w:ind w:left="-108"/>
              <w:rPr>
                <w:rFonts w:ascii="Arial Narrow" w:hAnsi="Arial Narrow" w:cs="Arial"/>
                <w:b/>
                <w:sz w:val="20"/>
                <w:szCs w:val="20"/>
              </w:rPr>
            </w:pPr>
            <w:r w:rsidRPr="0039782C">
              <w:rPr>
                <w:rFonts w:ascii="Arial Narrow" w:hAnsi="Arial Narrow" w:cs="Arial"/>
                <w:b/>
                <w:sz w:val="20"/>
                <w:szCs w:val="20"/>
              </w:rPr>
              <w:t>№.of</w:t>
            </w:r>
          </w:p>
          <w:p w:rsidR="006960D4" w:rsidRPr="0039782C" w:rsidRDefault="006960D4" w:rsidP="00050E81">
            <w:pPr>
              <w:keepNext/>
              <w:ind w:left="-108"/>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6960D4" w:rsidRPr="0039782C" w:rsidRDefault="006960D4" w:rsidP="00050E81">
            <w:pPr>
              <w:keepNext/>
              <w:ind w:left="-108"/>
              <w:rPr>
                <w:rFonts w:ascii="Arial Narrow" w:hAnsi="Arial Narrow" w:cs="Arial"/>
                <w:b/>
                <w:sz w:val="20"/>
                <w:szCs w:val="20"/>
              </w:rPr>
            </w:pPr>
          </w:p>
        </w:tc>
        <w:tc>
          <w:tcPr>
            <w:tcW w:w="2409" w:type="dxa"/>
            <w:gridSpan w:val="2"/>
            <w:tcBorders>
              <w:bottom w:val="single" w:sz="4" w:space="0" w:color="auto"/>
            </w:tcBorders>
          </w:tcPr>
          <w:p w:rsidR="006960D4" w:rsidRPr="0039782C" w:rsidRDefault="006960D4" w:rsidP="00050E81">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6960D4" w:rsidRPr="000019A2" w:rsidTr="00050E81">
        <w:trPr>
          <w:cantSplit/>
          <w:trHeight w:val="1554"/>
        </w:trPr>
        <w:tc>
          <w:tcPr>
            <w:tcW w:w="3119" w:type="dxa"/>
            <w:gridSpan w:val="2"/>
            <w:vAlign w:val="center"/>
          </w:tcPr>
          <w:p w:rsidR="006960D4" w:rsidRPr="00260CE3" w:rsidRDefault="006960D4" w:rsidP="00050E81">
            <w:pPr>
              <w:keepNext/>
              <w:ind w:left="-108"/>
              <w:rPr>
                <w:rFonts w:ascii="Arial Narrow" w:hAnsi="Arial Narrow" w:cs="Arial"/>
                <w:sz w:val="20"/>
                <w:szCs w:val="20"/>
              </w:rPr>
            </w:pPr>
            <w:r w:rsidRPr="001344F2">
              <w:rPr>
                <w:rFonts w:ascii="Arial Narrow" w:hAnsi="Arial Narrow" w:cs="Arial"/>
                <w:smallCaps/>
                <w:sz w:val="20"/>
                <w:szCs w:val="20"/>
              </w:rPr>
              <w:t xml:space="preserve">AMINO ACID SYNTHETIC FORMULA SUPPLEMENTED WITH LONG CHAIN POLYUNSATURATED FATTY ACIDS AND MEDIUM CHAIN TRIGLYCERIDES </w:t>
            </w:r>
            <w:r>
              <w:t xml:space="preserve"> </w:t>
            </w:r>
            <w:r w:rsidRPr="001344F2">
              <w:rPr>
                <w:rFonts w:ascii="Arial Narrow" w:hAnsi="Arial Narrow" w:cs="Arial"/>
                <w:sz w:val="20"/>
                <w:szCs w:val="20"/>
              </w:rPr>
              <w:t>oral liquid: powder for, 400 g</w:t>
            </w:r>
          </w:p>
        </w:tc>
        <w:tc>
          <w:tcPr>
            <w:tcW w:w="850" w:type="dxa"/>
            <w:vAlign w:val="center"/>
          </w:tcPr>
          <w:p w:rsidR="006960D4" w:rsidRPr="000019A2" w:rsidRDefault="006960D4" w:rsidP="00050E81">
            <w:pPr>
              <w:keepNext/>
              <w:ind w:left="-108"/>
              <w:rPr>
                <w:rFonts w:ascii="Arial Narrow" w:hAnsi="Arial Narrow" w:cs="Arial"/>
                <w:sz w:val="20"/>
                <w:szCs w:val="20"/>
              </w:rPr>
            </w:pPr>
          </w:p>
          <w:p w:rsidR="006960D4" w:rsidRPr="000019A2" w:rsidRDefault="006960D4" w:rsidP="00050E81">
            <w:pPr>
              <w:keepNext/>
              <w:ind w:left="-108"/>
              <w:rPr>
                <w:rFonts w:ascii="Arial Narrow" w:hAnsi="Arial Narrow" w:cs="Arial"/>
                <w:sz w:val="20"/>
                <w:szCs w:val="20"/>
              </w:rPr>
            </w:pPr>
            <w:r w:rsidRPr="000019A2">
              <w:rPr>
                <w:rFonts w:ascii="Arial Narrow" w:hAnsi="Arial Narrow" w:cs="Arial"/>
                <w:sz w:val="20"/>
                <w:szCs w:val="20"/>
              </w:rPr>
              <w:t>8</w:t>
            </w:r>
          </w:p>
        </w:tc>
        <w:tc>
          <w:tcPr>
            <w:tcW w:w="709" w:type="dxa"/>
            <w:vAlign w:val="center"/>
          </w:tcPr>
          <w:p w:rsidR="006960D4" w:rsidRPr="000019A2" w:rsidRDefault="006960D4" w:rsidP="00050E81">
            <w:pPr>
              <w:keepNext/>
              <w:ind w:left="-108"/>
              <w:rPr>
                <w:rFonts w:ascii="Arial Narrow" w:hAnsi="Arial Narrow" w:cs="Arial"/>
                <w:sz w:val="20"/>
                <w:szCs w:val="20"/>
              </w:rPr>
            </w:pPr>
          </w:p>
          <w:p w:rsidR="006960D4" w:rsidRPr="000019A2" w:rsidRDefault="006960D4" w:rsidP="00050E81">
            <w:pPr>
              <w:keepNext/>
              <w:ind w:left="-108"/>
              <w:rPr>
                <w:rFonts w:ascii="Arial Narrow" w:hAnsi="Arial Narrow" w:cs="Arial"/>
                <w:sz w:val="20"/>
                <w:szCs w:val="20"/>
              </w:rPr>
            </w:pPr>
            <w:r w:rsidRPr="000019A2">
              <w:rPr>
                <w:rFonts w:ascii="Arial Narrow" w:hAnsi="Arial Narrow" w:cs="Arial"/>
                <w:sz w:val="20"/>
                <w:szCs w:val="20"/>
              </w:rPr>
              <w:t>5</w:t>
            </w:r>
          </w:p>
        </w:tc>
        <w:tc>
          <w:tcPr>
            <w:tcW w:w="1276" w:type="dxa"/>
            <w:vAlign w:val="center"/>
          </w:tcPr>
          <w:p w:rsidR="006960D4" w:rsidRPr="000461E3" w:rsidRDefault="006960D4" w:rsidP="00050E81">
            <w:pPr>
              <w:keepNext/>
              <w:ind w:left="-108"/>
              <w:rPr>
                <w:rFonts w:ascii="Arial Narrow" w:hAnsi="Arial Narrow" w:cs="Arial"/>
                <w:sz w:val="20"/>
                <w:szCs w:val="20"/>
                <w:highlight w:val="green"/>
              </w:rPr>
            </w:pPr>
          </w:p>
          <w:p w:rsidR="006960D4" w:rsidRPr="000461E3" w:rsidRDefault="006960D4" w:rsidP="00050E81">
            <w:pPr>
              <w:keepNext/>
              <w:rPr>
                <w:rFonts w:ascii="Arial Narrow" w:hAnsi="Arial Narrow" w:cs="Arial"/>
                <w:sz w:val="20"/>
                <w:szCs w:val="20"/>
                <w:highlight w:val="green"/>
              </w:rPr>
            </w:pPr>
          </w:p>
        </w:tc>
        <w:tc>
          <w:tcPr>
            <w:tcW w:w="1275" w:type="dxa"/>
            <w:vAlign w:val="center"/>
          </w:tcPr>
          <w:p w:rsidR="006960D4" w:rsidRPr="001344F2" w:rsidRDefault="006960D4" w:rsidP="00050E81">
            <w:pPr>
              <w:keepNext/>
              <w:rPr>
                <w:rFonts w:ascii="Arial Narrow" w:hAnsi="Arial Narrow" w:cs="Arial"/>
                <w:sz w:val="20"/>
                <w:szCs w:val="20"/>
                <w:highlight w:val="green"/>
              </w:rPr>
            </w:pPr>
          </w:p>
          <w:p w:rsidR="006960D4" w:rsidRPr="001344F2" w:rsidRDefault="006960D4" w:rsidP="00050E81">
            <w:pPr>
              <w:keepNext/>
              <w:rPr>
                <w:rFonts w:ascii="Arial Narrow" w:hAnsi="Arial Narrow" w:cs="Arial"/>
                <w:sz w:val="20"/>
                <w:szCs w:val="20"/>
                <w:highlight w:val="green"/>
              </w:rPr>
            </w:pPr>
            <w:r w:rsidRPr="00D44854">
              <w:rPr>
                <w:rFonts w:ascii="Arial Narrow" w:hAnsi="Arial Narrow" w:cs="Arial"/>
                <w:sz w:val="20"/>
                <w:szCs w:val="20"/>
              </w:rPr>
              <w:t>Alfamino®</w:t>
            </w:r>
          </w:p>
        </w:tc>
        <w:tc>
          <w:tcPr>
            <w:tcW w:w="1134" w:type="dxa"/>
            <w:vAlign w:val="center"/>
          </w:tcPr>
          <w:p w:rsidR="006960D4" w:rsidRDefault="006960D4" w:rsidP="00050E81">
            <w:pPr>
              <w:keepNext/>
              <w:rPr>
                <w:rFonts w:ascii="Arial Narrow" w:hAnsi="Arial Narrow" w:cs="Arial"/>
                <w:sz w:val="20"/>
                <w:szCs w:val="20"/>
              </w:rPr>
            </w:pPr>
          </w:p>
          <w:p w:rsidR="006960D4" w:rsidRPr="00260CE3" w:rsidRDefault="006960D4" w:rsidP="00050E81">
            <w:pPr>
              <w:keepNext/>
              <w:rPr>
                <w:rFonts w:ascii="Arial Narrow" w:hAnsi="Arial Narrow" w:cs="Arial"/>
                <w:sz w:val="20"/>
                <w:szCs w:val="20"/>
              </w:rPr>
            </w:pPr>
            <w:r w:rsidRPr="001344F2">
              <w:rPr>
                <w:rFonts w:ascii="Arial Narrow" w:hAnsi="Arial Narrow" w:cs="Arial"/>
                <w:sz w:val="20"/>
                <w:szCs w:val="20"/>
              </w:rPr>
              <w:t>Nestlé Australia Ltd</w:t>
            </w:r>
          </w:p>
        </w:tc>
      </w:tr>
      <w:tr w:rsidR="006960D4" w:rsidRPr="00260CE3" w:rsidTr="00050E81">
        <w:trPr>
          <w:cantSplit/>
          <w:trHeight w:val="360"/>
        </w:trPr>
        <w:tc>
          <w:tcPr>
            <w:tcW w:w="8363" w:type="dxa"/>
            <w:gridSpan w:val="7"/>
            <w:tcBorders>
              <w:bottom w:val="single" w:sz="4" w:space="0" w:color="auto"/>
            </w:tcBorders>
            <w:vAlign w:val="center"/>
          </w:tcPr>
          <w:p w:rsidR="006960D4" w:rsidRPr="00260CE3" w:rsidRDefault="006960D4" w:rsidP="00050E81">
            <w:pPr>
              <w:rPr>
                <w:rFonts w:ascii="Arial Narrow" w:hAnsi="Arial Narrow" w:cs="Arial"/>
                <w:sz w:val="20"/>
                <w:szCs w:val="20"/>
              </w:rPr>
            </w:pP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 xml:space="preserve">Category / </w:t>
            </w:r>
          </w:p>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t>GENERAL – General Schedule (Code GE)</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6960D4" w:rsidRPr="00260CE3" w:rsidRDefault="006960D4" w:rsidP="00050E81">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Episodicity:</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Pr>
                <w:rFonts w:ascii="Arial Narrow" w:hAnsi="Arial Narrow" w:cs="Arial"/>
                <w:sz w:val="20"/>
                <w:szCs w:val="20"/>
              </w:rPr>
              <w: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Pr>
                <w:rFonts w:ascii="Arial Narrow" w:hAnsi="Arial Narrow" w:cs="Arial"/>
                <w:sz w:val="20"/>
                <w:szCs w:val="20"/>
              </w:rPr>
              <w:t>-</w:t>
            </w:r>
          </w:p>
        </w:tc>
      </w:tr>
      <w:tr w:rsidR="006960D4"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6960D4" w:rsidRPr="00260CE3" w:rsidRDefault="006960D4" w:rsidP="00050E81">
            <w:pPr>
              <w:rPr>
                <w:rFonts w:ascii="Arial Narrow" w:hAnsi="Arial Narrow" w:cs="Arial"/>
                <w:sz w:val="20"/>
                <w:szCs w:val="20"/>
              </w:rPr>
            </w:pPr>
            <w:r w:rsidRPr="008F57F8">
              <w:rPr>
                <w:rFonts w:ascii="Arial Narrow" w:hAnsi="Arial Narrow" w:cs="Arial"/>
                <w:sz w:val="20"/>
                <w:szCs w:val="20"/>
              </w:rPr>
              <w:t>Severe intestinal malabsorption including short bowel syndrome</w:t>
            </w:r>
          </w:p>
        </w:tc>
      </w:tr>
      <w:tr w:rsidR="008D5BCA"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D5BCA" w:rsidRPr="00260CE3" w:rsidRDefault="008D5BCA" w:rsidP="00050E81">
            <w:pPr>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D5BCA" w:rsidRPr="00260CE3" w:rsidRDefault="008D5BCA" w:rsidP="008C557C">
            <w:pPr>
              <w:rPr>
                <w:rFonts w:ascii="Arial Narrow" w:hAnsi="Arial Narrow" w:cs="Arial"/>
                <w:sz w:val="20"/>
                <w:szCs w:val="20"/>
              </w:rPr>
            </w:pPr>
            <w:r w:rsidRPr="008F57F8">
              <w:rPr>
                <w:rFonts w:ascii="Arial Narrow" w:hAnsi="Arial Narrow" w:cs="Arial"/>
                <w:sz w:val="20"/>
                <w:szCs w:val="20"/>
              </w:rPr>
              <w:t>Severe intestinal malabsorption including short bowel syndrome</w:t>
            </w:r>
          </w:p>
        </w:tc>
      </w:tr>
      <w:tr w:rsidR="008D5BCA"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D5BCA" w:rsidRPr="008F57F8" w:rsidRDefault="008D5BCA" w:rsidP="00050E81">
            <w:pPr>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D5BCA" w:rsidRPr="00260CE3" w:rsidRDefault="008D5BCA" w:rsidP="00050E81">
            <w:pPr>
              <w:rPr>
                <w:rFonts w:ascii="Arial Narrow" w:hAnsi="Arial Narrow" w:cs="Arial"/>
                <w:sz w:val="20"/>
                <w:szCs w:val="20"/>
              </w:rPr>
            </w:pPr>
            <w:r>
              <w:rPr>
                <w:rFonts w:ascii="Arial Narrow" w:hAnsi="Arial Narrow" w:cs="Arial"/>
                <w:sz w:val="20"/>
                <w:szCs w:val="20"/>
              </w:rPr>
              <w:t>-</w:t>
            </w:r>
          </w:p>
        </w:tc>
      </w:tr>
      <w:tr w:rsidR="008D5BCA"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D5BCA" w:rsidRPr="00260CE3" w:rsidRDefault="008D5BCA" w:rsidP="00050E81">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D5BCA" w:rsidRPr="00260CE3" w:rsidRDefault="008D5BCA" w:rsidP="00050E81">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D5BCA" w:rsidRPr="004930BE" w:rsidRDefault="008D5BCA" w:rsidP="00050E81">
            <w:pPr>
              <w:rPr>
                <w:rFonts w:ascii="Arial Narrow" w:hAnsi="Arial Narrow" w:cs="Arial"/>
                <w:sz w:val="20"/>
                <w:szCs w:val="20"/>
              </w:rPr>
            </w:pPr>
            <w:r w:rsidRPr="004930BE">
              <w:rPr>
                <w:rFonts w:ascii="Arial Narrow" w:hAnsi="Arial Narrow" w:cs="Arial"/>
                <w:sz w:val="20"/>
                <w:szCs w:val="20"/>
              </w:rPr>
              <w:fldChar w:fldCharType="begin">
                <w:ffData>
                  <w:name w:val="Check1"/>
                  <w:enabled/>
                  <w:calcOnExit w:val="0"/>
                  <w:checkBox>
                    <w:sizeAuto/>
                    <w:default w:val="0"/>
                  </w:checkBox>
                </w:ffData>
              </w:fldChar>
            </w:r>
            <w:r w:rsidRPr="004930BE">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4930BE">
              <w:rPr>
                <w:rFonts w:ascii="Arial Narrow" w:hAnsi="Arial Narrow" w:cs="Arial"/>
                <w:sz w:val="20"/>
                <w:szCs w:val="20"/>
              </w:rPr>
              <w:fldChar w:fldCharType="end"/>
            </w:r>
            <w:r w:rsidRPr="004930BE">
              <w:rPr>
                <w:rFonts w:ascii="Arial Narrow" w:hAnsi="Arial Narrow" w:cs="Arial"/>
                <w:sz w:val="20"/>
                <w:szCs w:val="20"/>
              </w:rPr>
              <w:t>Restricted benefit</w:t>
            </w:r>
          </w:p>
          <w:p w:rsidR="008D5BCA" w:rsidRPr="004930BE" w:rsidRDefault="008D5BCA"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4930BE">
              <w:rPr>
                <w:rFonts w:ascii="Arial Narrow" w:hAnsi="Arial Narrow" w:cs="Arial"/>
                <w:sz w:val="20"/>
                <w:szCs w:val="20"/>
              </w:rPr>
              <w:t>Authority Required - In Writing</w:t>
            </w:r>
          </w:p>
          <w:p w:rsidR="008D5BCA" w:rsidRPr="004930BE" w:rsidRDefault="008D5BCA" w:rsidP="00050E81">
            <w:pPr>
              <w:rPr>
                <w:rFonts w:ascii="Arial Narrow" w:hAnsi="Arial Narrow" w:cs="Arial"/>
                <w:sz w:val="20"/>
                <w:szCs w:val="20"/>
              </w:rPr>
            </w:pPr>
            <w:r w:rsidRPr="004930BE">
              <w:rPr>
                <w:rFonts w:ascii="Arial Narrow" w:hAnsi="Arial Narrow" w:cs="Arial"/>
                <w:sz w:val="20"/>
                <w:szCs w:val="20"/>
              </w:rPr>
              <w:fldChar w:fldCharType="begin">
                <w:ffData>
                  <w:name w:val=""/>
                  <w:enabled/>
                  <w:calcOnExit w:val="0"/>
                  <w:checkBox>
                    <w:sizeAuto/>
                    <w:default w:val="1"/>
                  </w:checkBox>
                </w:ffData>
              </w:fldChar>
            </w:r>
            <w:r w:rsidRPr="004930BE">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4930BE">
              <w:rPr>
                <w:rFonts w:ascii="Arial Narrow" w:hAnsi="Arial Narrow" w:cs="Arial"/>
                <w:sz w:val="20"/>
                <w:szCs w:val="20"/>
              </w:rPr>
              <w:fldChar w:fldCharType="end"/>
            </w:r>
            <w:r w:rsidRPr="004930BE">
              <w:rPr>
                <w:rFonts w:ascii="Arial Narrow" w:hAnsi="Arial Narrow" w:cs="Arial"/>
                <w:sz w:val="20"/>
                <w:szCs w:val="20"/>
              </w:rPr>
              <w:t>Authority Required - Telephone</w:t>
            </w:r>
          </w:p>
          <w:p w:rsidR="008D5BCA" w:rsidRPr="004930BE" w:rsidRDefault="008D5BCA"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4930BE">
              <w:rPr>
                <w:rFonts w:ascii="Arial Narrow" w:hAnsi="Arial Narrow" w:cs="Arial"/>
                <w:sz w:val="20"/>
                <w:szCs w:val="20"/>
              </w:rPr>
              <w:t>Authority Required – Emergency</w:t>
            </w:r>
          </w:p>
          <w:p w:rsidR="008D5BCA" w:rsidRPr="004930BE" w:rsidRDefault="008D5BCA" w:rsidP="00050E81">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Pr>
                <w:rFonts w:ascii="Arial Narrow" w:hAnsi="Arial Narrow" w:cs="Arial"/>
                <w:sz w:val="20"/>
                <w:szCs w:val="20"/>
              </w:rPr>
              <w:fldChar w:fldCharType="end"/>
            </w:r>
            <w:r w:rsidRPr="004930BE">
              <w:rPr>
                <w:rFonts w:ascii="Arial Narrow" w:hAnsi="Arial Narrow" w:cs="Arial"/>
                <w:sz w:val="20"/>
                <w:szCs w:val="20"/>
              </w:rPr>
              <w:t>Authority Required - Electronic</w:t>
            </w:r>
          </w:p>
          <w:p w:rsidR="008D5BCA" w:rsidRPr="00260CE3" w:rsidRDefault="008D5BCA" w:rsidP="00050E81">
            <w:pPr>
              <w:rPr>
                <w:rFonts w:ascii="Arial Narrow" w:hAnsi="Arial Narrow" w:cs="Arial"/>
                <w:sz w:val="20"/>
                <w:szCs w:val="20"/>
              </w:rPr>
            </w:pPr>
            <w:r w:rsidRPr="004930BE">
              <w:rPr>
                <w:rFonts w:ascii="Arial Narrow" w:hAnsi="Arial Narrow" w:cs="Arial"/>
                <w:sz w:val="20"/>
                <w:szCs w:val="20"/>
              </w:rPr>
              <w:fldChar w:fldCharType="begin">
                <w:ffData>
                  <w:name w:val="Check5"/>
                  <w:enabled/>
                  <w:calcOnExit w:val="0"/>
                  <w:checkBox>
                    <w:sizeAuto/>
                    <w:default w:val="0"/>
                  </w:checkBox>
                </w:ffData>
              </w:fldChar>
            </w:r>
            <w:r w:rsidRPr="004930BE">
              <w:rPr>
                <w:rFonts w:ascii="Arial Narrow" w:hAnsi="Arial Narrow" w:cs="Arial"/>
                <w:sz w:val="20"/>
                <w:szCs w:val="20"/>
              </w:rPr>
              <w:instrText xml:space="preserve"> FORMCHECKBOX </w:instrText>
            </w:r>
            <w:r w:rsidR="00BF481A">
              <w:rPr>
                <w:rFonts w:ascii="Arial Narrow" w:hAnsi="Arial Narrow" w:cs="Arial"/>
                <w:sz w:val="20"/>
                <w:szCs w:val="20"/>
              </w:rPr>
            </w:r>
            <w:r w:rsidR="00BF481A">
              <w:rPr>
                <w:rFonts w:ascii="Arial Narrow" w:hAnsi="Arial Narrow" w:cs="Arial"/>
                <w:sz w:val="20"/>
                <w:szCs w:val="20"/>
              </w:rPr>
              <w:fldChar w:fldCharType="separate"/>
            </w:r>
            <w:r w:rsidRPr="004930BE">
              <w:rPr>
                <w:rFonts w:ascii="Arial Narrow" w:hAnsi="Arial Narrow" w:cs="Arial"/>
                <w:sz w:val="20"/>
                <w:szCs w:val="20"/>
              </w:rPr>
              <w:fldChar w:fldCharType="end"/>
            </w:r>
            <w:r w:rsidRPr="004930BE">
              <w:rPr>
                <w:rFonts w:ascii="Arial Narrow" w:hAnsi="Arial Narrow" w:cs="Arial"/>
                <w:sz w:val="20"/>
                <w:szCs w:val="20"/>
              </w:rPr>
              <w:t>Streamlined</w:t>
            </w:r>
          </w:p>
        </w:tc>
      </w:tr>
      <w:tr w:rsidR="008D5BCA"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D5BCA" w:rsidRPr="00260CE3" w:rsidRDefault="008D5BCA" w:rsidP="00050E81">
            <w:pPr>
              <w:rPr>
                <w:rFonts w:ascii="Arial Narrow" w:hAnsi="Arial Narrow" w:cs="Arial"/>
                <w:sz w:val="20"/>
                <w:szCs w:val="20"/>
              </w:rPr>
            </w:pPr>
            <w:r w:rsidRPr="00260CE3">
              <w:rPr>
                <w:rFonts w:ascii="Arial Narrow" w:hAnsi="Arial Narrow" w:cs="Arial"/>
                <w:b/>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D5BCA" w:rsidRPr="00260CE3" w:rsidRDefault="008D5BCA" w:rsidP="00050E81">
            <w:pPr>
              <w:rPr>
                <w:rFonts w:ascii="Arial Narrow" w:hAnsi="Arial Narrow" w:cs="Arial"/>
                <w:sz w:val="20"/>
                <w:szCs w:val="20"/>
              </w:rPr>
            </w:pPr>
            <w:r>
              <w:rPr>
                <w:rFonts w:ascii="Arial Narrow" w:hAnsi="Arial Narrow" w:cs="Arial"/>
                <w:sz w:val="20"/>
                <w:szCs w:val="20"/>
              </w:rPr>
              <w:t>-</w:t>
            </w:r>
          </w:p>
        </w:tc>
      </w:tr>
      <w:tr w:rsidR="008D5BCA"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D5BCA" w:rsidRPr="00260CE3" w:rsidRDefault="008D5BCA" w:rsidP="00050E81">
            <w:pPr>
              <w:rPr>
                <w:rFonts w:ascii="Arial Narrow" w:hAnsi="Arial Narrow" w:cs="Arial"/>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D5BCA" w:rsidRPr="008F57F8" w:rsidRDefault="008D5BCA" w:rsidP="00050E81">
            <w:pPr>
              <w:rPr>
                <w:rFonts w:ascii="Arial Narrow" w:hAnsi="Arial Narrow" w:cs="Arial"/>
                <w:sz w:val="20"/>
                <w:szCs w:val="20"/>
              </w:rPr>
            </w:pPr>
            <w:r w:rsidRPr="008F57F8">
              <w:rPr>
                <w:rFonts w:ascii="Arial Narrow" w:hAnsi="Arial Narrow" w:cs="Arial"/>
                <w:sz w:val="20"/>
                <w:szCs w:val="20"/>
              </w:rPr>
              <w:t>Patient must have failed to respond to protein hydrolysate formulae; OR</w:t>
            </w:r>
          </w:p>
          <w:p w:rsidR="008D5BCA" w:rsidRPr="00260CE3" w:rsidRDefault="008D5BCA" w:rsidP="00050E81">
            <w:pPr>
              <w:rPr>
                <w:rFonts w:ascii="Arial Narrow" w:hAnsi="Arial Narrow" w:cs="Arial"/>
                <w:sz w:val="20"/>
                <w:szCs w:val="20"/>
              </w:rPr>
            </w:pPr>
            <w:r w:rsidRPr="008F57F8">
              <w:rPr>
                <w:rFonts w:ascii="Arial Narrow" w:hAnsi="Arial Narrow" w:cs="Arial"/>
                <w:sz w:val="20"/>
                <w:szCs w:val="20"/>
              </w:rPr>
              <w:t>Patient must have been receiving parenteral nutrition.</w:t>
            </w:r>
          </w:p>
        </w:tc>
      </w:tr>
      <w:tr w:rsidR="008D5BCA" w:rsidRPr="00260CE3" w:rsidTr="00050E81">
        <w:trPr>
          <w:cantSplit/>
          <w:trHeight w:val="360"/>
        </w:trPr>
        <w:tc>
          <w:tcPr>
            <w:tcW w:w="1985" w:type="dxa"/>
            <w:tcBorders>
              <w:top w:val="single" w:sz="4" w:space="0" w:color="auto"/>
              <w:left w:val="single" w:sz="4" w:space="0" w:color="auto"/>
              <w:bottom w:val="single" w:sz="4" w:space="0" w:color="auto"/>
              <w:right w:val="single" w:sz="4" w:space="0" w:color="auto"/>
            </w:tcBorders>
            <w:vAlign w:val="center"/>
          </w:tcPr>
          <w:p w:rsidR="008D5BCA" w:rsidRPr="00E849D3" w:rsidRDefault="008D5BCA" w:rsidP="00050E81">
            <w:pPr>
              <w:rPr>
                <w:rFonts w:ascii="Arial Narrow" w:hAnsi="Arial Narrow" w:cs="Arial"/>
                <w:i/>
                <w:sz w:val="20"/>
                <w:szCs w:val="20"/>
              </w:rPr>
            </w:pPr>
            <w:r w:rsidRPr="00E849D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vAlign w:val="center"/>
          </w:tcPr>
          <w:p w:rsidR="008D5BCA" w:rsidRPr="000F1358" w:rsidRDefault="008D5BCA" w:rsidP="00050E81">
            <w:pPr>
              <w:rPr>
                <w:rFonts w:ascii="Arial Narrow" w:hAnsi="Arial Narrow" w:cs="Arial"/>
                <w:sz w:val="20"/>
                <w:szCs w:val="20"/>
              </w:rPr>
            </w:pPr>
            <w:r w:rsidRPr="000F1358">
              <w:rPr>
                <w:rFonts w:ascii="Arial Narrow" w:hAnsi="Arial Narrow" w:cs="Arial"/>
                <w:sz w:val="20"/>
                <w:szCs w:val="20"/>
              </w:rPr>
              <w:t xml:space="preserve">Authorities for increased maximum quantities, up to a maximum of 20, may be authorised. </w:t>
            </w:r>
          </w:p>
        </w:tc>
      </w:tr>
    </w:tbl>
    <w:p w:rsidR="003C0EF2" w:rsidRDefault="003C0EF2" w:rsidP="00605E37">
      <w:pPr>
        <w:pStyle w:val="ListParagraph"/>
        <w:jc w:val="both"/>
        <w:rPr>
          <w:rFonts w:ascii="Arial" w:hAnsi="Arial" w:cs="Arial"/>
          <w:b/>
          <w:sz w:val="22"/>
          <w:szCs w:val="22"/>
        </w:rPr>
      </w:pPr>
    </w:p>
    <w:p w:rsidR="000A647C" w:rsidRPr="002A5741" w:rsidRDefault="000A647C" w:rsidP="000A647C">
      <w:pPr>
        <w:pStyle w:val="PBACHeading1"/>
        <w:numPr>
          <w:ilvl w:val="0"/>
          <w:numId w:val="2"/>
        </w:numPr>
        <w:rPr>
          <w:rFonts w:eastAsia="SimSun"/>
        </w:rPr>
      </w:pPr>
      <w:r w:rsidRPr="002A5741">
        <w:rPr>
          <w:rFonts w:eastAsia="SimSun"/>
        </w:rPr>
        <w:t>Context for Decision</w:t>
      </w:r>
    </w:p>
    <w:p w:rsidR="000A647C" w:rsidRDefault="000A647C" w:rsidP="000A647C">
      <w:pPr>
        <w:ind w:left="720"/>
        <w:contextualSpacing/>
        <w:rPr>
          <w:b/>
        </w:rPr>
      </w:pPr>
    </w:p>
    <w:p w:rsidR="000A647C" w:rsidRPr="009D7BEE" w:rsidRDefault="000A647C" w:rsidP="000A647C">
      <w:pPr>
        <w:ind w:left="720"/>
        <w:rPr>
          <w:rFonts w:ascii="Arial" w:hAnsi="Arial" w:cs="Arial"/>
          <w:bCs/>
          <w:sz w:val="22"/>
          <w:szCs w:val="22"/>
        </w:rPr>
      </w:pPr>
      <w:r w:rsidRPr="009D7BEE">
        <w:rPr>
          <w:rFonts w:ascii="Arial" w:hAnsi="Arial" w:cs="Arial"/>
          <w:bCs/>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A647C" w:rsidRDefault="000A647C" w:rsidP="000A647C"/>
    <w:p w:rsidR="000A647C" w:rsidRPr="002A5741" w:rsidRDefault="000A647C" w:rsidP="000A647C">
      <w:pPr>
        <w:pStyle w:val="PBACHeading1"/>
        <w:numPr>
          <w:ilvl w:val="0"/>
          <w:numId w:val="2"/>
        </w:numPr>
        <w:rPr>
          <w:rFonts w:eastAsia="SimSun"/>
        </w:rPr>
      </w:pPr>
      <w:r w:rsidRPr="002A5741">
        <w:rPr>
          <w:rFonts w:eastAsia="SimSun"/>
        </w:rPr>
        <w:t>Sponsor’s Comment</w:t>
      </w:r>
    </w:p>
    <w:p w:rsidR="000A647C" w:rsidRDefault="000A647C" w:rsidP="000A647C">
      <w:pPr>
        <w:tabs>
          <w:tab w:val="left" w:pos="2940"/>
        </w:tabs>
        <w:rPr>
          <w:szCs w:val="22"/>
        </w:rPr>
      </w:pPr>
    </w:p>
    <w:p w:rsidR="00E95B4E" w:rsidRPr="00033ADF" w:rsidRDefault="00E95B4E" w:rsidP="00E95B4E">
      <w:pPr>
        <w:ind w:left="720"/>
        <w:rPr>
          <w:rFonts w:ascii="Arial" w:hAnsi="Arial" w:cs="Arial"/>
          <w:bCs/>
          <w:sz w:val="22"/>
          <w:szCs w:val="22"/>
        </w:rPr>
      </w:pPr>
      <w:r w:rsidRPr="00033ADF">
        <w:rPr>
          <w:rFonts w:ascii="Arial" w:hAnsi="Arial" w:cs="Arial"/>
          <w:bCs/>
          <w:sz w:val="22"/>
          <w:szCs w:val="22"/>
        </w:rPr>
        <w:t xml:space="preserve">Nestle Health Science welcomes the PBAC’s recommendation of additional indications </w:t>
      </w:r>
      <w:bookmarkStart w:id="3" w:name="_GoBack"/>
      <w:bookmarkEnd w:id="3"/>
      <w:r w:rsidRPr="00033ADF">
        <w:rPr>
          <w:rFonts w:ascii="Arial" w:hAnsi="Arial" w:cs="Arial"/>
          <w:bCs/>
          <w:sz w:val="22"/>
          <w:szCs w:val="22"/>
        </w:rPr>
        <w:t>for Alfamino® in patients with eosinophilic oesophagitis and patients with severe intestinal malabsorption and Alfamino® Junior in patients with eosinophilic oesophagitis.</w:t>
      </w:r>
    </w:p>
    <w:p w:rsidR="000A647C" w:rsidRDefault="000A647C" w:rsidP="00E95B4E">
      <w:pPr>
        <w:ind w:left="720"/>
        <w:jc w:val="both"/>
        <w:rPr>
          <w:rFonts w:ascii="Arial" w:hAnsi="Arial"/>
          <w:sz w:val="22"/>
          <w:szCs w:val="22"/>
        </w:rPr>
      </w:pPr>
    </w:p>
    <w:p w:rsidR="000A647C" w:rsidRDefault="000A647C" w:rsidP="00605E37">
      <w:pPr>
        <w:pStyle w:val="ListParagraph"/>
        <w:jc w:val="both"/>
        <w:rPr>
          <w:rFonts w:ascii="Arial" w:hAnsi="Arial" w:cs="Arial"/>
          <w:b/>
          <w:sz w:val="22"/>
          <w:szCs w:val="22"/>
        </w:rPr>
      </w:pPr>
    </w:p>
    <w:sectPr w:rsidR="000A647C"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9AD" w:rsidRDefault="006119AD">
      <w:r>
        <w:separator/>
      </w:r>
    </w:p>
    <w:p w:rsidR="006119AD" w:rsidRDefault="006119AD"/>
  </w:endnote>
  <w:endnote w:type="continuationSeparator" w:id="0">
    <w:p w:rsidR="006119AD" w:rsidRDefault="006119AD">
      <w:r>
        <w:continuationSeparator/>
      </w:r>
    </w:p>
    <w:p w:rsidR="006119AD" w:rsidRDefault="0061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3C0EF2" w:rsidRDefault="003C0EF2" w:rsidP="003C0EF2">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BF481A">
          <w:rPr>
            <w:rFonts w:ascii="Arial Narrow" w:hAnsi="Arial Narrow"/>
            <w:noProof/>
            <w:sz w:val="20"/>
            <w:szCs w:val="20"/>
          </w:rPr>
          <w:t>1</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9AD" w:rsidRDefault="006119AD">
      <w:r>
        <w:separator/>
      </w:r>
    </w:p>
    <w:p w:rsidR="006119AD" w:rsidRDefault="006119AD"/>
  </w:footnote>
  <w:footnote w:type="continuationSeparator" w:id="0">
    <w:p w:rsidR="006119AD" w:rsidRDefault="006119AD">
      <w:r>
        <w:continuationSeparator/>
      </w:r>
    </w:p>
    <w:p w:rsidR="006119AD" w:rsidRDefault="006119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47C" w:rsidRPr="00BE15D7" w:rsidRDefault="000A647C" w:rsidP="000A647C">
    <w:pPr>
      <w:pStyle w:val="Header"/>
      <w:jc w:val="center"/>
      <w:rPr>
        <w:rFonts w:ascii="Arial" w:hAnsi="Arial" w:cs="Arial"/>
        <w:sz w:val="22"/>
        <w:szCs w:val="22"/>
      </w:rPr>
    </w:pPr>
    <w:r w:rsidRPr="00BE15D7">
      <w:rPr>
        <w:rFonts w:ascii="Arial" w:hAnsi="Arial" w:cs="Arial"/>
        <w:i/>
        <w:color w:val="808080"/>
        <w:sz w:val="22"/>
        <w:szCs w:val="22"/>
      </w:rPr>
      <w:t>Public Summary Document – November 2015 PBAC Meeting</w:t>
    </w:r>
  </w:p>
  <w:p w:rsidR="00FB539A" w:rsidRPr="003C0EF2" w:rsidRDefault="00FB539A" w:rsidP="00894ED4">
    <w:pPr>
      <w:pStyle w:val="Header"/>
      <w:tabs>
        <w:tab w:val="center" w:pos="4693"/>
        <w:tab w:val="left" w:pos="6547"/>
      </w:tabs>
      <w:ind w:left="360"/>
      <w:jc w:val="center"/>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8A081A"/>
    <w:multiLevelType w:val="hybridMultilevel"/>
    <w:tmpl w:val="1AA23BB6"/>
    <w:lvl w:ilvl="0" w:tplc="A97C758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958185B"/>
    <w:multiLevelType w:val="hybridMultilevel"/>
    <w:tmpl w:val="32FC68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9DD0868"/>
    <w:multiLevelType w:val="hybridMultilevel"/>
    <w:tmpl w:val="5A909C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76834360"/>
    <w:multiLevelType w:val="hybridMultilevel"/>
    <w:tmpl w:val="08B0B1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84D033C"/>
    <w:multiLevelType w:val="multilevel"/>
    <w:tmpl w:val="B40E04A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7"/>
  </w:num>
  <w:num w:numId="3">
    <w:abstractNumId w:val="1"/>
  </w:num>
  <w:num w:numId="4">
    <w:abstractNumId w:val="14"/>
  </w:num>
  <w:num w:numId="5">
    <w:abstractNumId w:val="2"/>
  </w:num>
  <w:num w:numId="6">
    <w:abstractNumId w:val="6"/>
  </w:num>
  <w:num w:numId="7">
    <w:abstractNumId w:val="10"/>
  </w:num>
  <w:num w:numId="8">
    <w:abstractNumId w:val="7"/>
  </w:num>
  <w:num w:numId="9">
    <w:abstractNumId w:val="15"/>
  </w:num>
  <w:num w:numId="10">
    <w:abstractNumId w:val="11"/>
  </w:num>
  <w:num w:numId="11">
    <w:abstractNumId w:val="8"/>
  </w:num>
  <w:num w:numId="12">
    <w:abstractNumId w:val="9"/>
  </w:num>
  <w:num w:numId="13">
    <w:abstractNumId w:val="3"/>
  </w:num>
  <w:num w:numId="14">
    <w:abstractNumId w:val="0"/>
  </w:num>
  <w:num w:numId="15">
    <w:abstractNumId w:val="13"/>
  </w:num>
  <w:num w:numId="16">
    <w:abstractNumId w:val="16"/>
  </w:num>
  <w:num w:numId="17">
    <w:abstractNumId w:val="5"/>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9A2"/>
    <w:rsid w:val="000025AD"/>
    <w:rsid w:val="00013408"/>
    <w:rsid w:val="0002464A"/>
    <w:rsid w:val="0003106B"/>
    <w:rsid w:val="0003116E"/>
    <w:rsid w:val="000421A1"/>
    <w:rsid w:val="0004240E"/>
    <w:rsid w:val="00045E26"/>
    <w:rsid w:val="000461E3"/>
    <w:rsid w:val="000514B5"/>
    <w:rsid w:val="0005154F"/>
    <w:rsid w:val="00053C14"/>
    <w:rsid w:val="0006096B"/>
    <w:rsid w:val="00060E64"/>
    <w:rsid w:val="0006163D"/>
    <w:rsid w:val="00066755"/>
    <w:rsid w:val="00067955"/>
    <w:rsid w:val="00067964"/>
    <w:rsid w:val="000969AD"/>
    <w:rsid w:val="00096B91"/>
    <w:rsid w:val="000A647C"/>
    <w:rsid w:val="000B558D"/>
    <w:rsid w:val="000C3F54"/>
    <w:rsid w:val="000C6996"/>
    <w:rsid w:val="000D23BA"/>
    <w:rsid w:val="000E681E"/>
    <w:rsid w:val="000F1358"/>
    <w:rsid w:val="000F4E6A"/>
    <w:rsid w:val="000F637C"/>
    <w:rsid w:val="001107BF"/>
    <w:rsid w:val="0012417C"/>
    <w:rsid w:val="0013280E"/>
    <w:rsid w:val="001344F2"/>
    <w:rsid w:val="00142395"/>
    <w:rsid w:val="00142714"/>
    <w:rsid w:val="001452ED"/>
    <w:rsid w:val="001473D5"/>
    <w:rsid w:val="00157260"/>
    <w:rsid w:val="0016410F"/>
    <w:rsid w:val="00180CB2"/>
    <w:rsid w:val="001830CE"/>
    <w:rsid w:val="00187CF9"/>
    <w:rsid w:val="00196307"/>
    <w:rsid w:val="001A1791"/>
    <w:rsid w:val="001B017F"/>
    <w:rsid w:val="001B31AB"/>
    <w:rsid w:val="001B5129"/>
    <w:rsid w:val="001C1195"/>
    <w:rsid w:val="00213CFB"/>
    <w:rsid w:val="002373A5"/>
    <w:rsid w:val="0024239A"/>
    <w:rsid w:val="00264B9D"/>
    <w:rsid w:val="00271BA1"/>
    <w:rsid w:val="00277505"/>
    <w:rsid w:val="0029458F"/>
    <w:rsid w:val="002A104C"/>
    <w:rsid w:val="002A4960"/>
    <w:rsid w:val="002B1AE6"/>
    <w:rsid w:val="002B30F8"/>
    <w:rsid w:val="002C14A4"/>
    <w:rsid w:val="002C212F"/>
    <w:rsid w:val="002D5C51"/>
    <w:rsid w:val="002D62D1"/>
    <w:rsid w:val="002E3153"/>
    <w:rsid w:val="002E72CA"/>
    <w:rsid w:val="002E73A7"/>
    <w:rsid w:val="002F34E0"/>
    <w:rsid w:val="003018CC"/>
    <w:rsid w:val="003042A8"/>
    <w:rsid w:val="00313EB3"/>
    <w:rsid w:val="003166A7"/>
    <w:rsid w:val="00326E79"/>
    <w:rsid w:val="00330BD3"/>
    <w:rsid w:val="003367EF"/>
    <w:rsid w:val="00341AE4"/>
    <w:rsid w:val="00345BC4"/>
    <w:rsid w:val="00354720"/>
    <w:rsid w:val="003573C8"/>
    <w:rsid w:val="00377334"/>
    <w:rsid w:val="00383E2E"/>
    <w:rsid w:val="00385479"/>
    <w:rsid w:val="003872CF"/>
    <w:rsid w:val="0039782C"/>
    <w:rsid w:val="003A5B4A"/>
    <w:rsid w:val="003A5FCF"/>
    <w:rsid w:val="003A6248"/>
    <w:rsid w:val="003B17DF"/>
    <w:rsid w:val="003B23C5"/>
    <w:rsid w:val="003B28BB"/>
    <w:rsid w:val="003B2A75"/>
    <w:rsid w:val="003C0EF2"/>
    <w:rsid w:val="003C5C5E"/>
    <w:rsid w:val="003D4AC4"/>
    <w:rsid w:val="003D63B7"/>
    <w:rsid w:val="003E468B"/>
    <w:rsid w:val="003F4A49"/>
    <w:rsid w:val="003F5C8C"/>
    <w:rsid w:val="00437468"/>
    <w:rsid w:val="00440560"/>
    <w:rsid w:val="00440CAD"/>
    <w:rsid w:val="004465BD"/>
    <w:rsid w:val="00464B9A"/>
    <w:rsid w:val="00466ADA"/>
    <w:rsid w:val="00476245"/>
    <w:rsid w:val="00485940"/>
    <w:rsid w:val="004930BE"/>
    <w:rsid w:val="0049407A"/>
    <w:rsid w:val="004A08DA"/>
    <w:rsid w:val="004A5A85"/>
    <w:rsid w:val="004B5640"/>
    <w:rsid w:val="004C1BD7"/>
    <w:rsid w:val="004C691D"/>
    <w:rsid w:val="004E20B7"/>
    <w:rsid w:val="004E692D"/>
    <w:rsid w:val="00501554"/>
    <w:rsid w:val="00514CD7"/>
    <w:rsid w:val="005152E4"/>
    <w:rsid w:val="005319B2"/>
    <w:rsid w:val="00532C74"/>
    <w:rsid w:val="00534E2E"/>
    <w:rsid w:val="00544552"/>
    <w:rsid w:val="00581932"/>
    <w:rsid w:val="00591733"/>
    <w:rsid w:val="005963BB"/>
    <w:rsid w:val="005A3173"/>
    <w:rsid w:val="005A3223"/>
    <w:rsid w:val="005A3DA3"/>
    <w:rsid w:val="005A52C4"/>
    <w:rsid w:val="005B2207"/>
    <w:rsid w:val="005B254D"/>
    <w:rsid w:val="005D03AB"/>
    <w:rsid w:val="005D5017"/>
    <w:rsid w:val="005D5CA4"/>
    <w:rsid w:val="005F24B9"/>
    <w:rsid w:val="00601A91"/>
    <w:rsid w:val="00602BA3"/>
    <w:rsid w:val="00605E37"/>
    <w:rsid w:val="006119AD"/>
    <w:rsid w:val="00614159"/>
    <w:rsid w:val="00617C00"/>
    <w:rsid w:val="00620339"/>
    <w:rsid w:val="006263BF"/>
    <w:rsid w:val="0062748A"/>
    <w:rsid w:val="00630A2C"/>
    <w:rsid w:val="00635B9A"/>
    <w:rsid w:val="00651169"/>
    <w:rsid w:val="00653D69"/>
    <w:rsid w:val="00670A76"/>
    <w:rsid w:val="006711AA"/>
    <w:rsid w:val="00672B57"/>
    <w:rsid w:val="00675622"/>
    <w:rsid w:val="00680B43"/>
    <w:rsid w:val="00680E9E"/>
    <w:rsid w:val="006856CD"/>
    <w:rsid w:val="006906DB"/>
    <w:rsid w:val="00692ACF"/>
    <w:rsid w:val="006960D4"/>
    <w:rsid w:val="006A12A5"/>
    <w:rsid w:val="006A37C1"/>
    <w:rsid w:val="006B0D94"/>
    <w:rsid w:val="006B485D"/>
    <w:rsid w:val="006C708E"/>
    <w:rsid w:val="006D22A0"/>
    <w:rsid w:val="006D6EC7"/>
    <w:rsid w:val="006F37B9"/>
    <w:rsid w:val="006F5125"/>
    <w:rsid w:val="00704DE3"/>
    <w:rsid w:val="00713A79"/>
    <w:rsid w:val="0071498B"/>
    <w:rsid w:val="007174BB"/>
    <w:rsid w:val="00722672"/>
    <w:rsid w:val="0073401F"/>
    <w:rsid w:val="007364CF"/>
    <w:rsid w:val="0074484E"/>
    <w:rsid w:val="007461DB"/>
    <w:rsid w:val="0076420C"/>
    <w:rsid w:val="007708E0"/>
    <w:rsid w:val="007753C2"/>
    <w:rsid w:val="00777893"/>
    <w:rsid w:val="007838B8"/>
    <w:rsid w:val="00785AB4"/>
    <w:rsid w:val="0079701F"/>
    <w:rsid w:val="007A2B91"/>
    <w:rsid w:val="007A5112"/>
    <w:rsid w:val="007B7A93"/>
    <w:rsid w:val="007C065B"/>
    <w:rsid w:val="007C0F57"/>
    <w:rsid w:val="007C40B6"/>
    <w:rsid w:val="007C54D1"/>
    <w:rsid w:val="007C729F"/>
    <w:rsid w:val="007E1D28"/>
    <w:rsid w:val="007F2641"/>
    <w:rsid w:val="007F7C36"/>
    <w:rsid w:val="00806796"/>
    <w:rsid w:val="00826F6D"/>
    <w:rsid w:val="00837BE5"/>
    <w:rsid w:val="008469CF"/>
    <w:rsid w:val="00856DDD"/>
    <w:rsid w:val="00863E68"/>
    <w:rsid w:val="008644AD"/>
    <w:rsid w:val="00866F1E"/>
    <w:rsid w:val="0087014A"/>
    <w:rsid w:val="00882085"/>
    <w:rsid w:val="00883188"/>
    <w:rsid w:val="00894ED4"/>
    <w:rsid w:val="00897D58"/>
    <w:rsid w:val="008A1956"/>
    <w:rsid w:val="008A4937"/>
    <w:rsid w:val="008A6FE9"/>
    <w:rsid w:val="008B4A15"/>
    <w:rsid w:val="008B54E8"/>
    <w:rsid w:val="008B58E0"/>
    <w:rsid w:val="008C2E00"/>
    <w:rsid w:val="008C4C93"/>
    <w:rsid w:val="008D3C82"/>
    <w:rsid w:val="008D447E"/>
    <w:rsid w:val="008D5BCA"/>
    <w:rsid w:val="008D65C9"/>
    <w:rsid w:val="008D7A41"/>
    <w:rsid w:val="008E3680"/>
    <w:rsid w:val="008E5870"/>
    <w:rsid w:val="008F1434"/>
    <w:rsid w:val="008F57F8"/>
    <w:rsid w:val="008F7355"/>
    <w:rsid w:val="009067B7"/>
    <w:rsid w:val="00930937"/>
    <w:rsid w:val="00933E6C"/>
    <w:rsid w:val="0093560C"/>
    <w:rsid w:val="00942160"/>
    <w:rsid w:val="00946C55"/>
    <w:rsid w:val="009602C5"/>
    <w:rsid w:val="00962671"/>
    <w:rsid w:val="00964C23"/>
    <w:rsid w:val="00974C21"/>
    <w:rsid w:val="009A5D2D"/>
    <w:rsid w:val="009B0443"/>
    <w:rsid w:val="009B0F67"/>
    <w:rsid w:val="009B71B7"/>
    <w:rsid w:val="009C703C"/>
    <w:rsid w:val="009D3CAA"/>
    <w:rsid w:val="009F4E46"/>
    <w:rsid w:val="009F5B65"/>
    <w:rsid w:val="009F5F2E"/>
    <w:rsid w:val="009F6ED1"/>
    <w:rsid w:val="00A0403B"/>
    <w:rsid w:val="00A059B4"/>
    <w:rsid w:val="00A06225"/>
    <w:rsid w:val="00A128E6"/>
    <w:rsid w:val="00A15C90"/>
    <w:rsid w:val="00A21683"/>
    <w:rsid w:val="00A37C8D"/>
    <w:rsid w:val="00A41440"/>
    <w:rsid w:val="00A51804"/>
    <w:rsid w:val="00A5273B"/>
    <w:rsid w:val="00A53A9D"/>
    <w:rsid w:val="00A55FEE"/>
    <w:rsid w:val="00A56597"/>
    <w:rsid w:val="00A62C1A"/>
    <w:rsid w:val="00A6339C"/>
    <w:rsid w:val="00A6426D"/>
    <w:rsid w:val="00A64D55"/>
    <w:rsid w:val="00A67779"/>
    <w:rsid w:val="00A70622"/>
    <w:rsid w:val="00A70977"/>
    <w:rsid w:val="00A838CB"/>
    <w:rsid w:val="00A8390C"/>
    <w:rsid w:val="00A928BD"/>
    <w:rsid w:val="00AA4D1C"/>
    <w:rsid w:val="00AB1F97"/>
    <w:rsid w:val="00AB1F9A"/>
    <w:rsid w:val="00AC5206"/>
    <w:rsid w:val="00AE11A5"/>
    <w:rsid w:val="00AE11BA"/>
    <w:rsid w:val="00AE13E2"/>
    <w:rsid w:val="00AF68CC"/>
    <w:rsid w:val="00B205AA"/>
    <w:rsid w:val="00B22E84"/>
    <w:rsid w:val="00B25F75"/>
    <w:rsid w:val="00B3379C"/>
    <w:rsid w:val="00B41E4C"/>
    <w:rsid w:val="00B43B7E"/>
    <w:rsid w:val="00B43E90"/>
    <w:rsid w:val="00B44CC4"/>
    <w:rsid w:val="00B56118"/>
    <w:rsid w:val="00B6773F"/>
    <w:rsid w:val="00B801BA"/>
    <w:rsid w:val="00B91323"/>
    <w:rsid w:val="00BA5A70"/>
    <w:rsid w:val="00BB69F5"/>
    <w:rsid w:val="00BB7EC3"/>
    <w:rsid w:val="00BC4B9A"/>
    <w:rsid w:val="00BD589B"/>
    <w:rsid w:val="00BD784C"/>
    <w:rsid w:val="00BE1C98"/>
    <w:rsid w:val="00BE4594"/>
    <w:rsid w:val="00BF481A"/>
    <w:rsid w:val="00BF4CB6"/>
    <w:rsid w:val="00C00DA7"/>
    <w:rsid w:val="00C02588"/>
    <w:rsid w:val="00C12768"/>
    <w:rsid w:val="00C20D2B"/>
    <w:rsid w:val="00C27B58"/>
    <w:rsid w:val="00C35996"/>
    <w:rsid w:val="00C5342C"/>
    <w:rsid w:val="00C6256A"/>
    <w:rsid w:val="00C7160F"/>
    <w:rsid w:val="00C7792B"/>
    <w:rsid w:val="00C91449"/>
    <w:rsid w:val="00C92D10"/>
    <w:rsid w:val="00CA3B47"/>
    <w:rsid w:val="00CE10C4"/>
    <w:rsid w:val="00CE27B5"/>
    <w:rsid w:val="00CF4C4B"/>
    <w:rsid w:val="00D0321E"/>
    <w:rsid w:val="00D046D8"/>
    <w:rsid w:val="00D1455A"/>
    <w:rsid w:val="00D2385C"/>
    <w:rsid w:val="00D3280C"/>
    <w:rsid w:val="00D3406A"/>
    <w:rsid w:val="00D44854"/>
    <w:rsid w:val="00D469B2"/>
    <w:rsid w:val="00D741EB"/>
    <w:rsid w:val="00D75F37"/>
    <w:rsid w:val="00D84934"/>
    <w:rsid w:val="00D903BD"/>
    <w:rsid w:val="00D91271"/>
    <w:rsid w:val="00D9160A"/>
    <w:rsid w:val="00DA2CB5"/>
    <w:rsid w:val="00DA4BAC"/>
    <w:rsid w:val="00DC7440"/>
    <w:rsid w:val="00DE208C"/>
    <w:rsid w:val="00DE6D27"/>
    <w:rsid w:val="00DF217D"/>
    <w:rsid w:val="00DF26A7"/>
    <w:rsid w:val="00E07E6D"/>
    <w:rsid w:val="00E164B3"/>
    <w:rsid w:val="00E16910"/>
    <w:rsid w:val="00E25853"/>
    <w:rsid w:val="00E65E54"/>
    <w:rsid w:val="00E66965"/>
    <w:rsid w:val="00E72ED6"/>
    <w:rsid w:val="00E80155"/>
    <w:rsid w:val="00E848C0"/>
    <w:rsid w:val="00E849D3"/>
    <w:rsid w:val="00E91B96"/>
    <w:rsid w:val="00E941A1"/>
    <w:rsid w:val="00E95739"/>
    <w:rsid w:val="00E95B4E"/>
    <w:rsid w:val="00E95CE3"/>
    <w:rsid w:val="00EA2825"/>
    <w:rsid w:val="00EB2E81"/>
    <w:rsid w:val="00EB5088"/>
    <w:rsid w:val="00ED1644"/>
    <w:rsid w:val="00EF1326"/>
    <w:rsid w:val="00EF427D"/>
    <w:rsid w:val="00EF44A0"/>
    <w:rsid w:val="00EF4FED"/>
    <w:rsid w:val="00F020E1"/>
    <w:rsid w:val="00F050BD"/>
    <w:rsid w:val="00F05657"/>
    <w:rsid w:val="00F22606"/>
    <w:rsid w:val="00F243F5"/>
    <w:rsid w:val="00F248E3"/>
    <w:rsid w:val="00F25578"/>
    <w:rsid w:val="00F258E5"/>
    <w:rsid w:val="00F300BC"/>
    <w:rsid w:val="00F301A5"/>
    <w:rsid w:val="00F32A8C"/>
    <w:rsid w:val="00F3334E"/>
    <w:rsid w:val="00F35516"/>
    <w:rsid w:val="00F45BFC"/>
    <w:rsid w:val="00F50EC4"/>
    <w:rsid w:val="00F51956"/>
    <w:rsid w:val="00F57A6D"/>
    <w:rsid w:val="00F627F8"/>
    <w:rsid w:val="00F638CC"/>
    <w:rsid w:val="00F64CC1"/>
    <w:rsid w:val="00F8247A"/>
    <w:rsid w:val="00F9629A"/>
    <w:rsid w:val="00FA13F9"/>
    <w:rsid w:val="00FA3294"/>
    <w:rsid w:val="00FA5883"/>
    <w:rsid w:val="00FA6055"/>
    <w:rsid w:val="00FB1CEC"/>
    <w:rsid w:val="00FB322F"/>
    <w:rsid w:val="00FB442F"/>
    <w:rsid w:val="00FB539A"/>
    <w:rsid w:val="00FC1929"/>
    <w:rsid w:val="00FC5B46"/>
    <w:rsid w:val="00FF00BD"/>
    <w:rsid w:val="00FF1ED4"/>
    <w:rsid w:val="00FF2801"/>
    <w:rsid w:val="00FF2F64"/>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qFormat/>
    <w:rsid w:val="000A647C"/>
    <w:pPr>
      <w:ind w:left="720" w:hanging="72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customStyle="1" w:styleId="PBACHeading1">
    <w:name w:val="PBAC Heading 1"/>
    <w:qFormat/>
    <w:rsid w:val="000A647C"/>
    <w:pPr>
      <w:ind w:left="720" w:hanging="72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6151047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DA86-1187-426A-A797-40386707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9045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14.03 AMINO ACID SYNTHETIC FORMULA SUPPLEMENTED with LONG CHAIN POLYUNSATURATED FATTY ACIDS and MEDIUM CHAIN TRIGLYCERIDES</vt:lpstr>
    </vt:vector>
  </TitlesOfParts>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14.03 AMINO ACID SYNTHETIC FORMULA SUPPLEMENTED with LONG CHAIN POLYUNSATURATED FATTY ACIDS and MEDIUM CHAIN TRIGLYCERIDES</dc:title>
  <dc:creator/>
  <cp:lastModifiedBy/>
  <cp:revision>1</cp:revision>
  <dcterms:created xsi:type="dcterms:W3CDTF">2016-02-24T22:28:00Z</dcterms:created>
  <dcterms:modified xsi:type="dcterms:W3CDTF">2016-02-24T22:34:00Z</dcterms:modified>
</cp:coreProperties>
</file>