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A6E" w:rsidRPr="0093180A" w:rsidRDefault="00C00C98" w:rsidP="0093180A">
      <w:pPr>
        <w:pStyle w:val="Title"/>
        <w:numPr>
          <w:ilvl w:val="0"/>
          <w:numId w:val="0"/>
        </w:numPr>
      </w:pPr>
      <w:bookmarkStart w:id="0" w:name="_Toc430164089"/>
      <w:r w:rsidRPr="0093180A">
        <w:t>7.01</w:t>
      </w:r>
      <w:r w:rsidR="00AC5991" w:rsidRPr="0093180A">
        <w:tab/>
        <w:t>APREMILAST</w:t>
      </w:r>
    </w:p>
    <w:p w:rsidR="00CC4A6E" w:rsidRPr="0093180A" w:rsidRDefault="00AC5991" w:rsidP="0093180A">
      <w:pPr>
        <w:pStyle w:val="Title"/>
        <w:numPr>
          <w:ilvl w:val="0"/>
          <w:numId w:val="0"/>
        </w:numPr>
        <w:ind w:left="709"/>
      </w:pPr>
      <w:proofErr w:type="gramStart"/>
      <w:r w:rsidRPr="0093180A">
        <w:t>tablets</w:t>
      </w:r>
      <w:proofErr w:type="gramEnd"/>
      <w:r w:rsidR="00B60939" w:rsidRPr="0093180A">
        <w:t xml:space="preserve">, </w:t>
      </w:r>
      <w:r w:rsidRPr="0093180A">
        <w:t>10</w:t>
      </w:r>
      <w:r w:rsidR="002C72E5" w:rsidRPr="0093180A">
        <w:t> </w:t>
      </w:r>
      <w:r w:rsidRPr="0093180A">
        <w:t>mg, 20</w:t>
      </w:r>
      <w:r w:rsidR="002C72E5" w:rsidRPr="0093180A">
        <w:t> </w:t>
      </w:r>
      <w:r w:rsidRPr="0093180A">
        <w:t>mg, 30</w:t>
      </w:r>
      <w:r w:rsidR="002C72E5" w:rsidRPr="0093180A">
        <w:t> </w:t>
      </w:r>
      <w:r w:rsidRPr="0093180A">
        <w:t>mg</w:t>
      </w:r>
    </w:p>
    <w:p w:rsidR="00B60939" w:rsidRPr="0093180A" w:rsidRDefault="00AC5991" w:rsidP="0093180A">
      <w:pPr>
        <w:pStyle w:val="Title"/>
        <w:numPr>
          <w:ilvl w:val="0"/>
          <w:numId w:val="0"/>
        </w:numPr>
        <w:ind w:left="709"/>
      </w:pPr>
      <w:proofErr w:type="spellStart"/>
      <w:proofErr w:type="gramStart"/>
      <w:r w:rsidRPr="0093180A">
        <w:t>Otezla</w:t>
      </w:r>
      <w:proofErr w:type="spellEnd"/>
      <w:r w:rsidR="00B60939" w:rsidRPr="0093180A">
        <w:t>®</w:t>
      </w:r>
      <w:r w:rsidR="0000004D" w:rsidRPr="0093180A">
        <w:t xml:space="preserve">, </w:t>
      </w:r>
      <w:r w:rsidRPr="0093180A">
        <w:t>Celgene Pty Ltd</w:t>
      </w:r>
      <w:r w:rsidR="00B60939" w:rsidRPr="0093180A">
        <w:t>.</w:t>
      </w:r>
      <w:bookmarkEnd w:id="0"/>
      <w:proofErr w:type="gramEnd"/>
    </w:p>
    <w:p w:rsidR="00CC4A6E" w:rsidRDefault="00CC4A6E" w:rsidP="00CC4A6E"/>
    <w:p w:rsidR="002C1A10" w:rsidRDefault="002C1A10" w:rsidP="00CC4A6E"/>
    <w:p w:rsidR="00F338FF" w:rsidRPr="0093180A" w:rsidRDefault="00F338FF" w:rsidP="0093180A">
      <w:pPr>
        <w:pStyle w:val="Heading1"/>
      </w:pPr>
      <w:bookmarkStart w:id="1" w:name="_Toc430164091"/>
      <w:r w:rsidRPr="0093180A">
        <w:t>Purpose of Application</w:t>
      </w:r>
      <w:bookmarkEnd w:id="1"/>
    </w:p>
    <w:p w:rsidR="00B60939" w:rsidRPr="00882085" w:rsidRDefault="00B60939" w:rsidP="00B60939">
      <w:pPr>
        <w:rPr>
          <w:szCs w:val="22"/>
        </w:rPr>
      </w:pPr>
    </w:p>
    <w:p w:rsidR="00B60939" w:rsidRDefault="00FA60C0" w:rsidP="001A39C3">
      <w:pPr>
        <w:pStyle w:val="ListParagraph"/>
        <w:widowControl/>
        <w:numPr>
          <w:ilvl w:val="1"/>
          <w:numId w:val="5"/>
        </w:numPr>
      </w:pPr>
      <w:r>
        <w:t>The resubmission requested an a</w:t>
      </w:r>
      <w:r w:rsidR="001E238E" w:rsidRPr="004B3DDB">
        <w:t>uthor</w:t>
      </w:r>
      <w:r w:rsidR="002321E8">
        <w:t xml:space="preserve">ity </w:t>
      </w:r>
      <w:r>
        <w:t>r</w:t>
      </w:r>
      <w:r w:rsidR="002321E8">
        <w:t xml:space="preserve">equired listing for </w:t>
      </w:r>
      <w:proofErr w:type="spellStart"/>
      <w:r w:rsidR="002321E8">
        <w:t>apremilast</w:t>
      </w:r>
      <w:proofErr w:type="spellEnd"/>
      <w:r w:rsidR="001E238E" w:rsidRPr="004B3DDB">
        <w:t xml:space="preserve"> for tre</w:t>
      </w:r>
      <w:r w:rsidR="002321E8">
        <w:t>atment of severe active psoriatic arthritis</w:t>
      </w:r>
      <w:r w:rsidR="007464EE">
        <w:t xml:space="preserve"> (</w:t>
      </w:r>
      <w:proofErr w:type="spellStart"/>
      <w:r w:rsidR="007464EE">
        <w:t>PsA</w:t>
      </w:r>
      <w:proofErr w:type="spellEnd"/>
      <w:r w:rsidR="007464EE">
        <w:t>)</w:t>
      </w:r>
      <w:r w:rsidR="001E238E" w:rsidRPr="004B3DDB">
        <w:t>.</w:t>
      </w:r>
    </w:p>
    <w:p w:rsidR="001B6188" w:rsidRPr="00882085" w:rsidRDefault="001B6188" w:rsidP="00497F10"/>
    <w:p w:rsidR="001A39C3" w:rsidRPr="002C72E5" w:rsidRDefault="001A39C3">
      <w:pPr>
        <w:widowControl/>
        <w:jc w:val="left"/>
        <w:rPr>
          <w:szCs w:val="22"/>
        </w:rPr>
      </w:pPr>
    </w:p>
    <w:p w:rsidR="00F338FF" w:rsidRPr="00407F2D" w:rsidRDefault="00F338FF" w:rsidP="0093180A">
      <w:pPr>
        <w:pStyle w:val="Heading1"/>
      </w:pPr>
      <w:bookmarkStart w:id="2" w:name="_Toc430164092"/>
      <w:r w:rsidRPr="00407F2D">
        <w:t>Requested listing</w:t>
      </w:r>
      <w:bookmarkEnd w:id="2"/>
    </w:p>
    <w:p w:rsidR="00B60939" w:rsidRDefault="00B60939" w:rsidP="00497F10"/>
    <w:p w:rsidR="00976DCB" w:rsidRPr="002E4CD2" w:rsidRDefault="00976DCB" w:rsidP="00976DCB">
      <w:pPr>
        <w:pStyle w:val="ListParagraph"/>
        <w:widowControl/>
        <w:numPr>
          <w:ilvl w:val="1"/>
          <w:numId w:val="7"/>
        </w:numPr>
      </w:pPr>
      <w:r w:rsidRPr="002E4CD2">
        <w:t>An abridged version of the Secretariat suggested listing is shown below</w:t>
      </w:r>
      <w:r w:rsidR="009D284A" w:rsidRPr="002E4CD2">
        <w:t xml:space="preserve">. </w:t>
      </w:r>
      <w:r w:rsidR="002C72E5">
        <w:t>C</w:t>
      </w:r>
      <w:r w:rsidR="009D284A" w:rsidRPr="002E4CD2">
        <w:t xml:space="preserve">hanges to the requested restriction </w:t>
      </w:r>
      <w:r w:rsidR="002C72E5">
        <w:t xml:space="preserve">proposed by the secretariat </w:t>
      </w:r>
      <w:r w:rsidR="009D284A" w:rsidRPr="002E4CD2">
        <w:t>are in italics</w:t>
      </w:r>
      <w:r w:rsidR="002C72E5">
        <w:t>:</w:t>
      </w:r>
    </w:p>
    <w:p w:rsidR="00976DCB" w:rsidRPr="00882085" w:rsidRDefault="00976DCB" w:rsidP="00497F10"/>
    <w:tbl>
      <w:tblPr>
        <w:tblW w:w="4594" w:type="pct"/>
        <w:tblInd w:w="737" w:type="dxa"/>
        <w:tblCellMar>
          <w:left w:w="28" w:type="dxa"/>
          <w:right w:w="28" w:type="dxa"/>
        </w:tblCellMar>
        <w:tblLook w:val="0000" w:firstRow="0" w:lastRow="0" w:firstColumn="0" w:lastColumn="0" w:noHBand="0" w:noVBand="0"/>
        <w:tblCaption w:val="Requested PBS listing"/>
      </w:tblPr>
      <w:tblGrid>
        <w:gridCol w:w="3337"/>
        <w:gridCol w:w="961"/>
        <w:gridCol w:w="961"/>
        <w:gridCol w:w="1302"/>
        <w:gridCol w:w="981"/>
        <w:gridCol w:w="803"/>
      </w:tblGrid>
      <w:tr w:rsidR="006559E1" w:rsidRPr="00042B60" w:rsidTr="006559E1">
        <w:trPr>
          <w:cantSplit/>
          <w:trHeight w:val="471"/>
        </w:trPr>
        <w:tc>
          <w:tcPr>
            <w:tcW w:w="1999" w:type="pct"/>
            <w:tcBorders>
              <w:bottom w:val="single" w:sz="4" w:space="0" w:color="auto"/>
            </w:tcBorders>
          </w:tcPr>
          <w:p w:rsidR="006559E1" w:rsidRPr="00042B60" w:rsidRDefault="006559E1" w:rsidP="00CD63DE">
            <w:pPr>
              <w:keepNext/>
              <w:rPr>
                <w:rFonts w:ascii="Arial Narrow" w:hAnsi="Arial Narrow"/>
                <w:sz w:val="20"/>
              </w:rPr>
            </w:pPr>
            <w:r w:rsidRPr="00042B60">
              <w:rPr>
                <w:rFonts w:ascii="Arial Narrow" w:hAnsi="Arial Narrow"/>
                <w:sz w:val="20"/>
              </w:rPr>
              <w:t>Name, Restriction,</w:t>
            </w:r>
          </w:p>
          <w:p w:rsidR="006559E1" w:rsidRPr="00042B60" w:rsidRDefault="006559E1" w:rsidP="00CD63DE">
            <w:pPr>
              <w:keepNext/>
              <w:rPr>
                <w:rFonts w:ascii="Arial Narrow" w:hAnsi="Arial Narrow"/>
                <w:sz w:val="20"/>
              </w:rPr>
            </w:pPr>
            <w:r w:rsidRPr="00042B60">
              <w:rPr>
                <w:rFonts w:ascii="Arial Narrow" w:hAnsi="Arial Narrow"/>
                <w:sz w:val="20"/>
              </w:rPr>
              <w:t>Manner of administration and form</w:t>
            </w:r>
          </w:p>
        </w:tc>
        <w:tc>
          <w:tcPr>
            <w:tcW w:w="576" w:type="pct"/>
            <w:tcBorders>
              <w:bottom w:val="single" w:sz="4" w:space="0" w:color="auto"/>
            </w:tcBorders>
          </w:tcPr>
          <w:p w:rsidR="006559E1" w:rsidRPr="00042B60" w:rsidRDefault="006559E1" w:rsidP="00CD63DE">
            <w:pPr>
              <w:keepNext/>
              <w:jc w:val="center"/>
              <w:rPr>
                <w:rFonts w:ascii="Arial Narrow" w:hAnsi="Arial Narrow"/>
                <w:sz w:val="20"/>
              </w:rPr>
            </w:pPr>
            <w:r w:rsidRPr="00042B60">
              <w:rPr>
                <w:rFonts w:ascii="Arial Narrow" w:hAnsi="Arial Narrow"/>
                <w:sz w:val="20"/>
              </w:rPr>
              <w:t>Max.</w:t>
            </w:r>
          </w:p>
          <w:p w:rsidR="006559E1" w:rsidRPr="00042B60" w:rsidRDefault="006559E1" w:rsidP="00CD63DE">
            <w:pPr>
              <w:keepNext/>
              <w:jc w:val="center"/>
              <w:rPr>
                <w:rFonts w:ascii="Arial Narrow" w:hAnsi="Arial Narrow"/>
                <w:sz w:val="20"/>
              </w:rPr>
            </w:pPr>
            <w:proofErr w:type="spellStart"/>
            <w:r w:rsidRPr="00042B60">
              <w:rPr>
                <w:rFonts w:ascii="Arial Narrow" w:hAnsi="Arial Narrow"/>
                <w:sz w:val="20"/>
              </w:rPr>
              <w:t>Qty</w:t>
            </w:r>
            <w:proofErr w:type="spellEnd"/>
          </w:p>
        </w:tc>
        <w:tc>
          <w:tcPr>
            <w:tcW w:w="576" w:type="pct"/>
            <w:tcBorders>
              <w:bottom w:val="single" w:sz="4" w:space="0" w:color="auto"/>
            </w:tcBorders>
          </w:tcPr>
          <w:p w:rsidR="006559E1" w:rsidRPr="00042B60" w:rsidRDefault="006559E1" w:rsidP="00CD63DE">
            <w:pPr>
              <w:keepNext/>
              <w:jc w:val="center"/>
              <w:rPr>
                <w:rFonts w:ascii="Arial Narrow" w:hAnsi="Arial Narrow"/>
                <w:sz w:val="20"/>
              </w:rPr>
            </w:pPr>
            <w:r w:rsidRPr="00042B60">
              <w:rPr>
                <w:rFonts w:ascii="Arial Narrow" w:hAnsi="Arial Narrow"/>
                <w:sz w:val="20"/>
              </w:rPr>
              <w:t>№.of</w:t>
            </w:r>
          </w:p>
          <w:p w:rsidR="006559E1" w:rsidRPr="00042B60" w:rsidRDefault="006559E1" w:rsidP="00CD63DE">
            <w:pPr>
              <w:keepNext/>
              <w:jc w:val="center"/>
              <w:rPr>
                <w:rFonts w:ascii="Arial Narrow" w:hAnsi="Arial Narrow"/>
                <w:sz w:val="20"/>
              </w:rPr>
            </w:pPr>
            <w:proofErr w:type="spellStart"/>
            <w:r w:rsidRPr="00042B60">
              <w:rPr>
                <w:rFonts w:ascii="Arial Narrow" w:hAnsi="Arial Narrow"/>
                <w:sz w:val="20"/>
              </w:rPr>
              <w:t>Rpts</w:t>
            </w:r>
            <w:proofErr w:type="spellEnd"/>
          </w:p>
        </w:tc>
        <w:tc>
          <w:tcPr>
            <w:tcW w:w="780" w:type="pct"/>
            <w:tcBorders>
              <w:bottom w:val="single" w:sz="4" w:space="0" w:color="auto"/>
            </w:tcBorders>
          </w:tcPr>
          <w:p w:rsidR="006559E1" w:rsidRPr="00042B60" w:rsidRDefault="006559E1" w:rsidP="00CD63DE">
            <w:pPr>
              <w:keepNext/>
              <w:jc w:val="center"/>
              <w:rPr>
                <w:rFonts w:ascii="Arial Narrow" w:hAnsi="Arial Narrow"/>
                <w:sz w:val="20"/>
              </w:rPr>
            </w:pPr>
            <w:r w:rsidRPr="00042B60">
              <w:rPr>
                <w:rFonts w:ascii="Arial Narrow" w:hAnsi="Arial Narrow"/>
                <w:sz w:val="20"/>
              </w:rPr>
              <w:t xml:space="preserve">Dispensed Price for Max. </w:t>
            </w:r>
            <w:proofErr w:type="spellStart"/>
            <w:r w:rsidRPr="00042B60">
              <w:rPr>
                <w:rFonts w:ascii="Arial Narrow" w:hAnsi="Arial Narrow"/>
                <w:sz w:val="20"/>
              </w:rPr>
              <w:t>Qty</w:t>
            </w:r>
            <w:proofErr w:type="spellEnd"/>
          </w:p>
        </w:tc>
        <w:tc>
          <w:tcPr>
            <w:tcW w:w="1069" w:type="pct"/>
            <w:gridSpan w:val="2"/>
            <w:tcBorders>
              <w:bottom w:val="single" w:sz="4" w:space="0" w:color="auto"/>
            </w:tcBorders>
          </w:tcPr>
          <w:p w:rsidR="006559E1" w:rsidRPr="00042B60" w:rsidRDefault="006559E1" w:rsidP="00CD63DE">
            <w:pPr>
              <w:keepNext/>
              <w:jc w:val="center"/>
              <w:rPr>
                <w:rFonts w:ascii="Arial Narrow" w:hAnsi="Arial Narrow"/>
                <w:sz w:val="20"/>
                <w:lang w:val="fr-FR"/>
              </w:rPr>
            </w:pPr>
            <w:r w:rsidRPr="00042B60">
              <w:rPr>
                <w:rFonts w:ascii="Arial Narrow" w:hAnsi="Arial Narrow"/>
                <w:sz w:val="20"/>
              </w:rPr>
              <w:t>Proprietary Name and Manufacturer</w:t>
            </w:r>
          </w:p>
        </w:tc>
      </w:tr>
      <w:tr w:rsidR="006559E1" w:rsidRPr="00042B60" w:rsidTr="006559E1">
        <w:trPr>
          <w:cantSplit/>
          <w:trHeight w:val="577"/>
        </w:trPr>
        <w:tc>
          <w:tcPr>
            <w:tcW w:w="1999" w:type="pct"/>
          </w:tcPr>
          <w:p w:rsidR="006559E1" w:rsidRPr="00042B60" w:rsidRDefault="006559E1" w:rsidP="00CD63DE">
            <w:pPr>
              <w:keepNext/>
              <w:rPr>
                <w:rFonts w:ascii="Arial Narrow" w:hAnsi="Arial Narrow"/>
                <w:smallCaps/>
                <w:sz w:val="20"/>
              </w:rPr>
            </w:pPr>
            <w:proofErr w:type="spellStart"/>
            <w:r w:rsidRPr="00042B60">
              <w:rPr>
                <w:rFonts w:ascii="Arial Narrow" w:hAnsi="Arial Narrow"/>
                <w:smallCaps/>
                <w:sz w:val="20"/>
              </w:rPr>
              <w:t>Apremilast</w:t>
            </w:r>
            <w:proofErr w:type="spellEnd"/>
          </w:p>
          <w:p w:rsidR="006559E1" w:rsidRPr="00042B60" w:rsidRDefault="006559E1" w:rsidP="00CD63DE">
            <w:pPr>
              <w:keepNext/>
              <w:rPr>
                <w:rFonts w:ascii="Arial Narrow" w:hAnsi="Arial Narrow"/>
                <w:sz w:val="20"/>
              </w:rPr>
            </w:pPr>
            <w:r w:rsidRPr="00042B60">
              <w:rPr>
                <w:rFonts w:ascii="Arial Narrow" w:hAnsi="Arial Narrow"/>
                <w:sz w:val="20"/>
              </w:rPr>
              <w:t>Tablets, titration pack</w:t>
            </w:r>
          </w:p>
          <w:p w:rsidR="006559E1" w:rsidRPr="00042B60" w:rsidRDefault="006559E1" w:rsidP="00CD63DE">
            <w:pPr>
              <w:keepNext/>
              <w:rPr>
                <w:rFonts w:ascii="Arial Narrow" w:hAnsi="Arial Narrow"/>
                <w:smallCaps/>
                <w:sz w:val="20"/>
              </w:rPr>
            </w:pPr>
            <w:r w:rsidRPr="00042B60">
              <w:rPr>
                <w:rFonts w:ascii="Arial Narrow" w:hAnsi="Arial Narrow"/>
                <w:sz w:val="20"/>
              </w:rPr>
              <w:t>(10</w:t>
            </w:r>
            <w:r w:rsidR="002C72E5">
              <w:rPr>
                <w:rFonts w:ascii="Arial Narrow" w:hAnsi="Arial Narrow"/>
                <w:sz w:val="20"/>
              </w:rPr>
              <w:t> </w:t>
            </w:r>
            <w:r w:rsidRPr="00042B60">
              <w:rPr>
                <w:rFonts w:ascii="Arial Narrow" w:hAnsi="Arial Narrow"/>
                <w:sz w:val="20"/>
              </w:rPr>
              <w:t>mg x4, 20</w:t>
            </w:r>
            <w:r w:rsidR="002C72E5">
              <w:rPr>
                <w:rFonts w:ascii="Arial Narrow" w:hAnsi="Arial Narrow"/>
                <w:sz w:val="20"/>
              </w:rPr>
              <w:t> </w:t>
            </w:r>
            <w:r w:rsidRPr="00042B60">
              <w:rPr>
                <w:rFonts w:ascii="Arial Narrow" w:hAnsi="Arial Narrow"/>
                <w:sz w:val="20"/>
              </w:rPr>
              <w:t>mg x4, 30</w:t>
            </w:r>
            <w:r w:rsidR="002C72E5">
              <w:rPr>
                <w:rFonts w:ascii="Arial Narrow" w:hAnsi="Arial Narrow"/>
                <w:sz w:val="20"/>
              </w:rPr>
              <w:t> </w:t>
            </w:r>
            <w:r w:rsidRPr="00042B60">
              <w:rPr>
                <w:rFonts w:ascii="Arial Narrow" w:hAnsi="Arial Narrow"/>
                <w:sz w:val="20"/>
              </w:rPr>
              <w:t>mg x19)</w:t>
            </w:r>
          </w:p>
        </w:tc>
        <w:tc>
          <w:tcPr>
            <w:tcW w:w="576" w:type="pct"/>
            <w:vAlign w:val="center"/>
          </w:tcPr>
          <w:p w:rsidR="006559E1" w:rsidRPr="00042B60" w:rsidRDefault="006559E1" w:rsidP="00CD63DE">
            <w:pPr>
              <w:keepNext/>
              <w:jc w:val="center"/>
              <w:rPr>
                <w:rFonts w:ascii="Arial Narrow" w:hAnsi="Arial Narrow"/>
                <w:sz w:val="20"/>
              </w:rPr>
            </w:pPr>
            <w:r w:rsidRPr="00042B60">
              <w:rPr>
                <w:rFonts w:ascii="Arial Narrow" w:hAnsi="Arial Narrow"/>
                <w:sz w:val="20"/>
              </w:rPr>
              <w:t>27</w:t>
            </w:r>
          </w:p>
        </w:tc>
        <w:tc>
          <w:tcPr>
            <w:tcW w:w="576" w:type="pct"/>
            <w:vAlign w:val="center"/>
          </w:tcPr>
          <w:p w:rsidR="006559E1" w:rsidRPr="00042B60" w:rsidRDefault="006559E1" w:rsidP="00CD63DE">
            <w:pPr>
              <w:keepNext/>
              <w:jc w:val="center"/>
              <w:rPr>
                <w:rFonts w:ascii="Arial Narrow" w:hAnsi="Arial Narrow"/>
                <w:sz w:val="20"/>
              </w:rPr>
            </w:pPr>
            <w:r w:rsidRPr="00042B60">
              <w:rPr>
                <w:rFonts w:ascii="Arial Narrow" w:hAnsi="Arial Narrow"/>
                <w:sz w:val="20"/>
              </w:rPr>
              <w:t>0</w:t>
            </w:r>
          </w:p>
        </w:tc>
        <w:tc>
          <w:tcPr>
            <w:tcW w:w="780" w:type="pct"/>
            <w:vAlign w:val="center"/>
          </w:tcPr>
          <w:p w:rsidR="006559E1" w:rsidRPr="00245431" w:rsidRDefault="006559E1" w:rsidP="00CD63DE">
            <w:pPr>
              <w:keepNext/>
              <w:jc w:val="center"/>
              <w:rPr>
                <w:rFonts w:ascii="Arial Narrow" w:hAnsi="Arial Narrow"/>
                <w:sz w:val="20"/>
                <w:vertAlign w:val="superscript"/>
              </w:rPr>
            </w:pPr>
            <w:r w:rsidRPr="00245431">
              <w:rPr>
                <w:rFonts w:ascii="Arial Narrow" w:hAnsi="Arial Narrow"/>
                <w:sz w:val="20"/>
              </w:rPr>
              <w:t>$</w:t>
            </w:r>
            <w:r w:rsidR="00DB34FC">
              <w:rPr>
                <w:rFonts w:ascii="Arial Narrow" w:hAnsi="Arial Narrow"/>
                <w:noProof/>
                <w:color w:val="000000"/>
                <w:sz w:val="20"/>
                <w:highlight w:val="black"/>
              </w:rPr>
              <w:t>''''''''''</w:t>
            </w:r>
            <w:r w:rsidR="00DB34FC">
              <w:rPr>
                <w:rFonts w:ascii="Arial Narrow" w:hAnsi="Arial Narrow"/>
                <w:i/>
                <w:noProof/>
                <w:color w:val="000000"/>
                <w:sz w:val="20"/>
                <w:highlight w:val="black"/>
              </w:rPr>
              <w:t>''''</w:t>
            </w:r>
            <w:r w:rsidR="00DB34FC">
              <w:rPr>
                <w:rFonts w:ascii="Arial Narrow" w:hAnsi="Arial Narrow"/>
                <w:noProof/>
                <w:color w:val="000000"/>
                <w:sz w:val="20"/>
                <w:highlight w:val="black"/>
              </w:rPr>
              <w:t>'''''</w:t>
            </w:r>
          </w:p>
        </w:tc>
        <w:tc>
          <w:tcPr>
            <w:tcW w:w="588" w:type="pct"/>
            <w:vMerge w:val="restart"/>
            <w:vAlign w:val="center"/>
          </w:tcPr>
          <w:p w:rsidR="006559E1" w:rsidRPr="00245431" w:rsidRDefault="006559E1" w:rsidP="00CD63DE">
            <w:pPr>
              <w:keepNext/>
              <w:jc w:val="center"/>
              <w:rPr>
                <w:rFonts w:ascii="Arial Narrow" w:hAnsi="Arial Narrow"/>
                <w:sz w:val="20"/>
              </w:rPr>
            </w:pPr>
            <w:proofErr w:type="spellStart"/>
            <w:r w:rsidRPr="00245431">
              <w:rPr>
                <w:rFonts w:ascii="Arial Narrow" w:hAnsi="Arial Narrow"/>
                <w:sz w:val="20"/>
              </w:rPr>
              <w:t>Otezla</w:t>
            </w:r>
            <w:proofErr w:type="spellEnd"/>
            <w:r w:rsidRPr="00245431">
              <w:rPr>
                <w:rFonts w:ascii="Arial Narrow" w:hAnsi="Arial Narrow"/>
                <w:sz w:val="20"/>
              </w:rPr>
              <w:t>®</w:t>
            </w:r>
          </w:p>
        </w:tc>
        <w:tc>
          <w:tcPr>
            <w:tcW w:w="481" w:type="pct"/>
            <w:vMerge w:val="restart"/>
            <w:vAlign w:val="center"/>
          </w:tcPr>
          <w:p w:rsidR="006559E1" w:rsidRPr="00042B60" w:rsidRDefault="006559E1" w:rsidP="00CD63DE">
            <w:pPr>
              <w:keepNext/>
              <w:jc w:val="center"/>
              <w:rPr>
                <w:rFonts w:ascii="Arial Narrow" w:hAnsi="Arial Narrow"/>
                <w:sz w:val="20"/>
              </w:rPr>
            </w:pPr>
            <w:r w:rsidRPr="00042B60">
              <w:rPr>
                <w:rFonts w:ascii="Arial Narrow" w:hAnsi="Arial Narrow"/>
                <w:sz w:val="20"/>
              </w:rPr>
              <w:t>Celgene Pty Ltd</w:t>
            </w:r>
          </w:p>
        </w:tc>
      </w:tr>
      <w:tr w:rsidR="006559E1" w:rsidRPr="00042B60" w:rsidTr="006559E1">
        <w:trPr>
          <w:cantSplit/>
          <w:trHeight w:val="291"/>
        </w:trPr>
        <w:tc>
          <w:tcPr>
            <w:tcW w:w="1999" w:type="pct"/>
          </w:tcPr>
          <w:p w:rsidR="006559E1" w:rsidRPr="00042B60" w:rsidRDefault="006559E1" w:rsidP="00CD63DE">
            <w:pPr>
              <w:keepNext/>
              <w:rPr>
                <w:rFonts w:ascii="Arial Narrow" w:hAnsi="Arial Narrow"/>
                <w:sz w:val="20"/>
              </w:rPr>
            </w:pPr>
            <w:proofErr w:type="spellStart"/>
            <w:r w:rsidRPr="00042B60">
              <w:rPr>
                <w:rFonts w:ascii="Arial Narrow" w:hAnsi="Arial Narrow"/>
                <w:smallCaps/>
                <w:sz w:val="20"/>
              </w:rPr>
              <w:t>Apremilast</w:t>
            </w:r>
            <w:proofErr w:type="spellEnd"/>
          </w:p>
          <w:p w:rsidR="006559E1" w:rsidRPr="00042B60" w:rsidRDefault="006559E1" w:rsidP="00CD63DE">
            <w:pPr>
              <w:keepNext/>
              <w:rPr>
                <w:rFonts w:ascii="Arial Narrow" w:hAnsi="Arial Narrow"/>
                <w:sz w:val="20"/>
              </w:rPr>
            </w:pPr>
            <w:r w:rsidRPr="00042B60">
              <w:rPr>
                <w:rFonts w:ascii="Arial Narrow" w:hAnsi="Arial Narrow"/>
                <w:sz w:val="20"/>
              </w:rPr>
              <w:t>Tablets, 30</w:t>
            </w:r>
            <w:r w:rsidR="002C72E5">
              <w:rPr>
                <w:rFonts w:ascii="Arial Narrow" w:hAnsi="Arial Narrow"/>
                <w:sz w:val="20"/>
              </w:rPr>
              <w:t> </w:t>
            </w:r>
            <w:r w:rsidRPr="00042B60">
              <w:rPr>
                <w:rFonts w:ascii="Arial Narrow" w:hAnsi="Arial Narrow"/>
                <w:sz w:val="20"/>
              </w:rPr>
              <w:t>mg</w:t>
            </w:r>
          </w:p>
        </w:tc>
        <w:tc>
          <w:tcPr>
            <w:tcW w:w="576" w:type="pct"/>
            <w:vAlign w:val="center"/>
          </w:tcPr>
          <w:p w:rsidR="006559E1" w:rsidRPr="00042B60" w:rsidRDefault="006559E1" w:rsidP="00CD63DE">
            <w:pPr>
              <w:keepNext/>
              <w:jc w:val="center"/>
              <w:rPr>
                <w:rFonts w:ascii="Arial Narrow" w:hAnsi="Arial Narrow"/>
                <w:sz w:val="20"/>
              </w:rPr>
            </w:pPr>
            <w:r w:rsidRPr="00042B60">
              <w:rPr>
                <w:rFonts w:ascii="Arial Narrow" w:hAnsi="Arial Narrow"/>
                <w:sz w:val="20"/>
              </w:rPr>
              <w:t>56</w:t>
            </w:r>
          </w:p>
        </w:tc>
        <w:tc>
          <w:tcPr>
            <w:tcW w:w="576" w:type="pct"/>
            <w:vAlign w:val="center"/>
          </w:tcPr>
          <w:p w:rsidR="006559E1" w:rsidRPr="007B4C1C" w:rsidRDefault="006559E1" w:rsidP="00CD63DE">
            <w:pPr>
              <w:keepNext/>
              <w:jc w:val="center"/>
              <w:rPr>
                <w:rFonts w:ascii="Arial Narrow" w:hAnsi="Arial Narrow"/>
                <w:sz w:val="20"/>
                <w:vertAlign w:val="superscript"/>
              </w:rPr>
            </w:pPr>
            <w:r>
              <w:rPr>
                <w:rFonts w:ascii="Arial Narrow" w:hAnsi="Arial Narrow"/>
                <w:sz w:val="20"/>
              </w:rPr>
              <w:t>3/</w:t>
            </w:r>
            <w:r w:rsidRPr="00042B60">
              <w:rPr>
                <w:rFonts w:ascii="Arial Narrow" w:hAnsi="Arial Narrow"/>
                <w:sz w:val="20"/>
              </w:rPr>
              <w:t>5</w:t>
            </w:r>
            <w:r>
              <w:rPr>
                <w:rFonts w:ascii="Arial Narrow" w:hAnsi="Arial Narrow"/>
                <w:sz w:val="20"/>
                <w:vertAlign w:val="superscript"/>
              </w:rPr>
              <w:t>a</w:t>
            </w:r>
          </w:p>
        </w:tc>
        <w:tc>
          <w:tcPr>
            <w:tcW w:w="780" w:type="pct"/>
            <w:vAlign w:val="center"/>
          </w:tcPr>
          <w:p w:rsidR="006559E1" w:rsidRPr="007B4C1C" w:rsidRDefault="006559E1" w:rsidP="00CD63DE">
            <w:pPr>
              <w:keepNext/>
              <w:jc w:val="center"/>
              <w:rPr>
                <w:rFonts w:ascii="Arial Narrow" w:hAnsi="Arial Narrow"/>
                <w:sz w:val="20"/>
                <w:vertAlign w:val="superscript"/>
              </w:rPr>
            </w:pPr>
            <w:r w:rsidRPr="00042B60">
              <w:rPr>
                <w:rFonts w:ascii="Arial Narrow" w:hAnsi="Arial Narrow"/>
                <w:sz w:val="20"/>
              </w:rPr>
              <w:t>$</w:t>
            </w:r>
            <w:r w:rsidR="00DB34FC">
              <w:rPr>
                <w:rFonts w:ascii="Arial Narrow" w:hAnsi="Arial Narrow"/>
                <w:i/>
                <w:noProof/>
                <w:color w:val="000000"/>
                <w:sz w:val="20"/>
                <w:highlight w:val="black"/>
              </w:rPr>
              <w:t>'''''''''''''''''''''''''</w:t>
            </w:r>
          </w:p>
        </w:tc>
        <w:tc>
          <w:tcPr>
            <w:tcW w:w="588" w:type="pct"/>
            <w:vMerge/>
          </w:tcPr>
          <w:p w:rsidR="006559E1" w:rsidRPr="00042B60" w:rsidRDefault="006559E1" w:rsidP="00CD63DE">
            <w:pPr>
              <w:keepNext/>
              <w:jc w:val="center"/>
              <w:rPr>
                <w:rFonts w:ascii="Arial Narrow" w:hAnsi="Arial Narrow"/>
                <w:sz w:val="20"/>
              </w:rPr>
            </w:pPr>
          </w:p>
        </w:tc>
        <w:tc>
          <w:tcPr>
            <w:tcW w:w="481" w:type="pct"/>
            <w:vMerge/>
          </w:tcPr>
          <w:p w:rsidR="006559E1" w:rsidRPr="00042B60" w:rsidRDefault="006559E1" w:rsidP="00CD63DE">
            <w:pPr>
              <w:keepNext/>
              <w:jc w:val="center"/>
              <w:rPr>
                <w:rFonts w:ascii="Arial Narrow" w:hAnsi="Arial Narrow"/>
                <w:sz w:val="20"/>
              </w:rPr>
            </w:pPr>
          </w:p>
        </w:tc>
      </w:tr>
    </w:tbl>
    <w:p w:rsidR="006559E1" w:rsidRDefault="006559E1" w:rsidP="006559E1">
      <w:pPr>
        <w:tabs>
          <w:tab w:val="left" w:pos="284"/>
          <w:tab w:val="left" w:pos="993"/>
        </w:tabs>
        <w:ind w:firstLine="709"/>
        <w:rPr>
          <w:rFonts w:ascii="Arial Narrow" w:hAnsi="Arial Narrow"/>
          <w:sz w:val="20"/>
        </w:rPr>
      </w:pPr>
      <w:proofErr w:type="gramStart"/>
      <w:r w:rsidRPr="007B4C1C">
        <w:rPr>
          <w:rFonts w:ascii="Arial Narrow" w:hAnsi="Arial Narrow"/>
          <w:sz w:val="20"/>
          <w:vertAlign w:val="superscript"/>
        </w:rPr>
        <w:t>a</w:t>
      </w:r>
      <w:proofErr w:type="gramEnd"/>
      <w:r w:rsidRPr="007B4C1C">
        <w:rPr>
          <w:rFonts w:ascii="Arial Narrow" w:hAnsi="Arial Narrow"/>
          <w:sz w:val="20"/>
        </w:rPr>
        <w:tab/>
      </w:r>
      <w:r>
        <w:rPr>
          <w:rFonts w:ascii="Arial Narrow" w:hAnsi="Arial Narrow"/>
          <w:sz w:val="20"/>
        </w:rPr>
        <w:t>number of repeats = 3 (initial) and 5 (continuing)</w:t>
      </w:r>
    </w:p>
    <w:p w:rsidR="00245431" w:rsidRPr="00DB34FC" w:rsidRDefault="00DB34FC" w:rsidP="00245431">
      <w:pPr>
        <w:tabs>
          <w:tab w:val="left" w:pos="284"/>
        </w:tabs>
        <w:ind w:left="993" w:hanging="284"/>
        <w:rPr>
          <w:rFonts w:ascii="Arial Narrow" w:hAnsi="Arial Narrow"/>
          <w:sz w:val="20"/>
          <w:highlight w:val="black"/>
        </w:rPr>
      </w:pPr>
      <w:r>
        <w:rPr>
          <w:rFonts w:ascii="Arial Narrow" w:hAnsi="Arial Narrow"/>
          <w:noProof/>
          <w:color w:val="000000"/>
          <w:sz w:val="20"/>
          <w:highlight w:val="black"/>
          <w:vertAlign w:val="superscript"/>
        </w:rPr>
        <w:t>'''''''''''''''''''''''''''''' '''''''''''''''''''' ''''''''''''''''' '''' ''''''''''''''''''' '''''''''''''''' '''''' '''' '''''''''''''''''''''''' ''''''''''''''''''''' ''''' ''''''''''''''' ''''''''' '''''''''''''''''''''''''''''''''''''' '''''''''''' ''''' '''''''''''''''''''''</w:t>
      </w:r>
    </w:p>
    <w:p w:rsidR="006559E1" w:rsidRPr="00DB34FC" w:rsidRDefault="00DB34FC" w:rsidP="006559E1">
      <w:pPr>
        <w:tabs>
          <w:tab w:val="left" w:pos="284"/>
          <w:tab w:val="left" w:pos="993"/>
        </w:tabs>
        <w:ind w:firstLine="709"/>
        <w:rPr>
          <w:rFonts w:ascii="Arial Narrow" w:hAnsi="Arial Narrow"/>
          <w:sz w:val="20"/>
          <w:highlight w:val="black"/>
        </w:rPr>
      </w:pPr>
      <w:r>
        <w:rPr>
          <w:rFonts w:ascii="Arial Narrow" w:hAnsi="Arial Narrow"/>
          <w:noProof/>
          <w:color w:val="000000"/>
          <w:sz w:val="20"/>
          <w:highlight w:val="black"/>
          <w:vertAlign w:val="superscript"/>
        </w:rPr>
        <w:t>''''''''''''''''''''''''''' ''''''''''''''''''' '''''''''''''''' '''' ''''''''''''''''''''''' '''''''''''''''' ''''' ''' '''''''''''''''''''''''''' ''''''''''''''''' '''' '''''''''''''''''' '''''''''''''' '''''''''' ''''''''''''''''</w:t>
      </w:r>
    </w:p>
    <w:p w:rsidR="00976DCB" w:rsidRPr="00976DCB" w:rsidRDefault="00976DCB" w:rsidP="00976DCB">
      <w:pPr>
        <w:widowControl/>
        <w:rPr>
          <w:szCs w:val="22"/>
        </w:rPr>
      </w:pPr>
    </w:p>
    <w:tbl>
      <w:tblPr>
        <w:tblW w:w="8505" w:type="dxa"/>
        <w:tblInd w:w="817" w:type="dxa"/>
        <w:tblLayout w:type="fixed"/>
        <w:tblLook w:val="0000" w:firstRow="0" w:lastRow="0" w:firstColumn="0" w:lastColumn="0" w:noHBand="0" w:noVBand="0"/>
        <w:tblCaption w:val="Requested PBS listing - initial 1"/>
      </w:tblPr>
      <w:tblGrid>
        <w:gridCol w:w="2410"/>
        <w:gridCol w:w="6095"/>
      </w:tblGrid>
      <w:tr w:rsidR="00976DCB" w:rsidRPr="00B5495A" w:rsidTr="002C72E5">
        <w:trPr>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2C72E5">
            <w:pPr>
              <w:tabs>
                <w:tab w:val="left" w:pos="284"/>
              </w:tabs>
              <w:rPr>
                <w:rFonts w:ascii="Arial Narrow" w:hAnsi="Arial Narrow"/>
                <w:b/>
                <w:sz w:val="20"/>
              </w:rPr>
            </w:pPr>
            <w:r w:rsidRPr="00B5495A">
              <w:rPr>
                <w:rFonts w:ascii="Arial Narrow" w:hAnsi="Arial Narrow"/>
                <w:b/>
                <w:sz w:val="20"/>
              </w:rPr>
              <w:t>Category / Program</w:t>
            </w:r>
          </w:p>
        </w:tc>
        <w:tc>
          <w:tcPr>
            <w:tcW w:w="6095"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sz w:val="20"/>
              </w:rPr>
            </w:pPr>
            <w:r w:rsidRPr="00B5495A">
              <w:rPr>
                <w:rFonts w:ascii="Arial Narrow" w:hAnsi="Arial Narrow"/>
                <w:sz w:val="20"/>
              </w:rPr>
              <w:t>GENERAL – General Schedule (Code GE)</w:t>
            </w:r>
          </w:p>
        </w:tc>
      </w:tr>
      <w:tr w:rsidR="00976DCB" w:rsidRPr="00B5495A" w:rsidTr="002C72E5">
        <w:trPr>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2C72E5">
            <w:pPr>
              <w:tabs>
                <w:tab w:val="left" w:pos="284"/>
              </w:tabs>
              <w:rPr>
                <w:rFonts w:ascii="Arial Narrow" w:hAnsi="Arial Narrow"/>
                <w:b/>
                <w:sz w:val="20"/>
              </w:rPr>
            </w:pPr>
            <w:r w:rsidRPr="00B5495A">
              <w:rPr>
                <w:rFonts w:ascii="Arial Narrow" w:hAnsi="Arial Narrow"/>
                <w:b/>
                <w:sz w:val="20"/>
              </w:rPr>
              <w:t>Prescriber type:</w:t>
            </w:r>
          </w:p>
        </w:tc>
        <w:tc>
          <w:tcPr>
            <w:tcW w:w="6095"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sz w:val="20"/>
              </w:rPr>
            </w:pPr>
            <w:r w:rsidRPr="00B5495A">
              <w:rPr>
                <w:rFonts w:ascii="Arial Narrow" w:hAnsi="Arial Narrow"/>
                <w:sz w:val="20"/>
              </w:rPr>
              <w:fldChar w:fldCharType="begin">
                <w:ffData>
                  <w:name w:val="Check1"/>
                  <w:enabled/>
                  <w:calcOnExit w:val="0"/>
                  <w:checkBox>
                    <w:sizeAuto/>
                    <w:default w:val="0"/>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 xml:space="preserve">Dental  </w:t>
            </w:r>
            <w:r w:rsidRPr="00B5495A">
              <w:rPr>
                <w:rFonts w:ascii="Arial Narrow" w:hAnsi="Arial Narrow"/>
                <w:sz w:val="20"/>
              </w:rPr>
              <w:fldChar w:fldCharType="begin">
                <w:ffData>
                  <w:name w:val=""/>
                  <w:enabled/>
                  <w:calcOnExit w:val="0"/>
                  <w:checkBox>
                    <w:sizeAuto/>
                    <w:default w:val="1"/>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 xml:space="preserve">Medical Practitioners  </w:t>
            </w:r>
            <w:r w:rsidRPr="00B5495A">
              <w:rPr>
                <w:rFonts w:ascii="Arial Narrow" w:hAnsi="Arial Narrow"/>
                <w:sz w:val="20"/>
              </w:rPr>
              <w:fldChar w:fldCharType="begin">
                <w:ffData>
                  <w:name w:val="Check3"/>
                  <w:enabled/>
                  <w:calcOnExit w:val="0"/>
                  <w:checkBox>
                    <w:sizeAuto/>
                    <w:default w:val="0"/>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 xml:space="preserve">Nurse practitioners  </w:t>
            </w:r>
            <w:r w:rsidRPr="00B5495A">
              <w:rPr>
                <w:rFonts w:ascii="Arial Narrow" w:hAnsi="Arial Narrow"/>
                <w:sz w:val="20"/>
              </w:rPr>
              <w:fldChar w:fldCharType="begin">
                <w:ffData>
                  <w:name w:val=""/>
                  <w:enabled/>
                  <w:calcOnExit w:val="0"/>
                  <w:checkBox>
                    <w:sizeAuto/>
                    <w:default w:val="0"/>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Optometrists</w:t>
            </w:r>
          </w:p>
          <w:p w:rsidR="00976DCB" w:rsidRPr="00B5495A" w:rsidRDefault="00976DCB" w:rsidP="00976DCB">
            <w:pPr>
              <w:tabs>
                <w:tab w:val="left" w:pos="284"/>
              </w:tabs>
              <w:rPr>
                <w:rFonts w:ascii="Arial Narrow" w:hAnsi="Arial Narrow"/>
                <w:sz w:val="20"/>
              </w:rPr>
            </w:pPr>
            <w:r w:rsidRPr="00B5495A">
              <w:rPr>
                <w:rFonts w:ascii="Arial Narrow" w:hAnsi="Arial Narrow"/>
                <w:sz w:val="20"/>
              </w:rPr>
              <w:fldChar w:fldCharType="begin">
                <w:ffData>
                  <w:name w:val="Check5"/>
                  <w:enabled/>
                  <w:calcOnExit w:val="0"/>
                  <w:checkBox>
                    <w:sizeAuto/>
                    <w:default w:val="0"/>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Midwives</w:t>
            </w:r>
          </w:p>
        </w:tc>
      </w:tr>
      <w:tr w:rsidR="00976DCB" w:rsidRPr="00B5495A" w:rsidTr="002C72E5">
        <w:trPr>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b/>
                <w:sz w:val="20"/>
              </w:rPr>
            </w:pPr>
            <w:r w:rsidRPr="00B5495A">
              <w:rPr>
                <w:rFonts w:ascii="Arial Narrow" w:hAnsi="Arial Narrow"/>
                <w:b/>
                <w:sz w:val="20"/>
              </w:rPr>
              <w:t>PBS Indication:</w:t>
            </w:r>
          </w:p>
        </w:tc>
        <w:tc>
          <w:tcPr>
            <w:tcW w:w="6095"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sz w:val="20"/>
              </w:rPr>
            </w:pPr>
            <w:r w:rsidRPr="00B5495A">
              <w:rPr>
                <w:rFonts w:ascii="Arial Narrow" w:hAnsi="Arial Narrow"/>
                <w:sz w:val="20"/>
              </w:rPr>
              <w:t>Severe psoriatic arthritis</w:t>
            </w:r>
          </w:p>
        </w:tc>
      </w:tr>
      <w:tr w:rsidR="00976DCB" w:rsidRPr="00B5495A" w:rsidTr="002C72E5">
        <w:trPr>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2C72E5">
            <w:pPr>
              <w:tabs>
                <w:tab w:val="left" w:pos="284"/>
              </w:tabs>
              <w:rPr>
                <w:rFonts w:ascii="Arial Narrow" w:hAnsi="Arial Narrow"/>
                <w:i/>
                <w:sz w:val="20"/>
              </w:rPr>
            </w:pPr>
            <w:r w:rsidRPr="00B5495A">
              <w:rPr>
                <w:rFonts w:ascii="Arial Narrow" w:hAnsi="Arial Narrow"/>
                <w:b/>
                <w:sz w:val="20"/>
              </w:rPr>
              <w:t>Treatment phase:</w:t>
            </w:r>
          </w:p>
        </w:tc>
        <w:tc>
          <w:tcPr>
            <w:tcW w:w="6095"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sz w:val="20"/>
              </w:rPr>
            </w:pPr>
            <w:r w:rsidRPr="00B5495A">
              <w:rPr>
                <w:rFonts w:ascii="Arial Narrow" w:hAnsi="Arial Narrow"/>
                <w:sz w:val="20"/>
              </w:rPr>
              <w:t>Initial treatment – Initial 1(new patient or patient recommencing treatment after a break of 5 years or more)</w:t>
            </w:r>
          </w:p>
        </w:tc>
      </w:tr>
      <w:tr w:rsidR="00976DCB" w:rsidRPr="00B5495A" w:rsidTr="002C72E5">
        <w:trPr>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i/>
                <w:sz w:val="20"/>
              </w:rPr>
            </w:pPr>
            <w:r w:rsidRPr="00B5495A">
              <w:rPr>
                <w:rFonts w:ascii="Arial Narrow" w:hAnsi="Arial Narrow"/>
                <w:b/>
                <w:sz w:val="20"/>
              </w:rPr>
              <w:t>Restriction Level</w:t>
            </w:r>
            <w:r>
              <w:rPr>
                <w:rFonts w:ascii="Arial Narrow" w:hAnsi="Arial Narrow"/>
                <w:b/>
                <w:sz w:val="20"/>
              </w:rPr>
              <w:t>:</w:t>
            </w:r>
          </w:p>
        </w:tc>
        <w:tc>
          <w:tcPr>
            <w:tcW w:w="6095"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sz w:val="20"/>
              </w:rPr>
            </w:pPr>
            <w:r w:rsidRPr="00B5495A">
              <w:rPr>
                <w:rFonts w:ascii="Arial Narrow" w:hAnsi="Arial Narrow"/>
                <w:sz w:val="20"/>
              </w:rPr>
              <w:fldChar w:fldCharType="begin">
                <w:ffData>
                  <w:name w:val=""/>
                  <w:enabled/>
                  <w:calcOnExit w:val="0"/>
                  <w:checkBox>
                    <w:sizeAuto/>
                    <w:default w:val="1"/>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Authority Required - In Writing</w:t>
            </w:r>
          </w:p>
        </w:tc>
      </w:tr>
      <w:tr w:rsidR="00976DCB" w:rsidRPr="00B5495A" w:rsidTr="002C72E5">
        <w:trPr>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2C72E5">
            <w:pPr>
              <w:tabs>
                <w:tab w:val="left" w:pos="284"/>
              </w:tabs>
              <w:rPr>
                <w:rFonts w:ascii="Arial Narrow" w:hAnsi="Arial Narrow"/>
                <w:sz w:val="20"/>
              </w:rPr>
            </w:pPr>
            <w:r w:rsidRPr="00B5495A">
              <w:rPr>
                <w:rFonts w:ascii="Arial Narrow" w:hAnsi="Arial Narrow"/>
                <w:b/>
                <w:sz w:val="20"/>
              </w:rPr>
              <w:t>Treatment criteria:</w:t>
            </w:r>
          </w:p>
        </w:tc>
        <w:tc>
          <w:tcPr>
            <w:tcW w:w="6095" w:type="dxa"/>
            <w:tcBorders>
              <w:top w:val="single" w:sz="4" w:space="0" w:color="auto"/>
              <w:left w:val="single" w:sz="4" w:space="0" w:color="auto"/>
              <w:bottom w:val="single" w:sz="4" w:space="0" w:color="auto"/>
              <w:right w:val="single" w:sz="4" w:space="0" w:color="auto"/>
            </w:tcBorders>
          </w:tcPr>
          <w:p w:rsidR="00976DCB" w:rsidRDefault="00976DCB" w:rsidP="00976DCB">
            <w:pPr>
              <w:tabs>
                <w:tab w:val="left" w:pos="284"/>
              </w:tabs>
              <w:rPr>
                <w:rFonts w:ascii="Arial Narrow" w:hAnsi="Arial Narrow"/>
                <w:sz w:val="20"/>
              </w:rPr>
            </w:pPr>
            <w:r w:rsidRPr="00B5495A">
              <w:rPr>
                <w:rFonts w:ascii="Arial Narrow" w:hAnsi="Arial Narrow"/>
                <w:sz w:val="20"/>
              </w:rPr>
              <w:t xml:space="preserve">Must </w:t>
            </w:r>
            <w:r w:rsidRPr="00FA60C0">
              <w:rPr>
                <w:rFonts w:ascii="Arial Narrow" w:hAnsi="Arial Narrow"/>
                <w:sz w:val="20"/>
              </w:rPr>
              <w:t xml:space="preserve">be </w:t>
            </w:r>
            <w:r w:rsidRPr="00FA60C0">
              <w:rPr>
                <w:rFonts w:ascii="Arial Narrow" w:hAnsi="Arial Narrow"/>
                <w:i/>
                <w:sz w:val="20"/>
              </w:rPr>
              <w:t xml:space="preserve">treated </w:t>
            </w:r>
            <w:r w:rsidRPr="00FA60C0">
              <w:rPr>
                <w:rFonts w:ascii="Arial Narrow" w:hAnsi="Arial Narrow"/>
                <w:sz w:val="20"/>
              </w:rPr>
              <w:t>by a rheumatologist; OR</w:t>
            </w:r>
          </w:p>
          <w:p w:rsidR="00FA60C0" w:rsidRPr="00B5495A" w:rsidRDefault="00FA60C0" w:rsidP="00976DCB">
            <w:pPr>
              <w:tabs>
                <w:tab w:val="left" w:pos="284"/>
              </w:tabs>
              <w:rPr>
                <w:rFonts w:ascii="Arial Narrow" w:hAnsi="Arial Narrow"/>
                <w:sz w:val="20"/>
              </w:rPr>
            </w:pPr>
          </w:p>
          <w:p w:rsidR="00976DCB" w:rsidRPr="00B5495A" w:rsidRDefault="00976DCB" w:rsidP="00976DCB">
            <w:pPr>
              <w:tabs>
                <w:tab w:val="left" w:pos="284"/>
              </w:tabs>
              <w:rPr>
                <w:rFonts w:ascii="Arial Narrow" w:hAnsi="Arial Narrow"/>
                <w:sz w:val="20"/>
              </w:rPr>
            </w:pPr>
            <w:r w:rsidRPr="00B5495A">
              <w:rPr>
                <w:rFonts w:ascii="Arial Narrow" w:hAnsi="Arial Narrow"/>
                <w:sz w:val="20"/>
              </w:rPr>
              <w:t>Must be treated by a clinical immunologist with expertise in the management of psoriatic arthritis.</w:t>
            </w:r>
          </w:p>
        </w:tc>
      </w:tr>
      <w:tr w:rsidR="00976DCB" w:rsidRPr="00B5495A" w:rsidTr="002C72E5">
        <w:trPr>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2C72E5">
            <w:pPr>
              <w:tabs>
                <w:tab w:val="left" w:pos="284"/>
              </w:tabs>
              <w:rPr>
                <w:rFonts w:ascii="Arial Narrow" w:hAnsi="Arial Narrow"/>
                <w:sz w:val="20"/>
              </w:rPr>
            </w:pPr>
            <w:r w:rsidRPr="00B5495A">
              <w:rPr>
                <w:rFonts w:ascii="Arial Narrow" w:hAnsi="Arial Narrow"/>
                <w:b/>
                <w:sz w:val="20"/>
              </w:rPr>
              <w:t>Clinical criteria:</w:t>
            </w:r>
          </w:p>
        </w:tc>
        <w:tc>
          <w:tcPr>
            <w:tcW w:w="6095" w:type="dxa"/>
            <w:tcBorders>
              <w:top w:val="single" w:sz="4" w:space="0" w:color="auto"/>
              <w:left w:val="single" w:sz="4" w:space="0" w:color="auto"/>
              <w:bottom w:val="single" w:sz="4" w:space="0" w:color="auto"/>
              <w:right w:val="single" w:sz="4" w:space="0" w:color="auto"/>
            </w:tcBorders>
          </w:tcPr>
          <w:p w:rsidR="00976DCB" w:rsidRPr="00976DCB" w:rsidRDefault="00976DCB" w:rsidP="00976DCB">
            <w:pPr>
              <w:tabs>
                <w:tab w:val="left" w:pos="284"/>
              </w:tabs>
              <w:rPr>
                <w:rFonts w:ascii="Arial Narrow" w:hAnsi="Arial Narrow"/>
                <w:sz w:val="20"/>
              </w:rPr>
            </w:pPr>
            <w:r w:rsidRPr="00B5495A">
              <w:rPr>
                <w:rFonts w:ascii="Arial Narrow" w:hAnsi="Arial Narrow"/>
                <w:sz w:val="20"/>
              </w:rPr>
              <w:t>Patient must have severe active psoriatic arthritis,</w:t>
            </w:r>
            <w:r>
              <w:rPr>
                <w:rFonts w:ascii="Arial Narrow" w:hAnsi="Arial Narrow"/>
                <w:sz w:val="20"/>
              </w:rPr>
              <w:t xml:space="preserve"> </w:t>
            </w:r>
            <w:r w:rsidRPr="00B5495A">
              <w:rPr>
                <w:rFonts w:ascii="Arial Narrow" w:hAnsi="Arial Narrow"/>
                <w:i/>
                <w:sz w:val="20"/>
              </w:rPr>
              <w:t>AND</w:t>
            </w:r>
          </w:p>
          <w:p w:rsidR="00976DCB" w:rsidRPr="00B5495A" w:rsidRDefault="00976DCB" w:rsidP="00976DCB">
            <w:pPr>
              <w:tabs>
                <w:tab w:val="left" w:pos="284"/>
              </w:tabs>
              <w:rPr>
                <w:rFonts w:ascii="Arial Narrow" w:hAnsi="Arial Narrow"/>
                <w:i/>
                <w:sz w:val="20"/>
              </w:rPr>
            </w:pPr>
          </w:p>
          <w:p w:rsidR="00976DCB" w:rsidRPr="00976DCB" w:rsidRDefault="00976DCB" w:rsidP="00976DCB">
            <w:pPr>
              <w:tabs>
                <w:tab w:val="left" w:pos="284"/>
              </w:tabs>
              <w:rPr>
                <w:rFonts w:ascii="Arial Narrow" w:hAnsi="Arial Narrow"/>
                <w:i/>
                <w:sz w:val="20"/>
              </w:rPr>
            </w:pPr>
            <w:r w:rsidRPr="00976DCB">
              <w:rPr>
                <w:rFonts w:ascii="Arial Narrow" w:hAnsi="Arial Narrow"/>
                <w:i/>
                <w:sz w:val="20"/>
              </w:rPr>
              <w:t>Patient must have received no prior PBS-subsidised treatment with this drug for this condition; OR</w:t>
            </w:r>
          </w:p>
          <w:p w:rsidR="00976DCB" w:rsidRPr="00976DCB" w:rsidRDefault="00976DCB" w:rsidP="00976DCB">
            <w:pPr>
              <w:tabs>
                <w:tab w:val="left" w:pos="284"/>
              </w:tabs>
              <w:rPr>
                <w:rFonts w:ascii="Arial Narrow" w:hAnsi="Arial Narrow"/>
                <w:i/>
                <w:sz w:val="20"/>
              </w:rPr>
            </w:pPr>
          </w:p>
          <w:p w:rsidR="00976DCB" w:rsidRPr="00976DCB" w:rsidRDefault="00976DCB" w:rsidP="00976DCB">
            <w:pPr>
              <w:tabs>
                <w:tab w:val="left" w:pos="284"/>
              </w:tabs>
              <w:rPr>
                <w:rFonts w:ascii="Arial Narrow" w:hAnsi="Arial Narrow"/>
                <w:i/>
                <w:sz w:val="20"/>
              </w:rPr>
            </w:pPr>
            <w:r w:rsidRPr="00976DCB">
              <w:rPr>
                <w:rFonts w:ascii="Arial Narrow" w:hAnsi="Arial Narrow"/>
                <w:i/>
                <w:sz w:val="20"/>
              </w:rPr>
              <w:t>Patient must have received no prior PBS-subsidised treatment with a biological agent for this condition; OR</w:t>
            </w:r>
          </w:p>
          <w:p w:rsidR="00976DCB" w:rsidRPr="00976DCB" w:rsidRDefault="00976DCB" w:rsidP="00976DCB">
            <w:pPr>
              <w:tabs>
                <w:tab w:val="left" w:pos="284"/>
              </w:tabs>
              <w:rPr>
                <w:rFonts w:ascii="Arial Narrow" w:hAnsi="Arial Narrow"/>
                <w:i/>
                <w:sz w:val="20"/>
              </w:rPr>
            </w:pPr>
          </w:p>
          <w:p w:rsidR="00976DCB" w:rsidRPr="00976DCB" w:rsidRDefault="00976DCB" w:rsidP="00976DCB">
            <w:pPr>
              <w:tabs>
                <w:tab w:val="left" w:pos="284"/>
              </w:tabs>
              <w:rPr>
                <w:rFonts w:ascii="Arial Narrow" w:hAnsi="Arial Narrow"/>
                <w:i/>
                <w:sz w:val="20"/>
              </w:rPr>
            </w:pPr>
            <w:r w:rsidRPr="00976DCB">
              <w:rPr>
                <w:rFonts w:ascii="Arial Narrow" w:hAnsi="Arial Narrow"/>
                <w:i/>
                <w:sz w:val="20"/>
              </w:rPr>
              <w:t>Patient must have received no PBS-subsidised treatment for this drug  for at least 5 years if they have previously received PBS-subsidised treatment with this drug for this condition; OR</w:t>
            </w:r>
          </w:p>
          <w:p w:rsidR="00976DCB" w:rsidRPr="00976DCB" w:rsidRDefault="00976DCB" w:rsidP="00976DCB">
            <w:pPr>
              <w:tabs>
                <w:tab w:val="left" w:pos="284"/>
              </w:tabs>
              <w:rPr>
                <w:rFonts w:ascii="Arial Narrow" w:hAnsi="Arial Narrow"/>
                <w:i/>
                <w:sz w:val="20"/>
              </w:rPr>
            </w:pPr>
          </w:p>
          <w:p w:rsidR="00976DCB" w:rsidRPr="00976DCB" w:rsidRDefault="00976DCB" w:rsidP="00976DCB">
            <w:pPr>
              <w:tabs>
                <w:tab w:val="left" w:pos="284"/>
              </w:tabs>
              <w:rPr>
                <w:rFonts w:ascii="Arial Narrow" w:hAnsi="Arial Narrow"/>
                <w:sz w:val="20"/>
              </w:rPr>
            </w:pPr>
            <w:r w:rsidRPr="00976DCB">
              <w:rPr>
                <w:rFonts w:ascii="Arial Narrow" w:hAnsi="Arial Narrow"/>
                <w:i/>
                <w:sz w:val="20"/>
              </w:rPr>
              <w:t xml:space="preserve">Patient must have received no PBS-subsidised treatment with a biological agent </w:t>
            </w:r>
            <w:r w:rsidRPr="00976DCB">
              <w:rPr>
                <w:rFonts w:ascii="Arial Narrow" w:hAnsi="Arial Narrow"/>
                <w:i/>
                <w:sz w:val="20"/>
              </w:rPr>
              <w:lastRenderedPageBreak/>
              <w:t xml:space="preserve">for at least 5 years if they have previously received PBS-subsidised treatment with a biological agent for this condition; </w:t>
            </w:r>
            <w:r w:rsidRPr="00976DCB">
              <w:rPr>
                <w:rFonts w:ascii="Arial Narrow" w:hAnsi="Arial Narrow"/>
                <w:sz w:val="20"/>
              </w:rPr>
              <w:t>AND</w:t>
            </w:r>
          </w:p>
          <w:p w:rsidR="00976DCB" w:rsidRDefault="00976DCB" w:rsidP="00976DCB">
            <w:pPr>
              <w:tabs>
                <w:tab w:val="left" w:pos="284"/>
              </w:tabs>
              <w:rPr>
                <w:rFonts w:ascii="Arial Narrow" w:hAnsi="Arial Narrow"/>
                <w:sz w:val="20"/>
              </w:rPr>
            </w:pPr>
          </w:p>
          <w:p w:rsidR="00976DCB" w:rsidRDefault="00976DCB" w:rsidP="00976DCB">
            <w:pPr>
              <w:tabs>
                <w:tab w:val="left" w:pos="284"/>
              </w:tabs>
              <w:rPr>
                <w:rFonts w:ascii="Arial Narrow" w:hAnsi="Arial Narrow"/>
                <w:sz w:val="20"/>
              </w:rPr>
            </w:pPr>
            <w:r w:rsidRPr="00B5495A">
              <w:rPr>
                <w:rFonts w:ascii="Arial Narrow" w:hAnsi="Arial Narrow"/>
                <w:sz w:val="20"/>
              </w:rPr>
              <w:t>Patient must have failed to achieve an adequate response to methotrexate at a dose of at least 20</w:t>
            </w:r>
            <w:r w:rsidR="007216B8">
              <w:rPr>
                <w:rFonts w:ascii="Arial Narrow" w:hAnsi="Arial Narrow"/>
                <w:sz w:val="20"/>
              </w:rPr>
              <w:t> </w:t>
            </w:r>
            <w:r w:rsidRPr="00B5495A">
              <w:rPr>
                <w:rFonts w:ascii="Arial Narrow" w:hAnsi="Arial Narrow"/>
                <w:sz w:val="20"/>
              </w:rPr>
              <w:t>mg weekly f</w:t>
            </w:r>
            <w:r>
              <w:rPr>
                <w:rFonts w:ascii="Arial Narrow" w:hAnsi="Arial Narrow"/>
                <w:sz w:val="20"/>
              </w:rPr>
              <w:t xml:space="preserve">or a minimum period of 3 months, </w:t>
            </w:r>
            <w:r w:rsidRPr="00B5495A">
              <w:rPr>
                <w:rFonts w:ascii="Arial Narrow" w:hAnsi="Arial Narrow"/>
                <w:sz w:val="20"/>
              </w:rPr>
              <w:t>AND</w:t>
            </w:r>
          </w:p>
          <w:p w:rsidR="00976DCB" w:rsidRPr="00B5495A" w:rsidRDefault="00976DCB" w:rsidP="00976DCB">
            <w:pPr>
              <w:tabs>
                <w:tab w:val="left" w:pos="284"/>
              </w:tabs>
              <w:rPr>
                <w:rFonts w:ascii="Arial Narrow" w:hAnsi="Arial Narrow"/>
                <w:sz w:val="20"/>
              </w:rPr>
            </w:pPr>
          </w:p>
          <w:p w:rsidR="00976DCB" w:rsidRDefault="00976DCB" w:rsidP="00976DCB">
            <w:pPr>
              <w:tabs>
                <w:tab w:val="left" w:pos="284"/>
              </w:tabs>
              <w:rPr>
                <w:rFonts w:ascii="Arial Narrow" w:hAnsi="Arial Narrow"/>
                <w:sz w:val="20"/>
              </w:rPr>
            </w:pPr>
            <w:r w:rsidRPr="00B5495A">
              <w:rPr>
                <w:rFonts w:ascii="Arial Narrow" w:hAnsi="Arial Narrow"/>
                <w:sz w:val="20"/>
              </w:rPr>
              <w:t>Patient must have failed to achieve an adequate response to sulfasalazine at a d</w:t>
            </w:r>
            <w:r w:rsidR="007216B8">
              <w:rPr>
                <w:rFonts w:ascii="Arial Narrow" w:hAnsi="Arial Narrow"/>
                <w:sz w:val="20"/>
              </w:rPr>
              <w:t>ose of at least 2 </w:t>
            </w:r>
            <w:r w:rsidRPr="00B5495A">
              <w:rPr>
                <w:rFonts w:ascii="Arial Narrow" w:hAnsi="Arial Narrow"/>
                <w:sz w:val="20"/>
              </w:rPr>
              <w:t>g per day for a minimum period of 3 months; OR</w:t>
            </w:r>
          </w:p>
          <w:p w:rsidR="00976DCB" w:rsidRPr="00B5495A" w:rsidRDefault="00976DCB" w:rsidP="00976DCB">
            <w:pPr>
              <w:tabs>
                <w:tab w:val="left" w:pos="284"/>
              </w:tabs>
              <w:rPr>
                <w:rFonts w:ascii="Arial Narrow" w:hAnsi="Arial Narrow"/>
                <w:sz w:val="20"/>
              </w:rPr>
            </w:pPr>
          </w:p>
          <w:p w:rsidR="00976DCB" w:rsidRDefault="00976DCB" w:rsidP="00976DCB">
            <w:pPr>
              <w:tabs>
                <w:tab w:val="left" w:pos="284"/>
              </w:tabs>
              <w:rPr>
                <w:rFonts w:ascii="Arial Narrow" w:hAnsi="Arial Narrow"/>
                <w:sz w:val="20"/>
              </w:rPr>
            </w:pPr>
            <w:r w:rsidRPr="00B5495A">
              <w:rPr>
                <w:rFonts w:ascii="Arial Narrow" w:hAnsi="Arial Narrow"/>
                <w:sz w:val="20"/>
              </w:rPr>
              <w:t xml:space="preserve">Patient must have failed to achieve an adequate response to </w:t>
            </w:r>
            <w:proofErr w:type="spellStart"/>
            <w:r w:rsidRPr="00B5495A">
              <w:rPr>
                <w:rFonts w:ascii="Arial Narrow" w:hAnsi="Arial Narrow"/>
                <w:sz w:val="20"/>
              </w:rPr>
              <w:t>le</w:t>
            </w:r>
            <w:r w:rsidR="007216B8">
              <w:rPr>
                <w:rFonts w:ascii="Arial Narrow" w:hAnsi="Arial Narrow"/>
                <w:sz w:val="20"/>
              </w:rPr>
              <w:t>flunomide</w:t>
            </w:r>
            <w:proofErr w:type="spellEnd"/>
            <w:r w:rsidR="007216B8">
              <w:rPr>
                <w:rFonts w:ascii="Arial Narrow" w:hAnsi="Arial Narrow"/>
                <w:sz w:val="20"/>
              </w:rPr>
              <w:t xml:space="preserve"> at a dose of up to 20 </w:t>
            </w:r>
            <w:r w:rsidRPr="00B5495A">
              <w:rPr>
                <w:rFonts w:ascii="Arial Narrow" w:hAnsi="Arial Narrow"/>
                <w:sz w:val="20"/>
              </w:rPr>
              <w:t>mg daily for a minimum period of 3 months,</w:t>
            </w:r>
            <w:r>
              <w:rPr>
                <w:rFonts w:ascii="Arial Narrow" w:hAnsi="Arial Narrow"/>
                <w:sz w:val="20"/>
              </w:rPr>
              <w:t xml:space="preserve"> </w:t>
            </w:r>
            <w:r w:rsidRPr="00B5495A">
              <w:rPr>
                <w:rFonts w:ascii="Arial Narrow" w:hAnsi="Arial Narrow"/>
                <w:sz w:val="20"/>
              </w:rPr>
              <w:t>AND</w:t>
            </w:r>
          </w:p>
          <w:p w:rsidR="00976DCB" w:rsidRPr="00B5495A" w:rsidRDefault="00976DCB" w:rsidP="00976DCB">
            <w:pPr>
              <w:tabs>
                <w:tab w:val="left" w:pos="284"/>
              </w:tabs>
              <w:rPr>
                <w:rFonts w:ascii="Arial Narrow" w:hAnsi="Arial Narrow"/>
                <w:sz w:val="20"/>
              </w:rPr>
            </w:pPr>
          </w:p>
          <w:p w:rsidR="00976DCB" w:rsidRDefault="00976DCB" w:rsidP="00976DCB">
            <w:pPr>
              <w:tabs>
                <w:tab w:val="left" w:pos="284"/>
              </w:tabs>
              <w:rPr>
                <w:rFonts w:ascii="Arial Narrow" w:hAnsi="Arial Narrow"/>
                <w:i/>
                <w:sz w:val="20"/>
              </w:rPr>
            </w:pPr>
            <w:r w:rsidRPr="00B5495A">
              <w:rPr>
                <w:rFonts w:ascii="Arial Narrow" w:hAnsi="Arial Narrow"/>
                <w:i/>
                <w:sz w:val="20"/>
              </w:rPr>
              <w:t>Patient must not receive more than 2 weeks of titration dose; AND</w:t>
            </w:r>
          </w:p>
          <w:p w:rsidR="00976DCB" w:rsidRPr="00976DCB" w:rsidRDefault="00976DCB" w:rsidP="00976DCB">
            <w:pPr>
              <w:tabs>
                <w:tab w:val="left" w:pos="284"/>
              </w:tabs>
              <w:rPr>
                <w:rFonts w:ascii="Arial Narrow" w:hAnsi="Arial Narrow"/>
                <w:i/>
                <w:sz w:val="20"/>
              </w:rPr>
            </w:pPr>
          </w:p>
          <w:p w:rsidR="00976DCB" w:rsidRPr="00B5495A" w:rsidRDefault="00976DCB" w:rsidP="00976DCB">
            <w:pPr>
              <w:tabs>
                <w:tab w:val="left" w:pos="284"/>
              </w:tabs>
              <w:rPr>
                <w:rFonts w:ascii="Arial Narrow" w:hAnsi="Arial Narrow"/>
                <w:sz w:val="20"/>
              </w:rPr>
            </w:pPr>
            <w:r w:rsidRPr="00B5495A">
              <w:rPr>
                <w:rFonts w:ascii="Arial Narrow" w:hAnsi="Arial Narrow"/>
                <w:sz w:val="20"/>
              </w:rPr>
              <w:t xml:space="preserve">Patient must not receive more than </w:t>
            </w:r>
            <w:r w:rsidRPr="00B5495A">
              <w:rPr>
                <w:rFonts w:ascii="Arial Narrow" w:hAnsi="Arial Narrow"/>
                <w:b/>
                <w:i/>
                <w:sz w:val="20"/>
              </w:rPr>
              <w:t xml:space="preserve">18 </w:t>
            </w:r>
            <w:r w:rsidRPr="00B5495A">
              <w:rPr>
                <w:rFonts w:ascii="Arial Narrow" w:hAnsi="Arial Narrow"/>
                <w:sz w:val="20"/>
              </w:rPr>
              <w:t>weeks of treatment under this restriction.</w:t>
            </w:r>
          </w:p>
        </w:tc>
      </w:tr>
    </w:tbl>
    <w:p w:rsidR="00976DCB" w:rsidRDefault="00976DCB" w:rsidP="00976DCB">
      <w:pPr>
        <w:widowControl/>
        <w:rPr>
          <w:szCs w:val="22"/>
        </w:rPr>
      </w:pPr>
    </w:p>
    <w:tbl>
      <w:tblPr>
        <w:tblW w:w="8505" w:type="dxa"/>
        <w:tblInd w:w="817" w:type="dxa"/>
        <w:tblLayout w:type="fixed"/>
        <w:tblLook w:val="0000" w:firstRow="0" w:lastRow="0" w:firstColumn="0" w:lastColumn="0" w:noHBand="0" w:noVBand="0"/>
        <w:tblCaption w:val="Requested PBS listing - initial 2"/>
      </w:tblPr>
      <w:tblGrid>
        <w:gridCol w:w="2410"/>
        <w:gridCol w:w="6095"/>
      </w:tblGrid>
      <w:tr w:rsidR="00976DCB" w:rsidRPr="00B5495A" w:rsidTr="002C72E5">
        <w:trPr>
          <w:cantSplit/>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2C72E5">
            <w:pPr>
              <w:tabs>
                <w:tab w:val="left" w:pos="284"/>
              </w:tabs>
              <w:rPr>
                <w:rFonts w:ascii="Arial Narrow" w:hAnsi="Arial Narrow"/>
                <w:b/>
                <w:sz w:val="20"/>
              </w:rPr>
            </w:pPr>
            <w:r w:rsidRPr="00B5495A">
              <w:rPr>
                <w:rFonts w:ascii="Arial Narrow" w:hAnsi="Arial Narrow"/>
                <w:b/>
                <w:sz w:val="20"/>
              </w:rPr>
              <w:t>Category / Program</w:t>
            </w:r>
          </w:p>
        </w:tc>
        <w:tc>
          <w:tcPr>
            <w:tcW w:w="6095"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sz w:val="20"/>
              </w:rPr>
            </w:pPr>
            <w:r w:rsidRPr="00B5495A">
              <w:rPr>
                <w:rFonts w:ascii="Arial Narrow" w:hAnsi="Arial Narrow"/>
                <w:sz w:val="20"/>
              </w:rPr>
              <w:t>GENERAL – General Schedule (Code GE)</w:t>
            </w:r>
          </w:p>
        </w:tc>
      </w:tr>
      <w:tr w:rsidR="00976DCB" w:rsidRPr="00B5495A" w:rsidTr="002C72E5">
        <w:trPr>
          <w:cantSplit/>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2C72E5">
            <w:pPr>
              <w:tabs>
                <w:tab w:val="left" w:pos="284"/>
              </w:tabs>
              <w:rPr>
                <w:rFonts w:ascii="Arial Narrow" w:hAnsi="Arial Narrow"/>
                <w:b/>
                <w:sz w:val="20"/>
              </w:rPr>
            </w:pPr>
            <w:r w:rsidRPr="00B5495A">
              <w:rPr>
                <w:rFonts w:ascii="Arial Narrow" w:hAnsi="Arial Narrow"/>
                <w:b/>
                <w:sz w:val="20"/>
              </w:rPr>
              <w:t>Prescriber type:</w:t>
            </w:r>
          </w:p>
        </w:tc>
        <w:tc>
          <w:tcPr>
            <w:tcW w:w="6095"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sz w:val="20"/>
              </w:rPr>
            </w:pPr>
            <w:r w:rsidRPr="00B5495A">
              <w:rPr>
                <w:rFonts w:ascii="Arial Narrow" w:hAnsi="Arial Narrow"/>
                <w:sz w:val="20"/>
              </w:rPr>
              <w:fldChar w:fldCharType="begin">
                <w:ffData>
                  <w:name w:val="Check1"/>
                  <w:enabled/>
                  <w:calcOnExit w:val="0"/>
                  <w:checkBox>
                    <w:sizeAuto/>
                    <w:default w:val="0"/>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 xml:space="preserve">Dental  </w:t>
            </w:r>
            <w:r w:rsidRPr="00B5495A">
              <w:rPr>
                <w:rFonts w:ascii="Arial Narrow" w:hAnsi="Arial Narrow"/>
                <w:sz w:val="20"/>
              </w:rPr>
              <w:fldChar w:fldCharType="begin">
                <w:ffData>
                  <w:name w:val=""/>
                  <w:enabled/>
                  <w:calcOnExit w:val="0"/>
                  <w:checkBox>
                    <w:sizeAuto/>
                    <w:default w:val="1"/>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 xml:space="preserve">Medical Practitioners  </w:t>
            </w:r>
            <w:r w:rsidRPr="00B5495A">
              <w:rPr>
                <w:rFonts w:ascii="Arial Narrow" w:hAnsi="Arial Narrow"/>
                <w:sz w:val="20"/>
              </w:rPr>
              <w:fldChar w:fldCharType="begin">
                <w:ffData>
                  <w:name w:val="Check3"/>
                  <w:enabled/>
                  <w:calcOnExit w:val="0"/>
                  <w:checkBox>
                    <w:sizeAuto/>
                    <w:default w:val="0"/>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 xml:space="preserve">Nurse practitioners  </w:t>
            </w:r>
            <w:r w:rsidRPr="00B5495A">
              <w:rPr>
                <w:rFonts w:ascii="Arial Narrow" w:hAnsi="Arial Narrow"/>
                <w:sz w:val="20"/>
              </w:rPr>
              <w:fldChar w:fldCharType="begin">
                <w:ffData>
                  <w:name w:val=""/>
                  <w:enabled/>
                  <w:calcOnExit w:val="0"/>
                  <w:checkBox>
                    <w:sizeAuto/>
                    <w:default w:val="0"/>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Optometrists</w:t>
            </w:r>
          </w:p>
          <w:p w:rsidR="00976DCB" w:rsidRPr="00B5495A" w:rsidRDefault="00976DCB" w:rsidP="00976DCB">
            <w:pPr>
              <w:tabs>
                <w:tab w:val="left" w:pos="284"/>
              </w:tabs>
              <w:rPr>
                <w:rFonts w:ascii="Arial Narrow" w:hAnsi="Arial Narrow"/>
                <w:sz w:val="20"/>
              </w:rPr>
            </w:pPr>
            <w:r w:rsidRPr="00B5495A">
              <w:rPr>
                <w:rFonts w:ascii="Arial Narrow" w:hAnsi="Arial Narrow"/>
                <w:sz w:val="20"/>
              </w:rPr>
              <w:fldChar w:fldCharType="begin">
                <w:ffData>
                  <w:name w:val="Check5"/>
                  <w:enabled/>
                  <w:calcOnExit w:val="0"/>
                  <w:checkBox>
                    <w:sizeAuto/>
                    <w:default w:val="0"/>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Midwives</w:t>
            </w:r>
          </w:p>
        </w:tc>
      </w:tr>
      <w:tr w:rsidR="00976DCB" w:rsidRPr="00B5495A" w:rsidTr="002C72E5">
        <w:trPr>
          <w:cantSplit/>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b/>
                <w:sz w:val="20"/>
              </w:rPr>
            </w:pPr>
            <w:r w:rsidRPr="00B5495A">
              <w:rPr>
                <w:rFonts w:ascii="Arial Narrow" w:hAnsi="Arial Narrow"/>
                <w:b/>
                <w:sz w:val="20"/>
              </w:rPr>
              <w:t>PBS Indication:</w:t>
            </w:r>
          </w:p>
        </w:tc>
        <w:tc>
          <w:tcPr>
            <w:tcW w:w="6095"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sz w:val="20"/>
              </w:rPr>
            </w:pPr>
            <w:r w:rsidRPr="00B5495A">
              <w:rPr>
                <w:rFonts w:ascii="Arial Narrow" w:hAnsi="Arial Narrow"/>
                <w:sz w:val="20"/>
              </w:rPr>
              <w:t>Severe psoriatic arthritis</w:t>
            </w:r>
          </w:p>
        </w:tc>
      </w:tr>
      <w:tr w:rsidR="00976DCB" w:rsidRPr="00B5495A" w:rsidTr="002C72E5">
        <w:trPr>
          <w:cantSplit/>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b/>
                <w:sz w:val="20"/>
              </w:rPr>
            </w:pPr>
            <w:r w:rsidRPr="00B5495A">
              <w:rPr>
                <w:rFonts w:ascii="Arial Narrow" w:hAnsi="Arial Narrow"/>
                <w:b/>
                <w:sz w:val="20"/>
              </w:rPr>
              <w:t>Treatment phase:</w:t>
            </w:r>
          </w:p>
        </w:tc>
        <w:tc>
          <w:tcPr>
            <w:tcW w:w="6095"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sz w:val="20"/>
              </w:rPr>
            </w:pPr>
            <w:r w:rsidRPr="00B5495A">
              <w:rPr>
                <w:rFonts w:ascii="Arial Narrow" w:hAnsi="Arial Narrow"/>
                <w:sz w:val="20"/>
              </w:rPr>
              <w:t>Initial treatment – Initial 2 (change or recommencement of treatment)</w:t>
            </w:r>
          </w:p>
        </w:tc>
      </w:tr>
      <w:tr w:rsidR="00976DCB" w:rsidRPr="00B5495A" w:rsidTr="002C72E5">
        <w:trPr>
          <w:cantSplit/>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i/>
                <w:sz w:val="20"/>
              </w:rPr>
            </w:pPr>
            <w:r>
              <w:rPr>
                <w:rFonts w:ascii="Arial Narrow" w:hAnsi="Arial Narrow"/>
                <w:b/>
                <w:sz w:val="20"/>
              </w:rPr>
              <w:t>Restriction Level:</w:t>
            </w:r>
          </w:p>
        </w:tc>
        <w:tc>
          <w:tcPr>
            <w:tcW w:w="6095"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sz w:val="20"/>
              </w:rPr>
            </w:pPr>
            <w:r w:rsidRPr="00B5495A">
              <w:rPr>
                <w:rFonts w:ascii="Arial Narrow" w:hAnsi="Arial Narrow"/>
                <w:sz w:val="20"/>
              </w:rPr>
              <w:fldChar w:fldCharType="begin">
                <w:ffData>
                  <w:name w:val=""/>
                  <w:enabled/>
                  <w:calcOnExit w:val="0"/>
                  <w:checkBox>
                    <w:sizeAuto/>
                    <w:default w:val="1"/>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Authority Required - In Writing</w:t>
            </w:r>
          </w:p>
          <w:p w:rsidR="00976DCB" w:rsidRPr="00B5495A" w:rsidRDefault="00976DCB" w:rsidP="00976DCB">
            <w:pPr>
              <w:tabs>
                <w:tab w:val="left" w:pos="284"/>
              </w:tabs>
              <w:rPr>
                <w:rFonts w:ascii="Arial Narrow" w:hAnsi="Arial Narrow"/>
                <w:sz w:val="20"/>
              </w:rPr>
            </w:pPr>
          </w:p>
        </w:tc>
      </w:tr>
      <w:tr w:rsidR="00976DCB" w:rsidRPr="00B5495A" w:rsidTr="002C72E5">
        <w:trPr>
          <w:cantSplit/>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2C72E5">
            <w:pPr>
              <w:tabs>
                <w:tab w:val="left" w:pos="284"/>
              </w:tabs>
              <w:rPr>
                <w:rFonts w:ascii="Arial Narrow" w:hAnsi="Arial Narrow"/>
                <w:sz w:val="20"/>
              </w:rPr>
            </w:pPr>
            <w:r w:rsidRPr="00B5495A">
              <w:rPr>
                <w:rFonts w:ascii="Arial Narrow" w:hAnsi="Arial Narrow"/>
                <w:b/>
                <w:sz w:val="20"/>
              </w:rPr>
              <w:t>Treatment criteria:</w:t>
            </w:r>
          </w:p>
        </w:tc>
        <w:tc>
          <w:tcPr>
            <w:tcW w:w="6095" w:type="dxa"/>
            <w:tcBorders>
              <w:top w:val="single" w:sz="4" w:space="0" w:color="auto"/>
              <w:left w:val="single" w:sz="4" w:space="0" w:color="auto"/>
              <w:bottom w:val="single" w:sz="4" w:space="0" w:color="auto"/>
              <w:right w:val="single" w:sz="4" w:space="0" w:color="auto"/>
            </w:tcBorders>
          </w:tcPr>
          <w:p w:rsidR="00976DCB" w:rsidRDefault="00976DCB" w:rsidP="00976DCB">
            <w:pPr>
              <w:tabs>
                <w:tab w:val="left" w:pos="284"/>
              </w:tabs>
              <w:rPr>
                <w:rFonts w:ascii="Arial Narrow" w:hAnsi="Arial Narrow"/>
                <w:sz w:val="20"/>
              </w:rPr>
            </w:pPr>
            <w:r w:rsidRPr="00B5495A">
              <w:rPr>
                <w:rFonts w:ascii="Arial Narrow" w:hAnsi="Arial Narrow"/>
                <w:sz w:val="20"/>
              </w:rPr>
              <w:t xml:space="preserve">Must be </w:t>
            </w:r>
            <w:r w:rsidRPr="00FA60C0">
              <w:rPr>
                <w:rFonts w:ascii="Arial Narrow" w:hAnsi="Arial Narrow"/>
                <w:sz w:val="20"/>
              </w:rPr>
              <w:t>treated by a</w:t>
            </w:r>
            <w:r w:rsidRPr="00B5495A">
              <w:rPr>
                <w:rFonts w:ascii="Arial Narrow" w:hAnsi="Arial Narrow"/>
                <w:sz w:val="20"/>
              </w:rPr>
              <w:t xml:space="preserve"> rheumatologist; OR</w:t>
            </w:r>
          </w:p>
          <w:p w:rsidR="00FA60C0" w:rsidRPr="00B5495A" w:rsidRDefault="00FA60C0" w:rsidP="00976DCB">
            <w:pPr>
              <w:tabs>
                <w:tab w:val="left" w:pos="284"/>
              </w:tabs>
              <w:rPr>
                <w:rFonts w:ascii="Arial Narrow" w:hAnsi="Arial Narrow"/>
                <w:sz w:val="20"/>
              </w:rPr>
            </w:pPr>
          </w:p>
          <w:p w:rsidR="00976DCB" w:rsidRPr="00B5495A" w:rsidRDefault="00976DCB" w:rsidP="00976DCB">
            <w:pPr>
              <w:tabs>
                <w:tab w:val="left" w:pos="284"/>
              </w:tabs>
              <w:rPr>
                <w:rFonts w:ascii="Arial Narrow" w:hAnsi="Arial Narrow"/>
                <w:sz w:val="20"/>
              </w:rPr>
            </w:pPr>
            <w:r w:rsidRPr="00B5495A">
              <w:rPr>
                <w:rFonts w:ascii="Arial Narrow" w:hAnsi="Arial Narrow"/>
                <w:sz w:val="20"/>
              </w:rPr>
              <w:t>Must be treated by a clinical immunologist with expertise in the management of psoriatic arthritis.</w:t>
            </w:r>
          </w:p>
        </w:tc>
      </w:tr>
      <w:tr w:rsidR="00976DCB" w:rsidRPr="00B5495A" w:rsidTr="002C72E5">
        <w:trPr>
          <w:cantSplit/>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2C72E5">
            <w:pPr>
              <w:tabs>
                <w:tab w:val="left" w:pos="284"/>
              </w:tabs>
              <w:rPr>
                <w:rFonts w:ascii="Arial Narrow" w:hAnsi="Arial Narrow"/>
                <w:sz w:val="20"/>
              </w:rPr>
            </w:pPr>
            <w:r w:rsidRPr="00B5495A">
              <w:rPr>
                <w:rFonts w:ascii="Arial Narrow" w:hAnsi="Arial Narrow"/>
                <w:b/>
                <w:sz w:val="20"/>
              </w:rPr>
              <w:t>Clinical criteria:</w:t>
            </w:r>
          </w:p>
        </w:tc>
        <w:tc>
          <w:tcPr>
            <w:tcW w:w="6095" w:type="dxa"/>
            <w:tcBorders>
              <w:top w:val="single" w:sz="4" w:space="0" w:color="auto"/>
              <w:left w:val="single" w:sz="4" w:space="0" w:color="auto"/>
              <w:bottom w:val="single" w:sz="4" w:space="0" w:color="auto"/>
              <w:right w:val="single" w:sz="4" w:space="0" w:color="auto"/>
            </w:tcBorders>
          </w:tcPr>
          <w:p w:rsidR="00976DCB" w:rsidRDefault="00976DCB" w:rsidP="00976DCB">
            <w:pPr>
              <w:tabs>
                <w:tab w:val="left" w:pos="284"/>
              </w:tabs>
              <w:rPr>
                <w:rFonts w:ascii="Arial Narrow" w:hAnsi="Arial Narrow"/>
                <w:sz w:val="20"/>
              </w:rPr>
            </w:pPr>
            <w:r w:rsidRPr="00B5495A">
              <w:rPr>
                <w:rFonts w:ascii="Arial Narrow" w:hAnsi="Arial Narrow"/>
                <w:sz w:val="20"/>
              </w:rPr>
              <w:t>Patient must have a documented history of severe active psoriatic arthritis,</w:t>
            </w:r>
            <w:r w:rsidR="00D306FA">
              <w:rPr>
                <w:rFonts w:ascii="Arial Narrow" w:hAnsi="Arial Narrow"/>
                <w:sz w:val="20"/>
              </w:rPr>
              <w:t xml:space="preserve"> </w:t>
            </w:r>
            <w:r w:rsidRPr="00B5495A">
              <w:rPr>
                <w:rFonts w:ascii="Arial Narrow" w:hAnsi="Arial Narrow"/>
                <w:sz w:val="20"/>
              </w:rPr>
              <w:t>AND</w:t>
            </w:r>
          </w:p>
          <w:p w:rsidR="00D306FA" w:rsidRPr="00B5495A" w:rsidRDefault="00D306FA" w:rsidP="00976DCB">
            <w:pPr>
              <w:tabs>
                <w:tab w:val="left" w:pos="284"/>
              </w:tabs>
              <w:rPr>
                <w:rFonts w:ascii="Arial Narrow" w:hAnsi="Arial Narrow"/>
                <w:sz w:val="20"/>
              </w:rPr>
            </w:pPr>
          </w:p>
          <w:p w:rsidR="00976DCB" w:rsidRPr="00B5495A" w:rsidRDefault="00976DCB" w:rsidP="00976DCB">
            <w:pPr>
              <w:tabs>
                <w:tab w:val="left" w:pos="284"/>
              </w:tabs>
              <w:rPr>
                <w:rFonts w:ascii="Arial Narrow" w:hAnsi="Arial Narrow"/>
                <w:sz w:val="20"/>
              </w:rPr>
            </w:pPr>
            <w:r w:rsidRPr="00B5495A">
              <w:rPr>
                <w:rFonts w:ascii="Arial Narrow" w:hAnsi="Arial Narrow"/>
                <w:sz w:val="20"/>
              </w:rPr>
              <w:t>Patient must have received prior PBS-subsidised treatment with this drug for this condition in this Treatment Cycle, OR</w:t>
            </w:r>
          </w:p>
          <w:p w:rsidR="00976DCB" w:rsidRPr="00B5495A" w:rsidRDefault="00976DCB" w:rsidP="00976DCB">
            <w:pPr>
              <w:tabs>
                <w:tab w:val="left" w:pos="284"/>
              </w:tabs>
              <w:rPr>
                <w:rFonts w:ascii="Arial Narrow" w:hAnsi="Arial Narrow"/>
                <w:sz w:val="20"/>
              </w:rPr>
            </w:pPr>
          </w:p>
          <w:p w:rsidR="00976DCB" w:rsidRDefault="00976DCB" w:rsidP="00976DCB">
            <w:pPr>
              <w:tabs>
                <w:tab w:val="left" w:pos="284"/>
              </w:tabs>
              <w:rPr>
                <w:rFonts w:ascii="Arial Narrow" w:hAnsi="Arial Narrow"/>
                <w:i/>
                <w:sz w:val="20"/>
              </w:rPr>
            </w:pPr>
            <w:r w:rsidRPr="00B5495A">
              <w:rPr>
                <w:rFonts w:ascii="Arial Narrow" w:hAnsi="Arial Narrow"/>
                <w:i/>
                <w:sz w:val="20"/>
              </w:rPr>
              <w:t>Patient must have received prior PBS-subsidised treatment with a biological agent for this condition in this Treatment Cycle; AND</w:t>
            </w:r>
          </w:p>
          <w:p w:rsidR="00D306FA" w:rsidRPr="00B5495A" w:rsidRDefault="00D306FA" w:rsidP="00976DCB">
            <w:pPr>
              <w:tabs>
                <w:tab w:val="left" w:pos="284"/>
              </w:tabs>
              <w:rPr>
                <w:rFonts w:ascii="Arial Narrow" w:hAnsi="Arial Narrow"/>
                <w:i/>
                <w:sz w:val="20"/>
              </w:rPr>
            </w:pPr>
          </w:p>
          <w:p w:rsidR="00976DCB" w:rsidRPr="00B5495A" w:rsidRDefault="00976DCB" w:rsidP="00976DCB">
            <w:pPr>
              <w:tabs>
                <w:tab w:val="left" w:pos="284"/>
              </w:tabs>
              <w:rPr>
                <w:rFonts w:ascii="Arial Narrow" w:hAnsi="Arial Narrow"/>
                <w:sz w:val="20"/>
              </w:rPr>
            </w:pPr>
            <w:r w:rsidRPr="00B5495A">
              <w:rPr>
                <w:rFonts w:ascii="Arial Narrow" w:hAnsi="Arial Narrow"/>
                <w:sz w:val="20"/>
              </w:rPr>
              <w:t>Patient must not have failed, or ceased to respond to, PBS-subsidised treatment with this drug within this Treatment Cycle, OR</w:t>
            </w:r>
          </w:p>
          <w:p w:rsidR="00976DCB" w:rsidRPr="00B5495A" w:rsidRDefault="00976DCB" w:rsidP="00976DCB">
            <w:pPr>
              <w:tabs>
                <w:tab w:val="left" w:pos="284"/>
              </w:tabs>
              <w:rPr>
                <w:rFonts w:ascii="Arial Narrow" w:hAnsi="Arial Narrow"/>
                <w:i/>
                <w:sz w:val="20"/>
              </w:rPr>
            </w:pPr>
          </w:p>
          <w:p w:rsidR="00976DCB" w:rsidRPr="00D306FA" w:rsidRDefault="00976DCB" w:rsidP="00976DCB">
            <w:pPr>
              <w:tabs>
                <w:tab w:val="left" w:pos="284"/>
              </w:tabs>
              <w:rPr>
                <w:rFonts w:ascii="Arial Narrow" w:hAnsi="Arial Narrow"/>
                <w:sz w:val="20"/>
              </w:rPr>
            </w:pPr>
            <w:r w:rsidRPr="00D306FA">
              <w:rPr>
                <w:rFonts w:ascii="Arial Narrow" w:hAnsi="Arial Narrow"/>
                <w:i/>
                <w:sz w:val="20"/>
              </w:rPr>
              <w:t xml:space="preserve">Patient must not have already failed, or ceased to respond to, PBS-subsidised treatment with 3 biological agents or 2 biological agents and this drug within this Treatment Cycle; </w:t>
            </w:r>
            <w:r w:rsidRPr="00D306FA">
              <w:rPr>
                <w:rFonts w:ascii="Arial Narrow" w:hAnsi="Arial Narrow"/>
                <w:sz w:val="20"/>
              </w:rPr>
              <w:t>AND</w:t>
            </w:r>
          </w:p>
          <w:p w:rsidR="00D306FA" w:rsidRPr="00B5495A" w:rsidRDefault="00D306FA" w:rsidP="00976DCB">
            <w:pPr>
              <w:tabs>
                <w:tab w:val="left" w:pos="284"/>
              </w:tabs>
              <w:rPr>
                <w:rFonts w:ascii="Arial Narrow" w:hAnsi="Arial Narrow"/>
                <w:i/>
                <w:sz w:val="20"/>
              </w:rPr>
            </w:pPr>
          </w:p>
          <w:p w:rsidR="00D306FA" w:rsidRDefault="00976DCB" w:rsidP="00976DCB">
            <w:pPr>
              <w:tabs>
                <w:tab w:val="left" w:pos="284"/>
              </w:tabs>
              <w:rPr>
                <w:rFonts w:ascii="Arial Narrow" w:hAnsi="Arial Narrow"/>
                <w:i/>
                <w:sz w:val="20"/>
              </w:rPr>
            </w:pPr>
            <w:r w:rsidRPr="00B5495A">
              <w:rPr>
                <w:rFonts w:ascii="Arial Narrow" w:hAnsi="Arial Narrow"/>
                <w:i/>
                <w:sz w:val="20"/>
              </w:rPr>
              <w:t>Patient must not receive more than 2 weeks of titration dose;</w:t>
            </w:r>
            <w:r w:rsidR="00D306FA">
              <w:rPr>
                <w:rFonts w:ascii="Arial Narrow" w:hAnsi="Arial Narrow"/>
                <w:i/>
                <w:sz w:val="20"/>
              </w:rPr>
              <w:t xml:space="preserve"> </w:t>
            </w:r>
            <w:r w:rsidRPr="00B5495A">
              <w:rPr>
                <w:rFonts w:ascii="Arial Narrow" w:hAnsi="Arial Narrow"/>
                <w:i/>
                <w:sz w:val="20"/>
              </w:rPr>
              <w:t xml:space="preserve">AND </w:t>
            </w:r>
          </w:p>
          <w:p w:rsidR="00D306FA" w:rsidRDefault="00D306FA" w:rsidP="00976DCB">
            <w:pPr>
              <w:tabs>
                <w:tab w:val="left" w:pos="284"/>
              </w:tabs>
              <w:rPr>
                <w:rFonts w:ascii="Arial Narrow" w:hAnsi="Arial Narrow"/>
                <w:i/>
                <w:sz w:val="20"/>
              </w:rPr>
            </w:pPr>
          </w:p>
          <w:p w:rsidR="00976DCB" w:rsidRPr="00B5495A" w:rsidRDefault="00976DCB" w:rsidP="00976DCB">
            <w:pPr>
              <w:tabs>
                <w:tab w:val="left" w:pos="284"/>
              </w:tabs>
              <w:rPr>
                <w:rFonts w:ascii="Arial Narrow" w:hAnsi="Arial Narrow"/>
                <w:sz w:val="20"/>
              </w:rPr>
            </w:pPr>
            <w:r w:rsidRPr="00B5495A">
              <w:rPr>
                <w:rFonts w:ascii="Arial Narrow" w:hAnsi="Arial Narrow"/>
                <w:sz w:val="20"/>
              </w:rPr>
              <w:t xml:space="preserve">Patient must not receive more than </w:t>
            </w:r>
            <w:r w:rsidRPr="007B504E">
              <w:rPr>
                <w:rFonts w:ascii="Arial Narrow" w:hAnsi="Arial Narrow"/>
                <w:sz w:val="20"/>
              </w:rPr>
              <w:t>18</w:t>
            </w:r>
            <w:r w:rsidRPr="00B5495A">
              <w:rPr>
                <w:rFonts w:ascii="Arial Narrow" w:hAnsi="Arial Narrow"/>
                <w:sz w:val="20"/>
              </w:rPr>
              <w:t xml:space="preserve"> weeks of treatment under this restriction.</w:t>
            </w:r>
          </w:p>
        </w:tc>
      </w:tr>
    </w:tbl>
    <w:p w:rsidR="00976DCB" w:rsidRDefault="00976DCB" w:rsidP="00976DCB">
      <w:pPr>
        <w:widowControl/>
        <w:rPr>
          <w:szCs w:val="22"/>
        </w:rPr>
      </w:pPr>
    </w:p>
    <w:tbl>
      <w:tblPr>
        <w:tblW w:w="8505" w:type="dxa"/>
        <w:tblInd w:w="817" w:type="dxa"/>
        <w:tblLayout w:type="fixed"/>
        <w:tblLook w:val="0000" w:firstRow="0" w:lastRow="0" w:firstColumn="0" w:lastColumn="0" w:noHBand="0" w:noVBand="0"/>
        <w:tblCaption w:val="Recommended PBS listing - continuing"/>
      </w:tblPr>
      <w:tblGrid>
        <w:gridCol w:w="2410"/>
        <w:gridCol w:w="6095"/>
      </w:tblGrid>
      <w:tr w:rsidR="00976DCB" w:rsidRPr="00B5495A" w:rsidTr="002C72E5">
        <w:trPr>
          <w:cantSplit/>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2C72E5">
            <w:pPr>
              <w:tabs>
                <w:tab w:val="left" w:pos="284"/>
              </w:tabs>
              <w:rPr>
                <w:rFonts w:ascii="Arial Narrow" w:hAnsi="Arial Narrow"/>
                <w:b/>
                <w:sz w:val="20"/>
              </w:rPr>
            </w:pPr>
            <w:r w:rsidRPr="00B5495A">
              <w:rPr>
                <w:rFonts w:ascii="Arial Narrow" w:hAnsi="Arial Narrow"/>
                <w:b/>
                <w:sz w:val="20"/>
              </w:rPr>
              <w:t>Category / Program</w:t>
            </w:r>
          </w:p>
        </w:tc>
        <w:tc>
          <w:tcPr>
            <w:tcW w:w="6095"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sz w:val="20"/>
              </w:rPr>
            </w:pPr>
            <w:r w:rsidRPr="00B5495A">
              <w:rPr>
                <w:rFonts w:ascii="Arial Narrow" w:hAnsi="Arial Narrow"/>
                <w:sz w:val="20"/>
              </w:rPr>
              <w:t>GENERAL – General Schedule (Code GE)</w:t>
            </w:r>
          </w:p>
        </w:tc>
      </w:tr>
      <w:tr w:rsidR="00976DCB" w:rsidRPr="00B5495A" w:rsidTr="002C72E5">
        <w:trPr>
          <w:cantSplit/>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2C72E5">
            <w:pPr>
              <w:tabs>
                <w:tab w:val="left" w:pos="284"/>
              </w:tabs>
              <w:rPr>
                <w:rFonts w:ascii="Arial Narrow" w:hAnsi="Arial Narrow"/>
                <w:b/>
                <w:sz w:val="20"/>
              </w:rPr>
            </w:pPr>
            <w:r w:rsidRPr="00B5495A">
              <w:rPr>
                <w:rFonts w:ascii="Arial Narrow" w:hAnsi="Arial Narrow"/>
                <w:b/>
                <w:sz w:val="20"/>
              </w:rPr>
              <w:t>Prescriber type:</w:t>
            </w:r>
          </w:p>
        </w:tc>
        <w:tc>
          <w:tcPr>
            <w:tcW w:w="6095"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sz w:val="20"/>
              </w:rPr>
            </w:pPr>
            <w:r w:rsidRPr="00B5495A">
              <w:rPr>
                <w:rFonts w:ascii="Arial Narrow" w:hAnsi="Arial Narrow"/>
                <w:sz w:val="20"/>
              </w:rPr>
              <w:fldChar w:fldCharType="begin">
                <w:ffData>
                  <w:name w:val="Check1"/>
                  <w:enabled/>
                  <w:calcOnExit w:val="0"/>
                  <w:checkBox>
                    <w:sizeAuto/>
                    <w:default w:val="0"/>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 xml:space="preserve">Dental  </w:t>
            </w:r>
            <w:r w:rsidRPr="00B5495A">
              <w:rPr>
                <w:rFonts w:ascii="Arial Narrow" w:hAnsi="Arial Narrow"/>
                <w:sz w:val="20"/>
              </w:rPr>
              <w:fldChar w:fldCharType="begin">
                <w:ffData>
                  <w:name w:val=""/>
                  <w:enabled/>
                  <w:calcOnExit w:val="0"/>
                  <w:checkBox>
                    <w:sizeAuto/>
                    <w:default w:val="1"/>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 xml:space="preserve">Medical Practitioners  </w:t>
            </w:r>
            <w:r w:rsidRPr="00B5495A">
              <w:rPr>
                <w:rFonts w:ascii="Arial Narrow" w:hAnsi="Arial Narrow"/>
                <w:sz w:val="20"/>
              </w:rPr>
              <w:fldChar w:fldCharType="begin">
                <w:ffData>
                  <w:name w:val="Check3"/>
                  <w:enabled/>
                  <w:calcOnExit w:val="0"/>
                  <w:checkBox>
                    <w:sizeAuto/>
                    <w:default w:val="0"/>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 xml:space="preserve">Nurse practitioners  </w:t>
            </w:r>
            <w:r w:rsidRPr="00B5495A">
              <w:rPr>
                <w:rFonts w:ascii="Arial Narrow" w:hAnsi="Arial Narrow"/>
                <w:sz w:val="20"/>
              </w:rPr>
              <w:fldChar w:fldCharType="begin">
                <w:ffData>
                  <w:name w:val=""/>
                  <w:enabled/>
                  <w:calcOnExit w:val="0"/>
                  <w:checkBox>
                    <w:sizeAuto/>
                    <w:default w:val="0"/>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Optometrists</w:t>
            </w:r>
          </w:p>
          <w:p w:rsidR="00976DCB" w:rsidRPr="00B5495A" w:rsidRDefault="00976DCB" w:rsidP="00976DCB">
            <w:pPr>
              <w:tabs>
                <w:tab w:val="left" w:pos="284"/>
              </w:tabs>
              <w:rPr>
                <w:rFonts w:ascii="Arial Narrow" w:hAnsi="Arial Narrow"/>
                <w:sz w:val="20"/>
              </w:rPr>
            </w:pPr>
            <w:r w:rsidRPr="00B5495A">
              <w:rPr>
                <w:rFonts w:ascii="Arial Narrow" w:hAnsi="Arial Narrow"/>
                <w:sz w:val="20"/>
              </w:rPr>
              <w:fldChar w:fldCharType="begin">
                <w:ffData>
                  <w:name w:val="Check5"/>
                  <w:enabled/>
                  <w:calcOnExit w:val="0"/>
                  <w:checkBox>
                    <w:sizeAuto/>
                    <w:default w:val="0"/>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Midwives</w:t>
            </w:r>
          </w:p>
        </w:tc>
      </w:tr>
      <w:tr w:rsidR="00976DCB" w:rsidRPr="00B5495A" w:rsidTr="002C72E5">
        <w:trPr>
          <w:cantSplit/>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b/>
                <w:sz w:val="20"/>
              </w:rPr>
            </w:pPr>
            <w:r w:rsidRPr="00B5495A">
              <w:rPr>
                <w:rFonts w:ascii="Arial Narrow" w:hAnsi="Arial Narrow"/>
                <w:b/>
                <w:sz w:val="20"/>
              </w:rPr>
              <w:t>PBS Indication:</w:t>
            </w:r>
          </w:p>
        </w:tc>
        <w:tc>
          <w:tcPr>
            <w:tcW w:w="6095"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sz w:val="20"/>
              </w:rPr>
            </w:pPr>
            <w:r w:rsidRPr="00B5495A">
              <w:rPr>
                <w:rFonts w:ascii="Arial Narrow" w:hAnsi="Arial Narrow"/>
                <w:sz w:val="20"/>
              </w:rPr>
              <w:t>Severe psoriatic arthritis</w:t>
            </w:r>
          </w:p>
        </w:tc>
      </w:tr>
      <w:tr w:rsidR="00976DCB" w:rsidRPr="00B5495A" w:rsidTr="002C72E5">
        <w:trPr>
          <w:cantSplit/>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b/>
                <w:sz w:val="20"/>
              </w:rPr>
            </w:pPr>
            <w:r w:rsidRPr="00B5495A">
              <w:rPr>
                <w:rFonts w:ascii="Arial Narrow" w:hAnsi="Arial Narrow"/>
                <w:b/>
                <w:sz w:val="20"/>
              </w:rPr>
              <w:t>Treatment phase:</w:t>
            </w:r>
          </w:p>
        </w:tc>
        <w:tc>
          <w:tcPr>
            <w:tcW w:w="6095"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sz w:val="20"/>
              </w:rPr>
            </w:pPr>
            <w:r w:rsidRPr="00B5495A">
              <w:rPr>
                <w:rFonts w:ascii="Arial Narrow" w:hAnsi="Arial Narrow"/>
                <w:sz w:val="20"/>
              </w:rPr>
              <w:t>Continuing treatment</w:t>
            </w:r>
          </w:p>
        </w:tc>
      </w:tr>
      <w:tr w:rsidR="00976DCB" w:rsidRPr="00B5495A" w:rsidTr="002C72E5">
        <w:trPr>
          <w:cantSplit/>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i/>
                <w:sz w:val="20"/>
              </w:rPr>
            </w:pPr>
            <w:r>
              <w:rPr>
                <w:rFonts w:ascii="Arial Narrow" w:hAnsi="Arial Narrow"/>
                <w:b/>
                <w:sz w:val="20"/>
              </w:rPr>
              <w:lastRenderedPageBreak/>
              <w:t>Restriction Level:</w:t>
            </w:r>
          </w:p>
        </w:tc>
        <w:tc>
          <w:tcPr>
            <w:tcW w:w="6095" w:type="dxa"/>
            <w:tcBorders>
              <w:top w:val="single" w:sz="4" w:space="0" w:color="auto"/>
              <w:left w:val="single" w:sz="4" w:space="0" w:color="auto"/>
              <w:bottom w:val="single" w:sz="4" w:space="0" w:color="auto"/>
              <w:right w:val="single" w:sz="4" w:space="0" w:color="auto"/>
            </w:tcBorders>
          </w:tcPr>
          <w:p w:rsidR="00976DCB" w:rsidRPr="00B5495A" w:rsidRDefault="00976DCB" w:rsidP="00976DCB">
            <w:pPr>
              <w:tabs>
                <w:tab w:val="left" w:pos="284"/>
              </w:tabs>
              <w:rPr>
                <w:rFonts w:ascii="Arial Narrow" w:hAnsi="Arial Narrow"/>
                <w:sz w:val="20"/>
              </w:rPr>
            </w:pPr>
            <w:r w:rsidRPr="00B5495A">
              <w:rPr>
                <w:rFonts w:ascii="Arial Narrow" w:hAnsi="Arial Narrow"/>
                <w:sz w:val="20"/>
              </w:rPr>
              <w:fldChar w:fldCharType="begin">
                <w:ffData>
                  <w:name w:val=""/>
                  <w:enabled/>
                  <w:calcOnExit w:val="0"/>
                  <w:checkBox>
                    <w:sizeAuto/>
                    <w:default w:val="1"/>
                  </w:checkBox>
                </w:ffData>
              </w:fldChar>
            </w:r>
            <w:r w:rsidRPr="00B5495A">
              <w:rPr>
                <w:rFonts w:ascii="Arial Narrow" w:hAnsi="Arial Narrow"/>
                <w:sz w:val="20"/>
              </w:rPr>
              <w:instrText xml:space="preserve"> FORMCHECKBOX </w:instrText>
            </w:r>
            <w:r w:rsidR="00DD7BBF">
              <w:rPr>
                <w:rFonts w:ascii="Arial Narrow" w:hAnsi="Arial Narrow"/>
                <w:sz w:val="20"/>
              </w:rPr>
            </w:r>
            <w:r w:rsidR="00DD7BBF">
              <w:rPr>
                <w:rFonts w:ascii="Arial Narrow" w:hAnsi="Arial Narrow"/>
                <w:sz w:val="20"/>
              </w:rPr>
              <w:fldChar w:fldCharType="separate"/>
            </w:r>
            <w:r w:rsidRPr="00B5495A">
              <w:rPr>
                <w:rFonts w:ascii="Arial Narrow" w:hAnsi="Arial Narrow"/>
                <w:sz w:val="20"/>
              </w:rPr>
              <w:fldChar w:fldCharType="end"/>
            </w:r>
            <w:r w:rsidRPr="00B5495A">
              <w:rPr>
                <w:rFonts w:ascii="Arial Narrow" w:hAnsi="Arial Narrow"/>
                <w:sz w:val="20"/>
              </w:rPr>
              <w:t>Authority Required - In Writing</w:t>
            </w:r>
          </w:p>
        </w:tc>
      </w:tr>
      <w:tr w:rsidR="00976DCB" w:rsidRPr="00B5495A" w:rsidTr="002C72E5">
        <w:trPr>
          <w:cantSplit/>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2C72E5">
            <w:pPr>
              <w:tabs>
                <w:tab w:val="left" w:pos="284"/>
              </w:tabs>
              <w:rPr>
                <w:rFonts w:ascii="Arial Narrow" w:hAnsi="Arial Narrow"/>
                <w:sz w:val="20"/>
              </w:rPr>
            </w:pPr>
            <w:r w:rsidRPr="00B5495A">
              <w:rPr>
                <w:rFonts w:ascii="Arial Narrow" w:hAnsi="Arial Narrow"/>
                <w:b/>
                <w:sz w:val="20"/>
              </w:rPr>
              <w:t>Treatment criteria:</w:t>
            </w:r>
          </w:p>
        </w:tc>
        <w:tc>
          <w:tcPr>
            <w:tcW w:w="6095" w:type="dxa"/>
            <w:tcBorders>
              <w:top w:val="single" w:sz="4" w:space="0" w:color="auto"/>
              <w:left w:val="single" w:sz="4" w:space="0" w:color="auto"/>
              <w:bottom w:val="single" w:sz="4" w:space="0" w:color="auto"/>
              <w:right w:val="single" w:sz="4" w:space="0" w:color="auto"/>
            </w:tcBorders>
          </w:tcPr>
          <w:p w:rsidR="00976DCB" w:rsidRDefault="00976DCB" w:rsidP="00976DCB">
            <w:pPr>
              <w:tabs>
                <w:tab w:val="left" w:pos="284"/>
              </w:tabs>
              <w:rPr>
                <w:rFonts w:ascii="Arial Narrow" w:hAnsi="Arial Narrow"/>
                <w:sz w:val="20"/>
              </w:rPr>
            </w:pPr>
            <w:r w:rsidRPr="00B5495A">
              <w:rPr>
                <w:rFonts w:ascii="Arial Narrow" w:hAnsi="Arial Narrow"/>
                <w:sz w:val="20"/>
              </w:rPr>
              <w:t>Must be treated by a rheumatologist; OR</w:t>
            </w:r>
          </w:p>
          <w:p w:rsidR="007B504E" w:rsidRPr="00B5495A" w:rsidRDefault="007B504E" w:rsidP="00976DCB">
            <w:pPr>
              <w:tabs>
                <w:tab w:val="left" w:pos="284"/>
              </w:tabs>
              <w:rPr>
                <w:rFonts w:ascii="Arial Narrow" w:hAnsi="Arial Narrow"/>
                <w:sz w:val="20"/>
              </w:rPr>
            </w:pPr>
          </w:p>
          <w:p w:rsidR="00976DCB" w:rsidRPr="00B5495A" w:rsidRDefault="00976DCB" w:rsidP="00976DCB">
            <w:pPr>
              <w:tabs>
                <w:tab w:val="left" w:pos="284"/>
              </w:tabs>
              <w:rPr>
                <w:rFonts w:ascii="Arial Narrow" w:hAnsi="Arial Narrow"/>
                <w:sz w:val="20"/>
              </w:rPr>
            </w:pPr>
            <w:r w:rsidRPr="00B5495A">
              <w:rPr>
                <w:rFonts w:ascii="Arial Narrow" w:hAnsi="Arial Narrow"/>
                <w:sz w:val="20"/>
              </w:rPr>
              <w:t>Must be treated by a clinical immunologist with expertise in the management of psoriatic arthritis.</w:t>
            </w:r>
          </w:p>
        </w:tc>
      </w:tr>
      <w:tr w:rsidR="00976DCB" w:rsidRPr="00B5495A" w:rsidTr="002C72E5">
        <w:trPr>
          <w:cantSplit/>
          <w:trHeight w:val="360"/>
        </w:trPr>
        <w:tc>
          <w:tcPr>
            <w:tcW w:w="2410" w:type="dxa"/>
            <w:tcBorders>
              <w:top w:val="single" w:sz="4" w:space="0" w:color="auto"/>
              <w:left w:val="single" w:sz="4" w:space="0" w:color="auto"/>
              <w:bottom w:val="single" w:sz="4" w:space="0" w:color="auto"/>
              <w:right w:val="single" w:sz="4" w:space="0" w:color="auto"/>
            </w:tcBorders>
          </w:tcPr>
          <w:p w:rsidR="00976DCB" w:rsidRPr="00B5495A" w:rsidRDefault="00976DCB" w:rsidP="002C72E5">
            <w:pPr>
              <w:tabs>
                <w:tab w:val="left" w:pos="284"/>
              </w:tabs>
              <w:rPr>
                <w:rFonts w:ascii="Arial Narrow" w:hAnsi="Arial Narrow"/>
                <w:sz w:val="20"/>
              </w:rPr>
            </w:pPr>
            <w:r w:rsidRPr="00B5495A">
              <w:rPr>
                <w:rFonts w:ascii="Arial Narrow" w:hAnsi="Arial Narrow"/>
                <w:b/>
                <w:sz w:val="20"/>
              </w:rPr>
              <w:t>Clinical criteria:</w:t>
            </w:r>
          </w:p>
        </w:tc>
        <w:tc>
          <w:tcPr>
            <w:tcW w:w="6095" w:type="dxa"/>
            <w:tcBorders>
              <w:top w:val="single" w:sz="4" w:space="0" w:color="auto"/>
              <w:left w:val="single" w:sz="4" w:space="0" w:color="auto"/>
              <w:bottom w:val="single" w:sz="4" w:space="0" w:color="auto"/>
              <w:right w:val="single" w:sz="4" w:space="0" w:color="auto"/>
            </w:tcBorders>
          </w:tcPr>
          <w:p w:rsidR="00976DCB" w:rsidRDefault="00976DCB" w:rsidP="00976DCB">
            <w:pPr>
              <w:tabs>
                <w:tab w:val="left" w:pos="284"/>
              </w:tabs>
              <w:rPr>
                <w:rFonts w:ascii="Arial Narrow" w:hAnsi="Arial Narrow"/>
                <w:sz w:val="20"/>
              </w:rPr>
            </w:pPr>
            <w:r w:rsidRPr="00B5495A">
              <w:rPr>
                <w:rFonts w:ascii="Arial Narrow" w:hAnsi="Arial Narrow"/>
                <w:sz w:val="20"/>
              </w:rPr>
              <w:t>Patient must have a documented history of severe active psoriatic arthritis</w:t>
            </w:r>
            <w:r w:rsidR="00D306FA">
              <w:rPr>
                <w:rFonts w:ascii="Arial Narrow" w:hAnsi="Arial Narrow"/>
                <w:sz w:val="20"/>
              </w:rPr>
              <w:t xml:space="preserve">; </w:t>
            </w:r>
            <w:r w:rsidRPr="00B5495A">
              <w:rPr>
                <w:rFonts w:ascii="Arial Narrow" w:hAnsi="Arial Narrow"/>
                <w:sz w:val="20"/>
              </w:rPr>
              <w:t>AND</w:t>
            </w:r>
          </w:p>
          <w:p w:rsidR="00D306FA" w:rsidRPr="00B5495A" w:rsidRDefault="00D306FA" w:rsidP="00976DCB">
            <w:pPr>
              <w:tabs>
                <w:tab w:val="left" w:pos="284"/>
              </w:tabs>
              <w:rPr>
                <w:rFonts w:ascii="Arial Narrow" w:hAnsi="Arial Narrow"/>
                <w:sz w:val="20"/>
              </w:rPr>
            </w:pPr>
          </w:p>
          <w:p w:rsidR="00976DCB" w:rsidRDefault="00976DCB" w:rsidP="00976DCB">
            <w:pPr>
              <w:tabs>
                <w:tab w:val="left" w:pos="284"/>
              </w:tabs>
              <w:rPr>
                <w:rFonts w:ascii="Arial Narrow" w:hAnsi="Arial Narrow"/>
                <w:sz w:val="20"/>
              </w:rPr>
            </w:pPr>
            <w:r w:rsidRPr="00B5495A">
              <w:rPr>
                <w:rFonts w:ascii="Arial Narrow" w:hAnsi="Arial Narrow"/>
                <w:sz w:val="20"/>
              </w:rPr>
              <w:t>Patient must have received this drug as their most recent course of PBS-subsidised treatment for this condition in the current Treatment Cycle</w:t>
            </w:r>
            <w:r w:rsidR="00D306FA">
              <w:rPr>
                <w:rFonts w:ascii="Arial Narrow" w:hAnsi="Arial Narrow"/>
                <w:sz w:val="20"/>
              </w:rPr>
              <w:t xml:space="preserve">; </w:t>
            </w:r>
            <w:r w:rsidRPr="00B5495A">
              <w:rPr>
                <w:rFonts w:ascii="Arial Narrow" w:hAnsi="Arial Narrow"/>
                <w:sz w:val="20"/>
              </w:rPr>
              <w:t>AND</w:t>
            </w:r>
          </w:p>
          <w:p w:rsidR="00D306FA" w:rsidRPr="00B5495A" w:rsidRDefault="00D306FA" w:rsidP="00976DCB">
            <w:pPr>
              <w:tabs>
                <w:tab w:val="left" w:pos="284"/>
              </w:tabs>
              <w:rPr>
                <w:rFonts w:ascii="Arial Narrow" w:hAnsi="Arial Narrow"/>
                <w:sz w:val="20"/>
              </w:rPr>
            </w:pPr>
          </w:p>
          <w:p w:rsidR="00976DCB" w:rsidRDefault="00976DCB" w:rsidP="00976DCB">
            <w:pPr>
              <w:tabs>
                <w:tab w:val="left" w:pos="284"/>
              </w:tabs>
              <w:rPr>
                <w:rFonts w:ascii="Arial Narrow" w:hAnsi="Arial Narrow"/>
                <w:sz w:val="20"/>
              </w:rPr>
            </w:pPr>
            <w:r w:rsidRPr="00B5495A">
              <w:rPr>
                <w:rFonts w:ascii="Arial Narrow" w:hAnsi="Arial Narrow"/>
                <w:sz w:val="20"/>
              </w:rPr>
              <w:t>Patient must demonstrate, at the time of application, an adequate response to treatment with this drug</w:t>
            </w:r>
            <w:r w:rsidR="007B504E">
              <w:rPr>
                <w:rFonts w:ascii="Arial Narrow" w:hAnsi="Arial Narrow"/>
                <w:sz w:val="20"/>
              </w:rPr>
              <w:t xml:space="preserve">; </w:t>
            </w:r>
            <w:r w:rsidRPr="00B5495A">
              <w:rPr>
                <w:rFonts w:ascii="Arial Narrow" w:hAnsi="Arial Narrow"/>
                <w:sz w:val="20"/>
              </w:rPr>
              <w:t>AND</w:t>
            </w:r>
          </w:p>
          <w:p w:rsidR="00D306FA" w:rsidRPr="00B5495A" w:rsidRDefault="00D306FA" w:rsidP="00976DCB">
            <w:pPr>
              <w:tabs>
                <w:tab w:val="left" w:pos="284"/>
              </w:tabs>
              <w:rPr>
                <w:rFonts w:ascii="Arial Narrow" w:hAnsi="Arial Narrow"/>
                <w:sz w:val="20"/>
              </w:rPr>
            </w:pPr>
          </w:p>
          <w:p w:rsidR="00976DCB" w:rsidRPr="00B5495A" w:rsidRDefault="00976DCB" w:rsidP="00976DCB">
            <w:pPr>
              <w:tabs>
                <w:tab w:val="left" w:pos="284"/>
              </w:tabs>
              <w:rPr>
                <w:rFonts w:ascii="Arial Narrow" w:hAnsi="Arial Narrow"/>
                <w:sz w:val="20"/>
              </w:rPr>
            </w:pPr>
            <w:r w:rsidRPr="00B5495A">
              <w:rPr>
                <w:rFonts w:ascii="Arial Narrow" w:hAnsi="Arial Narrow"/>
                <w:sz w:val="20"/>
              </w:rPr>
              <w:t>Patient must not receive more than 24 weeks of treatment per continuing treatment course authorised under this restriction.</w:t>
            </w:r>
          </w:p>
        </w:tc>
      </w:tr>
    </w:tbl>
    <w:p w:rsidR="00976DCB" w:rsidRPr="00976DCB" w:rsidRDefault="00976DCB" w:rsidP="00976DCB">
      <w:pPr>
        <w:widowControl/>
        <w:rPr>
          <w:szCs w:val="22"/>
        </w:rPr>
      </w:pPr>
    </w:p>
    <w:p w:rsidR="0094551B" w:rsidRPr="005D27B1" w:rsidRDefault="001A39C3" w:rsidP="00976DCB">
      <w:pPr>
        <w:pStyle w:val="ListParagraph"/>
        <w:widowControl/>
        <w:numPr>
          <w:ilvl w:val="1"/>
          <w:numId w:val="7"/>
        </w:numPr>
        <w:rPr>
          <w:i/>
          <w:iCs/>
          <w:szCs w:val="22"/>
        </w:rPr>
      </w:pPr>
      <w:r>
        <w:rPr>
          <w:szCs w:val="22"/>
        </w:rPr>
        <w:t>The wording of the restriction wa</w:t>
      </w:r>
      <w:r w:rsidR="006559E1">
        <w:rPr>
          <w:szCs w:val="22"/>
        </w:rPr>
        <w:t xml:space="preserve">s consistent with, but not identical to that for adalimumab for </w:t>
      </w:r>
      <w:proofErr w:type="spellStart"/>
      <w:r w:rsidR="006559E1">
        <w:rPr>
          <w:szCs w:val="22"/>
        </w:rPr>
        <w:t>PsA</w:t>
      </w:r>
      <w:r w:rsidR="002C72E5">
        <w:rPr>
          <w:szCs w:val="22"/>
        </w:rPr>
        <w:t>.</w:t>
      </w:r>
      <w:proofErr w:type="spellEnd"/>
    </w:p>
    <w:p w:rsidR="00B60939" w:rsidRPr="00882085" w:rsidRDefault="00B60939" w:rsidP="00497F10"/>
    <w:p w:rsidR="0094551B" w:rsidRPr="00A81E5B" w:rsidRDefault="0094551B" w:rsidP="00F940DF">
      <w:pPr>
        <w:pStyle w:val="ListParagraph"/>
        <w:widowControl/>
        <w:numPr>
          <w:ilvl w:val="1"/>
          <w:numId w:val="7"/>
        </w:numPr>
        <w:rPr>
          <w:szCs w:val="22"/>
        </w:rPr>
      </w:pPr>
      <w:r w:rsidRPr="0094551B">
        <w:rPr>
          <w:szCs w:val="22"/>
        </w:rPr>
        <w:t>Th</w:t>
      </w:r>
      <w:r w:rsidR="001A39C3">
        <w:rPr>
          <w:szCs w:val="22"/>
        </w:rPr>
        <w:t>e requested basis for listing wa</w:t>
      </w:r>
      <w:r w:rsidRPr="0094551B">
        <w:rPr>
          <w:szCs w:val="22"/>
        </w:rPr>
        <w:t xml:space="preserve">s a cost-consequence analysis of </w:t>
      </w:r>
      <w:proofErr w:type="spellStart"/>
      <w:r w:rsidRPr="0094551B">
        <w:rPr>
          <w:szCs w:val="22"/>
        </w:rPr>
        <w:t>apremilast</w:t>
      </w:r>
      <w:proofErr w:type="spellEnd"/>
      <w:r w:rsidRPr="0094551B">
        <w:rPr>
          <w:szCs w:val="22"/>
        </w:rPr>
        <w:t xml:space="preserve"> and </w:t>
      </w:r>
      <w:proofErr w:type="gramStart"/>
      <w:r w:rsidRPr="0094551B">
        <w:rPr>
          <w:szCs w:val="22"/>
        </w:rPr>
        <w:t>adalimumab</w:t>
      </w:r>
      <w:r w:rsidR="00A81E5B">
        <w:rPr>
          <w:i/>
          <w:iCs/>
          <w:szCs w:val="22"/>
        </w:rPr>
        <w:t>,</w:t>
      </w:r>
      <w:proofErr w:type="gramEnd"/>
      <w:r w:rsidR="00A81E5B">
        <w:rPr>
          <w:i/>
          <w:iCs/>
          <w:szCs w:val="22"/>
        </w:rPr>
        <w:t xml:space="preserve"> </w:t>
      </w:r>
      <w:r w:rsidR="00A81E5B" w:rsidRPr="00A81E5B">
        <w:rPr>
          <w:szCs w:val="22"/>
        </w:rPr>
        <w:t xml:space="preserve">based on the premise that </w:t>
      </w:r>
      <w:proofErr w:type="spellStart"/>
      <w:r w:rsidR="00A81E5B" w:rsidRPr="00A81E5B">
        <w:rPr>
          <w:szCs w:val="22"/>
        </w:rPr>
        <w:t>apremilast</w:t>
      </w:r>
      <w:proofErr w:type="spellEnd"/>
      <w:r w:rsidR="00A81E5B" w:rsidRPr="00A81E5B">
        <w:rPr>
          <w:szCs w:val="22"/>
        </w:rPr>
        <w:t xml:space="preserve"> is inferior to adalimumab in terms of effectiveness and non-inferior in terms of safety.</w:t>
      </w:r>
    </w:p>
    <w:p w:rsidR="0094551B" w:rsidRPr="002C72E5" w:rsidRDefault="0094551B" w:rsidP="0094551B">
      <w:pPr>
        <w:widowControl/>
        <w:rPr>
          <w:iCs/>
          <w:szCs w:val="22"/>
        </w:rPr>
      </w:pPr>
    </w:p>
    <w:p w:rsidR="00A619BE" w:rsidRDefault="0094551B" w:rsidP="00A619BE">
      <w:pPr>
        <w:pStyle w:val="ListParagraph"/>
        <w:widowControl/>
        <w:numPr>
          <w:ilvl w:val="1"/>
          <w:numId w:val="7"/>
        </w:numPr>
        <w:rPr>
          <w:iCs/>
          <w:szCs w:val="22"/>
        </w:rPr>
      </w:pPr>
      <w:r w:rsidRPr="0094551B">
        <w:rPr>
          <w:color w:val="000000" w:themeColor="text1"/>
          <w:szCs w:val="22"/>
        </w:rPr>
        <w:t xml:space="preserve">The requested basis for listing </w:t>
      </w:r>
      <w:r>
        <w:rPr>
          <w:color w:val="000000" w:themeColor="text1"/>
          <w:szCs w:val="22"/>
        </w:rPr>
        <w:t>in the previous March 2015 submission wa</w:t>
      </w:r>
      <w:r w:rsidRPr="0094551B">
        <w:rPr>
          <w:color w:val="000000" w:themeColor="text1"/>
          <w:szCs w:val="22"/>
        </w:rPr>
        <w:t xml:space="preserve">s a cost-utility analysis based on the unsupported premise that the listing of </w:t>
      </w:r>
      <w:proofErr w:type="spellStart"/>
      <w:r w:rsidRPr="0094551B">
        <w:rPr>
          <w:color w:val="000000" w:themeColor="text1"/>
          <w:szCs w:val="22"/>
        </w:rPr>
        <w:t>apremilast</w:t>
      </w:r>
      <w:proofErr w:type="spellEnd"/>
      <w:r w:rsidRPr="0094551B">
        <w:rPr>
          <w:color w:val="000000" w:themeColor="text1"/>
          <w:szCs w:val="22"/>
        </w:rPr>
        <w:t xml:space="preserve"> </w:t>
      </w:r>
      <w:r w:rsidR="00F940DF">
        <w:rPr>
          <w:color w:val="000000" w:themeColor="text1"/>
          <w:szCs w:val="22"/>
        </w:rPr>
        <w:t>would</w:t>
      </w:r>
      <w:r w:rsidRPr="0094551B">
        <w:rPr>
          <w:color w:val="000000" w:themeColor="text1"/>
          <w:szCs w:val="22"/>
        </w:rPr>
        <w:t xml:space="preserve"> extend the period of time patients would be treated with DMARDs for psoriatic arthritis and delay the commencement of biologics. </w:t>
      </w:r>
      <w:r w:rsidR="00033516">
        <w:t xml:space="preserve">The change to the proposed clinical positioning of </w:t>
      </w:r>
      <w:proofErr w:type="spellStart"/>
      <w:r w:rsidR="00033516">
        <w:t>apremilast</w:t>
      </w:r>
      <w:proofErr w:type="spellEnd"/>
      <w:r w:rsidR="00033516">
        <w:t xml:space="preserve"> in this resubmission is that </w:t>
      </w:r>
      <w:proofErr w:type="spellStart"/>
      <w:r w:rsidR="00033516">
        <w:t>apremilast</w:t>
      </w:r>
      <w:proofErr w:type="spellEnd"/>
      <w:r w:rsidR="00033516">
        <w:t xml:space="preserve"> would represent an alternative treatment with a different mechanism of action and mode of administration to the currently PBS-listed bDMARDs. </w:t>
      </w:r>
      <w:r w:rsidR="00A619BE" w:rsidRPr="002E4CD2">
        <w:rPr>
          <w:iCs/>
          <w:szCs w:val="22"/>
        </w:rPr>
        <w:t xml:space="preserve">The Pre-Sub-Committee Response (PSCR, p1) clarified that </w:t>
      </w:r>
      <w:proofErr w:type="spellStart"/>
      <w:r w:rsidR="00A619BE" w:rsidRPr="002E4CD2">
        <w:rPr>
          <w:iCs/>
          <w:szCs w:val="22"/>
        </w:rPr>
        <w:t>apremilast</w:t>
      </w:r>
      <w:proofErr w:type="spellEnd"/>
      <w:r w:rsidR="00A619BE" w:rsidRPr="002E4CD2">
        <w:rPr>
          <w:iCs/>
          <w:szCs w:val="22"/>
        </w:rPr>
        <w:t xml:space="preserve"> is intended to be considered as one of the three treatment options in a cycle of therapy, followed by a five year break.</w:t>
      </w:r>
      <w:r w:rsidR="00C81345" w:rsidRPr="002E4CD2">
        <w:rPr>
          <w:iCs/>
          <w:szCs w:val="22"/>
        </w:rPr>
        <w:t xml:space="preserve"> The ESC considered that limit</w:t>
      </w:r>
      <w:r w:rsidR="00D306FA" w:rsidRPr="002E4CD2">
        <w:rPr>
          <w:iCs/>
          <w:szCs w:val="22"/>
        </w:rPr>
        <w:t>ing patients to two</w:t>
      </w:r>
      <w:r w:rsidR="00C81345" w:rsidRPr="002E4CD2">
        <w:rPr>
          <w:iCs/>
          <w:szCs w:val="22"/>
        </w:rPr>
        <w:t xml:space="preserve"> bDMARDs in a cycle of therapy</w:t>
      </w:r>
      <w:r w:rsidR="002C72E5">
        <w:rPr>
          <w:iCs/>
          <w:szCs w:val="22"/>
        </w:rPr>
        <w:t xml:space="preserve"> may not be appropriate.</w:t>
      </w:r>
    </w:p>
    <w:p w:rsidR="00A76D51" w:rsidRPr="002C72E5" w:rsidRDefault="00A76D51" w:rsidP="00A76D51">
      <w:pPr>
        <w:rPr>
          <w:iCs/>
          <w:szCs w:val="22"/>
        </w:rPr>
      </w:pPr>
    </w:p>
    <w:p w:rsidR="00A76D51" w:rsidRPr="00A76D51" w:rsidRDefault="00A76D51" w:rsidP="00A76D51">
      <w:pPr>
        <w:pStyle w:val="ListParagraph"/>
        <w:widowControl/>
        <w:rPr>
          <w:i/>
          <w:iCs/>
          <w:szCs w:val="22"/>
        </w:rPr>
      </w:pPr>
      <w:r>
        <w:rPr>
          <w:i/>
          <w:iCs/>
          <w:szCs w:val="22"/>
        </w:rPr>
        <w:t>For more detail on PBAC’s view, see Section 7 “PBAC outcome”</w:t>
      </w:r>
      <w:r w:rsidR="002C72E5">
        <w:rPr>
          <w:i/>
          <w:iCs/>
          <w:szCs w:val="22"/>
        </w:rPr>
        <w:t>.</w:t>
      </w:r>
    </w:p>
    <w:p w:rsidR="00652648" w:rsidRDefault="00652648" w:rsidP="00497F10"/>
    <w:p w:rsidR="00F338FF" w:rsidRPr="00407F2D" w:rsidRDefault="00F338FF" w:rsidP="0093180A">
      <w:pPr>
        <w:pStyle w:val="Heading1"/>
      </w:pPr>
      <w:bookmarkStart w:id="3" w:name="_Toc430164093"/>
      <w:r w:rsidRPr="00407F2D">
        <w:t>Background</w:t>
      </w:r>
      <w:bookmarkEnd w:id="3"/>
    </w:p>
    <w:p w:rsidR="00B60939" w:rsidRPr="00882085" w:rsidRDefault="00B60939" w:rsidP="00B60939">
      <w:pPr>
        <w:rPr>
          <w:szCs w:val="22"/>
        </w:rPr>
      </w:pPr>
    </w:p>
    <w:p w:rsidR="002115BC" w:rsidRPr="00A619BE" w:rsidRDefault="000008AD" w:rsidP="00582D67">
      <w:pPr>
        <w:pStyle w:val="ListParagraph"/>
        <w:widowControl/>
        <w:numPr>
          <w:ilvl w:val="1"/>
          <w:numId w:val="5"/>
        </w:numPr>
        <w:rPr>
          <w:szCs w:val="22"/>
        </w:rPr>
      </w:pPr>
      <w:proofErr w:type="spellStart"/>
      <w:r w:rsidRPr="00A76D51">
        <w:rPr>
          <w:szCs w:val="22"/>
        </w:rPr>
        <w:t>A</w:t>
      </w:r>
      <w:r w:rsidRPr="00A619BE">
        <w:rPr>
          <w:szCs w:val="22"/>
        </w:rPr>
        <w:t>premilast</w:t>
      </w:r>
      <w:proofErr w:type="spellEnd"/>
      <w:r w:rsidR="00F06168" w:rsidRPr="00A619BE">
        <w:rPr>
          <w:szCs w:val="22"/>
        </w:rPr>
        <w:t xml:space="preserve"> was TGA registered</w:t>
      </w:r>
      <w:r w:rsidR="009718BF" w:rsidRPr="00A619BE">
        <w:rPr>
          <w:szCs w:val="22"/>
        </w:rPr>
        <w:t xml:space="preserve"> on </w:t>
      </w:r>
      <w:r w:rsidR="00F06168" w:rsidRPr="00A619BE">
        <w:rPr>
          <w:szCs w:val="22"/>
        </w:rPr>
        <w:t>19 March 2015</w:t>
      </w:r>
      <w:r w:rsidR="00B60939" w:rsidRPr="00A619BE">
        <w:rPr>
          <w:szCs w:val="22"/>
        </w:rPr>
        <w:t xml:space="preserve"> </w:t>
      </w:r>
      <w:r w:rsidR="002115BC" w:rsidRPr="00A619BE">
        <w:t>for the following indications:</w:t>
      </w:r>
    </w:p>
    <w:p w:rsidR="001E271F" w:rsidRDefault="002115BC" w:rsidP="001E271F">
      <w:pPr>
        <w:pStyle w:val="ListParagraph"/>
        <w:widowControl/>
        <w:numPr>
          <w:ilvl w:val="0"/>
          <w:numId w:val="4"/>
        </w:numPr>
        <w:ind w:left="993" w:hanging="284"/>
        <w:rPr>
          <w:rFonts w:asciiTheme="minorBidi" w:hAnsiTheme="minorBidi" w:cstheme="minorBidi"/>
          <w:szCs w:val="22"/>
        </w:rPr>
      </w:pPr>
      <w:r w:rsidRPr="001E271F">
        <w:t>Treatment</w:t>
      </w:r>
      <w:r w:rsidRPr="001E271F">
        <w:rPr>
          <w:rFonts w:asciiTheme="minorBidi" w:hAnsiTheme="minorBidi" w:cstheme="minorBidi"/>
          <w:szCs w:val="22"/>
        </w:rPr>
        <w:t xml:space="preserve"> of signs and symptoms of active psoriatic arthritis (</w:t>
      </w:r>
      <w:proofErr w:type="spellStart"/>
      <w:r w:rsidRPr="001E271F">
        <w:rPr>
          <w:rFonts w:asciiTheme="minorBidi" w:hAnsiTheme="minorBidi" w:cstheme="minorBidi"/>
          <w:szCs w:val="22"/>
        </w:rPr>
        <w:t>PsA</w:t>
      </w:r>
      <w:proofErr w:type="spellEnd"/>
      <w:r w:rsidRPr="001E271F">
        <w:rPr>
          <w:rFonts w:asciiTheme="minorBidi" w:hAnsiTheme="minorBidi" w:cstheme="minorBidi"/>
          <w:szCs w:val="22"/>
        </w:rPr>
        <w:t>) in adult patients; and</w:t>
      </w:r>
    </w:p>
    <w:p w:rsidR="002115BC" w:rsidRPr="001E271F" w:rsidRDefault="002115BC" w:rsidP="001E271F">
      <w:pPr>
        <w:pStyle w:val="ListParagraph"/>
        <w:widowControl/>
        <w:numPr>
          <w:ilvl w:val="0"/>
          <w:numId w:val="4"/>
        </w:numPr>
        <w:ind w:left="993" w:hanging="284"/>
        <w:rPr>
          <w:rFonts w:asciiTheme="minorBidi" w:hAnsiTheme="minorBidi" w:cstheme="minorBidi"/>
          <w:szCs w:val="22"/>
        </w:rPr>
      </w:pPr>
      <w:r w:rsidRPr="001E271F">
        <w:rPr>
          <w:rFonts w:asciiTheme="minorBidi" w:hAnsiTheme="minorBidi" w:cstheme="minorBidi"/>
          <w:szCs w:val="22"/>
        </w:rPr>
        <w:t>Treatment of adult patients with moderate-to-severe plaque psoriasis who are candidates for phototherapy or systemic therapy.</w:t>
      </w:r>
    </w:p>
    <w:p w:rsidR="00B60939" w:rsidRPr="001971A6" w:rsidRDefault="00B60939" w:rsidP="00577717"/>
    <w:p w:rsidR="00B60939" w:rsidRPr="00AC50C8" w:rsidRDefault="00AC50C8" w:rsidP="00582D67">
      <w:pPr>
        <w:pStyle w:val="ListParagraph"/>
        <w:widowControl/>
        <w:numPr>
          <w:ilvl w:val="1"/>
          <w:numId w:val="5"/>
        </w:numPr>
        <w:rPr>
          <w:szCs w:val="22"/>
        </w:rPr>
      </w:pPr>
      <w:r w:rsidRPr="00AC50C8">
        <w:rPr>
          <w:szCs w:val="22"/>
        </w:rPr>
        <w:t xml:space="preserve">PBAC previously considered </w:t>
      </w:r>
      <w:proofErr w:type="spellStart"/>
      <w:r w:rsidRPr="00AC50C8">
        <w:rPr>
          <w:szCs w:val="22"/>
        </w:rPr>
        <w:t>apremilast</w:t>
      </w:r>
      <w:proofErr w:type="spellEnd"/>
      <w:r w:rsidRPr="00AC50C8">
        <w:rPr>
          <w:szCs w:val="22"/>
        </w:rPr>
        <w:t xml:space="preserve"> for </w:t>
      </w:r>
      <w:proofErr w:type="spellStart"/>
      <w:r w:rsidRPr="00AC50C8">
        <w:rPr>
          <w:szCs w:val="22"/>
        </w:rPr>
        <w:t>PsA</w:t>
      </w:r>
      <w:proofErr w:type="spellEnd"/>
      <w:r w:rsidRPr="00AC50C8">
        <w:rPr>
          <w:szCs w:val="22"/>
        </w:rPr>
        <w:t xml:space="preserve"> at the March 2015 meeting.</w:t>
      </w:r>
    </w:p>
    <w:p w:rsidR="00B60939" w:rsidRPr="00882085" w:rsidRDefault="00B60939" w:rsidP="00577717"/>
    <w:p w:rsidR="00F00F35" w:rsidRPr="001D6F58" w:rsidRDefault="00F00F35" w:rsidP="00582D67">
      <w:pPr>
        <w:pStyle w:val="ListParagraph"/>
        <w:widowControl/>
        <w:numPr>
          <w:ilvl w:val="1"/>
          <w:numId w:val="5"/>
        </w:numPr>
      </w:pPr>
      <w:r w:rsidRPr="001D6F58">
        <w:t xml:space="preserve">A </w:t>
      </w:r>
      <w:r w:rsidR="001D6F58">
        <w:t xml:space="preserve">summary of the </w:t>
      </w:r>
      <w:r w:rsidRPr="001D6F58">
        <w:t xml:space="preserve">comparison of the previous submission considered in March 2015 and this resubmission </w:t>
      </w:r>
      <w:r w:rsidR="001D6F58">
        <w:t>is</w:t>
      </w:r>
      <w:r w:rsidR="002C72E5">
        <w:t xml:space="preserve"> outlined below.</w:t>
      </w:r>
    </w:p>
    <w:p w:rsidR="007B504E" w:rsidRDefault="007B504E">
      <w:pPr>
        <w:widowControl/>
        <w:jc w:val="left"/>
        <w:rPr>
          <w:rStyle w:val="CommentReference"/>
          <w:rFonts w:ascii="Arial" w:hAnsi="Arial"/>
          <w:b w:val="0"/>
          <w:sz w:val="22"/>
          <w:szCs w:val="22"/>
        </w:rPr>
      </w:pPr>
    </w:p>
    <w:p w:rsidR="00BA5384" w:rsidRPr="002C72E5" w:rsidRDefault="00BA5384">
      <w:pPr>
        <w:widowControl/>
        <w:jc w:val="left"/>
        <w:rPr>
          <w:rStyle w:val="CommentReference"/>
          <w:rFonts w:ascii="Arial" w:hAnsi="Arial"/>
          <w:b w:val="0"/>
          <w:sz w:val="22"/>
          <w:szCs w:val="22"/>
        </w:rPr>
      </w:pPr>
    </w:p>
    <w:p w:rsidR="00540809" w:rsidRPr="00ED0F04" w:rsidRDefault="00540809" w:rsidP="00540809">
      <w:pPr>
        <w:ind w:firstLine="720"/>
        <w:rPr>
          <w:rStyle w:val="CommentReference"/>
        </w:rPr>
      </w:pPr>
      <w:r w:rsidRPr="00ED0F04">
        <w:rPr>
          <w:rStyle w:val="CommentReference"/>
        </w:rPr>
        <w:lastRenderedPageBreak/>
        <w:t>Summary of the previous submission and current resubmission</w:t>
      </w:r>
    </w:p>
    <w:tbl>
      <w:tblPr>
        <w:tblW w:w="844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previous submission and current resubmission"/>
      </w:tblPr>
      <w:tblGrid>
        <w:gridCol w:w="1701"/>
        <w:gridCol w:w="3969"/>
        <w:gridCol w:w="2773"/>
      </w:tblGrid>
      <w:tr w:rsidR="00540809" w:rsidRPr="00ED0F04" w:rsidTr="00CD63DE">
        <w:trPr>
          <w:trHeight w:val="220"/>
          <w:tblHeader/>
        </w:trPr>
        <w:tc>
          <w:tcPr>
            <w:tcW w:w="1701" w:type="dxa"/>
          </w:tcPr>
          <w:p w:rsidR="00540809" w:rsidRPr="00ED0F04" w:rsidRDefault="00540809" w:rsidP="00853100">
            <w:pPr>
              <w:jc w:val="left"/>
              <w:rPr>
                <w:rFonts w:ascii="Arial Narrow" w:hAnsi="Arial Narrow"/>
                <w:sz w:val="19"/>
                <w:szCs w:val="19"/>
              </w:rPr>
            </w:pPr>
          </w:p>
        </w:tc>
        <w:tc>
          <w:tcPr>
            <w:tcW w:w="3969" w:type="dxa"/>
            <w:vAlign w:val="center"/>
          </w:tcPr>
          <w:p w:rsidR="00540809" w:rsidRPr="00ED0F04" w:rsidRDefault="00540809" w:rsidP="00853100">
            <w:pPr>
              <w:jc w:val="center"/>
              <w:rPr>
                <w:rFonts w:ascii="Arial Narrow" w:hAnsi="Arial Narrow"/>
                <w:b/>
                <w:sz w:val="19"/>
                <w:szCs w:val="19"/>
              </w:rPr>
            </w:pPr>
            <w:proofErr w:type="spellStart"/>
            <w:r>
              <w:rPr>
                <w:rFonts w:ascii="Arial Narrow" w:hAnsi="Arial Narrow"/>
                <w:b/>
                <w:sz w:val="19"/>
                <w:szCs w:val="19"/>
              </w:rPr>
              <w:t>Apremilast</w:t>
            </w:r>
            <w:proofErr w:type="spellEnd"/>
            <w:r>
              <w:rPr>
                <w:rFonts w:ascii="Arial Narrow" w:hAnsi="Arial Narrow"/>
                <w:b/>
                <w:sz w:val="19"/>
                <w:szCs w:val="19"/>
              </w:rPr>
              <w:t xml:space="preserve"> March 2015 submission</w:t>
            </w:r>
          </w:p>
        </w:tc>
        <w:tc>
          <w:tcPr>
            <w:tcW w:w="2773" w:type="dxa"/>
            <w:vAlign w:val="center"/>
          </w:tcPr>
          <w:p w:rsidR="00540809" w:rsidRPr="00ED0F04" w:rsidRDefault="00540809" w:rsidP="00853100">
            <w:pPr>
              <w:jc w:val="center"/>
              <w:rPr>
                <w:rFonts w:ascii="Arial Narrow" w:hAnsi="Arial Narrow"/>
                <w:b/>
                <w:sz w:val="19"/>
                <w:szCs w:val="19"/>
              </w:rPr>
            </w:pPr>
            <w:r w:rsidRPr="00ED0F04">
              <w:rPr>
                <w:rFonts w:ascii="Arial Narrow" w:hAnsi="Arial Narrow"/>
                <w:b/>
                <w:sz w:val="19"/>
                <w:szCs w:val="19"/>
              </w:rPr>
              <w:t>Current resubmission</w:t>
            </w:r>
          </w:p>
        </w:tc>
      </w:tr>
      <w:tr w:rsidR="00540809" w:rsidRPr="00ED0F04" w:rsidTr="00CD63DE">
        <w:trPr>
          <w:trHeight w:val="70"/>
        </w:trPr>
        <w:tc>
          <w:tcPr>
            <w:tcW w:w="1701" w:type="dxa"/>
          </w:tcPr>
          <w:p w:rsidR="00540809" w:rsidRPr="00ED0F04" w:rsidRDefault="00540809" w:rsidP="00853100">
            <w:pPr>
              <w:jc w:val="left"/>
              <w:rPr>
                <w:rFonts w:ascii="Arial Narrow" w:hAnsi="Arial Narrow"/>
                <w:sz w:val="19"/>
                <w:szCs w:val="19"/>
              </w:rPr>
            </w:pPr>
            <w:r w:rsidRPr="00ED0F04">
              <w:rPr>
                <w:rFonts w:ascii="Arial Narrow" w:hAnsi="Arial Narrow"/>
                <w:sz w:val="19"/>
                <w:szCs w:val="19"/>
              </w:rPr>
              <w:t>Requested PBS listing</w:t>
            </w:r>
          </w:p>
        </w:tc>
        <w:tc>
          <w:tcPr>
            <w:tcW w:w="3969" w:type="dxa"/>
          </w:tcPr>
          <w:p w:rsidR="00540809" w:rsidRPr="00CD63DE" w:rsidRDefault="00540809" w:rsidP="0008238D">
            <w:pPr>
              <w:pStyle w:val="ListParagraph"/>
              <w:numPr>
                <w:ilvl w:val="0"/>
                <w:numId w:val="39"/>
              </w:numPr>
              <w:ind w:left="114" w:hanging="114"/>
              <w:jc w:val="left"/>
              <w:rPr>
                <w:rFonts w:ascii="Arial Narrow" w:hAnsi="Arial Narrow"/>
                <w:sz w:val="20"/>
              </w:rPr>
            </w:pPr>
            <w:r w:rsidRPr="00CD63DE">
              <w:rPr>
                <w:rFonts w:ascii="Arial Narrow" w:hAnsi="Arial Narrow"/>
                <w:sz w:val="20"/>
              </w:rPr>
              <w:t xml:space="preserve">Severe active </w:t>
            </w:r>
            <w:proofErr w:type="spellStart"/>
            <w:r w:rsidRPr="00CD63DE">
              <w:rPr>
                <w:rFonts w:ascii="Arial Narrow" w:hAnsi="Arial Narrow"/>
                <w:sz w:val="20"/>
              </w:rPr>
              <w:t>PsA</w:t>
            </w:r>
            <w:proofErr w:type="spellEnd"/>
            <w:r w:rsidRPr="00CD63DE">
              <w:rPr>
                <w:rFonts w:ascii="Arial Narrow" w:hAnsi="Arial Narrow"/>
                <w:sz w:val="20"/>
              </w:rPr>
              <w:t>, where other DMARDs, including methotrexate, are ineffective or inappropriate</w:t>
            </w:r>
          </w:p>
          <w:p w:rsidR="00540809" w:rsidRPr="002C72E5" w:rsidRDefault="00540809" w:rsidP="00CD63DE">
            <w:pPr>
              <w:jc w:val="left"/>
              <w:rPr>
                <w:rFonts w:ascii="Arial Narrow" w:hAnsi="Arial Narrow"/>
                <w:sz w:val="19"/>
                <w:szCs w:val="19"/>
              </w:rPr>
            </w:pPr>
          </w:p>
          <w:p w:rsidR="00540809" w:rsidRPr="006E797C" w:rsidRDefault="00540809" w:rsidP="00853100">
            <w:pPr>
              <w:jc w:val="left"/>
              <w:rPr>
                <w:rFonts w:ascii="Arial Narrow" w:hAnsi="Arial Narrow"/>
                <w:sz w:val="19"/>
                <w:szCs w:val="19"/>
              </w:rPr>
            </w:pPr>
            <w:r w:rsidRPr="006E797C">
              <w:rPr>
                <w:rFonts w:ascii="Arial Narrow" w:hAnsi="Arial Narrow"/>
                <w:b/>
                <w:sz w:val="19"/>
                <w:szCs w:val="19"/>
              </w:rPr>
              <w:t xml:space="preserve">PBAC Comment: </w:t>
            </w:r>
            <w:r w:rsidRPr="006E797C">
              <w:rPr>
                <w:rFonts w:ascii="Arial Narrow" w:hAnsi="Arial Narrow"/>
                <w:sz w:val="19"/>
                <w:szCs w:val="19"/>
              </w:rPr>
              <w:t xml:space="preserve">(paragraph 7.2, Mar 2015 PBAC Minutes) </w:t>
            </w:r>
            <w:r w:rsidRPr="006E797C">
              <w:rPr>
                <w:rFonts w:ascii="Arial Narrow" w:hAnsi="Arial Narrow"/>
                <w:sz w:val="20"/>
              </w:rPr>
              <w:t xml:space="preserve">The PBAC did not consider it to be clinically appropriate to potentially delay the time in commencing bDMARD therapy by requiring patients to have trialled methotrexate, </w:t>
            </w:r>
            <w:proofErr w:type="spellStart"/>
            <w:r w:rsidRPr="006E797C">
              <w:rPr>
                <w:rFonts w:ascii="Arial Narrow" w:hAnsi="Arial Narrow"/>
                <w:sz w:val="20"/>
              </w:rPr>
              <w:t>apremilast</w:t>
            </w:r>
            <w:proofErr w:type="spellEnd"/>
            <w:r w:rsidRPr="006E797C">
              <w:rPr>
                <w:rFonts w:ascii="Arial Narrow" w:hAnsi="Arial Narrow"/>
                <w:sz w:val="20"/>
              </w:rPr>
              <w:t xml:space="preserve"> and either </w:t>
            </w:r>
            <w:proofErr w:type="spellStart"/>
            <w:r w:rsidRPr="006E797C">
              <w:rPr>
                <w:rFonts w:ascii="Arial Narrow" w:hAnsi="Arial Narrow"/>
                <w:sz w:val="20"/>
              </w:rPr>
              <w:t>leflunomide</w:t>
            </w:r>
            <w:proofErr w:type="spellEnd"/>
            <w:r w:rsidRPr="006E797C">
              <w:rPr>
                <w:rFonts w:ascii="Arial Narrow" w:hAnsi="Arial Narrow"/>
                <w:sz w:val="20"/>
              </w:rPr>
              <w:t xml:space="preserve"> or sulfasalazine prior to the bDMARDs.</w:t>
            </w:r>
          </w:p>
        </w:tc>
        <w:tc>
          <w:tcPr>
            <w:tcW w:w="2773" w:type="dxa"/>
          </w:tcPr>
          <w:p w:rsidR="00540809" w:rsidRPr="00082F51" w:rsidRDefault="00540809" w:rsidP="002C72E5">
            <w:pPr>
              <w:pStyle w:val="ListParagraph"/>
              <w:numPr>
                <w:ilvl w:val="0"/>
                <w:numId w:val="39"/>
              </w:numPr>
              <w:ind w:left="114" w:hanging="114"/>
              <w:jc w:val="left"/>
            </w:pPr>
            <w:r w:rsidRPr="001D6F58">
              <w:rPr>
                <w:rFonts w:ascii="Arial Narrow" w:hAnsi="Arial Narrow"/>
                <w:sz w:val="19"/>
                <w:szCs w:val="19"/>
              </w:rPr>
              <w:t xml:space="preserve">Severe active </w:t>
            </w:r>
            <w:proofErr w:type="spellStart"/>
            <w:r w:rsidRPr="001D6F58">
              <w:rPr>
                <w:rFonts w:ascii="Arial Narrow" w:hAnsi="Arial Narrow"/>
                <w:sz w:val="19"/>
                <w:szCs w:val="19"/>
              </w:rPr>
              <w:t>PsA</w:t>
            </w:r>
            <w:proofErr w:type="spellEnd"/>
            <w:r w:rsidRPr="001D6F58">
              <w:rPr>
                <w:rFonts w:ascii="Arial Narrow" w:hAnsi="Arial Narrow"/>
                <w:sz w:val="19"/>
                <w:szCs w:val="19"/>
              </w:rPr>
              <w:t xml:space="preserve">, where (methotrexate AND </w:t>
            </w:r>
            <w:r w:rsidRPr="00CD63DE">
              <w:rPr>
                <w:rFonts w:ascii="Arial Narrow" w:hAnsi="Arial Narrow"/>
                <w:sz w:val="20"/>
              </w:rPr>
              <w:t>sulfasalazine</w:t>
            </w:r>
            <w:r w:rsidRPr="001D6F58">
              <w:rPr>
                <w:rFonts w:ascii="Arial Narrow" w:hAnsi="Arial Narrow"/>
                <w:sz w:val="19"/>
                <w:szCs w:val="19"/>
              </w:rPr>
              <w:t xml:space="preserve"> OR </w:t>
            </w:r>
            <w:proofErr w:type="spellStart"/>
            <w:r w:rsidRPr="001D6F58">
              <w:rPr>
                <w:rFonts w:ascii="Arial Narrow" w:hAnsi="Arial Narrow"/>
                <w:sz w:val="19"/>
                <w:szCs w:val="19"/>
              </w:rPr>
              <w:t>leflunomide</w:t>
            </w:r>
            <w:proofErr w:type="spellEnd"/>
            <w:r w:rsidRPr="001D6F58">
              <w:rPr>
                <w:rFonts w:ascii="Arial Narrow" w:hAnsi="Arial Narrow"/>
                <w:sz w:val="19"/>
                <w:szCs w:val="19"/>
              </w:rPr>
              <w:t xml:space="preserve">), are ineffective, OR contra-indicated or cannot tolerate methotrexate, sulfasalazine or </w:t>
            </w:r>
            <w:proofErr w:type="spellStart"/>
            <w:r w:rsidRPr="001D6F58">
              <w:rPr>
                <w:rFonts w:ascii="Arial Narrow" w:hAnsi="Arial Narrow"/>
                <w:sz w:val="19"/>
                <w:szCs w:val="19"/>
              </w:rPr>
              <w:t>leflunomide</w:t>
            </w:r>
            <w:proofErr w:type="spellEnd"/>
            <w:r w:rsidRPr="001D6F58">
              <w:rPr>
                <w:rFonts w:ascii="Arial Narrow" w:hAnsi="Arial Narrow"/>
                <w:sz w:val="19"/>
                <w:szCs w:val="19"/>
              </w:rPr>
              <w:t>.</w:t>
            </w:r>
          </w:p>
        </w:tc>
      </w:tr>
      <w:tr w:rsidR="00540809" w:rsidRPr="00ED0F04" w:rsidTr="00CD63DE">
        <w:trPr>
          <w:trHeight w:val="642"/>
        </w:trPr>
        <w:tc>
          <w:tcPr>
            <w:tcW w:w="1701" w:type="dxa"/>
          </w:tcPr>
          <w:p w:rsidR="00540809" w:rsidRPr="00ED0F04" w:rsidRDefault="00540809" w:rsidP="00853100">
            <w:pPr>
              <w:jc w:val="left"/>
              <w:rPr>
                <w:rFonts w:ascii="Arial Narrow" w:hAnsi="Arial Narrow"/>
                <w:sz w:val="19"/>
                <w:szCs w:val="19"/>
              </w:rPr>
            </w:pPr>
            <w:r w:rsidRPr="00ED0F04">
              <w:rPr>
                <w:rFonts w:ascii="Arial Narrow" w:hAnsi="Arial Narrow"/>
                <w:sz w:val="19"/>
                <w:szCs w:val="19"/>
              </w:rPr>
              <w:t>Main comparator</w:t>
            </w:r>
          </w:p>
        </w:tc>
        <w:tc>
          <w:tcPr>
            <w:tcW w:w="3969" w:type="dxa"/>
          </w:tcPr>
          <w:p w:rsidR="00540809" w:rsidRPr="00686E8E" w:rsidRDefault="00540809" w:rsidP="0008238D">
            <w:pPr>
              <w:pStyle w:val="ListParagraph"/>
              <w:numPr>
                <w:ilvl w:val="0"/>
                <w:numId w:val="39"/>
              </w:numPr>
              <w:ind w:left="114" w:hanging="114"/>
              <w:jc w:val="left"/>
              <w:rPr>
                <w:rFonts w:ascii="Arial Narrow" w:hAnsi="Arial Narrow"/>
                <w:sz w:val="19"/>
                <w:szCs w:val="19"/>
              </w:rPr>
            </w:pPr>
            <w:proofErr w:type="spellStart"/>
            <w:r w:rsidRPr="00CD63DE">
              <w:rPr>
                <w:rFonts w:ascii="Arial Narrow" w:hAnsi="Arial Narrow"/>
                <w:sz w:val="20"/>
              </w:rPr>
              <w:t>Leflunomide</w:t>
            </w:r>
            <w:proofErr w:type="spellEnd"/>
          </w:p>
          <w:p w:rsidR="00540809" w:rsidRPr="00686E8E" w:rsidRDefault="00540809" w:rsidP="00853100">
            <w:pPr>
              <w:jc w:val="left"/>
              <w:rPr>
                <w:rFonts w:ascii="Arial Narrow" w:hAnsi="Arial Narrow"/>
                <w:sz w:val="19"/>
                <w:szCs w:val="19"/>
              </w:rPr>
            </w:pPr>
          </w:p>
          <w:p w:rsidR="00540809" w:rsidRPr="00686E8E" w:rsidRDefault="00540809" w:rsidP="00853100">
            <w:pPr>
              <w:jc w:val="left"/>
              <w:rPr>
                <w:rFonts w:ascii="Arial Narrow" w:hAnsi="Arial Narrow"/>
                <w:sz w:val="19"/>
                <w:szCs w:val="19"/>
              </w:rPr>
            </w:pPr>
            <w:r w:rsidRPr="00686E8E">
              <w:rPr>
                <w:rFonts w:ascii="Arial Narrow" w:hAnsi="Arial Narrow"/>
                <w:b/>
                <w:sz w:val="19"/>
                <w:szCs w:val="19"/>
              </w:rPr>
              <w:t>PBAC Comment:</w:t>
            </w:r>
            <w:r w:rsidRPr="00686E8E">
              <w:rPr>
                <w:rFonts w:ascii="Arial Narrow" w:hAnsi="Arial Narrow"/>
                <w:sz w:val="19"/>
                <w:szCs w:val="19"/>
              </w:rPr>
              <w:t xml:space="preserve"> </w:t>
            </w:r>
            <w:r>
              <w:rPr>
                <w:rFonts w:ascii="Arial Narrow" w:hAnsi="Arial Narrow"/>
                <w:sz w:val="19"/>
                <w:szCs w:val="19"/>
              </w:rPr>
              <w:t>(paragraph 7.3, Mar 2015 PBAC Minutes) The PBAC accepted this but also considered that sulfasalazine was an appropriate secondary comparator.</w:t>
            </w:r>
          </w:p>
        </w:tc>
        <w:tc>
          <w:tcPr>
            <w:tcW w:w="2773" w:type="dxa"/>
          </w:tcPr>
          <w:p w:rsidR="00540809" w:rsidRDefault="00540809" w:rsidP="0008238D">
            <w:pPr>
              <w:pStyle w:val="ListParagraph"/>
              <w:numPr>
                <w:ilvl w:val="0"/>
                <w:numId w:val="39"/>
              </w:numPr>
              <w:ind w:left="114" w:hanging="114"/>
              <w:jc w:val="left"/>
              <w:rPr>
                <w:rFonts w:ascii="Arial Narrow" w:hAnsi="Arial Narrow"/>
                <w:sz w:val="19"/>
                <w:szCs w:val="19"/>
              </w:rPr>
            </w:pPr>
            <w:r w:rsidRPr="00CD63DE">
              <w:rPr>
                <w:rFonts w:ascii="Arial Narrow" w:hAnsi="Arial Narrow"/>
                <w:sz w:val="20"/>
              </w:rPr>
              <w:t>Adalimumab</w:t>
            </w:r>
          </w:p>
          <w:p w:rsidR="00E921F4" w:rsidRPr="00A76D51" w:rsidRDefault="005D27B1" w:rsidP="00853100">
            <w:pPr>
              <w:jc w:val="left"/>
              <w:rPr>
                <w:rFonts w:ascii="Arial Narrow" w:hAnsi="Arial Narrow"/>
                <w:iCs/>
                <w:sz w:val="19"/>
                <w:szCs w:val="19"/>
              </w:rPr>
            </w:pPr>
            <w:r w:rsidRPr="00A76D51">
              <w:rPr>
                <w:rFonts w:ascii="Arial Narrow" w:hAnsi="Arial Narrow"/>
                <w:iCs/>
                <w:sz w:val="19"/>
                <w:szCs w:val="19"/>
              </w:rPr>
              <w:t>All bDMARDs would represent appropriate comparators.</w:t>
            </w:r>
          </w:p>
        </w:tc>
      </w:tr>
      <w:tr w:rsidR="00540809" w:rsidRPr="00ED0F04" w:rsidTr="00CD63DE">
        <w:trPr>
          <w:trHeight w:val="860"/>
        </w:trPr>
        <w:tc>
          <w:tcPr>
            <w:tcW w:w="1701" w:type="dxa"/>
          </w:tcPr>
          <w:p w:rsidR="00540809" w:rsidRPr="001074C3" w:rsidRDefault="00540809" w:rsidP="00853100">
            <w:pPr>
              <w:jc w:val="left"/>
              <w:rPr>
                <w:rFonts w:ascii="Arial Narrow" w:hAnsi="Arial Narrow"/>
                <w:sz w:val="19"/>
                <w:szCs w:val="19"/>
              </w:rPr>
            </w:pPr>
            <w:r w:rsidRPr="001074C3">
              <w:rPr>
                <w:rFonts w:ascii="Arial Narrow" w:hAnsi="Arial Narrow"/>
                <w:sz w:val="19"/>
                <w:szCs w:val="19"/>
              </w:rPr>
              <w:t>Clinical evidence</w:t>
            </w:r>
          </w:p>
        </w:tc>
        <w:tc>
          <w:tcPr>
            <w:tcW w:w="3969" w:type="dxa"/>
          </w:tcPr>
          <w:p w:rsidR="00540809" w:rsidRDefault="00540809" w:rsidP="0008238D">
            <w:pPr>
              <w:pStyle w:val="ListParagraph"/>
              <w:numPr>
                <w:ilvl w:val="0"/>
                <w:numId w:val="39"/>
              </w:numPr>
              <w:ind w:left="114" w:hanging="114"/>
              <w:jc w:val="left"/>
              <w:rPr>
                <w:rFonts w:ascii="Arial Narrow" w:hAnsi="Arial Narrow"/>
                <w:sz w:val="19"/>
                <w:szCs w:val="19"/>
              </w:rPr>
            </w:pPr>
            <w:proofErr w:type="spellStart"/>
            <w:r w:rsidRPr="001074C3">
              <w:rPr>
                <w:rFonts w:ascii="Arial Narrow" w:hAnsi="Arial Narrow"/>
                <w:sz w:val="19"/>
                <w:szCs w:val="19"/>
              </w:rPr>
              <w:t>Apremilast</w:t>
            </w:r>
            <w:proofErr w:type="spellEnd"/>
            <w:r w:rsidRPr="001074C3">
              <w:rPr>
                <w:rFonts w:ascii="Arial Narrow" w:hAnsi="Arial Narrow"/>
                <w:sz w:val="19"/>
                <w:szCs w:val="19"/>
              </w:rPr>
              <w:t xml:space="preserve"> </w:t>
            </w:r>
            <w:r w:rsidRPr="00CD63DE">
              <w:rPr>
                <w:rFonts w:ascii="Arial Narrow" w:hAnsi="Arial Narrow"/>
                <w:sz w:val="20"/>
              </w:rPr>
              <w:t>versus</w:t>
            </w:r>
            <w:r w:rsidRPr="001074C3">
              <w:rPr>
                <w:rFonts w:ascii="Arial Narrow" w:hAnsi="Arial Narrow"/>
                <w:sz w:val="19"/>
                <w:szCs w:val="19"/>
              </w:rPr>
              <w:t xml:space="preserve"> placebo:</w:t>
            </w:r>
            <w:r>
              <w:rPr>
                <w:rFonts w:ascii="Arial Narrow" w:hAnsi="Arial Narrow"/>
                <w:sz w:val="19"/>
                <w:szCs w:val="19"/>
              </w:rPr>
              <w:t>3 pivotal trials</w:t>
            </w:r>
          </w:p>
          <w:p w:rsidR="00540809" w:rsidRPr="00C27A46" w:rsidRDefault="00540809" w:rsidP="0008238D">
            <w:pPr>
              <w:pStyle w:val="ListParagraph"/>
              <w:numPr>
                <w:ilvl w:val="0"/>
                <w:numId w:val="28"/>
              </w:numPr>
              <w:ind w:hanging="246"/>
              <w:jc w:val="left"/>
              <w:rPr>
                <w:rFonts w:ascii="Arial Narrow" w:hAnsi="Arial Narrow"/>
                <w:sz w:val="19"/>
                <w:szCs w:val="19"/>
                <w:lang w:val="pt-PT"/>
              </w:rPr>
            </w:pPr>
            <w:r w:rsidRPr="00C27A46">
              <w:rPr>
                <w:rFonts w:ascii="Arial Narrow" w:hAnsi="Arial Narrow"/>
                <w:sz w:val="19"/>
                <w:szCs w:val="19"/>
                <w:lang w:val="pt-PT"/>
              </w:rPr>
              <w:t>PALACE -1 (N=336)</w:t>
            </w:r>
          </w:p>
          <w:p w:rsidR="00540809" w:rsidRPr="00C27A46" w:rsidRDefault="00540809" w:rsidP="0008238D">
            <w:pPr>
              <w:pStyle w:val="ListParagraph"/>
              <w:numPr>
                <w:ilvl w:val="0"/>
                <w:numId w:val="28"/>
              </w:numPr>
              <w:ind w:hanging="246"/>
              <w:jc w:val="left"/>
              <w:rPr>
                <w:rFonts w:ascii="Arial Narrow" w:hAnsi="Arial Narrow"/>
                <w:sz w:val="19"/>
                <w:szCs w:val="19"/>
                <w:lang w:val="pt-PT"/>
              </w:rPr>
            </w:pPr>
            <w:r w:rsidRPr="00C27A46">
              <w:rPr>
                <w:rFonts w:ascii="Arial Narrow" w:hAnsi="Arial Narrow"/>
                <w:sz w:val="19"/>
                <w:szCs w:val="19"/>
                <w:lang w:val="pt-PT"/>
              </w:rPr>
              <w:t>PALACE-2 (N=321)</w:t>
            </w:r>
          </w:p>
          <w:p w:rsidR="00540809" w:rsidRDefault="00540809" w:rsidP="0008238D">
            <w:pPr>
              <w:pStyle w:val="ListParagraph"/>
              <w:numPr>
                <w:ilvl w:val="0"/>
                <w:numId w:val="28"/>
              </w:numPr>
              <w:ind w:hanging="246"/>
              <w:jc w:val="left"/>
              <w:rPr>
                <w:rFonts w:ascii="Arial Narrow" w:hAnsi="Arial Narrow"/>
                <w:sz w:val="19"/>
                <w:szCs w:val="19"/>
                <w:lang w:val="pt-PT"/>
              </w:rPr>
            </w:pPr>
            <w:r w:rsidRPr="00C27A46">
              <w:rPr>
                <w:rFonts w:ascii="Arial Narrow" w:hAnsi="Arial Narrow"/>
                <w:sz w:val="19"/>
                <w:szCs w:val="19"/>
                <w:lang w:val="pt-PT"/>
              </w:rPr>
              <w:t>PALACE-3 (N=336)</w:t>
            </w:r>
          </w:p>
          <w:p w:rsidR="00540809" w:rsidRDefault="00540809" w:rsidP="0008238D">
            <w:pPr>
              <w:pStyle w:val="ListParagraph"/>
              <w:numPr>
                <w:ilvl w:val="0"/>
                <w:numId w:val="39"/>
              </w:numPr>
              <w:ind w:left="114" w:hanging="114"/>
              <w:jc w:val="left"/>
              <w:rPr>
                <w:rFonts w:ascii="Arial Narrow" w:hAnsi="Arial Narrow"/>
                <w:sz w:val="19"/>
                <w:szCs w:val="19"/>
              </w:rPr>
            </w:pPr>
            <w:proofErr w:type="spellStart"/>
            <w:r>
              <w:rPr>
                <w:rFonts w:ascii="Arial Narrow" w:hAnsi="Arial Narrow"/>
                <w:sz w:val="19"/>
                <w:szCs w:val="19"/>
              </w:rPr>
              <w:t>Leflunomide</w:t>
            </w:r>
            <w:proofErr w:type="spellEnd"/>
            <w:r>
              <w:rPr>
                <w:rFonts w:ascii="Arial Narrow" w:hAnsi="Arial Narrow"/>
                <w:sz w:val="19"/>
                <w:szCs w:val="19"/>
              </w:rPr>
              <w:t xml:space="preserve"> </w:t>
            </w:r>
            <w:r w:rsidRPr="00CD63DE">
              <w:rPr>
                <w:rFonts w:ascii="Arial Narrow" w:hAnsi="Arial Narrow"/>
                <w:sz w:val="20"/>
              </w:rPr>
              <w:t>versus</w:t>
            </w:r>
            <w:r w:rsidRPr="001074C3">
              <w:rPr>
                <w:rFonts w:ascii="Arial Narrow" w:hAnsi="Arial Narrow"/>
                <w:sz w:val="19"/>
                <w:szCs w:val="19"/>
              </w:rPr>
              <w:t xml:space="preserve"> placebo:</w:t>
            </w:r>
            <w:r>
              <w:rPr>
                <w:rFonts w:ascii="Arial Narrow" w:hAnsi="Arial Narrow"/>
                <w:sz w:val="19"/>
                <w:szCs w:val="19"/>
              </w:rPr>
              <w:t>1 pivotal trials</w:t>
            </w:r>
          </w:p>
          <w:p w:rsidR="00540809" w:rsidRPr="002B77A6" w:rsidRDefault="00540809" w:rsidP="0008238D">
            <w:pPr>
              <w:pStyle w:val="ListParagraph"/>
              <w:numPr>
                <w:ilvl w:val="0"/>
                <w:numId w:val="28"/>
              </w:numPr>
              <w:ind w:hanging="246"/>
              <w:jc w:val="left"/>
              <w:rPr>
                <w:rFonts w:ascii="Arial Narrow" w:hAnsi="Arial Narrow"/>
                <w:sz w:val="19"/>
                <w:szCs w:val="19"/>
                <w:lang w:val="pt-PT"/>
              </w:rPr>
            </w:pPr>
            <w:r>
              <w:rPr>
                <w:rFonts w:ascii="Arial Narrow" w:hAnsi="Arial Narrow"/>
                <w:sz w:val="19"/>
                <w:szCs w:val="19"/>
                <w:lang w:val="pt-PT"/>
              </w:rPr>
              <w:t>TOPAS</w:t>
            </w:r>
            <w:r w:rsidRPr="00C27A46">
              <w:rPr>
                <w:rFonts w:ascii="Arial Narrow" w:hAnsi="Arial Narrow"/>
                <w:sz w:val="19"/>
                <w:szCs w:val="19"/>
                <w:lang w:val="pt-PT"/>
              </w:rPr>
              <w:t xml:space="preserve"> (N=</w:t>
            </w:r>
            <w:r>
              <w:rPr>
                <w:rFonts w:ascii="Arial Narrow" w:hAnsi="Arial Narrow"/>
                <w:sz w:val="19"/>
                <w:szCs w:val="19"/>
                <w:lang w:val="pt-PT"/>
              </w:rPr>
              <w:t>190)</w:t>
            </w:r>
          </w:p>
          <w:p w:rsidR="00540809" w:rsidRPr="00C27A46" w:rsidRDefault="00540809" w:rsidP="00853100">
            <w:pPr>
              <w:jc w:val="left"/>
              <w:rPr>
                <w:rFonts w:ascii="Arial Narrow" w:hAnsi="Arial Narrow"/>
                <w:sz w:val="19"/>
                <w:szCs w:val="19"/>
                <w:lang w:val="pt-PT"/>
              </w:rPr>
            </w:pPr>
          </w:p>
          <w:p w:rsidR="00540809" w:rsidRPr="001074C3" w:rsidRDefault="00540809" w:rsidP="002C72E5">
            <w:pPr>
              <w:jc w:val="left"/>
              <w:rPr>
                <w:rFonts w:ascii="Arial Narrow" w:hAnsi="Arial Narrow"/>
                <w:sz w:val="19"/>
                <w:szCs w:val="19"/>
              </w:rPr>
            </w:pPr>
            <w:r w:rsidRPr="001074C3">
              <w:rPr>
                <w:rFonts w:ascii="Arial Narrow" w:hAnsi="Arial Narrow"/>
                <w:b/>
                <w:sz w:val="19"/>
                <w:szCs w:val="19"/>
              </w:rPr>
              <w:t>PBAC Comment:</w:t>
            </w:r>
            <w:r w:rsidRPr="001074C3">
              <w:rPr>
                <w:rFonts w:ascii="Arial Narrow" w:hAnsi="Arial Narrow"/>
                <w:sz w:val="19"/>
                <w:szCs w:val="19"/>
              </w:rPr>
              <w:t xml:space="preserve"> </w:t>
            </w:r>
            <w:r w:rsidR="002C72E5">
              <w:rPr>
                <w:rFonts w:ascii="Arial Narrow" w:hAnsi="Arial Narrow"/>
                <w:sz w:val="19"/>
                <w:szCs w:val="19"/>
              </w:rPr>
              <w:t>n</w:t>
            </w:r>
            <w:r>
              <w:rPr>
                <w:rFonts w:ascii="Arial Narrow" w:hAnsi="Arial Narrow"/>
                <w:sz w:val="19"/>
                <w:szCs w:val="19"/>
              </w:rPr>
              <w:t>one</w:t>
            </w:r>
          </w:p>
        </w:tc>
        <w:tc>
          <w:tcPr>
            <w:tcW w:w="2773" w:type="dxa"/>
          </w:tcPr>
          <w:p w:rsidR="00540809" w:rsidRDefault="00540809" w:rsidP="0008238D">
            <w:pPr>
              <w:pStyle w:val="ListParagraph"/>
              <w:numPr>
                <w:ilvl w:val="0"/>
                <w:numId w:val="39"/>
              </w:numPr>
              <w:ind w:left="114" w:hanging="114"/>
              <w:jc w:val="left"/>
              <w:rPr>
                <w:rFonts w:ascii="Arial Narrow" w:hAnsi="Arial Narrow"/>
                <w:sz w:val="19"/>
                <w:szCs w:val="19"/>
              </w:rPr>
            </w:pPr>
            <w:proofErr w:type="spellStart"/>
            <w:r w:rsidRPr="00CD63DE">
              <w:rPr>
                <w:rFonts w:ascii="Arial Narrow" w:hAnsi="Arial Narrow"/>
                <w:sz w:val="20"/>
              </w:rPr>
              <w:t>Apremilast</w:t>
            </w:r>
            <w:proofErr w:type="spellEnd"/>
            <w:r w:rsidRPr="001074C3">
              <w:rPr>
                <w:rFonts w:ascii="Arial Narrow" w:hAnsi="Arial Narrow"/>
                <w:sz w:val="19"/>
                <w:szCs w:val="19"/>
              </w:rPr>
              <w:t xml:space="preserve"> versus placebo:</w:t>
            </w:r>
            <w:r>
              <w:rPr>
                <w:rFonts w:ascii="Arial Narrow" w:hAnsi="Arial Narrow"/>
                <w:sz w:val="19"/>
                <w:szCs w:val="19"/>
              </w:rPr>
              <w:t>3 trials</w:t>
            </w:r>
          </w:p>
          <w:p w:rsidR="00540809" w:rsidRPr="00C27A46" w:rsidRDefault="00540809" w:rsidP="0008238D">
            <w:pPr>
              <w:pStyle w:val="ListParagraph"/>
              <w:numPr>
                <w:ilvl w:val="0"/>
                <w:numId w:val="28"/>
              </w:numPr>
              <w:ind w:hanging="246"/>
              <w:jc w:val="left"/>
              <w:rPr>
                <w:rFonts w:ascii="Arial Narrow" w:hAnsi="Arial Narrow"/>
                <w:sz w:val="19"/>
                <w:szCs w:val="19"/>
                <w:lang w:val="pt-PT"/>
              </w:rPr>
            </w:pPr>
            <w:r w:rsidRPr="00C27A46">
              <w:rPr>
                <w:rFonts w:ascii="Arial Narrow" w:hAnsi="Arial Narrow"/>
                <w:sz w:val="19"/>
                <w:szCs w:val="19"/>
                <w:lang w:val="pt-PT"/>
              </w:rPr>
              <w:t>PALACE -1 (N=336)</w:t>
            </w:r>
          </w:p>
          <w:p w:rsidR="00540809" w:rsidRPr="00C27A46" w:rsidRDefault="00540809" w:rsidP="0008238D">
            <w:pPr>
              <w:pStyle w:val="ListParagraph"/>
              <w:numPr>
                <w:ilvl w:val="0"/>
                <w:numId w:val="28"/>
              </w:numPr>
              <w:ind w:hanging="246"/>
              <w:jc w:val="left"/>
              <w:rPr>
                <w:rFonts w:ascii="Arial Narrow" w:hAnsi="Arial Narrow"/>
                <w:sz w:val="19"/>
                <w:szCs w:val="19"/>
                <w:lang w:val="pt-PT"/>
              </w:rPr>
            </w:pPr>
            <w:r w:rsidRPr="00C27A46">
              <w:rPr>
                <w:rFonts w:ascii="Arial Narrow" w:hAnsi="Arial Narrow"/>
                <w:sz w:val="19"/>
                <w:szCs w:val="19"/>
                <w:lang w:val="pt-PT"/>
              </w:rPr>
              <w:t>PALACE-2 (N=321)</w:t>
            </w:r>
          </w:p>
          <w:p w:rsidR="00540809" w:rsidRDefault="00540809" w:rsidP="0008238D">
            <w:pPr>
              <w:pStyle w:val="ListParagraph"/>
              <w:numPr>
                <w:ilvl w:val="0"/>
                <w:numId w:val="28"/>
              </w:numPr>
              <w:ind w:hanging="246"/>
              <w:jc w:val="left"/>
              <w:rPr>
                <w:rFonts w:ascii="Arial Narrow" w:hAnsi="Arial Narrow"/>
                <w:sz w:val="19"/>
                <w:szCs w:val="19"/>
                <w:lang w:val="pt-PT"/>
              </w:rPr>
            </w:pPr>
            <w:r w:rsidRPr="00C27A46">
              <w:rPr>
                <w:rFonts w:ascii="Arial Narrow" w:hAnsi="Arial Narrow"/>
                <w:sz w:val="19"/>
                <w:szCs w:val="19"/>
                <w:lang w:val="pt-PT"/>
              </w:rPr>
              <w:t>PALACE-3 (N=336)</w:t>
            </w:r>
          </w:p>
          <w:p w:rsidR="00540809" w:rsidRDefault="00540809" w:rsidP="0008238D">
            <w:pPr>
              <w:pStyle w:val="ListParagraph"/>
              <w:numPr>
                <w:ilvl w:val="0"/>
                <w:numId w:val="39"/>
              </w:numPr>
              <w:ind w:left="114" w:hanging="114"/>
              <w:jc w:val="left"/>
              <w:rPr>
                <w:rFonts w:ascii="Arial Narrow" w:hAnsi="Arial Narrow"/>
                <w:sz w:val="19"/>
                <w:szCs w:val="19"/>
              </w:rPr>
            </w:pPr>
            <w:r w:rsidRPr="00CD63DE">
              <w:rPr>
                <w:rFonts w:ascii="Arial Narrow" w:hAnsi="Arial Narrow"/>
                <w:sz w:val="20"/>
              </w:rPr>
              <w:t>Adalimumab</w:t>
            </w:r>
            <w:r>
              <w:rPr>
                <w:rFonts w:ascii="Arial Narrow" w:hAnsi="Arial Narrow"/>
                <w:sz w:val="19"/>
                <w:szCs w:val="19"/>
              </w:rPr>
              <w:t xml:space="preserve"> </w:t>
            </w:r>
            <w:r w:rsidRPr="001074C3">
              <w:rPr>
                <w:rFonts w:ascii="Arial Narrow" w:hAnsi="Arial Narrow"/>
                <w:sz w:val="19"/>
                <w:szCs w:val="19"/>
              </w:rPr>
              <w:t>versus placebo:</w:t>
            </w:r>
            <w:r>
              <w:rPr>
                <w:rFonts w:ascii="Arial Narrow" w:hAnsi="Arial Narrow"/>
                <w:sz w:val="19"/>
                <w:szCs w:val="19"/>
              </w:rPr>
              <w:t>2 trials</w:t>
            </w:r>
          </w:p>
          <w:p w:rsidR="00540809" w:rsidRDefault="00540809" w:rsidP="0008238D">
            <w:pPr>
              <w:pStyle w:val="ListParagraph"/>
              <w:numPr>
                <w:ilvl w:val="0"/>
                <w:numId w:val="28"/>
              </w:numPr>
              <w:ind w:hanging="246"/>
              <w:jc w:val="left"/>
              <w:rPr>
                <w:rFonts w:ascii="Arial Narrow" w:hAnsi="Arial Narrow"/>
                <w:sz w:val="19"/>
                <w:szCs w:val="19"/>
                <w:lang w:val="pt-PT"/>
              </w:rPr>
            </w:pPr>
            <w:r>
              <w:rPr>
                <w:rFonts w:ascii="Arial Narrow" w:hAnsi="Arial Narrow"/>
                <w:sz w:val="19"/>
                <w:szCs w:val="19"/>
                <w:lang w:val="pt-PT"/>
              </w:rPr>
              <w:t>Mease 2005</w:t>
            </w:r>
            <w:r w:rsidRPr="00C27A46">
              <w:rPr>
                <w:rFonts w:ascii="Arial Narrow" w:hAnsi="Arial Narrow"/>
                <w:sz w:val="19"/>
                <w:szCs w:val="19"/>
                <w:lang w:val="pt-PT"/>
              </w:rPr>
              <w:t xml:space="preserve"> (N=</w:t>
            </w:r>
            <w:r>
              <w:rPr>
                <w:rFonts w:ascii="Arial Narrow" w:hAnsi="Arial Narrow"/>
                <w:sz w:val="19"/>
                <w:szCs w:val="19"/>
                <w:lang w:val="pt-PT"/>
              </w:rPr>
              <w:t>315)</w:t>
            </w:r>
          </w:p>
          <w:p w:rsidR="00540809" w:rsidRPr="001074C3" w:rsidRDefault="00540809" w:rsidP="0008238D">
            <w:pPr>
              <w:pStyle w:val="ListParagraph"/>
              <w:numPr>
                <w:ilvl w:val="0"/>
                <w:numId w:val="28"/>
              </w:numPr>
              <w:ind w:hanging="246"/>
              <w:jc w:val="left"/>
              <w:rPr>
                <w:rFonts w:ascii="Arial Narrow" w:hAnsi="Arial Narrow"/>
                <w:sz w:val="19"/>
                <w:szCs w:val="19"/>
              </w:rPr>
            </w:pPr>
            <w:r>
              <w:rPr>
                <w:rFonts w:ascii="Arial Narrow" w:hAnsi="Arial Narrow"/>
                <w:sz w:val="19"/>
                <w:szCs w:val="19"/>
                <w:lang w:val="pt-PT"/>
              </w:rPr>
              <w:t>Genovese 2007 (N=102)</w:t>
            </w:r>
          </w:p>
        </w:tc>
      </w:tr>
      <w:tr w:rsidR="00540809" w:rsidRPr="00ED0F04" w:rsidTr="00CD63DE">
        <w:trPr>
          <w:trHeight w:val="860"/>
        </w:trPr>
        <w:tc>
          <w:tcPr>
            <w:tcW w:w="1701" w:type="dxa"/>
          </w:tcPr>
          <w:p w:rsidR="00540809" w:rsidRPr="00ED0F04" w:rsidRDefault="00540809" w:rsidP="00853100">
            <w:pPr>
              <w:jc w:val="left"/>
              <w:rPr>
                <w:rFonts w:ascii="Arial Narrow" w:hAnsi="Arial Narrow"/>
                <w:sz w:val="19"/>
                <w:szCs w:val="19"/>
              </w:rPr>
            </w:pPr>
            <w:r w:rsidRPr="00ED0F04">
              <w:rPr>
                <w:rFonts w:ascii="Arial Narrow" w:hAnsi="Arial Narrow"/>
                <w:sz w:val="19"/>
                <w:szCs w:val="19"/>
              </w:rPr>
              <w:t>Clinical claim</w:t>
            </w:r>
          </w:p>
        </w:tc>
        <w:tc>
          <w:tcPr>
            <w:tcW w:w="3969" w:type="dxa"/>
          </w:tcPr>
          <w:p w:rsidR="00540809" w:rsidRPr="00A130F5" w:rsidRDefault="00540809" w:rsidP="00A130F5">
            <w:pPr>
              <w:jc w:val="left"/>
              <w:rPr>
                <w:rFonts w:ascii="Arial Narrow" w:hAnsi="Arial Narrow"/>
                <w:sz w:val="19"/>
                <w:szCs w:val="19"/>
              </w:rPr>
            </w:pPr>
            <w:proofErr w:type="spellStart"/>
            <w:r w:rsidRPr="00A130F5">
              <w:rPr>
                <w:rFonts w:ascii="Arial Narrow" w:hAnsi="Arial Narrow"/>
                <w:sz w:val="19"/>
                <w:szCs w:val="19"/>
              </w:rPr>
              <w:t>Apremilast</w:t>
            </w:r>
            <w:proofErr w:type="spellEnd"/>
            <w:r w:rsidRPr="00A130F5">
              <w:rPr>
                <w:rFonts w:ascii="Arial Narrow" w:hAnsi="Arial Narrow"/>
                <w:sz w:val="19"/>
                <w:szCs w:val="19"/>
              </w:rPr>
              <w:t xml:space="preserve"> is non-inferior in terms of comparative </w:t>
            </w:r>
            <w:r w:rsidRPr="00A130F5">
              <w:rPr>
                <w:rFonts w:ascii="Arial Narrow" w:hAnsi="Arial Narrow"/>
                <w:sz w:val="20"/>
              </w:rPr>
              <w:t>effectiveness</w:t>
            </w:r>
            <w:r w:rsidRPr="00A130F5">
              <w:rPr>
                <w:rFonts w:ascii="Arial Narrow" w:hAnsi="Arial Narrow"/>
                <w:sz w:val="19"/>
                <w:szCs w:val="19"/>
              </w:rPr>
              <w:t xml:space="preserve"> and superior in te</w:t>
            </w:r>
            <w:r w:rsidR="002C72E5">
              <w:rPr>
                <w:rFonts w:ascii="Arial Narrow" w:hAnsi="Arial Narrow"/>
                <w:sz w:val="19"/>
                <w:szCs w:val="19"/>
              </w:rPr>
              <w:t xml:space="preserve">rms of safety over </w:t>
            </w:r>
            <w:proofErr w:type="spellStart"/>
            <w:r w:rsidR="002C72E5">
              <w:rPr>
                <w:rFonts w:ascii="Arial Narrow" w:hAnsi="Arial Narrow"/>
                <w:sz w:val="19"/>
                <w:szCs w:val="19"/>
              </w:rPr>
              <w:t>leflunomide</w:t>
            </w:r>
            <w:proofErr w:type="spellEnd"/>
            <w:r w:rsidR="002C72E5">
              <w:rPr>
                <w:rFonts w:ascii="Arial Narrow" w:hAnsi="Arial Narrow"/>
                <w:sz w:val="19"/>
                <w:szCs w:val="19"/>
              </w:rPr>
              <w:t>.</w:t>
            </w:r>
          </w:p>
          <w:p w:rsidR="00540809" w:rsidRPr="002C72E5" w:rsidRDefault="00540809" w:rsidP="00853100">
            <w:pPr>
              <w:jc w:val="left"/>
              <w:rPr>
                <w:rFonts w:ascii="Arial Narrow" w:hAnsi="Arial Narrow"/>
                <w:sz w:val="19"/>
                <w:szCs w:val="19"/>
              </w:rPr>
            </w:pPr>
          </w:p>
          <w:p w:rsidR="00540809" w:rsidRDefault="00540809" w:rsidP="00853100">
            <w:pPr>
              <w:jc w:val="left"/>
              <w:rPr>
                <w:rFonts w:ascii="Arial Narrow" w:hAnsi="Arial Narrow"/>
                <w:sz w:val="20"/>
              </w:rPr>
            </w:pPr>
            <w:r w:rsidRPr="001036A9">
              <w:rPr>
                <w:rFonts w:ascii="Arial Narrow" w:hAnsi="Arial Narrow"/>
                <w:b/>
                <w:sz w:val="19"/>
                <w:szCs w:val="19"/>
              </w:rPr>
              <w:t>PBAC Comment:</w:t>
            </w:r>
            <w:r>
              <w:rPr>
                <w:rFonts w:ascii="Arial Narrow" w:hAnsi="Arial Narrow"/>
                <w:sz w:val="19"/>
                <w:szCs w:val="19"/>
              </w:rPr>
              <w:t xml:space="preserve"> (paragraph 7.4, Mar 2015 PBAC Minutes)</w:t>
            </w:r>
            <w:r w:rsidRPr="001036A9">
              <w:rPr>
                <w:rFonts w:ascii="Arial Narrow" w:hAnsi="Arial Narrow"/>
                <w:sz w:val="19"/>
                <w:szCs w:val="19"/>
              </w:rPr>
              <w:t xml:space="preserve"> </w:t>
            </w:r>
            <w:r w:rsidRPr="00C67160">
              <w:rPr>
                <w:rFonts w:ascii="Arial Narrow" w:hAnsi="Arial Narrow"/>
                <w:sz w:val="20"/>
              </w:rPr>
              <w:t xml:space="preserve">The submission’s clinical claim of non-inferiority in terms of comparative effectiveness versus </w:t>
            </w:r>
            <w:proofErr w:type="spellStart"/>
            <w:r w:rsidRPr="00C67160">
              <w:rPr>
                <w:rFonts w:ascii="Arial Narrow" w:hAnsi="Arial Narrow"/>
                <w:sz w:val="20"/>
              </w:rPr>
              <w:t>leflunomide</w:t>
            </w:r>
            <w:proofErr w:type="spellEnd"/>
            <w:r w:rsidRPr="00C67160">
              <w:rPr>
                <w:rFonts w:ascii="Arial Narrow" w:hAnsi="Arial Narrow"/>
                <w:sz w:val="20"/>
              </w:rPr>
              <w:t xml:space="preserve"> had not been convincingly established.</w:t>
            </w:r>
          </w:p>
          <w:p w:rsidR="00540809" w:rsidRPr="001036A9" w:rsidRDefault="00540809" w:rsidP="00C21B45">
            <w:pPr>
              <w:jc w:val="left"/>
              <w:rPr>
                <w:rFonts w:ascii="Arial Narrow" w:hAnsi="Arial Narrow"/>
                <w:sz w:val="19"/>
                <w:szCs w:val="19"/>
              </w:rPr>
            </w:pPr>
            <w:r w:rsidRPr="006C126E">
              <w:rPr>
                <w:rFonts w:ascii="Arial Narrow" w:hAnsi="Arial Narrow"/>
                <w:sz w:val="19"/>
                <w:szCs w:val="19"/>
              </w:rPr>
              <w:t>(</w:t>
            </w:r>
            <w:proofErr w:type="gramStart"/>
            <w:r w:rsidRPr="006C126E">
              <w:rPr>
                <w:rFonts w:ascii="Arial Narrow" w:hAnsi="Arial Narrow"/>
                <w:sz w:val="19"/>
                <w:szCs w:val="19"/>
              </w:rPr>
              <w:t>paragraph</w:t>
            </w:r>
            <w:proofErr w:type="gramEnd"/>
            <w:r w:rsidRPr="006C126E">
              <w:rPr>
                <w:rFonts w:ascii="Arial Narrow" w:hAnsi="Arial Narrow"/>
                <w:sz w:val="19"/>
                <w:szCs w:val="19"/>
              </w:rPr>
              <w:t xml:space="preserve"> 7.5, Mar 2015 PBAC Minutes)</w:t>
            </w:r>
            <w:r w:rsidR="00C21B45">
              <w:rPr>
                <w:rFonts w:ascii="Arial Narrow" w:hAnsi="Arial Narrow"/>
                <w:sz w:val="19"/>
                <w:szCs w:val="19"/>
              </w:rPr>
              <w:t xml:space="preserve"> </w:t>
            </w:r>
            <w:r w:rsidRPr="006C126E">
              <w:rPr>
                <w:rFonts w:ascii="Arial Narrow" w:hAnsi="Arial Narrow"/>
                <w:sz w:val="19"/>
                <w:szCs w:val="19"/>
              </w:rPr>
              <w:t xml:space="preserve">the PBAC did not consider the submission’s claim of superior safety to have been adequately supported… Any claims of superior safety over </w:t>
            </w:r>
            <w:proofErr w:type="spellStart"/>
            <w:r w:rsidRPr="006C126E">
              <w:rPr>
                <w:rFonts w:ascii="Arial Narrow" w:hAnsi="Arial Narrow"/>
                <w:sz w:val="19"/>
                <w:szCs w:val="19"/>
              </w:rPr>
              <w:t>leflunomide</w:t>
            </w:r>
            <w:proofErr w:type="spellEnd"/>
            <w:r w:rsidRPr="006C126E">
              <w:rPr>
                <w:rFonts w:ascii="Arial Narrow" w:hAnsi="Arial Narrow"/>
                <w:sz w:val="19"/>
                <w:szCs w:val="19"/>
              </w:rPr>
              <w:t xml:space="preserve"> would need to be supported by further long term comparative safety data.</w:t>
            </w:r>
          </w:p>
        </w:tc>
        <w:tc>
          <w:tcPr>
            <w:tcW w:w="2773" w:type="dxa"/>
          </w:tcPr>
          <w:p w:rsidR="00540809" w:rsidRPr="00A130F5" w:rsidRDefault="00540809" w:rsidP="00A130F5">
            <w:pPr>
              <w:jc w:val="left"/>
              <w:rPr>
                <w:rFonts w:ascii="Arial Narrow" w:hAnsi="Arial Narrow"/>
                <w:sz w:val="19"/>
                <w:szCs w:val="19"/>
              </w:rPr>
            </w:pPr>
            <w:proofErr w:type="spellStart"/>
            <w:r w:rsidRPr="00A130F5">
              <w:rPr>
                <w:rFonts w:ascii="Arial Narrow" w:hAnsi="Arial Narrow"/>
                <w:sz w:val="20"/>
              </w:rPr>
              <w:t>Apremilast</w:t>
            </w:r>
            <w:proofErr w:type="spellEnd"/>
            <w:r w:rsidRPr="00A130F5">
              <w:rPr>
                <w:rFonts w:ascii="Arial Narrow" w:hAnsi="Arial Narrow"/>
                <w:sz w:val="19"/>
                <w:szCs w:val="19"/>
              </w:rPr>
              <w:t xml:space="preserve"> is inferior in terms of comparative effectiveness and non-inferior in terms of comparative safety over adalimumab.</w:t>
            </w:r>
          </w:p>
          <w:p w:rsidR="00540809" w:rsidRPr="001036A9" w:rsidRDefault="00540809" w:rsidP="00853100">
            <w:pPr>
              <w:jc w:val="left"/>
              <w:rPr>
                <w:rFonts w:ascii="Arial Narrow" w:hAnsi="Arial Narrow"/>
                <w:sz w:val="19"/>
                <w:szCs w:val="19"/>
              </w:rPr>
            </w:pPr>
          </w:p>
        </w:tc>
      </w:tr>
      <w:tr w:rsidR="00540809" w:rsidRPr="00ED0F04" w:rsidTr="00CD63DE">
        <w:trPr>
          <w:trHeight w:val="397"/>
        </w:trPr>
        <w:tc>
          <w:tcPr>
            <w:tcW w:w="1701" w:type="dxa"/>
          </w:tcPr>
          <w:p w:rsidR="00540809" w:rsidRPr="00ED0F04" w:rsidRDefault="00540809" w:rsidP="00853100">
            <w:pPr>
              <w:jc w:val="left"/>
              <w:rPr>
                <w:rFonts w:ascii="Arial Narrow" w:hAnsi="Arial Narrow"/>
                <w:sz w:val="19"/>
                <w:szCs w:val="19"/>
              </w:rPr>
            </w:pPr>
            <w:r w:rsidRPr="00ED0F04">
              <w:rPr>
                <w:rFonts w:ascii="Arial Narrow" w:hAnsi="Arial Narrow"/>
                <w:sz w:val="19"/>
                <w:szCs w:val="19"/>
              </w:rPr>
              <w:t>Economic evaluation</w:t>
            </w:r>
          </w:p>
        </w:tc>
        <w:tc>
          <w:tcPr>
            <w:tcW w:w="3969" w:type="dxa"/>
          </w:tcPr>
          <w:p w:rsidR="00540809" w:rsidRPr="00A130F5" w:rsidRDefault="00540809" w:rsidP="00A130F5">
            <w:pPr>
              <w:jc w:val="left"/>
              <w:rPr>
                <w:rFonts w:ascii="Arial Narrow" w:hAnsi="Arial Narrow"/>
                <w:sz w:val="20"/>
              </w:rPr>
            </w:pPr>
            <w:r w:rsidRPr="00A130F5">
              <w:rPr>
                <w:rFonts w:ascii="Arial Narrow" w:hAnsi="Arial Narrow"/>
                <w:sz w:val="20"/>
              </w:rPr>
              <w:t>The submission present</w:t>
            </w:r>
            <w:r w:rsidR="00A130F5">
              <w:rPr>
                <w:rFonts w:ascii="Arial Narrow" w:hAnsi="Arial Narrow"/>
                <w:sz w:val="20"/>
              </w:rPr>
              <w:t>ed</w:t>
            </w:r>
            <w:r w:rsidRPr="00A130F5">
              <w:rPr>
                <w:rFonts w:ascii="Arial Narrow" w:hAnsi="Arial Narrow"/>
                <w:sz w:val="20"/>
              </w:rPr>
              <w:t xml:space="preserve"> a modelled economic analysis based on an assumption that </w:t>
            </w:r>
            <w:proofErr w:type="spellStart"/>
            <w:r w:rsidRPr="00A130F5">
              <w:rPr>
                <w:rFonts w:ascii="Arial Narrow" w:hAnsi="Arial Narrow"/>
                <w:sz w:val="20"/>
              </w:rPr>
              <w:t>apremilast</w:t>
            </w:r>
            <w:proofErr w:type="spellEnd"/>
            <w:r w:rsidRPr="00A130F5">
              <w:rPr>
                <w:rFonts w:ascii="Arial Narrow" w:hAnsi="Arial Narrow"/>
                <w:sz w:val="20"/>
              </w:rPr>
              <w:t xml:space="preserve"> will </w:t>
            </w:r>
            <w:r w:rsidRPr="00A130F5">
              <w:rPr>
                <w:rFonts w:ascii="Arial Narrow" w:hAnsi="Arial Narrow"/>
                <w:sz w:val="20"/>
                <w:u w:val="single"/>
              </w:rPr>
              <w:t>expand</w:t>
            </w:r>
            <w:r w:rsidRPr="00A130F5">
              <w:rPr>
                <w:rFonts w:ascii="Arial Narrow" w:hAnsi="Arial Narrow"/>
                <w:sz w:val="20"/>
              </w:rPr>
              <w:t xml:space="preserve"> the treatment sequence for </w:t>
            </w:r>
            <w:proofErr w:type="spellStart"/>
            <w:r w:rsidRPr="00A130F5">
              <w:rPr>
                <w:rFonts w:ascii="Arial Narrow" w:hAnsi="Arial Narrow"/>
                <w:sz w:val="20"/>
              </w:rPr>
              <w:t>PsA</w:t>
            </w:r>
            <w:proofErr w:type="spellEnd"/>
            <w:r w:rsidRPr="00A130F5">
              <w:rPr>
                <w:rFonts w:ascii="Arial Narrow" w:hAnsi="Arial Narrow"/>
                <w:sz w:val="20"/>
              </w:rPr>
              <w:t>, but this is deemed to be uninformative.</w:t>
            </w:r>
          </w:p>
          <w:p w:rsidR="00540809" w:rsidRPr="002C72E5" w:rsidRDefault="00540809" w:rsidP="00853100">
            <w:pPr>
              <w:jc w:val="left"/>
              <w:rPr>
                <w:rFonts w:ascii="Arial Narrow" w:hAnsi="Arial Narrow"/>
                <w:sz w:val="19"/>
                <w:szCs w:val="19"/>
              </w:rPr>
            </w:pPr>
          </w:p>
          <w:p w:rsidR="00540809" w:rsidRPr="00ED0F04" w:rsidRDefault="00540809" w:rsidP="00853100">
            <w:pPr>
              <w:jc w:val="left"/>
              <w:rPr>
                <w:rFonts w:ascii="Arial Narrow" w:hAnsi="Arial Narrow"/>
                <w:sz w:val="19"/>
                <w:szCs w:val="19"/>
              </w:rPr>
            </w:pPr>
            <w:r w:rsidRPr="00ED0F04">
              <w:rPr>
                <w:rFonts w:ascii="Arial Narrow" w:hAnsi="Arial Narrow"/>
                <w:b/>
                <w:sz w:val="19"/>
                <w:szCs w:val="19"/>
              </w:rPr>
              <w:t>PBAC Comment:</w:t>
            </w:r>
            <w:r w:rsidRPr="00ED0F04">
              <w:rPr>
                <w:rFonts w:ascii="Arial Narrow" w:hAnsi="Arial Narrow"/>
                <w:sz w:val="19"/>
                <w:szCs w:val="19"/>
              </w:rPr>
              <w:t xml:space="preserve"> </w:t>
            </w:r>
            <w:r>
              <w:rPr>
                <w:rFonts w:ascii="Arial Narrow" w:hAnsi="Arial Narrow"/>
                <w:sz w:val="19"/>
                <w:szCs w:val="19"/>
              </w:rPr>
              <w:t>(paragraph 7.6, Mar 2015 PBAC Minutes)</w:t>
            </w:r>
            <w:r w:rsidRPr="001036A9">
              <w:rPr>
                <w:rFonts w:ascii="Arial Narrow" w:hAnsi="Arial Narrow"/>
                <w:sz w:val="19"/>
                <w:szCs w:val="19"/>
              </w:rPr>
              <w:t xml:space="preserve"> </w:t>
            </w:r>
            <w:r w:rsidRPr="00DF0194">
              <w:rPr>
                <w:rFonts w:ascii="Arial Narrow" w:hAnsi="Arial Narrow"/>
                <w:sz w:val="20"/>
              </w:rPr>
              <w:t>The PBAC did not find the submission’s economic modelling through a cost-utility analysis informative. Given that it was the PBAC’s view that it would be clinically inappropriate to potentially delay the commencement of more effective (but more costly) treatments in the form of bDMARD therapies, the submission’s economic analysis therefore modelled a treatment scenario that is unlikely to be realised in practice.</w:t>
            </w:r>
          </w:p>
        </w:tc>
        <w:tc>
          <w:tcPr>
            <w:tcW w:w="2773" w:type="dxa"/>
          </w:tcPr>
          <w:p w:rsidR="00540809" w:rsidRPr="00A76D51" w:rsidRDefault="00540809" w:rsidP="00A130F5">
            <w:pPr>
              <w:jc w:val="left"/>
              <w:rPr>
                <w:rFonts w:ascii="Arial Narrow" w:hAnsi="Arial Narrow"/>
                <w:iCs/>
                <w:sz w:val="19"/>
                <w:szCs w:val="19"/>
              </w:rPr>
            </w:pPr>
            <w:r w:rsidRPr="00A76D51">
              <w:rPr>
                <w:rFonts w:ascii="Arial Narrow" w:hAnsi="Arial Narrow"/>
                <w:iCs/>
                <w:sz w:val="19"/>
                <w:szCs w:val="19"/>
              </w:rPr>
              <w:t xml:space="preserve">The model in the resubmission is deemed to be </w:t>
            </w:r>
            <w:r w:rsidR="007465B3" w:rsidRPr="00A76D51">
              <w:rPr>
                <w:rFonts w:ascii="Arial Narrow" w:hAnsi="Arial Narrow"/>
                <w:iCs/>
                <w:sz w:val="19"/>
                <w:szCs w:val="19"/>
              </w:rPr>
              <w:t xml:space="preserve">only partially </w:t>
            </w:r>
            <w:r w:rsidRPr="00A76D51">
              <w:rPr>
                <w:rFonts w:ascii="Arial Narrow" w:hAnsi="Arial Narrow"/>
                <w:iCs/>
                <w:sz w:val="19"/>
                <w:szCs w:val="19"/>
              </w:rPr>
              <w:t>informative</w:t>
            </w:r>
            <w:r w:rsidR="007465B3" w:rsidRPr="00A76D51">
              <w:rPr>
                <w:rFonts w:ascii="Arial Narrow" w:hAnsi="Arial Narrow"/>
                <w:iCs/>
                <w:sz w:val="19"/>
                <w:szCs w:val="19"/>
              </w:rPr>
              <w:t xml:space="preserve"> as it does not inform on </w:t>
            </w:r>
            <w:r w:rsidR="007465B3" w:rsidRPr="00A76D51">
              <w:rPr>
                <w:rFonts w:ascii="Arial Narrow" w:hAnsi="Arial Narrow"/>
                <w:sz w:val="20"/>
              </w:rPr>
              <w:t>the</w:t>
            </w:r>
            <w:r w:rsidR="007465B3" w:rsidRPr="00A76D51">
              <w:rPr>
                <w:rFonts w:ascii="Arial Narrow" w:hAnsi="Arial Narrow"/>
                <w:iCs/>
                <w:sz w:val="19"/>
                <w:szCs w:val="19"/>
              </w:rPr>
              <w:t xml:space="preserve"> cost-effectiveness of </w:t>
            </w:r>
            <w:proofErr w:type="spellStart"/>
            <w:r w:rsidR="007465B3" w:rsidRPr="00A76D51">
              <w:rPr>
                <w:rFonts w:ascii="Arial Narrow" w:hAnsi="Arial Narrow"/>
                <w:iCs/>
                <w:sz w:val="19"/>
                <w:szCs w:val="19"/>
              </w:rPr>
              <w:t>apremilast</w:t>
            </w:r>
            <w:proofErr w:type="spellEnd"/>
            <w:r w:rsidR="007465B3" w:rsidRPr="00A76D51">
              <w:rPr>
                <w:rFonts w:ascii="Arial Narrow" w:hAnsi="Arial Narrow"/>
                <w:iCs/>
                <w:sz w:val="19"/>
                <w:szCs w:val="19"/>
              </w:rPr>
              <w:t xml:space="preserve"> </w:t>
            </w:r>
            <w:r w:rsidR="00F940DF" w:rsidRPr="00A76D51">
              <w:rPr>
                <w:rFonts w:ascii="Arial Narrow" w:hAnsi="Arial Narrow"/>
                <w:iCs/>
                <w:sz w:val="19"/>
                <w:szCs w:val="19"/>
              </w:rPr>
              <w:t>in those unwilling to take bDMARDs</w:t>
            </w:r>
            <w:r w:rsidRPr="00A76D51">
              <w:rPr>
                <w:rFonts w:ascii="Arial Narrow" w:hAnsi="Arial Narrow"/>
                <w:sz w:val="19"/>
                <w:szCs w:val="19"/>
              </w:rPr>
              <w:t xml:space="preserve">.  The resubmission compares the costs and consequences of </w:t>
            </w:r>
            <w:proofErr w:type="spellStart"/>
            <w:r w:rsidRPr="00A76D51">
              <w:rPr>
                <w:rFonts w:ascii="Arial Narrow" w:hAnsi="Arial Narrow"/>
                <w:sz w:val="19"/>
                <w:szCs w:val="19"/>
              </w:rPr>
              <w:t>apremilast</w:t>
            </w:r>
            <w:proofErr w:type="spellEnd"/>
            <w:r w:rsidRPr="00A76D51">
              <w:rPr>
                <w:rFonts w:ascii="Arial Narrow" w:hAnsi="Arial Narrow"/>
                <w:sz w:val="19"/>
                <w:szCs w:val="19"/>
              </w:rPr>
              <w:t xml:space="preserve"> and adalimumab</w:t>
            </w:r>
            <w:r w:rsidR="007465B3" w:rsidRPr="00A76D51">
              <w:rPr>
                <w:rFonts w:ascii="Arial Narrow" w:hAnsi="Arial Narrow"/>
                <w:sz w:val="19"/>
                <w:szCs w:val="19"/>
              </w:rPr>
              <w:t>.</w:t>
            </w:r>
            <w:r w:rsidRPr="00A76D51">
              <w:rPr>
                <w:rFonts w:ascii="Arial Narrow" w:hAnsi="Arial Narrow"/>
                <w:iCs/>
                <w:sz w:val="19"/>
                <w:szCs w:val="19"/>
              </w:rPr>
              <w:t xml:space="preserve"> </w:t>
            </w:r>
            <w:r w:rsidR="007465B3" w:rsidRPr="00A76D51">
              <w:rPr>
                <w:rFonts w:ascii="Arial Narrow" w:hAnsi="Arial Narrow"/>
                <w:iCs/>
                <w:sz w:val="19"/>
                <w:szCs w:val="19"/>
              </w:rPr>
              <w:t xml:space="preserve"> </w:t>
            </w:r>
          </w:p>
        </w:tc>
      </w:tr>
      <w:tr w:rsidR="00540809" w:rsidRPr="00ED0F04" w:rsidTr="00CD63DE">
        <w:trPr>
          <w:trHeight w:val="438"/>
        </w:trPr>
        <w:tc>
          <w:tcPr>
            <w:tcW w:w="1701" w:type="dxa"/>
          </w:tcPr>
          <w:p w:rsidR="00540809" w:rsidRPr="00ED0F04" w:rsidRDefault="00540809" w:rsidP="00853100">
            <w:pPr>
              <w:jc w:val="left"/>
              <w:rPr>
                <w:rFonts w:ascii="Arial Narrow" w:hAnsi="Arial Narrow"/>
                <w:sz w:val="19"/>
                <w:szCs w:val="19"/>
              </w:rPr>
            </w:pPr>
            <w:r w:rsidRPr="00ED0F04">
              <w:rPr>
                <w:rFonts w:ascii="Arial Narrow" w:hAnsi="Arial Narrow"/>
              </w:rPr>
              <w:br w:type="page"/>
            </w:r>
            <w:r w:rsidRPr="00ED0F04">
              <w:rPr>
                <w:rFonts w:ascii="Arial Narrow" w:hAnsi="Arial Narrow"/>
                <w:sz w:val="19"/>
                <w:szCs w:val="19"/>
              </w:rPr>
              <w:t>PBAC decision</w:t>
            </w:r>
          </w:p>
        </w:tc>
        <w:tc>
          <w:tcPr>
            <w:tcW w:w="3969" w:type="dxa"/>
          </w:tcPr>
          <w:p w:rsidR="00540809" w:rsidRDefault="00540809" w:rsidP="0008238D">
            <w:pPr>
              <w:pStyle w:val="ListParagraph"/>
              <w:numPr>
                <w:ilvl w:val="0"/>
                <w:numId w:val="39"/>
              </w:numPr>
              <w:ind w:left="114" w:hanging="114"/>
              <w:jc w:val="left"/>
              <w:rPr>
                <w:rFonts w:ascii="Arial Narrow" w:hAnsi="Arial Narrow"/>
                <w:sz w:val="19"/>
                <w:szCs w:val="19"/>
              </w:rPr>
            </w:pPr>
            <w:r w:rsidRPr="00CD63DE">
              <w:rPr>
                <w:rFonts w:ascii="Arial Narrow" w:hAnsi="Arial Narrow"/>
                <w:sz w:val="20"/>
              </w:rPr>
              <w:t>Reject</w:t>
            </w:r>
            <w:r w:rsidR="002C72E5">
              <w:rPr>
                <w:rFonts w:ascii="Arial Narrow" w:hAnsi="Arial Narrow"/>
                <w:sz w:val="19"/>
                <w:szCs w:val="19"/>
              </w:rPr>
              <w:t>.</w:t>
            </w:r>
          </w:p>
          <w:p w:rsidR="00540809" w:rsidRPr="00600C1A" w:rsidRDefault="00540809" w:rsidP="00600C1A">
            <w:pPr>
              <w:jc w:val="left"/>
              <w:rPr>
                <w:szCs w:val="24"/>
              </w:rPr>
            </w:pPr>
            <w:r>
              <w:rPr>
                <w:rFonts w:ascii="Arial Narrow" w:hAnsi="Arial Narrow"/>
                <w:sz w:val="19"/>
                <w:szCs w:val="19"/>
              </w:rPr>
              <w:t>(paragraph 7.6, Mar 2015 PBAC Minutes</w:t>
            </w:r>
            <w:r w:rsidRPr="00943771">
              <w:rPr>
                <w:rFonts w:ascii="Arial Narrow" w:hAnsi="Arial Narrow"/>
                <w:sz w:val="20"/>
              </w:rPr>
              <w:t xml:space="preserve">)  </w:t>
            </w:r>
            <w:r>
              <w:rPr>
                <w:rFonts w:ascii="Arial Narrow" w:hAnsi="Arial Narrow"/>
                <w:sz w:val="20"/>
              </w:rPr>
              <w:t xml:space="preserve">The PBAC rejected the submission on the basis of unacceptable </w:t>
            </w:r>
            <w:r>
              <w:rPr>
                <w:rFonts w:ascii="Arial Narrow" w:hAnsi="Arial Narrow"/>
                <w:sz w:val="20"/>
              </w:rPr>
              <w:lastRenderedPageBreak/>
              <w:t xml:space="preserve">cost-effectiveness compared to </w:t>
            </w:r>
            <w:proofErr w:type="spellStart"/>
            <w:r>
              <w:rPr>
                <w:rFonts w:ascii="Arial Narrow" w:hAnsi="Arial Narrow"/>
                <w:sz w:val="20"/>
              </w:rPr>
              <w:t>leflunomide</w:t>
            </w:r>
            <w:proofErr w:type="spellEnd"/>
            <w:r>
              <w:rPr>
                <w:rFonts w:ascii="Arial Narrow" w:hAnsi="Arial Narrow"/>
                <w:sz w:val="20"/>
              </w:rPr>
              <w:t xml:space="preserve"> at the price proposed in the submission, and a low clinical need for a treatment that would potentially delay treatment with more effective (but more costly) bDMARD therapy.</w:t>
            </w:r>
          </w:p>
        </w:tc>
        <w:tc>
          <w:tcPr>
            <w:tcW w:w="2773" w:type="dxa"/>
          </w:tcPr>
          <w:p w:rsidR="00540809" w:rsidRPr="00ED0F04" w:rsidRDefault="00540809" w:rsidP="00853100">
            <w:pPr>
              <w:jc w:val="left"/>
              <w:rPr>
                <w:rFonts w:ascii="Arial Narrow" w:hAnsi="Arial Narrow"/>
                <w:color w:val="0000FF"/>
                <w:sz w:val="19"/>
                <w:szCs w:val="19"/>
              </w:rPr>
            </w:pPr>
            <w:r w:rsidRPr="00ED0F04">
              <w:rPr>
                <w:rFonts w:ascii="Arial Narrow" w:hAnsi="Arial Narrow"/>
                <w:sz w:val="19"/>
                <w:szCs w:val="19"/>
              </w:rPr>
              <w:lastRenderedPageBreak/>
              <w:t>-</w:t>
            </w:r>
          </w:p>
        </w:tc>
      </w:tr>
    </w:tbl>
    <w:p w:rsidR="00540809" w:rsidRPr="001D112E" w:rsidRDefault="00540809" w:rsidP="00540809">
      <w:pPr>
        <w:pStyle w:val="TableFooter"/>
        <w:ind w:firstLine="720"/>
      </w:pPr>
      <w:r w:rsidRPr="001D112E">
        <w:lastRenderedPageBreak/>
        <w:t>Source: Compiled during the evaluation</w:t>
      </w:r>
    </w:p>
    <w:p w:rsidR="007B504E" w:rsidRDefault="007B504E" w:rsidP="00577717"/>
    <w:p w:rsidR="00A76D51" w:rsidRDefault="00A76D51" w:rsidP="00577717"/>
    <w:p w:rsidR="00F338FF" w:rsidRPr="00407F2D" w:rsidRDefault="00F338FF" w:rsidP="0093180A">
      <w:pPr>
        <w:pStyle w:val="Heading1"/>
      </w:pPr>
      <w:bookmarkStart w:id="4" w:name="_Toc430164094"/>
      <w:r w:rsidRPr="00407F2D">
        <w:t>Clinical place for the proposed therapy</w:t>
      </w:r>
      <w:bookmarkEnd w:id="4"/>
    </w:p>
    <w:p w:rsidR="00B60939" w:rsidRDefault="00B60939" w:rsidP="00B60939">
      <w:pPr>
        <w:rPr>
          <w:szCs w:val="22"/>
        </w:rPr>
      </w:pPr>
    </w:p>
    <w:p w:rsidR="00796899" w:rsidRPr="00796899" w:rsidRDefault="00030BF1" w:rsidP="00582D67">
      <w:pPr>
        <w:pStyle w:val="ListParagraph"/>
        <w:widowControl/>
        <w:numPr>
          <w:ilvl w:val="1"/>
          <w:numId w:val="5"/>
        </w:numPr>
        <w:rPr>
          <w:szCs w:val="22"/>
        </w:rPr>
      </w:pPr>
      <w:r>
        <w:t>The resubmission proposed</w:t>
      </w:r>
      <w:r w:rsidR="002B6689" w:rsidRPr="002B6689">
        <w:t xml:space="preserve"> that </w:t>
      </w:r>
      <w:proofErr w:type="spellStart"/>
      <w:r w:rsidR="002B6689" w:rsidRPr="002B6689">
        <w:t>apremilast</w:t>
      </w:r>
      <w:proofErr w:type="spellEnd"/>
      <w:r w:rsidR="002B6689" w:rsidRPr="002B6689">
        <w:t xml:space="preserve"> would be used as a subsequent treatment to methotrexate and </w:t>
      </w:r>
      <w:proofErr w:type="spellStart"/>
      <w:r w:rsidR="002B6689" w:rsidRPr="002B6689">
        <w:t>leflunomide</w:t>
      </w:r>
      <w:proofErr w:type="spellEnd"/>
      <w:r w:rsidR="002B6689" w:rsidRPr="002B6689">
        <w:t xml:space="preserve"> or sulfasalazine, according to the existing eligibility criteria for treatment with a bDMARD, for psoriatic arthritis.</w:t>
      </w:r>
      <w:r w:rsidR="003B1C34">
        <w:t xml:space="preserve"> Th</w:t>
      </w:r>
      <w:r>
        <w:t>is differed</w:t>
      </w:r>
      <w:r w:rsidR="003B1C34">
        <w:t xml:space="preserve"> </w:t>
      </w:r>
      <w:r w:rsidR="002C72E5">
        <w:t>from</w:t>
      </w:r>
      <w:r w:rsidR="003B1C34">
        <w:t xml:space="preserve"> the previous submission</w:t>
      </w:r>
      <w:r w:rsidR="002C72E5">
        <w:t>,</w:t>
      </w:r>
      <w:r w:rsidR="003B1C34">
        <w:t xml:space="preserve"> which proposed that</w:t>
      </w:r>
      <w:r w:rsidR="003B1C34" w:rsidRPr="003B1C34">
        <w:t xml:space="preserve"> </w:t>
      </w:r>
      <w:proofErr w:type="spellStart"/>
      <w:r w:rsidR="003B1C34" w:rsidRPr="00576056">
        <w:t>apremilast</w:t>
      </w:r>
      <w:proofErr w:type="spellEnd"/>
      <w:r w:rsidR="003B1C34" w:rsidRPr="00576056">
        <w:t xml:space="preserve"> would be used as a subs</w:t>
      </w:r>
      <w:r w:rsidR="003B1C34">
        <w:t>equent treatment to methotrexate, but befor</w:t>
      </w:r>
      <w:r w:rsidR="002C72E5">
        <w:t xml:space="preserve">e </w:t>
      </w:r>
      <w:proofErr w:type="spellStart"/>
      <w:r w:rsidR="002C72E5">
        <w:t>leflunomide</w:t>
      </w:r>
      <w:proofErr w:type="spellEnd"/>
      <w:r w:rsidR="002C72E5">
        <w:t xml:space="preserve"> or sulfasalazine.</w:t>
      </w:r>
    </w:p>
    <w:p w:rsidR="00796899" w:rsidRPr="002C72E5" w:rsidRDefault="00796899" w:rsidP="00796899">
      <w:pPr>
        <w:widowControl/>
        <w:rPr>
          <w:szCs w:val="22"/>
        </w:rPr>
      </w:pPr>
    </w:p>
    <w:p w:rsidR="007B504E" w:rsidRPr="007B504E" w:rsidRDefault="007B504E" w:rsidP="007B504E">
      <w:pPr>
        <w:pStyle w:val="ListParagraph"/>
        <w:widowControl/>
        <w:numPr>
          <w:ilvl w:val="1"/>
          <w:numId w:val="5"/>
        </w:numPr>
        <w:rPr>
          <w:rFonts w:asciiTheme="minorBidi" w:hAnsiTheme="minorBidi" w:cstheme="minorBidi"/>
          <w:iCs/>
          <w:szCs w:val="22"/>
        </w:rPr>
      </w:pPr>
      <w:r>
        <w:rPr>
          <w:szCs w:val="22"/>
        </w:rPr>
        <w:t>The resubmission proposed</w:t>
      </w:r>
      <w:r w:rsidRPr="00F940DF">
        <w:rPr>
          <w:szCs w:val="22"/>
        </w:rPr>
        <w:t xml:space="preserve"> that </w:t>
      </w:r>
      <w:proofErr w:type="spellStart"/>
      <w:r w:rsidRPr="00F940DF">
        <w:t>apremilast</w:t>
      </w:r>
      <w:proofErr w:type="spellEnd"/>
      <w:r w:rsidRPr="00F940DF">
        <w:t xml:space="preserve"> would represent an alternative treatment with a different mechanism of action and mode of administration to the currently PBS-listed bDMARDs. </w:t>
      </w:r>
      <w:r w:rsidR="002A30BA" w:rsidRPr="002A30BA">
        <w:rPr>
          <w:iCs/>
        </w:rPr>
        <w:t>The EULAR Guidelines recommend con</w:t>
      </w:r>
      <w:r w:rsidR="002A30BA">
        <w:rPr>
          <w:iCs/>
        </w:rPr>
        <w:t xml:space="preserve">sideration of </w:t>
      </w:r>
      <w:proofErr w:type="spellStart"/>
      <w:r w:rsidR="002A30BA" w:rsidRPr="002A30BA">
        <w:rPr>
          <w:iCs/>
        </w:rPr>
        <w:t>apremilast</w:t>
      </w:r>
      <w:proofErr w:type="spellEnd"/>
      <w:r w:rsidR="002A30BA" w:rsidRPr="002A30BA">
        <w:rPr>
          <w:iCs/>
        </w:rPr>
        <w:t xml:space="preserve"> in patients who have experience with at least one conventional synthetic DMARD, where bDMARD</w:t>
      </w:r>
      <w:r w:rsidR="002C72E5">
        <w:rPr>
          <w:iCs/>
        </w:rPr>
        <w:t xml:space="preserve"> treatment is not appropriate.</w:t>
      </w:r>
    </w:p>
    <w:p w:rsidR="007B504E" w:rsidRPr="007B504E" w:rsidRDefault="007B504E" w:rsidP="007B504E">
      <w:pPr>
        <w:widowControl/>
        <w:rPr>
          <w:rFonts w:asciiTheme="minorBidi" w:hAnsiTheme="minorBidi" w:cstheme="minorBidi"/>
          <w:iCs/>
          <w:szCs w:val="22"/>
        </w:rPr>
      </w:pPr>
    </w:p>
    <w:p w:rsidR="00497F10" w:rsidRPr="002E4CD2" w:rsidRDefault="00796899" w:rsidP="00582D67">
      <w:pPr>
        <w:pStyle w:val="ListParagraph"/>
        <w:widowControl/>
        <w:numPr>
          <w:ilvl w:val="1"/>
          <w:numId w:val="5"/>
        </w:numPr>
        <w:rPr>
          <w:szCs w:val="22"/>
        </w:rPr>
      </w:pPr>
      <w:r w:rsidRPr="002E4CD2">
        <w:t xml:space="preserve">The PSCR (p2) identified two patient populations who may access </w:t>
      </w:r>
      <w:proofErr w:type="spellStart"/>
      <w:r w:rsidRPr="002E4CD2">
        <w:t>apremilast</w:t>
      </w:r>
      <w:proofErr w:type="spellEnd"/>
      <w:r w:rsidRPr="002E4CD2">
        <w:t xml:space="preserve">; those who are currently treated with bDMARDs but would prefer an oral therapy if it were available, and those who are currently appropriate and eligible for bDMARD therapy but unwilling to commence this. </w:t>
      </w:r>
      <w:r w:rsidR="008D5569" w:rsidRPr="002E4CD2">
        <w:t>The ESC considered that the</w:t>
      </w:r>
      <w:r w:rsidR="00CD2359" w:rsidRPr="002E4CD2">
        <w:t>re may be a</w:t>
      </w:r>
      <w:r w:rsidR="008D5569" w:rsidRPr="002E4CD2">
        <w:t xml:space="preserve"> c</w:t>
      </w:r>
      <w:r w:rsidRPr="002E4CD2">
        <w:t xml:space="preserve">linical place for </w:t>
      </w:r>
      <w:proofErr w:type="spellStart"/>
      <w:r w:rsidRPr="002E4CD2">
        <w:t>apremilast</w:t>
      </w:r>
      <w:proofErr w:type="spellEnd"/>
      <w:r w:rsidR="00CD2359" w:rsidRPr="002E4CD2">
        <w:t xml:space="preserve"> due to the improved adverse effect profile and oral mode of administration, however</w:t>
      </w:r>
      <w:r w:rsidRPr="002E4CD2">
        <w:t xml:space="preserve"> </w:t>
      </w:r>
      <w:r w:rsidR="00CD2359" w:rsidRPr="002E4CD2">
        <w:t xml:space="preserve">uncertainties remained </w:t>
      </w:r>
      <w:r w:rsidR="008D5569" w:rsidRPr="002E4CD2">
        <w:t>as there is no evidence for the suggested “eligible but unwilling” population</w:t>
      </w:r>
      <w:r w:rsidR="00970D39" w:rsidRPr="002E4CD2">
        <w:t>, and this is not incorp</w:t>
      </w:r>
      <w:r w:rsidR="002C72E5">
        <w:t>orated into the economic model.</w:t>
      </w:r>
    </w:p>
    <w:p w:rsidR="005F04CE" w:rsidRPr="002E4CD2" w:rsidRDefault="005F04CE" w:rsidP="007B504E">
      <w:pPr>
        <w:rPr>
          <w:rFonts w:asciiTheme="minorBidi" w:hAnsiTheme="minorBidi" w:cstheme="minorBidi"/>
          <w:iCs/>
          <w:szCs w:val="22"/>
        </w:rPr>
      </w:pPr>
    </w:p>
    <w:p w:rsidR="005F04CE" w:rsidRPr="002E4CD2" w:rsidRDefault="005F04CE" w:rsidP="00C53566">
      <w:pPr>
        <w:pStyle w:val="ListParagraph"/>
        <w:widowControl/>
        <w:numPr>
          <w:ilvl w:val="1"/>
          <w:numId w:val="5"/>
        </w:numPr>
        <w:rPr>
          <w:rFonts w:asciiTheme="minorBidi" w:hAnsiTheme="minorBidi" w:cstheme="minorBidi"/>
          <w:iCs/>
          <w:szCs w:val="22"/>
        </w:rPr>
      </w:pPr>
      <w:r w:rsidRPr="002E4CD2">
        <w:rPr>
          <w:rFonts w:asciiTheme="minorBidi" w:hAnsiTheme="minorBidi" w:cstheme="minorBidi"/>
          <w:iCs/>
          <w:szCs w:val="22"/>
        </w:rPr>
        <w:t>The ESC reaffirmed the previous advi</w:t>
      </w:r>
      <w:r w:rsidR="008D5569" w:rsidRPr="002E4CD2">
        <w:rPr>
          <w:rFonts w:asciiTheme="minorBidi" w:hAnsiTheme="minorBidi" w:cstheme="minorBidi"/>
          <w:iCs/>
          <w:szCs w:val="22"/>
        </w:rPr>
        <w:t>c</w:t>
      </w:r>
      <w:r w:rsidRPr="002E4CD2">
        <w:rPr>
          <w:rFonts w:asciiTheme="minorBidi" w:hAnsiTheme="minorBidi" w:cstheme="minorBidi"/>
          <w:iCs/>
          <w:szCs w:val="22"/>
        </w:rPr>
        <w:t xml:space="preserve">e from March 2015 that any potential delay in the access of bDMARD therapy </w:t>
      </w:r>
      <w:r w:rsidR="008D5569" w:rsidRPr="002E4CD2">
        <w:rPr>
          <w:rFonts w:asciiTheme="minorBidi" w:hAnsiTheme="minorBidi" w:cstheme="minorBidi"/>
          <w:iCs/>
          <w:szCs w:val="22"/>
        </w:rPr>
        <w:t xml:space="preserve">resulting from the introduction of </w:t>
      </w:r>
      <w:proofErr w:type="spellStart"/>
      <w:r w:rsidR="008D5569" w:rsidRPr="002E4CD2">
        <w:rPr>
          <w:rFonts w:asciiTheme="minorBidi" w:hAnsiTheme="minorBidi" w:cstheme="minorBidi"/>
          <w:iCs/>
          <w:szCs w:val="22"/>
        </w:rPr>
        <w:t>apremila</w:t>
      </w:r>
      <w:r w:rsidR="002C72E5">
        <w:rPr>
          <w:rFonts w:asciiTheme="minorBidi" w:hAnsiTheme="minorBidi" w:cstheme="minorBidi"/>
          <w:iCs/>
          <w:szCs w:val="22"/>
        </w:rPr>
        <w:t>st</w:t>
      </w:r>
      <w:proofErr w:type="spellEnd"/>
      <w:r w:rsidR="002C72E5">
        <w:rPr>
          <w:rFonts w:asciiTheme="minorBidi" w:hAnsiTheme="minorBidi" w:cstheme="minorBidi"/>
          <w:iCs/>
          <w:szCs w:val="22"/>
        </w:rPr>
        <w:t xml:space="preserve"> is clinically inappropriate.</w:t>
      </w:r>
    </w:p>
    <w:p w:rsidR="009B08E5" w:rsidRPr="002C72E5" w:rsidRDefault="009B08E5" w:rsidP="009B08E5">
      <w:pPr>
        <w:widowControl/>
        <w:rPr>
          <w:szCs w:val="22"/>
        </w:rPr>
      </w:pPr>
    </w:p>
    <w:p w:rsidR="00A76D51" w:rsidRDefault="00A76D51" w:rsidP="00A76D51">
      <w:pPr>
        <w:pStyle w:val="ListParagraph"/>
        <w:widowControl/>
        <w:rPr>
          <w:i/>
          <w:iCs/>
          <w:szCs w:val="22"/>
        </w:rPr>
      </w:pPr>
      <w:r>
        <w:rPr>
          <w:i/>
          <w:iCs/>
          <w:szCs w:val="22"/>
        </w:rPr>
        <w:t>For more detail on PBAC’s view, see Section 7 “PBAC outcome”</w:t>
      </w:r>
      <w:r w:rsidR="002C72E5">
        <w:rPr>
          <w:i/>
          <w:iCs/>
          <w:szCs w:val="22"/>
        </w:rPr>
        <w:t>.</w:t>
      </w:r>
    </w:p>
    <w:p w:rsidR="00A76D51" w:rsidRPr="002C72E5" w:rsidRDefault="00A76D51" w:rsidP="002C72E5">
      <w:pPr>
        <w:widowControl/>
        <w:rPr>
          <w:iCs/>
          <w:szCs w:val="22"/>
        </w:rPr>
      </w:pPr>
    </w:p>
    <w:p w:rsidR="002C1A10" w:rsidRPr="002C72E5" w:rsidRDefault="002C1A10" w:rsidP="002C72E5">
      <w:pPr>
        <w:widowControl/>
        <w:rPr>
          <w:iCs/>
          <w:szCs w:val="22"/>
        </w:rPr>
      </w:pPr>
    </w:p>
    <w:p w:rsidR="00F338FF" w:rsidRPr="00F940DF" w:rsidRDefault="00F338FF" w:rsidP="0093180A">
      <w:pPr>
        <w:pStyle w:val="Heading1"/>
      </w:pPr>
      <w:bookmarkStart w:id="5" w:name="_Toc430164095"/>
      <w:r w:rsidRPr="00F940DF">
        <w:t>Comparator</w:t>
      </w:r>
      <w:bookmarkEnd w:id="5"/>
    </w:p>
    <w:p w:rsidR="00497F10" w:rsidRPr="00F940DF" w:rsidRDefault="00497F10" w:rsidP="00577717"/>
    <w:p w:rsidR="00B60939" w:rsidRDefault="006D05BD" w:rsidP="00C53566">
      <w:pPr>
        <w:pStyle w:val="ListParagraph"/>
        <w:widowControl/>
        <w:numPr>
          <w:ilvl w:val="1"/>
          <w:numId w:val="5"/>
        </w:numPr>
      </w:pPr>
      <w:r w:rsidRPr="00CC4A6E">
        <w:t>Adalimumab.</w:t>
      </w:r>
      <w:r w:rsidR="00497F10" w:rsidRPr="00CC4A6E">
        <w:t xml:space="preserve"> </w:t>
      </w:r>
      <w:r w:rsidR="00D94104" w:rsidRPr="00CC4A6E">
        <w:t>Th</w:t>
      </w:r>
      <w:r w:rsidR="00654BED">
        <w:t>e evaluation considered that th</w:t>
      </w:r>
      <w:r w:rsidR="00D94104" w:rsidRPr="00CC4A6E">
        <w:t>is is not</w:t>
      </w:r>
      <w:r w:rsidR="00497F10" w:rsidRPr="00CC4A6E">
        <w:t xml:space="preserve"> the </w:t>
      </w:r>
      <w:r w:rsidR="00F940DF" w:rsidRPr="00CC4A6E">
        <w:t xml:space="preserve">only </w:t>
      </w:r>
      <w:r w:rsidR="00497F10" w:rsidRPr="00CC4A6E">
        <w:t>appropriate comparator.</w:t>
      </w:r>
      <w:r w:rsidR="002C72E5">
        <w:t xml:space="preserve"> </w:t>
      </w:r>
      <w:r w:rsidR="00F940DF" w:rsidRPr="00CC4A6E">
        <w:t>All bDMARDs</w:t>
      </w:r>
      <w:r w:rsidR="00F940DF" w:rsidRPr="00CC4A6E">
        <w:rPr>
          <w:iCs/>
        </w:rPr>
        <w:t xml:space="preserve"> </w:t>
      </w:r>
      <w:r w:rsidR="00F940DF" w:rsidRPr="00CC4A6E">
        <w:t xml:space="preserve">currently PBS-listed for </w:t>
      </w:r>
      <w:r w:rsidR="00CE6FB2" w:rsidRPr="00CC4A6E">
        <w:t xml:space="preserve">the treatment of </w:t>
      </w:r>
      <w:proofErr w:type="spellStart"/>
      <w:r w:rsidR="00F940DF" w:rsidRPr="00CC4A6E">
        <w:t>PsA</w:t>
      </w:r>
      <w:proofErr w:type="spellEnd"/>
      <w:r w:rsidR="00C53566" w:rsidRPr="00CC4A6E">
        <w:t xml:space="preserve"> </w:t>
      </w:r>
      <w:r w:rsidR="00F940DF" w:rsidRPr="00CC4A6E">
        <w:t>would</w:t>
      </w:r>
      <w:r w:rsidR="002C72E5">
        <w:t xml:space="preserve"> also be relevant comparators. </w:t>
      </w:r>
      <w:r w:rsidR="008D5569" w:rsidRPr="002E4CD2">
        <w:t>The PSCR (p1) considered that adalimumab is still the most appropriate comparator, and is a reasonable proxy for e</w:t>
      </w:r>
      <w:r w:rsidR="002C72E5">
        <w:t>tanercept and golimumab.</w:t>
      </w:r>
    </w:p>
    <w:p w:rsidR="00FD70EB" w:rsidRPr="002E4CD2" w:rsidRDefault="00FD70EB" w:rsidP="00FD70EB">
      <w:pPr>
        <w:pStyle w:val="ListParagraph"/>
        <w:widowControl/>
      </w:pPr>
    </w:p>
    <w:p w:rsidR="00CF1D3B" w:rsidRPr="002E4CD2" w:rsidRDefault="00CF1D3B" w:rsidP="00CF1D3B">
      <w:pPr>
        <w:pStyle w:val="ListParagraph"/>
        <w:widowControl/>
        <w:numPr>
          <w:ilvl w:val="1"/>
          <w:numId w:val="5"/>
        </w:numPr>
      </w:pPr>
      <w:r w:rsidRPr="002E4CD2">
        <w:t>The ESC noted the PBAC recommendation from March 2015</w:t>
      </w:r>
      <w:r w:rsidR="002965CF">
        <w:t>,</w:t>
      </w:r>
      <w:r w:rsidRPr="002E4CD2">
        <w:t xml:space="preserve"> which accepted </w:t>
      </w:r>
      <w:proofErr w:type="spellStart"/>
      <w:r w:rsidRPr="002E4CD2">
        <w:t>leflunamide</w:t>
      </w:r>
      <w:proofErr w:type="spellEnd"/>
      <w:r w:rsidRPr="002E4CD2">
        <w:t xml:space="preserve"> as an appropriate comparator. The PBAC further stated “given that the trial evidence did not demonstrate any significant clinical advantages in having </w:t>
      </w:r>
      <w:proofErr w:type="spellStart"/>
      <w:r w:rsidRPr="002E4CD2">
        <w:t>apremilast</w:t>
      </w:r>
      <w:proofErr w:type="spellEnd"/>
      <w:r w:rsidRPr="002E4CD2">
        <w:t xml:space="preserve"> available over </w:t>
      </w:r>
      <w:proofErr w:type="spellStart"/>
      <w:r w:rsidRPr="002E4CD2">
        <w:t>leflunomide</w:t>
      </w:r>
      <w:proofErr w:type="spellEnd"/>
      <w:r w:rsidRPr="002E4CD2">
        <w:t xml:space="preserve"> or any other DMARD therapy, the PBAC was of </w:t>
      </w:r>
      <w:r w:rsidRPr="002E4CD2">
        <w:lastRenderedPageBreak/>
        <w:t>the view that a low clinical need exists for an additional line of treatment. In the context of the undesirability of delay</w:t>
      </w:r>
      <w:r w:rsidR="00A76D51">
        <w:t>ing bDMARD therapy, should a re</w:t>
      </w:r>
      <w:r w:rsidRPr="002E4CD2">
        <w:t xml:space="preserve">submission be lodged, the PBAC considered that a cost-minimisation analysis against </w:t>
      </w:r>
      <w:proofErr w:type="spellStart"/>
      <w:r w:rsidRPr="002E4CD2">
        <w:t>leflunomide</w:t>
      </w:r>
      <w:proofErr w:type="spellEnd"/>
      <w:r w:rsidRPr="002E4CD2">
        <w:t xml:space="preserve"> or a mix of </w:t>
      </w:r>
      <w:proofErr w:type="spellStart"/>
      <w:r w:rsidRPr="002E4CD2">
        <w:t>leflunomide</w:t>
      </w:r>
      <w:proofErr w:type="spellEnd"/>
      <w:r w:rsidRPr="002E4CD2">
        <w:t xml:space="preserve"> and sulfasalazine may be a more feasible approach to the submission.” (Paragraph 7.7, </w:t>
      </w:r>
      <w:proofErr w:type="spellStart"/>
      <w:r w:rsidRPr="002E4CD2">
        <w:t>Aprem</w:t>
      </w:r>
      <w:r w:rsidR="002965CF">
        <w:t>ilast</w:t>
      </w:r>
      <w:proofErr w:type="spellEnd"/>
      <w:r w:rsidR="002965CF">
        <w:t xml:space="preserve"> PSD for </w:t>
      </w:r>
      <w:proofErr w:type="spellStart"/>
      <w:r w:rsidR="002965CF">
        <w:t>PsA</w:t>
      </w:r>
      <w:proofErr w:type="spellEnd"/>
      <w:r w:rsidR="002965CF">
        <w:t>, March 2015).</w:t>
      </w:r>
    </w:p>
    <w:p w:rsidR="001B6188" w:rsidRDefault="001B6188" w:rsidP="00497F10"/>
    <w:p w:rsidR="00A76D51" w:rsidRPr="00A76D51" w:rsidRDefault="00A76D51" w:rsidP="00A76D51">
      <w:pPr>
        <w:pStyle w:val="ListParagraph"/>
        <w:widowControl/>
        <w:rPr>
          <w:i/>
          <w:iCs/>
          <w:szCs w:val="22"/>
        </w:rPr>
      </w:pPr>
      <w:r>
        <w:rPr>
          <w:i/>
          <w:iCs/>
          <w:szCs w:val="22"/>
        </w:rPr>
        <w:t>For more detail on PBAC’s view, see Section 7 “PBAC outcome”</w:t>
      </w:r>
      <w:r w:rsidR="002965CF">
        <w:rPr>
          <w:i/>
          <w:iCs/>
          <w:szCs w:val="22"/>
        </w:rPr>
        <w:t>.</w:t>
      </w:r>
    </w:p>
    <w:p w:rsidR="002E4CD2" w:rsidRDefault="002E4CD2">
      <w:pPr>
        <w:widowControl/>
        <w:jc w:val="left"/>
      </w:pPr>
    </w:p>
    <w:p w:rsidR="002965CF" w:rsidRDefault="002965CF">
      <w:pPr>
        <w:widowControl/>
        <w:jc w:val="left"/>
      </w:pPr>
    </w:p>
    <w:p w:rsidR="00D06FD4" w:rsidRPr="00407F2D" w:rsidRDefault="00472359" w:rsidP="0093180A">
      <w:pPr>
        <w:pStyle w:val="Heading1"/>
      </w:pPr>
      <w:bookmarkStart w:id="6" w:name="_Toc430164096"/>
      <w:r>
        <w:t>C</w:t>
      </w:r>
      <w:r w:rsidR="00D06FD4" w:rsidRPr="00407F2D">
        <w:t>onsideration of the evidence</w:t>
      </w:r>
      <w:bookmarkEnd w:id="6"/>
    </w:p>
    <w:p w:rsidR="00B60939" w:rsidRPr="002965CF" w:rsidRDefault="00B60939" w:rsidP="00996B1A">
      <w:pPr>
        <w:widowControl/>
        <w:rPr>
          <w:szCs w:val="22"/>
        </w:rPr>
      </w:pPr>
    </w:p>
    <w:p w:rsidR="00A76D51" w:rsidRPr="002965CF" w:rsidRDefault="002965CF" w:rsidP="0093180A">
      <w:pPr>
        <w:pStyle w:val="Heading2"/>
      </w:pPr>
      <w:r w:rsidRPr="002965CF">
        <w:t>Sponsor hearing</w:t>
      </w:r>
    </w:p>
    <w:p w:rsidR="00A76D51" w:rsidRPr="002965CF" w:rsidRDefault="00A76D51" w:rsidP="00996B1A">
      <w:pPr>
        <w:widowControl/>
        <w:rPr>
          <w:szCs w:val="22"/>
        </w:rPr>
      </w:pPr>
    </w:p>
    <w:p w:rsidR="00393B0A" w:rsidRPr="00393B0A" w:rsidRDefault="00D20E09" w:rsidP="00996B1A">
      <w:pPr>
        <w:pStyle w:val="ListParagraph"/>
        <w:widowControl/>
        <w:numPr>
          <w:ilvl w:val="1"/>
          <w:numId w:val="5"/>
        </w:numPr>
        <w:rPr>
          <w:szCs w:val="22"/>
        </w:rPr>
      </w:pPr>
      <w:r>
        <w:rPr>
          <w:szCs w:val="22"/>
        </w:rPr>
        <w:t xml:space="preserve">The Sponsor requested a hearing for this item. The clinician </w:t>
      </w:r>
      <w:r w:rsidR="00393B0A">
        <w:rPr>
          <w:szCs w:val="22"/>
        </w:rPr>
        <w:t xml:space="preserve">described the place in therapy of </w:t>
      </w:r>
      <w:proofErr w:type="spellStart"/>
      <w:r w:rsidR="00393B0A">
        <w:rPr>
          <w:szCs w:val="22"/>
        </w:rPr>
        <w:t>apremilast</w:t>
      </w:r>
      <w:proofErr w:type="spellEnd"/>
      <w:r w:rsidR="00393B0A">
        <w:rPr>
          <w:szCs w:val="22"/>
        </w:rPr>
        <w:t xml:space="preserve"> in patients for whom the </w:t>
      </w:r>
      <w:r w:rsidR="0085538E">
        <w:rPr>
          <w:szCs w:val="22"/>
        </w:rPr>
        <w:t xml:space="preserve">potential </w:t>
      </w:r>
      <w:r w:rsidR="00393B0A">
        <w:rPr>
          <w:szCs w:val="22"/>
        </w:rPr>
        <w:t>harms associated with bDMARD use, particularly in relation to increased risk of infection</w:t>
      </w:r>
      <w:r w:rsidR="00916FF7">
        <w:rPr>
          <w:szCs w:val="22"/>
        </w:rPr>
        <w:t xml:space="preserve"> and </w:t>
      </w:r>
      <w:r w:rsidR="00756262">
        <w:rPr>
          <w:szCs w:val="22"/>
        </w:rPr>
        <w:t xml:space="preserve">elderly patients with </w:t>
      </w:r>
      <w:proofErr w:type="gramStart"/>
      <w:r w:rsidR="00756262">
        <w:rPr>
          <w:szCs w:val="22"/>
        </w:rPr>
        <w:t>comorbidities</w:t>
      </w:r>
      <w:r w:rsidR="00393B0A">
        <w:rPr>
          <w:szCs w:val="22"/>
        </w:rPr>
        <w:t>,</w:t>
      </w:r>
      <w:proofErr w:type="gramEnd"/>
      <w:r w:rsidR="00393B0A">
        <w:rPr>
          <w:szCs w:val="22"/>
        </w:rPr>
        <w:t xml:space="preserve"> may outweigh the benefits of treatment</w:t>
      </w:r>
      <w:r w:rsidR="00A20F29">
        <w:rPr>
          <w:szCs w:val="22"/>
        </w:rPr>
        <w:t>. These are therefore patients who are unlikely to be treated with a bDMARD.</w:t>
      </w:r>
      <w:r w:rsidR="00393B0A">
        <w:rPr>
          <w:szCs w:val="22"/>
        </w:rPr>
        <w:t xml:space="preserve"> </w:t>
      </w:r>
      <w:r w:rsidR="00393B0A" w:rsidRPr="00393B0A">
        <w:rPr>
          <w:bCs/>
          <w:szCs w:val="22"/>
        </w:rPr>
        <w:t>The PBAC noted that the hearing did not support the</w:t>
      </w:r>
      <w:r w:rsidR="00393B0A">
        <w:rPr>
          <w:bCs/>
          <w:szCs w:val="22"/>
        </w:rPr>
        <w:t xml:space="preserve"> place in therapy as proposed by</w:t>
      </w:r>
      <w:r w:rsidR="002965CF">
        <w:rPr>
          <w:bCs/>
          <w:szCs w:val="22"/>
        </w:rPr>
        <w:t xml:space="preserve"> the resubmission.</w:t>
      </w:r>
    </w:p>
    <w:p w:rsidR="00393B0A" w:rsidRDefault="00393B0A" w:rsidP="00996B1A">
      <w:pPr>
        <w:widowControl/>
        <w:rPr>
          <w:bCs/>
          <w:szCs w:val="22"/>
        </w:rPr>
      </w:pPr>
    </w:p>
    <w:p w:rsidR="00393B0A" w:rsidRPr="002965CF" w:rsidRDefault="002965CF" w:rsidP="0093180A">
      <w:pPr>
        <w:pStyle w:val="Heading2"/>
      </w:pPr>
      <w:r w:rsidRPr="002965CF">
        <w:t>Consumer comments</w:t>
      </w:r>
    </w:p>
    <w:p w:rsidR="00393B0A" w:rsidRPr="002965CF" w:rsidRDefault="00393B0A" w:rsidP="00996B1A">
      <w:pPr>
        <w:widowControl/>
        <w:rPr>
          <w:bCs/>
          <w:szCs w:val="22"/>
        </w:rPr>
      </w:pPr>
    </w:p>
    <w:p w:rsidR="00393B0A" w:rsidRDefault="00393B0A" w:rsidP="00393B0A">
      <w:pPr>
        <w:pStyle w:val="ListParagraph"/>
        <w:widowControl/>
        <w:numPr>
          <w:ilvl w:val="1"/>
          <w:numId w:val="5"/>
        </w:numPr>
        <w:rPr>
          <w:szCs w:val="22"/>
        </w:rPr>
      </w:pPr>
      <w:r w:rsidRPr="000B0340">
        <w:rPr>
          <w:bCs/>
          <w:szCs w:val="22"/>
        </w:rPr>
        <w:t>The PBAC noted and welcomed the input from health care professionals (2) via the Con</w:t>
      </w:r>
      <w:r>
        <w:rPr>
          <w:bCs/>
          <w:szCs w:val="22"/>
        </w:rPr>
        <w:t xml:space="preserve">sumer Comments facility on the </w:t>
      </w:r>
      <w:r w:rsidR="002965CF">
        <w:rPr>
          <w:bCs/>
          <w:szCs w:val="22"/>
        </w:rPr>
        <w:t xml:space="preserve">PBS website. </w:t>
      </w:r>
      <w:r w:rsidRPr="000B0340">
        <w:rPr>
          <w:bCs/>
          <w:szCs w:val="22"/>
        </w:rPr>
        <w:t>The comments described</w:t>
      </w:r>
      <w:r>
        <w:rPr>
          <w:bCs/>
          <w:szCs w:val="22"/>
        </w:rPr>
        <w:t xml:space="preserve"> the place in therapy of </w:t>
      </w:r>
      <w:proofErr w:type="spellStart"/>
      <w:r>
        <w:rPr>
          <w:bCs/>
          <w:szCs w:val="22"/>
        </w:rPr>
        <w:t>apremilast</w:t>
      </w:r>
      <w:proofErr w:type="spellEnd"/>
      <w:r>
        <w:rPr>
          <w:bCs/>
          <w:szCs w:val="22"/>
        </w:rPr>
        <w:t xml:space="preserve"> as an effective alternative to methotrexate and/or </w:t>
      </w:r>
      <w:proofErr w:type="spellStart"/>
      <w:r>
        <w:rPr>
          <w:bCs/>
          <w:szCs w:val="22"/>
        </w:rPr>
        <w:t>leflunomide</w:t>
      </w:r>
      <w:proofErr w:type="spellEnd"/>
      <w:r>
        <w:rPr>
          <w:bCs/>
          <w:szCs w:val="22"/>
        </w:rPr>
        <w:t xml:space="preserve"> for patients who do not qualify for bDMARDs, or as an alternative to bDMARDs in non-responding patients, </w:t>
      </w:r>
      <w:r w:rsidR="00CA78F9">
        <w:rPr>
          <w:bCs/>
          <w:szCs w:val="22"/>
        </w:rPr>
        <w:t>valuing the</w:t>
      </w:r>
      <w:r>
        <w:rPr>
          <w:bCs/>
          <w:szCs w:val="22"/>
        </w:rPr>
        <w:t xml:space="preserve"> benign safety profile</w:t>
      </w:r>
      <w:r w:rsidR="00CA78F9">
        <w:rPr>
          <w:bCs/>
          <w:szCs w:val="22"/>
        </w:rPr>
        <w:t xml:space="preserve"> of </w:t>
      </w:r>
      <w:proofErr w:type="spellStart"/>
      <w:r w:rsidR="00CA78F9">
        <w:rPr>
          <w:bCs/>
          <w:szCs w:val="22"/>
        </w:rPr>
        <w:t>apremilast</w:t>
      </w:r>
      <w:proofErr w:type="spellEnd"/>
      <w:r>
        <w:rPr>
          <w:bCs/>
          <w:szCs w:val="22"/>
        </w:rPr>
        <w:t>. The PBAC noted that this did not support the place in therapy as proposed by the resubmission.</w:t>
      </w:r>
    </w:p>
    <w:p w:rsidR="00393B0A" w:rsidRPr="002965CF" w:rsidRDefault="00393B0A" w:rsidP="0093180A">
      <w:pPr>
        <w:pStyle w:val="BodyText"/>
      </w:pPr>
      <w:bookmarkStart w:id="7" w:name="_Toc430164097"/>
    </w:p>
    <w:p w:rsidR="00B60939" w:rsidRPr="002965CF" w:rsidRDefault="00B60939" w:rsidP="0093180A">
      <w:pPr>
        <w:pStyle w:val="Heading2"/>
      </w:pPr>
      <w:r w:rsidRPr="0093180A">
        <w:t>Clinical</w:t>
      </w:r>
      <w:r w:rsidRPr="002965CF">
        <w:t xml:space="preserve"> trials</w:t>
      </w:r>
      <w:bookmarkEnd w:id="7"/>
    </w:p>
    <w:p w:rsidR="00B60939" w:rsidRPr="00882085" w:rsidRDefault="00B60939" w:rsidP="00B60939">
      <w:pPr>
        <w:rPr>
          <w:szCs w:val="22"/>
        </w:rPr>
      </w:pPr>
    </w:p>
    <w:p w:rsidR="00B25A5C" w:rsidRPr="00CC4A6E" w:rsidRDefault="0012295B" w:rsidP="00582D67">
      <w:pPr>
        <w:pStyle w:val="ListParagraph"/>
        <w:widowControl/>
        <w:numPr>
          <w:ilvl w:val="1"/>
          <w:numId w:val="5"/>
        </w:numPr>
        <w:rPr>
          <w:iCs/>
          <w:szCs w:val="22"/>
        </w:rPr>
      </w:pPr>
      <w:r w:rsidRPr="00CC4A6E">
        <w:rPr>
          <w:iCs/>
        </w:rPr>
        <w:t xml:space="preserve">No head-to-head trials of </w:t>
      </w:r>
      <w:proofErr w:type="spellStart"/>
      <w:r w:rsidRPr="00CC4A6E">
        <w:rPr>
          <w:iCs/>
        </w:rPr>
        <w:t>apremilast</w:t>
      </w:r>
      <w:proofErr w:type="spellEnd"/>
      <w:r w:rsidRPr="00CC4A6E">
        <w:rPr>
          <w:iCs/>
        </w:rPr>
        <w:t xml:space="preserve"> versus any treatment in patients with </w:t>
      </w:r>
      <w:proofErr w:type="spellStart"/>
      <w:r w:rsidRPr="00CC4A6E">
        <w:rPr>
          <w:iCs/>
        </w:rPr>
        <w:t>PsA</w:t>
      </w:r>
      <w:proofErr w:type="spellEnd"/>
      <w:r w:rsidRPr="00CC4A6E">
        <w:rPr>
          <w:iCs/>
        </w:rPr>
        <w:t xml:space="preserve"> are available.</w:t>
      </w:r>
      <w:r w:rsidRPr="00CC4A6E">
        <w:t xml:space="preserve"> </w:t>
      </w:r>
      <w:r w:rsidR="001B6188" w:rsidRPr="00CC4A6E">
        <w:t>The re</w:t>
      </w:r>
      <w:r w:rsidR="00B75E96" w:rsidRPr="00CC4A6E">
        <w:t xml:space="preserve">submission </w:t>
      </w:r>
      <w:r w:rsidR="002965CF">
        <w:t>wa</w:t>
      </w:r>
      <w:r w:rsidR="00B75E96" w:rsidRPr="00CC4A6E">
        <w:t>s based on three</w:t>
      </w:r>
      <w:r w:rsidR="001B6188" w:rsidRPr="00CC4A6E">
        <w:t xml:space="preserve"> head-to-head trial</w:t>
      </w:r>
      <w:r w:rsidR="00DD159C" w:rsidRPr="00CC4A6E">
        <w:t xml:space="preserve">s comparing </w:t>
      </w:r>
      <w:proofErr w:type="spellStart"/>
      <w:r w:rsidR="00B75E96" w:rsidRPr="00CC4A6E">
        <w:t>apremilast</w:t>
      </w:r>
      <w:proofErr w:type="spellEnd"/>
      <w:r w:rsidR="00DD159C" w:rsidRPr="00CC4A6E">
        <w:t xml:space="preserve"> to placebo</w:t>
      </w:r>
      <w:r w:rsidR="00B75E96" w:rsidRPr="00CC4A6E">
        <w:t xml:space="preserve"> (n=993</w:t>
      </w:r>
      <w:r w:rsidR="001B6188" w:rsidRPr="00CC4A6E">
        <w:t>)</w:t>
      </w:r>
      <w:r w:rsidR="002965CF">
        <w:t>,</w:t>
      </w:r>
      <w:r w:rsidR="00B75E96" w:rsidRPr="00CC4A6E">
        <w:t xml:space="preserve"> and two head-to-head trials comparing adalimumab to placebo (n=417</w:t>
      </w:r>
      <w:r w:rsidR="0094473D" w:rsidRPr="00CC4A6E">
        <w:t>)</w:t>
      </w:r>
      <w:r w:rsidR="002965CF">
        <w:t xml:space="preserve">. </w:t>
      </w:r>
      <w:r w:rsidR="00B25A5C" w:rsidRPr="00CC4A6E">
        <w:t xml:space="preserve">These three </w:t>
      </w:r>
      <w:proofErr w:type="spellStart"/>
      <w:r w:rsidR="00B25A5C" w:rsidRPr="00CC4A6E">
        <w:t>apremilast</w:t>
      </w:r>
      <w:proofErr w:type="spellEnd"/>
      <w:r w:rsidR="00B25A5C" w:rsidRPr="00CC4A6E">
        <w:t xml:space="preserve"> trials were presented in the prev</w:t>
      </w:r>
      <w:r w:rsidR="00DD159C" w:rsidRPr="00CC4A6E">
        <w:t>ious submission</w:t>
      </w:r>
      <w:r w:rsidR="00B25A5C" w:rsidRPr="00CC4A6E">
        <w:t xml:space="preserve">. </w:t>
      </w:r>
      <w:r w:rsidR="00B25A5C" w:rsidRPr="00CC4A6E">
        <w:rPr>
          <w:iCs/>
        </w:rPr>
        <w:t>The two adalimumab trials were previously considered by the PBAC as the primary source of evidence presented in the adalim</w:t>
      </w:r>
      <w:r w:rsidR="002965CF">
        <w:rPr>
          <w:iCs/>
        </w:rPr>
        <w:t xml:space="preserve">umab March 2006 </w:t>
      </w:r>
      <w:proofErr w:type="spellStart"/>
      <w:r w:rsidR="002965CF">
        <w:rPr>
          <w:iCs/>
        </w:rPr>
        <w:t>PsA</w:t>
      </w:r>
      <w:proofErr w:type="spellEnd"/>
      <w:r w:rsidR="002965CF">
        <w:rPr>
          <w:iCs/>
        </w:rPr>
        <w:t xml:space="preserve"> submission.</w:t>
      </w:r>
    </w:p>
    <w:p w:rsidR="001B6188" w:rsidRPr="001B6188" w:rsidRDefault="001B6188" w:rsidP="001B6188">
      <w:pPr>
        <w:widowControl/>
        <w:rPr>
          <w:szCs w:val="22"/>
        </w:rPr>
      </w:pPr>
    </w:p>
    <w:p w:rsidR="001B6188" w:rsidRPr="00D67299" w:rsidRDefault="001B6188" w:rsidP="00582D67">
      <w:pPr>
        <w:pStyle w:val="ListParagraph"/>
        <w:widowControl/>
        <w:numPr>
          <w:ilvl w:val="1"/>
          <w:numId w:val="5"/>
        </w:numPr>
        <w:rPr>
          <w:szCs w:val="22"/>
        </w:rPr>
      </w:pPr>
      <w:r w:rsidRPr="00D06FD4">
        <w:rPr>
          <w:szCs w:val="22"/>
        </w:rPr>
        <w:t>Details of the trials presented in the resubmission</w:t>
      </w:r>
      <w:r w:rsidR="00D67299">
        <w:rPr>
          <w:szCs w:val="22"/>
        </w:rPr>
        <w:t xml:space="preserve"> are provided in Table 1</w:t>
      </w:r>
      <w:r w:rsidR="002965CF">
        <w:rPr>
          <w:szCs w:val="22"/>
        </w:rPr>
        <w:t>.</w:t>
      </w:r>
    </w:p>
    <w:p w:rsidR="001B6188" w:rsidRPr="001B6188" w:rsidRDefault="007050D4" w:rsidP="0093180A">
      <w:pPr>
        <w:widowControl/>
        <w:jc w:val="left"/>
        <w:rPr>
          <w:szCs w:val="22"/>
        </w:rPr>
      </w:pPr>
      <w:r>
        <w:rPr>
          <w:szCs w:val="22"/>
        </w:rPr>
        <w:br w:type="page"/>
      </w:r>
    </w:p>
    <w:p w:rsidR="00AA6D1C" w:rsidRDefault="00961AF9" w:rsidP="00C81345">
      <w:pPr>
        <w:widowControl/>
        <w:ind w:firstLine="720"/>
        <w:jc w:val="left"/>
        <w:rPr>
          <w:rStyle w:val="CommentReference"/>
        </w:rPr>
      </w:pPr>
      <w:r w:rsidRPr="000812CA">
        <w:rPr>
          <w:rStyle w:val="CommentReference"/>
        </w:rPr>
        <w:lastRenderedPageBreak/>
        <w:t xml:space="preserve">Table </w:t>
      </w:r>
      <w:r w:rsidR="00D67299">
        <w:rPr>
          <w:rStyle w:val="CommentReference"/>
        </w:rPr>
        <w:t>1</w:t>
      </w:r>
      <w:r w:rsidRPr="000812CA">
        <w:rPr>
          <w:rStyle w:val="CommentReference"/>
        </w:rPr>
        <w:t xml:space="preserve">: Trials and associated reports presented in the </w:t>
      </w:r>
      <w:r>
        <w:rPr>
          <w:rStyle w:val="CommentReference"/>
        </w:rPr>
        <w:t>re</w:t>
      </w:r>
      <w:r w:rsidRPr="000812CA">
        <w:rPr>
          <w:rStyle w:val="CommentReference"/>
        </w:rPr>
        <w:t>submission</w:t>
      </w:r>
    </w:p>
    <w:tbl>
      <w:tblPr>
        <w:tblW w:w="4594"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rials and associated reports presented in the resubmission"/>
      </w:tblPr>
      <w:tblGrid>
        <w:gridCol w:w="1417"/>
        <w:gridCol w:w="4541"/>
        <w:gridCol w:w="2387"/>
      </w:tblGrid>
      <w:tr w:rsidR="00CD63DE" w:rsidRPr="004E2ADC" w:rsidTr="000B0340">
        <w:trPr>
          <w:tblHeader/>
        </w:trPr>
        <w:tc>
          <w:tcPr>
            <w:tcW w:w="849" w:type="pct"/>
            <w:tcBorders>
              <w:top w:val="single" w:sz="4" w:space="0" w:color="auto"/>
              <w:left w:val="single" w:sz="4" w:space="0" w:color="auto"/>
              <w:bottom w:val="single" w:sz="4" w:space="0" w:color="auto"/>
              <w:right w:val="single" w:sz="4" w:space="0" w:color="auto"/>
            </w:tcBorders>
          </w:tcPr>
          <w:p w:rsidR="00CD63DE" w:rsidRPr="004E2ADC" w:rsidRDefault="00CD63DE" w:rsidP="00CD63DE">
            <w:pPr>
              <w:pStyle w:val="TableFooter"/>
              <w:ind w:firstLine="709"/>
              <w:rPr>
                <w:b/>
                <w:sz w:val="20"/>
              </w:rPr>
            </w:pPr>
            <w:r w:rsidRPr="004E2ADC">
              <w:rPr>
                <w:b/>
                <w:sz w:val="20"/>
              </w:rPr>
              <w:t>Trial ID</w:t>
            </w:r>
          </w:p>
        </w:tc>
        <w:tc>
          <w:tcPr>
            <w:tcW w:w="2721" w:type="pct"/>
            <w:tcBorders>
              <w:top w:val="single" w:sz="4" w:space="0" w:color="auto"/>
              <w:left w:val="single" w:sz="4" w:space="0" w:color="auto"/>
              <w:bottom w:val="single" w:sz="4" w:space="0" w:color="auto"/>
              <w:right w:val="single" w:sz="4" w:space="0" w:color="auto"/>
            </w:tcBorders>
          </w:tcPr>
          <w:p w:rsidR="00CD63DE" w:rsidRPr="004E2ADC" w:rsidRDefault="00CD63DE" w:rsidP="00CD63DE">
            <w:pPr>
              <w:pStyle w:val="TableFooter"/>
              <w:ind w:firstLine="709"/>
              <w:rPr>
                <w:b/>
                <w:sz w:val="20"/>
              </w:rPr>
            </w:pPr>
            <w:r w:rsidRPr="004E2ADC">
              <w:rPr>
                <w:b/>
                <w:sz w:val="20"/>
              </w:rPr>
              <w:t>Protocol title/ Publication title</w:t>
            </w:r>
          </w:p>
        </w:tc>
        <w:tc>
          <w:tcPr>
            <w:tcW w:w="1430" w:type="pct"/>
            <w:tcBorders>
              <w:top w:val="single" w:sz="4" w:space="0" w:color="auto"/>
              <w:left w:val="single" w:sz="4" w:space="0" w:color="auto"/>
              <w:bottom w:val="single" w:sz="4" w:space="0" w:color="auto"/>
              <w:right w:val="single" w:sz="4" w:space="0" w:color="auto"/>
            </w:tcBorders>
          </w:tcPr>
          <w:p w:rsidR="00CD63DE" w:rsidRPr="004E2ADC" w:rsidRDefault="00CD63DE" w:rsidP="00CD63DE">
            <w:pPr>
              <w:pStyle w:val="TableFooter"/>
              <w:ind w:firstLine="709"/>
              <w:rPr>
                <w:b/>
                <w:sz w:val="20"/>
              </w:rPr>
            </w:pPr>
            <w:r w:rsidRPr="004E2ADC">
              <w:rPr>
                <w:b/>
                <w:sz w:val="20"/>
              </w:rPr>
              <w:t>Publication citation</w:t>
            </w:r>
          </w:p>
        </w:tc>
      </w:tr>
      <w:tr w:rsidR="00CD63DE" w:rsidRPr="004E2ADC" w:rsidTr="00EF539F">
        <w:tc>
          <w:tcPr>
            <w:tcW w:w="5000" w:type="pct"/>
            <w:gridSpan w:val="3"/>
          </w:tcPr>
          <w:p w:rsidR="00CD63DE" w:rsidRPr="004E2ADC" w:rsidRDefault="00CD63DE" w:rsidP="00CD63DE">
            <w:pPr>
              <w:jc w:val="left"/>
              <w:rPr>
                <w:rFonts w:ascii="Arial Narrow" w:hAnsi="Arial Narrow"/>
                <w:b/>
                <w:sz w:val="20"/>
              </w:rPr>
            </w:pPr>
            <w:r>
              <w:rPr>
                <w:rFonts w:ascii="Arial Narrow" w:hAnsi="Arial Narrow"/>
                <w:b/>
                <w:sz w:val="20"/>
              </w:rPr>
              <w:t xml:space="preserve">Randomised trials of </w:t>
            </w:r>
            <w:proofErr w:type="spellStart"/>
            <w:r>
              <w:rPr>
                <w:rFonts w:ascii="Arial Narrow" w:hAnsi="Arial Narrow"/>
                <w:b/>
                <w:sz w:val="20"/>
              </w:rPr>
              <w:t>apremilast</w:t>
            </w:r>
            <w:proofErr w:type="spellEnd"/>
            <w:r>
              <w:rPr>
                <w:rFonts w:ascii="Arial Narrow" w:hAnsi="Arial Narrow"/>
                <w:b/>
                <w:sz w:val="20"/>
              </w:rPr>
              <w:t xml:space="preserve"> versus placebo</w:t>
            </w:r>
          </w:p>
        </w:tc>
      </w:tr>
      <w:tr w:rsidR="00CD63DE" w:rsidRPr="004E2ADC" w:rsidTr="00EF539F">
        <w:tc>
          <w:tcPr>
            <w:tcW w:w="5000" w:type="pct"/>
            <w:gridSpan w:val="3"/>
          </w:tcPr>
          <w:p w:rsidR="00CD63DE" w:rsidRPr="00F74294" w:rsidRDefault="00CD63DE" w:rsidP="00CD63DE">
            <w:pPr>
              <w:jc w:val="left"/>
              <w:rPr>
                <w:rFonts w:ascii="Arial Narrow" w:hAnsi="Arial Narrow"/>
                <w:bCs/>
                <w:sz w:val="20"/>
              </w:rPr>
            </w:pPr>
            <w:r w:rsidRPr="00F74294">
              <w:rPr>
                <w:rFonts w:ascii="Arial Narrow" w:hAnsi="Arial Narrow"/>
                <w:bCs/>
                <w:sz w:val="20"/>
              </w:rPr>
              <w:t>DMARD-experienced</w:t>
            </w:r>
          </w:p>
        </w:tc>
      </w:tr>
      <w:tr w:rsidR="00CD63DE" w:rsidRPr="00405D38" w:rsidTr="00EF539F">
        <w:trPr>
          <w:trHeight w:val="564"/>
        </w:trPr>
        <w:tc>
          <w:tcPr>
            <w:tcW w:w="849" w:type="pct"/>
            <w:vMerge w:val="restart"/>
          </w:tcPr>
          <w:p w:rsidR="00CD63DE" w:rsidRPr="00FD064C" w:rsidRDefault="00CD63DE" w:rsidP="00CD63DE">
            <w:pPr>
              <w:jc w:val="left"/>
              <w:rPr>
                <w:rFonts w:ascii="Arial Narrow" w:hAnsi="Arial Narrow"/>
                <w:sz w:val="20"/>
              </w:rPr>
            </w:pPr>
            <w:r w:rsidRPr="00FD064C">
              <w:rPr>
                <w:rFonts w:ascii="Arial Narrow" w:hAnsi="Arial Narrow"/>
                <w:sz w:val="20"/>
              </w:rPr>
              <w:t>PALACE 1</w:t>
            </w:r>
          </w:p>
        </w:tc>
        <w:tc>
          <w:tcPr>
            <w:tcW w:w="2721" w:type="pct"/>
            <w:tcBorders>
              <w:bottom w:val="nil"/>
            </w:tcBorders>
          </w:tcPr>
          <w:p w:rsidR="00CD63DE" w:rsidRPr="00B02A5D" w:rsidRDefault="00CD63DE" w:rsidP="00CD63DE">
            <w:pPr>
              <w:pStyle w:val="TableText0"/>
              <w:spacing w:before="0" w:afterLines="40" w:after="96"/>
              <w:rPr>
                <w:rFonts w:cstheme="minorBidi"/>
                <w:lang w:eastAsia="en-AU"/>
              </w:rPr>
            </w:pPr>
            <w:r w:rsidRPr="00FD064C">
              <w:rPr>
                <w:rFonts w:cstheme="minorBidi"/>
                <w:lang w:eastAsia="en-AU"/>
              </w:rPr>
              <w:t xml:space="preserve">CC-10004-PSA-002. A phase 3, multicentre, </w:t>
            </w:r>
            <w:proofErr w:type="gramStart"/>
            <w:r w:rsidRPr="00FD064C">
              <w:rPr>
                <w:rFonts w:cstheme="minorBidi"/>
                <w:lang w:eastAsia="en-AU"/>
              </w:rPr>
              <w:t>randomised,</w:t>
            </w:r>
            <w:proofErr w:type="gramEnd"/>
            <w:r w:rsidRPr="00FD064C">
              <w:rPr>
                <w:rFonts w:cstheme="minorBidi"/>
                <w:lang w:eastAsia="en-AU"/>
              </w:rPr>
              <w:t xml:space="preserve"> double-blind, placebo-controlled, parallel-group, efficacy and safety study of two doses of </w:t>
            </w:r>
            <w:proofErr w:type="spellStart"/>
            <w:r w:rsidRPr="00FD064C">
              <w:rPr>
                <w:rFonts w:cstheme="minorBidi"/>
                <w:lang w:eastAsia="en-AU"/>
              </w:rPr>
              <w:t>apremilast</w:t>
            </w:r>
            <w:proofErr w:type="spellEnd"/>
            <w:r w:rsidRPr="00FD064C">
              <w:rPr>
                <w:rFonts w:cstheme="minorBidi"/>
                <w:lang w:eastAsia="en-AU"/>
              </w:rPr>
              <w:t xml:space="preserve"> (CC-10004) in subjects with active psoriatic arthritis.</w:t>
            </w:r>
          </w:p>
        </w:tc>
        <w:tc>
          <w:tcPr>
            <w:tcW w:w="1430" w:type="pct"/>
            <w:tcBorders>
              <w:bottom w:val="nil"/>
            </w:tcBorders>
          </w:tcPr>
          <w:p w:rsidR="00CD63DE" w:rsidRPr="00405D38" w:rsidRDefault="00CD63DE" w:rsidP="00CD63DE">
            <w:pPr>
              <w:spacing w:afterLines="40" w:after="96"/>
              <w:jc w:val="left"/>
              <w:rPr>
                <w:rFonts w:ascii="Arial Narrow" w:hAnsi="Arial Narrow"/>
                <w:b/>
                <w:sz w:val="20"/>
              </w:rPr>
            </w:pPr>
            <w:r w:rsidRPr="00FD064C">
              <w:rPr>
                <w:rFonts w:ascii="Arial Narrow" w:hAnsi="Arial Narrow"/>
                <w:sz w:val="20"/>
              </w:rPr>
              <w:t>Clinical Study Report CC-10004-</w:t>
            </w:r>
            <w:r>
              <w:rPr>
                <w:rFonts w:ascii="Arial Narrow" w:hAnsi="Arial Narrow"/>
                <w:sz w:val="20"/>
              </w:rPr>
              <w:t xml:space="preserve"> </w:t>
            </w:r>
            <w:r w:rsidRPr="00FD064C">
              <w:rPr>
                <w:rFonts w:ascii="Arial Narrow" w:hAnsi="Arial Narrow"/>
                <w:sz w:val="20"/>
              </w:rPr>
              <w:t>PSA-002. September 2013.</w:t>
            </w:r>
          </w:p>
        </w:tc>
      </w:tr>
      <w:tr w:rsidR="00CD63DE" w:rsidRPr="00405D38" w:rsidTr="00EF539F">
        <w:trPr>
          <w:trHeight w:val="394"/>
        </w:trPr>
        <w:tc>
          <w:tcPr>
            <w:tcW w:w="849" w:type="pct"/>
            <w:vMerge/>
          </w:tcPr>
          <w:p w:rsidR="00CD63DE" w:rsidRPr="00FD064C" w:rsidRDefault="00CD63DE" w:rsidP="00CD63DE">
            <w:pPr>
              <w:jc w:val="left"/>
              <w:rPr>
                <w:rFonts w:ascii="Arial Narrow" w:hAnsi="Arial Narrow"/>
                <w:sz w:val="20"/>
              </w:rPr>
            </w:pPr>
          </w:p>
        </w:tc>
        <w:tc>
          <w:tcPr>
            <w:tcW w:w="2721" w:type="pct"/>
            <w:tcBorders>
              <w:top w:val="nil"/>
              <w:bottom w:val="nil"/>
            </w:tcBorders>
          </w:tcPr>
          <w:p w:rsidR="00CD63DE" w:rsidRPr="00FD064C" w:rsidRDefault="00CD63DE" w:rsidP="00CD63DE">
            <w:pPr>
              <w:spacing w:afterLines="40" w:after="96"/>
              <w:jc w:val="left"/>
              <w:rPr>
                <w:rFonts w:cstheme="minorBidi"/>
                <w:lang w:eastAsia="en-AU"/>
              </w:rPr>
            </w:pPr>
            <w:proofErr w:type="spellStart"/>
            <w:r w:rsidRPr="007D27C7">
              <w:rPr>
                <w:rFonts w:ascii="Arial Narrow" w:hAnsi="Arial Narrow" w:cstheme="minorBidi"/>
                <w:sz w:val="20"/>
                <w:lang w:eastAsia="en-AU"/>
              </w:rPr>
              <w:t>Kavanaugh</w:t>
            </w:r>
            <w:proofErr w:type="spellEnd"/>
            <w:r w:rsidRPr="007D27C7">
              <w:rPr>
                <w:rFonts w:ascii="Arial Narrow" w:hAnsi="Arial Narrow" w:cstheme="minorBidi"/>
                <w:sz w:val="20"/>
                <w:lang w:eastAsia="en-AU"/>
              </w:rPr>
              <w:t xml:space="preserve"> A et al. Treatment of psoriatic arthritis in a phase 3 randomised, placebo-controlled </w:t>
            </w:r>
            <w:proofErr w:type="gramStart"/>
            <w:r w:rsidRPr="007D27C7">
              <w:rPr>
                <w:rFonts w:ascii="Arial Narrow" w:hAnsi="Arial Narrow" w:cstheme="minorBidi"/>
                <w:sz w:val="20"/>
                <w:lang w:eastAsia="en-AU"/>
              </w:rPr>
              <w:t>trial</w:t>
            </w:r>
            <w:proofErr w:type="gramEnd"/>
            <w:r w:rsidRPr="007D27C7">
              <w:rPr>
                <w:rFonts w:ascii="Arial Narrow" w:hAnsi="Arial Narrow" w:cstheme="minorBidi"/>
                <w:sz w:val="20"/>
                <w:lang w:eastAsia="en-AU"/>
              </w:rPr>
              <w:t xml:space="preserve"> with </w:t>
            </w:r>
            <w:proofErr w:type="spellStart"/>
            <w:r w:rsidRPr="007D27C7">
              <w:rPr>
                <w:rFonts w:ascii="Arial Narrow" w:hAnsi="Arial Narrow" w:cstheme="minorBidi"/>
                <w:sz w:val="20"/>
                <w:lang w:eastAsia="en-AU"/>
              </w:rPr>
              <w:t>apremilast</w:t>
            </w:r>
            <w:proofErr w:type="spellEnd"/>
            <w:r w:rsidRPr="007D27C7">
              <w:rPr>
                <w:rFonts w:ascii="Arial Narrow" w:hAnsi="Arial Narrow" w:cstheme="minorBidi"/>
                <w:sz w:val="20"/>
                <w:lang w:eastAsia="en-AU"/>
              </w:rPr>
              <w:t xml:space="preserve">, an oral phosphodiesterase 4 inhibitor. </w:t>
            </w:r>
          </w:p>
        </w:tc>
        <w:tc>
          <w:tcPr>
            <w:tcW w:w="1430" w:type="pct"/>
            <w:tcBorders>
              <w:top w:val="nil"/>
              <w:bottom w:val="nil"/>
            </w:tcBorders>
          </w:tcPr>
          <w:p w:rsidR="00CD63DE" w:rsidRPr="00FD064C" w:rsidRDefault="00CD63DE" w:rsidP="00CD63DE">
            <w:pPr>
              <w:spacing w:afterLines="40" w:after="96"/>
              <w:jc w:val="left"/>
              <w:rPr>
                <w:rFonts w:ascii="Arial Narrow" w:hAnsi="Arial Narrow"/>
                <w:sz w:val="20"/>
              </w:rPr>
            </w:pPr>
            <w:r w:rsidRPr="00FD064C">
              <w:rPr>
                <w:rFonts w:ascii="Arial Narrow" w:hAnsi="Arial Narrow" w:cstheme="minorBidi"/>
                <w:i/>
                <w:iCs/>
                <w:sz w:val="20"/>
                <w:lang w:eastAsia="en-AU"/>
              </w:rPr>
              <w:t xml:space="preserve">Annals of the Rheumatic Diseases, </w:t>
            </w:r>
            <w:r w:rsidRPr="007D27C7">
              <w:rPr>
                <w:rFonts w:ascii="Arial Narrow" w:hAnsi="Arial Narrow" w:cstheme="minorBidi"/>
                <w:sz w:val="20"/>
                <w:lang w:eastAsia="en-AU"/>
              </w:rPr>
              <w:t>2014; 73 (6): 1020-1026.</w:t>
            </w:r>
          </w:p>
        </w:tc>
      </w:tr>
      <w:tr w:rsidR="00CD63DE" w:rsidRPr="00405D38" w:rsidTr="00EF539F">
        <w:trPr>
          <w:trHeight w:val="449"/>
        </w:trPr>
        <w:tc>
          <w:tcPr>
            <w:tcW w:w="849" w:type="pct"/>
            <w:vMerge/>
          </w:tcPr>
          <w:p w:rsidR="00CD63DE" w:rsidRPr="00FD064C" w:rsidRDefault="00CD63DE" w:rsidP="00CD63DE">
            <w:pPr>
              <w:jc w:val="left"/>
              <w:rPr>
                <w:rFonts w:ascii="Arial Narrow" w:hAnsi="Arial Narrow"/>
                <w:sz w:val="20"/>
              </w:rPr>
            </w:pPr>
          </w:p>
        </w:tc>
        <w:tc>
          <w:tcPr>
            <w:tcW w:w="2721" w:type="pct"/>
            <w:tcBorders>
              <w:top w:val="nil"/>
              <w:bottom w:val="nil"/>
            </w:tcBorders>
          </w:tcPr>
          <w:p w:rsidR="00CD63DE" w:rsidRPr="007D27C7" w:rsidRDefault="00CD63DE" w:rsidP="00CD63DE">
            <w:pPr>
              <w:spacing w:afterLines="40" w:after="96"/>
              <w:jc w:val="left"/>
              <w:rPr>
                <w:rFonts w:ascii="Arial Narrow" w:hAnsi="Arial Narrow" w:cstheme="minorBidi"/>
                <w:sz w:val="20"/>
                <w:lang w:eastAsia="en-AU"/>
              </w:rPr>
            </w:pPr>
            <w:proofErr w:type="spellStart"/>
            <w:r>
              <w:rPr>
                <w:rFonts w:ascii="Arial Narrow" w:hAnsi="Arial Narrow" w:cstheme="minorBidi"/>
                <w:sz w:val="20"/>
                <w:lang w:eastAsia="en-AU"/>
              </w:rPr>
              <w:t>Kavanaugh</w:t>
            </w:r>
            <w:proofErr w:type="spellEnd"/>
            <w:r>
              <w:rPr>
                <w:rFonts w:ascii="Arial Narrow" w:hAnsi="Arial Narrow" w:cstheme="minorBidi"/>
                <w:sz w:val="20"/>
                <w:lang w:eastAsia="en-AU"/>
              </w:rPr>
              <w:t xml:space="preserve"> A et al. </w:t>
            </w:r>
            <w:proofErr w:type="spellStart"/>
            <w:r>
              <w:rPr>
                <w:rFonts w:ascii="Arial Narrow" w:hAnsi="Arial Narrow" w:cstheme="minorBidi"/>
                <w:sz w:val="20"/>
                <w:lang w:eastAsia="en-AU"/>
              </w:rPr>
              <w:t>Apremilast</w:t>
            </w:r>
            <w:proofErr w:type="spellEnd"/>
            <w:r>
              <w:rPr>
                <w:rFonts w:ascii="Arial Narrow" w:hAnsi="Arial Narrow" w:cstheme="minorBidi"/>
                <w:sz w:val="20"/>
                <w:lang w:eastAsia="en-AU"/>
              </w:rPr>
              <w:t>, an oral phosphodiesterase 4 inhibitor, is associated with long-term (104-week) improvements in patients with psoriatic arthritis: Results from a phase 3, randomised, controlled trial.</w:t>
            </w:r>
          </w:p>
        </w:tc>
        <w:tc>
          <w:tcPr>
            <w:tcW w:w="1430" w:type="pct"/>
            <w:tcBorders>
              <w:top w:val="nil"/>
              <w:bottom w:val="nil"/>
            </w:tcBorders>
          </w:tcPr>
          <w:p w:rsidR="00CD63DE" w:rsidRPr="00FD064C" w:rsidRDefault="00CD63DE" w:rsidP="00CD63DE">
            <w:pPr>
              <w:pStyle w:val="Default"/>
              <w:spacing w:afterLines="40" w:after="96"/>
              <w:rPr>
                <w:rFonts w:ascii="Arial Narrow" w:hAnsi="Arial Narrow" w:cstheme="minorBidi"/>
                <w:i/>
                <w:iCs/>
                <w:sz w:val="20"/>
              </w:rPr>
            </w:pPr>
            <w:r>
              <w:rPr>
                <w:rFonts w:ascii="Arial Narrow" w:hAnsi="Arial Narrow"/>
                <w:sz w:val="20"/>
                <w:szCs w:val="20"/>
              </w:rPr>
              <w:t>Poster p</w:t>
            </w:r>
            <w:r w:rsidRPr="00927072">
              <w:rPr>
                <w:rFonts w:ascii="Arial Narrow" w:hAnsi="Arial Narrow"/>
                <w:sz w:val="20"/>
                <w:szCs w:val="20"/>
              </w:rPr>
              <w:t>resented at: the 2014 ACR/ARHP Annual Meeting; N</w:t>
            </w:r>
            <w:r>
              <w:rPr>
                <w:rFonts w:ascii="Arial Narrow" w:hAnsi="Arial Narrow"/>
                <w:sz w:val="20"/>
                <w:szCs w:val="20"/>
              </w:rPr>
              <w:t xml:space="preserve">ovember 15-19, 2014; Boston, MA [No. 1590] </w:t>
            </w:r>
          </w:p>
        </w:tc>
      </w:tr>
      <w:tr w:rsidR="00CD63DE" w:rsidRPr="00405D38" w:rsidTr="0000004D">
        <w:trPr>
          <w:trHeight w:val="265"/>
        </w:trPr>
        <w:tc>
          <w:tcPr>
            <w:tcW w:w="849" w:type="pct"/>
            <w:vMerge/>
          </w:tcPr>
          <w:p w:rsidR="00CD63DE" w:rsidRPr="00FD064C" w:rsidRDefault="00CD63DE" w:rsidP="00CD63DE">
            <w:pPr>
              <w:jc w:val="left"/>
              <w:rPr>
                <w:rFonts w:ascii="Arial Narrow" w:hAnsi="Arial Narrow"/>
                <w:sz w:val="20"/>
              </w:rPr>
            </w:pPr>
          </w:p>
        </w:tc>
        <w:tc>
          <w:tcPr>
            <w:tcW w:w="2721" w:type="pct"/>
            <w:tcBorders>
              <w:top w:val="nil"/>
              <w:bottom w:val="nil"/>
            </w:tcBorders>
          </w:tcPr>
          <w:p w:rsidR="00CD63DE" w:rsidRDefault="00CD63DE" w:rsidP="00CD63DE">
            <w:pPr>
              <w:spacing w:afterLines="40" w:after="96"/>
              <w:jc w:val="left"/>
              <w:rPr>
                <w:rFonts w:ascii="Arial Narrow" w:hAnsi="Arial Narrow" w:cstheme="minorBidi"/>
                <w:sz w:val="20"/>
                <w:lang w:eastAsia="en-AU"/>
              </w:rPr>
            </w:pPr>
            <w:proofErr w:type="spellStart"/>
            <w:r>
              <w:rPr>
                <w:rFonts w:ascii="Arial Narrow" w:hAnsi="Arial Narrow" w:cstheme="minorBidi"/>
                <w:sz w:val="20"/>
                <w:lang w:eastAsia="en-AU"/>
              </w:rPr>
              <w:t>Mease</w:t>
            </w:r>
            <w:proofErr w:type="spellEnd"/>
            <w:r>
              <w:rPr>
                <w:rFonts w:ascii="Arial Narrow" w:hAnsi="Arial Narrow" w:cstheme="minorBidi"/>
                <w:sz w:val="20"/>
                <w:lang w:eastAsia="en-AU"/>
              </w:rPr>
              <w:t xml:space="preserve"> P et al. Long-term (104-week) safety profile of </w:t>
            </w:r>
            <w:proofErr w:type="spellStart"/>
            <w:r>
              <w:rPr>
                <w:rFonts w:ascii="Arial Narrow" w:hAnsi="Arial Narrow" w:cstheme="minorBidi"/>
                <w:sz w:val="20"/>
                <w:lang w:eastAsia="en-AU"/>
              </w:rPr>
              <w:t>apremilast</w:t>
            </w:r>
            <w:proofErr w:type="spellEnd"/>
            <w:r>
              <w:rPr>
                <w:rFonts w:ascii="Arial Narrow" w:hAnsi="Arial Narrow" w:cstheme="minorBidi"/>
                <w:sz w:val="20"/>
                <w:lang w:eastAsia="en-AU"/>
              </w:rPr>
              <w:t xml:space="preserve">, an oral phosphodiesterase 4 inhibitor, in patients with psoriatic arthritis: Pooled safety analysis of three </w:t>
            </w:r>
            <w:proofErr w:type="gramStart"/>
            <w:r>
              <w:rPr>
                <w:rFonts w:ascii="Arial Narrow" w:hAnsi="Arial Narrow" w:cstheme="minorBidi"/>
                <w:sz w:val="20"/>
                <w:lang w:eastAsia="en-AU"/>
              </w:rPr>
              <w:t>phase</w:t>
            </w:r>
            <w:proofErr w:type="gramEnd"/>
            <w:r>
              <w:rPr>
                <w:rFonts w:ascii="Arial Narrow" w:hAnsi="Arial Narrow" w:cstheme="minorBidi"/>
                <w:sz w:val="20"/>
                <w:lang w:eastAsia="en-AU"/>
              </w:rPr>
              <w:t xml:space="preserve"> 3, randomized, controlled trials.</w:t>
            </w:r>
          </w:p>
        </w:tc>
        <w:tc>
          <w:tcPr>
            <w:tcW w:w="1430" w:type="pct"/>
            <w:tcBorders>
              <w:top w:val="nil"/>
              <w:bottom w:val="nil"/>
            </w:tcBorders>
          </w:tcPr>
          <w:p w:rsidR="00CD63DE" w:rsidRDefault="00CD63DE" w:rsidP="00CD63DE">
            <w:pPr>
              <w:spacing w:afterLines="40" w:after="96"/>
              <w:jc w:val="left"/>
              <w:rPr>
                <w:rFonts w:ascii="Arial Narrow" w:hAnsi="Arial Narrow" w:cstheme="minorBidi"/>
                <w:sz w:val="20"/>
                <w:lang w:eastAsia="en-AU"/>
              </w:rPr>
            </w:pPr>
            <w:r>
              <w:rPr>
                <w:rFonts w:ascii="Arial Narrow" w:hAnsi="Arial Narrow"/>
                <w:sz w:val="20"/>
              </w:rPr>
              <w:t>Poster p</w:t>
            </w:r>
            <w:r w:rsidRPr="00927072">
              <w:rPr>
                <w:rFonts w:ascii="Arial Narrow" w:hAnsi="Arial Narrow"/>
                <w:sz w:val="20"/>
              </w:rPr>
              <w:t>resented at:</w:t>
            </w:r>
            <w:r>
              <w:rPr>
                <w:rFonts w:ascii="Arial Narrow" w:hAnsi="Arial Narrow"/>
                <w:sz w:val="20"/>
              </w:rPr>
              <w:t xml:space="preserve"> Annual European Congress of Rheumatology EULAR 2015; 10-13 June 2015; Rome, Italy [No. THU0432] </w:t>
            </w:r>
          </w:p>
        </w:tc>
      </w:tr>
      <w:tr w:rsidR="00CD63DE" w:rsidRPr="00405D38" w:rsidTr="0000004D">
        <w:trPr>
          <w:trHeight w:val="626"/>
        </w:trPr>
        <w:tc>
          <w:tcPr>
            <w:tcW w:w="849" w:type="pct"/>
            <w:vMerge/>
          </w:tcPr>
          <w:p w:rsidR="00CD63DE" w:rsidRPr="00FD064C" w:rsidRDefault="00CD63DE" w:rsidP="00CD63DE">
            <w:pPr>
              <w:jc w:val="left"/>
              <w:rPr>
                <w:rFonts w:ascii="Arial Narrow" w:hAnsi="Arial Narrow"/>
                <w:sz w:val="20"/>
              </w:rPr>
            </w:pPr>
          </w:p>
        </w:tc>
        <w:tc>
          <w:tcPr>
            <w:tcW w:w="2721" w:type="pct"/>
            <w:tcBorders>
              <w:top w:val="nil"/>
              <w:bottom w:val="single" w:sz="4" w:space="0" w:color="auto"/>
            </w:tcBorders>
          </w:tcPr>
          <w:p w:rsidR="00CD63DE" w:rsidRDefault="00CD63DE" w:rsidP="00CD63DE">
            <w:pPr>
              <w:spacing w:afterLines="40" w:after="96"/>
              <w:jc w:val="left"/>
              <w:rPr>
                <w:rFonts w:ascii="Arial Narrow" w:hAnsi="Arial Narrow" w:cstheme="minorBidi"/>
                <w:i/>
                <w:iCs/>
                <w:sz w:val="20"/>
                <w:lang w:eastAsia="en-AU"/>
              </w:rPr>
            </w:pPr>
            <w:proofErr w:type="spellStart"/>
            <w:r w:rsidRPr="005162F8">
              <w:rPr>
                <w:rFonts w:ascii="Arial Narrow" w:hAnsi="Arial Narrow" w:cstheme="minorBidi"/>
                <w:sz w:val="20"/>
                <w:lang w:eastAsia="en-AU"/>
              </w:rPr>
              <w:t>Kavanaugh</w:t>
            </w:r>
            <w:proofErr w:type="spellEnd"/>
            <w:r w:rsidRPr="005162F8">
              <w:rPr>
                <w:rFonts w:ascii="Arial Narrow" w:hAnsi="Arial Narrow" w:cstheme="minorBidi"/>
                <w:sz w:val="20"/>
                <w:lang w:eastAsia="en-AU"/>
              </w:rPr>
              <w:t xml:space="preserve"> A et al. Long-term (52-week) results of a phase III </w:t>
            </w:r>
            <w:proofErr w:type="gramStart"/>
            <w:r w:rsidRPr="005162F8">
              <w:rPr>
                <w:rFonts w:ascii="Arial Narrow" w:hAnsi="Arial Narrow" w:cstheme="minorBidi"/>
                <w:sz w:val="20"/>
                <w:lang w:eastAsia="en-AU"/>
              </w:rPr>
              <w:t>randomized,</w:t>
            </w:r>
            <w:proofErr w:type="gramEnd"/>
            <w:r w:rsidRPr="005162F8">
              <w:rPr>
                <w:rFonts w:ascii="Arial Narrow" w:hAnsi="Arial Narrow" w:cstheme="minorBidi"/>
                <w:sz w:val="20"/>
                <w:lang w:eastAsia="en-AU"/>
              </w:rPr>
              <w:t xml:space="preserve"> controlled trial of </w:t>
            </w:r>
            <w:proofErr w:type="spellStart"/>
            <w:r w:rsidRPr="005162F8">
              <w:rPr>
                <w:rFonts w:ascii="Arial Narrow" w:hAnsi="Arial Narrow" w:cstheme="minorBidi"/>
                <w:sz w:val="20"/>
                <w:lang w:eastAsia="en-AU"/>
              </w:rPr>
              <w:t>apremilast</w:t>
            </w:r>
            <w:proofErr w:type="spellEnd"/>
            <w:r w:rsidRPr="005162F8">
              <w:rPr>
                <w:rFonts w:ascii="Arial Narrow" w:hAnsi="Arial Narrow" w:cstheme="minorBidi"/>
                <w:sz w:val="20"/>
                <w:lang w:eastAsia="en-AU"/>
              </w:rPr>
              <w:t xml:space="preserve"> in patients with psoriatic arthritis.</w:t>
            </w:r>
          </w:p>
        </w:tc>
        <w:tc>
          <w:tcPr>
            <w:tcW w:w="1430" w:type="pct"/>
            <w:tcBorders>
              <w:top w:val="nil"/>
              <w:bottom w:val="single" w:sz="4" w:space="0" w:color="auto"/>
            </w:tcBorders>
          </w:tcPr>
          <w:p w:rsidR="00CD63DE" w:rsidRDefault="00CD63DE" w:rsidP="00CD63DE">
            <w:pPr>
              <w:spacing w:afterLines="40" w:after="96"/>
              <w:jc w:val="left"/>
              <w:rPr>
                <w:rFonts w:ascii="Arial Narrow" w:hAnsi="Arial Narrow" w:cstheme="minorBidi"/>
                <w:sz w:val="20"/>
                <w:lang w:eastAsia="en-AU"/>
              </w:rPr>
            </w:pPr>
            <w:r>
              <w:rPr>
                <w:rFonts w:ascii="Arial Narrow" w:hAnsi="Arial Narrow" w:cstheme="minorBidi"/>
                <w:i/>
                <w:iCs/>
                <w:sz w:val="20"/>
                <w:lang w:eastAsia="en-AU"/>
              </w:rPr>
              <w:t>Journal of Rheumatology</w:t>
            </w:r>
            <w:r w:rsidRPr="00FD064C">
              <w:rPr>
                <w:rFonts w:ascii="Arial Narrow" w:hAnsi="Arial Narrow" w:cstheme="minorBidi"/>
                <w:i/>
                <w:iCs/>
                <w:sz w:val="20"/>
                <w:lang w:eastAsia="en-AU"/>
              </w:rPr>
              <w:t xml:space="preserve">, </w:t>
            </w:r>
            <w:r>
              <w:rPr>
                <w:rFonts w:ascii="Arial Narrow" w:hAnsi="Arial Narrow" w:cstheme="minorBidi"/>
                <w:sz w:val="20"/>
                <w:lang w:eastAsia="en-AU"/>
              </w:rPr>
              <w:t xml:space="preserve">2015; </w:t>
            </w:r>
            <w:proofErr w:type="gramStart"/>
            <w:r>
              <w:rPr>
                <w:rFonts w:ascii="Arial Narrow" w:hAnsi="Arial Narrow" w:cstheme="minorBidi"/>
                <w:sz w:val="20"/>
                <w:lang w:eastAsia="en-AU"/>
              </w:rPr>
              <w:t>42 :</w:t>
            </w:r>
            <w:proofErr w:type="gramEnd"/>
            <w:r>
              <w:rPr>
                <w:rFonts w:ascii="Arial Narrow" w:hAnsi="Arial Narrow" w:cstheme="minorBidi"/>
                <w:sz w:val="20"/>
                <w:lang w:eastAsia="en-AU"/>
              </w:rPr>
              <w:t xml:space="preserve"> 479-488</w:t>
            </w:r>
            <w:r w:rsidRPr="007D27C7">
              <w:rPr>
                <w:rFonts w:ascii="Arial Narrow" w:hAnsi="Arial Narrow" w:cstheme="minorBidi"/>
                <w:sz w:val="20"/>
                <w:lang w:eastAsia="en-AU"/>
              </w:rPr>
              <w:t>.</w:t>
            </w:r>
          </w:p>
        </w:tc>
      </w:tr>
      <w:tr w:rsidR="00CD63DE" w:rsidRPr="00405D38" w:rsidTr="0000004D">
        <w:trPr>
          <w:trHeight w:val="447"/>
        </w:trPr>
        <w:tc>
          <w:tcPr>
            <w:tcW w:w="849" w:type="pct"/>
            <w:vMerge/>
          </w:tcPr>
          <w:p w:rsidR="00CD63DE" w:rsidRPr="00FD064C" w:rsidRDefault="00CD63DE" w:rsidP="00CD63DE">
            <w:pPr>
              <w:jc w:val="left"/>
              <w:rPr>
                <w:rFonts w:ascii="Arial Narrow" w:hAnsi="Arial Narrow"/>
                <w:sz w:val="20"/>
              </w:rPr>
            </w:pPr>
          </w:p>
        </w:tc>
        <w:tc>
          <w:tcPr>
            <w:tcW w:w="2721" w:type="pct"/>
            <w:tcBorders>
              <w:top w:val="single" w:sz="4" w:space="0" w:color="auto"/>
              <w:bottom w:val="nil"/>
            </w:tcBorders>
          </w:tcPr>
          <w:p w:rsidR="00CD63DE" w:rsidRPr="005162F8" w:rsidRDefault="00CD63DE" w:rsidP="00CD63DE">
            <w:pPr>
              <w:spacing w:afterLines="40" w:after="96"/>
              <w:jc w:val="left"/>
              <w:rPr>
                <w:rFonts w:ascii="Arial Narrow" w:hAnsi="Arial Narrow" w:cstheme="minorBidi"/>
                <w:sz w:val="20"/>
                <w:lang w:eastAsia="en-AU"/>
              </w:rPr>
            </w:pPr>
            <w:r>
              <w:rPr>
                <w:rFonts w:ascii="Arial Narrow" w:hAnsi="Arial Narrow" w:cstheme="minorBidi"/>
                <w:sz w:val="20"/>
                <w:lang w:eastAsia="en-AU"/>
              </w:rPr>
              <w:t xml:space="preserve">Schafer P et al. The pharmacodynamics impact of </w:t>
            </w:r>
            <w:proofErr w:type="spellStart"/>
            <w:r>
              <w:rPr>
                <w:rFonts w:ascii="Arial Narrow" w:hAnsi="Arial Narrow" w:cstheme="minorBidi"/>
                <w:sz w:val="20"/>
                <w:lang w:eastAsia="en-AU"/>
              </w:rPr>
              <w:t>apremilast</w:t>
            </w:r>
            <w:proofErr w:type="spellEnd"/>
            <w:r>
              <w:rPr>
                <w:rFonts w:ascii="Arial Narrow" w:hAnsi="Arial Narrow" w:cstheme="minorBidi"/>
                <w:sz w:val="20"/>
                <w:lang w:eastAsia="en-AU"/>
              </w:rPr>
              <w:t xml:space="preserve">, an oral phosphodiesterase 4 inhibitor, on circulating levels of inflammatory biomarkers on patients with psoriatic arthritis: </w:t>
            </w:r>
            <w:proofErr w:type="spellStart"/>
            <w:r>
              <w:rPr>
                <w:rFonts w:ascii="Arial Narrow" w:hAnsi="Arial Narrow" w:cstheme="minorBidi"/>
                <w:sz w:val="20"/>
                <w:lang w:eastAsia="en-AU"/>
              </w:rPr>
              <w:t>Substudy</w:t>
            </w:r>
            <w:proofErr w:type="spellEnd"/>
            <w:r>
              <w:rPr>
                <w:rFonts w:ascii="Arial Narrow" w:hAnsi="Arial Narrow" w:cstheme="minorBidi"/>
                <w:sz w:val="20"/>
                <w:lang w:eastAsia="en-AU"/>
              </w:rPr>
              <w:t xml:space="preserve"> results from a phase III, randomized, placebo-controlled trial (PALACE 1).</w:t>
            </w:r>
          </w:p>
        </w:tc>
        <w:tc>
          <w:tcPr>
            <w:tcW w:w="1430" w:type="pct"/>
            <w:tcBorders>
              <w:top w:val="single" w:sz="4" w:space="0" w:color="auto"/>
              <w:bottom w:val="nil"/>
            </w:tcBorders>
          </w:tcPr>
          <w:p w:rsidR="00CD63DE" w:rsidRDefault="00CD63DE" w:rsidP="00CD63DE">
            <w:pPr>
              <w:widowControl/>
              <w:autoSpaceDE w:val="0"/>
              <w:autoSpaceDN w:val="0"/>
              <w:adjustRightInd w:val="0"/>
              <w:spacing w:afterLines="40" w:after="96"/>
              <w:jc w:val="left"/>
              <w:rPr>
                <w:rFonts w:ascii="Arial Narrow" w:hAnsi="Arial Narrow" w:cstheme="minorBidi"/>
                <w:i/>
                <w:iCs/>
                <w:sz w:val="20"/>
                <w:lang w:eastAsia="en-AU"/>
              </w:rPr>
            </w:pPr>
            <w:r w:rsidRPr="00346FD0">
              <w:rPr>
                <w:rFonts w:ascii="Arial Narrow" w:hAnsi="Arial Narrow" w:cstheme="minorBidi"/>
                <w:i/>
                <w:iCs/>
                <w:sz w:val="20"/>
                <w:lang w:eastAsia="en-AU"/>
              </w:rPr>
              <w:t xml:space="preserve">Journal of Immunology Research, </w:t>
            </w:r>
            <w:r w:rsidRPr="00346FD0">
              <w:rPr>
                <w:rFonts w:ascii="Arial Narrow" w:hAnsi="Arial Narrow" w:cstheme="minorBidi"/>
                <w:sz w:val="20"/>
                <w:lang w:eastAsia="en-AU"/>
              </w:rPr>
              <w:t xml:space="preserve">2015. </w:t>
            </w:r>
            <w:r w:rsidRPr="00CD5CF5">
              <w:rPr>
                <w:rFonts w:ascii="Arial Narrow" w:hAnsi="Arial Narrow" w:cs="MinionPro-Regular"/>
                <w:snapToGrid/>
                <w:sz w:val="20"/>
                <w:lang w:eastAsia="en-AU"/>
              </w:rPr>
              <w:t>Article ID 906349.</w:t>
            </w:r>
            <w:r>
              <w:rPr>
                <w:rFonts w:ascii="Arial Narrow" w:hAnsi="Arial Narrow" w:cs="MinionPro-Regular"/>
                <w:snapToGrid/>
                <w:sz w:val="20"/>
                <w:lang w:eastAsia="en-AU"/>
              </w:rPr>
              <w:br/>
            </w:r>
            <w:r w:rsidRPr="00DB34FC">
              <w:rPr>
                <w:rFonts w:ascii="Arial Narrow" w:hAnsi="Arial Narrow" w:cs="MinionPro-Regular"/>
                <w:snapToGrid/>
                <w:sz w:val="20"/>
                <w:lang w:eastAsia="en-AU"/>
              </w:rPr>
              <w:t>http://dx.doi.org/</w:t>
            </w:r>
            <w:r w:rsidRPr="00DB34FC">
              <w:rPr>
                <w:rFonts w:ascii="Arial Narrow" w:hAnsi="Arial Narrow" w:cs="MinionPro-Regular"/>
                <w:snapToGrid/>
                <w:sz w:val="20"/>
                <w:lang w:eastAsia="en-AU"/>
              </w:rPr>
              <w:br/>
              <w:t>10.1155/2015/906349</w:t>
            </w:r>
          </w:p>
        </w:tc>
      </w:tr>
      <w:tr w:rsidR="00CD63DE" w:rsidRPr="004E2ADC" w:rsidTr="00EF539F">
        <w:trPr>
          <w:trHeight w:val="929"/>
        </w:trPr>
        <w:tc>
          <w:tcPr>
            <w:tcW w:w="849" w:type="pct"/>
            <w:vMerge w:val="restart"/>
          </w:tcPr>
          <w:p w:rsidR="00CD63DE" w:rsidRPr="00FD064C" w:rsidRDefault="00CD63DE" w:rsidP="00CD63DE">
            <w:pPr>
              <w:jc w:val="left"/>
              <w:rPr>
                <w:rFonts w:ascii="Arial Narrow" w:hAnsi="Arial Narrow"/>
                <w:sz w:val="20"/>
              </w:rPr>
            </w:pPr>
            <w:r w:rsidRPr="00FD064C">
              <w:rPr>
                <w:rFonts w:ascii="Arial Narrow" w:hAnsi="Arial Narrow"/>
                <w:sz w:val="20"/>
              </w:rPr>
              <w:t>PALACE 2</w:t>
            </w:r>
          </w:p>
        </w:tc>
        <w:tc>
          <w:tcPr>
            <w:tcW w:w="2721" w:type="pct"/>
            <w:tcBorders>
              <w:bottom w:val="nil"/>
            </w:tcBorders>
          </w:tcPr>
          <w:p w:rsidR="00CD63DE" w:rsidRPr="004265D7" w:rsidRDefault="00CD63DE" w:rsidP="00CD63DE">
            <w:pPr>
              <w:spacing w:after="40"/>
              <w:jc w:val="left"/>
              <w:rPr>
                <w:rFonts w:ascii="Arial Narrow" w:hAnsi="Arial Narrow" w:cstheme="minorBidi"/>
                <w:sz w:val="20"/>
                <w:lang w:eastAsia="en-AU"/>
              </w:rPr>
            </w:pPr>
            <w:r w:rsidRPr="00FD064C">
              <w:rPr>
                <w:rFonts w:ascii="Arial Narrow" w:hAnsi="Arial Narrow" w:cstheme="minorBidi"/>
                <w:sz w:val="20"/>
                <w:lang w:eastAsia="en-AU"/>
              </w:rPr>
              <w:t xml:space="preserve">CC-10004-PSA-003. A phase 3, multicentre, </w:t>
            </w:r>
            <w:proofErr w:type="gramStart"/>
            <w:r w:rsidRPr="00FD064C">
              <w:rPr>
                <w:rFonts w:ascii="Arial Narrow" w:hAnsi="Arial Narrow" w:cstheme="minorBidi"/>
                <w:sz w:val="20"/>
                <w:lang w:eastAsia="en-AU"/>
              </w:rPr>
              <w:t>randomised,</w:t>
            </w:r>
            <w:proofErr w:type="gramEnd"/>
            <w:r w:rsidRPr="00FD064C">
              <w:rPr>
                <w:rFonts w:ascii="Arial Narrow" w:hAnsi="Arial Narrow" w:cstheme="minorBidi"/>
                <w:sz w:val="20"/>
                <w:lang w:eastAsia="en-AU"/>
              </w:rPr>
              <w:t xml:space="preserve"> double-blind, placebo-controlled, parallel-group, efficacy and safety study of two doses of </w:t>
            </w:r>
            <w:proofErr w:type="spellStart"/>
            <w:r w:rsidRPr="00FD064C">
              <w:rPr>
                <w:rFonts w:ascii="Arial Narrow" w:hAnsi="Arial Narrow" w:cstheme="minorBidi"/>
                <w:sz w:val="20"/>
                <w:lang w:eastAsia="en-AU"/>
              </w:rPr>
              <w:t>apremilast</w:t>
            </w:r>
            <w:proofErr w:type="spellEnd"/>
            <w:r w:rsidRPr="00FD064C">
              <w:rPr>
                <w:rFonts w:ascii="Arial Narrow" w:hAnsi="Arial Narrow" w:cstheme="minorBidi"/>
                <w:sz w:val="20"/>
                <w:lang w:eastAsia="en-AU"/>
              </w:rPr>
              <w:t xml:space="preserve"> (CC-10004) in subjects with active psoriatic arthritis.</w:t>
            </w:r>
          </w:p>
        </w:tc>
        <w:tc>
          <w:tcPr>
            <w:tcW w:w="1430" w:type="pct"/>
            <w:tcBorders>
              <w:bottom w:val="nil"/>
            </w:tcBorders>
          </w:tcPr>
          <w:p w:rsidR="00CD63DE" w:rsidRPr="00FD064C" w:rsidRDefault="00CD63DE" w:rsidP="00CD63DE">
            <w:pPr>
              <w:jc w:val="left"/>
              <w:rPr>
                <w:rFonts w:ascii="Arial Narrow" w:hAnsi="Arial Narrow"/>
                <w:b/>
                <w:sz w:val="20"/>
              </w:rPr>
            </w:pPr>
            <w:r w:rsidRPr="00FD064C">
              <w:rPr>
                <w:rFonts w:ascii="Arial Narrow" w:hAnsi="Arial Narrow"/>
                <w:sz w:val="20"/>
              </w:rPr>
              <w:t>Clinical Study Report CC-10004-PSA-003. September 2013.</w:t>
            </w:r>
          </w:p>
        </w:tc>
      </w:tr>
      <w:tr w:rsidR="00CD63DE" w:rsidRPr="004E2ADC" w:rsidTr="00EF539F">
        <w:trPr>
          <w:trHeight w:val="736"/>
        </w:trPr>
        <w:tc>
          <w:tcPr>
            <w:tcW w:w="849" w:type="pct"/>
            <w:vMerge/>
          </w:tcPr>
          <w:p w:rsidR="00CD63DE" w:rsidRPr="00FD064C" w:rsidRDefault="00CD63DE" w:rsidP="00CD63DE">
            <w:pPr>
              <w:jc w:val="left"/>
              <w:rPr>
                <w:rFonts w:ascii="Arial Narrow" w:hAnsi="Arial Narrow"/>
                <w:sz w:val="20"/>
              </w:rPr>
            </w:pPr>
          </w:p>
        </w:tc>
        <w:tc>
          <w:tcPr>
            <w:tcW w:w="2721" w:type="pct"/>
            <w:tcBorders>
              <w:top w:val="nil"/>
            </w:tcBorders>
          </w:tcPr>
          <w:p w:rsidR="00CD63DE" w:rsidRPr="00FD064C" w:rsidRDefault="00CD63DE" w:rsidP="00CD63DE">
            <w:pPr>
              <w:jc w:val="left"/>
              <w:rPr>
                <w:rFonts w:ascii="Arial Narrow" w:hAnsi="Arial Narrow" w:cstheme="minorBidi"/>
                <w:sz w:val="20"/>
                <w:lang w:eastAsia="en-AU"/>
              </w:rPr>
            </w:pPr>
            <w:proofErr w:type="spellStart"/>
            <w:r>
              <w:rPr>
                <w:rFonts w:ascii="Arial Narrow" w:hAnsi="Arial Narrow" w:cstheme="minorBidi"/>
                <w:sz w:val="20"/>
                <w:lang w:eastAsia="en-AU"/>
              </w:rPr>
              <w:t>Mease</w:t>
            </w:r>
            <w:proofErr w:type="spellEnd"/>
            <w:r>
              <w:rPr>
                <w:rFonts w:ascii="Arial Narrow" w:hAnsi="Arial Narrow" w:cstheme="minorBidi"/>
                <w:sz w:val="20"/>
                <w:lang w:eastAsia="en-AU"/>
              </w:rPr>
              <w:t xml:space="preserve"> P et al. Long-term (104-week) safety profile of </w:t>
            </w:r>
            <w:proofErr w:type="spellStart"/>
            <w:r>
              <w:rPr>
                <w:rFonts w:ascii="Arial Narrow" w:hAnsi="Arial Narrow" w:cstheme="minorBidi"/>
                <w:sz w:val="20"/>
                <w:lang w:eastAsia="en-AU"/>
              </w:rPr>
              <w:t>apremilast</w:t>
            </w:r>
            <w:proofErr w:type="spellEnd"/>
            <w:r>
              <w:rPr>
                <w:rFonts w:ascii="Arial Narrow" w:hAnsi="Arial Narrow" w:cstheme="minorBidi"/>
                <w:sz w:val="20"/>
                <w:lang w:eastAsia="en-AU"/>
              </w:rPr>
              <w:t xml:space="preserve">, an oral phosphodiesterase 4 inhibitor, in patients with psoriatic arthritis: Pooled safety analysis of three </w:t>
            </w:r>
            <w:proofErr w:type="gramStart"/>
            <w:r>
              <w:rPr>
                <w:rFonts w:ascii="Arial Narrow" w:hAnsi="Arial Narrow" w:cstheme="minorBidi"/>
                <w:sz w:val="20"/>
                <w:lang w:eastAsia="en-AU"/>
              </w:rPr>
              <w:t>phase</w:t>
            </w:r>
            <w:proofErr w:type="gramEnd"/>
            <w:r>
              <w:rPr>
                <w:rFonts w:ascii="Arial Narrow" w:hAnsi="Arial Narrow" w:cstheme="minorBidi"/>
                <w:sz w:val="20"/>
                <w:lang w:eastAsia="en-AU"/>
              </w:rPr>
              <w:t xml:space="preserve"> 3, randomized, controlled trials.</w:t>
            </w:r>
          </w:p>
        </w:tc>
        <w:tc>
          <w:tcPr>
            <w:tcW w:w="1430" w:type="pct"/>
            <w:tcBorders>
              <w:top w:val="nil"/>
            </w:tcBorders>
          </w:tcPr>
          <w:p w:rsidR="00CD63DE" w:rsidRPr="00FD064C" w:rsidRDefault="00CD63DE" w:rsidP="00CD63DE">
            <w:pPr>
              <w:jc w:val="left"/>
              <w:rPr>
                <w:rFonts w:ascii="Arial Narrow" w:hAnsi="Arial Narrow"/>
                <w:sz w:val="20"/>
              </w:rPr>
            </w:pPr>
            <w:r>
              <w:rPr>
                <w:rFonts w:ascii="Arial Narrow" w:hAnsi="Arial Narrow"/>
                <w:sz w:val="20"/>
              </w:rPr>
              <w:t>Poster p</w:t>
            </w:r>
            <w:r w:rsidRPr="00927072">
              <w:rPr>
                <w:rFonts w:ascii="Arial Narrow" w:hAnsi="Arial Narrow"/>
                <w:sz w:val="20"/>
              </w:rPr>
              <w:t>resented at:</w:t>
            </w:r>
            <w:r>
              <w:rPr>
                <w:rFonts w:ascii="Arial Narrow" w:hAnsi="Arial Narrow"/>
                <w:sz w:val="20"/>
              </w:rPr>
              <w:t xml:space="preserve"> Annual European Congress of Rheumatology EULAR 2015; 10-13 June 2015; Rome, Italy [No. THU0432] </w:t>
            </w:r>
          </w:p>
        </w:tc>
      </w:tr>
      <w:tr w:rsidR="00CD63DE" w:rsidRPr="004E2ADC" w:rsidTr="00EF539F">
        <w:trPr>
          <w:trHeight w:val="1152"/>
        </w:trPr>
        <w:tc>
          <w:tcPr>
            <w:tcW w:w="849" w:type="pct"/>
            <w:vMerge w:val="restart"/>
          </w:tcPr>
          <w:p w:rsidR="00CD63DE" w:rsidRPr="00FD064C" w:rsidRDefault="00CD63DE" w:rsidP="00CD63DE">
            <w:pPr>
              <w:jc w:val="left"/>
              <w:rPr>
                <w:rFonts w:ascii="Arial Narrow" w:hAnsi="Arial Narrow"/>
                <w:sz w:val="20"/>
              </w:rPr>
            </w:pPr>
            <w:r w:rsidRPr="00FD064C">
              <w:rPr>
                <w:rFonts w:ascii="Arial Narrow" w:hAnsi="Arial Narrow"/>
                <w:sz w:val="20"/>
              </w:rPr>
              <w:t>PALACE 3</w:t>
            </w:r>
          </w:p>
        </w:tc>
        <w:tc>
          <w:tcPr>
            <w:tcW w:w="2721" w:type="pct"/>
            <w:tcBorders>
              <w:bottom w:val="nil"/>
            </w:tcBorders>
          </w:tcPr>
          <w:p w:rsidR="00CD63DE" w:rsidRPr="001624C3" w:rsidRDefault="00CD63DE" w:rsidP="00CD63DE">
            <w:pPr>
              <w:spacing w:after="40"/>
              <w:jc w:val="left"/>
              <w:rPr>
                <w:rFonts w:ascii="Arial Narrow" w:hAnsi="Arial Narrow" w:cstheme="minorBidi"/>
                <w:sz w:val="20"/>
                <w:lang w:eastAsia="en-AU"/>
              </w:rPr>
            </w:pPr>
            <w:r w:rsidRPr="00FD064C">
              <w:rPr>
                <w:rFonts w:ascii="Arial Narrow" w:hAnsi="Arial Narrow" w:cstheme="minorBidi"/>
                <w:sz w:val="20"/>
                <w:lang w:eastAsia="en-AU"/>
              </w:rPr>
              <w:t xml:space="preserve">CC-10004-PSA-004. A phase 3, multicentre, </w:t>
            </w:r>
            <w:proofErr w:type="gramStart"/>
            <w:r w:rsidRPr="00FD064C">
              <w:rPr>
                <w:rFonts w:ascii="Arial Narrow" w:hAnsi="Arial Narrow" w:cstheme="minorBidi"/>
                <w:sz w:val="20"/>
                <w:lang w:eastAsia="en-AU"/>
              </w:rPr>
              <w:t>randomised,</w:t>
            </w:r>
            <w:proofErr w:type="gramEnd"/>
            <w:r w:rsidRPr="00FD064C">
              <w:rPr>
                <w:rFonts w:ascii="Arial Narrow" w:hAnsi="Arial Narrow" w:cstheme="minorBidi"/>
                <w:sz w:val="20"/>
                <w:lang w:eastAsia="en-AU"/>
              </w:rPr>
              <w:t xml:space="preserve"> double-blind, placebo-controlled, parallel-group, efficacy and safety study of two doses of </w:t>
            </w:r>
            <w:proofErr w:type="spellStart"/>
            <w:r w:rsidRPr="00FD064C">
              <w:rPr>
                <w:rFonts w:ascii="Arial Narrow" w:hAnsi="Arial Narrow" w:cstheme="minorBidi"/>
                <w:sz w:val="20"/>
                <w:lang w:eastAsia="en-AU"/>
              </w:rPr>
              <w:t>apremilast</w:t>
            </w:r>
            <w:proofErr w:type="spellEnd"/>
            <w:r w:rsidRPr="00FD064C">
              <w:rPr>
                <w:rFonts w:ascii="Arial Narrow" w:hAnsi="Arial Narrow" w:cstheme="minorBidi"/>
                <w:sz w:val="20"/>
                <w:lang w:eastAsia="en-AU"/>
              </w:rPr>
              <w:t xml:space="preserve"> (CC-10004) in subjects with active psoriatic arthritis and a qualifying psoriasis lesion</w:t>
            </w:r>
            <w:r>
              <w:rPr>
                <w:rFonts w:ascii="Arial Narrow" w:hAnsi="Arial Narrow" w:cstheme="minorBidi"/>
                <w:sz w:val="20"/>
                <w:lang w:eastAsia="en-AU"/>
              </w:rPr>
              <w:t>.</w:t>
            </w:r>
          </w:p>
        </w:tc>
        <w:tc>
          <w:tcPr>
            <w:tcW w:w="1430" w:type="pct"/>
            <w:tcBorders>
              <w:bottom w:val="nil"/>
            </w:tcBorders>
          </w:tcPr>
          <w:p w:rsidR="00CD63DE" w:rsidRPr="00FD064C" w:rsidRDefault="00CD63DE" w:rsidP="00CD63DE">
            <w:pPr>
              <w:jc w:val="left"/>
              <w:rPr>
                <w:rFonts w:ascii="Arial Narrow" w:hAnsi="Arial Narrow"/>
                <w:sz w:val="20"/>
              </w:rPr>
            </w:pPr>
            <w:r w:rsidRPr="00FD064C">
              <w:rPr>
                <w:rFonts w:ascii="Arial Narrow" w:hAnsi="Arial Narrow"/>
                <w:sz w:val="20"/>
              </w:rPr>
              <w:t>Clinical Study Report CC-10004-PSA-004. September 2013.</w:t>
            </w:r>
          </w:p>
        </w:tc>
      </w:tr>
      <w:tr w:rsidR="00CD63DE" w:rsidRPr="004E2ADC" w:rsidTr="00EF539F">
        <w:trPr>
          <w:trHeight w:val="413"/>
        </w:trPr>
        <w:tc>
          <w:tcPr>
            <w:tcW w:w="849" w:type="pct"/>
            <w:vMerge/>
          </w:tcPr>
          <w:p w:rsidR="00CD63DE" w:rsidRPr="00FD064C" w:rsidRDefault="00CD63DE" w:rsidP="00CD63DE">
            <w:pPr>
              <w:jc w:val="left"/>
              <w:rPr>
                <w:rFonts w:ascii="Arial Narrow" w:hAnsi="Arial Narrow"/>
                <w:sz w:val="20"/>
              </w:rPr>
            </w:pPr>
          </w:p>
        </w:tc>
        <w:tc>
          <w:tcPr>
            <w:tcW w:w="2721" w:type="pct"/>
            <w:tcBorders>
              <w:top w:val="nil"/>
              <w:bottom w:val="nil"/>
            </w:tcBorders>
          </w:tcPr>
          <w:p w:rsidR="00CD63DE" w:rsidRPr="00FD064C" w:rsidRDefault="00CD63DE" w:rsidP="00CD63DE">
            <w:pPr>
              <w:spacing w:after="40"/>
              <w:jc w:val="left"/>
              <w:rPr>
                <w:rFonts w:ascii="Arial Narrow" w:hAnsi="Arial Narrow" w:cstheme="minorBidi"/>
                <w:sz w:val="20"/>
                <w:lang w:eastAsia="en-AU"/>
              </w:rPr>
            </w:pPr>
            <w:proofErr w:type="spellStart"/>
            <w:r>
              <w:rPr>
                <w:rFonts w:ascii="Arial Narrow" w:hAnsi="Arial Narrow" w:cstheme="minorBidi"/>
                <w:sz w:val="20"/>
                <w:lang w:eastAsia="en-AU"/>
              </w:rPr>
              <w:t>Mease</w:t>
            </w:r>
            <w:proofErr w:type="spellEnd"/>
            <w:r>
              <w:rPr>
                <w:rFonts w:ascii="Arial Narrow" w:hAnsi="Arial Narrow" w:cstheme="minorBidi"/>
                <w:sz w:val="20"/>
                <w:lang w:eastAsia="en-AU"/>
              </w:rPr>
              <w:t xml:space="preserve"> P et al. Long-term (104-week) safety profile of </w:t>
            </w:r>
            <w:proofErr w:type="spellStart"/>
            <w:r>
              <w:rPr>
                <w:rFonts w:ascii="Arial Narrow" w:hAnsi="Arial Narrow" w:cstheme="minorBidi"/>
                <w:sz w:val="20"/>
                <w:lang w:eastAsia="en-AU"/>
              </w:rPr>
              <w:t>apremilast</w:t>
            </w:r>
            <w:proofErr w:type="spellEnd"/>
            <w:r>
              <w:rPr>
                <w:rFonts w:ascii="Arial Narrow" w:hAnsi="Arial Narrow" w:cstheme="minorBidi"/>
                <w:sz w:val="20"/>
                <w:lang w:eastAsia="en-AU"/>
              </w:rPr>
              <w:t xml:space="preserve">, an oral phosphodiesterase 4 inhibitor, in patients with psoriatic arthritis: Pooled safety analysis of three </w:t>
            </w:r>
            <w:proofErr w:type="gramStart"/>
            <w:r>
              <w:rPr>
                <w:rFonts w:ascii="Arial Narrow" w:hAnsi="Arial Narrow" w:cstheme="minorBidi"/>
                <w:sz w:val="20"/>
                <w:lang w:eastAsia="en-AU"/>
              </w:rPr>
              <w:t>phase</w:t>
            </w:r>
            <w:proofErr w:type="gramEnd"/>
            <w:r>
              <w:rPr>
                <w:rFonts w:ascii="Arial Narrow" w:hAnsi="Arial Narrow" w:cstheme="minorBidi"/>
                <w:sz w:val="20"/>
                <w:lang w:eastAsia="en-AU"/>
              </w:rPr>
              <w:t xml:space="preserve"> 3, randomized, controlled trials.</w:t>
            </w:r>
          </w:p>
        </w:tc>
        <w:tc>
          <w:tcPr>
            <w:tcW w:w="1430" w:type="pct"/>
            <w:tcBorders>
              <w:top w:val="nil"/>
              <w:bottom w:val="nil"/>
            </w:tcBorders>
          </w:tcPr>
          <w:p w:rsidR="00CD63DE" w:rsidRPr="00FD064C" w:rsidRDefault="00CD63DE" w:rsidP="00CD63DE">
            <w:pPr>
              <w:spacing w:after="40"/>
              <w:jc w:val="left"/>
              <w:rPr>
                <w:rFonts w:ascii="Arial Narrow" w:hAnsi="Arial Narrow"/>
                <w:sz w:val="20"/>
              </w:rPr>
            </w:pPr>
            <w:r>
              <w:rPr>
                <w:rFonts w:ascii="Arial Narrow" w:hAnsi="Arial Narrow"/>
                <w:sz w:val="20"/>
              </w:rPr>
              <w:t>Poster p</w:t>
            </w:r>
            <w:r w:rsidRPr="00927072">
              <w:rPr>
                <w:rFonts w:ascii="Arial Narrow" w:hAnsi="Arial Narrow"/>
                <w:sz w:val="20"/>
              </w:rPr>
              <w:t>resented at:</w:t>
            </w:r>
            <w:r>
              <w:rPr>
                <w:rFonts w:ascii="Arial Narrow" w:hAnsi="Arial Narrow"/>
                <w:sz w:val="20"/>
              </w:rPr>
              <w:t xml:space="preserve"> Annual European Congress of Rheumatology EULAR 2015; 10-13 June 2015; Rome, Italy [No. THU0432] </w:t>
            </w:r>
          </w:p>
        </w:tc>
      </w:tr>
      <w:tr w:rsidR="00CD63DE" w:rsidRPr="004E2ADC" w:rsidTr="00EF539F">
        <w:trPr>
          <w:trHeight w:val="866"/>
        </w:trPr>
        <w:tc>
          <w:tcPr>
            <w:tcW w:w="849" w:type="pct"/>
            <w:vMerge/>
          </w:tcPr>
          <w:p w:rsidR="00CD63DE" w:rsidRPr="00FD064C" w:rsidRDefault="00CD63DE" w:rsidP="00CD63DE">
            <w:pPr>
              <w:jc w:val="left"/>
              <w:rPr>
                <w:rFonts w:ascii="Arial Narrow" w:hAnsi="Arial Narrow"/>
                <w:sz w:val="20"/>
              </w:rPr>
            </w:pPr>
          </w:p>
        </w:tc>
        <w:tc>
          <w:tcPr>
            <w:tcW w:w="2721" w:type="pct"/>
            <w:tcBorders>
              <w:top w:val="nil"/>
            </w:tcBorders>
          </w:tcPr>
          <w:p w:rsidR="00CD63DE" w:rsidRDefault="00CD63DE" w:rsidP="00CD63DE">
            <w:pPr>
              <w:jc w:val="left"/>
              <w:rPr>
                <w:rFonts w:ascii="Arial Narrow" w:hAnsi="Arial Narrow" w:cstheme="minorBidi"/>
                <w:sz w:val="20"/>
                <w:lang w:eastAsia="en-AU"/>
              </w:rPr>
            </w:pPr>
            <w:r>
              <w:rPr>
                <w:rFonts w:ascii="Arial Narrow" w:hAnsi="Arial Narrow" w:cstheme="minorBidi"/>
                <w:sz w:val="20"/>
                <w:lang w:eastAsia="en-AU"/>
              </w:rPr>
              <w:t xml:space="preserve">Edwards et al. 2015. Disease activity and safety during long-term (104-week) treatment with </w:t>
            </w:r>
            <w:proofErr w:type="spellStart"/>
            <w:r>
              <w:rPr>
                <w:rFonts w:ascii="Arial Narrow" w:hAnsi="Arial Narrow" w:cstheme="minorBidi"/>
                <w:sz w:val="20"/>
                <w:lang w:eastAsia="en-AU"/>
              </w:rPr>
              <w:t>apremilast</w:t>
            </w:r>
            <w:proofErr w:type="spellEnd"/>
            <w:r>
              <w:rPr>
                <w:rFonts w:ascii="Arial Narrow" w:hAnsi="Arial Narrow" w:cstheme="minorBidi"/>
                <w:sz w:val="20"/>
                <w:lang w:eastAsia="en-AU"/>
              </w:rPr>
              <w:t>, an oral phosphodiesterase 4 inhibitor, in patients with psoriatic arthritis: Results from a phase III, randomized, controlled trial and open-label extension (PALACE 3).</w:t>
            </w:r>
          </w:p>
        </w:tc>
        <w:tc>
          <w:tcPr>
            <w:tcW w:w="1430" w:type="pct"/>
            <w:tcBorders>
              <w:top w:val="nil"/>
            </w:tcBorders>
          </w:tcPr>
          <w:p w:rsidR="00CD63DE" w:rsidRDefault="00CD63DE" w:rsidP="00CD63DE">
            <w:pPr>
              <w:jc w:val="left"/>
              <w:rPr>
                <w:rFonts w:ascii="Arial Narrow" w:hAnsi="Arial Narrow"/>
                <w:sz w:val="20"/>
              </w:rPr>
            </w:pPr>
            <w:r w:rsidRPr="001624C3">
              <w:rPr>
                <w:rFonts w:ascii="Arial Narrow" w:hAnsi="Arial Narrow"/>
                <w:i/>
                <w:iCs/>
                <w:sz w:val="20"/>
              </w:rPr>
              <w:t>Ann Rheum Dis</w:t>
            </w:r>
            <w:r>
              <w:rPr>
                <w:rFonts w:ascii="Arial Narrow" w:hAnsi="Arial Narrow"/>
                <w:sz w:val="20"/>
              </w:rPr>
              <w:t>, 2015; 74 (Suppl2): 348.</w:t>
            </w:r>
          </w:p>
        </w:tc>
      </w:tr>
      <w:tr w:rsidR="00CD63DE" w:rsidRPr="004E2ADC" w:rsidTr="00EF539F">
        <w:tc>
          <w:tcPr>
            <w:tcW w:w="5000" w:type="pct"/>
            <w:gridSpan w:val="3"/>
          </w:tcPr>
          <w:p w:rsidR="00CD63DE" w:rsidRDefault="00CD63DE" w:rsidP="00CD63DE">
            <w:pPr>
              <w:jc w:val="left"/>
              <w:rPr>
                <w:rFonts w:ascii="Arial Narrow" w:hAnsi="Arial Narrow"/>
                <w:sz w:val="20"/>
              </w:rPr>
            </w:pPr>
            <w:r>
              <w:rPr>
                <w:rFonts w:ascii="Arial Narrow" w:hAnsi="Arial Narrow"/>
                <w:b/>
                <w:sz w:val="20"/>
              </w:rPr>
              <w:lastRenderedPageBreak/>
              <w:t>Randomised trials of adalimumab versus placebo</w:t>
            </w:r>
          </w:p>
        </w:tc>
      </w:tr>
      <w:tr w:rsidR="00CD63DE" w:rsidRPr="004E2ADC" w:rsidTr="00EF539F">
        <w:trPr>
          <w:trHeight w:val="445"/>
        </w:trPr>
        <w:tc>
          <w:tcPr>
            <w:tcW w:w="849" w:type="pct"/>
            <w:vMerge w:val="restart"/>
          </w:tcPr>
          <w:p w:rsidR="00CD63DE" w:rsidRDefault="00CD63DE" w:rsidP="00CD63DE">
            <w:pPr>
              <w:jc w:val="left"/>
              <w:rPr>
                <w:rFonts w:ascii="Arial Narrow" w:hAnsi="Arial Narrow"/>
                <w:sz w:val="20"/>
              </w:rPr>
            </w:pPr>
            <w:proofErr w:type="spellStart"/>
            <w:r>
              <w:rPr>
                <w:rFonts w:ascii="Arial Narrow" w:hAnsi="Arial Narrow"/>
                <w:sz w:val="20"/>
              </w:rPr>
              <w:t>Mease</w:t>
            </w:r>
            <w:proofErr w:type="spellEnd"/>
            <w:r>
              <w:rPr>
                <w:rFonts w:ascii="Arial Narrow" w:hAnsi="Arial Narrow"/>
                <w:sz w:val="20"/>
              </w:rPr>
              <w:t xml:space="preserve"> 2005</w:t>
            </w:r>
          </w:p>
        </w:tc>
        <w:tc>
          <w:tcPr>
            <w:tcW w:w="2721" w:type="pct"/>
            <w:tcBorders>
              <w:bottom w:val="nil"/>
            </w:tcBorders>
          </w:tcPr>
          <w:p w:rsidR="00CD63DE" w:rsidRPr="0028339C" w:rsidRDefault="00CD63DE" w:rsidP="00CD63DE">
            <w:pPr>
              <w:spacing w:after="40"/>
              <w:jc w:val="left"/>
              <w:rPr>
                <w:rFonts w:ascii="Arial Narrow" w:hAnsi="Arial Narrow" w:cstheme="minorBidi"/>
                <w:sz w:val="20"/>
                <w:lang w:eastAsia="en-AU"/>
              </w:rPr>
            </w:pPr>
            <w:proofErr w:type="spellStart"/>
            <w:r>
              <w:rPr>
                <w:rFonts w:ascii="Arial Narrow" w:hAnsi="Arial Narrow" w:cstheme="minorBidi"/>
                <w:sz w:val="20"/>
                <w:lang w:eastAsia="en-AU"/>
              </w:rPr>
              <w:t>Mease</w:t>
            </w:r>
            <w:proofErr w:type="spellEnd"/>
            <w:r>
              <w:rPr>
                <w:rFonts w:ascii="Arial Narrow" w:hAnsi="Arial Narrow" w:cstheme="minorBidi"/>
                <w:sz w:val="20"/>
                <w:lang w:eastAsia="en-AU"/>
              </w:rPr>
              <w:t xml:space="preserve"> P</w:t>
            </w:r>
            <w:r w:rsidRPr="005162F8">
              <w:rPr>
                <w:rFonts w:ascii="Arial Narrow" w:hAnsi="Arial Narrow" w:cstheme="minorBidi"/>
                <w:sz w:val="20"/>
                <w:lang w:eastAsia="en-AU"/>
              </w:rPr>
              <w:t xml:space="preserve"> et al. </w:t>
            </w:r>
            <w:r>
              <w:rPr>
                <w:rFonts w:ascii="Arial Narrow" w:hAnsi="Arial Narrow" w:cstheme="minorBidi"/>
                <w:sz w:val="20"/>
                <w:lang w:eastAsia="en-AU"/>
              </w:rPr>
              <w:t>Adalimumab for the treatment of patients with moderately to severely active psoriatic arthritis: Results of a double-blind, randomized, placebo-controlled trial.</w:t>
            </w:r>
          </w:p>
        </w:tc>
        <w:tc>
          <w:tcPr>
            <w:tcW w:w="1430" w:type="pct"/>
            <w:tcBorders>
              <w:bottom w:val="nil"/>
            </w:tcBorders>
          </w:tcPr>
          <w:p w:rsidR="00CD63DE" w:rsidRDefault="00CD63DE" w:rsidP="00CD63DE">
            <w:pPr>
              <w:spacing w:after="40"/>
              <w:jc w:val="left"/>
              <w:rPr>
                <w:rFonts w:ascii="Arial Narrow" w:hAnsi="Arial Narrow"/>
                <w:sz w:val="20"/>
              </w:rPr>
            </w:pPr>
            <w:r>
              <w:rPr>
                <w:rFonts w:ascii="Arial Narrow" w:hAnsi="Arial Narrow" w:cstheme="minorBidi"/>
                <w:i/>
                <w:iCs/>
                <w:sz w:val="20"/>
                <w:lang w:eastAsia="en-AU"/>
              </w:rPr>
              <w:t>Arthritis &amp; Rheumatism</w:t>
            </w:r>
            <w:r w:rsidRPr="00FD064C">
              <w:rPr>
                <w:rFonts w:ascii="Arial Narrow" w:hAnsi="Arial Narrow" w:cstheme="minorBidi"/>
                <w:i/>
                <w:iCs/>
                <w:sz w:val="20"/>
                <w:lang w:eastAsia="en-AU"/>
              </w:rPr>
              <w:t xml:space="preserve">, </w:t>
            </w:r>
            <w:r>
              <w:rPr>
                <w:rFonts w:ascii="Arial Narrow" w:hAnsi="Arial Narrow" w:cstheme="minorBidi"/>
                <w:sz w:val="20"/>
                <w:lang w:eastAsia="en-AU"/>
              </w:rPr>
              <w:t>2005; 52(10): 3279-3289</w:t>
            </w:r>
            <w:r w:rsidRPr="007D27C7">
              <w:rPr>
                <w:rFonts w:ascii="Arial Narrow" w:hAnsi="Arial Narrow" w:cstheme="minorBidi"/>
                <w:sz w:val="20"/>
                <w:lang w:eastAsia="en-AU"/>
              </w:rPr>
              <w:t>.</w:t>
            </w:r>
          </w:p>
        </w:tc>
      </w:tr>
      <w:tr w:rsidR="00CD63DE" w:rsidRPr="004E2ADC" w:rsidTr="00EF539F">
        <w:trPr>
          <w:trHeight w:val="175"/>
        </w:trPr>
        <w:tc>
          <w:tcPr>
            <w:tcW w:w="849" w:type="pct"/>
            <w:vMerge/>
          </w:tcPr>
          <w:p w:rsidR="00CD63DE" w:rsidRDefault="00CD63DE" w:rsidP="00CD63DE">
            <w:pPr>
              <w:jc w:val="left"/>
              <w:rPr>
                <w:rFonts w:ascii="Arial Narrow" w:hAnsi="Arial Narrow"/>
                <w:sz w:val="20"/>
              </w:rPr>
            </w:pPr>
          </w:p>
        </w:tc>
        <w:tc>
          <w:tcPr>
            <w:tcW w:w="2721" w:type="pct"/>
            <w:tcBorders>
              <w:top w:val="nil"/>
              <w:bottom w:val="nil"/>
            </w:tcBorders>
          </w:tcPr>
          <w:p w:rsidR="00CD63DE" w:rsidRDefault="00CD63DE" w:rsidP="00CD63DE">
            <w:pPr>
              <w:spacing w:after="40"/>
              <w:jc w:val="left"/>
              <w:rPr>
                <w:rFonts w:ascii="Arial Narrow" w:hAnsi="Arial Narrow" w:cstheme="minorBidi"/>
                <w:sz w:val="20"/>
                <w:lang w:eastAsia="en-AU"/>
              </w:rPr>
            </w:pPr>
            <w:proofErr w:type="spellStart"/>
            <w:r>
              <w:rPr>
                <w:rFonts w:ascii="Arial Narrow" w:hAnsi="Arial Narrow" w:cstheme="minorBidi"/>
                <w:sz w:val="20"/>
                <w:lang w:eastAsia="en-AU"/>
              </w:rPr>
              <w:t>Gladman</w:t>
            </w:r>
            <w:proofErr w:type="spellEnd"/>
            <w:r>
              <w:rPr>
                <w:rFonts w:ascii="Arial Narrow" w:hAnsi="Arial Narrow" w:cstheme="minorBidi"/>
                <w:sz w:val="20"/>
                <w:lang w:eastAsia="en-AU"/>
              </w:rPr>
              <w:t xml:space="preserve"> D et al. Adalimumab for long-term treatment of psoriatic arthritis: Forty-eight week data from the Adalimumab Effectiveness in Psoriatic Arthritis trial.</w:t>
            </w:r>
          </w:p>
        </w:tc>
        <w:tc>
          <w:tcPr>
            <w:tcW w:w="1430" w:type="pct"/>
            <w:tcBorders>
              <w:top w:val="nil"/>
              <w:bottom w:val="nil"/>
            </w:tcBorders>
          </w:tcPr>
          <w:p w:rsidR="00CD63DE" w:rsidRDefault="00CD63DE" w:rsidP="00CD63DE">
            <w:pPr>
              <w:spacing w:after="40"/>
              <w:jc w:val="left"/>
              <w:rPr>
                <w:rFonts w:ascii="Arial Narrow" w:hAnsi="Arial Narrow" w:cstheme="minorBidi"/>
                <w:i/>
                <w:iCs/>
                <w:sz w:val="20"/>
                <w:lang w:eastAsia="en-AU"/>
              </w:rPr>
            </w:pPr>
            <w:r>
              <w:rPr>
                <w:rFonts w:ascii="Arial Narrow" w:hAnsi="Arial Narrow" w:cstheme="minorBidi"/>
                <w:i/>
                <w:iCs/>
                <w:sz w:val="20"/>
                <w:lang w:eastAsia="en-AU"/>
              </w:rPr>
              <w:t>Arthritis &amp; Rheumatism</w:t>
            </w:r>
            <w:r w:rsidRPr="00FD064C">
              <w:rPr>
                <w:rFonts w:ascii="Arial Narrow" w:hAnsi="Arial Narrow" w:cstheme="minorBidi"/>
                <w:i/>
                <w:iCs/>
                <w:sz w:val="20"/>
                <w:lang w:eastAsia="en-AU"/>
              </w:rPr>
              <w:t xml:space="preserve">, </w:t>
            </w:r>
            <w:r>
              <w:rPr>
                <w:rFonts w:ascii="Arial Narrow" w:hAnsi="Arial Narrow" w:cstheme="minorBidi"/>
                <w:sz w:val="20"/>
                <w:lang w:eastAsia="en-AU"/>
              </w:rPr>
              <w:t>2007; 56(2): 476-488.</w:t>
            </w:r>
          </w:p>
        </w:tc>
      </w:tr>
      <w:tr w:rsidR="00CD63DE" w:rsidRPr="004E2ADC" w:rsidTr="00EF539F">
        <w:trPr>
          <w:trHeight w:val="525"/>
        </w:trPr>
        <w:tc>
          <w:tcPr>
            <w:tcW w:w="849" w:type="pct"/>
            <w:vMerge/>
          </w:tcPr>
          <w:p w:rsidR="00CD63DE" w:rsidRDefault="00CD63DE" w:rsidP="00CD63DE">
            <w:pPr>
              <w:jc w:val="left"/>
              <w:rPr>
                <w:rFonts w:ascii="Arial Narrow" w:hAnsi="Arial Narrow"/>
                <w:sz w:val="20"/>
              </w:rPr>
            </w:pPr>
          </w:p>
        </w:tc>
        <w:tc>
          <w:tcPr>
            <w:tcW w:w="2721" w:type="pct"/>
            <w:tcBorders>
              <w:top w:val="nil"/>
              <w:bottom w:val="nil"/>
            </w:tcBorders>
          </w:tcPr>
          <w:p w:rsidR="00CD63DE" w:rsidRDefault="00CD63DE" w:rsidP="00CD63DE">
            <w:pPr>
              <w:spacing w:after="40"/>
              <w:jc w:val="left"/>
              <w:rPr>
                <w:rFonts w:ascii="Arial Narrow" w:hAnsi="Arial Narrow" w:cstheme="minorBidi"/>
                <w:sz w:val="20"/>
                <w:lang w:eastAsia="en-AU"/>
              </w:rPr>
            </w:pPr>
            <w:proofErr w:type="spellStart"/>
            <w:r>
              <w:rPr>
                <w:rFonts w:ascii="Arial Narrow" w:hAnsi="Arial Narrow" w:cstheme="minorBidi"/>
                <w:sz w:val="20"/>
                <w:lang w:eastAsia="en-AU"/>
              </w:rPr>
              <w:t>Gladman</w:t>
            </w:r>
            <w:proofErr w:type="spellEnd"/>
            <w:r>
              <w:rPr>
                <w:rFonts w:ascii="Arial Narrow" w:hAnsi="Arial Narrow" w:cstheme="minorBidi"/>
                <w:sz w:val="20"/>
                <w:lang w:eastAsia="en-AU"/>
              </w:rPr>
              <w:t xml:space="preserve"> D et al. Adalimumab improves joint-related and skin-related functional impairment in patients with psoriatic arthritis: Patient reported outcomes of the Adalimumab Effectiveness in Psoriatic Arthritis Trial.</w:t>
            </w:r>
          </w:p>
        </w:tc>
        <w:tc>
          <w:tcPr>
            <w:tcW w:w="1430" w:type="pct"/>
            <w:tcBorders>
              <w:top w:val="nil"/>
              <w:bottom w:val="nil"/>
            </w:tcBorders>
          </w:tcPr>
          <w:p w:rsidR="00CD63DE" w:rsidRDefault="00CD63DE" w:rsidP="00CD63DE">
            <w:pPr>
              <w:spacing w:after="40"/>
              <w:jc w:val="left"/>
              <w:rPr>
                <w:rFonts w:ascii="Arial Narrow" w:hAnsi="Arial Narrow" w:cstheme="minorBidi"/>
                <w:sz w:val="20"/>
                <w:lang w:eastAsia="en-AU"/>
              </w:rPr>
            </w:pPr>
            <w:r>
              <w:rPr>
                <w:rFonts w:ascii="Arial Narrow" w:hAnsi="Arial Narrow" w:cstheme="minorBidi"/>
                <w:i/>
                <w:iCs/>
                <w:sz w:val="20"/>
                <w:lang w:eastAsia="en-AU"/>
              </w:rPr>
              <w:t>Ann Rheum Dis</w:t>
            </w:r>
            <w:r w:rsidRPr="00FD064C">
              <w:rPr>
                <w:rFonts w:ascii="Arial Narrow" w:hAnsi="Arial Narrow" w:cstheme="minorBidi"/>
                <w:i/>
                <w:iCs/>
                <w:sz w:val="20"/>
                <w:lang w:eastAsia="en-AU"/>
              </w:rPr>
              <w:t xml:space="preserve">, </w:t>
            </w:r>
            <w:r>
              <w:rPr>
                <w:rFonts w:ascii="Arial Narrow" w:hAnsi="Arial Narrow" w:cstheme="minorBidi"/>
                <w:sz w:val="20"/>
                <w:lang w:eastAsia="en-AU"/>
              </w:rPr>
              <w:t>2007; 66: 163-168.</w:t>
            </w:r>
          </w:p>
        </w:tc>
      </w:tr>
      <w:tr w:rsidR="00CD63DE" w:rsidRPr="004E2ADC" w:rsidTr="00EF539F">
        <w:trPr>
          <w:trHeight w:val="156"/>
        </w:trPr>
        <w:tc>
          <w:tcPr>
            <w:tcW w:w="849" w:type="pct"/>
            <w:vMerge/>
          </w:tcPr>
          <w:p w:rsidR="00CD63DE" w:rsidRDefault="00CD63DE" w:rsidP="00CD63DE">
            <w:pPr>
              <w:jc w:val="left"/>
              <w:rPr>
                <w:rFonts w:ascii="Arial Narrow" w:hAnsi="Arial Narrow"/>
                <w:sz w:val="20"/>
              </w:rPr>
            </w:pPr>
          </w:p>
        </w:tc>
        <w:tc>
          <w:tcPr>
            <w:tcW w:w="2721" w:type="pct"/>
            <w:tcBorders>
              <w:top w:val="nil"/>
              <w:bottom w:val="nil"/>
            </w:tcBorders>
          </w:tcPr>
          <w:p w:rsidR="00CD63DE" w:rsidRDefault="00CD63DE" w:rsidP="00CD63DE">
            <w:pPr>
              <w:spacing w:after="40"/>
              <w:jc w:val="left"/>
              <w:rPr>
                <w:rFonts w:ascii="Arial Narrow" w:hAnsi="Arial Narrow" w:cstheme="minorBidi"/>
                <w:sz w:val="20"/>
                <w:lang w:eastAsia="en-AU"/>
              </w:rPr>
            </w:pPr>
            <w:proofErr w:type="spellStart"/>
            <w:r>
              <w:rPr>
                <w:rFonts w:ascii="Arial Narrow" w:hAnsi="Arial Narrow" w:cstheme="minorBidi"/>
                <w:sz w:val="20"/>
                <w:lang w:eastAsia="en-AU"/>
              </w:rPr>
              <w:t>Mease</w:t>
            </w:r>
            <w:proofErr w:type="spellEnd"/>
            <w:r>
              <w:rPr>
                <w:rFonts w:ascii="Arial Narrow" w:hAnsi="Arial Narrow" w:cstheme="minorBidi"/>
                <w:sz w:val="20"/>
                <w:lang w:eastAsia="en-AU"/>
              </w:rPr>
              <w:t xml:space="preserve"> P et al. Adalimumab for long-term treatment of psoriatic arthritis: 2-year data from the Adalimumab Effectiveness in Psoriatic Arthritis Trial (ADEPT).</w:t>
            </w:r>
          </w:p>
        </w:tc>
        <w:tc>
          <w:tcPr>
            <w:tcW w:w="1430" w:type="pct"/>
            <w:tcBorders>
              <w:top w:val="nil"/>
              <w:bottom w:val="nil"/>
            </w:tcBorders>
          </w:tcPr>
          <w:p w:rsidR="00CD63DE" w:rsidRDefault="00CD63DE" w:rsidP="00CD63DE">
            <w:pPr>
              <w:spacing w:after="40"/>
              <w:jc w:val="left"/>
              <w:rPr>
                <w:rFonts w:ascii="Arial Narrow" w:hAnsi="Arial Narrow" w:cstheme="minorBidi"/>
                <w:sz w:val="20"/>
                <w:lang w:eastAsia="en-AU"/>
              </w:rPr>
            </w:pPr>
            <w:r>
              <w:rPr>
                <w:rFonts w:ascii="Arial Narrow" w:hAnsi="Arial Narrow" w:cstheme="minorBidi"/>
                <w:i/>
                <w:iCs/>
                <w:sz w:val="20"/>
                <w:lang w:eastAsia="en-AU"/>
              </w:rPr>
              <w:t>Ann Rheum Dis</w:t>
            </w:r>
            <w:r w:rsidRPr="00FD064C">
              <w:rPr>
                <w:rFonts w:ascii="Arial Narrow" w:hAnsi="Arial Narrow" w:cstheme="minorBidi"/>
                <w:i/>
                <w:iCs/>
                <w:sz w:val="20"/>
                <w:lang w:eastAsia="en-AU"/>
              </w:rPr>
              <w:t xml:space="preserve">, </w:t>
            </w:r>
            <w:r>
              <w:rPr>
                <w:rFonts w:ascii="Arial Narrow" w:hAnsi="Arial Narrow" w:cstheme="minorBidi"/>
                <w:sz w:val="20"/>
                <w:lang w:eastAsia="en-AU"/>
              </w:rPr>
              <w:t>2009; 68: 702-709.</w:t>
            </w:r>
          </w:p>
        </w:tc>
      </w:tr>
      <w:tr w:rsidR="00CD63DE" w:rsidRPr="004E2ADC" w:rsidTr="00EF539F">
        <w:trPr>
          <w:trHeight w:val="313"/>
        </w:trPr>
        <w:tc>
          <w:tcPr>
            <w:tcW w:w="849" w:type="pct"/>
            <w:vMerge/>
          </w:tcPr>
          <w:p w:rsidR="00CD63DE" w:rsidRDefault="00CD63DE" w:rsidP="00CD63DE">
            <w:pPr>
              <w:jc w:val="left"/>
              <w:rPr>
                <w:rFonts w:ascii="Arial Narrow" w:hAnsi="Arial Narrow"/>
                <w:sz w:val="20"/>
              </w:rPr>
            </w:pPr>
          </w:p>
        </w:tc>
        <w:tc>
          <w:tcPr>
            <w:tcW w:w="2721" w:type="pct"/>
            <w:tcBorders>
              <w:top w:val="nil"/>
              <w:bottom w:val="nil"/>
            </w:tcBorders>
          </w:tcPr>
          <w:p w:rsidR="00CD63DE" w:rsidRDefault="00CD63DE" w:rsidP="00CD63DE">
            <w:pPr>
              <w:spacing w:after="40"/>
              <w:jc w:val="left"/>
              <w:rPr>
                <w:rFonts w:ascii="Arial Narrow" w:hAnsi="Arial Narrow" w:cstheme="minorBidi"/>
                <w:sz w:val="20"/>
                <w:lang w:eastAsia="en-AU"/>
              </w:rPr>
            </w:pPr>
            <w:proofErr w:type="spellStart"/>
            <w:r>
              <w:rPr>
                <w:rFonts w:ascii="Arial Narrow" w:hAnsi="Arial Narrow" w:cstheme="minorBidi"/>
                <w:sz w:val="20"/>
                <w:lang w:eastAsia="en-AU"/>
              </w:rPr>
              <w:t>Mease</w:t>
            </w:r>
            <w:proofErr w:type="spellEnd"/>
            <w:r>
              <w:rPr>
                <w:rFonts w:ascii="Arial Narrow" w:hAnsi="Arial Narrow" w:cstheme="minorBidi"/>
                <w:sz w:val="20"/>
                <w:lang w:eastAsia="en-AU"/>
              </w:rPr>
              <w:t xml:space="preserve"> P et al. Application and modifications of minimal disease activity measures for patients with psoriatic arthritis treated with adalimumab: </w:t>
            </w:r>
            <w:proofErr w:type="spellStart"/>
            <w:r>
              <w:rPr>
                <w:rFonts w:ascii="Arial Narrow" w:hAnsi="Arial Narrow" w:cstheme="minorBidi"/>
                <w:sz w:val="20"/>
                <w:lang w:eastAsia="en-AU"/>
              </w:rPr>
              <w:t>Subanalyses</w:t>
            </w:r>
            <w:proofErr w:type="spellEnd"/>
            <w:r>
              <w:rPr>
                <w:rFonts w:ascii="Arial Narrow" w:hAnsi="Arial Narrow" w:cstheme="minorBidi"/>
                <w:sz w:val="20"/>
                <w:lang w:eastAsia="en-AU"/>
              </w:rPr>
              <w:t xml:space="preserve"> of ADEPT.</w:t>
            </w:r>
          </w:p>
        </w:tc>
        <w:tc>
          <w:tcPr>
            <w:tcW w:w="1430" w:type="pct"/>
            <w:tcBorders>
              <w:top w:val="nil"/>
              <w:bottom w:val="nil"/>
            </w:tcBorders>
          </w:tcPr>
          <w:p w:rsidR="00CD63DE" w:rsidRDefault="00CD63DE" w:rsidP="00CD63DE">
            <w:pPr>
              <w:spacing w:after="40"/>
              <w:jc w:val="left"/>
              <w:rPr>
                <w:rFonts w:ascii="Arial Narrow" w:hAnsi="Arial Narrow" w:cstheme="minorBidi"/>
                <w:sz w:val="20"/>
                <w:lang w:eastAsia="en-AU"/>
              </w:rPr>
            </w:pPr>
            <w:r w:rsidRPr="008B3E69">
              <w:rPr>
                <w:rFonts w:ascii="Arial Narrow" w:hAnsi="Arial Narrow" w:cstheme="minorBidi"/>
                <w:i/>
                <w:iCs/>
                <w:sz w:val="20"/>
                <w:lang w:eastAsia="en-AU"/>
              </w:rPr>
              <w:t>Journal of Rhe</w:t>
            </w:r>
            <w:r>
              <w:rPr>
                <w:rFonts w:ascii="Arial Narrow" w:hAnsi="Arial Narrow" w:cstheme="minorBidi"/>
                <w:i/>
                <w:iCs/>
                <w:sz w:val="20"/>
                <w:lang w:eastAsia="en-AU"/>
              </w:rPr>
              <w:t>u</w:t>
            </w:r>
            <w:r w:rsidRPr="008B3E69">
              <w:rPr>
                <w:rFonts w:ascii="Arial Narrow" w:hAnsi="Arial Narrow" w:cstheme="minorBidi"/>
                <w:i/>
                <w:iCs/>
                <w:sz w:val="20"/>
                <w:lang w:eastAsia="en-AU"/>
              </w:rPr>
              <w:t>matology</w:t>
            </w:r>
            <w:r>
              <w:rPr>
                <w:rFonts w:ascii="Arial Narrow" w:hAnsi="Arial Narrow" w:cstheme="minorBidi"/>
                <w:sz w:val="20"/>
                <w:lang w:eastAsia="en-AU"/>
              </w:rPr>
              <w:t>, 2013; 40: 647-652.</w:t>
            </w:r>
          </w:p>
        </w:tc>
      </w:tr>
      <w:tr w:rsidR="00CD63DE" w:rsidRPr="004E2ADC" w:rsidTr="00EF539F">
        <w:trPr>
          <w:trHeight w:val="62"/>
        </w:trPr>
        <w:tc>
          <w:tcPr>
            <w:tcW w:w="849" w:type="pct"/>
            <w:vMerge/>
          </w:tcPr>
          <w:p w:rsidR="00CD63DE" w:rsidRDefault="00CD63DE" w:rsidP="00CD63DE">
            <w:pPr>
              <w:jc w:val="left"/>
              <w:rPr>
                <w:rFonts w:ascii="Arial Narrow" w:hAnsi="Arial Narrow"/>
                <w:sz w:val="20"/>
              </w:rPr>
            </w:pPr>
          </w:p>
        </w:tc>
        <w:tc>
          <w:tcPr>
            <w:tcW w:w="2721" w:type="pct"/>
            <w:tcBorders>
              <w:top w:val="nil"/>
            </w:tcBorders>
          </w:tcPr>
          <w:p w:rsidR="00CD63DE" w:rsidRDefault="00CD63DE" w:rsidP="00CD63DE">
            <w:pPr>
              <w:jc w:val="left"/>
              <w:rPr>
                <w:rFonts w:ascii="Arial Narrow" w:hAnsi="Arial Narrow" w:cstheme="minorBidi"/>
                <w:sz w:val="20"/>
                <w:lang w:eastAsia="en-AU"/>
              </w:rPr>
            </w:pPr>
            <w:proofErr w:type="spellStart"/>
            <w:r>
              <w:rPr>
                <w:rFonts w:ascii="Arial Narrow" w:hAnsi="Arial Narrow" w:cstheme="minorBidi"/>
                <w:sz w:val="20"/>
                <w:lang w:eastAsia="en-AU"/>
              </w:rPr>
              <w:t>Gladman</w:t>
            </w:r>
            <w:proofErr w:type="spellEnd"/>
            <w:r>
              <w:rPr>
                <w:rFonts w:ascii="Arial Narrow" w:hAnsi="Arial Narrow" w:cstheme="minorBidi"/>
                <w:sz w:val="20"/>
                <w:lang w:eastAsia="en-AU"/>
              </w:rPr>
              <w:t xml:space="preserve"> D et al. Risk factors for radiographic progression in psoriatic arthritis: </w:t>
            </w:r>
            <w:proofErr w:type="spellStart"/>
            <w:r>
              <w:rPr>
                <w:rFonts w:ascii="Arial Narrow" w:hAnsi="Arial Narrow" w:cstheme="minorBidi"/>
                <w:sz w:val="20"/>
                <w:lang w:eastAsia="en-AU"/>
              </w:rPr>
              <w:t>Subanalysis</w:t>
            </w:r>
            <w:proofErr w:type="spellEnd"/>
            <w:r>
              <w:rPr>
                <w:rFonts w:ascii="Arial Narrow" w:hAnsi="Arial Narrow" w:cstheme="minorBidi"/>
                <w:sz w:val="20"/>
                <w:lang w:eastAsia="en-AU"/>
              </w:rPr>
              <w:t xml:space="preserve"> of the randomized controlled trial ADEPT.</w:t>
            </w:r>
          </w:p>
        </w:tc>
        <w:tc>
          <w:tcPr>
            <w:tcW w:w="1430" w:type="pct"/>
            <w:tcBorders>
              <w:top w:val="nil"/>
            </w:tcBorders>
          </w:tcPr>
          <w:p w:rsidR="00CD63DE" w:rsidRPr="008B3E69" w:rsidRDefault="00CD63DE" w:rsidP="00CD63DE">
            <w:pPr>
              <w:jc w:val="left"/>
              <w:rPr>
                <w:rFonts w:ascii="Arial Narrow" w:hAnsi="Arial Narrow" w:cstheme="minorBidi"/>
                <w:i/>
                <w:iCs/>
                <w:sz w:val="20"/>
                <w:lang w:eastAsia="en-AU"/>
              </w:rPr>
            </w:pPr>
            <w:r>
              <w:rPr>
                <w:rFonts w:ascii="Arial Narrow" w:hAnsi="Arial Narrow" w:cstheme="minorBidi"/>
                <w:i/>
                <w:iCs/>
                <w:sz w:val="20"/>
                <w:lang w:eastAsia="en-AU"/>
              </w:rPr>
              <w:t>Arthritis Research &amp; Therapy</w:t>
            </w:r>
            <w:r w:rsidRPr="00FD064C">
              <w:rPr>
                <w:rFonts w:ascii="Arial Narrow" w:hAnsi="Arial Narrow" w:cstheme="minorBidi"/>
                <w:i/>
                <w:iCs/>
                <w:sz w:val="20"/>
                <w:lang w:eastAsia="en-AU"/>
              </w:rPr>
              <w:t xml:space="preserve">, </w:t>
            </w:r>
            <w:r>
              <w:rPr>
                <w:rFonts w:ascii="Arial Narrow" w:hAnsi="Arial Narrow" w:cstheme="minorBidi"/>
                <w:sz w:val="20"/>
                <w:lang w:eastAsia="en-AU"/>
              </w:rPr>
              <w:t>2010; 12: R113.</w:t>
            </w:r>
          </w:p>
        </w:tc>
      </w:tr>
      <w:tr w:rsidR="00CD63DE" w:rsidRPr="004E2ADC" w:rsidTr="00EF539F">
        <w:tc>
          <w:tcPr>
            <w:tcW w:w="849" w:type="pct"/>
          </w:tcPr>
          <w:p w:rsidR="00CD63DE" w:rsidRDefault="00CD63DE" w:rsidP="00CD63DE">
            <w:pPr>
              <w:jc w:val="left"/>
              <w:rPr>
                <w:rFonts w:ascii="Arial Narrow" w:hAnsi="Arial Narrow"/>
                <w:sz w:val="20"/>
              </w:rPr>
            </w:pPr>
            <w:r>
              <w:rPr>
                <w:rFonts w:ascii="Arial Narrow" w:hAnsi="Arial Narrow"/>
                <w:sz w:val="20"/>
              </w:rPr>
              <w:t>Genovese 2007</w:t>
            </w:r>
          </w:p>
        </w:tc>
        <w:tc>
          <w:tcPr>
            <w:tcW w:w="2721" w:type="pct"/>
          </w:tcPr>
          <w:p w:rsidR="00CD63DE" w:rsidRPr="0028339C" w:rsidRDefault="00CD63DE" w:rsidP="00CD63DE">
            <w:pPr>
              <w:jc w:val="left"/>
              <w:rPr>
                <w:rFonts w:ascii="Arial Narrow" w:hAnsi="Arial Narrow" w:cstheme="minorBidi"/>
                <w:sz w:val="20"/>
                <w:lang w:eastAsia="en-AU"/>
              </w:rPr>
            </w:pPr>
            <w:r>
              <w:rPr>
                <w:rFonts w:ascii="Arial Narrow" w:hAnsi="Arial Narrow" w:cstheme="minorBidi"/>
                <w:sz w:val="20"/>
                <w:lang w:eastAsia="en-AU"/>
              </w:rPr>
              <w:t xml:space="preserve">Genovese M et al. Safety and efficacy of adalimumab in treatment of patients with psoriatic arthritis who had failed disease modifying </w:t>
            </w:r>
            <w:proofErr w:type="spellStart"/>
            <w:r>
              <w:rPr>
                <w:rFonts w:ascii="Arial Narrow" w:hAnsi="Arial Narrow" w:cstheme="minorBidi"/>
                <w:sz w:val="20"/>
                <w:lang w:eastAsia="en-AU"/>
              </w:rPr>
              <w:t>antirheumatic</w:t>
            </w:r>
            <w:proofErr w:type="spellEnd"/>
            <w:r>
              <w:rPr>
                <w:rFonts w:ascii="Arial Narrow" w:hAnsi="Arial Narrow" w:cstheme="minorBidi"/>
                <w:sz w:val="20"/>
                <w:lang w:eastAsia="en-AU"/>
              </w:rPr>
              <w:t xml:space="preserve"> drug therapy.</w:t>
            </w:r>
          </w:p>
        </w:tc>
        <w:tc>
          <w:tcPr>
            <w:tcW w:w="1430" w:type="pct"/>
          </w:tcPr>
          <w:p w:rsidR="00CD63DE" w:rsidRDefault="00CD63DE" w:rsidP="00CD63DE">
            <w:pPr>
              <w:jc w:val="left"/>
              <w:rPr>
                <w:rFonts w:ascii="Arial Narrow" w:hAnsi="Arial Narrow" w:cstheme="minorBidi"/>
                <w:sz w:val="20"/>
                <w:lang w:eastAsia="en-AU"/>
              </w:rPr>
            </w:pPr>
            <w:r>
              <w:rPr>
                <w:rFonts w:ascii="Arial Narrow" w:hAnsi="Arial Narrow" w:cstheme="minorBidi"/>
                <w:i/>
                <w:iCs/>
                <w:sz w:val="20"/>
                <w:lang w:eastAsia="en-AU"/>
              </w:rPr>
              <w:t>Journal of Rheumatology</w:t>
            </w:r>
            <w:r w:rsidRPr="00FD064C">
              <w:rPr>
                <w:rFonts w:ascii="Arial Narrow" w:hAnsi="Arial Narrow" w:cstheme="minorBidi"/>
                <w:i/>
                <w:iCs/>
                <w:sz w:val="20"/>
                <w:lang w:eastAsia="en-AU"/>
              </w:rPr>
              <w:t xml:space="preserve">, </w:t>
            </w:r>
            <w:r>
              <w:rPr>
                <w:rFonts w:ascii="Arial Narrow" w:hAnsi="Arial Narrow" w:cstheme="minorBidi"/>
                <w:sz w:val="20"/>
                <w:lang w:eastAsia="en-AU"/>
              </w:rPr>
              <w:t>2007; 34(5): 1040-1050.</w:t>
            </w:r>
          </w:p>
          <w:p w:rsidR="00CD63DE" w:rsidRPr="00EA0435" w:rsidRDefault="00CD63DE" w:rsidP="00CD63DE">
            <w:pPr>
              <w:jc w:val="left"/>
              <w:rPr>
                <w:rFonts w:ascii="Arial Narrow" w:hAnsi="Arial Narrow"/>
                <w:sz w:val="20"/>
              </w:rPr>
            </w:pPr>
            <w:r>
              <w:rPr>
                <w:rFonts w:ascii="Arial Narrow" w:hAnsi="Arial Narrow"/>
                <w:sz w:val="20"/>
              </w:rPr>
              <w:t>(</w:t>
            </w:r>
            <w:proofErr w:type="gramStart"/>
            <w:r>
              <w:rPr>
                <w:rFonts w:ascii="Arial Narrow" w:hAnsi="Arial Narrow"/>
                <w:sz w:val="20"/>
              </w:rPr>
              <w:t>e</w:t>
            </w:r>
            <w:r w:rsidRPr="00EA0435">
              <w:rPr>
                <w:rFonts w:ascii="Arial Narrow" w:hAnsi="Arial Narrow"/>
                <w:sz w:val="20"/>
              </w:rPr>
              <w:t>rratum</w:t>
            </w:r>
            <w:proofErr w:type="gramEnd"/>
            <w:r>
              <w:rPr>
                <w:rFonts w:ascii="Arial Narrow" w:hAnsi="Arial Narrow"/>
                <w:sz w:val="20"/>
              </w:rPr>
              <w:t xml:space="preserve">: </w:t>
            </w:r>
            <w:r w:rsidRPr="00EA0435">
              <w:rPr>
                <w:rFonts w:ascii="Arial Narrow" w:hAnsi="Arial Narrow"/>
                <w:i/>
                <w:iCs/>
                <w:sz w:val="20"/>
              </w:rPr>
              <w:t>J</w:t>
            </w:r>
            <w:r>
              <w:rPr>
                <w:rFonts w:ascii="Arial Narrow" w:hAnsi="Arial Narrow"/>
                <w:i/>
                <w:iCs/>
                <w:sz w:val="20"/>
              </w:rPr>
              <w:t>ournal of Rheumato</w:t>
            </w:r>
            <w:r w:rsidRPr="00EA0435">
              <w:rPr>
                <w:rFonts w:ascii="Arial Narrow" w:hAnsi="Arial Narrow"/>
                <w:i/>
                <w:iCs/>
                <w:sz w:val="20"/>
              </w:rPr>
              <w:t>l</w:t>
            </w:r>
            <w:r>
              <w:rPr>
                <w:rFonts w:ascii="Arial Narrow" w:hAnsi="Arial Narrow"/>
                <w:i/>
                <w:iCs/>
                <w:sz w:val="20"/>
              </w:rPr>
              <w:t>o</w:t>
            </w:r>
            <w:r w:rsidRPr="00EA0435">
              <w:rPr>
                <w:rFonts w:ascii="Arial Narrow" w:hAnsi="Arial Narrow"/>
                <w:i/>
                <w:iCs/>
                <w:sz w:val="20"/>
              </w:rPr>
              <w:t>gy</w:t>
            </w:r>
            <w:r>
              <w:rPr>
                <w:rFonts w:ascii="Arial Narrow" w:hAnsi="Arial Narrow"/>
                <w:sz w:val="20"/>
              </w:rPr>
              <w:t xml:space="preserve">, </w:t>
            </w:r>
            <w:r w:rsidRPr="00EA0435">
              <w:rPr>
                <w:rFonts w:ascii="Arial Narrow" w:hAnsi="Arial Narrow"/>
                <w:sz w:val="20"/>
              </w:rPr>
              <w:t>2007</w:t>
            </w:r>
            <w:r>
              <w:rPr>
                <w:rFonts w:ascii="Arial Narrow" w:hAnsi="Arial Narrow"/>
                <w:sz w:val="20"/>
              </w:rPr>
              <w:t>;</w:t>
            </w:r>
            <w:r w:rsidRPr="00EA0435">
              <w:rPr>
                <w:rFonts w:ascii="Arial Narrow" w:hAnsi="Arial Narrow"/>
                <w:sz w:val="20"/>
              </w:rPr>
              <w:t xml:space="preserve"> 34(6):1439</w:t>
            </w:r>
            <w:r>
              <w:rPr>
                <w:rFonts w:ascii="Arial Narrow" w:hAnsi="Arial Narrow"/>
                <w:sz w:val="20"/>
              </w:rPr>
              <w:t>.)</w:t>
            </w:r>
          </w:p>
        </w:tc>
      </w:tr>
    </w:tbl>
    <w:p w:rsidR="00AA6D1C" w:rsidRPr="00D13A3E" w:rsidRDefault="00AA6D1C" w:rsidP="00CD63DE">
      <w:pPr>
        <w:pStyle w:val="TableFooter"/>
        <w:ind w:firstLine="709"/>
      </w:pPr>
      <w:r>
        <w:t xml:space="preserve">Source: Table B-5, p40 </w:t>
      </w:r>
      <w:r w:rsidRPr="00D13A3E">
        <w:t xml:space="preserve">of the </w:t>
      </w:r>
      <w:r>
        <w:t>re</w:t>
      </w:r>
      <w:r w:rsidRPr="00D13A3E">
        <w:t>submissi</w:t>
      </w:r>
      <w:r>
        <w:t>on.</w:t>
      </w:r>
    </w:p>
    <w:p w:rsidR="001B6188" w:rsidRPr="002B2B07" w:rsidRDefault="001B6188" w:rsidP="001B6188">
      <w:pPr>
        <w:widowControl/>
        <w:rPr>
          <w:rFonts w:asciiTheme="minorBidi" w:hAnsiTheme="minorBidi" w:cstheme="minorBidi"/>
          <w:szCs w:val="22"/>
        </w:rPr>
      </w:pPr>
    </w:p>
    <w:p w:rsidR="00B60939" w:rsidRPr="002965CF" w:rsidRDefault="00880B35" w:rsidP="00582D67">
      <w:pPr>
        <w:pStyle w:val="ListParagraph"/>
        <w:widowControl/>
        <w:numPr>
          <w:ilvl w:val="1"/>
          <w:numId w:val="5"/>
        </w:numPr>
        <w:rPr>
          <w:rFonts w:asciiTheme="minorBidi" w:hAnsiTheme="minorBidi" w:cstheme="minorBidi"/>
          <w:sz w:val="20"/>
          <w:szCs w:val="16"/>
        </w:rPr>
      </w:pPr>
      <w:r w:rsidRPr="002B2B07">
        <w:rPr>
          <w:rFonts w:asciiTheme="minorBidi" w:hAnsiTheme="minorBidi" w:cstheme="minorBidi"/>
          <w:szCs w:val="22"/>
        </w:rPr>
        <w:t>The key features of the randomised trials</w:t>
      </w:r>
      <w:r w:rsidR="002B2B07" w:rsidRPr="002B2B07">
        <w:rPr>
          <w:rFonts w:asciiTheme="minorBidi" w:hAnsiTheme="minorBidi" w:cstheme="minorBidi"/>
          <w:szCs w:val="22"/>
        </w:rPr>
        <w:t xml:space="preserve"> are summarised in </w:t>
      </w:r>
      <w:r w:rsidR="00D27B9D">
        <w:rPr>
          <w:rFonts w:asciiTheme="minorBidi" w:hAnsiTheme="minorBidi" w:cstheme="minorBidi"/>
          <w:szCs w:val="22"/>
        </w:rPr>
        <w:t>Table 2</w:t>
      </w:r>
      <w:r w:rsidR="00961AF9" w:rsidRPr="002B2B07">
        <w:rPr>
          <w:rFonts w:asciiTheme="minorBidi" w:hAnsiTheme="minorBidi" w:cstheme="minorBidi"/>
          <w:szCs w:val="22"/>
        </w:rPr>
        <w:t>.</w:t>
      </w:r>
    </w:p>
    <w:p w:rsidR="002965CF" w:rsidRPr="002965CF" w:rsidRDefault="002965CF" w:rsidP="002965CF">
      <w:pPr>
        <w:widowControl/>
        <w:rPr>
          <w:rFonts w:asciiTheme="minorBidi" w:hAnsiTheme="minorBidi" w:cstheme="minorBidi"/>
          <w:sz w:val="20"/>
          <w:szCs w:val="16"/>
        </w:rPr>
      </w:pPr>
    </w:p>
    <w:p w:rsidR="00D27B9D" w:rsidRPr="002B005F" w:rsidRDefault="002B005F" w:rsidP="002B005F">
      <w:pPr>
        <w:ind w:firstLine="720"/>
        <w:rPr>
          <w:rFonts w:ascii="Arial Narrow" w:hAnsi="Arial Narrow"/>
          <w:b/>
          <w:sz w:val="20"/>
          <w:szCs w:val="16"/>
        </w:rPr>
      </w:pPr>
      <w:r>
        <w:rPr>
          <w:rStyle w:val="CommentReference"/>
        </w:rPr>
        <w:t xml:space="preserve">Table 2: </w:t>
      </w:r>
      <w:r w:rsidRPr="00A13948">
        <w:rPr>
          <w:rStyle w:val="CommentReference"/>
        </w:rPr>
        <w:t>Key features of the included evidence – indirect comparison</w:t>
      </w:r>
    </w:p>
    <w:tbl>
      <w:tblPr>
        <w:tblStyle w:val="TableGrid"/>
        <w:tblW w:w="8363" w:type="dxa"/>
        <w:tblInd w:w="737" w:type="dxa"/>
        <w:tblLayout w:type="fixed"/>
        <w:tblCellMar>
          <w:left w:w="28" w:type="dxa"/>
          <w:right w:w="28" w:type="dxa"/>
        </w:tblCellMar>
        <w:tblLook w:val="04A0" w:firstRow="1" w:lastRow="0" w:firstColumn="1" w:lastColumn="0" w:noHBand="0" w:noVBand="1"/>
        <w:tblCaption w:val="Key features of the included evidence"/>
      </w:tblPr>
      <w:tblGrid>
        <w:gridCol w:w="949"/>
        <w:gridCol w:w="469"/>
        <w:gridCol w:w="2126"/>
        <w:gridCol w:w="709"/>
        <w:gridCol w:w="1134"/>
        <w:gridCol w:w="1559"/>
        <w:gridCol w:w="1417"/>
      </w:tblGrid>
      <w:tr w:rsidR="00595962" w:rsidRPr="00A541E3" w:rsidTr="00B16BB6">
        <w:tc>
          <w:tcPr>
            <w:tcW w:w="949" w:type="dxa"/>
            <w:vAlign w:val="center"/>
          </w:tcPr>
          <w:p w:rsidR="00595962" w:rsidRPr="005D6115" w:rsidRDefault="00595962" w:rsidP="00F9520B">
            <w:pPr>
              <w:jc w:val="left"/>
              <w:rPr>
                <w:rFonts w:ascii="Arial Narrow" w:hAnsi="Arial Narrow"/>
                <w:b/>
                <w:bCs/>
                <w:sz w:val="20"/>
              </w:rPr>
            </w:pPr>
            <w:r w:rsidRPr="005D6115">
              <w:rPr>
                <w:rFonts w:ascii="Arial Narrow" w:hAnsi="Arial Narrow"/>
                <w:b/>
                <w:bCs/>
                <w:sz w:val="20"/>
              </w:rPr>
              <w:t>Trial</w:t>
            </w:r>
          </w:p>
        </w:tc>
        <w:tc>
          <w:tcPr>
            <w:tcW w:w="469" w:type="dxa"/>
            <w:vAlign w:val="center"/>
          </w:tcPr>
          <w:p w:rsidR="00595962" w:rsidRPr="00A541E3" w:rsidRDefault="00595962" w:rsidP="00F9520B">
            <w:pPr>
              <w:jc w:val="center"/>
              <w:rPr>
                <w:rFonts w:ascii="Arial Narrow" w:hAnsi="Arial Narrow"/>
                <w:b/>
                <w:bCs/>
                <w:sz w:val="20"/>
              </w:rPr>
            </w:pPr>
            <w:r w:rsidRPr="00A541E3">
              <w:rPr>
                <w:rFonts w:ascii="Arial Narrow" w:hAnsi="Arial Narrow"/>
                <w:b/>
                <w:bCs/>
                <w:sz w:val="20"/>
              </w:rPr>
              <w:t>N</w:t>
            </w:r>
          </w:p>
        </w:tc>
        <w:tc>
          <w:tcPr>
            <w:tcW w:w="2126" w:type="dxa"/>
            <w:vAlign w:val="center"/>
          </w:tcPr>
          <w:p w:rsidR="00595962" w:rsidRPr="00A541E3" w:rsidRDefault="00595962" w:rsidP="00F9520B">
            <w:pPr>
              <w:jc w:val="center"/>
              <w:rPr>
                <w:rFonts w:ascii="Arial Narrow" w:hAnsi="Arial Narrow"/>
                <w:b/>
                <w:bCs/>
                <w:sz w:val="20"/>
              </w:rPr>
            </w:pPr>
            <w:r w:rsidRPr="00A541E3">
              <w:rPr>
                <w:rFonts w:ascii="Arial Narrow" w:hAnsi="Arial Narrow"/>
                <w:b/>
                <w:bCs/>
                <w:sz w:val="20"/>
              </w:rPr>
              <w:t>Design / duration</w:t>
            </w:r>
          </w:p>
        </w:tc>
        <w:tc>
          <w:tcPr>
            <w:tcW w:w="709" w:type="dxa"/>
            <w:vAlign w:val="center"/>
          </w:tcPr>
          <w:p w:rsidR="00595962" w:rsidRPr="00A541E3" w:rsidRDefault="00595962" w:rsidP="00F9520B">
            <w:pPr>
              <w:jc w:val="center"/>
              <w:rPr>
                <w:rFonts w:ascii="Arial Narrow" w:hAnsi="Arial Narrow"/>
                <w:b/>
                <w:bCs/>
                <w:sz w:val="20"/>
              </w:rPr>
            </w:pPr>
            <w:r w:rsidRPr="00A541E3">
              <w:rPr>
                <w:rFonts w:ascii="Arial Narrow" w:hAnsi="Arial Narrow"/>
                <w:b/>
                <w:bCs/>
                <w:sz w:val="20"/>
              </w:rPr>
              <w:t>Risk of bias</w:t>
            </w:r>
          </w:p>
        </w:tc>
        <w:tc>
          <w:tcPr>
            <w:tcW w:w="1134" w:type="dxa"/>
            <w:vAlign w:val="center"/>
          </w:tcPr>
          <w:p w:rsidR="00595962" w:rsidRPr="00A541E3" w:rsidRDefault="00595962" w:rsidP="00F9520B">
            <w:pPr>
              <w:jc w:val="center"/>
              <w:rPr>
                <w:rFonts w:ascii="Arial Narrow" w:hAnsi="Arial Narrow"/>
                <w:b/>
                <w:bCs/>
                <w:sz w:val="20"/>
              </w:rPr>
            </w:pPr>
            <w:r w:rsidRPr="00A541E3">
              <w:rPr>
                <w:rFonts w:ascii="Arial Narrow" w:hAnsi="Arial Narrow"/>
                <w:b/>
                <w:bCs/>
                <w:sz w:val="20"/>
              </w:rPr>
              <w:t>Patient population</w:t>
            </w:r>
          </w:p>
        </w:tc>
        <w:tc>
          <w:tcPr>
            <w:tcW w:w="1559" w:type="dxa"/>
            <w:vAlign w:val="center"/>
          </w:tcPr>
          <w:p w:rsidR="00595962" w:rsidRPr="00A541E3" w:rsidRDefault="00595962" w:rsidP="00F9520B">
            <w:pPr>
              <w:jc w:val="center"/>
              <w:rPr>
                <w:rFonts w:ascii="Arial Narrow" w:hAnsi="Arial Narrow"/>
                <w:b/>
                <w:bCs/>
                <w:sz w:val="20"/>
              </w:rPr>
            </w:pPr>
            <w:r w:rsidRPr="00A541E3">
              <w:rPr>
                <w:rFonts w:ascii="Arial Narrow" w:hAnsi="Arial Narrow"/>
                <w:b/>
                <w:bCs/>
                <w:sz w:val="20"/>
              </w:rPr>
              <w:t>Outcome</w:t>
            </w:r>
            <w:r>
              <w:rPr>
                <w:rFonts w:ascii="Arial Narrow" w:hAnsi="Arial Narrow"/>
                <w:b/>
                <w:bCs/>
                <w:sz w:val="20"/>
              </w:rPr>
              <w:t>(</w:t>
            </w:r>
            <w:r w:rsidRPr="00A541E3">
              <w:rPr>
                <w:rFonts w:ascii="Arial Narrow" w:hAnsi="Arial Narrow"/>
                <w:b/>
                <w:bCs/>
                <w:sz w:val="20"/>
              </w:rPr>
              <w:t>s</w:t>
            </w:r>
            <w:r>
              <w:rPr>
                <w:rFonts w:ascii="Arial Narrow" w:hAnsi="Arial Narrow"/>
                <w:b/>
                <w:bCs/>
                <w:sz w:val="20"/>
              </w:rPr>
              <w:t>)</w:t>
            </w:r>
          </w:p>
        </w:tc>
        <w:tc>
          <w:tcPr>
            <w:tcW w:w="1417" w:type="dxa"/>
            <w:vAlign w:val="center"/>
          </w:tcPr>
          <w:p w:rsidR="00595962" w:rsidRPr="00A541E3" w:rsidRDefault="00595962" w:rsidP="00F9520B">
            <w:pPr>
              <w:jc w:val="center"/>
              <w:rPr>
                <w:rFonts w:ascii="Arial Narrow" w:hAnsi="Arial Narrow"/>
                <w:b/>
                <w:bCs/>
                <w:sz w:val="20"/>
              </w:rPr>
            </w:pPr>
            <w:r w:rsidRPr="00A541E3">
              <w:rPr>
                <w:rFonts w:ascii="Arial Narrow" w:hAnsi="Arial Narrow"/>
                <w:b/>
                <w:bCs/>
                <w:sz w:val="20"/>
              </w:rPr>
              <w:t>Use in modelled evaluation</w:t>
            </w:r>
          </w:p>
        </w:tc>
      </w:tr>
      <w:tr w:rsidR="00595962" w:rsidRPr="00A541E3" w:rsidTr="00B16BB6">
        <w:trPr>
          <w:trHeight w:val="379"/>
        </w:trPr>
        <w:tc>
          <w:tcPr>
            <w:tcW w:w="8363" w:type="dxa"/>
            <w:gridSpan w:val="7"/>
            <w:vAlign w:val="center"/>
          </w:tcPr>
          <w:p w:rsidR="00595962" w:rsidRPr="00FB23D4" w:rsidRDefault="00595962" w:rsidP="00F9520B">
            <w:pPr>
              <w:jc w:val="left"/>
              <w:rPr>
                <w:rFonts w:ascii="Arial Narrow" w:hAnsi="Arial Narrow"/>
                <w:b/>
                <w:bCs/>
                <w:sz w:val="20"/>
              </w:rPr>
            </w:pPr>
            <w:proofErr w:type="spellStart"/>
            <w:r w:rsidRPr="00FB23D4">
              <w:rPr>
                <w:rFonts w:ascii="Arial Narrow" w:hAnsi="Arial Narrow"/>
                <w:b/>
                <w:bCs/>
                <w:sz w:val="20"/>
              </w:rPr>
              <w:t>Apremilast</w:t>
            </w:r>
            <w:proofErr w:type="spellEnd"/>
            <w:r w:rsidRPr="00FB23D4">
              <w:rPr>
                <w:rFonts w:ascii="Arial Narrow" w:hAnsi="Arial Narrow"/>
                <w:b/>
                <w:bCs/>
                <w:sz w:val="20"/>
              </w:rPr>
              <w:t xml:space="preserve"> vs. placebo</w:t>
            </w:r>
          </w:p>
        </w:tc>
      </w:tr>
      <w:tr w:rsidR="00595962" w:rsidRPr="00A541E3" w:rsidTr="00B16BB6">
        <w:trPr>
          <w:trHeight w:val="379"/>
        </w:trPr>
        <w:tc>
          <w:tcPr>
            <w:tcW w:w="949" w:type="dxa"/>
            <w:vAlign w:val="center"/>
          </w:tcPr>
          <w:p w:rsidR="00595962" w:rsidRPr="00A541E3" w:rsidRDefault="00595962" w:rsidP="00F9520B">
            <w:pPr>
              <w:jc w:val="left"/>
              <w:rPr>
                <w:rFonts w:ascii="Arial Narrow" w:hAnsi="Arial Narrow"/>
                <w:sz w:val="20"/>
              </w:rPr>
            </w:pPr>
            <w:r>
              <w:rPr>
                <w:rFonts w:ascii="Arial Narrow" w:hAnsi="Arial Narrow"/>
                <w:sz w:val="20"/>
              </w:rPr>
              <w:t>PALACE 1</w:t>
            </w:r>
          </w:p>
        </w:tc>
        <w:tc>
          <w:tcPr>
            <w:tcW w:w="469" w:type="dxa"/>
            <w:vAlign w:val="center"/>
          </w:tcPr>
          <w:p w:rsidR="00595962" w:rsidRPr="00A541E3" w:rsidRDefault="00595962" w:rsidP="00F9520B">
            <w:pPr>
              <w:jc w:val="center"/>
              <w:rPr>
                <w:rFonts w:ascii="Arial Narrow" w:hAnsi="Arial Narrow"/>
                <w:sz w:val="20"/>
              </w:rPr>
            </w:pPr>
            <w:r>
              <w:rPr>
                <w:rFonts w:ascii="Arial Narrow" w:hAnsi="Arial Narrow"/>
                <w:sz w:val="20"/>
              </w:rPr>
              <w:t>336</w:t>
            </w:r>
          </w:p>
        </w:tc>
        <w:tc>
          <w:tcPr>
            <w:tcW w:w="2126" w:type="dxa"/>
            <w:vMerge w:val="restart"/>
            <w:vAlign w:val="center"/>
          </w:tcPr>
          <w:p w:rsidR="00595962" w:rsidRDefault="00595962" w:rsidP="00F9520B">
            <w:pPr>
              <w:jc w:val="left"/>
              <w:rPr>
                <w:rFonts w:ascii="Arial Narrow" w:hAnsi="Arial Narrow"/>
                <w:sz w:val="20"/>
              </w:rPr>
            </w:pPr>
            <w:r>
              <w:rPr>
                <w:rFonts w:ascii="Arial Narrow" w:hAnsi="Arial Narrow"/>
                <w:sz w:val="20"/>
              </w:rPr>
              <w:t>Three arm, two phase trial.</w:t>
            </w:r>
          </w:p>
          <w:p w:rsidR="00595962" w:rsidRPr="00F702EC" w:rsidRDefault="00595962" w:rsidP="00582D67">
            <w:pPr>
              <w:pStyle w:val="ListParagraph"/>
              <w:numPr>
                <w:ilvl w:val="0"/>
                <w:numId w:val="11"/>
              </w:numPr>
              <w:ind w:left="256" w:hanging="256"/>
              <w:jc w:val="left"/>
              <w:rPr>
                <w:rFonts w:ascii="Arial Narrow" w:hAnsi="Arial Narrow"/>
                <w:sz w:val="20"/>
              </w:rPr>
            </w:pPr>
            <w:r w:rsidRPr="00F702EC">
              <w:rPr>
                <w:rFonts w:ascii="Arial Narrow" w:hAnsi="Arial Narrow"/>
                <w:sz w:val="20"/>
              </w:rPr>
              <w:t>Phase one: (1:1:1) R,DB,PC (24wk)</w:t>
            </w:r>
          </w:p>
          <w:p w:rsidR="00595962" w:rsidRPr="00F702EC" w:rsidRDefault="00595962" w:rsidP="00582D67">
            <w:pPr>
              <w:pStyle w:val="ListParagraph"/>
              <w:numPr>
                <w:ilvl w:val="0"/>
                <w:numId w:val="11"/>
              </w:numPr>
              <w:ind w:left="256" w:hanging="256"/>
              <w:jc w:val="left"/>
              <w:rPr>
                <w:rFonts w:ascii="Arial Narrow" w:hAnsi="Arial Narrow"/>
                <w:sz w:val="20"/>
              </w:rPr>
            </w:pPr>
            <w:r w:rsidRPr="00F702EC">
              <w:rPr>
                <w:rFonts w:ascii="Arial Narrow" w:hAnsi="Arial Narrow"/>
                <w:sz w:val="20"/>
              </w:rPr>
              <w:t>Phase two: active treatment / long-term safety</w:t>
            </w:r>
            <w:r w:rsidRPr="00F702EC">
              <w:rPr>
                <w:rFonts w:ascii="Arial Narrow" w:hAnsi="Arial Narrow"/>
                <w:sz w:val="20"/>
                <w:vertAlign w:val="superscript"/>
              </w:rPr>
              <w:t xml:space="preserve"> </w:t>
            </w:r>
            <w:r w:rsidRPr="00F702EC">
              <w:rPr>
                <w:rFonts w:ascii="Arial Narrow" w:hAnsi="Arial Narrow"/>
                <w:sz w:val="20"/>
              </w:rPr>
              <w:t>(236wk)</w:t>
            </w:r>
          </w:p>
        </w:tc>
        <w:tc>
          <w:tcPr>
            <w:tcW w:w="709" w:type="dxa"/>
            <w:vMerge w:val="restart"/>
            <w:vAlign w:val="center"/>
          </w:tcPr>
          <w:p w:rsidR="00595962" w:rsidRPr="00A541E3" w:rsidRDefault="00595962" w:rsidP="00F9520B">
            <w:pPr>
              <w:jc w:val="center"/>
              <w:rPr>
                <w:rFonts w:ascii="Arial Narrow" w:hAnsi="Arial Narrow"/>
                <w:sz w:val="20"/>
              </w:rPr>
            </w:pPr>
            <w:r>
              <w:rPr>
                <w:rFonts w:ascii="Arial Narrow" w:hAnsi="Arial Narrow"/>
                <w:sz w:val="20"/>
              </w:rPr>
              <w:t>Phase 1: low</w:t>
            </w:r>
          </w:p>
        </w:tc>
        <w:tc>
          <w:tcPr>
            <w:tcW w:w="1134" w:type="dxa"/>
            <w:vMerge w:val="restart"/>
            <w:vAlign w:val="center"/>
          </w:tcPr>
          <w:p w:rsidR="00595962" w:rsidRPr="008D3FAF" w:rsidRDefault="00595962" w:rsidP="00F9520B">
            <w:pPr>
              <w:jc w:val="center"/>
              <w:rPr>
                <w:rFonts w:ascii="Arial Narrow" w:hAnsi="Arial Narrow"/>
                <w:sz w:val="20"/>
              </w:rPr>
            </w:pPr>
            <w:proofErr w:type="spellStart"/>
            <w:r w:rsidRPr="008D3FAF">
              <w:rPr>
                <w:rFonts w:ascii="Arial Narrow" w:hAnsi="Arial Narrow" w:cstheme="minorBidi"/>
                <w:sz w:val="20"/>
              </w:rPr>
              <w:t>PsA</w:t>
            </w:r>
            <w:proofErr w:type="spellEnd"/>
            <w:r w:rsidRPr="008D3FAF">
              <w:rPr>
                <w:rFonts w:ascii="Arial Narrow" w:hAnsi="Arial Narrow" w:cstheme="minorBidi"/>
                <w:sz w:val="20"/>
              </w:rPr>
              <w:t xml:space="preserve"> </w:t>
            </w:r>
            <w:r>
              <w:rPr>
                <w:rFonts w:ascii="Arial Narrow" w:hAnsi="Arial Narrow" w:cstheme="minorBidi"/>
                <w:sz w:val="20"/>
              </w:rPr>
              <w:t>(</w:t>
            </w:r>
            <w:r w:rsidRPr="008D3FAF">
              <w:rPr>
                <w:rFonts w:ascii="Arial Narrow" w:hAnsi="Arial Narrow" w:cstheme="minorBidi"/>
                <w:sz w:val="20"/>
                <w:u w:val="single"/>
              </w:rPr>
              <w:t>&gt;</w:t>
            </w:r>
            <w:r w:rsidRPr="008D3FAF">
              <w:rPr>
                <w:rFonts w:ascii="Arial Narrow" w:hAnsi="Arial Narrow" w:cstheme="minorBidi"/>
                <w:sz w:val="20"/>
              </w:rPr>
              <w:t xml:space="preserve">3 swollen and </w:t>
            </w:r>
            <w:r w:rsidRPr="008D3FAF">
              <w:rPr>
                <w:rFonts w:ascii="Arial Narrow" w:hAnsi="Arial Narrow" w:cstheme="minorBidi"/>
                <w:sz w:val="20"/>
                <w:u w:val="single"/>
              </w:rPr>
              <w:t>&gt;</w:t>
            </w:r>
            <w:r w:rsidRPr="008D3FAF">
              <w:rPr>
                <w:rFonts w:ascii="Arial Narrow" w:hAnsi="Arial Narrow" w:cstheme="minorBidi"/>
                <w:sz w:val="20"/>
              </w:rPr>
              <w:t>3 tender joints</w:t>
            </w:r>
            <w:r w:rsidRPr="008D3FAF">
              <w:rPr>
                <w:rFonts w:ascii="Arial Narrow" w:hAnsi="Arial Narrow"/>
                <w:sz w:val="20"/>
              </w:rPr>
              <w:t>)</w:t>
            </w:r>
          </w:p>
        </w:tc>
        <w:tc>
          <w:tcPr>
            <w:tcW w:w="1559" w:type="dxa"/>
            <w:vMerge w:val="restart"/>
            <w:vAlign w:val="center"/>
          </w:tcPr>
          <w:p w:rsidR="00595962" w:rsidRPr="00FE0921" w:rsidRDefault="00595962" w:rsidP="00F9520B">
            <w:pPr>
              <w:jc w:val="center"/>
              <w:rPr>
                <w:rFonts w:ascii="Arial Narrow" w:hAnsi="Arial Narrow"/>
                <w:sz w:val="20"/>
                <w:szCs w:val="16"/>
              </w:rPr>
            </w:pPr>
            <w:r w:rsidRPr="00FE0921">
              <w:rPr>
                <w:rFonts w:ascii="Arial Narrow" w:hAnsi="Arial Narrow"/>
                <w:sz w:val="20"/>
                <w:szCs w:val="16"/>
              </w:rPr>
              <w:t>1°: ACR20 (wk16)</w:t>
            </w:r>
          </w:p>
          <w:p w:rsidR="00595962" w:rsidRPr="001E0083" w:rsidRDefault="00595962" w:rsidP="00F9520B">
            <w:pPr>
              <w:jc w:val="center"/>
              <w:rPr>
                <w:rFonts w:ascii="Arial Narrow" w:hAnsi="Arial Narrow"/>
                <w:sz w:val="20"/>
                <w:szCs w:val="16"/>
              </w:rPr>
            </w:pPr>
            <w:r w:rsidRPr="001E0083">
              <w:rPr>
                <w:rFonts w:ascii="Arial Narrow" w:hAnsi="Arial Narrow"/>
                <w:sz w:val="20"/>
                <w:szCs w:val="16"/>
              </w:rPr>
              <w:t>2°:</w:t>
            </w:r>
            <w:r w:rsidR="00C53566" w:rsidRPr="001E0083">
              <w:rPr>
                <w:rFonts w:ascii="Arial Narrow" w:hAnsi="Arial Narrow"/>
                <w:sz w:val="20"/>
                <w:szCs w:val="16"/>
              </w:rPr>
              <w:t xml:space="preserve"> </w:t>
            </w:r>
            <w:r w:rsidR="001E0083" w:rsidRPr="001E0083">
              <w:rPr>
                <w:rFonts w:ascii="Arial Narrow" w:hAnsi="Arial Narrow"/>
                <w:sz w:val="20"/>
                <w:szCs w:val="16"/>
              </w:rPr>
              <w:t>ACR20 (</w:t>
            </w:r>
            <w:proofErr w:type="spellStart"/>
            <w:r w:rsidR="001E0083" w:rsidRPr="001E0083">
              <w:rPr>
                <w:rFonts w:ascii="Arial Narrow" w:hAnsi="Arial Narrow"/>
                <w:sz w:val="20"/>
                <w:szCs w:val="16"/>
              </w:rPr>
              <w:t>wk</w:t>
            </w:r>
            <w:proofErr w:type="spellEnd"/>
            <w:r w:rsidR="001E0083" w:rsidRPr="001E0083">
              <w:rPr>
                <w:rFonts w:ascii="Arial Narrow" w:hAnsi="Arial Narrow"/>
                <w:sz w:val="20"/>
                <w:szCs w:val="16"/>
              </w:rPr>
              <w:t xml:space="preserve"> 24), </w:t>
            </w:r>
            <w:r w:rsidR="00C53566" w:rsidRPr="001E0083">
              <w:rPr>
                <w:rFonts w:ascii="Arial Narrow" w:hAnsi="Arial Narrow"/>
                <w:sz w:val="20"/>
                <w:szCs w:val="16"/>
              </w:rPr>
              <w:t>ACR50,</w:t>
            </w:r>
            <w:r w:rsidRPr="001E0083">
              <w:rPr>
                <w:rFonts w:ascii="Arial Narrow" w:hAnsi="Arial Narrow"/>
                <w:sz w:val="20"/>
                <w:szCs w:val="16"/>
              </w:rPr>
              <w:t xml:space="preserve"> </w:t>
            </w:r>
            <w:r w:rsidR="001E0083" w:rsidRPr="001E0083">
              <w:rPr>
                <w:rFonts w:ascii="Arial Narrow" w:hAnsi="Arial Narrow"/>
                <w:sz w:val="20"/>
                <w:szCs w:val="16"/>
              </w:rPr>
              <w:t xml:space="preserve">ACR70, </w:t>
            </w:r>
            <w:r w:rsidRPr="001E0083">
              <w:rPr>
                <w:rFonts w:ascii="Arial Narrow" w:hAnsi="Arial Narrow"/>
                <w:sz w:val="20"/>
                <w:szCs w:val="16"/>
              </w:rPr>
              <w:t xml:space="preserve">HAQ-DI, modified </w:t>
            </w:r>
            <w:proofErr w:type="spellStart"/>
            <w:r w:rsidRPr="001E0083">
              <w:rPr>
                <w:rFonts w:ascii="Arial Narrow" w:hAnsi="Arial Narrow"/>
                <w:sz w:val="20"/>
                <w:szCs w:val="16"/>
              </w:rPr>
              <w:t>PsARC</w:t>
            </w:r>
            <w:proofErr w:type="spellEnd"/>
            <w:r w:rsidRPr="001E0083">
              <w:rPr>
                <w:rFonts w:ascii="Arial Narrow" w:hAnsi="Arial Narrow"/>
                <w:sz w:val="20"/>
                <w:szCs w:val="16"/>
              </w:rPr>
              <w:t xml:space="preserve">, PASI; </w:t>
            </w:r>
            <w:proofErr w:type="spellStart"/>
            <w:r w:rsidRPr="001E0083">
              <w:rPr>
                <w:rFonts w:ascii="Arial Narrow" w:hAnsi="Arial Narrow"/>
                <w:sz w:val="20"/>
                <w:szCs w:val="16"/>
              </w:rPr>
              <w:t>QoL</w:t>
            </w:r>
            <w:proofErr w:type="spellEnd"/>
            <w:r w:rsidRPr="001E0083">
              <w:rPr>
                <w:rFonts w:ascii="Arial Narrow" w:hAnsi="Arial Narrow"/>
                <w:sz w:val="20"/>
                <w:szCs w:val="16"/>
              </w:rPr>
              <w:t xml:space="preserve"> </w:t>
            </w:r>
          </w:p>
        </w:tc>
        <w:tc>
          <w:tcPr>
            <w:tcW w:w="1417" w:type="dxa"/>
            <w:vMerge w:val="restart"/>
            <w:vAlign w:val="center"/>
          </w:tcPr>
          <w:p w:rsidR="00595962" w:rsidRPr="00E9539D" w:rsidRDefault="00595962" w:rsidP="00F9520B">
            <w:pPr>
              <w:jc w:val="center"/>
              <w:rPr>
                <w:rFonts w:ascii="Arial Narrow" w:hAnsi="Arial Narrow"/>
                <w:sz w:val="20"/>
              </w:rPr>
            </w:pPr>
            <w:r w:rsidRPr="00E9539D">
              <w:rPr>
                <w:rFonts w:ascii="Arial Narrow" w:hAnsi="Arial Narrow"/>
                <w:sz w:val="20"/>
              </w:rPr>
              <w:t xml:space="preserve">Initial response: </w:t>
            </w:r>
          </w:p>
          <w:p w:rsidR="00595962" w:rsidRDefault="00595962" w:rsidP="00F9520B">
            <w:pPr>
              <w:jc w:val="center"/>
              <w:rPr>
                <w:rFonts w:ascii="Arial Narrow" w:hAnsi="Arial Narrow"/>
                <w:sz w:val="20"/>
              </w:rPr>
            </w:pPr>
            <w:r>
              <w:rPr>
                <w:rFonts w:ascii="Arial Narrow" w:hAnsi="Arial Narrow"/>
                <w:sz w:val="20"/>
              </w:rPr>
              <w:t>ACR5</w:t>
            </w:r>
            <w:r w:rsidRPr="00E9539D">
              <w:rPr>
                <w:rFonts w:ascii="Arial Narrow" w:hAnsi="Arial Narrow"/>
                <w:sz w:val="20"/>
              </w:rPr>
              <w:t>0 (16wk</w:t>
            </w:r>
            <w:r>
              <w:rPr>
                <w:rFonts w:ascii="Arial Narrow" w:hAnsi="Arial Narrow"/>
                <w:sz w:val="20"/>
              </w:rPr>
              <w:t xml:space="preserve">) </w:t>
            </w:r>
          </w:p>
          <w:p w:rsidR="00595962" w:rsidRDefault="00595962" w:rsidP="00F9520B">
            <w:pPr>
              <w:jc w:val="center"/>
              <w:rPr>
                <w:rFonts w:ascii="Arial Narrow" w:hAnsi="Arial Narrow"/>
                <w:sz w:val="20"/>
              </w:rPr>
            </w:pPr>
            <w:r>
              <w:rPr>
                <w:rFonts w:ascii="Arial Narrow" w:hAnsi="Arial Narrow"/>
                <w:sz w:val="20"/>
              </w:rPr>
              <w:t>pooled</w:t>
            </w:r>
          </w:p>
          <w:p w:rsidR="00595962" w:rsidRPr="00A541E3" w:rsidRDefault="00595962" w:rsidP="00F9520B">
            <w:pPr>
              <w:jc w:val="center"/>
              <w:rPr>
                <w:rFonts w:ascii="Arial Narrow" w:hAnsi="Arial Narrow"/>
                <w:sz w:val="20"/>
              </w:rPr>
            </w:pPr>
            <w:r>
              <w:rPr>
                <w:rFonts w:ascii="Arial Narrow" w:hAnsi="Arial Narrow"/>
                <w:sz w:val="20"/>
              </w:rPr>
              <w:t>Utility</w:t>
            </w:r>
            <w:r w:rsidRPr="00395875">
              <w:rPr>
                <w:rFonts w:ascii="Arial Narrow" w:hAnsi="Arial Narrow"/>
                <w:sz w:val="20"/>
              </w:rPr>
              <w:t>: EQ-5D pooled</w:t>
            </w:r>
          </w:p>
        </w:tc>
      </w:tr>
      <w:tr w:rsidR="00595962" w:rsidRPr="00A541E3" w:rsidTr="00B16BB6">
        <w:trPr>
          <w:trHeight w:val="413"/>
        </w:trPr>
        <w:tc>
          <w:tcPr>
            <w:tcW w:w="949" w:type="dxa"/>
            <w:vAlign w:val="center"/>
          </w:tcPr>
          <w:p w:rsidR="00595962" w:rsidRPr="00A541E3" w:rsidRDefault="00595962" w:rsidP="00F9520B">
            <w:pPr>
              <w:jc w:val="left"/>
              <w:rPr>
                <w:rFonts w:ascii="Arial Narrow" w:hAnsi="Arial Narrow"/>
                <w:sz w:val="20"/>
              </w:rPr>
            </w:pPr>
            <w:r>
              <w:rPr>
                <w:rFonts w:ascii="Arial Narrow" w:hAnsi="Arial Narrow"/>
                <w:sz w:val="20"/>
              </w:rPr>
              <w:t>PALACE 2</w:t>
            </w:r>
          </w:p>
        </w:tc>
        <w:tc>
          <w:tcPr>
            <w:tcW w:w="469" w:type="dxa"/>
            <w:vAlign w:val="center"/>
          </w:tcPr>
          <w:p w:rsidR="00595962" w:rsidRPr="00A541E3" w:rsidRDefault="00595962" w:rsidP="00F9520B">
            <w:pPr>
              <w:jc w:val="center"/>
              <w:rPr>
                <w:rFonts w:ascii="Arial Narrow" w:hAnsi="Arial Narrow"/>
                <w:sz w:val="20"/>
              </w:rPr>
            </w:pPr>
            <w:r>
              <w:rPr>
                <w:rFonts w:ascii="Arial Narrow" w:hAnsi="Arial Narrow"/>
                <w:sz w:val="20"/>
              </w:rPr>
              <w:t>321</w:t>
            </w:r>
          </w:p>
        </w:tc>
        <w:tc>
          <w:tcPr>
            <w:tcW w:w="2126" w:type="dxa"/>
            <w:vMerge/>
            <w:vAlign w:val="center"/>
          </w:tcPr>
          <w:p w:rsidR="00595962" w:rsidRPr="00A541E3" w:rsidRDefault="00595962" w:rsidP="00F9520B">
            <w:pPr>
              <w:ind w:left="114"/>
              <w:jc w:val="left"/>
              <w:rPr>
                <w:rFonts w:ascii="Arial Narrow" w:hAnsi="Arial Narrow"/>
                <w:sz w:val="20"/>
              </w:rPr>
            </w:pPr>
          </w:p>
        </w:tc>
        <w:tc>
          <w:tcPr>
            <w:tcW w:w="709" w:type="dxa"/>
            <w:vMerge/>
            <w:vAlign w:val="center"/>
          </w:tcPr>
          <w:p w:rsidR="00595962" w:rsidRPr="00A541E3" w:rsidRDefault="00595962" w:rsidP="00F9520B">
            <w:pPr>
              <w:jc w:val="center"/>
              <w:rPr>
                <w:rFonts w:ascii="Arial Narrow" w:hAnsi="Arial Narrow"/>
                <w:sz w:val="20"/>
              </w:rPr>
            </w:pPr>
          </w:p>
        </w:tc>
        <w:tc>
          <w:tcPr>
            <w:tcW w:w="1134" w:type="dxa"/>
            <w:vMerge/>
            <w:vAlign w:val="center"/>
          </w:tcPr>
          <w:p w:rsidR="00595962" w:rsidRPr="00A541E3" w:rsidRDefault="00595962" w:rsidP="00F9520B">
            <w:pPr>
              <w:jc w:val="center"/>
              <w:rPr>
                <w:rFonts w:ascii="Arial Narrow" w:hAnsi="Arial Narrow"/>
                <w:sz w:val="20"/>
              </w:rPr>
            </w:pPr>
          </w:p>
        </w:tc>
        <w:tc>
          <w:tcPr>
            <w:tcW w:w="1559" w:type="dxa"/>
            <w:vMerge/>
            <w:vAlign w:val="center"/>
          </w:tcPr>
          <w:p w:rsidR="00595962" w:rsidRPr="00A541E3" w:rsidRDefault="00595962" w:rsidP="00F9520B">
            <w:pPr>
              <w:jc w:val="center"/>
              <w:rPr>
                <w:rFonts w:ascii="Arial Narrow" w:hAnsi="Arial Narrow"/>
                <w:sz w:val="20"/>
              </w:rPr>
            </w:pPr>
          </w:p>
        </w:tc>
        <w:tc>
          <w:tcPr>
            <w:tcW w:w="1417" w:type="dxa"/>
            <w:vMerge/>
            <w:vAlign w:val="center"/>
          </w:tcPr>
          <w:p w:rsidR="00595962" w:rsidRPr="00A541E3" w:rsidRDefault="00595962" w:rsidP="00F9520B">
            <w:pPr>
              <w:jc w:val="center"/>
              <w:rPr>
                <w:rFonts w:ascii="Arial Narrow" w:hAnsi="Arial Narrow"/>
                <w:sz w:val="20"/>
              </w:rPr>
            </w:pPr>
          </w:p>
        </w:tc>
      </w:tr>
      <w:tr w:rsidR="00595962" w:rsidRPr="00A541E3" w:rsidTr="00B16BB6">
        <w:trPr>
          <w:trHeight w:val="354"/>
        </w:trPr>
        <w:tc>
          <w:tcPr>
            <w:tcW w:w="949" w:type="dxa"/>
            <w:tcBorders>
              <w:bottom w:val="single" w:sz="4" w:space="0" w:color="auto"/>
            </w:tcBorders>
            <w:vAlign w:val="center"/>
          </w:tcPr>
          <w:p w:rsidR="00595962" w:rsidRDefault="00595962" w:rsidP="00F9520B">
            <w:pPr>
              <w:jc w:val="left"/>
              <w:rPr>
                <w:rFonts w:ascii="Arial Narrow" w:hAnsi="Arial Narrow"/>
                <w:sz w:val="20"/>
              </w:rPr>
            </w:pPr>
            <w:r>
              <w:rPr>
                <w:rFonts w:ascii="Arial Narrow" w:hAnsi="Arial Narrow"/>
                <w:sz w:val="20"/>
              </w:rPr>
              <w:t>PALACE 3</w:t>
            </w:r>
          </w:p>
        </w:tc>
        <w:tc>
          <w:tcPr>
            <w:tcW w:w="469" w:type="dxa"/>
            <w:tcBorders>
              <w:bottom w:val="single" w:sz="4" w:space="0" w:color="auto"/>
            </w:tcBorders>
            <w:vAlign w:val="center"/>
          </w:tcPr>
          <w:p w:rsidR="00595962" w:rsidRDefault="00595962" w:rsidP="00F9520B">
            <w:pPr>
              <w:jc w:val="center"/>
              <w:rPr>
                <w:rFonts w:ascii="Arial Narrow" w:hAnsi="Arial Narrow"/>
                <w:sz w:val="20"/>
              </w:rPr>
            </w:pPr>
            <w:r>
              <w:rPr>
                <w:rFonts w:ascii="Arial Narrow" w:hAnsi="Arial Narrow"/>
                <w:sz w:val="20"/>
              </w:rPr>
              <w:t>336</w:t>
            </w:r>
          </w:p>
        </w:tc>
        <w:tc>
          <w:tcPr>
            <w:tcW w:w="2126" w:type="dxa"/>
            <w:vMerge/>
            <w:tcBorders>
              <w:bottom w:val="single" w:sz="4" w:space="0" w:color="auto"/>
            </w:tcBorders>
            <w:vAlign w:val="center"/>
          </w:tcPr>
          <w:p w:rsidR="00595962" w:rsidRPr="00A541E3" w:rsidRDefault="00595962" w:rsidP="00F9520B">
            <w:pPr>
              <w:ind w:left="114"/>
              <w:jc w:val="left"/>
              <w:rPr>
                <w:rFonts w:ascii="Arial Narrow" w:hAnsi="Arial Narrow"/>
                <w:sz w:val="20"/>
              </w:rPr>
            </w:pPr>
          </w:p>
        </w:tc>
        <w:tc>
          <w:tcPr>
            <w:tcW w:w="709" w:type="dxa"/>
            <w:vMerge/>
            <w:tcBorders>
              <w:bottom w:val="single" w:sz="4" w:space="0" w:color="auto"/>
            </w:tcBorders>
            <w:vAlign w:val="center"/>
          </w:tcPr>
          <w:p w:rsidR="00595962" w:rsidRPr="00A541E3" w:rsidRDefault="00595962" w:rsidP="00F9520B">
            <w:pPr>
              <w:jc w:val="center"/>
              <w:rPr>
                <w:rFonts w:ascii="Arial Narrow" w:hAnsi="Arial Narrow"/>
                <w:sz w:val="20"/>
              </w:rPr>
            </w:pPr>
          </w:p>
        </w:tc>
        <w:tc>
          <w:tcPr>
            <w:tcW w:w="1134" w:type="dxa"/>
            <w:vMerge/>
            <w:tcBorders>
              <w:bottom w:val="single" w:sz="4" w:space="0" w:color="auto"/>
            </w:tcBorders>
            <w:vAlign w:val="center"/>
          </w:tcPr>
          <w:p w:rsidR="00595962" w:rsidRPr="00A541E3" w:rsidRDefault="00595962" w:rsidP="00F9520B">
            <w:pPr>
              <w:jc w:val="center"/>
              <w:rPr>
                <w:rFonts w:ascii="Arial Narrow" w:hAnsi="Arial Narrow"/>
                <w:sz w:val="20"/>
              </w:rPr>
            </w:pPr>
          </w:p>
        </w:tc>
        <w:tc>
          <w:tcPr>
            <w:tcW w:w="1559" w:type="dxa"/>
            <w:vMerge/>
            <w:tcBorders>
              <w:bottom w:val="single" w:sz="4" w:space="0" w:color="auto"/>
            </w:tcBorders>
            <w:vAlign w:val="center"/>
          </w:tcPr>
          <w:p w:rsidR="00595962" w:rsidRPr="00A541E3" w:rsidRDefault="00595962" w:rsidP="00F9520B">
            <w:pPr>
              <w:jc w:val="center"/>
              <w:rPr>
                <w:rFonts w:ascii="Arial Narrow" w:hAnsi="Arial Narrow"/>
                <w:sz w:val="20"/>
              </w:rPr>
            </w:pPr>
          </w:p>
        </w:tc>
        <w:tc>
          <w:tcPr>
            <w:tcW w:w="1417" w:type="dxa"/>
            <w:vMerge/>
            <w:tcBorders>
              <w:bottom w:val="single" w:sz="4" w:space="0" w:color="auto"/>
            </w:tcBorders>
            <w:vAlign w:val="center"/>
          </w:tcPr>
          <w:p w:rsidR="00595962" w:rsidRPr="00A541E3" w:rsidRDefault="00595962" w:rsidP="00F9520B">
            <w:pPr>
              <w:jc w:val="center"/>
              <w:rPr>
                <w:rFonts w:ascii="Arial Narrow" w:hAnsi="Arial Narrow"/>
                <w:sz w:val="20"/>
              </w:rPr>
            </w:pPr>
          </w:p>
        </w:tc>
      </w:tr>
      <w:tr w:rsidR="00595962" w:rsidRPr="00A541E3" w:rsidTr="00B16BB6">
        <w:tc>
          <w:tcPr>
            <w:tcW w:w="8363" w:type="dxa"/>
            <w:gridSpan w:val="7"/>
            <w:vAlign w:val="center"/>
          </w:tcPr>
          <w:p w:rsidR="00595962" w:rsidRPr="00E9321B" w:rsidRDefault="00595962" w:rsidP="00F9520B">
            <w:pPr>
              <w:jc w:val="left"/>
              <w:rPr>
                <w:rFonts w:ascii="Arial Narrow" w:hAnsi="Arial Narrow"/>
                <w:b/>
                <w:bCs/>
                <w:sz w:val="20"/>
              </w:rPr>
            </w:pPr>
            <w:r w:rsidRPr="00E9321B">
              <w:rPr>
                <w:rFonts w:ascii="Arial Narrow" w:hAnsi="Arial Narrow"/>
                <w:b/>
                <w:bCs/>
                <w:sz w:val="20"/>
              </w:rPr>
              <w:t>Adalimumab vs. placebo</w:t>
            </w:r>
          </w:p>
        </w:tc>
      </w:tr>
      <w:tr w:rsidR="00595962" w:rsidRPr="00A541E3" w:rsidTr="00B16BB6">
        <w:tc>
          <w:tcPr>
            <w:tcW w:w="949" w:type="dxa"/>
            <w:vAlign w:val="center"/>
          </w:tcPr>
          <w:p w:rsidR="00595962" w:rsidRPr="00A541E3" w:rsidRDefault="00595962" w:rsidP="00F9520B">
            <w:pPr>
              <w:jc w:val="left"/>
              <w:rPr>
                <w:rFonts w:ascii="Arial Narrow" w:hAnsi="Arial Narrow"/>
                <w:sz w:val="20"/>
              </w:rPr>
            </w:pPr>
            <w:proofErr w:type="spellStart"/>
            <w:r>
              <w:rPr>
                <w:rFonts w:ascii="Arial Narrow" w:hAnsi="Arial Narrow"/>
                <w:sz w:val="20"/>
              </w:rPr>
              <w:t>Mease</w:t>
            </w:r>
            <w:proofErr w:type="spellEnd"/>
            <w:r>
              <w:rPr>
                <w:rFonts w:ascii="Arial Narrow" w:hAnsi="Arial Narrow"/>
                <w:sz w:val="20"/>
              </w:rPr>
              <w:t xml:space="preserve"> 2005</w:t>
            </w:r>
          </w:p>
        </w:tc>
        <w:tc>
          <w:tcPr>
            <w:tcW w:w="469" w:type="dxa"/>
            <w:vAlign w:val="center"/>
          </w:tcPr>
          <w:p w:rsidR="00595962" w:rsidRPr="00A541E3" w:rsidRDefault="00595962" w:rsidP="00F9520B">
            <w:pPr>
              <w:jc w:val="center"/>
              <w:rPr>
                <w:rFonts w:ascii="Arial Narrow" w:hAnsi="Arial Narrow"/>
                <w:sz w:val="20"/>
              </w:rPr>
            </w:pPr>
            <w:r>
              <w:rPr>
                <w:rFonts w:ascii="Arial Narrow" w:hAnsi="Arial Narrow"/>
                <w:sz w:val="20"/>
              </w:rPr>
              <w:t>315</w:t>
            </w:r>
          </w:p>
        </w:tc>
        <w:tc>
          <w:tcPr>
            <w:tcW w:w="2126" w:type="dxa"/>
            <w:vAlign w:val="center"/>
          </w:tcPr>
          <w:p w:rsidR="00595962" w:rsidRDefault="00595962" w:rsidP="00F9520B">
            <w:pPr>
              <w:jc w:val="left"/>
              <w:rPr>
                <w:rFonts w:ascii="Arial Narrow" w:hAnsi="Arial Narrow"/>
                <w:sz w:val="20"/>
              </w:rPr>
            </w:pPr>
            <w:r>
              <w:rPr>
                <w:rFonts w:ascii="Arial Narrow" w:hAnsi="Arial Narrow"/>
                <w:sz w:val="20"/>
              </w:rPr>
              <w:t>Two arm, two phase trial.</w:t>
            </w:r>
          </w:p>
          <w:p w:rsidR="00595962" w:rsidRDefault="00595962" w:rsidP="00582D67">
            <w:pPr>
              <w:pStyle w:val="ListParagraph"/>
              <w:numPr>
                <w:ilvl w:val="0"/>
                <w:numId w:val="11"/>
              </w:numPr>
              <w:ind w:left="256" w:hanging="256"/>
              <w:jc w:val="left"/>
              <w:rPr>
                <w:rFonts w:ascii="Arial Narrow" w:hAnsi="Arial Narrow"/>
                <w:sz w:val="20"/>
              </w:rPr>
            </w:pPr>
            <w:r>
              <w:rPr>
                <w:rFonts w:ascii="Arial Narrow" w:hAnsi="Arial Narrow"/>
                <w:sz w:val="20"/>
              </w:rPr>
              <w:t>Phase one: R,DB,PC (24</w:t>
            </w:r>
            <w:r w:rsidRPr="00F702EC">
              <w:rPr>
                <w:rFonts w:ascii="Arial Narrow" w:hAnsi="Arial Narrow"/>
                <w:sz w:val="20"/>
              </w:rPr>
              <w:t>w</w:t>
            </w:r>
            <w:r>
              <w:rPr>
                <w:rFonts w:ascii="Arial Narrow" w:hAnsi="Arial Narrow"/>
                <w:sz w:val="20"/>
              </w:rPr>
              <w:t>k</w:t>
            </w:r>
            <w:r w:rsidRPr="00F702EC">
              <w:rPr>
                <w:rFonts w:ascii="Arial Narrow" w:hAnsi="Arial Narrow"/>
                <w:sz w:val="20"/>
              </w:rPr>
              <w:t>)</w:t>
            </w:r>
          </w:p>
          <w:p w:rsidR="00595962" w:rsidRPr="00DB0346" w:rsidRDefault="00595962" w:rsidP="00582D67">
            <w:pPr>
              <w:pStyle w:val="ListParagraph"/>
              <w:numPr>
                <w:ilvl w:val="0"/>
                <w:numId w:val="11"/>
              </w:numPr>
              <w:ind w:left="256" w:hanging="256"/>
              <w:jc w:val="left"/>
              <w:rPr>
                <w:rFonts w:ascii="Arial Narrow" w:hAnsi="Arial Narrow"/>
                <w:sz w:val="20"/>
              </w:rPr>
            </w:pPr>
            <w:r w:rsidRPr="00DB0346">
              <w:rPr>
                <w:rFonts w:ascii="Arial Narrow" w:hAnsi="Arial Narrow"/>
                <w:sz w:val="20"/>
              </w:rPr>
              <w:t>Phase two: OL active treatment</w:t>
            </w:r>
            <w:r w:rsidRPr="00DB0346">
              <w:rPr>
                <w:rFonts w:ascii="Arial Narrow" w:hAnsi="Arial Narrow"/>
                <w:sz w:val="20"/>
                <w:vertAlign w:val="superscript"/>
              </w:rPr>
              <w:t xml:space="preserve"> </w:t>
            </w:r>
            <w:r w:rsidRPr="00DB0346">
              <w:rPr>
                <w:rFonts w:ascii="Arial Narrow" w:hAnsi="Arial Narrow"/>
                <w:sz w:val="20"/>
              </w:rPr>
              <w:t>(12</w:t>
            </w:r>
            <w:r>
              <w:rPr>
                <w:rFonts w:ascii="Arial Narrow" w:hAnsi="Arial Narrow"/>
                <w:sz w:val="20"/>
              </w:rPr>
              <w:t>0</w:t>
            </w:r>
            <w:r w:rsidRPr="00DB0346">
              <w:rPr>
                <w:rFonts w:ascii="Arial Narrow" w:hAnsi="Arial Narrow"/>
                <w:sz w:val="20"/>
              </w:rPr>
              <w:t>wk</w:t>
            </w:r>
            <w:r>
              <w:rPr>
                <w:rFonts w:ascii="Arial Narrow" w:hAnsi="Arial Narrow"/>
                <w:sz w:val="20"/>
              </w:rPr>
              <w:t>s</w:t>
            </w:r>
            <w:r w:rsidRPr="00DB0346">
              <w:rPr>
                <w:rFonts w:ascii="Arial Narrow" w:hAnsi="Arial Narrow"/>
                <w:sz w:val="20"/>
              </w:rPr>
              <w:t>)</w:t>
            </w:r>
          </w:p>
        </w:tc>
        <w:tc>
          <w:tcPr>
            <w:tcW w:w="709" w:type="dxa"/>
            <w:vAlign w:val="center"/>
          </w:tcPr>
          <w:p w:rsidR="00595962" w:rsidRPr="00A541E3" w:rsidRDefault="00595962" w:rsidP="00F9520B">
            <w:pPr>
              <w:jc w:val="center"/>
              <w:rPr>
                <w:rFonts w:ascii="Arial Narrow" w:hAnsi="Arial Narrow"/>
                <w:sz w:val="20"/>
              </w:rPr>
            </w:pPr>
            <w:r>
              <w:rPr>
                <w:rFonts w:ascii="Arial Narrow" w:hAnsi="Arial Narrow"/>
                <w:sz w:val="20"/>
              </w:rPr>
              <w:t>Phase 1: Low</w:t>
            </w:r>
          </w:p>
        </w:tc>
        <w:tc>
          <w:tcPr>
            <w:tcW w:w="1134" w:type="dxa"/>
            <w:vAlign w:val="center"/>
          </w:tcPr>
          <w:p w:rsidR="00595962" w:rsidRPr="00A541E3" w:rsidRDefault="00595962" w:rsidP="00EF539F">
            <w:pPr>
              <w:jc w:val="center"/>
              <w:rPr>
                <w:rFonts w:ascii="Arial Narrow" w:hAnsi="Arial Narrow"/>
                <w:sz w:val="20"/>
              </w:rPr>
            </w:pPr>
            <w:proofErr w:type="spellStart"/>
            <w:r>
              <w:rPr>
                <w:rFonts w:ascii="Arial Narrow" w:hAnsi="Arial Narrow"/>
                <w:sz w:val="20"/>
              </w:rPr>
              <w:t>PsA</w:t>
            </w:r>
            <w:proofErr w:type="spellEnd"/>
            <w:r>
              <w:rPr>
                <w:rFonts w:ascii="Arial Narrow" w:hAnsi="Arial Narrow"/>
                <w:sz w:val="20"/>
              </w:rPr>
              <w:t xml:space="preserve"> </w:t>
            </w:r>
            <w:r>
              <w:rPr>
                <w:rFonts w:ascii="Arial Narrow" w:hAnsi="Arial Narrow" w:cstheme="minorBidi"/>
                <w:sz w:val="20"/>
              </w:rPr>
              <w:t>(</w:t>
            </w:r>
            <w:r w:rsidRPr="008D3FAF">
              <w:rPr>
                <w:rFonts w:ascii="Arial Narrow" w:hAnsi="Arial Narrow" w:cstheme="minorBidi"/>
                <w:sz w:val="20"/>
                <w:u w:val="single"/>
              </w:rPr>
              <w:t>&gt;</w:t>
            </w:r>
            <w:r w:rsidRPr="008D3FAF">
              <w:rPr>
                <w:rFonts w:ascii="Arial Narrow" w:hAnsi="Arial Narrow" w:cstheme="minorBidi"/>
                <w:sz w:val="20"/>
              </w:rPr>
              <w:t xml:space="preserve">3 swollen and </w:t>
            </w:r>
            <w:r w:rsidRPr="008D3FAF">
              <w:rPr>
                <w:rFonts w:ascii="Arial Narrow" w:hAnsi="Arial Narrow" w:cstheme="minorBidi"/>
                <w:sz w:val="20"/>
                <w:u w:val="single"/>
              </w:rPr>
              <w:t>&gt;</w:t>
            </w:r>
            <w:r w:rsidRPr="008D3FAF">
              <w:rPr>
                <w:rFonts w:ascii="Arial Narrow" w:hAnsi="Arial Narrow" w:cstheme="minorBidi"/>
                <w:sz w:val="20"/>
              </w:rPr>
              <w:t>3 tender joints</w:t>
            </w:r>
            <w:r>
              <w:rPr>
                <w:rFonts w:ascii="Arial Narrow" w:hAnsi="Arial Narrow" w:cstheme="minorBidi"/>
                <w:sz w:val="20"/>
              </w:rPr>
              <w:t>)</w:t>
            </w:r>
          </w:p>
        </w:tc>
        <w:tc>
          <w:tcPr>
            <w:tcW w:w="1559" w:type="dxa"/>
            <w:vAlign w:val="center"/>
          </w:tcPr>
          <w:p w:rsidR="00595962" w:rsidRDefault="00595962" w:rsidP="00F9520B">
            <w:pPr>
              <w:jc w:val="center"/>
              <w:rPr>
                <w:rFonts w:ascii="Arial Narrow" w:hAnsi="Arial Narrow"/>
                <w:sz w:val="20"/>
                <w:szCs w:val="16"/>
                <w:lang w:val="en-US"/>
              </w:rPr>
            </w:pPr>
            <w:r>
              <w:rPr>
                <w:rFonts w:ascii="Arial Narrow" w:hAnsi="Arial Narrow"/>
                <w:sz w:val="20"/>
                <w:szCs w:val="16"/>
                <w:lang w:val="en-US"/>
              </w:rPr>
              <w:t>1°: ACR20 (wk12); modified total Sharp score (</w:t>
            </w:r>
            <w:proofErr w:type="spellStart"/>
            <w:r>
              <w:rPr>
                <w:rFonts w:ascii="Arial Narrow" w:hAnsi="Arial Narrow"/>
                <w:sz w:val="20"/>
                <w:szCs w:val="16"/>
                <w:lang w:val="en-US"/>
              </w:rPr>
              <w:t>wk</w:t>
            </w:r>
            <w:proofErr w:type="spellEnd"/>
            <w:r>
              <w:rPr>
                <w:rFonts w:ascii="Arial Narrow" w:hAnsi="Arial Narrow"/>
                <w:sz w:val="20"/>
                <w:szCs w:val="16"/>
                <w:lang w:val="en-US"/>
              </w:rPr>
              <w:t xml:space="preserve"> 24)</w:t>
            </w:r>
          </w:p>
          <w:p w:rsidR="00595962" w:rsidRPr="00A541E3" w:rsidRDefault="00595962" w:rsidP="00F9520B">
            <w:pPr>
              <w:jc w:val="center"/>
              <w:rPr>
                <w:rFonts w:ascii="Arial Narrow" w:hAnsi="Arial Narrow"/>
                <w:sz w:val="20"/>
              </w:rPr>
            </w:pPr>
            <w:r>
              <w:rPr>
                <w:rFonts w:ascii="Arial Narrow" w:hAnsi="Arial Narrow"/>
                <w:sz w:val="20"/>
                <w:szCs w:val="16"/>
                <w:lang w:val="en-US"/>
              </w:rPr>
              <w:t>2°: ACR20 (</w:t>
            </w:r>
            <w:proofErr w:type="spellStart"/>
            <w:r>
              <w:rPr>
                <w:rFonts w:ascii="Arial Narrow" w:hAnsi="Arial Narrow"/>
                <w:sz w:val="20"/>
                <w:szCs w:val="16"/>
                <w:lang w:val="en-US"/>
              </w:rPr>
              <w:t>wk</w:t>
            </w:r>
            <w:proofErr w:type="spellEnd"/>
            <w:r>
              <w:rPr>
                <w:rFonts w:ascii="Arial Narrow" w:hAnsi="Arial Narrow"/>
                <w:sz w:val="20"/>
                <w:szCs w:val="16"/>
                <w:lang w:val="en-US"/>
              </w:rPr>
              <w:t xml:space="preserve"> 24), ACR50, ACR70, </w:t>
            </w:r>
            <w:proofErr w:type="spellStart"/>
            <w:r>
              <w:rPr>
                <w:rFonts w:ascii="Arial Narrow" w:hAnsi="Arial Narrow"/>
                <w:sz w:val="20"/>
                <w:szCs w:val="16"/>
                <w:lang w:val="en-US"/>
              </w:rPr>
              <w:t>PsARC</w:t>
            </w:r>
            <w:proofErr w:type="spellEnd"/>
            <w:r>
              <w:rPr>
                <w:rFonts w:ascii="Arial Narrow" w:hAnsi="Arial Narrow"/>
                <w:sz w:val="20"/>
                <w:szCs w:val="16"/>
                <w:lang w:val="en-US"/>
              </w:rPr>
              <w:t xml:space="preserve">, PASI, </w:t>
            </w:r>
            <w:proofErr w:type="spellStart"/>
            <w:r>
              <w:rPr>
                <w:rFonts w:ascii="Arial Narrow" w:hAnsi="Arial Narrow"/>
                <w:sz w:val="20"/>
                <w:szCs w:val="16"/>
                <w:lang w:val="en-US"/>
              </w:rPr>
              <w:t>QoL</w:t>
            </w:r>
            <w:proofErr w:type="spellEnd"/>
          </w:p>
        </w:tc>
        <w:tc>
          <w:tcPr>
            <w:tcW w:w="1417" w:type="dxa"/>
            <w:vMerge w:val="restart"/>
            <w:vAlign w:val="center"/>
          </w:tcPr>
          <w:p w:rsidR="00595962" w:rsidRPr="00E9539D" w:rsidRDefault="00595962" w:rsidP="00F9520B">
            <w:pPr>
              <w:jc w:val="center"/>
              <w:rPr>
                <w:rFonts w:ascii="Arial Narrow" w:hAnsi="Arial Narrow"/>
                <w:sz w:val="20"/>
              </w:rPr>
            </w:pPr>
            <w:r w:rsidRPr="00E9539D">
              <w:rPr>
                <w:rFonts w:ascii="Arial Narrow" w:hAnsi="Arial Narrow"/>
                <w:sz w:val="20"/>
              </w:rPr>
              <w:t xml:space="preserve">Initial response: </w:t>
            </w:r>
          </w:p>
          <w:p w:rsidR="00595962" w:rsidRDefault="00595962" w:rsidP="00F9520B">
            <w:pPr>
              <w:jc w:val="center"/>
              <w:rPr>
                <w:rFonts w:ascii="Arial Narrow" w:hAnsi="Arial Narrow"/>
                <w:sz w:val="20"/>
              </w:rPr>
            </w:pPr>
            <w:r>
              <w:rPr>
                <w:rFonts w:ascii="Arial Narrow" w:hAnsi="Arial Narrow"/>
                <w:sz w:val="20"/>
              </w:rPr>
              <w:t>ACR50 (12</w:t>
            </w:r>
            <w:r w:rsidRPr="00E9539D">
              <w:rPr>
                <w:rFonts w:ascii="Arial Narrow" w:hAnsi="Arial Narrow"/>
                <w:sz w:val="20"/>
              </w:rPr>
              <w:t>wk</w:t>
            </w:r>
            <w:r>
              <w:rPr>
                <w:rFonts w:ascii="Arial Narrow" w:hAnsi="Arial Narrow"/>
                <w:sz w:val="20"/>
              </w:rPr>
              <w:t xml:space="preserve">) </w:t>
            </w:r>
          </w:p>
          <w:p w:rsidR="00595962" w:rsidRPr="00A541E3" w:rsidRDefault="00595962" w:rsidP="00EF539F">
            <w:pPr>
              <w:jc w:val="center"/>
              <w:rPr>
                <w:rFonts w:ascii="Arial Narrow" w:hAnsi="Arial Narrow"/>
                <w:sz w:val="20"/>
              </w:rPr>
            </w:pPr>
            <w:r>
              <w:rPr>
                <w:rFonts w:ascii="Arial Narrow" w:hAnsi="Arial Narrow"/>
                <w:sz w:val="20"/>
              </w:rPr>
              <w:t>pooled</w:t>
            </w:r>
          </w:p>
        </w:tc>
      </w:tr>
      <w:tr w:rsidR="00595962" w:rsidRPr="00A541E3" w:rsidTr="00B16BB6">
        <w:tc>
          <w:tcPr>
            <w:tcW w:w="949" w:type="dxa"/>
            <w:vAlign w:val="center"/>
          </w:tcPr>
          <w:p w:rsidR="00595962" w:rsidRDefault="00595962" w:rsidP="00F9520B">
            <w:pPr>
              <w:jc w:val="left"/>
              <w:rPr>
                <w:rFonts w:ascii="Arial Narrow" w:hAnsi="Arial Narrow"/>
                <w:sz w:val="20"/>
              </w:rPr>
            </w:pPr>
            <w:r>
              <w:rPr>
                <w:rFonts w:ascii="Arial Narrow" w:hAnsi="Arial Narrow"/>
                <w:sz w:val="20"/>
              </w:rPr>
              <w:t>Genovese 2007</w:t>
            </w:r>
          </w:p>
        </w:tc>
        <w:tc>
          <w:tcPr>
            <w:tcW w:w="469" w:type="dxa"/>
            <w:vAlign w:val="center"/>
          </w:tcPr>
          <w:p w:rsidR="00595962" w:rsidRDefault="00595962" w:rsidP="00F9520B">
            <w:pPr>
              <w:jc w:val="center"/>
              <w:rPr>
                <w:rFonts w:ascii="Arial Narrow" w:hAnsi="Arial Narrow"/>
                <w:sz w:val="20"/>
              </w:rPr>
            </w:pPr>
            <w:r>
              <w:rPr>
                <w:rFonts w:ascii="Arial Narrow" w:hAnsi="Arial Narrow"/>
                <w:sz w:val="20"/>
              </w:rPr>
              <w:t>102</w:t>
            </w:r>
          </w:p>
        </w:tc>
        <w:tc>
          <w:tcPr>
            <w:tcW w:w="2126" w:type="dxa"/>
            <w:vAlign w:val="center"/>
          </w:tcPr>
          <w:p w:rsidR="00595962" w:rsidRDefault="00595962" w:rsidP="00F9520B">
            <w:pPr>
              <w:jc w:val="left"/>
              <w:rPr>
                <w:rFonts w:ascii="Arial Narrow" w:hAnsi="Arial Narrow"/>
                <w:sz w:val="20"/>
              </w:rPr>
            </w:pPr>
            <w:r>
              <w:rPr>
                <w:rFonts w:ascii="Arial Narrow" w:hAnsi="Arial Narrow"/>
                <w:sz w:val="20"/>
              </w:rPr>
              <w:t>Two arm, two phase trial.</w:t>
            </w:r>
          </w:p>
          <w:p w:rsidR="00595962" w:rsidRDefault="00595962" w:rsidP="00582D67">
            <w:pPr>
              <w:pStyle w:val="ListParagraph"/>
              <w:numPr>
                <w:ilvl w:val="0"/>
                <w:numId w:val="11"/>
              </w:numPr>
              <w:ind w:left="256" w:hanging="256"/>
              <w:jc w:val="left"/>
              <w:rPr>
                <w:rFonts w:ascii="Arial Narrow" w:hAnsi="Arial Narrow"/>
                <w:sz w:val="20"/>
              </w:rPr>
            </w:pPr>
            <w:r>
              <w:rPr>
                <w:rFonts w:ascii="Arial Narrow" w:hAnsi="Arial Narrow"/>
                <w:sz w:val="20"/>
              </w:rPr>
              <w:t>Phase one: R,DB,PC (12</w:t>
            </w:r>
            <w:r w:rsidRPr="00F702EC">
              <w:rPr>
                <w:rFonts w:ascii="Arial Narrow" w:hAnsi="Arial Narrow"/>
                <w:sz w:val="20"/>
              </w:rPr>
              <w:t>wk)</w:t>
            </w:r>
          </w:p>
          <w:p w:rsidR="00595962" w:rsidRPr="00505B13" w:rsidRDefault="00595962" w:rsidP="00582D67">
            <w:pPr>
              <w:pStyle w:val="ListParagraph"/>
              <w:numPr>
                <w:ilvl w:val="0"/>
                <w:numId w:val="11"/>
              </w:numPr>
              <w:ind w:left="256" w:hanging="256"/>
              <w:jc w:val="left"/>
              <w:rPr>
                <w:rFonts w:ascii="Arial Narrow" w:hAnsi="Arial Narrow"/>
                <w:sz w:val="20"/>
              </w:rPr>
            </w:pPr>
            <w:r w:rsidRPr="00505B13">
              <w:rPr>
                <w:rFonts w:ascii="Arial Narrow" w:hAnsi="Arial Narrow"/>
                <w:sz w:val="20"/>
              </w:rPr>
              <w:t xml:space="preserve">Phase two: </w:t>
            </w:r>
            <w:r>
              <w:rPr>
                <w:rFonts w:ascii="Arial Narrow" w:hAnsi="Arial Narrow"/>
                <w:sz w:val="20"/>
              </w:rPr>
              <w:t>OL active treatment</w:t>
            </w:r>
            <w:r w:rsidRPr="00505B13">
              <w:rPr>
                <w:rFonts w:ascii="Arial Narrow" w:hAnsi="Arial Narrow"/>
                <w:sz w:val="20"/>
                <w:vertAlign w:val="superscript"/>
              </w:rPr>
              <w:t xml:space="preserve"> </w:t>
            </w:r>
            <w:r>
              <w:rPr>
                <w:rFonts w:ascii="Arial Narrow" w:hAnsi="Arial Narrow"/>
                <w:sz w:val="20"/>
              </w:rPr>
              <w:t>(12</w:t>
            </w:r>
            <w:r w:rsidRPr="00505B13">
              <w:rPr>
                <w:rFonts w:ascii="Arial Narrow" w:hAnsi="Arial Narrow"/>
                <w:sz w:val="20"/>
              </w:rPr>
              <w:t>wk)</w:t>
            </w:r>
          </w:p>
        </w:tc>
        <w:tc>
          <w:tcPr>
            <w:tcW w:w="709" w:type="dxa"/>
            <w:vAlign w:val="center"/>
          </w:tcPr>
          <w:p w:rsidR="00595962" w:rsidRDefault="00595962" w:rsidP="00F9520B">
            <w:pPr>
              <w:jc w:val="center"/>
              <w:rPr>
                <w:rFonts w:ascii="Arial Narrow" w:hAnsi="Arial Narrow"/>
                <w:sz w:val="20"/>
              </w:rPr>
            </w:pPr>
            <w:r>
              <w:rPr>
                <w:rFonts w:ascii="Arial Narrow" w:hAnsi="Arial Narrow"/>
                <w:sz w:val="20"/>
              </w:rPr>
              <w:t>Phase 1: low</w:t>
            </w:r>
          </w:p>
        </w:tc>
        <w:tc>
          <w:tcPr>
            <w:tcW w:w="1134" w:type="dxa"/>
            <w:vAlign w:val="center"/>
          </w:tcPr>
          <w:p w:rsidR="00595962" w:rsidRDefault="00595962" w:rsidP="00EF539F">
            <w:pPr>
              <w:jc w:val="center"/>
              <w:rPr>
                <w:rFonts w:ascii="Arial Narrow" w:hAnsi="Arial Narrow"/>
                <w:sz w:val="20"/>
              </w:rPr>
            </w:pPr>
            <w:proofErr w:type="spellStart"/>
            <w:r>
              <w:rPr>
                <w:rFonts w:ascii="Arial Narrow" w:hAnsi="Arial Narrow"/>
                <w:sz w:val="20"/>
              </w:rPr>
              <w:t>PsA</w:t>
            </w:r>
            <w:proofErr w:type="spellEnd"/>
            <w:r>
              <w:rPr>
                <w:rFonts w:ascii="Arial Narrow" w:hAnsi="Arial Narrow"/>
                <w:sz w:val="20"/>
              </w:rPr>
              <w:t xml:space="preserve"> </w:t>
            </w:r>
            <w:r>
              <w:rPr>
                <w:rFonts w:ascii="Arial Narrow" w:hAnsi="Arial Narrow" w:cstheme="minorBidi"/>
                <w:sz w:val="20"/>
              </w:rPr>
              <w:t>(</w:t>
            </w:r>
            <w:r w:rsidRPr="008D3FAF">
              <w:rPr>
                <w:rFonts w:ascii="Arial Narrow" w:hAnsi="Arial Narrow" w:cstheme="minorBidi"/>
                <w:sz w:val="20"/>
                <w:u w:val="single"/>
              </w:rPr>
              <w:t>&gt;</w:t>
            </w:r>
            <w:r w:rsidRPr="008D3FAF">
              <w:rPr>
                <w:rFonts w:ascii="Arial Narrow" w:hAnsi="Arial Narrow" w:cstheme="minorBidi"/>
                <w:sz w:val="20"/>
              </w:rPr>
              <w:t xml:space="preserve">3 swollen and </w:t>
            </w:r>
            <w:r w:rsidRPr="008D3FAF">
              <w:rPr>
                <w:rFonts w:ascii="Arial Narrow" w:hAnsi="Arial Narrow" w:cstheme="minorBidi"/>
                <w:sz w:val="20"/>
                <w:u w:val="single"/>
              </w:rPr>
              <w:t>&gt;</w:t>
            </w:r>
            <w:r w:rsidRPr="008D3FAF">
              <w:rPr>
                <w:rFonts w:ascii="Arial Narrow" w:hAnsi="Arial Narrow" w:cstheme="minorBidi"/>
                <w:sz w:val="20"/>
              </w:rPr>
              <w:t>3 tender joints</w:t>
            </w:r>
            <w:r>
              <w:rPr>
                <w:rFonts w:ascii="Arial Narrow" w:hAnsi="Arial Narrow" w:cstheme="minorBidi"/>
                <w:sz w:val="20"/>
              </w:rPr>
              <w:t>)</w:t>
            </w:r>
          </w:p>
        </w:tc>
        <w:tc>
          <w:tcPr>
            <w:tcW w:w="1559" w:type="dxa"/>
            <w:vAlign w:val="center"/>
          </w:tcPr>
          <w:p w:rsidR="00595962" w:rsidRDefault="00595962" w:rsidP="00F9520B">
            <w:pPr>
              <w:jc w:val="center"/>
              <w:rPr>
                <w:rFonts w:ascii="Arial Narrow" w:hAnsi="Arial Narrow"/>
                <w:sz w:val="20"/>
                <w:szCs w:val="16"/>
                <w:lang w:val="en-US"/>
              </w:rPr>
            </w:pPr>
            <w:r>
              <w:rPr>
                <w:rFonts w:ascii="Arial Narrow" w:hAnsi="Arial Narrow"/>
                <w:sz w:val="20"/>
                <w:szCs w:val="16"/>
                <w:lang w:val="en-US"/>
              </w:rPr>
              <w:t>1°: ACR20 (wk12)</w:t>
            </w:r>
          </w:p>
          <w:p w:rsidR="00595962" w:rsidRDefault="00595962" w:rsidP="00F9520B">
            <w:pPr>
              <w:jc w:val="center"/>
              <w:rPr>
                <w:rFonts w:ascii="Arial Narrow" w:hAnsi="Arial Narrow"/>
                <w:sz w:val="20"/>
                <w:szCs w:val="16"/>
                <w:lang w:val="en-US"/>
              </w:rPr>
            </w:pPr>
            <w:r>
              <w:rPr>
                <w:rFonts w:ascii="Arial Narrow" w:hAnsi="Arial Narrow"/>
                <w:sz w:val="20"/>
                <w:szCs w:val="16"/>
                <w:lang w:val="en-US"/>
              </w:rPr>
              <w:t xml:space="preserve">2°: ACR50, ACR70, </w:t>
            </w:r>
            <w:proofErr w:type="spellStart"/>
            <w:r>
              <w:rPr>
                <w:rFonts w:ascii="Arial Narrow" w:hAnsi="Arial Narrow"/>
                <w:sz w:val="20"/>
                <w:szCs w:val="16"/>
                <w:lang w:val="en-US"/>
              </w:rPr>
              <w:t>PsARC</w:t>
            </w:r>
            <w:proofErr w:type="spellEnd"/>
            <w:r>
              <w:rPr>
                <w:rFonts w:ascii="Arial Narrow" w:hAnsi="Arial Narrow"/>
                <w:sz w:val="20"/>
                <w:szCs w:val="16"/>
                <w:lang w:val="en-US"/>
              </w:rPr>
              <w:t xml:space="preserve">, </w:t>
            </w:r>
            <w:proofErr w:type="spellStart"/>
            <w:r>
              <w:rPr>
                <w:rFonts w:ascii="Arial Narrow" w:hAnsi="Arial Narrow"/>
                <w:sz w:val="20"/>
                <w:szCs w:val="16"/>
                <w:lang w:val="en-US"/>
              </w:rPr>
              <w:t>QoL</w:t>
            </w:r>
            <w:proofErr w:type="spellEnd"/>
          </w:p>
        </w:tc>
        <w:tc>
          <w:tcPr>
            <w:tcW w:w="1417" w:type="dxa"/>
            <w:vMerge/>
            <w:vAlign w:val="center"/>
          </w:tcPr>
          <w:p w:rsidR="00595962" w:rsidRDefault="00595962" w:rsidP="00F9520B">
            <w:pPr>
              <w:jc w:val="center"/>
              <w:rPr>
                <w:rFonts w:ascii="Arial Narrow" w:hAnsi="Arial Narrow"/>
                <w:sz w:val="20"/>
              </w:rPr>
            </w:pPr>
          </w:p>
        </w:tc>
      </w:tr>
    </w:tbl>
    <w:p w:rsidR="00595962" w:rsidRPr="00EF539F" w:rsidRDefault="00595962" w:rsidP="00595962">
      <w:pPr>
        <w:ind w:left="720"/>
        <w:rPr>
          <w:rFonts w:ascii="Arial Narrow" w:hAnsi="Arial Narrow"/>
          <w:sz w:val="18"/>
        </w:rPr>
      </w:pPr>
      <w:r w:rsidRPr="00EF539F">
        <w:rPr>
          <w:rFonts w:ascii="Arial Narrow" w:hAnsi="Arial Narrow"/>
          <w:sz w:val="18"/>
        </w:rPr>
        <w:t xml:space="preserve">Abbreviations: ACR = American College of Rheumatology; HAQ-DI=Health Assessment Questionnaire – Disability Index; PASI=Psoriasis area and severity index; </w:t>
      </w:r>
      <w:proofErr w:type="spellStart"/>
      <w:r w:rsidRPr="00EF539F">
        <w:rPr>
          <w:rFonts w:ascii="Arial Narrow" w:hAnsi="Arial Narrow"/>
          <w:sz w:val="18"/>
        </w:rPr>
        <w:t>PsARC</w:t>
      </w:r>
      <w:proofErr w:type="spellEnd"/>
      <w:r w:rsidRPr="00EF539F">
        <w:rPr>
          <w:rFonts w:ascii="Arial Narrow" w:hAnsi="Arial Narrow"/>
          <w:sz w:val="18"/>
        </w:rPr>
        <w:t xml:space="preserve">=Psoriatic Arthritis Response Criteria; R=randomised; DB=double blind; </w:t>
      </w:r>
      <w:r w:rsidRPr="00EF539F">
        <w:rPr>
          <w:rFonts w:ascii="Arial Narrow" w:hAnsi="Arial Narrow"/>
          <w:sz w:val="18"/>
        </w:rPr>
        <w:lastRenderedPageBreak/>
        <w:t xml:space="preserve">PC=placebo controlled; </w:t>
      </w:r>
      <w:proofErr w:type="spellStart"/>
      <w:r w:rsidRPr="00EF539F">
        <w:rPr>
          <w:rFonts w:ascii="Arial Narrow" w:hAnsi="Arial Narrow"/>
          <w:sz w:val="18"/>
        </w:rPr>
        <w:t>PsA</w:t>
      </w:r>
      <w:proofErr w:type="spellEnd"/>
      <w:r w:rsidRPr="00EF539F">
        <w:rPr>
          <w:rFonts w:ascii="Arial Narrow" w:hAnsi="Arial Narrow"/>
          <w:sz w:val="18"/>
        </w:rPr>
        <w:t xml:space="preserve">=psoriatic arthritis; OL=open label; </w:t>
      </w:r>
      <w:proofErr w:type="spellStart"/>
      <w:r w:rsidRPr="00EF539F">
        <w:rPr>
          <w:rFonts w:ascii="Arial Narrow" w:hAnsi="Arial Narrow"/>
          <w:sz w:val="18"/>
        </w:rPr>
        <w:t>QoL</w:t>
      </w:r>
      <w:proofErr w:type="spellEnd"/>
      <w:r w:rsidRPr="00EF539F">
        <w:rPr>
          <w:rFonts w:ascii="Arial Narrow" w:hAnsi="Arial Narrow"/>
          <w:sz w:val="18"/>
        </w:rPr>
        <w:t>=quality of life</w:t>
      </w:r>
    </w:p>
    <w:p w:rsidR="00BA5384" w:rsidRDefault="00595962" w:rsidP="0093180A">
      <w:pPr>
        <w:ind w:firstLine="720"/>
        <w:rPr>
          <w:rFonts w:ascii="Arial Narrow" w:hAnsi="Arial Narrow"/>
          <w:sz w:val="18"/>
        </w:rPr>
      </w:pPr>
      <w:r w:rsidRPr="00EF539F">
        <w:rPr>
          <w:rFonts w:ascii="Arial Narrow" w:hAnsi="Arial Narrow"/>
          <w:sz w:val="18"/>
        </w:rPr>
        <w:t>Source: compiled during the evaluation</w:t>
      </w:r>
    </w:p>
    <w:p w:rsidR="0093180A" w:rsidRPr="0093180A" w:rsidRDefault="0093180A" w:rsidP="0093180A">
      <w:pPr>
        <w:ind w:firstLine="720"/>
        <w:rPr>
          <w:rFonts w:ascii="Arial Narrow" w:hAnsi="Arial Narrow"/>
          <w:sz w:val="18"/>
        </w:rPr>
      </w:pPr>
    </w:p>
    <w:p w:rsidR="00B60939" w:rsidRPr="002965CF" w:rsidRDefault="00B60939" w:rsidP="0093180A">
      <w:pPr>
        <w:pStyle w:val="Heading2"/>
      </w:pPr>
      <w:bookmarkStart w:id="8" w:name="_Toc430164098"/>
      <w:r w:rsidRPr="0093180A">
        <w:t>Comparative</w:t>
      </w:r>
      <w:r w:rsidRPr="002965CF">
        <w:t xml:space="preserve"> effectiveness</w:t>
      </w:r>
      <w:bookmarkEnd w:id="8"/>
    </w:p>
    <w:p w:rsidR="00B60939" w:rsidRPr="00882085" w:rsidRDefault="00B60939" w:rsidP="00B60939">
      <w:pPr>
        <w:rPr>
          <w:szCs w:val="22"/>
        </w:rPr>
      </w:pPr>
    </w:p>
    <w:p w:rsidR="00D27B9D" w:rsidRPr="00D27B9D" w:rsidRDefault="00DC0515" w:rsidP="0000004D">
      <w:pPr>
        <w:pStyle w:val="ListParagraph"/>
        <w:widowControl/>
        <w:numPr>
          <w:ilvl w:val="1"/>
          <w:numId w:val="5"/>
        </w:numPr>
        <w:rPr>
          <w:szCs w:val="22"/>
        </w:rPr>
      </w:pPr>
      <w:r>
        <w:t xml:space="preserve">The PBAC (paragraph 7.4, </w:t>
      </w:r>
      <w:proofErr w:type="spellStart"/>
      <w:r w:rsidR="00CF1D3B" w:rsidRPr="00CF1D3B">
        <w:t>Apremilast</w:t>
      </w:r>
      <w:proofErr w:type="spellEnd"/>
      <w:r w:rsidR="00CF1D3B" w:rsidRPr="00CF1D3B">
        <w:t xml:space="preserve"> PSD for </w:t>
      </w:r>
      <w:proofErr w:type="spellStart"/>
      <w:r w:rsidR="00CF1D3B" w:rsidRPr="00CF1D3B">
        <w:t>PsA</w:t>
      </w:r>
      <w:proofErr w:type="spellEnd"/>
      <w:r w:rsidR="00CF1D3B" w:rsidRPr="00CF1D3B">
        <w:t>, March 2015</w:t>
      </w:r>
      <w:r>
        <w:t xml:space="preserve">) agreed with the evaluation’s suggestion that use of </w:t>
      </w:r>
      <w:r w:rsidR="00BE7A0E">
        <w:t>ACR50</w:t>
      </w:r>
      <w:r>
        <w:t xml:space="preserve"> may be more relevant to a PBS population and noted that </w:t>
      </w:r>
      <w:r w:rsidR="00BE7A0E">
        <w:t>ACR50</w:t>
      </w:r>
      <w:r w:rsidRPr="00E710FA">
        <w:t xml:space="preserve"> response was a secondary outcome in the </w:t>
      </w:r>
      <w:proofErr w:type="spellStart"/>
      <w:r w:rsidRPr="00E710FA">
        <w:t>apremilast</w:t>
      </w:r>
      <w:proofErr w:type="spellEnd"/>
      <w:r w:rsidRPr="00E710FA">
        <w:t xml:space="preserve"> trials</w:t>
      </w:r>
      <w:r w:rsidR="00D27B9D">
        <w:t>.</w:t>
      </w:r>
    </w:p>
    <w:p w:rsidR="00DC0515" w:rsidRPr="002965CF" w:rsidRDefault="00DC0515" w:rsidP="002965CF">
      <w:pPr>
        <w:widowControl/>
        <w:tabs>
          <w:tab w:val="left" w:pos="4035"/>
        </w:tabs>
        <w:rPr>
          <w:szCs w:val="22"/>
        </w:rPr>
      </w:pPr>
    </w:p>
    <w:p w:rsidR="00B60939" w:rsidRPr="005F24B5" w:rsidRDefault="0069234E" w:rsidP="0000004D">
      <w:pPr>
        <w:pStyle w:val="ListParagraph"/>
        <w:widowControl/>
        <w:numPr>
          <w:ilvl w:val="1"/>
          <w:numId w:val="5"/>
        </w:numPr>
        <w:rPr>
          <w:szCs w:val="22"/>
        </w:rPr>
      </w:pPr>
      <w:r w:rsidRPr="0069234E">
        <w:t xml:space="preserve">The results of </w:t>
      </w:r>
      <w:r w:rsidR="00BE7A0E">
        <w:t>ACR50</w:t>
      </w:r>
      <w:r w:rsidRPr="0069234E">
        <w:t xml:space="preserve"> </w:t>
      </w:r>
      <w:r>
        <w:t xml:space="preserve">response in the </w:t>
      </w:r>
      <w:proofErr w:type="spellStart"/>
      <w:r>
        <w:t>apremilast</w:t>
      </w:r>
      <w:proofErr w:type="spellEnd"/>
      <w:r>
        <w:t xml:space="preserve"> and adalimumab trials are presented in Table 3.</w:t>
      </w:r>
    </w:p>
    <w:p w:rsidR="00D06FD4" w:rsidRDefault="00D06FD4" w:rsidP="00D06FD4">
      <w:pPr>
        <w:rPr>
          <w:szCs w:val="22"/>
        </w:rPr>
      </w:pPr>
    </w:p>
    <w:p w:rsidR="00CF31F4" w:rsidRPr="002A30BA" w:rsidRDefault="00D82E1C" w:rsidP="008D5569">
      <w:pPr>
        <w:ind w:left="709"/>
        <w:rPr>
          <w:rFonts w:ascii="Arial Narrow" w:hAnsi="Arial Narrow"/>
          <w:b/>
          <w:sz w:val="20"/>
          <w:szCs w:val="16"/>
        </w:rPr>
      </w:pPr>
      <w:r w:rsidRPr="002A30BA">
        <w:rPr>
          <w:rStyle w:val="CommentReference"/>
        </w:rPr>
        <w:t xml:space="preserve">Table </w:t>
      </w:r>
      <w:r w:rsidR="00CF31F4" w:rsidRPr="002A30BA">
        <w:rPr>
          <w:rStyle w:val="CommentReference"/>
        </w:rPr>
        <w:t xml:space="preserve">3: Results of the indirect comparison of </w:t>
      </w:r>
      <w:r w:rsidR="00BE7A0E" w:rsidRPr="002965CF">
        <w:rPr>
          <w:rStyle w:val="CommentReference"/>
        </w:rPr>
        <w:t>ACR50</w:t>
      </w:r>
      <w:r w:rsidR="00CF31F4" w:rsidRPr="002965CF">
        <w:rPr>
          <w:rStyle w:val="CommentReference"/>
        </w:rPr>
        <w:t xml:space="preserve"> response </w:t>
      </w:r>
      <w:r w:rsidR="00CF31F4" w:rsidRPr="002A30BA">
        <w:rPr>
          <w:rStyle w:val="CommentReference"/>
          <w:u w:val="single"/>
        </w:rPr>
        <w:t>at 16 weeks</w:t>
      </w:r>
      <w:r w:rsidR="00CF31F4" w:rsidRPr="002A30BA">
        <w:rPr>
          <w:rStyle w:val="CommentReference"/>
        </w:rPr>
        <w:t xml:space="preserve"> on </w:t>
      </w:r>
      <w:proofErr w:type="spellStart"/>
      <w:r w:rsidR="00CF31F4" w:rsidRPr="002A30BA">
        <w:rPr>
          <w:rStyle w:val="CommentReference"/>
        </w:rPr>
        <w:t>apremilast</w:t>
      </w:r>
      <w:proofErr w:type="spellEnd"/>
      <w:r w:rsidR="00CF31F4" w:rsidRPr="002A30BA">
        <w:rPr>
          <w:rStyle w:val="CommentReference"/>
        </w:rPr>
        <w:t xml:space="preserve"> versus </w:t>
      </w:r>
      <w:r w:rsidR="00BE7A0E" w:rsidRPr="002965CF">
        <w:rPr>
          <w:rStyle w:val="CommentReference"/>
        </w:rPr>
        <w:t>ACR50</w:t>
      </w:r>
      <w:r w:rsidR="00CF31F4" w:rsidRPr="002965CF">
        <w:rPr>
          <w:rStyle w:val="CommentReference"/>
        </w:rPr>
        <w:t xml:space="preserve"> response </w:t>
      </w:r>
      <w:r w:rsidR="00CF31F4" w:rsidRPr="002A30BA">
        <w:rPr>
          <w:rStyle w:val="CommentReference"/>
          <w:u w:val="single"/>
        </w:rPr>
        <w:t>at 12 weeks</w:t>
      </w:r>
      <w:r w:rsidR="00CF31F4" w:rsidRPr="002A30BA">
        <w:rPr>
          <w:rStyle w:val="CommentReference"/>
        </w:rPr>
        <w:t xml:space="preserve"> on adalimumab</w:t>
      </w:r>
    </w:p>
    <w:tbl>
      <w:tblPr>
        <w:tblStyle w:val="TableGrid"/>
        <w:tblW w:w="0" w:type="auto"/>
        <w:tblInd w:w="737" w:type="dxa"/>
        <w:tblCellMar>
          <w:left w:w="28" w:type="dxa"/>
          <w:right w:w="28" w:type="dxa"/>
        </w:tblCellMar>
        <w:tblLook w:val="04A0" w:firstRow="1" w:lastRow="0" w:firstColumn="1" w:lastColumn="0" w:noHBand="0" w:noVBand="1"/>
        <w:tblCaption w:val="Results of the indirect comparison"/>
        <w:tblDescription w:val="Results of the indirect comparison of apremilast and adalimumab for ACR50 at 16 weeks"/>
      </w:tblPr>
      <w:tblGrid>
        <w:gridCol w:w="1099"/>
        <w:gridCol w:w="811"/>
        <w:gridCol w:w="811"/>
        <w:gridCol w:w="935"/>
        <w:gridCol w:w="303"/>
        <w:gridCol w:w="303"/>
        <w:gridCol w:w="606"/>
        <w:gridCol w:w="811"/>
        <w:gridCol w:w="811"/>
        <w:gridCol w:w="898"/>
        <w:gridCol w:w="910"/>
      </w:tblGrid>
      <w:tr w:rsidR="00EF539F" w:rsidRPr="002A30BA" w:rsidTr="00B16BB6">
        <w:trPr>
          <w:tblHeader/>
        </w:trPr>
        <w:tc>
          <w:tcPr>
            <w:tcW w:w="0" w:type="auto"/>
            <w:vMerge w:val="restart"/>
            <w:vAlign w:val="center"/>
          </w:tcPr>
          <w:p w:rsidR="00EF539F" w:rsidRPr="002A30BA" w:rsidRDefault="00EF539F" w:rsidP="009B607C">
            <w:pPr>
              <w:jc w:val="left"/>
              <w:rPr>
                <w:rFonts w:ascii="Arial Narrow" w:hAnsi="Arial Narrow"/>
                <w:b/>
                <w:bCs/>
                <w:sz w:val="18"/>
                <w:szCs w:val="18"/>
              </w:rPr>
            </w:pPr>
            <w:r w:rsidRPr="002A30BA">
              <w:rPr>
                <w:rFonts w:ascii="Arial Narrow" w:hAnsi="Arial Narrow"/>
                <w:b/>
                <w:bCs/>
                <w:sz w:val="18"/>
                <w:szCs w:val="18"/>
              </w:rPr>
              <w:t xml:space="preserve">Trial </w:t>
            </w:r>
          </w:p>
        </w:tc>
        <w:tc>
          <w:tcPr>
            <w:tcW w:w="0" w:type="auto"/>
            <w:gridSpan w:val="4"/>
            <w:vAlign w:val="center"/>
          </w:tcPr>
          <w:p w:rsidR="00EF539F" w:rsidRPr="002A30BA" w:rsidRDefault="00EF539F" w:rsidP="009B607C">
            <w:pPr>
              <w:jc w:val="center"/>
              <w:rPr>
                <w:rFonts w:ascii="Arial Narrow" w:hAnsi="Arial Narrow"/>
                <w:b/>
                <w:bCs/>
                <w:sz w:val="18"/>
                <w:szCs w:val="18"/>
              </w:rPr>
            </w:pPr>
            <w:proofErr w:type="spellStart"/>
            <w:r w:rsidRPr="002A30BA">
              <w:rPr>
                <w:rFonts w:ascii="Arial Narrow" w:hAnsi="Arial Narrow"/>
                <w:b/>
                <w:bCs/>
                <w:sz w:val="18"/>
                <w:szCs w:val="18"/>
              </w:rPr>
              <w:t>Apremilast</w:t>
            </w:r>
            <w:proofErr w:type="spellEnd"/>
          </w:p>
        </w:tc>
        <w:tc>
          <w:tcPr>
            <w:tcW w:w="0" w:type="auto"/>
            <w:gridSpan w:val="4"/>
            <w:vAlign w:val="center"/>
          </w:tcPr>
          <w:p w:rsidR="00EF539F" w:rsidRPr="002A30BA" w:rsidRDefault="00EF539F" w:rsidP="009B607C">
            <w:pPr>
              <w:jc w:val="center"/>
              <w:rPr>
                <w:rFonts w:ascii="Arial Narrow" w:hAnsi="Arial Narrow"/>
                <w:b/>
                <w:bCs/>
                <w:sz w:val="18"/>
                <w:szCs w:val="18"/>
              </w:rPr>
            </w:pPr>
            <w:r w:rsidRPr="002A30BA">
              <w:rPr>
                <w:rFonts w:ascii="Arial Narrow" w:hAnsi="Arial Narrow"/>
                <w:b/>
                <w:bCs/>
                <w:sz w:val="18"/>
                <w:szCs w:val="18"/>
              </w:rPr>
              <w:t>Adalimumab</w:t>
            </w:r>
          </w:p>
        </w:tc>
        <w:tc>
          <w:tcPr>
            <w:tcW w:w="0" w:type="auto"/>
            <w:vMerge w:val="restart"/>
            <w:vAlign w:val="center"/>
          </w:tcPr>
          <w:p w:rsidR="00EF539F" w:rsidRPr="002A30BA" w:rsidRDefault="00EF539F" w:rsidP="009B607C">
            <w:pPr>
              <w:jc w:val="center"/>
              <w:rPr>
                <w:rFonts w:ascii="Arial Narrow" w:hAnsi="Arial Narrow"/>
                <w:b/>
                <w:sz w:val="18"/>
                <w:szCs w:val="18"/>
              </w:rPr>
            </w:pPr>
            <w:r w:rsidRPr="002A30BA">
              <w:rPr>
                <w:rFonts w:ascii="Arial Narrow" w:hAnsi="Arial Narrow"/>
                <w:b/>
                <w:sz w:val="18"/>
                <w:szCs w:val="18"/>
              </w:rPr>
              <w:t xml:space="preserve">Indirect </w:t>
            </w:r>
            <w:proofErr w:type="spellStart"/>
            <w:r w:rsidRPr="002A30BA">
              <w:rPr>
                <w:rFonts w:ascii="Arial Narrow" w:hAnsi="Arial Narrow"/>
                <w:b/>
                <w:sz w:val="18"/>
                <w:szCs w:val="18"/>
              </w:rPr>
              <w:t>RR</w:t>
            </w:r>
            <w:r w:rsidRPr="002A30BA">
              <w:rPr>
                <w:rFonts w:ascii="Arial Narrow" w:hAnsi="Arial Narrow"/>
                <w:b/>
                <w:bCs/>
                <w:sz w:val="18"/>
                <w:szCs w:val="18"/>
                <w:vertAlign w:val="superscript"/>
              </w:rPr>
              <w:t>c</w:t>
            </w:r>
            <w:proofErr w:type="spellEnd"/>
            <w:r w:rsidRPr="002A30BA">
              <w:rPr>
                <w:rFonts w:ascii="Arial Narrow" w:hAnsi="Arial Narrow"/>
                <w:b/>
                <w:sz w:val="18"/>
                <w:szCs w:val="18"/>
              </w:rPr>
              <w:br/>
              <w:t>(95% CI)</w:t>
            </w:r>
          </w:p>
        </w:tc>
        <w:tc>
          <w:tcPr>
            <w:tcW w:w="0" w:type="auto"/>
            <w:vMerge w:val="restart"/>
            <w:vAlign w:val="center"/>
          </w:tcPr>
          <w:p w:rsidR="00EF539F" w:rsidRPr="002A30BA" w:rsidRDefault="00EF539F" w:rsidP="009B607C">
            <w:pPr>
              <w:jc w:val="center"/>
              <w:rPr>
                <w:rFonts w:ascii="Arial Narrow" w:hAnsi="Arial Narrow"/>
                <w:b/>
                <w:sz w:val="18"/>
                <w:szCs w:val="18"/>
              </w:rPr>
            </w:pPr>
            <w:r w:rsidRPr="002A30BA">
              <w:rPr>
                <w:rFonts w:ascii="Arial Narrow" w:hAnsi="Arial Narrow"/>
                <w:b/>
                <w:sz w:val="18"/>
                <w:szCs w:val="18"/>
              </w:rPr>
              <w:t xml:space="preserve">Indirect </w:t>
            </w:r>
            <w:proofErr w:type="spellStart"/>
            <w:r w:rsidRPr="002A30BA">
              <w:rPr>
                <w:rFonts w:ascii="Arial Narrow" w:hAnsi="Arial Narrow"/>
                <w:b/>
                <w:sz w:val="18"/>
                <w:szCs w:val="18"/>
              </w:rPr>
              <w:t>RD</w:t>
            </w:r>
            <w:r w:rsidRPr="002A30BA">
              <w:rPr>
                <w:rFonts w:ascii="Arial Narrow" w:hAnsi="Arial Narrow"/>
                <w:b/>
                <w:bCs/>
                <w:sz w:val="18"/>
                <w:szCs w:val="18"/>
                <w:vertAlign w:val="superscript"/>
              </w:rPr>
              <w:t>c</w:t>
            </w:r>
            <w:proofErr w:type="spellEnd"/>
            <w:r w:rsidRPr="002A30BA">
              <w:rPr>
                <w:rFonts w:ascii="Arial Narrow" w:hAnsi="Arial Narrow"/>
                <w:b/>
                <w:sz w:val="18"/>
                <w:szCs w:val="18"/>
              </w:rPr>
              <w:br/>
              <w:t>(95% CI)</w:t>
            </w:r>
          </w:p>
        </w:tc>
      </w:tr>
      <w:tr w:rsidR="00EF539F" w:rsidRPr="002A30BA" w:rsidTr="00B16BB6">
        <w:trPr>
          <w:tblHeader/>
        </w:trPr>
        <w:tc>
          <w:tcPr>
            <w:tcW w:w="0" w:type="auto"/>
            <w:vMerge/>
          </w:tcPr>
          <w:p w:rsidR="00EF539F" w:rsidRPr="002A30BA" w:rsidRDefault="00EF539F" w:rsidP="009B607C">
            <w:pPr>
              <w:rPr>
                <w:rFonts w:ascii="Arial Narrow" w:hAnsi="Arial Narrow"/>
                <w:sz w:val="18"/>
                <w:szCs w:val="18"/>
              </w:rPr>
            </w:pPr>
          </w:p>
        </w:tc>
        <w:tc>
          <w:tcPr>
            <w:tcW w:w="0" w:type="auto"/>
            <w:vAlign w:val="center"/>
          </w:tcPr>
          <w:p w:rsidR="00EF539F" w:rsidRPr="002A30BA" w:rsidRDefault="00EF539F" w:rsidP="009B607C">
            <w:pPr>
              <w:pStyle w:val="TableHeading"/>
              <w:spacing w:before="0" w:after="0"/>
              <w:jc w:val="center"/>
              <w:rPr>
                <w:rFonts w:cs="Arial"/>
                <w:bCs w:val="0"/>
                <w:sz w:val="18"/>
                <w:szCs w:val="18"/>
              </w:rPr>
            </w:pPr>
            <w:proofErr w:type="spellStart"/>
            <w:r w:rsidRPr="002A30BA">
              <w:rPr>
                <w:rFonts w:cs="Arial"/>
                <w:bCs w:val="0"/>
                <w:sz w:val="18"/>
                <w:szCs w:val="18"/>
              </w:rPr>
              <w:t>RD</w:t>
            </w:r>
            <w:r w:rsidRPr="002A30BA">
              <w:rPr>
                <w:rFonts w:cs="Arial"/>
                <w:bCs w:val="0"/>
                <w:sz w:val="18"/>
                <w:szCs w:val="18"/>
                <w:vertAlign w:val="superscript"/>
              </w:rPr>
              <w:t>a</w:t>
            </w:r>
            <w:proofErr w:type="spellEnd"/>
          </w:p>
          <w:p w:rsidR="00EF539F" w:rsidRPr="002A30BA" w:rsidRDefault="00EF539F" w:rsidP="009B607C">
            <w:pPr>
              <w:jc w:val="center"/>
              <w:rPr>
                <w:rFonts w:ascii="Arial Narrow" w:hAnsi="Arial Narrow"/>
                <w:b/>
                <w:sz w:val="18"/>
                <w:szCs w:val="18"/>
              </w:rPr>
            </w:pPr>
            <w:r w:rsidRPr="002A30BA">
              <w:rPr>
                <w:rFonts w:ascii="Arial Narrow" w:hAnsi="Arial Narrow"/>
                <w:b/>
                <w:sz w:val="18"/>
                <w:szCs w:val="18"/>
              </w:rPr>
              <w:t>(95% CI)</w:t>
            </w:r>
          </w:p>
        </w:tc>
        <w:tc>
          <w:tcPr>
            <w:tcW w:w="0" w:type="auto"/>
            <w:vAlign w:val="center"/>
          </w:tcPr>
          <w:p w:rsidR="00EF539F" w:rsidRPr="002A30BA" w:rsidRDefault="00EF539F" w:rsidP="009B607C">
            <w:pPr>
              <w:jc w:val="center"/>
              <w:rPr>
                <w:rFonts w:ascii="Arial Narrow" w:hAnsi="Arial Narrow"/>
                <w:b/>
                <w:sz w:val="18"/>
                <w:szCs w:val="18"/>
              </w:rPr>
            </w:pPr>
            <w:proofErr w:type="spellStart"/>
            <w:r w:rsidRPr="002A30BA">
              <w:rPr>
                <w:rFonts w:ascii="Arial Narrow" w:hAnsi="Arial Narrow"/>
                <w:b/>
                <w:sz w:val="18"/>
                <w:szCs w:val="18"/>
              </w:rPr>
              <w:t>RR</w:t>
            </w:r>
            <w:r w:rsidRPr="002A30BA">
              <w:rPr>
                <w:rFonts w:ascii="Arial Narrow" w:hAnsi="Arial Narrow"/>
                <w:b/>
                <w:sz w:val="18"/>
                <w:szCs w:val="18"/>
                <w:vertAlign w:val="superscript"/>
              </w:rPr>
              <w:t>a</w:t>
            </w:r>
            <w:proofErr w:type="spellEnd"/>
            <w:r w:rsidRPr="002A30BA">
              <w:rPr>
                <w:rFonts w:ascii="Arial Narrow" w:hAnsi="Arial Narrow"/>
                <w:b/>
                <w:sz w:val="18"/>
                <w:szCs w:val="18"/>
              </w:rPr>
              <w:br/>
              <w:t>(95% CI)</w:t>
            </w:r>
          </w:p>
        </w:tc>
        <w:tc>
          <w:tcPr>
            <w:tcW w:w="0" w:type="auto"/>
            <w:vAlign w:val="center"/>
          </w:tcPr>
          <w:p w:rsidR="00EF539F" w:rsidRPr="002A30BA" w:rsidRDefault="00EF539F" w:rsidP="009B607C">
            <w:pPr>
              <w:jc w:val="center"/>
              <w:rPr>
                <w:rFonts w:ascii="Arial Narrow" w:hAnsi="Arial Narrow"/>
                <w:b/>
                <w:sz w:val="18"/>
                <w:szCs w:val="18"/>
              </w:rPr>
            </w:pPr>
            <w:r w:rsidRPr="002A30BA">
              <w:rPr>
                <w:rFonts w:ascii="Arial Narrow" w:hAnsi="Arial Narrow"/>
                <w:b/>
                <w:sz w:val="18"/>
                <w:szCs w:val="18"/>
              </w:rPr>
              <w:t>APR</w:t>
            </w:r>
            <w:r w:rsidRPr="002A30BA">
              <w:rPr>
                <w:rFonts w:ascii="Arial Narrow" w:hAnsi="Arial Narrow"/>
                <w:b/>
                <w:sz w:val="18"/>
                <w:szCs w:val="18"/>
              </w:rPr>
              <w:br/>
            </w:r>
            <w:r w:rsidRPr="002A30BA">
              <w:rPr>
                <w:rFonts w:ascii="Arial Narrow" w:hAnsi="Arial Narrow"/>
                <w:b/>
                <w:iCs/>
                <w:sz w:val="18"/>
                <w:szCs w:val="18"/>
              </w:rPr>
              <w:t>n</w:t>
            </w:r>
            <w:r w:rsidRPr="002A30BA">
              <w:rPr>
                <w:rFonts w:ascii="Arial Narrow" w:hAnsi="Arial Narrow"/>
                <w:b/>
                <w:sz w:val="18"/>
                <w:szCs w:val="18"/>
              </w:rPr>
              <w:t xml:space="preserve"> /</w:t>
            </w:r>
            <w:r w:rsidRPr="002A30BA">
              <w:rPr>
                <w:rFonts w:ascii="Arial Narrow" w:hAnsi="Arial Narrow"/>
                <w:b/>
                <w:iCs/>
                <w:sz w:val="18"/>
                <w:szCs w:val="18"/>
              </w:rPr>
              <w:t>N</w:t>
            </w:r>
            <w:r w:rsidRPr="002A30BA">
              <w:rPr>
                <w:rFonts w:ascii="Arial Narrow" w:hAnsi="Arial Narrow"/>
                <w:b/>
                <w:sz w:val="18"/>
                <w:szCs w:val="18"/>
              </w:rPr>
              <w:t xml:space="preserve"> (%)</w:t>
            </w:r>
          </w:p>
        </w:tc>
        <w:tc>
          <w:tcPr>
            <w:tcW w:w="0" w:type="auto"/>
            <w:gridSpan w:val="2"/>
            <w:vAlign w:val="center"/>
          </w:tcPr>
          <w:p w:rsidR="00EF539F" w:rsidRPr="002A30BA" w:rsidRDefault="00EF539F" w:rsidP="009B607C">
            <w:pPr>
              <w:jc w:val="center"/>
              <w:rPr>
                <w:rFonts w:ascii="Arial Narrow" w:hAnsi="Arial Narrow"/>
                <w:b/>
                <w:sz w:val="18"/>
                <w:szCs w:val="18"/>
              </w:rPr>
            </w:pPr>
            <w:r w:rsidRPr="002A30BA">
              <w:rPr>
                <w:rFonts w:ascii="Arial Narrow" w:hAnsi="Arial Narrow"/>
                <w:b/>
                <w:sz w:val="18"/>
                <w:szCs w:val="18"/>
              </w:rPr>
              <w:t>PBO</w:t>
            </w:r>
            <w:r w:rsidRPr="002A30BA">
              <w:rPr>
                <w:rFonts w:ascii="Arial Narrow" w:hAnsi="Arial Narrow"/>
                <w:b/>
                <w:sz w:val="18"/>
                <w:szCs w:val="18"/>
              </w:rPr>
              <w:br/>
            </w:r>
            <w:r w:rsidRPr="002A30BA">
              <w:rPr>
                <w:rFonts w:ascii="Arial Narrow" w:hAnsi="Arial Narrow"/>
                <w:b/>
                <w:iCs/>
                <w:sz w:val="18"/>
                <w:szCs w:val="18"/>
              </w:rPr>
              <w:t>n</w:t>
            </w:r>
            <w:r w:rsidRPr="002A30BA">
              <w:rPr>
                <w:rFonts w:ascii="Arial Narrow" w:hAnsi="Arial Narrow"/>
                <w:b/>
                <w:sz w:val="18"/>
                <w:szCs w:val="18"/>
              </w:rPr>
              <w:t xml:space="preserve"> /</w:t>
            </w:r>
            <w:r w:rsidRPr="002A30BA">
              <w:rPr>
                <w:rFonts w:ascii="Arial Narrow" w:hAnsi="Arial Narrow"/>
                <w:b/>
                <w:iCs/>
                <w:sz w:val="18"/>
                <w:szCs w:val="18"/>
              </w:rPr>
              <w:t>N</w:t>
            </w:r>
            <w:r w:rsidRPr="002A30BA">
              <w:rPr>
                <w:rFonts w:ascii="Arial Narrow" w:hAnsi="Arial Narrow"/>
                <w:b/>
                <w:sz w:val="18"/>
                <w:szCs w:val="18"/>
              </w:rPr>
              <w:t xml:space="preserve"> (%)</w:t>
            </w:r>
          </w:p>
        </w:tc>
        <w:tc>
          <w:tcPr>
            <w:tcW w:w="0" w:type="auto"/>
            <w:vAlign w:val="center"/>
          </w:tcPr>
          <w:p w:rsidR="00EF539F" w:rsidRPr="002A30BA" w:rsidRDefault="00EF539F" w:rsidP="009B607C">
            <w:pPr>
              <w:jc w:val="center"/>
              <w:rPr>
                <w:rFonts w:ascii="Arial Narrow" w:hAnsi="Arial Narrow"/>
                <w:b/>
                <w:sz w:val="18"/>
                <w:szCs w:val="18"/>
              </w:rPr>
            </w:pPr>
            <w:r w:rsidRPr="002A30BA">
              <w:rPr>
                <w:rFonts w:ascii="Arial Narrow" w:hAnsi="Arial Narrow"/>
                <w:b/>
                <w:sz w:val="18"/>
                <w:szCs w:val="18"/>
              </w:rPr>
              <w:t>ADA</w:t>
            </w:r>
            <w:r w:rsidRPr="002A30BA">
              <w:rPr>
                <w:rFonts w:ascii="Arial Narrow" w:hAnsi="Arial Narrow"/>
                <w:b/>
                <w:sz w:val="18"/>
                <w:szCs w:val="18"/>
              </w:rPr>
              <w:br/>
            </w:r>
            <w:r w:rsidRPr="002A30BA">
              <w:rPr>
                <w:rFonts w:ascii="Arial Narrow" w:hAnsi="Arial Narrow"/>
                <w:b/>
                <w:iCs/>
                <w:sz w:val="18"/>
                <w:szCs w:val="18"/>
              </w:rPr>
              <w:t>n</w:t>
            </w:r>
            <w:r w:rsidRPr="002A30BA">
              <w:rPr>
                <w:rFonts w:ascii="Arial Narrow" w:hAnsi="Arial Narrow"/>
                <w:b/>
                <w:sz w:val="18"/>
                <w:szCs w:val="18"/>
              </w:rPr>
              <w:t xml:space="preserve"> /</w:t>
            </w:r>
            <w:r w:rsidRPr="002A30BA">
              <w:rPr>
                <w:rFonts w:ascii="Arial Narrow" w:hAnsi="Arial Narrow"/>
                <w:b/>
                <w:iCs/>
                <w:sz w:val="18"/>
                <w:szCs w:val="18"/>
              </w:rPr>
              <w:t>N</w:t>
            </w:r>
            <w:r w:rsidRPr="002A30BA">
              <w:rPr>
                <w:rFonts w:ascii="Arial Narrow" w:hAnsi="Arial Narrow"/>
                <w:b/>
                <w:sz w:val="18"/>
                <w:szCs w:val="18"/>
              </w:rPr>
              <w:t xml:space="preserve"> (%)</w:t>
            </w:r>
          </w:p>
        </w:tc>
        <w:tc>
          <w:tcPr>
            <w:tcW w:w="0" w:type="auto"/>
            <w:vAlign w:val="center"/>
          </w:tcPr>
          <w:p w:rsidR="00EF539F" w:rsidRPr="002A30BA" w:rsidRDefault="00EF539F" w:rsidP="009B607C">
            <w:pPr>
              <w:jc w:val="center"/>
              <w:rPr>
                <w:rFonts w:ascii="Arial Narrow" w:hAnsi="Arial Narrow"/>
                <w:b/>
                <w:sz w:val="18"/>
                <w:szCs w:val="18"/>
              </w:rPr>
            </w:pPr>
            <w:proofErr w:type="spellStart"/>
            <w:r w:rsidRPr="002A30BA">
              <w:rPr>
                <w:rFonts w:ascii="Arial Narrow" w:hAnsi="Arial Narrow"/>
                <w:b/>
                <w:sz w:val="18"/>
                <w:szCs w:val="18"/>
              </w:rPr>
              <w:t>RR</w:t>
            </w:r>
            <w:r w:rsidRPr="002A30BA">
              <w:rPr>
                <w:rFonts w:ascii="Arial Narrow" w:hAnsi="Arial Narrow"/>
                <w:b/>
                <w:sz w:val="18"/>
                <w:szCs w:val="18"/>
                <w:vertAlign w:val="superscript"/>
              </w:rPr>
              <w:t>b</w:t>
            </w:r>
            <w:proofErr w:type="spellEnd"/>
            <w:r w:rsidRPr="002A30BA">
              <w:rPr>
                <w:rFonts w:ascii="Arial Narrow" w:hAnsi="Arial Narrow"/>
                <w:b/>
                <w:sz w:val="18"/>
                <w:szCs w:val="18"/>
              </w:rPr>
              <w:br/>
              <w:t>(95% CI)</w:t>
            </w:r>
          </w:p>
        </w:tc>
        <w:tc>
          <w:tcPr>
            <w:tcW w:w="0" w:type="auto"/>
            <w:vAlign w:val="center"/>
          </w:tcPr>
          <w:p w:rsidR="00EF539F" w:rsidRPr="002A30BA" w:rsidRDefault="00EF539F" w:rsidP="009B607C">
            <w:pPr>
              <w:pStyle w:val="TableHeading"/>
              <w:spacing w:before="0" w:after="0"/>
              <w:jc w:val="center"/>
              <w:rPr>
                <w:rFonts w:cs="Arial"/>
                <w:bCs w:val="0"/>
                <w:sz w:val="18"/>
                <w:szCs w:val="18"/>
              </w:rPr>
            </w:pPr>
            <w:proofErr w:type="spellStart"/>
            <w:r w:rsidRPr="002A30BA">
              <w:rPr>
                <w:rFonts w:cs="Arial"/>
                <w:bCs w:val="0"/>
                <w:sz w:val="18"/>
                <w:szCs w:val="18"/>
              </w:rPr>
              <w:t>RD</w:t>
            </w:r>
            <w:r w:rsidRPr="002A30BA">
              <w:rPr>
                <w:rFonts w:cs="Arial"/>
                <w:bCs w:val="0"/>
                <w:sz w:val="18"/>
                <w:szCs w:val="18"/>
                <w:vertAlign w:val="superscript"/>
              </w:rPr>
              <w:t>b</w:t>
            </w:r>
            <w:proofErr w:type="spellEnd"/>
          </w:p>
          <w:p w:rsidR="00EF539F" w:rsidRPr="002A30BA" w:rsidRDefault="00EF539F" w:rsidP="009B607C">
            <w:pPr>
              <w:jc w:val="center"/>
              <w:rPr>
                <w:rFonts w:ascii="Arial Narrow" w:hAnsi="Arial Narrow"/>
                <w:b/>
                <w:sz w:val="18"/>
                <w:szCs w:val="18"/>
              </w:rPr>
            </w:pPr>
            <w:r w:rsidRPr="002A30BA">
              <w:rPr>
                <w:rFonts w:ascii="Arial Narrow" w:hAnsi="Arial Narrow"/>
                <w:b/>
                <w:sz w:val="18"/>
                <w:szCs w:val="18"/>
              </w:rPr>
              <w:t>(95% CI)</w:t>
            </w:r>
          </w:p>
        </w:tc>
        <w:tc>
          <w:tcPr>
            <w:tcW w:w="0" w:type="auto"/>
            <w:vMerge/>
          </w:tcPr>
          <w:p w:rsidR="00EF539F" w:rsidRPr="002A30BA" w:rsidRDefault="00EF539F" w:rsidP="009B607C">
            <w:pPr>
              <w:rPr>
                <w:rFonts w:ascii="Arial Narrow" w:hAnsi="Arial Narrow"/>
                <w:sz w:val="18"/>
                <w:szCs w:val="18"/>
              </w:rPr>
            </w:pPr>
          </w:p>
        </w:tc>
        <w:tc>
          <w:tcPr>
            <w:tcW w:w="0" w:type="auto"/>
            <w:vMerge/>
          </w:tcPr>
          <w:p w:rsidR="00EF539F" w:rsidRPr="002A30BA" w:rsidRDefault="00EF539F" w:rsidP="009B607C">
            <w:pPr>
              <w:rPr>
                <w:rFonts w:ascii="Arial Narrow" w:hAnsi="Arial Narrow"/>
                <w:sz w:val="18"/>
                <w:szCs w:val="18"/>
              </w:rPr>
            </w:pPr>
          </w:p>
        </w:tc>
      </w:tr>
      <w:tr w:rsidR="00EF539F" w:rsidRPr="002A30BA" w:rsidTr="008D5569">
        <w:tc>
          <w:tcPr>
            <w:tcW w:w="0" w:type="auto"/>
            <w:vAlign w:val="center"/>
          </w:tcPr>
          <w:p w:rsidR="00EF539F" w:rsidRPr="002A30BA" w:rsidRDefault="00EF539F" w:rsidP="009B607C">
            <w:pPr>
              <w:jc w:val="left"/>
              <w:rPr>
                <w:rFonts w:ascii="Arial Narrow" w:hAnsi="Arial Narrow"/>
                <w:sz w:val="18"/>
                <w:szCs w:val="18"/>
              </w:rPr>
            </w:pPr>
            <w:r w:rsidRPr="002A30BA">
              <w:rPr>
                <w:rFonts w:ascii="Arial Narrow" w:hAnsi="Arial Narrow"/>
                <w:sz w:val="18"/>
                <w:szCs w:val="18"/>
              </w:rPr>
              <w:t>PALACE 1</w:t>
            </w:r>
          </w:p>
        </w:tc>
        <w:tc>
          <w:tcPr>
            <w:tcW w:w="0" w:type="auto"/>
            <w:vAlign w:val="center"/>
          </w:tcPr>
          <w:p w:rsidR="00EF539F" w:rsidRPr="002A30BA" w:rsidRDefault="00EF539F" w:rsidP="009B607C">
            <w:pPr>
              <w:jc w:val="center"/>
              <w:rPr>
                <w:rFonts w:ascii="Arial Narrow" w:hAnsi="Arial Narrow" w:cstheme="minorBidi"/>
                <w:b/>
                <w:bCs/>
                <w:sz w:val="18"/>
                <w:szCs w:val="18"/>
              </w:rPr>
            </w:pPr>
            <w:r w:rsidRPr="002A30BA">
              <w:rPr>
                <w:rFonts w:ascii="Arial Narrow" w:hAnsi="Arial Narrow" w:cstheme="minorBidi"/>
                <w:b/>
                <w:bCs/>
                <w:sz w:val="18"/>
                <w:szCs w:val="18"/>
              </w:rPr>
              <w:t xml:space="preserve">0.10 </w:t>
            </w:r>
          </w:p>
          <w:p w:rsidR="00EF539F" w:rsidRPr="002A30BA" w:rsidRDefault="00EF539F" w:rsidP="009B607C">
            <w:pPr>
              <w:jc w:val="center"/>
              <w:rPr>
                <w:rFonts w:ascii="Arial Narrow" w:hAnsi="Arial Narrow"/>
                <w:b/>
                <w:bCs/>
                <w:sz w:val="18"/>
                <w:szCs w:val="18"/>
                <w:highlight w:val="yellow"/>
              </w:rPr>
            </w:pPr>
            <w:r w:rsidRPr="002A30BA">
              <w:rPr>
                <w:rFonts w:ascii="Arial Narrow" w:hAnsi="Arial Narrow" w:cstheme="minorBidi"/>
                <w:b/>
                <w:bCs/>
                <w:sz w:val="18"/>
                <w:szCs w:val="18"/>
              </w:rPr>
              <w:t>(0.04, 0.17)</w:t>
            </w:r>
          </w:p>
        </w:tc>
        <w:tc>
          <w:tcPr>
            <w:tcW w:w="0" w:type="auto"/>
            <w:vAlign w:val="center"/>
          </w:tcPr>
          <w:p w:rsidR="00EF539F" w:rsidRPr="002A30BA" w:rsidRDefault="00EF539F" w:rsidP="009B607C">
            <w:pPr>
              <w:jc w:val="center"/>
              <w:rPr>
                <w:rFonts w:ascii="Arial Narrow" w:hAnsi="Arial Narrow" w:cstheme="minorBidi"/>
                <w:b/>
                <w:bCs/>
                <w:sz w:val="18"/>
                <w:szCs w:val="18"/>
              </w:rPr>
            </w:pPr>
            <w:r w:rsidRPr="002A30BA">
              <w:rPr>
                <w:rFonts w:ascii="Arial Narrow" w:hAnsi="Arial Narrow" w:cstheme="minorBidi"/>
                <w:b/>
                <w:bCs/>
                <w:sz w:val="18"/>
                <w:szCs w:val="18"/>
              </w:rPr>
              <w:t xml:space="preserve">2.70 </w:t>
            </w:r>
          </w:p>
          <w:p w:rsidR="00EF539F" w:rsidRPr="002A30BA" w:rsidRDefault="00EF539F" w:rsidP="009B607C">
            <w:pPr>
              <w:jc w:val="center"/>
              <w:rPr>
                <w:rFonts w:ascii="Arial Narrow" w:hAnsi="Arial Narrow"/>
                <w:b/>
                <w:bCs/>
                <w:sz w:val="18"/>
                <w:szCs w:val="18"/>
              </w:rPr>
            </w:pPr>
            <w:r w:rsidRPr="002A30BA">
              <w:rPr>
                <w:rFonts w:ascii="Arial Narrow" w:hAnsi="Arial Narrow" w:cstheme="minorBidi"/>
                <w:b/>
                <w:bCs/>
                <w:sz w:val="18"/>
                <w:szCs w:val="18"/>
              </w:rPr>
              <w:t>(1.35, 5.40)</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cstheme="minorBidi"/>
                <w:sz w:val="18"/>
                <w:szCs w:val="18"/>
              </w:rPr>
              <w:t>27/168 (16.1)</w:t>
            </w:r>
          </w:p>
        </w:tc>
        <w:tc>
          <w:tcPr>
            <w:tcW w:w="0" w:type="auto"/>
            <w:gridSpan w:val="2"/>
            <w:vAlign w:val="center"/>
          </w:tcPr>
          <w:p w:rsidR="00EF539F" w:rsidRPr="002A30BA" w:rsidRDefault="00EF539F" w:rsidP="009B607C">
            <w:pPr>
              <w:jc w:val="center"/>
              <w:rPr>
                <w:rFonts w:ascii="Arial Narrow" w:hAnsi="Arial Narrow" w:cstheme="minorBidi"/>
                <w:sz w:val="18"/>
                <w:szCs w:val="18"/>
              </w:rPr>
            </w:pPr>
            <w:r w:rsidRPr="002A30BA">
              <w:rPr>
                <w:rFonts w:ascii="Arial Narrow" w:hAnsi="Arial Narrow" w:cstheme="minorBidi"/>
                <w:sz w:val="18"/>
                <w:szCs w:val="18"/>
              </w:rPr>
              <w:t xml:space="preserve">10/168 </w:t>
            </w:r>
          </w:p>
          <w:p w:rsidR="00EF539F" w:rsidRPr="002A30BA" w:rsidRDefault="00EF539F" w:rsidP="009B607C">
            <w:pPr>
              <w:jc w:val="center"/>
              <w:rPr>
                <w:rFonts w:ascii="Arial Narrow" w:hAnsi="Arial Narrow"/>
                <w:sz w:val="18"/>
                <w:szCs w:val="18"/>
              </w:rPr>
            </w:pPr>
            <w:r w:rsidRPr="002A30BA">
              <w:rPr>
                <w:rFonts w:ascii="Arial Narrow" w:hAnsi="Arial Narrow" w:cstheme="minorBidi"/>
                <w:sz w:val="18"/>
                <w:szCs w:val="18"/>
              </w:rPr>
              <w:t>(6.0)</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r>
      <w:tr w:rsidR="00EF539F" w:rsidRPr="002A30BA" w:rsidTr="008D5569">
        <w:tc>
          <w:tcPr>
            <w:tcW w:w="0" w:type="auto"/>
            <w:vAlign w:val="center"/>
          </w:tcPr>
          <w:p w:rsidR="00EF539F" w:rsidRPr="002A30BA" w:rsidRDefault="00EF539F" w:rsidP="009B607C">
            <w:pPr>
              <w:jc w:val="left"/>
              <w:rPr>
                <w:rFonts w:ascii="Arial Narrow" w:hAnsi="Arial Narrow"/>
                <w:sz w:val="18"/>
                <w:szCs w:val="18"/>
              </w:rPr>
            </w:pPr>
            <w:r w:rsidRPr="002A30BA">
              <w:rPr>
                <w:rFonts w:ascii="Arial Narrow" w:hAnsi="Arial Narrow"/>
                <w:sz w:val="18"/>
                <w:szCs w:val="18"/>
              </w:rPr>
              <w:t>PALACE 2</w:t>
            </w:r>
          </w:p>
        </w:tc>
        <w:tc>
          <w:tcPr>
            <w:tcW w:w="0" w:type="auto"/>
            <w:vAlign w:val="center"/>
          </w:tcPr>
          <w:p w:rsidR="00EF539F" w:rsidRPr="002A30BA" w:rsidRDefault="00EF539F" w:rsidP="009B607C">
            <w:pPr>
              <w:jc w:val="center"/>
              <w:rPr>
                <w:rFonts w:ascii="Arial Narrow" w:hAnsi="Arial Narrow" w:cstheme="minorBidi"/>
                <w:sz w:val="18"/>
                <w:szCs w:val="18"/>
              </w:rPr>
            </w:pPr>
            <w:r w:rsidRPr="002A30BA">
              <w:rPr>
                <w:rFonts w:ascii="Arial Narrow" w:hAnsi="Arial Narrow" w:cstheme="minorBidi"/>
                <w:sz w:val="18"/>
                <w:szCs w:val="18"/>
              </w:rPr>
              <w:t xml:space="preserve">0.05 </w:t>
            </w:r>
          </w:p>
          <w:p w:rsidR="00EF539F" w:rsidRPr="002A30BA" w:rsidRDefault="00EF539F" w:rsidP="009B607C">
            <w:pPr>
              <w:jc w:val="center"/>
              <w:rPr>
                <w:rFonts w:ascii="Arial Narrow" w:hAnsi="Arial Narrow"/>
                <w:b/>
                <w:bCs/>
                <w:sz w:val="18"/>
                <w:szCs w:val="18"/>
                <w:highlight w:val="yellow"/>
              </w:rPr>
            </w:pPr>
            <w:r w:rsidRPr="002A30BA">
              <w:rPr>
                <w:rFonts w:ascii="Arial Narrow" w:hAnsi="Arial Narrow" w:cstheme="minorBidi"/>
                <w:sz w:val="18"/>
                <w:szCs w:val="18"/>
              </w:rPr>
              <w:t>(0.00, 0.11)</w:t>
            </w:r>
          </w:p>
        </w:tc>
        <w:tc>
          <w:tcPr>
            <w:tcW w:w="0" w:type="auto"/>
            <w:vAlign w:val="center"/>
          </w:tcPr>
          <w:p w:rsidR="00EF539F" w:rsidRPr="002A30BA" w:rsidRDefault="00EF539F" w:rsidP="009B607C">
            <w:pPr>
              <w:jc w:val="center"/>
              <w:rPr>
                <w:rFonts w:ascii="Arial Narrow" w:hAnsi="Arial Narrow" w:cstheme="minorBidi"/>
                <w:sz w:val="18"/>
                <w:szCs w:val="18"/>
              </w:rPr>
            </w:pPr>
            <w:r w:rsidRPr="002A30BA">
              <w:rPr>
                <w:rFonts w:ascii="Arial Narrow" w:hAnsi="Arial Narrow" w:cstheme="minorBidi"/>
                <w:sz w:val="18"/>
                <w:szCs w:val="18"/>
              </w:rPr>
              <w:t xml:space="preserve">2.09 </w:t>
            </w:r>
          </w:p>
          <w:p w:rsidR="00EF539F" w:rsidRPr="002A30BA" w:rsidRDefault="00EF539F" w:rsidP="009B607C">
            <w:pPr>
              <w:jc w:val="center"/>
              <w:rPr>
                <w:rFonts w:ascii="Arial Narrow" w:hAnsi="Arial Narrow"/>
                <w:b/>
                <w:bCs/>
                <w:sz w:val="18"/>
                <w:szCs w:val="18"/>
              </w:rPr>
            </w:pPr>
            <w:r w:rsidRPr="002A30BA">
              <w:rPr>
                <w:rFonts w:ascii="Arial Narrow" w:hAnsi="Arial Narrow" w:cstheme="minorBidi"/>
                <w:sz w:val="18"/>
                <w:szCs w:val="18"/>
              </w:rPr>
              <w:t>(0.93, 4.69)</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cstheme="minorBidi"/>
                <w:sz w:val="18"/>
                <w:szCs w:val="18"/>
              </w:rPr>
              <w:t>17/162 (10.5)</w:t>
            </w:r>
          </w:p>
        </w:tc>
        <w:tc>
          <w:tcPr>
            <w:tcW w:w="0" w:type="auto"/>
            <w:gridSpan w:val="2"/>
            <w:vAlign w:val="center"/>
          </w:tcPr>
          <w:p w:rsidR="00EF539F" w:rsidRPr="002A30BA" w:rsidRDefault="00EF539F" w:rsidP="009B607C">
            <w:pPr>
              <w:jc w:val="center"/>
              <w:rPr>
                <w:rFonts w:ascii="Arial Narrow" w:hAnsi="Arial Narrow" w:cstheme="minorBidi"/>
                <w:sz w:val="18"/>
                <w:szCs w:val="18"/>
              </w:rPr>
            </w:pPr>
            <w:r w:rsidRPr="002A30BA">
              <w:rPr>
                <w:rFonts w:ascii="Arial Narrow" w:hAnsi="Arial Narrow" w:cstheme="minorBidi"/>
                <w:sz w:val="18"/>
                <w:szCs w:val="18"/>
              </w:rPr>
              <w:t xml:space="preserve">8/159 </w:t>
            </w:r>
          </w:p>
          <w:p w:rsidR="00EF539F" w:rsidRPr="002A30BA" w:rsidRDefault="00EF539F" w:rsidP="009B607C">
            <w:pPr>
              <w:jc w:val="center"/>
              <w:rPr>
                <w:rFonts w:ascii="Arial Narrow" w:hAnsi="Arial Narrow"/>
                <w:sz w:val="18"/>
                <w:szCs w:val="18"/>
              </w:rPr>
            </w:pPr>
            <w:r w:rsidRPr="002A30BA">
              <w:rPr>
                <w:rFonts w:ascii="Arial Narrow" w:hAnsi="Arial Narrow" w:cstheme="minorBidi"/>
                <w:sz w:val="18"/>
                <w:szCs w:val="18"/>
              </w:rPr>
              <w:t>(5.0)</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r>
      <w:tr w:rsidR="00EF539F" w:rsidRPr="002A30BA" w:rsidTr="008D5569">
        <w:tc>
          <w:tcPr>
            <w:tcW w:w="0" w:type="auto"/>
            <w:vAlign w:val="center"/>
          </w:tcPr>
          <w:p w:rsidR="00EF539F" w:rsidRPr="002A30BA" w:rsidRDefault="00EF539F" w:rsidP="009B607C">
            <w:pPr>
              <w:jc w:val="left"/>
              <w:rPr>
                <w:rFonts w:ascii="Arial Narrow" w:hAnsi="Arial Narrow"/>
                <w:sz w:val="18"/>
                <w:szCs w:val="18"/>
              </w:rPr>
            </w:pPr>
            <w:r w:rsidRPr="002A30BA">
              <w:rPr>
                <w:rFonts w:ascii="Arial Narrow" w:hAnsi="Arial Narrow"/>
                <w:sz w:val="18"/>
                <w:szCs w:val="18"/>
              </w:rPr>
              <w:t>PALACE 3</w:t>
            </w:r>
          </w:p>
        </w:tc>
        <w:tc>
          <w:tcPr>
            <w:tcW w:w="0" w:type="auto"/>
            <w:vAlign w:val="center"/>
          </w:tcPr>
          <w:p w:rsidR="00EF539F" w:rsidRPr="002A30BA" w:rsidRDefault="00EF539F" w:rsidP="009B607C">
            <w:pPr>
              <w:jc w:val="center"/>
              <w:rPr>
                <w:rFonts w:ascii="Arial Narrow" w:hAnsi="Arial Narrow" w:cstheme="minorBidi"/>
                <w:sz w:val="18"/>
                <w:szCs w:val="18"/>
              </w:rPr>
            </w:pPr>
            <w:r w:rsidRPr="002A30BA">
              <w:rPr>
                <w:rFonts w:ascii="Arial Narrow" w:hAnsi="Arial Narrow" w:cstheme="minorBidi"/>
                <w:sz w:val="18"/>
                <w:szCs w:val="18"/>
              </w:rPr>
              <w:t xml:space="preserve">0.07 </w:t>
            </w:r>
          </w:p>
          <w:p w:rsidR="00EF539F" w:rsidRPr="002A30BA" w:rsidRDefault="00EF539F" w:rsidP="009B607C">
            <w:pPr>
              <w:jc w:val="center"/>
              <w:rPr>
                <w:rFonts w:ascii="Arial Narrow" w:hAnsi="Arial Narrow"/>
                <w:b/>
                <w:bCs/>
                <w:sz w:val="18"/>
                <w:szCs w:val="18"/>
                <w:highlight w:val="yellow"/>
              </w:rPr>
            </w:pPr>
            <w:r w:rsidRPr="002A30BA">
              <w:rPr>
                <w:rFonts w:ascii="Arial Narrow" w:hAnsi="Arial Narrow" w:cstheme="minorBidi"/>
                <w:sz w:val="18"/>
                <w:szCs w:val="18"/>
              </w:rPr>
              <w:t>(0.00, 0.14)</w:t>
            </w:r>
          </w:p>
        </w:tc>
        <w:tc>
          <w:tcPr>
            <w:tcW w:w="0" w:type="auto"/>
            <w:vAlign w:val="center"/>
          </w:tcPr>
          <w:p w:rsidR="00EF539F" w:rsidRPr="002A30BA" w:rsidRDefault="00EF539F" w:rsidP="009B607C">
            <w:pPr>
              <w:jc w:val="center"/>
              <w:rPr>
                <w:rFonts w:ascii="Arial Narrow" w:hAnsi="Arial Narrow" w:cstheme="minorBidi"/>
                <w:sz w:val="18"/>
                <w:szCs w:val="18"/>
              </w:rPr>
            </w:pPr>
            <w:r w:rsidRPr="002A30BA">
              <w:rPr>
                <w:rFonts w:ascii="Arial Narrow" w:hAnsi="Arial Narrow" w:cstheme="minorBidi"/>
                <w:sz w:val="18"/>
                <w:szCs w:val="18"/>
              </w:rPr>
              <w:t xml:space="preserve">1.81 </w:t>
            </w:r>
          </w:p>
          <w:p w:rsidR="00EF539F" w:rsidRPr="002A30BA" w:rsidRDefault="00EF539F" w:rsidP="009B607C">
            <w:pPr>
              <w:jc w:val="center"/>
              <w:rPr>
                <w:rFonts w:ascii="Arial Narrow" w:hAnsi="Arial Narrow"/>
                <w:b/>
                <w:bCs/>
                <w:sz w:val="18"/>
                <w:szCs w:val="18"/>
              </w:rPr>
            </w:pPr>
            <w:r w:rsidRPr="002A30BA">
              <w:rPr>
                <w:rFonts w:ascii="Arial Narrow" w:hAnsi="Arial Narrow" w:cstheme="minorBidi"/>
                <w:sz w:val="18"/>
                <w:szCs w:val="18"/>
              </w:rPr>
              <w:t>(0.97, 3.35)</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cstheme="minorBidi"/>
                <w:sz w:val="18"/>
                <w:szCs w:val="18"/>
              </w:rPr>
              <w:t xml:space="preserve">25/167 (15.0) </w:t>
            </w:r>
          </w:p>
        </w:tc>
        <w:tc>
          <w:tcPr>
            <w:tcW w:w="0" w:type="auto"/>
            <w:gridSpan w:val="2"/>
            <w:vAlign w:val="center"/>
          </w:tcPr>
          <w:p w:rsidR="00EF539F" w:rsidRPr="002A30BA" w:rsidRDefault="00EF539F" w:rsidP="009B607C">
            <w:pPr>
              <w:jc w:val="center"/>
              <w:rPr>
                <w:rFonts w:ascii="Arial Narrow" w:hAnsi="Arial Narrow" w:cstheme="minorBidi"/>
                <w:sz w:val="18"/>
                <w:szCs w:val="18"/>
              </w:rPr>
            </w:pPr>
            <w:r w:rsidRPr="002A30BA">
              <w:rPr>
                <w:rFonts w:ascii="Arial Narrow" w:hAnsi="Arial Narrow" w:cstheme="minorBidi"/>
                <w:sz w:val="18"/>
                <w:szCs w:val="18"/>
              </w:rPr>
              <w:t xml:space="preserve">14/169 </w:t>
            </w:r>
          </w:p>
          <w:p w:rsidR="00EF539F" w:rsidRPr="002A30BA" w:rsidRDefault="00EF539F" w:rsidP="009B607C">
            <w:pPr>
              <w:jc w:val="center"/>
              <w:rPr>
                <w:rFonts w:ascii="Arial Narrow" w:hAnsi="Arial Narrow"/>
                <w:sz w:val="18"/>
                <w:szCs w:val="18"/>
              </w:rPr>
            </w:pPr>
            <w:r w:rsidRPr="002A30BA">
              <w:rPr>
                <w:rFonts w:ascii="Arial Narrow" w:hAnsi="Arial Narrow" w:cstheme="minorBidi"/>
                <w:sz w:val="18"/>
                <w:szCs w:val="18"/>
              </w:rPr>
              <w:t>(8.3)</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r>
      <w:tr w:rsidR="00EF539F" w:rsidRPr="002A30BA" w:rsidTr="008D5569">
        <w:tc>
          <w:tcPr>
            <w:tcW w:w="0" w:type="auto"/>
            <w:vAlign w:val="center"/>
          </w:tcPr>
          <w:p w:rsidR="00EF539F" w:rsidRPr="002A30BA" w:rsidRDefault="00EF539F" w:rsidP="009B607C">
            <w:pPr>
              <w:jc w:val="left"/>
              <w:rPr>
                <w:rFonts w:ascii="Arial Narrow" w:hAnsi="Arial Narrow"/>
                <w:sz w:val="18"/>
                <w:szCs w:val="18"/>
              </w:rPr>
            </w:pPr>
            <w:proofErr w:type="spellStart"/>
            <w:r w:rsidRPr="002A30BA">
              <w:rPr>
                <w:rFonts w:ascii="Arial Narrow" w:hAnsi="Arial Narrow"/>
                <w:sz w:val="18"/>
                <w:szCs w:val="18"/>
              </w:rPr>
              <w:t>Mease</w:t>
            </w:r>
            <w:proofErr w:type="spellEnd"/>
            <w:r w:rsidRPr="002A30BA">
              <w:rPr>
                <w:rFonts w:ascii="Arial Narrow" w:hAnsi="Arial Narrow"/>
                <w:sz w:val="18"/>
                <w:szCs w:val="18"/>
              </w:rPr>
              <w:t xml:space="preserve"> 2005</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gridSpan w:val="2"/>
            <w:vAlign w:val="center"/>
          </w:tcPr>
          <w:p w:rsidR="00EF539F" w:rsidRPr="002A30BA" w:rsidRDefault="00EF539F" w:rsidP="009B607C">
            <w:pPr>
              <w:jc w:val="center"/>
              <w:rPr>
                <w:rFonts w:ascii="Arial Narrow" w:hAnsi="Arial Narrow" w:cstheme="minorBidi"/>
                <w:sz w:val="18"/>
                <w:szCs w:val="18"/>
              </w:rPr>
            </w:pPr>
            <w:r w:rsidRPr="002A30BA">
              <w:rPr>
                <w:rFonts w:ascii="Arial Narrow" w:hAnsi="Arial Narrow" w:cstheme="minorBidi"/>
                <w:sz w:val="18"/>
                <w:szCs w:val="18"/>
              </w:rPr>
              <w:t>6/162</w:t>
            </w:r>
          </w:p>
          <w:p w:rsidR="00EF539F" w:rsidRPr="002A30BA" w:rsidRDefault="00EF539F" w:rsidP="009B607C">
            <w:pPr>
              <w:jc w:val="center"/>
              <w:rPr>
                <w:rFonts w:ascii="Arial Narrow" w:hAnsi="Arial Narrow"/>
                <w:sz w:val="18"/>
                <w:szCs w:val="18"/>
              </w:rPr>
            </w:pPr>
            <w:r w:rsidRPr="002A30BA">
              <w:rPr>
                <w:rFonts w:ascii="Arial Narrow" w:hAnsi="Arial Narrow" w:cstheme="minorBidi"/>
                <w:sz w:val="18"/>
                <w:szCs w:val="18"/>
              </w:rPr>
              <w:t>(4)</w:t>
            </w:r>
          </w:p>
        </w:tc>
        <w:tc>
          <w:tcPr>
            <w:tcW w:w="0" w:type="auto"/>
            <w:vAlign w:val="center"/>
          </w:tcPr>
          <w:p w:rsidR="00EF539F" w:rsidRPr="002A30BA" w:rsidRDefault="00EF539F" w:rsidP="009B607C">
            <w:pPr>
              <w:jc w:val="center"/>
              <w:rPr>
                <w:rFonts w:ascii="Arial Narrow" w:hAnsi="Arial Narrow" w:cstheme="minorBidi"/>
                <w:sz w:val="18"/>
                <w:szCs w:val="18"/>
              </w:rPr>
            </w:pPr>
            <w:r w:rsidRPr="002A30BA">
              <w:rPr>
                <w:rFonts w:ascii="Arial Narrow" w:hAnsi="Arial Narrow" w:cstheme="minorBidi"/>
                <w:sz w:val="18"/>
                <w:szCs w:val="18"/>
              </w:rPr>
              <w:t>54/</w:t>
            </w:r>
            <w:r w:rsidRPr="002A30BA">
              <w:rPr>
                <w:rFonts w:ascii="Arial Narrow" w:hAnsi="Arial Narrow" w:cstheme="minorBidi"/>
                <w:iCs/>
                <w:sz w:val="18"/>
                <w:szCs w:val="18"/>
              </w:rPr>
              <w:t>153</w:t>
            </w:r>
            <w:r w:rsidRPr="002A30BA">
              <w:rPr>
                <w:rFonts w:ascii="Arial Narrow" w:hAnsi="Arial Narrow" w:cstheme="minorBidi"/>
                <w:sz w:val="18"/>
                <w:szCs w:val="18"/>
                <w:vertAlign w:val="superscript"/>
              </w:rPr>
              <w:t>d</w:t>
            </w:r>
          </w:p>
          <w:p w:rsidR="00EF539F" w:rsidRPr="002A30BA" w:rsidRDefault="00EF539F" w:rsidP="009B607C">
            <w:pPr>
              <w:jc w:val="center"/>
              <w:rPr>
                <w:rFonts w:ascii="Arial Narrow" w:hAnsi="Arial Narrow"/>
                <w:sz w:val="18"/>
                <w:szCs w:val="18"/>
              </w:rPr>
            </w:pPr>
            <w:r w:rsidRPr="002A30BA">
              <w:rPr>
                <w:rFonts w:ascii="Arial Narrow" w:hAnsi="Arial Narrow" w:cstheme="minorBidi"/>
                <w:sz w:val="18"/>
                <w:szCs w:val="18"/>
              </w:rPr>
              <w:t>(35)</w:t>
            </w:r>
          </w:p>
        </w:tc>
        <w:tc>
          <w:tcPr>
            <w:tcW w:w="0" w:type="auto"/>
            <w:vAlign w:val="center"/>
          </w:tcPr>
          <w:p w:rsidR="00EF539F" w:rsidRPr="002A30BA" w:rsidRDefault="00EF539F" w:rsidP="009B607C">
            <w:pPr>
              <w:pStyle w:val="TableText0"/>
              <w:spacing w:before="0" w:after="0"/>
              <w:jc w:val="center"/>
              <w:rPr>
                <w:rFonts w:cstheme="minorBidi"/>
                <w:b/>
                <w:bCs/>
                <w:iCs/>
                <w:sz w:val="18"/>
                <w:szCs w:val="18"/>
              </w:rPr>
            </w:pPr>
            <w:r w:rsidRPr="002A30BA">
              <w:rPr>
                <w:rFonts w:cstheme="minorBidi"/>
                <w:b/>
                <w:bCs/>
                <w:iCs/>
                <w:sz w:val="18"/>
                <w:szCs w:val="18"/>
              </w:rPr>
              <w:t>9.53</w:t>
            </w:r>
          </w:p>
          <w:p w:rsidR="00EF539F" w:rsidRPr="002A30BA" w:rsidRDefault="00EF539F" w:rsidP="009B607C">
            <w:pPr>
              <w:jc w:val="center"/>
              <w:rPr>
                <w:rFonts w:ascii="Arial Narrow" w:hAnsi="Arial Narrow"/>
                <w:iCs/>
                <w:sz w:val="18"/>
                <w:szCs w:val="18"/>
              </w:rPr>
            </w:pPr>
            <w:r w:rsidRPr="002A30BA">
              <w:rPr>
                <w:rFonts w:ascii="Arial Narrow" w:hAnsi="Arial Narrow" w:cstheme="minorBidi"/>
                <w:b/>
                <w:bCs/>
                <w:iCs/>
                <w:sz w:val="18"/>
                <w:szCs w:val="18"/>
              </w:rPr>
              <w:t>(4.22, 21.5)</w:t>
            </w:r>
          </w:p>
        </w:tc>
        <w:tc>
          <w:tcPr>
            <w:tcW w:w="0" w:type="auto"/>
            <w:vAlign w:val="center"/>
          </w:tcPr>
          <w:p w:rsidR="00EF539F" w:rsidRPr="002A30BA" w:rsidRDefault="00EF539F" w:rsidP="009B607C">
            <w:pPr>
              <w:jc w:val="center"/>
              <w:rPr>
                <w:rFonts w:ascii="Arial Narrow" w:hAnsi="Arial Narrow"/>
                <w:b/>
                <w:bCs/>
                <w:iCs/>
                <w:sz w:val="18"/>
                <w:szCs w:val="18"/>
              </w:rPr>
            </w:pPr>
            <w:r w:rsidRPr="002A30BA">
              <w:rPr>
                <w:rFonts w:ascii="Arial Narrow" w:hAnsi="Arial Narrow"/>
                <w:b/>
                <w:bCs/>
                <w:iCs/>
                <w:sz w:val="18"/>
                <w:szCs w:val="18"/>
              </w:rPr>
              <w:t>0.32</w:t>
            </w:r>
          </w:p>
          <w:p w:rsidR="00EF539F" w:rsidRPr="002A30BA" w:rsidRDefault="00EF539F" w:rsidP="009B607C">
            <w:pPr>
              <w:jc w:val="center"/>
              <w:rPr>
                <w:rFonts w:ascii="Arial Narrow" w:hAnsi="Arial Narrow"/>
                <w:b/>
                <w:bCs/>
                <w:sz w:val="18"/>
                <w:szCs w:val="18"/>
              </w:rPr>
            </w:pPr>
            <w:r w:rsidRPr="002A30BA">
              <w:rPr>
                <w:rFonts w:ascii="Arial Narrow" w:hAnsi="Arial Narrow"/>
                <w:b/>
                <w:bCs/>
                <w:iCs/>
                <w:sz w:val="18"/>
                <w:szCs w:val="18"/>
              </w:rPr>
              <w:t>(0.23, 0.40)</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r>
      <w:tr w:rsidR="00EF539F" w:rsidRPr="002A30BA" w:rsidTr="008D5569">
        <w:tc>
          <w:tcPr>
            <w:tcW w:w="0" w:type="auto"/>
            <w:vAlign w:val="center"/>
          </w:tcPr>
          <w:p w:rsidR="00EF539F" w:rsidRPr="002A30BA" w:rsidRDefault="00EF539F" w:rsidP="009B607C">
            <w:pPr>
              <w:jc w:val="left"/>
              <w:rPr>
                <w:rFonts w:ascii="Arial Narrow" w:hAnsi="Arial Narrow"/>
                <w:sz w:val="18"/>
                <w:szCs w:val="18"/>
              </w:rPr>
            </w:pPr>
            <w:r w:rsidRPr="002A30BA">
              <w:rPr>
                <w:rFonts w:ascii="Arial Narrow" w:hAnsi="Arial Narrow"/>
                <w:sz w:val="18"/>
                <w:szCs w:val="18"/>
              </w:rPr>
              <w:t>Genovese 2007</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gridSpan w:val="2"/>
            <w:vAlign w:val="center"/>
          </w:tcPr>
          <w:p w:rsidR="00EF539F" w:rsidRPr="002A30BA" w:rsidRDefault="00EF539F" w:rsidP="009B607C">
            <w:pPr>
              <w:jc w:val="center"/>
              <w:rPr>
                <w:rFonts w:ascii="Arial Narrow" w:hAnsi="Arial Narrow" w:cstheme="minorBidi"/>
                <w:sz w:val="18"/>
                <w:szCs w:val="18"/>
              </w:rPr>
            </w:pPr>
            <w:r w:rsidRPr="002A30BA">
              <w:rPr>
                <w:rFonts w:ascii="Arial Narrow" w:hAnsi="Arial Narrow" w:cstheme="minorBidi"/>
                <w:sz w:val="18"/>
                <w:szCs w:val="18"/>
              </w:rPr>
              <w:t>1/</w:t>
            </w:r>
            <w:r w:rsidRPr="002A30BA">
              <w:rPr>
                <w:rFonts w:ascii="Arial Narrow" w:hAnsi="Arial Narrow" w:cstheme="minorBidi"/>
                <w:iCs/>
                <w:sz w:val="18"/>
                <w:szCs w:val="18"/>
              </w:rPr>
              <w:t>51</w:t>
            </w:r>
            <w:r w:rsidRPr="002A30BA">
              <w:rPr>
                <w:rFonts w:ascii="Arial Narrow" w:hAnsi="Arial Narrow" w:cstheme="minorBidi"/>
                <w:iCs/>
                <w:sz w:val="18"/>
                <w:szCs w:val="18"/>
                <w:vertAlign w:val="superscript"/>
              </w:rPr>
              <w:t>e</w:t>
            </w:r>
          </w:p>
          <w:p w:rsidR="00EF539F" w:rsidRPr="002A30BA" w:rsidRDefault="00EF539F" w:rsidP="009B607C">
            <w:pPr>
              <w:jc w:val="center"/>
              <w:rPr>
                <w:rFonts w:ascii="Arial Narrow" w:hAnsi="Arial Narrow" w:cstheme="minorBidi"/>
                <w:iCs/>
                <w:sz w:val="18"/>
                <w:szCs w:val="18"/>
              </w:rPr>
            </w:pPr>
            <w:r w:rsidRPr="002A30BA">
              <w:rPr>
                <w:rFonts w:ascii="Arial Narrow" w:hAnsi="Arial Narrow" w:cstheme="minorBidi"/>
                <w:sz w:val="18"/>
                <w:szCs w:val="18"/>
              </w:rPr>
              <w:t>(2)</w:t>
            </w:r>
          </w:p>
        </w:tc>
        <w:tc>
          <w:tcPr>
            <w:tcW w:w="0" w:type="auto"/>
            <w:vAlign w:val="center"/>
          </w:tcPr>
          <w:p w:rsidR="00EF539F" w:rsidRPr="002A30BA" w:rsidRDefault="00EF539F" w:rsidP="009B607C">
            <w:pPr>
              <w:jc w:val="center"/>
              <w:rPr>
                <w:rFonts w:ascii="Arial Narrow" w:hAnsi="Arial Narrow" w:cstheme="minorBidi"/>
                <w:sz w:val="18"/>
                <w:szCs w:val="18"/>
              </w:rPr>
            </w:pPr>
            <w:r w:rsidRPr="002A30BA">
              <w:rPr>
                <w:rFonts w:ascii="Arial Narrow" w:hAnsi="Arial Narrow" w:cstheme="minorBidi"/>
                <w:sz w:val="18"/>
                <w:szCs w:val="18"/>
              </w:rPr>
              <w:t>13/51</w:t>
            </w:r>
          </w:p>
          <w:p w:rsidR="00EF539F" w:rsidRPr="002A30BA" w:rsidRDefault="00EF539F" w:rsidP="009B607C">
            <w:pPr>
              <w:jc w:val="center"/>
              <w:rPr>
                <w:rFonts w:ascii="Arial Narrow" w:hAnsi="Arial Narrow" w:cstheme="minorBidi"/>
                <w:iCs/>
                <w:sz w:val="18"/>
                <w:szCs w:val="18"/>
              </w:rPr>
            </w:pPr>
            <w:r w:rsidRPr="002A30BA">
              <w:rPr>
                <w:rFonts w:ascii="Arial Narrow" w:hAnsi="Arial Narrow" w:cstheme="minorBidi"/>
                <w:sz w:val="18"/>
                <w:szCs w:val="18"/>
              </w:rPr>
              <w:t>(25)</w:t>
            </w:r>
          </w:p>
        </w:tc>
        <w:tc>
          <w:tcPr>
            <w:tcW w:w="0" w:type="auto"/>
            <w:vAlign w:val="center"/>
          </w:tcPr>
          <w:p w:rsidR="00EF539F" w:rsidRPr="002A30BA" w:rsidRDefault="00EF539F" w:rsidP="009B607C">
            <w:pPr>
              <w:pStyle w:val="TableText0"/>
              <w:spacing w:before="0" w:after="0"/>
              <w:jc w:val="center"/>
              <w:rPr>
                <w:rFonts w:cstheme="minorBidi"/>
                <w:b/>
                <w:bCs/>
                <w:iCs/>
                <w:sz w:val="18"/>
                <w:szCs w:val="18"/>
              </w:rPr>
            </w:pPr>
            <w:r w:rsidRPr="002A30BA">
              <w:rPr>
                <w:rFonts w:cstheme="minorBidi"/>
                <w:b/>
                <w:bCs/>
                <w:iCs/>
                <w:sz w:val="18"/>
                <w:szCs w:val="18"/>
              </w:rPr>
              <w:t>13.00</w:t>
            </w:r>
          </w:p>
          <w:p w:rsidR="00EF539F" w:rsidRPr="002A30BA" w:rsidRDefault="00EF539F" w:rsidP="009B607C">
            <w:pPr>
              <w:pStyle w:val="TableText0"/>
              <w:spacing w:before="0" w:after="0"/>
              <w:jc w:val="center"/>
              <w:rPr>
                <w:rFonts w:cstheme="minorBidi"/>
                <w:b/>
                <w:bCs/>
                <w:iCs/>
                <w:sz w:val="18"/>
                <w:szCs w:val="18"/>
              </w:rPr>
            </w:pPr>
            <w:r w:rsidRPr="002A30BA">
              <w:rPr>
                <w:rFonts w:cstheme="minorBidi"/>
                <w:b/>
                <w:bCs/>
                <w:iCs/>
                <w:sz w:val="18"/>
                <w:szCs w:val="18"/>
              </w:rPr>
              <w:t>(1.77, 95.7)</w:t>
            </w:r>
          </w:p>
        </w:tc>
        <w:tc>
          <w:tcPr>
            <w:tcW w:w="0" w:type="auto"/>
            <w:vAlign w:val="center"/>
          </w:tcPr>
          <w:p w:rsidR="00EF539F" w:rsidRPr="002A30BA" w:rsidRDefault="00EF539F" w:rsidP="009B607C">
            <w:pPr>
              <w:jc w:val="center"/>
              <w:rPr>
                <w:rFonts w:ascii="Arial Narrow" w:hAnsi="Arial Narrow"/>
                <w:b/>
                <w:bCs/>
                <w:iCs/>
                <w:sz w:val="18"/>
                <w:szCs w:val="18"/>
              </w:rPr>
            </w:pPr>
            <w:r w:rsidRPr="002A30BA">
              <w:rPr>
                <w:rFonts w:ascii="Arial Narrow" w:hAnsi="Arial Narrow"/>
                <w:b/>
                <w:bCs/>
                <w:iCs/>
                <w:sz w:val="18"/>
                <w:szCs w:val="18"/>
              </w:rPr>
              <w:t>0.24</w:t>
            </w:r>
          </w:p>
          <w:p w:rsidR="00EF539F" w:rsidRPr="002A30BA" w:rsidRDefault="00EF539F" w:rsidP="009B607C">
            <w:pPr>
              <w:jc w:val="center"/>
              <w:rPr>
                <w:rFonts w:ascii="Arial Narrow" w:hAnsi="Arial Narrow"/>
                <w:b/>
                <w:bCs/>
                <w:iCs/>
                <w:sz w:val="18"/>
                <w:szCs w:val="18"/>
              </w:rPr>
            </w:pPr>
            <w:r w:rsidRPr="002A30BA">
              <w:rPr>
                <w:rFonts w:ascii="Arial Narrow" w:hAnsi="Arial Narrow"/>
                <w:b/>
                <w:bCs/>
                <w:iCs/>
                <w:sz w:val="18"/>
                <w:szCs w:val="18"/>
              </w:rPr>
              <w:t>(0.11, 0.36)</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c>
          <w:tcPr>
            <w:tcW w:w="0" w:type="auto"/>
            <w:vAlign w:val="center"/>
          </w:tcPr>
          <w:p w:rsidR="00EF539F" w:rsidRPr="002A30BA" w:rsidRDefault="00EF539F" w:rsidP="009B607C">
            <w:pPr>
              <w:jc w:val="center"/>
              <w:rPr>
                <w:rFonts w:ascii="Arial Narrow" w:hAnsi="Arial Narrow"/>
                <w:sz w:val="18"/>
                <w:szCs w:val="18"/>
              </w:rPr>
            </w:pPr>
            <w:r w:rsidRPr="002A30BA">
              <w:rPr>
                <w:rFonts w:ascii="Arial Narrow" w:hAnsi="Arial Narrow"/>
                <w:sz w:val="18"/>
                <w:szCs w:val="18"/>
              </w:rPr>
              <w:t>–</w:t>
            </w:r>
          </w:p>
        </w:tc>
      </w:tr>
      <w:tr w:rsidR="00EF539F" w:rsidRPr="002A30BA" w:rsidTr="008D5569">
        <w:tc>
          <w:tcPr>
            <w:tcW w:w="0" w:type="auto"/>
            <w:vAlign w:val="center"/>
          </w:tcPr>
          <w:p w:rsidR="00EF539F" w:rsidRPr="002A30BA" w:rsidRDefault="00EF539F" w:rsidP="009B607C">
            <w:pPr>
              <w:jc w:val="left"/>
              <w:rPr>
                <w:rFonts w:ascii="Arial Narrow" w:hAnsi="Arial Narrow"/>
                <w:sz w:val="18"/>
                <w:szCs w:val="18"/>
              </w:rPr>
            </w:pPr>
            <w:r w:rsidRPr="002A30BA">
              <w:rPr>
                <w:rFonts w:ascii="Arial Narrow" w:hAnsi="Arial Narrow"/>
                <w:sz w:val="18"/>
                <w:szCs w:val="18"/>
              </w:rPr>
              <w:t>Pooled</w:t>
            </w:r>
          </w:p>
        </w:tc>
        <w:tc>
          <w:tcPr>
            <w:tcW w:w="0" w:type="auto"/>
            <w:vAlign w:val="center"/>
          </w:tcPr>
          <w:p w:rsidR="00EF539F" w:rsidRPr="002A30BA" w:rsidRDefault="00EF539F" w:rsidP="009B607C">
            <w:pPr>
              <w:jc w:val="center"/>
              <w:rPr>
                <w:rFonts w:ascii="Arial Narrow" w:hAnsi="Arial Narrow" w:cstheme="minorBidi"/>
                <w:b/>
                <w:bCs/>
                <w:sz w:val="18"/>
                <w:szCs w:val="18"/>
              </w:rPr>
            </w:pPr>
            <w:r w:rsidRPr="002A30BA">
              <w:rPr>
                <w:rFonts w:ascii="Arial Narrow" w:hAnsi="Arial Narrow" w:cstheme="minorBidi"/>
                <w:b/>
                <w:bCs/>
                <w:sz w:val="18"/>
                <w:szCs w:val="18"/>
              </w:rPr>
              <w:t xml:space="preserve">0.07 </w:t>
            </w:r>
          </w:p>
          <w:p w:rsidR="00EF539F" w:rsidRPr="002A30BA" w:rsidRDefault="00EF539F" w:rsidP="009B607C">
            <w:pPr>
              <w:jc w:val="center"/>
              <w:rPr>
                <w:rFonts w:ascii="Arial Narrow" w:hAnsi="Arial Narrow"/>
                <w:b/>
                <w:bCs/>
                <w:sz w:val="18"/>
                <w:szCs w:val="18"/>
              </w:rPr>
            </w:pPr>
            <w:r w:rsidRPr="002A30BA">
              <w:rPr>
                <w:rFonts w:ascii="Arial Narrow" w:hAnsi="Arial Narrow" w:cstheme="minorBidi"/>
                <w:b/>
                <w:bCs/>
                <w:sz w:val="18"/>
                <w:szCs w:val="18"/>
              </w:rPr>
              <w:t>(0.04, 0.11)</w:t>
            </w:r>
          </w:p>
        </w:tc>
        <w:tc>
          <w:tcPr>
            <w:tcW w:w="0" w:type="auto"/>
            <w:vAlign w:val="center"/>
          </w:tcPr>
          <w:p w:rsidR="00EF539F" w:rsidRPr="002A30BA" w:rsidRDefault="00EF539F" w:rsidP="009B607C">
            <w:pPr>
              <w:jc w:val="center"/>
              <w:rPr>
                <w:rFonts w:ascii="Arial Narrow" w:hAnsi="Arial Narrow" w:cstheme="minorBidi"/>
                <w:b/>
                <w:bCs/>
                <w:sz w:val="18"/>
                <w:szCs w:val="18"/>
              </w:rPr>
            </w:pPr>
            <w:r w:rsidRPr="002A30BA">
              <w:rPr>
                <w:rFonts w:ascii="Arial Narrow" w:hAnsi="Arial Narrow" w:cstheme="minorBidi"/>
                <w:b/>
                <w:bCs/>
                <w:sz w:val="18"/>
                <w:szCs w:val="18"/>
              </w:rPr>
              <w:t xml:space="preserve">2.14 </w:t>
            </w:r>
          </w:p>
          <w:p w:rsidR="00EF539F" w:rsidRPr="002A30BA" w:rsidRDefault="00EF539F" w:rsidP="009B607C">
            <w:pPr>
              <w:jc w:val="center"/>
              <w:rPr>
                <w:rFonts w:ascii="Arial Narrow" w:hAnsi="Arial Narrow"/>
                <w:sz w:val="18"/>
                <w:szCs w:val="18"/>
              </w:rPr>
            </w:pPr>
            <w:r w:rsidRPr="002A30BA">
              <w:rPr>
                <w:rFonts w:ascii="Arial Narrow" w:hAnsi="Arial Narrow" w:cstheme="minorBidi"/>
                <w:b/>
                <w:bCs/>
                <w:sz w:val="18"/>
                <w:szCs w:val="18"/>
              </w:rPr>
              <w:t>(1.43, 3.20)</w:t>
            </w:r>
          </w:p>
        </w:tc>
        <w:tc>
          <w:tcPr>
            <w:tcW w:w="0" w:type="auto"/>
            <w:vAlign w:val="center"/>
          </w:tcPr>
          <w:p w:rsidR="00EF539F" w:rsidRPr="002A30BA" w:rsidRDefault="00EF539F" w:rsidP="009B607C">
            <w:pPr>
              <w:jc w:val="center"/>
              <w:rPr>
                <w:rFonts w:ascii="Arial Narrow" w:hAnsi="Arial Narrow"/>
                <w:b/>
                <w:bCs/>
                <w:iCs/>
                <w:sz w:val="18"/>
                <w:szCs w:val="18"/>
              </w:rPr>
            </w:pPr>
            <w:r w:rsidRPr="002A30BA">
              <w:rPr>
                <w:rFonts w:ascii="Arial Narrow" w:hAnsi="Arial Narrow"/>
                <w:b/>
                <w:bCs/>
                <w:iCs/>
                <w:sz w:val="18"/>
                <w:szCs w:val="18"/>
              </w:rPr>
              <w:t>69/497 (13.9)</w:t>
            </w:r>
          </w:p>
        </w:tc>
        <w:tc>
          <w:tcPr>
            <w:tcW w:w="0" w:type="auto"/>
            <w:gridSpan w:val="2"/>
            <w:vAlign w:val="center"/>
          </w:tcPr>
          <w:p w:rsidR="00EF539F" w:rsidRPr="002A30BA" w:rsidRDefault="00EF539F" w:rsidP="009B607C">
            <w:pPr>
              <w:jc w:val="center"/>
              <w:rPr>
                <w:rFonts w:ascii="Arial Narrow" w:hAnsi="Arial Narrow"/>
                <w:iCs/>
                <w:sz w:val="18"/>
                <w:szCs w:val="18"/>
              </w:rPr>
            </w:pPr>
          </w:p>
        </w:tc>
        <w:tc>
          <w:tcPr>
            <w:tcW w:w="0" w:type="auto"/>
            <w:vAlign w:val="center"/>
          </w:tcPr>
          <w:p w:rsidR="00EF539F" w:rsidRPr="002A30BA" w:rsidRDefault="00EF539F" w:rsidP="009B607C">
            <w:pPr>
              <w:jc w:val="center"/>
              <w:rPr>
                <w:rFonts w:ascii="Arial Narrow" w:hAnsi="Arial Narrow"/>
                <w:b/>
                <w:bCs/>
                <w:iCs/>
                <w:sz w:val="18"/>
                <w:szCs w:val="18"/>
              </w:rPr>
            </w:pPr>
            <w:r w:rsidRPr="002A30BA">
              <w:rPr>
                <w:rFonts w:ascii="Arial Narrow" w:hAnsi="Arial Narrow"/>
                <w:b/>
                <w:bCs/>
                <w:iCs/>
                <w:sz w:val="18"/>
                <w:szCs w:val="18"/>
              </w:rPr>
              <w:t>67/202</w:t>
            </w:r>
          </w:p>
          <w:p w:rsidR="00EF539F" w:rsidRPr="002A30BA" w:rsidRDefault="00EF539F" w:rsidP="009B607C">
            <w:pPr>
              <w:jc w:val="center"/>
              <w:rPr>
                <w:rFonts w:ascii="Arial Narrow" w:hAnsi="Arial Narrow"/>
                <w:iCs/>
                <w:sz w:val="18"/>
                <w:szCs w:val="18"/>
              </w:rPr>
            </w:pPr>
            <w:r w:rsidRPr="002A30BA">
              <w:rPr>
                <w:rFonts w:ascii="Arial Narrow" w:hAnsi="Arial Narrow"/>
                <w:b/>
                <w:bCs/>
                <w:iCs/>
                <w:sz w:val="18"/>
                <w:szCs w:val="18"/>
              </w:rPr>
              <w:t>(33.2)</w:t>
            </w:r>
          </w:p>
        </w:tc>
        <w:tc>
          <w:tcPr>
            <w:tcW w:w="0" w:type="auto"/>
            <w:vAlign w:val="center"/>
          </w:tcPr>
          <w:p w:rsidR="00EF539F" w:rsidRPr="002A30BA" w:rsidRDefault="00EF539F" w:rsidP="009B607C">
            <w:pPr>
              <w:pStyle w:val="TableText0"/>
              <w:spacing w:before="0" w:after="0"/>
              <w:jc w:val="center"/>
              <w:rPr>
                <w:rFonts w:cstheme="minorBidi"/>
                <w:b/>
                <w:bCs/>
                <w:iCs/>
                <w:sz w:val="18"/>
                <w:szCs w:val="18"/>
              </w:rPr>
            </w:pPr>
            <w:r w:rsidRPr="002A30BA">
              <w:rPr>
                <w:rFonts w:cstheme="minorBidi"/>
                <w:b/>
                <w:bCs/>
                <w:iCs/>
                <w:sz w:val="18"/>
                <w:szCs w:val="18"/>
              </w:rPr>
              <w:t>9.96</w:t>
            </w:r>
          </w:p>
          <w:p w:rsidR="00EF539F" w:rsidRPr="002A30BA" w:rsidRDefault="00EF539F" w:rsidP="009B607C">
            <w:pPr>
              <w:jc w:val="center"/>
              <w:rPr>
                <w:rFonts w:ascii="Arial Narrow" w:hAnsi="Arial Narrow"/>
                <w:sz w:val="18"/>
                <w:szCs w:val="18"/>
              </w:rPr>
            </w:pPr>
            <w:r w:rsidRPr="002A30BA">
              <w:rPr>
                <w:rFonts w:ascii="Arial Narrow" w:hAnsi="Arial Narrow" w:cstheme="minorBidi"/>
                <w:b/>
                <w:bCs/>
                <w:iCs/>
                <w:sz w:val="18"/>
                <w:szCs w:val="18"/>
              </w:rPr>
              <w:t>(4.69, 21.2)</w:t>
            </w:r>
          </w:p>
        </w:tc>
        <w:tc>
          <w:tcPr>
            <w:tcW w:w="0" w:type="auto"/>
            <w:vAlign w:val="center"/>
          </w:tcPr>
          <w:p w:rsidR="00EF539F" w:rsidRPr="002A30BA" w:rsidRDefault="00EF539F" w:rsidP="009B607C">
            <w:pPr>
              <w:jc w:val="center"/>
              <w:rPr>
                <w:rFonts w:ascii="Arial Narrow" w:hAnsi="Arial Narrow"/>
                <w:b/>
                <w:bCs/>
                <w:iCs/>
                <w:sz w:val="18"/>
                <w:szCs w:val="18"/>
              </w:rPr>
            </w:pPr>
            <w:r w:rsidRPr="002A30BA">
              <w:rPr>
                <w:rFonts w:ascii="Arial Narrow" w:hAnsi="Arial Narrow"/>
                <w:b/>
                <w:bCs/>
                <w:iCs/>
                <w:sz w:val="18"/>
                <w:szCs w:val="18"/>
              </w:rPr>
              <w:t>0.29</w:t>
            </w:r>
          </w:p>
          <w:p w:rsidR="00EF539F" w:rsidRPr="002A30BA" w:rsidRDefault="00EF539F" w:rsidP="009B607C">
            <w:pPr>
              <w:jc w:val="center"/>
              <w:rPr>
                <w:rFonts w:ascii="Arial Narrow" w:hAnsi="Arial Narrow"/>
                <w:b/>
                <w:bCs/>
                <w:sz w:val="18"/>
                <w:szCs w:val="18"/>
              </w:rPr>
            </w:pPr>
            <w:r w:rsidRPr="002A30BA">
              <w:rPr>
                <w:rFonts w:ascii="Arial Narrow" w:hAnsi="Arial Narrow"/>
                <w:b/>
                <w:bCs/>
                <w:iCs/>
                <w:sz w:val="18"/>
                <w:szCs w:val="18"/>
              </w:rPr>
              <w:t>(0.22, 0.36)</w:t>
            </w:r>
          </w:p>
        </w:tc>
        <w:tc>
          <w:tcPr>
            <w:tcW w:w="0" w:type="auto"/>
            <w:vAlign w:val="center"/>
          </w:tcPr>
          <w:p w:rsidR="00EF539F" w:rsidRPr="002A30BA" w:rsidRDefault="00EF539F" w:rsidP="009B607C">
            <w:pPr>
              <w:pStyle w:val="TableText0"/>
              <w:spacing w:before="0" w:after="0"/>
              <w:jc w:val="center"/>
              <w:rPr>
                <w:rFonts w:cstheme="minorBidi"/>
                <w:b/>
                <w:bCs/>
                <w:iCs/>
                <w:sz w:val="18"/>
                <w:szCs w:val="18"/>
              </w:rPr>
            </w:pPr>
            <w:r w:rsidRPr="002A30BA">
              <w:rPr>
                <w:rFonts w:cstheme="minorBidi"/>
                <w:b/>
                <w:bCs/>
                <w:iCs/>
                <w:sz w:val="18"/>
                <w:szCs w:val="18"/>
              </w:rPr>
              <w:t>0.22</w:t>
            </w:r>
          </w:p>
          <w:p w:rsidR="00EF539F" w:rsidRPr="002A30BA" w:rsidRDefault="00EF539F" w:rsidP="009B607C">
            <w:pPr>
              <w:jc w:val="center"/>
              <w:rPr>
                <w:rFonts w:ascii="Arial Narrow" w:hAnsi="Arial Narrow"/>
                <w:iCs/>
                <w:sz w:val="18"/>
                <w:szCs w:val="18"/>
              </w:rPr>
            </w:pPr>
            <w:r w:rsidRPr="002A30BA">
              <w:rPr>
                <w:rFonts w:ascii="Arial Narrow" w:hAnsi="Arial Narrow" w:cstheme="minorBidi"/>
                <w:b/>
                <w:bCs/>
                <w:iCs/>
                <w:sz w:val="18"/>
                <w:szCs w:val="18"/>
              </w:rPr>
              <w:t>(0.09, 0.51)</w:t>
            </w:r>
          </w:p>
        </w:tc>
        <w:tc>
          <w:tcPr>
            <w:tcW w:w="0" w:type="auto"/>
            <w:vAlign w:val="center"/>
          </w:tcPr>
          <w:p w:rsidR="00EF539F" w:rsidRPr="002A30BA" w:rsidRDefault="00EF539F" w:rsidP="009B607C">
            <w:pPr>
              <w:jc w:val="center"/>
              <w:rPr>
                <w:rFonts w:ascii="Arial Narrow" w:hAnsi="Arial Narrow"/>
                <w:b/>
                <w:bCs/>
                <w:iCs/>
                <w:sz w:val="18"/>
                <w:szCs w:val="18"/>
              </w:rPr>
            </w:pPr>
            <w:r w:rsidRPr="002A30BA">
              <w:rPr>
                <w:rFonts w:ascii="Arial Narrow" w:hAnsi="Arial Narrow"/>
                <w:b/>
                <w:bCs/>
                <w:iCs/>
                <w:sz w:val="18"/>
                <w:szCs w:val="18"/>
              </w:rPr>
              <w:t>-0.22</w:t>
            </w:r>
          </w:p>
          <w:p w:rsidR="00EF539F" w:rsidRPr="002A30BA" w:rsidRDefault="00EF539F" w:rsidP="009B607C">
            <w:pPr>
              <w:jc w:val="center"/>
              <w:rPr>
                <w:rFonts w:ascii="Arial Narrow" w:hAnsi="Arial Narrow"/>
                <w:iCs/>
                <w:sz w:val="18"/>
                <w:szCs w:val="18"/>
              </w:rPr>
            </w:pPr>
            <w:r w:rsidRPr="002A30BA">
              <w:rPr>
                <w:rFonts w:ascii="Arial Narrow" w:hAnsi="Arial Narrow"/>
                <w:b/>
                <w:bCs/>
                <w:iCs/>
                <w:sz w:val="18"/>
                <w:szCs w:val="18"/>
              </w:rPr>
              <w:t>(-0.30, -0.14)</w:t>
            </w:r>
          </w:p>
        </w:tc>
      </w:tr>
    </w:tbl>
    <w:p w:rsidR="008D5569" w:rsidRPr="002A30BA" w:rsidRDefault="008D5569" w:rsidP="00144501">
      <w:pPr>
        <w:pStyle w:val="TableFooter"/>
        <w:tabs>
          <w:tab w:val="left" w:pos="709"/>
        </w:tabs>
        <w:jc w:val="left"/>
        <w:rPr>
          <w:rFonts w:cstheme="minorBidi"/>
        </w:rPr>
      </w:pPr>
      <w:r w:rsidRPr="002A30BA">
        <w:rPr>
          <w:szCs w:val="22"/>
        </w:rPr>
        <w:tab/>
      </w:r>
      <w:r w:rsidRPr="002A30BA">
        <w:t xml:space="preserve">Source: </w:t>
      </w:r>
      <w:r w:rsidRPr="002A30BA">
        <w:rPr>
          <w:rFonts w:cstheme="minorBidi"/>
        </w:rPr>
        <w:t>Tables B-46-B-48, p72 of the resubmission.</w:t>
      </w:r>
    </w:p>
    <w:p w:rsidR="008D5569" w:rsidRPr="002A30BA" w:rsidRDefault="008D5569" w:rsidP="00144501">
      <w:pPr>
        <w:pStyle w:val="TableFooter"/>
        <w:tabs>
          <w:tab w:val="left" w:pos="709"/>
        </w:tabs>
        <w:ind w:left="709"/>
      </w:pPr>
      <w:r w:rsidRPr="002A30BA">
        <w:t>Abbreviations: CI = confidence interval;</w:t>
      </w:r>
      <w:r w:rsidRPr="002A30BA">
        <w:rPr>
          <w:iCs/>
        </w:rPr>
        <w:t xml:space="preserve"> n </w:t>
      </w:r>
      <w:r w:rsidRPr="002A30BA">
        <w:t>= number with event;</w:t>
      </w:r>
      <w:r w:rsidRPr="002A30BA">
        <w:rPr>
          <w:iCs/>
        </w:rPr>
        <w:t xml:space="preserve"> N </w:t>
      </w:r>
      <w:r w:rsidRPr="002A30BA">
        <w:t>= number in group; RD = risk difference; RR = relative risk.</w:t>
      </w:r>
    </w:p>
    <w:p w:rsidR="008D5569" w:rsidRPr="002A30BA" w:rsidRDefault="008D5569" w:rsidP="00144501">
      <w:pPr>
        <w:pStyle w:val="TableFooter"/>
        <w:tabs>
          <w:tab w:val="left" w:pos="284"/>
          <w:tab w:val="left" w:pos="709"/>
          <w:tab w:val="left" w:pos="993"/>
        </w:tabs>
      </w:pPr>
      <w:r w:rsidRPr="002A30BA">
        <w:rPr>
          <w:vertAlign w:val="superscript"/>
        </w:rPr>
        <w:tab/>
      </w:r>
      <w:r w:rsidRPr="002A30BA">
        <w:rPr>
          <w:vertAlign w:val="superscript"/>
        </w:rPr>
        <w:tab/>
      </w:r>
      <w:proofErr w:type="gramStart"/>
      <w:r w:rsidRPr="002A30BA">
        <w:rPr>
          <w:vertAlign w:val="superscript"/>
        </w:rPr>
        <w:t>a</w:t>
      </w:r>
      <w:proofErr w:type="gramEnd"/>
      <w:r w:rsidRPr="002A30BA">
        <w:tab/>
      </w:r>
      <w:proofErr w:type="spellStart"/>
      <w:r w:rsidRPr="002A30BA">
        <w:t>apremilast</w:t>
      </w:r>
      <w:proofErr w:type="spellEnd"/>
      <w:r w:rsidRPr="002A30BA">
        <w:t xml:space="preserve"> over placebo</w:t>
      </w:r>
    </w:p>
    <w:p w:rsidR="008D5569" w:rsidRPr="002A30BA" w:rsidRDefault="008D5569" w:rsidP="00144501">
      <w:pPr>
        <w:pStyle w:val="TableFooter"/>
        <w:tabs>
          <w:tab w:val="left" w:pos="284"/>
          <w:tab w:val="left" w:pos="709"/>
          <w:tab w:val="left" w:pos="993"/>
        </w:tabs>
      </w:pPr>
      <w:r w:rsidRPr="002A30BA">
        <w:rPr>
          <w:vertAlign w:val="superscript"/>
        </w:rPr>
        <w:tab/>
      </w:r>
      <w:r w:rsidRPr="002A30BA">
        <w:rPr>
          <w:vertAlign w:val="superscript"/>
        </w:rPr>
        <w:tab/>
      </w:r>
      <w:proofErr w:type="gramStart"/>
      <w:r w:rsidRPr="002A30BA">
        <w:rPr>
          <w:vertAlign w:val="superscript"/>
        </w:rPr>
        <w:t>b</w:t>
      </w:r>
      <w:proofErr w:type="gramEnd"/>
      <w:r w:rsidRPr="002A30BA">
        <w:tab/>
        <w:t>adalimumab over placebo</w:t>
      </w:r>
    </w:p>
    <w:p w:rsidR="008D5569" w:rsidRPr="002A30BA" w:rsidRDefault="008D5569" w:rsidP="00144501">
      <w:pPr>
        <w:pStyle w:val="TableFooter"/>
        <w:tabs>
          <w:tab w:val="left" w:pos="284"/>
          <w:tab w:val="left" w:pos="709"/>
          <w:tab w:val="left" w:pos="993"/>
        </w:tabs>
      </w:pPr>
      <w:r w:rsidRPr="002A30BA">
        <w:rPr>
          <w:vertAlign w:val="superscript"/>
        </w:rPr>
        <w:tab/>
      </w:r>
      <w:r w:rsidRPr="002A30BA">
        <w:rPr>
          <w:vertAlign w:val="superscript"/>
        </w:rPr>
        <w:tab/>
      </w:r>
      <w:proofErr w:type="gramStart"/>
      <w:r w:rsidRPr="002A30BA">
        <w:rPr>
          <w:vertAlign w:val="superscript"/>
        </w:rPr>
        <w:t>c</w:t>
      </w:r>
      <w:proofErr w:type="gramEnd"/>
      <w:r w:rsidRPr="002A30BA">
        <w:tab/>
        <w:t xml:space="preserve">inferred as </w:t>
      </w:r>
      <w:proofErr w:type="spellStart"/>
      <w:r w:rsidRPr="002A30BA">
        <w:t>apremilast</w:t>
      </w:r>
      <w:proofErr w:type="spellEnd"/>
      <w:r w:rsidRPr="002A30BA">
        <w:t xml:space="preserve"> over adalimumab</w:t>
      </w:r>
    </w:p>
    <w:p w:rsidR="008D5569" w:rsidRPr="002A30BA" w:rsidRDefault="008D5569" w:rsidP="00144501">
      <w:pPr>
        <w:pStyle w:val="TableFooter"/>
        <w:tabs>
          <w:tab w:val="left" w:pos="284"/>
          <w:tab w:val="left" w:pos="709"/>
        </w:tabs>
        <w:ind w:left="993" w:hanging="993"/>
      </w:pPr>
      <w:r w:rsidRPr="002A30BA">
        <w:rPr>
          <w:vertAlign w:val="superscript"/>
        </w:rPr>
        <w:tab/>
      </w:r>
      <w:r w:rsidRPr="002A30BA">
        <w:rPr>
          <w:vertAlign w:val="superscript"/>
        </w:rPr>
        <w:tab/>
      </w:r>
      <w:proofErr w:type="gramStart"/>
      <w:r w:rsidRPr="002A30BA">
        <w:rPr>
          <w:vertAlign w:val="superscript"/>
        </w:rPr>
        <w:t>d</w:t>
      </w:r>
      <w:proofErr w:type="gramEnd"/>
      <w:r w:rsidRPr="002A30BA">
        <w:tab/>
        <w:t xml:space="preserve">the resubmission used 151 patients treated instead of 153 patients randomised to the placebo arm in the trial (Figure 1, p3282 of the </w:t>
      </w:r>
      <w:proofErr w:type="spellStart"/>
      <w:r w:rsidRPr="002A30BA">
        <w:t>Mease</w:t>
      </w:r>
      <w:proofErr w:type="spellEnd"/>
      <w:r w:rsidRPr="002A30BA">
        <w:t xml:space="preserve"> 2005 publication)</w:t>
      </w:r>
    </w:p>
    <w:p w:rsidR="008D5569" w:rsidRPr="002A30BA" w:rsidRDefault="008D5569" w:rsidP="00144501">
      <w:pPr>
        <w:pStyle w:val="TableFooter"/>
        <w:tabs>
          <w:tab w:val="left" w:pos="284"/>
          <w:tab w:val="left" w:pos="709"/>
        </w:tabs>
        <w:ind w:left="993" w:hanging="993"/>
      </w:pPr>
      <w:r w:rsidRPr="002A30BA">
        <w:rPr>
          <w:vertAlign w:val="superscript"/>
        </w:rPr>
        <w:tab/>
      </w:r>
      <w:r w:rsidRPr="002A30BA">
        <w:rPr>
          <w:vertAlign w:val="superscript"/>
        </w:rPr>
        <w:tab/>
      </w:r>
      <w:proofErr w:type="gramStart"/>
      <w:r w:rsidRPr="002A30BA">
        <w:rPr>
          <w:vertAlign w:val="superscript"/>
        </w:rPr>
        <w:t>e</w:t>
      </w:r>
      <w:proofErr w:type="gramEnd"/>
      <w:r w:rsidRPr="002A30BA">
        <w:tab/>
        <w:t>the resubmission used 49 patients treated instead of 51 patients randomised to the placebo arm in the trial (Figure 1, p1043 of the Genovese 2007 publication)</w:t>
      </w:r>
    </w:p>
    <w:p w:rsidR="00D06FD4" w:rsidRDefault="00D06FD4" w:rsidP="00144501">
      <w:pPr>
        <w:tabs>
          <w:tab w:val="left" w:pos="709"/>
        </w:tabs>
        <w:rPr>
          <w:szCs w:val="22"/>
        </w:rPr>
      </w:pPr>
    </w:p>
    <w:p w:rsidR="00B60939" w:rsidRPr="002965CF" w:rsidRDefault="00B60939" w:rsidP="0093180A">
      <w:pPr>
        <w:pStyle w:val="Heading2"/>
      </w:pPr>
      <w:bookmarkStart w:id="9" w:name="_Toc430164099"/>
      <w:r w:rsidRPr="002965CF">
        <w:t>Comparative harms</w:t>
      </w:r>
      <w:bookmarkEnd w:id="9"/>
    </w:p>
    <w:p w:rsidR="00B60939" w:rsidRPr="00882085" w:rsidRDefault="00B60939" w:rsidP="00B60939">
      <w:pPr>
        <w:ind w:left="720" w:hanging="720"/>
        <w:rPr>
          <w:szCs w:val="22"/>
        </w:rPr>
      </w:pPr>
    </w:p>
    <w:p w:rsidR="00AC6A45" w:rsidRPr="00AC6A45" w:rsidRDefault="00F424C7" w:rsidP="00582D67">
      <w:pPr>
        <w:pStyle w:val="ListParagraph"/>
        <w:widowControl/>
        <w:numPr>
          <w:ilvl w:val="1"/>
          <w:numId w:val="5"/>
        </w:numPr>
        <w:rPr>
          <w:szCs w:val="22"/>
        </w:rPr>
      </w:pPr>
      <w:r w:rsidRPr="00F424C7">
        <w:t xml:space="preserve">In the </w:t>
      </w:r>
      <w:proofErr w:type="spellStart"/>
      <w:r w:rsidRPr="00F424C7">
        <w:t>apremilast</w:t>
      </w:r>
      <w:proofErr w:type="spellEnd"/>
      <w:r w:rsidRPr="00F424C7">
        <w:t xml:space="preserve"> trials, the incidence of AEs, serious AEs, severe AEs and AEs leading to drug withdrawal were less frequent during Weeks 52 to ≤1</w:t>
      </w:r>
      <w:r w:rsidR="002965CF">
        <w:t xml:space="preserve">04 relative to Weeks 0 to ≤52. </w:t>
      </w:r>
      <w:r w:rsidRPr="00F424C7">
        <w:t>Weight loss &gt;5% was observed in 13.9% subjects in the Week 0 to ≤52 period and 23.8% subje</w:t>
      </w:r>
      <w:r w:rsidR="002965CF">
        <w:t xml:space="preserve">cts in the Week 52 to ≤104 period. </w:t>
      </w:r>
      <w:r w:rsidRPr="00F424C7">
        <w:t xml:space="preserve">Mean weight </w:t>
      </w:r>
      <w:r w:rsidR="002965CF">
        <w:t>changes were -0.92 kg and -1.32 </w:t>
      </w:r>
      <w:r w:rsidRPr="00F424C7">
        <w:t xml:space="preserve">kg across the two time periods respectively. </w:t>
      </w:r>
      <w:r w:rsidR="00F75DE9" w:rsidRPr="0059257D">
        <w:t>In the adalimumab trials, the incidence of AEs, serious AEs, severe AEs and AEs leading to drug withdrawal were more frequent during the longer-term adalimumab exposure period relative to the initial double-bl</w:t>
      </w:r>
      <w:r w:rsidR="002965CF">
        <w:t xml:space="preserve">ind, placebo-controlled phase. </w:t>
      </w:r>
      <w:r w:rsidR="00F75DE9" w:rsidRPr="0059257D">
        <w:t>Infections were also more frequent during the longer-term exposure period relative to the initial placebo-controlled phase.</w:t>
      </w:r>
    </w:p>
    <w:p w:rsidR="00AC6A45" w:rsidRPr="002965CF" w:rsidRDefault="00AC6A45" w:rsidP="00AC6A45">
      <w:pPr>
        <w:widowControl/>
        <w:rPr>
          <w:szCs w:val="22"/>
        </w:rPr>
      </w:pPr>
    </w:p>
    <w:p w:rsidR="00AC6A45" w:rsidRPr="001B40BA" w:rsidRDefault="00AC6A45" w:rsidP="00030BF1">
      <w:pPr>
        <w:pStyle w:val="ListParagraph"/>
        <w:widowControl/>
        <w:numPr>
          <w:ilvl w:val="1"/>
          <w:numId w:val="5"/>
        </w:numPr>
        <w:rPr>
          <w:rFonts w:asciiTheme="minorBidi" w:hAnsiTheme="minorBidi" w:cstheme="minorBidi"/>
          <w:szCs w:val="22"/>
        </w:rPr>
      </w:pPr>
      <w:r w:rsidRPr="00CC05BC">
        <w:t>The resubmission d</w:t>
      </w:r>
      <w:r w:rsidR="00030BF1">
        <w:t>id</w:t>
      </w:r>
      <w:r w:rsidRPr="00CC05BC">
        <w:t xml:space="preserve"> not conduct a formal indirect treatment comparison for safety because safety outcomes were measured differently in the trials and at different time </w:t>
      </w:r>
      <w:r w:rsidRPr="00CC05BC">
        <w:lastRenderedPageBreak/>
        <w:t>points</w:t>
      </w:r>
      <w:r w:rsidR="002965CF">
        <w:t xml:space="preserve">. </w:t>
      </w:r>
      <w:r w:rsidR="00223735" w:rsidRPr="004C1068">
        <w:rPr>
          <w:rFonts w:asciiTheme="minorBidi" w:hAnsiTheme="minorBidi" w:cstheme="minorBidi"/>
          <w:iCs/>
          <w:szCs w:val="22"/>
        </w:rPr>
        <w:t>The naïve indirect comparison of long-term safety presented by the resubmission is based on open-label non-comparative safety data.</w:t>
      </w:r>
    </w:p>
    <w:p w:rsidR="001B40BA" w:rsidRPr="002965CF" w:rsidRDefault="001B40BA" w:rsidP="001B40BA">
      <w:pPr>
        <w:rPr>
          <w:rFonts w:asciiTheme="minorBidi" w:hAnsiTheme="minorBidi" w:cstheme="minorBidi"/>
          <w:szCs w:val="22"/>
        </w:rPr>
      </w:pPr>
    </w:p>
    <w:p w:rsidR="001B40BA" w:rsidRPr="002E4CD2" w:rsidRDefault="001B40BA" w:rsidP="00030BF1">
      <w:pPr>
        <w:pStyle w:val="ListParagraph"/>
        <w:widowControl/>
        <w:numPr>
          <w:ilvl w:val="1"/>
          <w:numId w:val="5"/>
        </w:numPr>
        <w:rPr>
          <w:rFonts w:asciiTheme="minorBidi" w:hAnsiTheme="minorBidi" w:cstheme="minorBidi"/>
          <w:szCs w:val="22"/>
        </w:rPr>
      </w:pPr>
      <w:r w:rsidRPr="002E4CD2">
        <w:rPr>
          <w:rFonts w:asciiTheme="minorBidi" w:hAnsiTheme="minorBidi" w:cstheme="minorBidi"/>
          <w:szCs w:val="22"/>
        </w:rPr>
        <w:t xml:space="preserve">The ESC noted an increased risk of depression and suicidal ideation in the </w:t>
      </w:r>
      <w:proofErr w:type="spellStart"/>
      <w:r w:rsidRPr="002E4CD2">
        <w:rPr>
          <w:rFonts w:asciiTheme="minorBidi" w:hAnsiTheme="minorBidi" w:cstheme="minorBidi"/>
          <w:szCs w:val="22"/>
        </w:rPr>
        <w:t>apremilast</w:t>
      </w:r>
      <w:proofErr w:type="spellEnd"/>
      <w:r w:rsidRPr="002E4CD2">
        <w:rPr>
          <w:rFonts w:asciiTheme="minorBidi" w:hAnsiTheme="minorBidi" w:cstheme="minorBidi"/>
          <w:szCs w:val="22"/>
        </w:rPr>
        <w:t xml:space="preserve"> trials. Table </w:t>
      </w:r>
      <w:r w:rsidR="008D5569" w:rsidRPr="002E4CD2">
        <w:rPr>
          <w:rFonts w:asciiTheme="minorBidi" w:hAnsiTheme="minorBidi" w:cstheme="minorBidi"/>
          <w:szCs w:val="22"/>
        </w:rPr>
        <w:t>4</w:t>
      </w:r>
      <w:r w:rsidRPr="002E4CD2">
        <w:rPr>
          <w:rFonts w:asciiTheme="minorBidi" w:hAnsiTheme="minorBidi" w:cstheme="minorBidi"/>
          <w:szCs w:val="22"/>
        </w:rPr>
        <w:t xml:space="preserve"> below summarises the</w:t>
      </w:r>
      <w:r w:rsidR="003647F3" w:rsidRPr="002E4CD2">
        <w:rPr>
          <w:rFonts w:asciiTheme="minorBidi" w:hAnsiTheme="minorBidi" w:cstheme="minorBidi"/>
          <w:szCs w:val="22"/>
        </w:rPr>
        <w:t>se</w:t>
      </w:r>
      <w:r w:rsidRPr="002E4CD2">
        <w:rPr>
          <w:rFonts w:asciiTheme="minorBidi" w:hAnsiTheme="minorBidi" w:cstheme="minorBidi"/>
          <w:szCs w:val="22"/>
        </w:rPr>
        <w:t xml:space="preserve"> adverse events experience by patients treated with </w:t>
      </w:r>
      <w:proofErr w:type="spellStart"/>
      <w:r w:rsidRPr="002E4CD2">
        <w:rPr>
          <w:rFonts w:asciiTheme="minorBidi" w:hAnsiTheme="minorBidi" w:cstheme="minorBidi"/>
          <w:szCs w:val="22"/>
        </w:rPr>
        <w:t>apremilast</w:t>
      </w:r>
      <w:proofErr w:type="spellEnd"/>
      <w:r w:rsidRPr="002E4CD2">
        <w:rPr>
          <w:rFonts w:asciiTheme="minorBidi" w:hAnsiTheme="minorBidi" w:cstheme="minorBidi"/>
          <w:szCs w:val="22"/>
        </w:rPr>
        <w:t xml:space="preserve"> over the 104-week </w:t>
      </w:r>
      <w:proofErr w:type="spellStart"/>
      <w:r w:rsidRPr="002E4CD2">
        <w:rPr>
          <w:rFonts w:asciiTheme="minorBidi" w:hAnsiTheme="minorBidi" w:cstheme="minorBidi"/>
          <w:szCs w:val="22"/>
        </w:rPr>
        <w:t>apremilast</w:t>
      </w:r>
      <w:proofErr w:type="spellEnd"/>
      <w:r w:rsidRPr="002E4CD2">
        <w:rPr>
          <w:rFonts w:asciiTheme="minorBidi" w:hAnsiTheme="minorBidi" w:cstheme="minorBidi"/>
          <w:szCs w:val="22"/>
        </w:rPr>
        <w:t xml:space="preserve"> exposure pe</w:t>
      </w:r>
      <w:r w:rsidR="002965CF">
        <w:rPr>
          <w:rFonts w:asciiTheme="minorBidi" w:hAnsiTheme="minorBidi" w:cstheme="minorBidi"/>
          <w:szCs w:val="22"/>
        </w:rPr>
        <w:t>riod, pooled across PALACE 1-3.</w:t>
      </w:r>
    </w:p>
    <w:p w:rsidR="001B40BA" w:rsidRPr="002965CF" w:rsidRDefault="001B40BA" w:rsidP="001B40BA">
      <w:pPr>
        <w:rPr>
          <w:rFonts w:asciiTheme="minorBidi" w:hAnsiTheme="minorBidi" w:cstheme="minorBidi"/>
          <w:szCs w:val="22"/>
        </w:rPr>
      </w:pPr>
    </w:p>
    <w:p w:rsidR="001B40BA" w:rsidRPr="002A30BA" w:rsidRDefault="001B40BA" w:rsidP="002E4CD2">
      <w:pPr>
        <w:widowControl/>
        <w:ind w:firstLine="720"/>
        <w:jc w:val="left"/>
        <w:rPr>
          <w:rFonts w:ascii="Arial Narrow" w:hAnsi="Arial Narrow" w:cstheme="minorBidi"/>
          <w:sz w:val="20"/>
        </w:rPr>
      </w:pPr>
      <w:r w:rsidRPr="002A30BA">
        <w:rPr>
          <w:rFonts w:ascii="Arial Narrow" w:hAnsi="Arial Narrow" w:cstheme="minorBidi"/>
          <w:b/>
          <w:sz w:val="20"/>
        </w:rPr>
        <w:t>Table 4:</w:t>
      </w:r>
      <w:r w:rsidRPr="002A30BA">
        <w:rPr>
          <w:rStyle w:val="CommentReference"/>
          <w:b w:val="0"/>
          <w:iCs/>
          <w:szCs w:val="20"/>
        </w:rPr>
        <w:t xml:space="preserve"> </w:t>
      </w:r>
      <w:r w:rsidRPr="002A30BA">
        <w:rPr>
          <w:rStyle w:val="CommentReference"/>
          <w:iCs/>
          <w:szCs w:val="20"/>
        </w:rPr>
        <w:t>Summary of adverse</w:t>
      </w:r>
      <w:r w:rsidRPr="002A30BA">
        <w:rPr>
          <w:rStyle w:val="CommentReference"/>
          <w:iCs/>
        </w:rPr>
        <w:t xml:space="preserve"> events of depression and suicidal ideation in the </w:t>
      </w:r>
      <w:proofErr w:type="spellStart"/>
      <w:r w:rsidRPr="002A30BA">
        <w:rPr>
          <w:rStyle w:val="CommentReference"/>
          <w:iCs/>
        </w:rPr>
        <w:t>apremilast</w:t>
      </w:r>
      <w:proofErr w:type="spellEnd"/>
      <w:r w:rsidRPr="002A30BA">
        <w:rPr>
          <w:rStyle w:val="CommentReference"/>
          <w:iCs/>
        </w:rPr>
        <w:t xml:space="preserve"> trials (pooled)</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adverse events of depression and suicidal ideation"/>
      </w:tblPr>
      <w:tblGrid>
        <w:gridCol w:w="3113"/>
        <w:gridCol w:w="2615"/>
        <w:gridCol w:w="2617"/>
      </w:tblGrid>
      <w:tr w:rsidR="001B40BA" w:rsidRPr="002A30BA" w:rsidTr="001B40BA">
        <w:tc>
          <w:tcPr>
            <w:tcW w:w="1865" w:type="pct"/>
            <w:vMerge w:val="restart"/>
            <w:vAlign w:val="center"/>
          </w:tcPr>
          <w:p w:rsidR="001B40BA" w:rsidRPr="002A30BA" w:rsidRDefault="001B40BA" w:rsidP="00FA60C0">
            <w:pPr>
              <w:tabs>
                <w:tab w:val="left" w:pos="150"/>
              </w:tabs>
              <w:jc w:val="left"/>
              <w:rPr>
                <w:rFonts w:ascii="Arial Narrow" w:hAnsi="Arial Narrow"/>
                <w:b/>
                <w:iCs/>
                <w:sz w:val="20"/>
              </w:rPr>
            </w:pPr>
            <w:r w:rsidRPr="002A30BA">
              <w:rPr>
                <w:rFonts w:ascii="Arial Narrow" w:hAnsi="Arial Narrow"/>
                <w:b/>
                <w:iCs/>
                <w:sz w:val="20"/>
              </w:rPr>
              <w:t>Trial</w:t>
            </w:r>
          </w:p>
        </w:tc>
        <w:tc>
          <w:tcPr>
            <w:tcW w:w="1567" w:type="pct"/>
            <w:vAlign w:val="center"/>
          </w:tcPr>
          <w:p w:rsidR="001B40BA" w:rsidRPr="002A30BA" w:rsidRDefault="001B40BA" w:rsidP="00FA60C0">
            <w:pPr>
              <w:jc w:val="center"/>
              <w:rPr>
                <w:rFonts w:ascii="Arial Narrow" w:hAnsi="Arial Narrow"/>
                <w:b/>
                <w:iCs/>
                <w:sz w:val="20"/>
              </w:rPr>
            </w:pPr>
            <w:r w:rsidRPr="002A30BA">
              <w:rPr>
                <w:rFonts w:ascii="Arial Narrow" w:hAnsi="Arial Narrow"/>
                <w:b/>
                <w:iCs/>
                <w:sz w:val="20"/>
              </w:rPr>
              <w:t>Weeks 0-</w:t>
            </w:r>
            <w:r w:rsidRPr="002A30BA">
              <w:rPr>
                <w:rFonts w:ascii="Arial Narrow" w:hAnsi="Arial Narrow"/>
                <w:b/>
                <w:iCs/>
                <w:sz w:val="20"/>
                <w:u w:val="single"/>
              </w:rPr>
              <w:t>&lt;</w:t>
            </w:r>
            <w:r w:rsidRPr="002A30BA">
              <w:rPr>
                <w:rFonts w:ascii="Arial Narrow" w:hAnsi="Arial Narrow"/>
                <w:b/>
                <w:iCs/>
                <w:sz w:val="20"/>
              </w:rPr>
              <w:t>52</w:t>
            </w:r>
          </w:p>
        </w:tc>
        <w:tc>
          <w:tcPr>
            <w:tcW w:w="1568" w:type="pct"/>
            <w:vAlign w:val="center"/>
          </w:tcPr>
          <w:p w:rsidR="001B40BA" w:rsidRPr="002A30BA" w:rsidRDefault="001B40BA" w:rsidP="00FA60C0">
            <w:pPr>
              <w:jc w:val="center"/>
              <w:rPr>
                <w:rFonts w:ascii="Arial Narrow" w:hAnsi="Arial Narrow"/>
                <w:b/>
                <w:iCs/>
                <w:sz w:val="20"/>
              </w:rPr>
            </w:pPr>
            <w:r w:rsidRPr="002A30BA">
              <w:rPr>
                <w:rFonts w:ascii="Arial Narrow" w:hAnsi="Arial Narrow"/>
                <w:b/>
                <w:iCs/>
                <w:sz w:val="20"/>
              </w:rPr>
              <w:t>Weeks 52-</w:t>
            </w:r>
            <w:r w:rsidRPr="002A30BA">
              <w:rPr>
                <w:rFonts w:ascii="Arial Narrow" w:hAnsi="Arial Narrow"/>
                <w:b/>
                <w:iCs/>
                <w:sz w:val="20"/>
                <w:u w:val="single"/>
              </w:rPr>
              <w:t>&lt;</w:t>
            </w:r>
            <w:r w:rsidRPr="002A30BA">
              <w:rPr>
                <w:rFonts w:ascii="Arial Narrow" w:hAnsi="Arial Narrow"/>
                <w:b/>
                <w:iCs/>
                <w:sz w:val="20"/>
              </w:rPr>
              <w:t>104</w:t>
            </w:r>
          </w:p>
        </w:tc>
      </w:tr>
      <w:tr w:rsidR="001B40BA" w:rsidRPr="002A30BA" w:rsidTr="001B40BA">
        <w:tc>
          <w:tcPr>
            <w:tcW w:w="1865" w:type="pct"/>
            <w:vMerge/>
            <w:vAlign w:val="center"/>
          </w:tcPr>
          <w:p w:rsidR="001B40BA" w:rsidRPr="002A30BA" w:rsidRDefault="001B40BA" w:rsidP="00FA60C0">
            <w:pPr>
              <w:tabs>
                <w:tab w:val="left" w:pos="150"/>
              </w:tabs>
              <w:jc w:val="left"/>
              <w:rPr>
                <w:rFonts w:ascii="Arial Narrow" w:hAnsi="Arial Narrow"/>
                <w:iCs/>
                <w:sz w:val="20"/>
              </w:rPr>
            </w:pPr>
          </w:p>
        </w:tc>
        <w:tc>
          <w:tcPr>
            <w:tcW w:w="1567" w:type="pct"/>
            <w:vAlign w:val="center"/>
          </w:tcPr>
          <w:p w:rsidR="001B40BA" w:rsidRPr="002A30BA" w:rsidRDefault="001B40BA" w:rsidP="00FA60C0">
            <w:pPr>
              <w:jc w:val="center"/>
              <w:rPr>
                <w:rFonts w:ascii="Arial Narrow" w:hAnsi="Arial Narrow"/>
                <w:iCs/>
                <w:sz w:val="20"/>
              </w:rPr>
            </w:pPr>
            <w:r w:rsidRPr="002A30BA">
              <w:rPr>
                <w:rFonts w:ascii="Arial Narrow" w:hAnsi="Arial Narrow"/>
                <w:b/>
                <w:iCs/>
                <w:sz w:val="20"/>
              </w:rPr>
              <w:t>APR; n (%)</w:t>
            </w:r>
          </w:p>
        </w:tc>
        <w:tc>
          <w:tcPr>
            <w:tcW w:w="1568" w:type="pct"/>
            <w:vAlign w:val="center"/>
          </w:tcPr>
          <w:p w:rsidR="001B40BA" w:rsidRPr="002A30BA" w:rsidRDefault="001B40BA" w:rsidP="00FA60C0">
            <w:pPr>
              <w:jc w:val="center"/>
              <w:rPr>
                <w:rFonts w:ascii="Arial Narrow" w:hAnsi="Arial Narrow"/>
                <w:iCs/>
                <w:sz w:val="20"/>
              </w:rPr>
            </w:pPr>
            <w:r w:rsidRPr="002A30BA">
              <w:rPr>
                <w:rFonts w:ascii="Arial Narrow" w:hAnsi="Arial Narrow"/>
                <w:b/>
                <w:iCs/>
                <w:sz w:val="20"/>
              </w:rPr>
              <w:t>APR; n (%)</w:t>
            </w:r>
          </w:p>
        </w:tc>
      </w:tr>
      <w:tr w:rsidR="001B40BA" w:rsidRPr="002A30BA" w:rsidTr="001B40BA">
        <w:tc>
          <w:tcPr>
            <w:tcW w:w="1865" w:type="pct"/>
            <w:vAlign w:val="center"/>
          </w:tcPr>
          <w:p w:rsidR="001B40BA" w:rsidRPr="002A30BA" w:rsidRDefault="001B40BA" w:rsidP="00FA60C0">
            <w:pPr>
              <w:tabs>
                <w:tab w:val="left" w:pos="150"/>
              </w:tabs>
              <w:jc w:val="left"/>
              <w:rPr>
                <w:rFonts w:ascii="Arial Narrow" w:hAnsi="Arial Narrow"/>
                <w:iCs/>
                <w:sz w:val="20"/>
              </w:rPr>
            </w:pPr>
            <w:r w:rsidRPr="002A30BA">
              <w:rPr>
                <w:rFonts w:ascii="Arial Narrow" w:hAnsi="Arial Narrow"/>
                <w:iCs/>
                <w:sz w:val="20"/>
              </w:rPr>
              <w:t>PALACE 1-3</w:t>
            </w:r>
          </w:p>
          <w:p w:rsidR="001B40BA" w:rsidRPr="002A30BA" w:rsidRDefault="001B40BA" w:rsidP="00FA60C0">
            <w:pPr>
              <w:tabs>
                <w:tab w:val="left" w:pos="150"/>
              </w:tabs>
              <w:jc w:val="left"/>
              <w:rPr>
                <w:rFonts w:ascii="Arial Narrow" w:hAnsi="Arial Narrow"/>
                <w:iCs/>
                <w:sz w:val="20"/>
              </w:rPr>
            </w:pPr>
            <w:r w:rsidRPr="002A30BA">
              <w:rPr>
                <w:rFonts w:ascii="Arial Narrow" w:hAnsi="Arial Narrow"/>
                <w:iCs/>
                <w:sz w:val="20"/>
              </w:rPr>
              <w:tab/>
              <w:t xml:space="preserve"> Depression</w:t>
            </w:r>
          </w:p>
          <w:p w:rsidR="001B40BA" w:rsidRPr="002A30BA" w:rsidRDefault="001B40BA" w:rsidP="00FA60C0">
            <w:pPr>
              <w:tabs>
                <w:tab w:val="left" w:pos="150"/>
              </w:tabs>
              <w:jc w:val="left"/>
              <w:rPr>
                <w:rFonts w:ascii="Arial Narrow" w:hAnsi="Arial Narrow"/>
                <w:iCs/>
                <w:sz w:val="20"/>
              </w:rPr>
            </w:pPr>
            <w:r w:rsidRPr="002A30BA">
              <w:rPr>
                <w:rFonts w:ascii="Arial Narrow" w:hAnsi="Arial Narrow"/>
                <w:iCs/>
                <w:sz w:val="20"/>
              </w:rPr>
              <w:t xml:space="preserve">    Suicidal ideation</w:t>
            </w:r>
          </w:p>
          <w:p w:rsidR="001B40BA" w:rsidRPr="002A30BA" w:rsidRDefault="001B40BA" w:rsidP="00FA60C0">
            <w:pPr>
              <w:tabs>
                <w:tab w:val="left" w:pos="150"/>
              </w:tabs>
              <w:jc w:val="left"/>
              <w:rPr>
                <w:rFonts w:ascii="Arial Narrow" w:hAnsi="Arial Narrow"/>
                <w:iCs/>
                <w:sz w:val="20"/>
              </w:rPr>
            </w:pPr>
            <w:r w:rsidRPr="002A30BA">
              <w:rPr>
                <w:rFonts w:ascii="Arial Narrow" w:hAnsi="Arial Narrow"/>
                <w:iCs/>
                <w:sz w:val="20"/>
              </w:rPr>
              <w:t xml:space="preserve">    Attempted </w:t>
            </w:r>
            <w:proofErr w:type="spellStart"/>
            <w:r w:rsidRPr="002A30BA">
              <w:rPr>
                <w:rFonts w:ascii="Arial Narrow" w:hAnsi="Arial Narrow"/>
                <w:iCs/>
                <w:sz w:val="20"/>
              </w:rPr>
              <w:t>suicide</w:t>
            </w:r>
            <w:r w:rsidRPr="002A30BA">
              <w:rPr>
                <w:rFonts w:ascii="Arial Narrow" w:hAnsi="Arial Narrow"/>
                <w:iCs/>
                <w:sz w:val="20"/>
                <w:vertAlign w:val="superscript"/>
              </w:rPr>
              <w:t>a</w:t>
            </w:r>
            <w:proofErr w:type="spellEnd"/>
          </w:p>
        </w:tc>
        <w:tc>
          <w:tcPr>
            <w:tcW w:w="1567" w:type="pct"/>
            <w:vAlign w:val="center"/>
          </w:tcPr>
          <w:p w:rsidR="001B40BA" w:rsidRPr="002A30BA" w:rsidRDefault="001B40BA" w:rsidP="00FA60C0">
            <w:pPr>
              <w:jc w:val="center"/>
              <w:rPr>
                <w:rFonts w:ascii="Arial Narrow" w:hAnsi="Arial Narrow"/>
                <w:iCs/>
                <w:sz w:val="20"/>
              </w:rPr>
            </w:pPr>
          </w:p>
          <w:p w:rsidR="001B40BA" w:rsidRPr="002A30BA" w:rsidRDefault="001B40BA" w:rsidP="00FA60C0">
            <w:pPr>
              <w:jc w:val="center"/>
              <w:rPr>
                <w:rFonts w:ascii="Arial Narrow" w:hAnsi="Arial Narrow"/>
                <w:sz w:val="20"/>
              </w:rPr>
            </w:pPr>
            <w:r w:rsidRPr="002A30BA">
              <w:rPr>
                <w:rFonts w:ascii="Arial Narrow" w:hAnsi="Arial Narrow"/>
                <w:sz w:val="20"/>
              </w:rPr>
              <w:t>24 (1.7)</w:t>
            </w:r>
          </w:p>
          <w:p w:rsidR="001B40BA" w:rsidRPr="002A30BA" w:rsidRDefault="001B40BA" w:rsidP="00FA60C0">
            <w:pPr>
              <w:jc w:val="center"/>
              <w:rPr>
                <w:rFonts w:ascii="Arial Narrow" w:hAnsi="Arial Narrow"/>
                <w:iCs/>
                <w:sz w:val="20"/>
              </w:rPr>
            </w:pPr>
            <w:r w:rsidRPr="002A30BA">
              <w:rPr>
                <w:rFonts w:ascii="Arial Narrow" w:hAnsi="Arial Narrow"/>
                <w:sz w:val="20"/>
              </w:rPr>
              <w:t xml:space="preserve">1 </w:t>
            </w:r>
            <w:r w:rsidRPr="002A30BA">
              <w:rPr>
                <w:rFonts w:ascii="Arial Narrow" w:hAnsi="Arial Narrow"/>
                <w:iCs/>
                <w:sz w:val="20"/>
              </w:rPr>
              <w:t>(0.07)</w:t>
            </w:r>
          </w:p>
          <w:p w:rsidR="001B40BA" w:rsidRPr="002A30BA" w:rsidRDefault="001B40BA" w:rsidP="00FA60C0">
            <w:pPr>
              <w:jc w:val="center"/>
              <w:rPr>
                <w:rFonts w:ascii="Arial Narrow" w:hAnsi="Arial Narrow"/>
                <w:iCs/>
                <w:sz w:val="20"/>
              </w:rPr>
            </w:pPr>
            <w:r w:rsidRPr="002A30BA">
              <w:rPr>
                <w:rFonts w:ascii="Arial Narrow" w:hAnsi="Arial Narrow"/>
                <w:sz w:val="20"/>
              </w:rPr>
              <w:t xml:space="preserve">1 </w:t>
            </w:r>
            <w:r w:rsidRPr="002A30BA">
              <w:rPr>
                <w:rFonts w:ascii="Arial Narrow" w:hAnsi="Arial Narrow"/>
                <w:iCs/>
                <w:sz w:val="20"/>
              </w:rPr>
              <w:t>(0.07)</w:t>
            </w:r>
          </w:p>
        </w:tc>
        <w:tc>
          <w:tcPr>
            <w:tcW w:w="1568" w:type="pct"/>
            <w:vAlign w:val="center"/>
          </w:tcPr>
          <w:p w:rsidR="001B40BA" w:rsidRPr="002A30BA" w:rsidRDefault="001B40BA" w:rsidP="00FA60C0">
            <w:pPr>
              <w:jc w:val="center"/>
              <w:rPr>
                <w:rFonts w:ascii="Arial Narrow" w:hAnsi="Arial Narrow"/>
                <w:iCs/>
                <w:sz w:val="20"/>
              </w:rPr>
            </w:pPr>
          </w:p>
          <w:p w:rsidR="001B40BA" w:rsidRPr="002A30BA" w:rsidRDefault="001B40BA" w:rsidP="00FA60C0">
            <w:pPr>
              <w:jc w:val="center"/>
              <w:rPr>
                <w:rFonts w:ascii="Arial Narrow" w:hAnsi="Arial Narrow"/>
                <w:sz w:val="20"/>
              </w:rPr>
            </w:pPr>
            <w:r w:rsidRPr="002A30BA">
              <w:rPr>
                <w:rFonts w:ascii="Arial Narrow" w:hAnsi="Arial Narrow"/>
                <w:sz w:val="20"/>
              </w:rPr>
              <w:t>15(1.5)</w:t>
            </w:r>
          </w:p>
          <w:p w:rsidR="001B40BA" w:rsidRPr="002A30BA" w:rsidRDefault="001B40BA" w:rsidP="00FA60C0">
            <w:pPr>
              <w:jc w:val="center"/>
              <w:rPr>
                <w:rFonts w:ascii="Arial Narrow" w:hAnsi="Arial Narrow"/>
                <w:iCs/>
                <w:sz w:val="20"/>
              </w:rPr>
            </w:pPr>
            <w:r w:rsidRPr="002A30BA">
              <w:rPr>
                <w:rFonts w:ascii="Arial Narrow" w:hAnsi="Arial Narrow"/>
                <w:sz w:val="20"/>
              </w:rPr>
              <w:t>1 (</w:t>
            </w:r>
            <w:r w:rsidRPr="002A30BA">
              <w:rPr>
                <w:rFonts w:ascii="Arial Narrow" w:hAnsi="Arial Narrow"/>
                <w:iCs/>
                <w:sz w:val="20"/>
              </w:rPr>
              <w:t>0.10)</w:t>
            </w:r>
          </w:p>
          <w:p w:rsidR="001B40BA" w:rsidRPr="002A30BA" w:rsidRDefault="001B40BA" w:rsidP="00FA60C0">
            <w:pPr>
              <w:jc w:val="center"/>
              <w:rPr>
                <w:rFonts w:ascii="Arial Narrow" w:hAnsi="Arial Narrow"/>
                <w:iCs/>
                <w:sz w:val="20"/>
              </w:rPr>
            </w:pPr>
            <w:r w:rsidRPr="002A30BA">
              <w:rPr>
                <w:rFonts w:ascii="Arial Narrow" w:hAnsi="Arial Narrow"/>
                <w:sz w:val="20"/>
              </w:rPr>
              <w:t xml:space="preserve">1 </w:t>
            </w:r>
            <w:r w:rsidRPr="002A30BA">
              <w:rPr>
                <w:rFonts w:ascii="Arial Narrow" w:hAnsi="Arial Narrow"/>
                <w:iCs/>
                <w:sz w:val="20"/>
              </w:rPr>
              <w:t>(01.0)</w:t>
            </w:r>
          </w:p>
        </w:tc>
      </w:tr>
    </w:tbl>
    <w:p w:rsidR="001B40BA" w:rsidRPr="002A30BA" w:rsidRDefault="001B40BA" w:rsidP="001B40BA">
      <w:pPr>
        <w:pStyle w:val="TableFooter"/>
        <w:ind w:firstLine="720"/>
        <w:rPr>
          <w:iCs/>
          <w:szCs w:val="18"/>
        </w:rPr>
      </w:pPr>
      <w:r w:rsidRPr="002A30BA">
        <w:rPr>
          <w:iCs/>
          <w:szCs w:val="18"/>
        </w:rPr>
        <w:t>Source: p81 of the resubmission.</w:t>
      </w:r>
    </w:p>
    <w:p w:rsidR="001B40BA" w:rsidRPr="002A30BA" w:rsidRDefault="001B40BA" w:rsidP="001B40BA">
      <w:pPr>
        <w:tabs>
          <w:tab w:val="left" w:pos="284"/>
        </w:tabs>
        <w:ind w:left="720" w:hanging="720"/>
        <w:rPr>
          <w:rFonts w:ascii="Arial Narrow" w:hAnsi="Arial Narrow"/>
          <w:sz w:val="18"/>
          <w:szCs w:val="18"/>
        </w:rPr>
      </w:pPr>
      <w:r w:rsidRPr="002A30BA">
        <w:rPr>
          <w:sz w:val="18"/>
          <w:szCs w:val="18"/>
          <w:vertAlign w:val="superscript"/>
        </w:rPr>
        <w:tab/>
      </w:r>
      <w:r w:rsidRPr="002A30BA">
        <w:rPr>
          <w:sz w:val="18"/>
          <w:szCs w:val="18"/>
          <w:vertAlign w:val="superscript"/>
        </w:rPr>
        <w:tab/>
      </w:r>
      <w:proofErr w:type="spellStart"/>
      <w:proofErr w:type="gramStart"/>
      <w:r w:rsidRPr="002A30BA">
        <w:rPr>
          <w:sz w:val="18"/>
          <w:szCs w:val="18"/>
          <w:vertAlign w:val="superscript"/>
        </w:rPr>
        <w:t>a</w:t>
      </w:r>
      <w:proofErr w:type="spellEnd"/>
      <w:proofErr w:type="gramEnd"/>
      <w:r w:rsidRPr="002A30BA">
        <w:rPr>
          <w:sz w:val="18"/>
          <w:szCs w:val="18"/>
          <w:vertAlign w:val="superscript"/>
        </w:rPr>
        <w:t xml:space="preserve"> </w:t>
      </w:r>
      <w:r w:rsidRPr="002A30BA">
        <w:rPr>
          <w:rFonts w:ascii="Arial Narrow" w:hAnsi="Arial Narrow"/>
          <w:sz w:val="18"/>
          <w:szCs w:val="18"/>
        </w:rPr>
        <w:t>In both cases of attempted suicide, the patients had plausible major confo</w:t>
      </w:r>
      <w:r w:rsidR="002965CF">
        <w:rPr>
          <w:rFonts w:ascii="Arial Narrow" w:hAnsi="Arial Narrow"/>
          <w:sz w:val="18"/>
          <w:szCs w:val="18"/>
        </w:rPr>
        <w:t>unding factors and explanation.</w:t>
      </w:r>
    </w:p>
    <w:p w:rsidR="001B40BA" w:rsidRPr="001B40BA" w:rsidRDefault="001B40BA" w:rsidP="001B40BA">
      <w:pPr>
        <w:pStyle w:val="PBACheading1"/>
        <w:numPr>
          <w:ilvl w:val="0"/>
          <w:numId w:val="0"/>
        </w:numPr>
        <w:ind w:left="720" w:hanging="720"/>
      </w:pPr>
    </w:p>
    <w:p w:rsidR="007F1017" w:rsidRPr="002965CF" w:rsidRDefault="007F1017" w:rsidP="0093180A">
      <w:pPr>
        <w:pStyle w:val="Heading2"/>
        <w:rPr>
          <w:szCs w:val="22"/>
        </w:rPr>
      </w:pPr>
      <w:bookmarkStart w:id="10" w:name="_Toc430164100"/>
      <w:r w:rsidRPr="002965CF">
        <w:t>Benefits/</w:t>
      </w:r>
      <w:r w:rsidRPr="0093180A">
        <w:t>harms</w:t>
      </w:r>
      <w:bookmarkEnd w:id="10"/>
    </w:p>
    <w:p w:rsidR="007F1017" w:rsidRPr="007F1017" w:rsidRDefault="007F1017" w:rsidP="007F1017">
      <w:pPr>
        <w:pStyle w:val="ListParagraph"/>
        <w:ind w:left="0"/>
        <w:rPr>
          <w:szCs w:val="22"/>
        </w:rPr>
      </w:pPr>
    </w:p>
    <w:p w:rsidR="00EC00C9" w:rsidRDefault="00EC00C9" w:rsidP="00582D67">
      <w:pPr>
        <w:pStyle w:val="ListParagraph"/>
        <w:widowControl/>
        <w:numPr>
          <w:ilvl w:val="1"/>
          <w:numId w:val="5"/>
        </w:numPr>
        <w:rPr>
          <w:szCs w:val="22"/>
        </w:rPr>
      </w:pPr>
      <w:r w:rsidRPr="00D06FD4">
        <w:rPr>
          <w:szCs w:val="22"/>
        </w:rPr>
        <w:t xml:space="preserve">A summary of the </w:t>
      </w:r>
      <w:r w:rsidR="002D331D">
        <w:rPr>
          <w:szCs w:val="22"/>
        </w:rPr>
        <w:t xml:space="preserve">comparative benefits </w:t>
      </w:r>
      <w:r w:rsidR="007D53A9">
        <w:rPr>
          <w:szCs w:val="22"/>
        </w:rPr>
        <w:t>(</w:t>
      </w:r>
      <w:r w:rsidR="00BE7A0E">
        <w:rPr>
          <w:szCs w:val="22"/>
        </w:rPr>
        <w:t>ACR50</w:t>
      </w:r>
      <w:r w:rsidR="007D53A9">
        <w:rPr>
          <w:szCs w:val="22"/>
        </w:rPr>
        <w:t xml:space="preserve"> response) </w:t>
      </w:r>
      <w:r w:rsidR="002D331D">
        <w:rPr>
          <w:szCs w:val="22"/>
        </w:rPr>
        <w:t xml:space="preserve">for </w:t>
      </w:r>
      <w:proofErr w:type="spellStart"/>
      <w:r w:rsidR="002D331D">
        <w:rPr>
          <w:szCs w:val="22"/>
        </w:rPr>
        <w:t>apremilast</w:t>
      </w:r>
      <w:proofErr w:type="spellEnd"/>
      <w:r w:rsidR="002D331D">
        <w:rPr>
          <w:szCs w:val="22"/>
        </w:rPr>
        <w:t xml:space="preserve"> versus placebo</w:t>
      </w:r>
      <w:r w:rsidR="007D53A9">
        <w:rPr>
          <w:szCs w:val="22"/>
        </w:rPr>
        <w:t xml:space="preserve"> and adalimumab versus placebo</w:t>
      </w:r>
      <w:r w:rsidR="002D331D">
        <w:rPr>
          <w:szCs w:val="22"/>
        </w:rPr>
        <w:t xml:space="preserve"> is presented in Table </w:t>
      </w:r>
      <w:r w:rsidR="008D5569">
        <w:rPr>
          <w:szCs w:val="22"/>
        </w:rPr>
        <w:t>5</w:t>
      </w:r>
      <w:r w:rsidRPr="00D06FD4">
        <w:rPr>
          <w:szCs w:val="22"/>
        </w:rPr>
        <w:t>.</w:t>
      </w:r>
    </w:p>
    <w:p w:rsidR="00370B22" w:rsidRPr="002965CF" w:rsidRDefault="00370B22" w:rsidP="00370B22">
      <w:pPr>
        <w:widowControl/>
        <w:rPr>
          <w:szCs w:val="22"/>
        </w:rPr>
      </w:pPr>
    </w:p>
    <w:p w:rsidR="007D53A9" w:rsidRPr="00CE6FB2" w:rsidRDefault="00370B22" w:rsidP="002C1A10">
      <w:pPr>
        <w:widowControl/>
        <w:ind w:firstLine="720"/>
        <w:jc w:val="left"/>
        <w:rPr>
          <w:rStyle w:val="CommentReference"/>
          <w:bCs/>
        </w:rPr>
      </w:pPr>
      <w:bookmarkStart w:id="11" w:name="_Toc409511008"/>
      <w:r w:rsidRPr="00CE6FB2">
        <w:rPr>
          <w:rStyle w:val="CommentReference"/>
          <w:bCs/>
        </w:rPr>
        <w:t xml:space="preserve">Table </w:t>
      </w:r>
      <w:r w:rsidR="008D5569">
        <w:rPr>
          <w:rStyle w:val="CommentReference"/>
          <w:bCs/>
        </w:rPr>
        <w:t>5</w:t>
      </w:r>
      <w:r w:rsidR="007D53A9" w:rsidRPr="00CE6FB2">
        <w:rPr>
          <w:rStyle w:val="CommentReference"/>
          <w:bCs/>
        </w:rPr>
        <w:t xml:space="preserve">: Summary of comparative benefits </w:t>
      </w:r>
      <w:r w:rsidRPr="00CE6FB2">
        <w:rPr>
          <w:rStyle w:val="CommentReference"/>
          <w:bCs/>
        </w:rPr>
        <w:t xml:space="preserve">for </w:t>
      </w:r>
      <w:proofErr w:type="spellStart"/>
      <w:r w:rsidRPr="00CE6FB2">
        <w:rPr>
          <w:rStyle w:val="CommentReference"/>
          <w:bCs/>
        </w:rPr>
        <w:t>apremilast</w:t>
      </w:r>
      <w:proofErr w:type="spellEnd"/>
      <w:r w:rsidRPr="00CE6FB2">
        <w:rPr>
          <w:rStyle w:val="CommentReference"/>
          <w:bCs/>
        </w:rPr>
        <w:t xml:space="preserve"> and adalimumab</w:t>
      </w:r>
      <w:r w:rsidR="007D53A9" w:rsidRPr="00CE6FB2">
        <w:rPr>
          <w:rStyle w:val="CommentReference"/>
          <w:bCs/>
        </w:rPr>
        <w:t>/placebo</w:t>
      </w:r>
      <w:bookmarkEnd w:id="11"/>
    </w:p>
    <w:tbl>
      <w:tblPr>
        <w:tblStyle w:val="TableGrid"/>
        <w:tblW w:w="4684" w:type="pct"/>
        <w:tblInd w:w="705" w:type="dxa"/>
        <w:tblLayout w:type="fixed"/>
        <w:tblCellMar>
          <w:left w:w="28" w:type="dxa"/>
          <w:right w:w="28" w:type="dxa"/>
        </w:tblCellMar>
        <w:tblLook w:val="04A0" w:firstRow="1" w:lastRow="0" w:firstColumn="1" w:lastColumn="0" w:noHBand="0" w:noVBand="1"/>
        <w:tblCaption w:val="Summary of comparative benefits"/>
        <w:tblDescription w:val="Comparison of benefits for apremilast and adalimumab/placebo"/>
      </w:tblPr>
      <w:tblGrid>
        <w:gridCol w:w="1160"/>
        <w:gridCol w:w="817"/>
        <w:gridCol w:w="817"/>
        <w:gridCol w:w="818"/>
        <w:gridCol w:w="1132"/>
        <w:gridCol w:w="909"/>
        <w:gridCol w:w="909"/>
        <w:gridCol w:w="910"/>
        <w:gridCol w:w="1036"/>
      </w:tblGrid>
      <w:tr w:rsidR="007D53A9" w:rsidRPr="00C00807" w:rsidTr="00B16BB6">
        <w:trPr>
          <w:tblHeader/>
        </w:trPr>
        <w:tc>
          <w:tcPr>
            <w:tcW w:w="5000" w:type="pct"/>
            <w:gridSpan w:val="9"/>
            <w:shd w:val="clear" w:color="auto" w:fill="auto"/>
            <w:vAlign w:val="center"/>
          </w:tcPr>
          <w:p w:rsidR="007D53A9" w:rsidRPr="008C2D54" w:rsidRDefault="008A1AD8" w:rsidP="00F9520B">
            <w:pPr>
              <w:keepNext/>
              <w:keepLines/>
              <w:rPr>
                <w:rFonts w:ascii="Arial Narrow" w:hAnsi="Arial Narrow"/>
                <w:b/>
                <w:color w:val="000000"/>
                <w:sz w:val="20"/>
                <w:szCs w:val="18"/>
              </w:rPr>
            </w:pPr>
            <w:r>
              <w:rPr>
                <w:rFonts w:ascii="Arial Narrow" w:hAnsi="Arial Narrow"/>
                <w:b/>
                <w:color w:val="000000"/>
                <w:sz w:val="20"/>
                <w:szCs w:val="18"/>
              </w:rPr>
              <w:t xml:space="preserve">% </w:t>
            </w:r>
            <w:r w:rsidR="00571AA4">
              <w:rPr>
                <w:rFonts w:ascii="Arial Narrow" w:hAnsi="Arial Narrow"/>
                <w:b/>
                <w:color w:val="000000"/>
                <w:sz w:val="20"/>
                <w:szCs w:val="18"/>
              </w:rPr>
              <w:t>ACR5</w:t>
            </w:r>
            <w:r w:rsidR="007D53A9" w:rsidRPr="008C2D54">
              <w:rPr>
                <w:rFonts w:ascii="Arial Narrow" w:hAnsi="Arial Narrow"/>
                <w:b/>
                <w:color w:val="000000"/>
                <w:sz w:val="20"/>
                <w:szCs w:val="18"/>
              </w:rPr>
              <w:t>0 response</w:t>
            </w:r>
            <w:r w:rsidR="00AB138F">
              <w:rPr>
                <w:rFonts w:ascii="Arial Narrow" w:hAnsi="Arial Narrow"/>
                <w:b/>
                <w:color w:val="000000"/>
                <w:sz w:val="20"/>
                <w:szCs w:val="18"/>
              </w:rPr>
              <w:t>: indirect comparison</w:t>
            </w:r>
          </w:p>
        </w:tc>
      </w:tr>
      <w:tr w:rsidR="007D53A9" w:rsidRPr="00E2771E" w:rsidTr="00F9520B">
        <w:trPr>
          <w:trHeight w:val="105"/>
        </w:trPr>
        <w:tc>
          <w:tcPr>
            <w:tcW w:w="682" w:type="pct"/>
            <w:vMerge w:val="restart"/>
            <w:shd w:val="clear" w:color="auto" w:fill="auto"/>
            <w:vAlign w:val="center"/>
          </w:tcPr>
          <w:p w:rsidR="007D53A9" w:rsidRPr="002965CF" w:rsidRDefault="002965CF" w:rsidP="00F9520B">
            <w:pPr>
              <w:keepNext/>
              <w:keepLines/>
              <w:rPr>
                <w:rFonts w:ascii="Arial Narrow" w:hAnsi="Arial Narrow"/>
                <w:b/>
                <w:color w:val="000000"/>
                <w:sz w:val="20"/>
                <w:szCs w:val="18"/>
              </w:rPr>
            </w:pPr>
            <w:r w:rsidRPr="002965CF">
              <w:rPr>
                <w:rFonts w:ascii="Arial Narrow" w:hAnsi="Arial Narrow"/>
                <w:b/>
                <w:color w:val="000000"/>
                <w:sz w:val="20"/>
                <w:szCs w:val="18"/>
              </w:rPr>
              <w:t>Trial</w:t>
            </w:r>
          </w:p>
        </w:tc>
        <w:tc>
          <w:tcPr>
            <w:tcW w:w="480" w:type="pct"/>
            <w:vMerge w:val="restart"/>
            <w:vAlign w:val="center"/>
          </w:tcPr>
          <w:p w:rsidR="007D53A9" w:rsidRPr="00E2771E" w:rsidRDefault="007D53A9" w:rsidP="00F9520B">
            <w:pPr>
              <w:keepNext/>
              <w:keepLines/>
              <w:jc w:val="center"/>
              <w:rPr>
                <w:rFonts w:ascii="Arial Narrow" w:hAnsi="Arial Narrow"/>
                <w:b/>
                <w:color w:val="000000"/>
                <w:sz w:val="20"/>
                <w:szCs w:val="18"/>
              </w:rPr>
            </w:pPr>
            <w:r>
              <w:rPr>
                <w:rFonts w:ascii="Arial Narrow" w:hAnsi="Arial Narrow"/>
                <w:b/>
                <w:color w:val="000000"/>
                <w:sz w:val="20"/>
                <w:szCs w:val="18"/>
              </w:rPr>
              <w:t>APR</w:t>
            </w:r>
          </w:p>
        </w:tc>
        <w:tc>
          <w:tcPr>
            <w:tcW w:w="480" w:type="pct"/>
            <w:vMerge w:val="restart"/>
            <w:vAlign w:val="center"/>
          </w:tcPr>
          <w:p w:rsidR="007D53A9" w:rsidRPr="00E2771E" w:rsidRDefault="007D53A9" w:rsidP="00F9520B">
            <w:pPr>
              <w:keepNext/>
              <w:keepLines/>
              <w:jc w:val="center"/>
              <w:rPr>
                <w:rFonts w:ascii="Arial Narrow" w:hAnsi="Arial Narrow"/>
                <w:b/>
                <w:color w:val="000000"/>
                <w:sz w:val="20"/>
                <w:szCs w:val="18"/>
              </w:rPr>
            </w:pPr>
            <w:r w:rsidRPr="00E2771E">
              <w:rPr>
                <w:rFonts w:ascii="Arial Narrow" w:hAnsi="Arial Narrow"/>
                <w:b/>
                <w:color w:val="000000"/>
                <w:sz w:val="20"/>
                <w:szCs w:val="18"/>
              </w:rPr>
              <w:t>PBO</w:t>
            </w:r>
          </w:p>
        </w:tc>
        <w:tc>
          <w:tcPr>
            <w:tcW w:w="481" w:type="pct"/>
            <w:vMerge w:val="restart"/>
            <w:vAlign w:val="center"/>
          </w:tcPr>
          <w:p w:rsidR="007D53A9" w:rsidRPr="00E2771E" w:rsidRDefault="004B11EC" w:rsidP="00F9520B">
            <w:pPr>
              <w:keepNext/>
              <w:keepLines/>
              <w:jc w:val="center"/>
              <w:rPr>
                <w:rFonts w:ascii="Arial Narrow" w:hAnsi="Arial Narrow"/>
                <w:b/>
                <w:color w:val="000000"/>
                <w:sz w:val="20"/>
                <w:szCs w:val="18"/>
              </w:rPr>
            </w:pPr>
            <w:r>
              <w:rPr>
                <w:rFonts w:ascii="Arial Narrow" w:hAnsi="Arial Narrow"/>
                <w:b/>
                <w:color w:val="000000"/>
                <w:sz w:val="20"/>
                <w:szCs w:val="18"/>
              </w:rPr>
              <w:t>ADA</w:t>
            </w:r>
          </w:p>
        </w:tc>
        <w:tc>
          <w:tcPr>
            <w:tcW w:w="665" w:type="pct"/>
            <w:vMerge w:val="restart"/>
            <w:vAlign w:val="center"/>
          </w:tcPr>
          <w:p w:rsidR="007D53A9" w:rsidRPr="00E2771E" w:rsidRDefault="007D53A9" w:rsidP="00F9520B">
            <w:pPr>
              <w:keepNext/>
              <w:keepLines/>
              <w:jc w:val="center"/>
              <w:rPr>
                <w:rFonts w:ascii="Arial Narrow" w:hAnsi="Arial Narrow"/>
                <w:b/>
                <w:color w:val="000000"/>
                <w:sz w:val="20"/>
                <w:szCs w:val="18"/>
              </w:rPr>
            </w:pPr>
            <w:r w:rsidRPr="00E2771E">
              <w:rPr>
                <w:rFonts w:ascii="Arial Narrow" w:hAnsi="Arial Narrow"/>
                <w:b/>
                <w:color w:val="000000"/>
                <w:sz w:val="20"/>
                <w:szCs w:val="18"/>
              </w:rPr>
              <w:t>RR</w:t>
            </w:r>
          </w:p>
          <w:p w:rsidR="007D53A9" w:rsidRPr="00E2771E" w:rsidRDefault="007D53A9" w:rsidP="00F9520B">
            <w:pPr>
              <w:keepNext/>
              <w:keepLines/>
              <w:jc w:val="center"/>
              <w:rPr>
                <w:rFonts w:ascii="Arial Narrow" w:hAnsi="Arial Narrow"/>
                <w:color w:val="000000"/>
                <w:sz w:val="20"/>
                <w:szCs w:val="18"/>
              </w:rPr>
            </w:pPr>
            <w:r w:rsidRPr="00E2771E">
              <w:rPr>
                <w:rFonts w:ascii="Arial Narrow" w:hAnsi="Arial Narrow"/>
                <w:b/>
                <w:color w:val="000000"/>
                <w:sz w:val="20"/>
                <w:szCs w:val="18"/>
              </w:rPr>
              <w:t>(95% CI)</w:t>
            </w:r>
          </w:p>
        </w:tc>
        <w:tc>
          <w:tcPr>
            <w:tcW w:w="1603" w:type="pct"/>
            <w:gridSpan w:val="3"/>
            <w:vAlign w:val="center"/>
          </w:tcPr>
          <w:p w:rsidR="007D53A9" w:rsidRPr="00E2771E" w:rsidRDefault="007D53A9" w:rsidP="00F9520B">
            <w:pPr>
              <w:keepNext/>
              <w:keepLines/>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609" w:type="pct"/>
            <w:vMerge w:val="restart"/>
            <w:vAlign w:val="center"/>
          </w:tcPr>
          <w:p w:rsidR="007D53A9" w:rsidRPr="00E2771E" w:rsidRDefault="007D53A9" w:rsidP="00F9520B">
            <w:pPr>
              <w:keepNext/>
              <w:keepLines/>
              <w:jc w:val="center"/>
              <w:rPr>
                <w:rFonts w:ascii="Arial Narrow" w:hAnsi="Arial Narrow"/>
                <w:b/>
                <w:color w:val="000000"/>
                <w:sz w:val="20"/>
                <w:szCs w:val="18"/>
              </w:rPr>
            </w:pPr>
            <w:r w:rsidRPr="00E2771E">
              <w:rPr>
                <w:rFonts w:ascii="Arial Narrow" w:hAnsi="Arial Narrow"/>
                <w:b/>
                <w:color w:val="000000"/>
                <w:sz w:val="20"/>
                <w:szCs w:val="18"/>
              </w:rPr>
              <w:t>RD</w:t>
            </w:r>
          </w:p>
          <w:p w:rsidR="007D53A9" w:rsidRPr="00E2771E" w:rsidRDefault="007D53A9" w:rsidP="00F9520B">
            <w:pPr>
              <w:keepNext/>
              <w:keepLines/>
              <w:jc w:val="center"/>
              <w:rPr>
                <w:rFonts w:ascii="Arial Narrow" w:hAnsi="Arial Narrow"/>
                <w:color w:val="000000"/>
                <w:sz w:val="20"/>
                <w:szCs w:val="18"/>
              </w:rPr>
            </w:pPr>
            <w:r w:rsidRPr="00E2771E">
              <w:rPr>
                <w:rFonts w:ascii="Arial Narrow" w:hAnsi="Arial Narrow"/>
                <w:b/>
                <w:color w:val="000000"/>
                <w:sz w:val="20"/>
                <w:szCs w:val="18"/>
              </w:rPr>
              <w:t>(95% CI)</w:t>
            </w:r>
          </w:p>
        </w:tc>
      </w:tr>
      <w:tr w:rsidR="007D53A9" w:rsidRPr="00E2771E" w:rsidTr="00F9520B">
        <w:trPr>
          <w:trHeight w:val="70"/>
        </w:trPr>
        <w:tc>
          <w:tcPr>
            <w:tcW w:w="682" w:type="pct"/>
            <w:vMerge/>
            <w:shd w:val="clear" w:color="auto" w:fill="auto"/>
            <w:vAlign w:val="center"/>
          </w:tcPr>
          <w:p w:rsidR="007D53A9" w:rsidRPr="00E2771E" w:rsidRDefault="007D53A9" w:rsidP="00F9520B">
            <w:pPr>
              <w:keepNext/>
              <w:keepLines/>
              <w:rPr>
                <w:rFonts w:ascii="Arial Narrow" w:hAnsi="Arial Narrow"/>
                <w:color w:val="000000"/>
                <w:sz w:val="20"/>
                <w:szCs w:val="18"/>
              </w:rPr>
            </w:pPr>
          </w:p>
        </w:tc>
        <w:tc>
          <w:tcPr>
            <w:tcW w:w="480" w:type="pct"/>
            <w:vMerge/>
            <w:vAlign w:val="center"/>
          </w:tcPr>
          <w:p w:rsidR="007D53A9" w:rsidRPr="00E2771E" w:rsidRDefault="007D53A9" w:rsidP="00F9520B">
            <w:pPr>
              <w:keepNext/>
              <w:keepLines/>
              <w:jc w:val="center"/>
              <w:rPr>
                <w:rFonts w:ascii="Arial Narrow" w:hAnsi="Arial Narrow"/>
                <w:b/>
                <w:color w:val="000000"/>
                <w:sz w:val="20"/>
                <w:szCs w:val="18"/>
              </w:rPr>
            </w:pPr>
          </w:p>
        </w:tc>
        <w:tc>
          <w:tcPr>
            <w:tcW w:w="480" w:type="pct"/>
            <w:vMerge/>
            <w:vAlign w:val="center"/>
          </w:tcPr>
          <w:p w:rsidR="007D53A9" w:rsidRPr="00E2771E" w:rsidRDefault="007D53A9" w:rsidP="00F9520B">
            <w:pPr>
              <w:keepNext/>
              <w:keepLines/>
              <w:jc w:val="center"/>
              <w:rPr>
                <w:rFonts w:ascii="Arial Narrow" w:hAnsi="Arial Narrow"/>
                <w:b/>
                <w:color w:val="000000"/>
                <w:sz w:val="20"/>
                <w:szCs w:val="18"/>
              </w:rPr>
            </w:pPr>
          </w:p>
        </w:tc>
        <w:tc>
          <w:tcPr>
            <w:tcW w:w="481" w:type="pct"/>
            <w:vMerge/>
            <w:vAlign w:val="center"/>
          </w:tcPr>
          <w:p w:rsidR="007D53A9" w:rsidRPr="00E2771E" w:rsidRDefault="007D53A9" w:rsidP="00F9520B">
            <w:pPr>
              <w:keepNext/>
              <w:keepLines/>
              <w:jc w:val="center"/>
              <w:rPr>
                <w:rFonts w:ascii="Arial Narrow" w:hAnsi="Arial Narrow"/>
                <w:b/>
                <w:color w:val="000000"/>
                <w:sz w:val="20"/>
                <w:szCs w:val="18"/>
              </w:rPr>
            </w:pPr>
          </w:p>
        </w:tc>
        <w:tc>
          <w:tcPr>
            <w:tcW w:w="665" w:type="pct"/>
            <w:vMerge/>
            <w:vAlign w:val="center"/>
          </w:tcPr>
          <w:p w:rsidR="007D53A9" w:rsidRPr="00E2771E" w:rsidRDefault="007D53A9" w:rsidP="00F9520B">
            <w:pPr>
              <w:keepNext/>
              <w:keepLines/>
              <w:jc w:val="center"/>
              <w:rPr>
                <w:rFonts w:ascii="Arial Narrow" w:hAnsi="Arial Narrow"/>
                <w:b/>
                <w:color w:val="000000"/>
                <w:sz w:val="20"/>
                <w:szCs w:val="18"/>
              </w:rPr>
            </w:pPr>
          </w:p>
        </w:tc>
        <w:tc>
          <w:tcPr>
            <w:tcW w:w="534" w:type="pct"/>
            <w:vAlign w:val="center"/>
          </w:tcPr>
          <w:p w:rsidR="007D53A9" w:rsidRPr="00E2771E" w:rsidRDefault="007D53A9" w:rsidP="00F9520B">
            <w:pPr>
              <w:keepNext/>
              <w:keepLines/>
              <w:jc w:val="center"/>
              <w:rPr>
                <w:rFonts w:ascii="Arial Narrow" w:hAnsi="Arial Narrow"/>
                <w:b/>
                <w:color w:val="000000"/>
                <w:sz w:val="20"/>
                <w:szCs w:val="18"/>
              </w:rPr>
            </w:pPr>
            <w:r>
              <w:rPr>
                <w:rFonts w:ascii="Arial Narrow" w:hAnsi="Arial Narrow"/>
                <w:b/>
                <w:color w:val="000000"/>
                <w:sz w:val="20"/>
                <w:szCs w:val="18"/>
              </w:rPr>
              <w:t>APR</w:t>
            </w:r>
          </w:p>
        </w:tc>
        <w:tc>
          <w:tcPr>
            <w:tcW w:w="534" w:type="pct"/>
            <w:vAlign w:val="center"/>
          </w:tcPr>
          <w:p w:rsidR="007D53A9" w:rsidRPr="00E2771E" w:rsidRDefault="007D53A9" w:rsidP="00F9520B">
            <w:pPr>
              <w:keepNext/>
              <w:keepLines/>
              <w:jc w:val="center"/>
              <w:rPr>
                <w:rFonts w:ascii="Arial Narrow" w:hAnsi="Arial Narrow"/>
                <w:b/>
                <w:color w:val="000000"/>
                <w:sz w:val="20"/>
                <w:szCs w:val="18"/>
              </w:rPr>
            </w:pPr>
            <w:r w:rsidRPr="00E2771E">
              <w:rPr>
                <w:rFonts w:ascii="Arial Narrow" w:hAnsi="Arial Narrow"/>
                <w:b/>
                <w:color w:val="000000"/>
                <w:sz w:val="20"/>
                <w:szCs w:val="18"/>
              </w:rPr>
              <w:t>PBO</w:t>
            </w:r>
          </w:p>
        </w:tc>
        <w:tc>
          <w:tcPr>
            <w:tcW w:w="535" w:type="pct"/>
            <w:vAlign w:val="center"/>
          </w:tcPr>
          <w:p w:rsidR="007D53A9" w:rsidRPr="00E2771E" w:rsidRDefault="00EF539F" w:rsidP="00F9520B">
            <w:pPr>
              <w:keepNext/>
              <w:keepLines/>
              <w:jc w:val="center"/>
              <w:rPr>
                <w:rFonts w:ascii="Arial Narrow" w:hAnsi="Arial Narrow"/>
                <w:b/>
                <w:color w:val="000000"/>
                <w:sz w:val="20"/>
                <w:szCs w:val="18"/>
              </w:rPr>
            </w:pPr>
            <w:r>
              <w:rPr>
                <w:rFonts w:ascii="Arial Narrow" w:hAnsi="Arial Narrow"/>
                <w:b/>
                <w:color w:val="000000"/>
                <w:sz w:val="20"/>
                <w:szCs w:val="18"/>
              </w:rPr>
              <w:t>ADA</w:t>
            </w:r>
          </w:p>
        </w:tc>
        <w:tc>
          <w:tcPr>
            <w:tcW w:w="609" w:type="pct"/>
            <w:vMerge/>
            <w:vAlign w:val="center"/>
          </w:tcPr>
          <w:p w:rsidR="007D53A9" w:rsidRPr="00E2771E" w:rsidRDefault="007D53A9" w:rsidP="00F9520B">
            <w:pPr>
              <w:keepNext/>
              <w:keepLines/>
              <w:jc w:val="center"/>
              <w:rPr>
                <w:rFonts w:ascii="Arial Narrow" w:hAnsi="Arial Narrow"/>
                <w:b/>
                <w:color w:val="000000"/>
                <w:sz w:val="20"/>
                <w:szCs w:val="18"/>
              </w:rPr>
            </w:pPr>
          </w:p>
        </w:tc>
      </w:tr>
      <w:tr w:rsidR="005B51B4" w:rsidRPr="00E2771E" w:rsidTr="00F9520B">
        <w:tc>
          <w:tcPr>
            <w:tcW w:w="682" w:type="pct"/>
            <w:shd w:val="clear" w:color="auto" w:fill="auto"/>
            <w:vAlign w:val="center"/>
          </w:tcPr>
          <w:p w:rsidR="005B51B4" w:rsidRPr="00E2771E" w:rsidRDefault="005B51B4" w:rsidP="00F9520B">
            <w:pPr>
              <w:keepNext/>
              <w:keepLines/>
              <w:rPr>
                <w:rFonts w:ascii="Arial Narrow" w:hAnsi="Arial Narrow"/>
                <w:color w:val="000000"/>
                <w:sz w:val="20"/>
                <w:szCs w:val="18"/>
              </w:rPr>
            </w:pPr>
            <w:r>
              <w:rPr>
                <w:rFonts w:ascii="Arial Narrow" w:hAnsi="Arial Narrow"/>
                <w:sz w:val="18"/>
                <w:szCs w:val="18"/>
              </w:rPr>
              <w:t>PALACE 1</w:t>
            </w:r>
          </w:p>
        </w:tc>
        <w:tc>
          <w:tcPr>
            <w:tcW w:w="480" w:type="pct"/>
            <w:vAlign w:val="center"/>
          </w:tcPr>
          <w:p w:rsidR="005B51B4" w:rsidRPr="00E2771E" w:rsidRDefault="005B51B4" w:rsidP="00F9520B">
            <w:pPr>
              <w:keepNext/>
              <w:keepLines/>
              <w:jc w:val="center"/>
              <w:rPr>
                <w:rFonts w:ascii="Arial Narrow" w:hAnsi="Arial Narrow"/>
                <w:sz w:val="20"/>
                <w:szCs w:val="18"/>
              </w:rPr>
            </w:pPr>
            <w:r w:rsidRPr="00C066F1">
              <w:rPr>
                <w:rFonts w:ascii="Arial Narrow" w:hAnsi="Arial Narrow" w:cstheme="minorBidi"/>
                <w:sz w:val="18"/>
                <w:szCs w:val="18"/>
              </w:rPr>
              <w:t>27/168</w:t>
            </w:r>
          </w:p>
        </w:tc>
        <w:tc>
          <w:tcPr>
            <w:tcW w:w="480" w:type="pct"/>
            <w:vAlign w:val="center"/>
          </w:tcPr>
          <w:p w:rsidR="005B51B4" w:rsidRPr="006D1588" w:rsidRDefault="005B51B4" w:rsidP="006D1588">
            <w:pPr>
              <w:jc w:val="center"/>
              <w:rPr>
                <w:rFonts w:ascii="Arial Narrow" w:hAnsi="Arial Narrow" w:cstheme="minorBidi"/>
                <w:sz w:val="18"/>
                <w:szCs w:val="18"/>
              </w:rPr>
            </w:pPr>
            <w:r w:rsidRPr="00C066F1">
              <w:rPr>
                <w:rFonts w:ascii="Arial Narrow" w:hAnsi="Arial Narrow" w:cstheme="minorBidi"/>
                <w:sz w:val="18"/>
                <w:szCs w:val="18"/>
              </w:rPr>
              <w:t xml:space="preserve">10/168 </w:t>
            </w:r>
          </w:p>
        </w:tc>
        <w:tc>
          <w:tcPr>
            <w:tcW w:w="481" w:type="pct"/>
            <w:vAlign w:val="center"/>
          </w:tcPr>
          <w:p w:rsidR="005B51B4" w:rsidRPr="00E2771E" w:rsidRDefault="005B51B4" w:rsidP="00F9520B">
            <w:pPr>
              <w:keepNext/>
              <w:keepLines/>
              <w:jc w:val="center"/>
              <w:rPr>
                <w:rFonts w:ascii="Arial Narrow" w:hAnsi="Arial Narrow"/>
                <w:color w:val="000000"/>
                <w:sz w:val="20"/>
                <w:szCs w:val="18"/>
              </w:rPr>
            </w:pPr>
            <w:r w:rsidRPr="00E2771E">
              <w:rPr>
                <w:rFonts w:ascii="Arial Narrow" w:hAnsi="Arial Narrow"/>
                <w:color w:val="000000"/>
                <w:sz w:val="20"/>
                <w:szCs w:val="18"/>
              </w:rPr>
              <w:t>-</w:t>
            </w:r>
          </w:p>
        </w:tc>
        <w:tc>
          <w:tcPr>
            <w:tcW w:w="665" w:type="pct"/>
            <w:vAlign w:val="center"/>
          </w:tcPr>
          <w:p w:rsidR="005B51B4" w:rsidRPr="00975D0B" w:rsidRDefault="005B51B4" w:rsidP="00F9520B">
            <w:pPr>
              <w:jc w:val="center"/>
              <w:rPr>
                <w:rFonts w:ascii="Arial Narrow" w:hAnsi="Arial Narrow" w:cstheme="minorBidi"/>
                <w:b/>
                <w:bCs/>
                <w:sz w:val="18"/>
                <w:szCs w:val="18"/>
              </w:rPr>
            </w:pPr>
            <w:r w:rsidRPr="00975D0B">
              <w:rPr>
                <w:rFonts w:ascii="Arial Narrow" w:hAnsi="Arial Narrow" w:cstheme="minorBidi"/>
                <w:b/>
                <w:bCs/>
                <w:sz w:val="18"/>
                <w:szCs w:val="18"/>
              </w:rPr>
              <w:t xml:space="preserve">2.70 </w:t>
            </w:r>
          </w:p>
          <w:p w:rsidR="005B51B4" w:rsidRPr="00975D0B" w:rsidRDefault="005B51B4" w:rsidP="00F9520B">
            <w:pPr>
              <w:keepNext/>
              <w:keepLines/>
              <w:jc w:val="center"/>
              <w:rPr>
                <w:rFonts w:ascii="Arial Narrow" w:hAnsi="Arial Narrow"/>
                <w:sz w:val="20"/>
                <w:szCs w:val="18"/>
              </w:rPr>
            </w:pPr>
            <w:r w:rsidRPr="00975D0B">
              <w:rPr>
                <w:rFonts w:ascii="Arial Narrow" w:hAnsi="Arial Narrow" w:cstheme="minorBidi"/>
                <w:b/>
                <w:bCs/>
                <w:sz w:val="18"/>
                <w:szCs w:val="18"/>
              </w:rPr>
              <w:t>(1.35, 5.40)</w:t>
            </w:r>
          </w:p>
        </w:tc>
        <w:tc>
          <w:tcPr>
            <w:tcW w:w="534" w:type="pct"/>
            <w:vAlign w:val="center"/>
          </w:tcPr>
          <w:p w:rsidR="005B51B4" w:rsidRPr="00E2771E" w:rsidRDefault="005B51B4" w:rsidP="00F9520B">
            <w:pPr>
              <w:keepNext/>
              <w:keepLines/>
              <w:jc w:val="center"/>
              <w:rPr>
                <w:rFonts w:ascii="Arial Narrow" w:hAnsi="Arial Narrow"/>
                <w:color w:val="000000"/>
                <w:sz w:val="20"/>
                <w:szCs w:val="18"/>
              </w:rPr>
            </w:pPr>
            <w:r>
              <w:rPr>
                <w:rFonts w:ascii="Arial Narrow" w:hAnsi="Arial Narrow" w:cstheme="minorBidi"/>
                <w:sz w:val="18"/>
                <w:szCs w:val="18"/>
              </w:rPr>
              <w:t>16</w:t>
            </w:r>
          </w:p>
        </w:tc>
        <w:tc>
          <w:tcPr>
            <w:tcW w:w="534" w:type="pct"/>
            <w:vAlign w:val="center"/>
          </w:tcPr>
          <w:p w:rsidR="005B51B4" w:rsidRPr="00E2771E" w:rsidRDefault="005B51B4" w:rsidP="00F9520B">
            <w:pPr>
              <w:keepNext/>
              <w:keepLines/>
              <w:jc w:val="center"/>
              <w:rPr>
                <w:rFonts w:ascii="Arial Narrow" w:hAnsi="Arial Narrow"/>
                <w:color w:val="000000"/>
                <w:sz w:val="20"/>
                <w:szCs w:val="18"/>
              </w:rPr>
            </w:pPr>
            <w:r>
              <w:rPr>
                <w:rFonts w:ascii="Arial Narrow" w:hAnsi="Arial Narrow" w:cstheme="minorBidi"/>
                <w:sz w:val="18"/>
                <w:szCs w:val="18"/>
              </w:rPr>
              <w:t>6</w:t>
            </w:r>
          </w:p>
        </w:tc>
        <w:tc>
          <w:tcPr>
            <w:tcW w:w="535" w:type="pct"/>
            <w:vAlign w:val="center"/>
          </w:tcPr>
          <w:p w:rsidR="005B51B4" w:rsidRPr="00E2771E" w:rsidRDefault="005B51B4" w:rsidP="00F9520B">
            <w:pPr>
              <w:keepNext/>
              <w:keepLines/>
              <w:jc w:val="center"/>
              <w:rPr>
                <w:rFonts w:ascii="Arial Narrow" w:hAnsi="Arial Narrow"/>
                <w:color w:val="000000"/>
                <w:sz w:val="20"/>
                <w:szCs w:val="18"/>
              </w:rPr>
            </w:pPr>
            <w:r w:rsidRPr="00E2771E">
              <w:rPr>
                <w:rFonts w:ascii="Arial Narrow" w:hAnsi="Arial Narrow"/>
                <w:color w:val="000000"/>
                <w:sz w:val="20"/>
                <w:szCs w:val="18"/>
              </w:rPr>
              <w:t>-</w:t>
            </w:r>
          </w:p>
        </w:tc>
        <w:tc>
          <w:tcPr>
            <w:tcW w:w="609" w:type="pct"/>
            <w:vAlign w:val="center"/>
          </w:tcPr>
          <w:p w:rsidR="005B51B4" w:rsidRPr="00E41B25" w:rsidRDefault="005B51B4" w:rsidP="00F9520B">
            <w:pPr>
              <w:jc w:val="center"/>
              <w:rPr>
                <w:rFonts w:ascii="Arial Narrow" w:hAnsi="Arial Narrow" w:cstheme="minorBidi"/>
                <w:b/>
                <w:bCs/>
                <w:sz w:val="18"/>
                <w:szCs w:val="18"/>
              </w:rPr>
            </w:pPr>
            <w:r w:rsidRPr="00E41B25">
              <w:rPr>
                <w:rFonts w:ascii="Arial Narrow" w:hAnsi="Arial Narrow" w:cstheme="minorBidi"/>
                <w:b/>
                <w:bCs/>
                <w:sz w:val="18"/>
                <w:szCs w:val="18"/>
              </w:rPr>
              <w:t xml:space="preserve">0.10 </w:t>
            </w:r>
          </w:p>
          <w:p w:rsidR="005B51B4" w:rsidRPr="00E2771E" w:rsidRDefault="005B51B4" w:rsidP="00F9520B">
            <w:pPr>
              <w:keepNext/>
              <w:keepLines/>
              <w:jc w:val="center"/>
              <w:rPr>
                <w:rFonts w:ascii="Arial Narrow" w:hAnsi="Arial Narrow"/>
                <w:color w:val="000000"/>
                <w:sz w:val="20"/>
                <w:szCs w:val="18"/>
              </w:rPr>
            </w:pPr>
            <w:r w:rsidRPr="00E41B25">
              <w:rPr>
                <w:rFonts w:ascii="Arial Narrow" w:hAnsi="Arial Narrow" w:cstheme="minorBidi"/>
                <w:b/>
                <w:bCs/>
                <w:sz w:val="18"/>
                <w:szCs w:val="18"/>
              </w:rPr>
              <w:t>(0.04, 0.17)</w:t>
            </w:r>
          </w:p>
        </w:tc>
      </w:tr>
      <w:tr w:rsidR="005B51B4" w:rsidRPr="00E2771E" w:rsidTr="00F9520B">
        <w:tc>
          <w:tcPr>
            <w:tcW w:w="682" w:type="pct"/>
            <w:shd w:val="clear" w:color="auto" w:fill="auto"/>
            <w:vAlign w:val="center"/>
          </w:tcPr>
          <w:p w:rsidR="005B51B4" w:rsidRPr="00E2771E" w:rsidRDefault="005B51B4" w:rsidP="00F9520B">
            <w:pPr>
              <w:keepNext/>
              <w:keepLines/>
              <w:rPr>
                <w:rFonts w:ascii="Arial Narrow" w:hAnsi="Arial Narrow"/>
                <w:color w:val="000000"/>
                <w:sz w:val="20"/>
                <w:szCs w:val="18"/>
              </w:rPr>
            </w:pPr>
            <w:r>
              <w:rPr>
                <w:rFonts w:ascii="Arial Narrow" w:hAnsi="Arial Narrow"/>
                <w:sz w:val="18"/>
                <w:szCs w:val="18"/>
              </w:rPr>
              <w:t>PALACE 2</w:t>
            </w:r>
          </w:p>
        </w:tc>
        <w:tc>
          <w:tcPr>
            <w:tcW w:w="480" w:type="pct"/>
            <w:vAlign w:val="center"/>
          </w:tcPr>
          <w:p w:rsidR="005B51B4" w:rsidRPr="00E2771E" w:rsidRDefault="005B51B4" w:rsidP="00F9520B">
            <w:pPr>
              <w:keepNext/>
              <w:keepLines/>
              <w:jc w:val="center"/>
              <w:rPr>
                <w:rFonts w:ascii="Arial Narrow" w:hAnsi="Arial Narrow"/>
                <w:sz w:val="20"/>
                <w:szCs w:val="18"/>
              </w:rPr>
            </w:pPr>
            <w:r w:rsidRPr="00C066F1">
              <w:rPr>
                <w:rFonts w:ascii="Arial Narrow" w:hAnsi="Arial Narrow" w:cstheme="minorBidi"/>
                <w:sz w:val="18"/>
                <w:szCs w:val="18"/>
              </w:rPr>
              <w:t xml:space="preserve">17/162 </w:t>
            </w:r>
          </w:p>
        </w:tc>
        <w:tc>
          <w:tcPr>
            <w:tcW w:w="480" w:type="pct"/>
            <w:vAlign w:val="center"/>
          </w:tcPr>
          <w:p w:rsidR="005B51B4" w:rsidRPr="006D1588" w:rsidRDefault="005B51B4" w:rsidP="006D1588">
            <w:pPr>
              <w:jc w:val="center"/>
              <w:rPr>
                <w:rFonts w:ascii="Arial Narrow" w:hAnsi="Arial Narrow" w:cstheme="minorBidi"/>
                <w:sz w:val="18"/>
                <w:szCs w:val="18"/>
              </w:rPr>
            </w:pPr>
            <w:r w:rsidRPr="00C066F1">
              <w:rPr>
                <w:rFonts w:ascii="Arial Narrow" w:hAnsi="Arial Narrow" w:cstheme="minorBidi"/>
                <w:sz w:val="18"/>
                <w:szCs w:val="18"/>
              </w:rPr>
              <w:t xml:space="preserve">8/159 </w:t>
            </w:r>
          </w:p>
        </w:tc>
        <w:tc>
          <w:tcPr>
            <w:tcW w:w="481" w:type="pct"/>
            <w:vAlign w:val="center"/>
          </w:tcPr>
          <w:p w:rsidR="005B51B4" w:rsidRPr="00E2771E" w:rsidRDefault="005B51B4" w:rsidP="00F9520B">
            <w:pPr>
              <w:keepNext/>
              <w:keepLines/>
              <w:jc w:val="center"/>
              <w:rPr>
                <w:rFonts w:ascii="Arial Narrow" w:hAnsi="Arial Narrow"/>
                <w:color w:val="000000"/>
                <w:sz w:val="20"/>
                <w:szCs w:val="18"/>
              </w:rPr>
            </w:pPr>
            <w:r>
              <w:rPr>
                <w:rFonts w:ascii="Arial Narrow" w:hAnsi="Arial Narrow"/>
                <w:color w:val="000000"/>
                <w:sz w:val="20"/>
                <w:szCs w:val="18"/>
              </w:rPr>
              <w:t>-</w:t>
            </w:r>
          </w:p>
        </w:tc>
        <w:tc>
          <w:tcPr>
            <w:tcW w:w="665" w:type="pct"/>
            <w:vAlign w:val="center"/>
          </w:tcPr>
          <w:p w:rsidR="005B51B4" w:rsidRPr="00975D0B" w:rsidRDefault="005B51B4" w:rsidP="00F9520B">
            <w:pPr>
              <w:jc w:val="center"/>
              <w:rPr>
                <w:rFonts w:ascii="Arial Narrow" w:hAnsi="Arial Narrow" w:cstheme="minorBidi"/>
                <w:sz w:val="18"/>
                <w:szCs w:val="18"/>
              </w:rPr>
            </w:pPr>
            <w:r w:rsidRPr="00975D0B">
              <w:rPr>
                <w:rFonts w:ascii="Arial Narrow" w:hAnsi="Arial Narrow" w:cstheme="minorBidi"/>
                <w:sz w:val="18"/>
                <w:szCs w:val="18"/>
              </w:rPr>
              <w:t xml:space="preserve">2.09 </w:t>
            </w:r>
          </w:p>
          <w:p w:rsidR="005B51B4" w:rsidRPr="00975D0B" w:rsidRDefault="005B51B4" w:rsidP="00F9520B">
            <w:pPr>
              <w:keepNext/>
              <w:keepLines/>
              <w:jc w:val="center"/>
              <w:rPr>
                <w:rFonts w:ascii="Arial Narrow" w:hAnsi="Arial Narrow"/>
                <w:sz w:val="20"/>
                <w:szCs w:val="18"/>
              </w:rPr>
            </w:pPr>
            <w:r w:rsidRPr="00975D0B">
              <w:rPr>
                <w:rFonts w:ascii="Arial Narrow" w:hAnsi="Arial Narrow" w:cstheme="minorBidi"/>
                <w:sz w:val="18"/>
                <w:szCs w:val="18"/>
              </w:rPr>
              <w:t>(0.93, 4.69)</w:t>
            </w:r>
          </w:p>
        </w:tc>
        <w:tc>
          <w:tcPr>
            <w:tcW w:w="534" w:type="pct"/>
            <w:vAlign w:val="center"/>
          </w:tcPr>
          <w:p w:rsidR="005B51B4" w:rsidRPr="00E2771E" w:rsidRDefault="005B51B4" w:rsidP="00F9520B">
            <w:pPr>
              <w:keepNext/>
              <w:keepLines/>
              <w:jc w:val="center"/>
              <w:rPr>
                <w:rFonts w:ascii="Arial Narrow" w:hAnsi="Arial Narrow"/>
                <w:color w:val="000000"/>
                <w:sz w:val="20"/>
                <w:szCs w:val="18"/>
              </w:rPr>
            </w:pPr>
            <w:r>
              <w:rPr>
                <w:rFonts w:ascii="Arial Narrow" w:hAnsi="Arial Narrow" w:cstheme="minorBidi"/>
                <w:sz w:val="18"/>
                <w:szCs w:val="18"/>
              </w:rPr>
              <w:t>11</w:t>
            </w:r>
          </w:p>
        </w:tc>
        <w:tc>
          <w:tcPr>
            <w:tcW w:w="534" w:type="pct"/>
            <w:vAlign w:val="center"/>
          </w:tcPr>
          <w:p w:rsidR="005B51B4" w:rsidRPr="00E2771E" w:rsidRDefault="005B51B4" w:rsidP="00F9520B">
            <w:pPr>
              <w:keepNext/>
              <w:keepLines/>
              <w:jc w:val="center"/>
              <w:rPr>
                <w:rFonts w:ascii="Arial Narrow" w:hAnsi="Arial Narrow"/>
                <w:color w:val="000000"/>
                <w:sz w:val="20"/>
                <w:szCs w:val="18"/>
              </w:rPr>
            </w:pPr>
            <w:r>
              <w:rPr>
                <w:rFonts w:ascii="Arial Narrow" w:hAnsi="Arial Narrow" w:cstheme="minorBidi"/>
                <w:sz w:val="18"/>
                <w:szCs w:val="18"/>
              </w:rPr>
              <w:t>5</w:t>
            </w:r>
          </w:p>
        </w:tc>
        <w:tc>
          <w:tcPr>
            <w:tcW w:w="535" w:type="pct"/>
            <w:vAlign w:val="center"/>
          </w:tcPr>
          <w:p w:rsidR="005B51B4" w:rsidRPr="00E2771E" w:rsidRDefault="005B51B4" w:rsidP="00F9520B">
            <w:pPr>
              <w:keepNext/>
              <w:keepLines/>
              <w:jc w:val="center"/>
              <w:rPr>
                <w:rFonts w:ascii="Arial Narrow" w:hAnsi="Arial Narrow"/>
                <w:color w:val="000000"/>
                <w:sz w:val="20"/>
                <w:szCs w:val="18"/>
              </w:rPr>
            </w:pPr>
            <w:r>
              <w:rPr>
                <w:rFonts w:ascii="Arial Narrow" w:hAnsi="Arial Narrow"/>
                <w:color w:val="000000"/>
                <w:sz w:val="20"/>
                <w:szCs w:val="18"/>
              </w:rPr>
              <w:t>-</w:t>
            </w:r>
          </w:p>
        </w:tc>
        <w:tc>
          <w:tcPr>
            <w:tcW w:w="609" w:type="pct"/>
            <w:vAlign w:val="center"/>
          </w:tcPr>
          <w:p w:rsidR="005B51B4" w:rsidRPr="00E41B25" w:rsidRDefault="005B51B4" w:rsidP="00F9520B">
            <w:pPr>
              <w:jc w:val="center"/>
              <w:rPr>
                <w:rFonts w:ascii="Arial Narrow" w:hAnsi="Arial Narrow" w:cstheme="minorBidi"/>
                <w:sz w:val="18"/>
                <w:szCs w:val="18"/>
              </w:rPr>
            </w:pPr>
            <w:r w:rsidRPr="00E41B25">
              <w:rPr>
                <w:rFonts w:ascii="Arial Narrow" w:hAnsi="Arial Narrow" w:cstheme="minorBidi"/>
                <w:sz w:val="18"/>
                <w:szCs w:val="18"/>
              </w:rPr>
              <w:t xml:space="preserve">0.05 </w:t>
            </w:r>
          </w:p>
          <w:p w:rsidR="005B51B4" w:rsidRPr="00E2771E" w:rsidRDefault="005B51B4" w:rsidP="00F9520B">
            <w:pPr>
              <w:keepNext/>
              <w:keepLines/>
              <w:jc w:val="center"/>
              <w:rPr>
                <w:rFonts w:ascii="Arial Narrow" w:hAnsi="Arial Narrow"/>
                <w:color w:val="000000"/>
                <w:sz w:val="20"/>
                <w:szCs w:val="18"/>
              </w:rPr>
            </w:pPr>
            <w:r w:rsidRPr="00E41B25">
              <w:rPr>
                <w:rFonts w:ascii="Arial Narrow" w:hAnsi="Arial Narrow" w:cstheme="minorBidi"/>
                <w:sz w:val="18"/>
                <w:szCs w:val="18"/>
              </w:rPr>
              <w:t>(0.00, 0.11)</w:t>
            </w:r>
          </w:p>
        </w:tc>
      </w:tr>
      <w:tr w:rsidR="005B51B4" w:rsidRPr="00E2771E" w:rsidTr="00F9520B">
        <w:tc>
          <w:tcPr>
            <w:tcW w:w="682" w:type="pct"/>
            <w:shd w:val="clear" w:color="auto" w:fill="auto"/>
            <w:vAlign w:val="center"/>
          </w:tcPr>
          <w:p w:rsidR="005B51B4" w:rsidRPr="00E2771E" w:rsidRDefault="005B51B4" w:rsidP="00F9520B">
            <w:pPr>
              <w:keepNext/>
              <w:keepLines/>
              <w:rPr>
                <w:rFonts w:ascii="Arial Narrow" w:hAnsi="Arial Narrow"/>
                <w:color w:val="000000"/>
                <w:sz w:val="20"/>
                <w:szCs w:val="18"/>
              </w:rPr>
            </w:pPr>
            <w:r>
              <w:rPr>
                <w:rFonts w:ascii="Arial Narrow" w:hAnsi="Arial Narrow"/>
                <w:sz w:val="18"/>
                <w:szCs w:val="18"/>
              </w:rPr>
              <w:t>PALACE 3</w:t>
            </w:r>
          </w:p>
        </w:tc>
        <w:tc>
          <w:tcPr>
            <w:tcW w:w="480" w:type="pct"/>
            <w:vAlign w:val="center"/>
          </w:tcPr>
          <w:p w:rsidR="005B51B4" w:rsidRPr="00E2771E" w:rsidRDefault="005B51B4" w:rsidP="00F9520B">
            <w:pPr>
              <w:keepNext/>
              <w:keepLines/>
              <w:jc w:val="center"/>
              <w:rPr>
                <w:rFonts w:ascii="Arial Narrow" w:hAnsi="Arial Narrow"/>
                <w:sz w:val="20"/>
                <w:szCs w:val="18"/>
              </w:rPr>
            </w:pPr>
            <w:r w:rsidRPr="00C066F1">
              <w:rPr>
                <w:rFonts w:ascii="Arial Narrow" w:hAnsi="Arial Narrow" w:cstheme="minorBidi"/>
                <w:sz w:val="18"/>
                <w:szCs w:val="18"/>
              </w:rPr>
              <w:t>25/167</w:t>
            </w:r>
          </w:p>
        </w:tc>
        <w:tc>
          <w:tcPr>
            <w:tcW w:w="480" w:type="pct"/>
            <w:vAlign w:val="center"/>
          </w:tcPr>
          <w:p w:rsidR="005B51B4" w:rsidRPr="006D1588" w:rsidRDefault="005B51B4" w:rsidP="006D1588">
            <w:pPr>
              <w:jc w:val="center"/>
              <w:rPr>
                <w:rFonts w:ascii="Arial Narrow" w:hAnsi="Arial Narrow" w:cstheme="minorBidi"/>
                <w:sz w:val="18"/>
                <w:szCs w:val="18"/>
              </w:rPr>
            </w:pPr>
            <w:r w:rsidRPr="00C066F1">
              <w:rPr>
                <w:rFonts w:ascii="Arial Narrow" w:hAnsi="Arial Narrow" w:cstheme="minorBidi"/>
                <w:sz w:val="18"/>
                <w:szCs w:val="18"/>
              </w:rPr>
              <w:t xml:space="preserve">14/169 </w:t>
            </w:r>
          </w:p>
        </w:tc>
        <w:tc>
          <w:tcPr>
            <w:tcW w:w="481" w:type="pct"/>
            <w:vAlign w:val="center"/>
          </w:tcPr>
          <w:p w:rsidR="005B51B4" w:rsidRPr="00E2771E" w:rsidRDefault="005B51B4" w:rsidP="00F9520B">
            <w:pPr>
              <w:keepNext/>
              <w:keepLines/>
              <w:jc w:val="center"/>
              <w:rPr>
                <w:rFonts w:ascii="Arial Narrow" w:hAnsi="Arial Narrow"/>
                <w:color w:val="000000"/>
                <w:sz w:val="20"/>
                <w:szCs w:val="18"/>
              </w:rPr>
            </w:pPr>
            <w:r>
              <w:rPr>
                <w:rFonts w:ascii="Arial Narrow" w:hAnsi="Arial Narrow"/>
                <w:color w:val="000000"/>
                <w:sz w:val="20"/>
                <w:szCs w:val="18"/>
              </w:rPr>
              <w:t>-</w:t>
            </w:r>
          </w:p>
        </w:tc>
        <w:tc>
          <w:tcPr>
            <w:tcW w:w="665" w:type="pct"/>
            <w:vAlign w:val="center"/>
          </w:tcPr>
          <w:p w:rsidR="005B51B4" w:rsidRPr="00975D0B" w:rsidRDefault="005B51B4" w:rsidP="00F9520B">
            <w:pPr>
              <w:jc w:val="center"/>
              <w:rPr>
                <w:rFonts w:ascii="Arial Narrow" w:hAnsi="Arial Narrow" w:cstheme="minorBidi"/>
                <w:sz w:val="18"/>
                <w:szCs w:val="18"/>
              </w:rPr>
            </w:pPr>
            <w:r w:rsidRPr="00975D0B">
              <w:rPr>
                <w:rFonts w:ascii="Arial Narrow" w:hAnsi="Arial Narrow" w:cstheme="minorBidi"/>
                <w:sz w:val="18"/>
                <w:szCs w:val="18"/>
              </w:rPr>
              <w:t xml:space="preserve">1.81 </w:t>
            </w:r>
          </w:p>
          <w:p w:rsidR="005B51B4" w:rsidRPr="00975D0B" w:rsidRDefault="005B51B4" w:rsidP="00F9520B">
            <w:pPr>
              <w:keepNext/>
              <w:keepLines/>
              <w:jc w:val="center"/>
              <w:rPr>
                <w:rFonts w:ascii="Arial Narrow" w:hAnsi="Arial Narrow"/>
                <w:sz w:val="20"/>
                <w:szCs w:val="18"/>
              </w:rPr>
            </w:pPr>
            <w:r w:rsidRPr="00975D0B">
              <w:rPr>
                <w:rFonts w:ascii="Arial Narrow" w:hAnsi="Arial Narrow" w:cstheme="minorBidi"/>
                <w:sz w:val="18"/>
                <w:szCs w:val="18"/>
              </w:rPr>
              <w:t>(0.97, 3.35)</w:t>
            </w:r>
          </w:p>
        </w:tc>
        <w:tc>
          <w:tcPr>
            <w:tcW w:w="534" w:type="pct"/>
            <w:vAlign w:val="center"/>
          </w:tcPr>
          <w:p w:rsidR="005B51B4" w:rsidRPr="00E2771E" w:rsidRDefault="005B51B4" w:rsidP="00F9520B">
            <w:pPr>
              <w:keepNext/>
              <w:keepLines/>
              <w:jc w:val="center"/>
              <w:rPr>
                <w:rFonts w:ascii="Arial Narrow" w:hAnsi="Arial Narrow"/>
                <w:color w:val="000000"/>
                <w:sz w:val="20"/>
                <w:szCs w:val="18"/>
              </w:rPr>
            </w:pPr>
            <w:r>
              <w:rPr>
                <w:rFonts w:ascii="Arial Narrow" w:hAnsi="Arial Narrow" w:cstheme="minorBidi"/>
                <w:sz w:val="18"/>
                <w:szCs w:val="18"/>
              </w:rPr>
              <w:t>15</w:t>
            </w:r>
          </w:p>
        </w:tc>
        <w:tc>
          <w:tcPr>
            <w:tcW w:w="534" w:type="pct"/>
            <w:vAlign w:val="center"/>
          </w:tcPr>
          <w:p w:rsidR="005B51B4" w:rsidRPr="00E2771E" w:rsidRDefault="005B51B4" w:rsidP="00F9520B">
            <w:pPr>
              <w:keepNext/>
              <w:keepLines/>
              <w:jc w:val="center"/>
              <w:rPr>
                <w:rFonts w:ascii="Arial Narrow" w:hAnsi="Arial Narrow"/>
                <w:color w:val="000000"/>
                <w:sz w:val="20"/>
                <w:szCs w:val="18"/>
              </w:rPr>
            </w:pPr>
            <w:r>
              <w:rPr>
                <w:rFonts w:ascii="Arial Narrow" w:hAnsi="Arial Narrow" w:cstheme="minorBidi"/>
                <w:sz w:val="18"/>
                <w:szCs w:val="18"/>
              </w:rPr>
              <w:t>8</w:t>
            </w:r>
          </w:p>
        </w:tc>
        <w:tc>
          <w:tcPr>
            <w:tcW w:w="535" w:type="pct"/>
            <w:vAlign w:val="center"/>
          </w:tcPr>
          <w:p w:rsidR="005B51B4" w:rsidRPr="00E2771E" w:rsidRDefault="005B51B4" w:rsidP="00F9520B">
            <w:pPr>
              <w:keepNext/>
              <w:keepLines/>
              <w:jc w:val="center"/>
              <w:rPr>
                <w:rFonts w:ascii="Arial Narrow" w:hAnsi="Arial Narrow"/>
                <w:color w:val="000000"/>
                <w:sz w:val="20"/>
                <w:szCs w:val="18"/>
              </w:rPr>
            </w:pPr>
            <w:r>
              <w:rPr>
                <w:rFonts w:ascii="Arial Narrow" w:hAnsi="Arial Narrow"/>
                <w:color w:val="000000"/>
                <w:sz w:val="20"/>
                <w:szCs w:val="18"/>
              </w:rPr>
              <w:t>-</w:t>
            </w:r>
          </w:p>
        </w:tc>
        <w:tc>
          <w:tcPr>
            <w:tcW w:w="609" w:type="pct"/>
            <w:vAlign w:val="center"/>
          </w:tcPr>
          <w:p w:rsidR="005B51B4" w:rsidRPr="00E41B25" w:rsidRDefault="005B51B4" w:rsidP="00F9520B">
            <w:pPr>
              <w:jc w:val="center"/>
              <w:rPr>
                <w:rFonts w:ascii="Arial Narrow" w:hAnsi="Arial Narrow" w:cstheme="minorBidi"/>
                <w:sz w:val="18"/>
                <w:szCs w:val="18"/>
              </w:rPr>
            </w:pPr>
            <w:r w:rsidRPr="00E41B25">
              <w:rPr>
                <w:rFonts w:ascii="Arial Narrow" w:hAnsi="Arial Narrow" w:cstheme="minorBidi"/>
                <w:sz w:val="18"/>
                <w:szCs w:val="18"/>
              </w:rPr>
              <w:t xml:space="preserve">0.07 </w:t>
            </w:r>
          </w:p>
          <w:p w:rsidR="005B51B4" w:rsidRPr="00E2771E" w:rsidRDefault="005B51B4" w:rsidP="00F9520B">
            <w:pPr>
              <w:keepNext/>
              <w:keepLines/>
              <w:jc w:val="center"/>
              <w:rPr>
                <w:rFonts w:ascii="Arial Narrow" w:hAnsi="Arial Narrow"/>
                <w:color w:val="000000"/>
                <w:sz w:val="20"/>
                <w:szCs w:val="18"/>
              </w:rPr>
            </w:pPr>
            <w:r w:rsidRPr="00E41B25">
              <w:rPr>
                <w:rFonts w:ascii="Arial Narrow" w:hAnsi="Arial Narrow" w:cstheme="minorBidi"/>
                <w:sz w:val="18"/>
                <w:szCs w:val="18"/>
              </w:rPr>
              <w:t>(0.00, 0.14)</w:t>
            </w:r>
          </w:p>
        </w:tc>
      </w:tr>
      <w:tr w:rsidR="007D53A9" w:rsidRPr="00E2771E" w:rsidTr="00F9520B">
        <w:tc>
          <w:tcPr>
            <w:tcW w:w="2123" w:type="pct"/>
            <w:gridSpan w:val="4"/>
            <w:shd w:val="clear" w:color="auto" w:fill="auto"/>
            <w:vAlign w:val="center"/>
          </w:tcPr>
          <w:p w:rsidR="007D53A9" w:rsidRPr="00986924" w:rsidRDefault="007D53A9" w:rsidP="00F9520B">
            <w:pPr>
              <w:keepNext/>
              <w:keepLines/>
              <w:jc w:val="right"/>
              <w:rPr>
                <w:rFonts w:ascii="Arial Narrow" w:hAnsi="Arial Narrow"/>
                <w:color w:val="000000"/>
                <w:sz w:val="18"/>
                <w:szCs w:val="18"/>
              </w:rPr>
            </w:pPr>
            <w:r w:rsidRPr="00986924">
              <w:rPr>
                <w:rFonts w:ascii="Arial Narrow" w:hAnsi="Arial Narrow"/>
                <w:color w:val="000000"/>
                <w:sz w:val="18"/>
                <w:szCs w:val="18"/>
              </w:rPr>
              <w:t>Pooled</w:t>
            </w:r>
            <w:r w:rsidR="00237020">
              <w:rPr>
                <w:rFonts w:ascii="Arial Narrow" w:hAnsi="Arial Narrow"/>
                <w:color w:val="000000"/>
                <w:sz w:val="18"/>
                <w:szCs w:val="18"/>
              </w:rPr>
              <w:t xml:space="preserve"> – </w:t>
            </w:r>
            <w:proofErr w:type="spellStart"/>
            <w:r w:rsidR="00237020">
              <w:rPr>
                <w:rFonts w:ascii="Arial Narrow" w:hAnsi="Arial Narrow"/>
                <w:color w:val="000000"/>
                <w:sz w:val="18"/>
                <w:szCs w:val="18"/>
              </w:rPr>
              <w:t>apremilast</w:t>
            </w:r>
            <w:proofErr w:type="spellEnd"/>
            <w:r w:rsidR="00237020">
              <w:rPr>
                <w:rFonts w:ascii="Arial Narrow" w:hAnsi="Arial Narrow"/>
                <w:color w:val="000000"/>
                <w:sz w:val="18"/>
                <w:szCs w:val="18"/>
              </w:rPr>
              <w:t xml:space="preserve"> trials</w:t>
            </w:r>
            <w:r w:rsidRPr="00986924">
              <w:rPr>
                <w:rFonts w:ascii="Arial Narrow" w:hAnsi="Arial Narrow"/>
                <w:color w:val="000000"/>
                <w:sz w:val="18"/>
                <w:szCs w:val="18"/>
              </w:rPr>
              <w:t xml:space="preserve"> </w:t>
            </w:r>
          </w:p>
        </w:tc>
        <w:tc>
          <w:tcPr>
            <w:tcW w:w="665" w:type="pct"/>
            <w:vAlign w:val="center"/>
          </w:tcPr>
          <w:p w:rsidR="00966119" w:rsidRPr="00966119" w:rsidRDefault="00966119" w:rsidP="00966119">
            <w:pPr>
              <w:jc w:val="center"/>
              <w:rPr>
                <w:rFonts w:ascii="Arial Narrow" w:hAnsi="Arial Narrow" w:cstheme="minorBidi"/>
                <w:b/>
                <w:bCs/>
                <w:sz w:val="18"/>
                <w:szCs w:val="18"/>
              </w:rPr>
            </w:pPr>
            <w:r w:rsidRPr="00966119">
              <w:rPr>
                <w:rFonts w:ascii="Arial Narrow" w:hAnsi="Arial Narrow" w:cstheme="minorBidi"/>
                <w:b/>
                <w:bCs/>
                <w:sz w:val="18"/>
                <w:szCs w:val="18"/>
              </w:rPr>
              <w:t xml:space="preserve">2.14 </w:t>
            </w:r>
          </w:p>
          <w:p w:rsidR="007D53A9" w:rsidRPr="00986924" w:rsidRDefault="00966119" w:rsidP="00966119">
            <w:pPr>
              <w:keepNext/>
              <w:keepLines/>
              <w:jc w:val="center"/>
              <w:rPr>
                <w:rFonts w:ascii="Arial Narrow" w:hAnsi="Arial Narrow"/>
                <w:sz w:val="18"/>
                <w:szCs w:val="18"/>
              </w:rPr>
            </w:pPr>
            <w:r w:rsidRPr="00966119">
              <w:rPr>
                <w:rFonts w:ascii="Arial Narrow" w:hAnsi="Arial Narrow" w:cstheme="minorBidi"/>
                <w:b/>
                <w:bCs/>
                <w:sz w:val="18"/>
                <w:szCs w:val="18"/>
              </w:rPr>
              <w:t>(1.43, 3.20)</w:t>
            </w:r>
          </w:p>
        </w:tc>
        <w:tc>
          <w:tcPr>
            <w:tcW w:w="534" w:type="pct"/>
            <w:vAlign w:val="center"/>
          </w:tcPr>
          <w:p w:rsidR="007D53A9" w:rsidRPr="001112CE" w:rsidRDefault="005B51B4" w:rsidP="00F9520B">
            <w:pPr>
              <w:keepNext/>
              <w:keepLines/>
              <w:jc w:val="center"/>
              <w:rPr>
                <w:rFonts w:ascii="Arial Narrow" w:hAnsi="Arial Narrow"/>
                <w:color w:val="000000"/>
                <w:sz w:val="20"/>
                <w:szCs w:val="18"/>
              </w:rPr>
            </w:pPr>
            <w:r>
              <w:rPr>
                <w:rFonts w:ascii="Arial Narrow" w:hAnsi="Arial Narrow" w:cstheme="minorBidi"/>
                <w:sz w:val="18"/>
                <w:szCs w:val="18"/>
              </w:rPr>
              <w:t>14</w:t>
            </w:r>
          </w:p>
        </w:tc>
        <w:tc>
          <w:tcPr>
            <w:tcW w:w="534" w:type="pct"/>
            <w:vAlign w:val="center"/>
          </w:tcPr>
          <w:p w:rsidR="007D53A9" w:rsidRPr="001112CE" w:rsidRDefault="00102131" w:rsidP="00F9520B">
            <w:pPr>
              <w:pStyle w:val="TableText0"/>
              <w:keepLines/>
              <w:spacing w:before="0" w:after="0"/>
              <w:jc w:val="center"/>
              <w:rPr>
                <w:rFonts w:cstheme="minorBidi"/>
                <w:sz w:val="18"/>
                <w:szCs w:val="18"/>
              </w:rPr>
            </w:pPr>
            <w:r>
              <w:rPr>
                <w:rFonts w:cstheme="minorBidi"/>
                <w:sz w:val="18"/>
                <w:szCs w:val="18"/>
              </w:rPr>
              <w:t>6</w:t>
            </w:r>
          </w:p>
        </w:tc>
        <w:tc>
          <w:tcPr>
            <w:tcW w:w="535" w:type="pct"/>
            <w:vAlign w:val="center"/>
          </w:tcPr>
          <w:p w:rsidR="007D53A9" w:rsidRPr="00E2771E" w:rsidRDefault="007D53A9" w:rsidP="00F9520B">
            <w:pPr>
              <w:keepNext/>
              <w:keepLines/>
              <w:jc w:val="center"/>
              <w:rPr>
                <w:rFonts w:ascii="Arial Narrow" w:hAnsi="Arial Narrow"/>
                <w:color w:val="000000"/>
                <w:sz w:val="20"/>
                <w:szCs w:val="18"/>
              </w:rPr>
            </w:pPr>
            <w:r>
              <w:rPr>
                <w:rFonts w:ascii="Arial Narrow" w:hAnsi="Arial Narrow"/>
                <w:color w:val="000000"/>
                <w:sz w:val="20"/>
                <w:szCs w:val="18"/>
              </w:rPr>
              <w:t>-</w:t>
            </w:r>
          </w:p>
        </w:tc>
        <w:tc>
          <w:tcPr>
            <w:tcW w:w="609" w:type="pct"/>
            <w:vAlign w:val="center"/>
          </w:tcPr>
          <w:p w:rsidR="005B51B4" w:rsidRPr="00E41B25" w:rsidRDefault="005B51B4" w:rsidP="005B51B4">
            <w:pPr>
              <w:jc w:val="center"/>
              <w:rPr>
                <w:rFonts w:ascii="Arial Narrow" w:hAnsi="Arial Narrow" w:cstheme="minorBidi"/>
                <w:b/>
                <w:bCs/>
                <w:sz w:val="18"/>
                <w:szCs w:val="18"/>
              </w:rPr>
            </w:pPr>
            <w:r w:rsidRPr="00E41B25">
              <w:rPr>
                <w:rFonts w:ascii="Arial Narrow" w:hAnsi="Arial Narrow" w:cstheme="minorBidi"/>
                <w:b/>
                <w:bCs/>
                <w:sz w:val="18"/>
                <w:szCs w:val="18"/>
              </w:rPr>
              <w:t xml:space="preserve">0.07 </w:t>
            </w:r>
          </w:p>
          <w:p w:rsidR="007D53A9" w:rsidRPr="00E2771E" w:rsidRDefault="005B51B4" w:rsidP="005B51B4">
            <w:pPr>
              <w:keepNext/>
              <w:keepLines/>
              <w:jc w:val="center"/>
              <w:rPr>
                <w:rFonts w:ascii="Arial Narrow" w:hAnsi="Arial Narrow"/>
                <w:color w:val="000000"/>
                <w:sz w:val="20"/>
                <w:szCs w:val="18"/>
              </w:rPr>
            </w:pPr>
            <w:r w:rsidRPr="00E41B25">
              <w:rPr>
                <w:rFonts w:ascii="Arial Narrow" w:hAnsi="Arial Narrow" w:cstheme="minorBidi"/>
                <w:b/>
                <w:bCs/>
                <w:sz w:val="18"/>
                <w:szCs w:val="18"/>
              </w:rPr>
              <w:t>(0.04, 0.11</w:t>
            </w:r>
            <w:r>
              <w:rPr>
                <w:rFonts w:ascii="Arial Narrow" w:hAnsi="Arial Narrow" w:cstheme="minorBidi"/>
                <w:b/>
                <w:bCs/>
                <w:sz w:val="18"/>
                <w:szCs w:val="18"/>
              </w:rPr>
              <w:t>)</w:t>
            </w:r>
          </w:p>
        </w:tc>
      </w:tr>
      <w:tr w:rsidR="00B712A9" w:rsidRPr="00E2771E" w:rsidTr="00F9520B">
        <w:tc>
          <w:tcPr>
            <w:tcW w:w="682" w:type="pct"/>
            <w:shd w:val="clear" w:color="auto" w:fill="auto"/>
            <w:vAlign w:val="center"/>
          </w:tcPr>
          <w:p w:rsidR="00B712A9" w:rsidRPr="00E2771E" w:rsidRDefault="00B712A9" w:rsidP="00F9520B">
            <w:pPr>
              <w:keepNext/>
              <w:keepLines/>
              <w:rPr>
                <w:rFonts w:ascii="Arial Narrow" w:hAnsi="Arial Narrow"/>
                <w:color w:val="000000"/>
                <w:sz w:val="20"/>
                <w:szCs w:val="18"/>
              </w:rPr>
            </w:pPr>
            <w:proofErr w:type="spellStart"/>
            <w:r>
              <w:rPr>
                <w:rFonts w:ascii="Arial Narrow" w:hAnsi="Arial Narrow"/>
                <w:sz w:val="18"/>
                <w:szCs w:val="18"/>
              </w:rPr>
              <w:t>Mease</w:t>
            </w:r>
            <w:proofErr w:type="spellEnd"/>
            <w:r>
              <w:rPr>
                <w:rFonts w:ascii="Arial Narrow" w:hAnsi="Arial Narrow"/>
                <w:sz w:val="18"/>
                <w:szCs w:val="18"/>
              </w:rPr>
              <w:t xml:space="preserve"> 2005</w:t>
            </w:r>
          </w:p>
        </w:tc>
        <w:tc>
          <w:tcPr>
            <w:tcW w:w="480" w:type="pct"/>
            <w:vAlign w:val="center"/>
          </w:tcPr>
          <w:p w:rsidR="00B712A9" w:rsidRPr="00E2771E" w:rsidRDefault="00B712A9" w:rsidP="00F9520B">
            <w:pPr>
              <w:keepNext/>
              <w:keepLines/>
              <w:jc w:val="center"/>
              <w:rPr>
                <w:rFonts w:ascii="Arial Narrow" w:hAnsi="Arial Narrow"/>
                <w:color w:val="000000"/>
                <w:sz w:val="20"/>
                <w:szCs w:val="18"/>
              </w:rPr>
            </w:pPr>
            <w:r>
              <w:rPr>
                <w:rFonts w:ascii="Arial Narrow" w:hAnsi="Arial Narrow"/>
                <w:color w:val="000000"/>
                <w:sz w:val="20"/>
                <w:szCs w:val="18"/>
              </w:rPr>
              <w:t>-</w:t>
            </w:r>
          </w:p>
        </w:tc>
        <w:tc>
          <w:tcPr>
            <w:tcW w:w="480" w:type="pct"/>
            <w:vAlign w:val="center"/>
          </w:tcPr>
          <w:p w:rsidR="00B712A9" w:rsidRPr="00C36649" w:rsidRDefault="00B712A9" w:rsidP="006D1588">
            <w:pPr>
              <w:jc w:val="center"/>
              <w:rPr>
                <w:rFonts w:ascii="Arial Narrow" w:hAnsi="Arial Narrow" w:cstheme="minorBidi"/>
                <w:sz w:val="18"/>
                <w:szCs w:val="18"/>
              </w:rPr>
            </w:pPr>
            <w:r>
              <w:rPr>
                <w:rFonts w:ascii="Arial Narrow" w:hAnsi="Arial Narrow" w:cstheme="minorBidi"/>
                <w:sz w:val="18"/>
                <w:szCs w:val="18"/>
              </w:rPr>
              <w:t>6</w:t>
            </w:r>
            <w:r w:rsidRPr="001D2E63">
              <w:rPr>
                <w:rFonts w:ascii="Arial Narrow" w:hAnsi="Arial Narrow" w:cstheme="minorBidi"/>
                <w:sz w:val="18"/>
                <w:szCs w:val="18"/>
              </w:rPr>
              <w:t>/162</w:t>
            </w:r>
          </w:p>
        </w:tc>
        <w:tc>
          <w:tcPr>
            <w:tcW w:w="481" w:type="pct"/>
            <w:vAlign w:val="center"/>
          </w:tcPr>
          <w:p w:rsidR="00B712A9" w:rsidRPr="00C36649" w:rsidRDefault="00B712A9" w:rsidP="006D1588">
            <w:pPr>
              <w:jc w:val="center"/>
              <w:rPr>
                <w:rFonts w:ascii="Arial Narrow" w:hAnsi="Arial Narrow" w:cstheme="minorBidi"/>
                <w:sz w:val="18"/>
                <w:szCs w:val="18"/>
              </w:rPr>
            </w:pPr>
            <w:r>
              <w:rPr>
                <w:rFonts w:ascii="Arial Narrow" w:hAnsi="Arial Narrow" w:cstheme="minorBidi"/>
                <w:sz w:val="18"/>
                <w:szCs w:val="18"/>
              </w:rPr>
              <w:t>54</w:t>
            </w:r>
            <w:r w:rsidRPr="001D2E63">
              <w:rPr>
                <w:rFonts w:ascii="Arial Narrow" w:hAnsi="Arial Narrow" w:cstheme="minorBidi"/>
                <w:sz w:val="18"/>
                <w:szCs w:val="18"/>
              </w:rPr>
              <w:t>/15</w:t>
            </w:r>
            <w:r w:rsidR="00500223">
              <w:rPr>
                <w:rFonts w:ascii="Arial Narrow" w:hAnsi="Arial Narrow" w:cstheme="minorBidi"/>
                <w:sz w:val="18"/>
                <w:szCs w:val="18"/>
              </w:rPr>
              <w:t>3</w:t>
            </w:r>
          </w:p>
        </w:tc>
        <w:tc>
          <w:tcPr>
            <w:tcW w:w="665" w:type="pct"/>
            <w:vAlign w:val="center"/>
          </w:tcPr>
          <w:p w:rsidR="00B712A9" w:rsidRPr="001D2E63" w:rsidRDefault="00500223" w:rsidP="00F9520B">
            <w:pPr>
              <w:pStyle w:val="TableText0"/>
              <w:spacing w:before="0" w:after="0"/>
              <w:jc w:val="center"/>
              <w:rPr>
                <w:rFonts w:cstheme="minorBidi"/>
                <w:b/>
                <w:bCs/>
                <w:sz w:val="18"/>
                <w:szCs w:val="18"/>
              </w:rPr>
            </w:pPr>
            <w:r>
              <w:rPr>
                <w:rFonts w:cstheme="minorBidi"/>
                <w:b/>
                <w:bCs/>
                <w:sz w:val="18"/>
                <w:szCs w:val="18"/>
              </w:rPr>
              <w:t>9.53</w:t>
            </w:r>
          </w:p>
          <w:p w:rsidR="00B712A9" w:rsidRPr="00E2771E" w:rsidRDefault="00B712A9" w:rsidP="00F9520B">
            <w:pPr>
              <w:keepNext/>
              <w:keepLines/>
              <w:jc w:val="center"/>
              <w:rPr>
                <w:rFonts w:ascii="Arial Narrow" w:hAnsi="Arial Narrow"/>
                <w:color w:val="000000"/>
                <w:sz w:val="20"/>
                <w:szCs w:val="18"/>
              </w:rPr>
            </w:pPr>
            <w:r w:rsidRPr="001D2E63">
              <w:rPr>
                <w:rFonts w:ascii="Arial Narrow" w:hAnsi="Arial Narrow" w:cstheme="minorBidi"/>
                <w:b/>
                <w:bCs/>
                <w:sz w:val="18"/>
                <w:szCs w:val="18"/>
              </w:rPr>
              <w:t>(</w:t>
            </w:r>
            <w:r w:rsidR="00500223">
              <w:rPr>
                <w:rFonts w:ascii="Arial Narrow" w:hAnsi="Arial Narrow" w:cstheme="minorBidi"/>
                <w:b/>
                <w:bCs/>
                <w:sz w:val="18"/>
                <w:szCs w:val="18"/>
              </w:rPr>
              <w:t>4.22</w:t>
            </w:r>
            <w:r w:rsidRPr="001D2E63">
              <w:rPr>
                <w:rFonts w:ascii="Arial Narrow" w:hAnsi="Arial Narrow" w:cstheme="minorBidi"/>
                <w:b/>
                <w:bCs/>
                <w:sz w:val="18"/>
                <w:szCs w:val="18"/>
              </w:rPr>
              <w:t xml:space="preserve">, </w:t>
            </w:r>
            <w:r w:rsidR="00500223">
              <w:rPr>
                <w:rFonts w:ascii="Arial Narrow" w:hAnsi="Arial Narrow" w:cstheme="minorBidi"/>
                <w:b/>
                <w:bCs/>
                <w:sz w:val="18"/>
                <w:szCs w:val="18"/>
              </w:rPr>
              <w:t>21.5</w:t>
            </w:r>
            <w:r w:rsidRPr="001D2E63">
              <w:rPr>
                <w:rFonts w:ascii="Arial Narrow" w:hAnsi="Arial Narrow" w:cstheme="minorBidi"/>
                <w:b/>
                <w:bCs/>
                <w:sz w:val="18"/>
                <w:szCs w:val="18"/>
              </w:rPr>
              <w:t>)</w:t>
            </w:r>
          </w:p>
        </w:tc>
        <w:tc>
          <w:tcPr>
            <w:tcW w:w="534" w:type="pct"/>
            <w:vAlign w:val="center"/>
          </w:tcPr>
          <w:p w:rsidR="00B712A9" w:rsidRPr="00E2771E" w:rsidRDefault="00B712A9" w:rsidP="00F9520B">
            <w:pPr>
              <w:keepNext/>
              <w:keepLines/>
              <w:jc w:val="center"/>
              <w:rPr>
                <w:rFonts w:ascii="Arial Narrow" w:hAnsi="Arial Narrow"/>
                <w:color w:val="000000"/>
                <w:sz w:val="20"/>
                <w:szCs w:val="18"/>
              </w:rPr>
            </w:pPr>
            <w:r w:rsidRPr="00E2771E">
              <w:rPr>
                <w:rFonts w:ascii="Arial Narrow" w:hAnsi="Arial Narrow"/>
                <w:color w:val="000000"/>
                <w:sz w:val="20"/>
                <w:szCs w:val="18"/>
              </w:rPr>
              <w:t>-</w:t>
            </w:r>
          </w:p>
        </w:tc>
        <w:tc>
          <w:tcPr>
            <w:tcW w:w="534" w:type="pct"/>
            <w:vAlign w:val="center"/>
          </w:tcPr>
          <w:p w:rsidR="00B712A9" w:rsidRPr="00C059BD" w:rsidRDefault="00B712A9" w:rsidP="00F9520B">
            <w:pPr>
              <w:keepNext/>
              <w:keepLines/>
              <w:jc w:val="center"/>
              <w:rPr>
                <w:rFonts w:ascii="Arial Narrow" w:hAnsi="Arial Narrow"/>
                <w:color w:val="000000"/>
                <w:sz w:val="18"/>
                <w:szCs w:val="18"/>
              </w:rPr>
            </w:pPr>
            <w:r>
              <w:rPr>
                <w:rFonts w:ascii="Arial Narrow" w:hAnsi="Arial Narrow"/>
                <w:color w:val="000000"/>
                <w:sz w:val="18"/>
                <w:szCs w:val="18"/>
              </w:rPr>
              <w:t>4</w:t>
            </w:r>
          </w:p>
        </w:tc>
        <w:tc>
          <w:tcPr>
            <w:tcW w:w="535" w:type="pct"/>
            <w:vAlign w:val="center"/>
          </w:tcPr>
          <w:p w:rsidR="00B712A9" w:rsidRPr="00C059BD" w:rsidRDefault="00B712A9" w:rsidP="00F9520B">
            <w:pPr>
              <w:keepNext/>
              <w:keepLines/>
              <w:jc w:val="center"/>
              <w:rPr>
                <w:rFonts w:ascii="Arial Narrow" w:hAnsi="Arial Narrow"/>
                <w:color w:val="000000"/>
                <w:sz w:val="18"/>
                <w:szCs w:val="18"/>
              </w:rPr>
            </w:pPr>
            <w:r>
              <w:rPr>
                <w:rFonts w:ascii="Arial Narrow" w:hAnsi="Arial Narrow"/>
                <w:color w:val="000000"/>
                <w:sz w:val="18"/>
                <w:szCs w:val="18"/>
              </w:rPr>
              <w:t>36</w:t>
            </w:r>
          </w:p>
        </w:tc>
        <w:tc>
          <w:tcPr>
            <w:tcW w:w="609" w:type="pct"/>
            <w:vAlign w:val="center"/>
          </w:tcPr>
          <w:p w:rsidR="00B712A9" w:rsidRPr="00291FEE" w:rsidRDefault="00B712A9" w:rsidP="00F9520B">
            <w:pPr>
              <w:jc w:val="center"/>
              <w:rPr>
                <w:rFonts w:ascii="Arial Narrow" w:hAnsi="Arial Narrow"/>
                <w:b/>
                <w:bCs/>
                <w:i/>
                <w:iCs/>
                <w:sz w:val="18"/>
                <w:szCs w:val="18"/>
              </w:rPr>
            </w:pPr>
            <w:r>
              <w:rPr>
                <w:rFonts w:ascii="Arial Narrow" w:hAnsi="Arial Narrow"/>
                <w:b/>
                <w:bCs/>
                <w:i/>
                <w:iCs/>
                <w:sz w:val="18"/>
                <w:szCs w:val="18"/>
              </w:rPr>
              <w:t>0.32</w:t>
            </w:r>
          </w:p>
          <w:p w:rsidR="00B712A9" w:rsidRPr="00E2771E" w:rsidRDefault="00062556" w:rsidP="00F9520B">
            <w:pPr>
              <w:keepNext/>
              <w:keepLines/>
              <w:jc w:val="center"/>
              <w:rPr>
                <w:rFonts w:ascii="Arial Narrow" w:hAnsi="Arial Narrow"/>
                <w:color w:val="000000"/>
                <w:sz w:val="20"/>
                <w:szCs w:val="18"/>
              </w:rPr>
            </w:pPr>
            <w:r>
              <w:rPr>
                <w:rFonts w:ascii="Arial Narrow" w:hAnsi="Arial Narrow"/>
                <w:b/>
                <w:bCs/>
                <w:i/>
                <w:iCs/>
                <w:sz w:val="18"/>
                <w:szCs w:val="18"/>
              </w:rPr>
              <w:t>(0.23,</w:t>
            </w:r>
            <w:r w:rsidR="00B712A9">
              <w:rPr>
                <w:rFonts w:ascii="Arial Narrow" w:hAnsi="Arial Narrow"/>
                <w:b/>
                <w:bCs/>
                <w:i/>
                <w:iCs/>
                <w:sz w:val="18"/>
                <w:szCs w:val="18"/>
              </w:rPr>
              <w:t xml:space="preserve"> 0.40</w:t>
            </w:r>
            <w:r w:rsidR="00B712A9" w:rsidRPr="00291FEE">
              <w:rPr>
                <w:rFonts w:ascii="Arial Narrow" w:hAnsi="Arial Narrow"/>
                <w:b/>
                <w:bCs/>
                <w:i/>
                <w:iCs/>
                <w:sz w:val="18"/>
                <w:szCs w:val="18"/>
              </w:rPr>
              <w:t>)</w:t>
            </w:r>
          </w:p>
        </w:tc>
      </w:tr>
      <w:tr w:rsidR="00B712A9" w:rsidRPr="00E2771E" w:rsidTr="00F9520B">
        <w:tc>
          <w:tcPr>
            <w:tcW w:w="682" w:type="pct"/>
            <w:shd w:val="clear" w:color="auto" w:fill="auto"/>
            <w:vAlign w:val="center"/>
          </w:tcPr>
          <w:p w:rsidR="00B712A9" w:rsidRDefault="00B712A9" w:rsidP="00F9520B">
            <w:pPr>
              <w:keepNext/>
              <w:keepLines/>
              <w:rPr>
                <w:rFonts w:ascii="Arial Narrow" w:hAnsi="Arial Narrow"/>
                <w:sz w:val="18"/>
                <w:szCs w:val="18"/>
              </w:rPr>
            </w:pPr>
            <w:r>
              <w:rPr>
                <w:rFonts w:ascii="Arial Narrow" w:hAnsi="Arial Narrow"/>
                <w:sz w:val="18"/>
                <w:szCs w:val="18"/>
              </w:rPr>
              <w:t>Genovese 2007</w:t>
            </w:r>
          </w:p>
        </w:tc>
        <w:tc>
          <w:tcPr>
            <w:tcW w:w="480" w:type="pct"/>
            <w:vAlign w:val="center"/>
          </w:tcPr>
          <w:p w:rsidR="00B712A9" w:rsidRDefault="00B712A9" w:rsidP="00F9520B">
            <w:pPr>
              <w:keepNext/>
              <w:keepLines/>
              <w:jc w:val="center"/>
              <w:rPr>
                <w:rFonts w:ascii="Arial Narrow" w:hAnsi="Arial Narrow"/>
                <w:color w:val="000000"/>
                <w:sz w:val="20"/>
                <w:szCs w:val="18"/>
              </w:rPr>
            </w:pPr>
            <w:r>
              <w:rPr>
                <w:rFonts w:ascii="Arial Narrow" w:hAnsi="Arial Narrow"/>
                <w:color w:val="000000"/>
                <w:sz w:val="20"/>
                <w:szCs w:val="18"/>
              </w:rPr>
              <w:t>-</w:t>
            </w:r>
          </w:p>
        </w:tc>
        <w:tc>
          <w:tcPr>
            <w:tcW w:w="480" w:type="pct"/>
            <w:vAlign w:val="center"/>
          </w:tcPr>
          <w:p w:rsidR="00B712A9" w:rsidRPr="0052173E" w:rsidRDefault="00B712A9" w:rsidP="006D1588">
            <w:pPr>
              <w:jc w:val="center"/>
              <w:rPr>
                <w:rFonts w:ascii="Arial Narrow" w:hAnsi="Arial Narrow" w:cstheme="minorBidi"/>
                <w:sz w:val="18"/>
                <w:szCs w:val="18"/>
              </w:rPr>
            </w:pPr>
            <w:r>
              <w:rPr>
                <w:rFonts w:ascii="Arial Narrow" w:hAnsi="Arial Narrow" w:cstheme="minorBidi"/>
                <w:sz w:val="18"/>
                <w:szCs w:val="18"/>
              </w:rPr>
              <w:t>1</w:t>
            </w:r>
            <w:r w:rsidRPr="001D2E63">
              <w:rPr>
                <w:rFonts w:ascii="Arial Narrow" w:hAnsi="Arial Narrow" w:cstheme="minorBidi"/>
                <w:sz w:val="18"/>
                <w:szCs w:val="18"/>
              </w:rPr>
              <w:t>/</w:t>
            </w:r>
            <w:r w:rsidR="00062556">
              <w:rPr>
                <w:rFonts w:ascii="Arial Narrow" w:hAnsi="Arial Narrow" w:cstheme="minorBidi"/>
                <w:sz w:val="18"/>
                <w:szCs w:val="18"/>
              </w:rPr>
              <w:t>51</w:t>
            </w:r>
          </w:p>
        </w:tc>
        <w:tc>
          <w:tcPr>
            <w:tcW w:w="481" w:type="pct"/>
            <w:vAlign w:val="center"/>
          </w:tcPr>
          <w:p w:rsidR="00B712A9" w:rsidRPr="0052173E" w:rsidRDefault="00B712A9" w:rsidP="006D1588">
            <w:pPr>
              <w:jc w:val="center"/>
              <w:rPr>
                <w:rFonts w:ascii="Arial Narrow" w:hAnsi="Arial Narrow" w:cstheme="minorBidi"/>
                <w:sz w:val="18"/>
                <w:szCs w:val="18"/>
              </w:rPr>
            </w:pPr>
            <w:r>
              <w:rPr>
                <w:rFonts w:ascii="Arial Narrow" w:hAnsi="Arial Narrow" w:cstheme="minorBidi"/>
                <w:sz w:val="18"/>
                <w:szCs w:val="18"/>
              </w:rPr>
              <w:t>13/</w:t>
            </w:r>
            <w:r w:rsidRPr="001D2E63">
              <w:rPr>
                <w:rFonts w:ascii="Arial Narrow" w:hAnsi="Arial Narrow" w:cstheme="minorBidi"/>
                <w:sz w:val="18"/>
                <w:szCs w:val="18"/>
              </w:rPr>
              <w:t>51</w:t>
            </w:r>
          </w:p>
        </w:tc>
        <w:tc>
          <w:tcPr>
            <w:tcW w:w="665" w:type="pct"/>
            <w:vAlign w:val="center"/>
          </w:tcPr>
          <w:p w:rsidR="00B712A9" w:rsidRPr="001D2E63" w:rsidRDefault="00062556" w:rsidP="00F9520B">
            <w:pPr>
              <w:pStyle w:val="TableText0"/>
              <w:spacing w:before="0" w:after="0"/>
              <w:jc w:val="center"/>
              <w:rPr>
                <w:rFonts w:cstheme="minorBidi"/>
                <w:b/>
                <w:bCs/>
                <w:sz w:val="18"/>
                <w:szCs w:val="18"/>
              </w:rPr>
            </w:pPr>
            <w:r>
              <w:rPr>
                <w:rFonts w:cstheme="minorBidi"/>
                <w:b/>
                <w:bCs/>
                <w:sz w:val="18"/>
                <w:szCs w:val="18"/>
              </w:rPr>
              <w:t>13.00</w:t>
            </w:r>
          </w:p>
          <w:p w:rsidR="00B712A9" w:rsidRPr="0052173E" w:rsidRDefault="00B712A9" w:rsidP="00F9520B">
            <w:pPr>
              <w:pStyle w:val="TableText0"/>
              <w:keepLines/>
              <w:spacing w:before="0" w:after="0"/>
              <w:jc w:val="center"/>
              <w:rPr>
                <w:rFonts w:cstheme="minorBidi"/>
                <w:b/>
                <w:bCs/>
                <w:i/>
                <w:iCs/>
                <w:sz w:val="18"/>
                <w:szCs w:val="18"/>
              </w:rPr>
            </w:pPr>
            <w:r w:rsidRPr="001D2E63">
              <w:rPr>
                <w:rFonts w:cstheme="minorBidi"/>
                <w:b/>
                <w:bCs/>
                <w:sz w:val="18"/>
                <w:szCs w:val="18"/>
              </w:rPr>
              <w:t>(</w:t>
            </w:r>
            <w:r w:rsidR="00062556">
              <w:rPr>
                <w:rFonts w:cstheme="minorBidi"/>
                <w:b/>
                <w:bCs/>
                <w:sz w:val="18"/>
                <w:szCs w:val="18"/>
              </w:rPr>
              <w:t>1.77</w:t>
            </w:r>
            <w:r w:rsidRPr="001D2E63">
              <w:rPr>
                <w:rFonts w:cstheme="minorBidi"/>
                <w:b/>
                <w:bCs/>
                <w:sz w:val="18"/>
                <w:szCs w:val="18"/>
              </w:rPr>
              <w:t xml:space="preserve">, </w:t>
            </w:r>
            <w:r w:rsidR="00062556">
              <w:rPr>
                <w:rFonts w:cstheme="minorBidi"/>
                <w:b/>
                <w:bCs/>
                <w:sz w:val="18"/>
                <w:szCs w:val="18"/>
              </w:rPr>
              <w:t>95.7</w:t>
            </w:r>
            <w:r w:rsidRPr="001D2E63">
              <w:rPr>
                <w:rFonts w:cstheme="minorBidi"/>
                <w:b/>
                <w:bCs/>
                <w:sz w:val="18"/>
                <w:szCs w:val="18"/>
              </w:rPr>
              <w:t>)</w:t>
            </w:r>
          </w:p>
        </w:tc>
        <w:tc>
          <w:tcPr>
            <w:tcW w:w="534" w:type="pct"/>
            <w:vAlign w:val="center"/>
          </w:tcPr>
          <w:p w:rsidR="00B712A9" w:rsidRPr="00E2771E" w:rsidRDefault="00B712A9" w:rsidP="00F9520B">
            <w:pPr>
              <w:keepNext/>
              <w:keepLines/>
              <w:jc w:val="center"/>
              <w:rPr>
                <w:rFonts w:ascii="Arial Narrow" w:hAnsi="Arial Narrow"/>
                <w:color w:val="000000"/>
                <w:sz w:val="20"/>
                <w:szCs w:val="18"/>
              </w:rPr>
            </w:pPr>
            <w:r>
              <w:rPr>
                <w:rFonts w:ascii="Arial Narrow" w:hAnsi="Arial Narrow"/>
                <w:color w:val="000000"/>
                <w:sz w:val="20"/>
                <w:szCs w:val="18"/>
              </w:rPr>
              <w:t>-</w:t>
            </w:r>
          </w:p>
        </w:tc>
        <w:tc>
          <w:tcPr>
            <w:tcW w:w="534" w:type="pct"/>
            <w:vAlign w:val="center"/>
          </w:tcPr>
          <w:p w:rsidR="00B712A9" w:rsidRDefault="00B712A9" w:rsidP="00F9520B">
            <w:pPr>
              <w:keepNext/>
              <w:keepLines/>
              <w:jc w:val="center"/>
              <w:rPr>
                <w:rFonts w:ascii="Arial Narrow" w:hAnsi="Arial Narrow"/>
                <w:color w:val="000000"/>
                <w:sz w:val="18"/>
                <w:szCs w:val="18"/>
              </w:rPr>
            </w:pPr>
            <w:r>
              <w:rPr>
                <w:rFonts w:ascii="Arial Narrow" w:hAnsi="Arial Narrow"/>
                <w:color w:val="000000"/>
                <w:sz w:val="18"/>
                <w:szCs w:val="18"/>
              </w:rPr>
              <w:t>2</w:t>
            </w:r>
          </w:p>
        </w:tc>
        <w:tc>
          <w:tcPr>
            <w:tcW w:w="535" w:type="pct"/>
            <w:vAlign w:val="center"/>
          </w:tcPr>
          <w:p w:rsidR="00B712A9" w:rsidRDefault="00B712A9" w:rsidP="00F9520B">
            <w:pPr>
              <w:keepNext/>
              <w:keepLines/>
              <w:jc w:val="center"/>
              <w:rPr>
                <w:rFonts w:ascii="Arial Narrow" w:hAnsi="Arial Narrow"/>
                <w:color w:val="000000"/>
                <w:sz w:val="18"/>
                <w:szCs w:val="18"/>
              </w:rPr>
            </w:pPr>
            <w:r>
              <w:rPr>
                <w:rFonts w:ascii="Arial Narrow" w:hAnsi="Arial Narrow"/>
                <w:color w:val="000000"/>
                <w:sz w:val="18"/>
                <w:szCs w:val="18"/>
              </w:rPr>
              <w:t>25</w:t>
            </w:r>
          </w:p>
        </w:tc>
        <w:tc>
          <w:tcPr>
            <w:tcW w:w="609" w:type="pct"/>
            <w:vAlign w:val="center"/>
          </w:tcPr>
          <w:p w:rsidR="00B712A9" w:rsidRPr="00291FEE" w:rsidRDefault="00062556" w:rsidP="00F9520B">
            <w:pPr>
              <w:jc w:val="center"/>
              <w:rPr>
                <w:rFonts w:ascii="Arial Narrow" w:hAnsi="Arial Narrow"/>
                <w:b/>
                <w:bCs/>
                <w:i/>
                <w:iCs/>
                <w:sz w:val="18"/>
                <w:szCs w:val="18"/>
              </w:rPr>
            </w:pPr>
            <w:r>
              <w:rPr>
                <w:rFonts w:ascii="Arial Narrow" w:hAnsi="Arial Narrow"/>
                <w:b/>
                <w:bCs/>
                <w:i/>
                <w:iCs/>
                <w:sz w:val="18"/>
                <w:szCs w:val="18"/>
              </w:rPr>
              <w:t>0.24</w:t>
            </w:r>
          </w:p>
          <w:p w:rsidR="00B712A9" w:rsidRDefault="00B712A9" w:rsidP="00F9520B">
            <w:pPr>
              <w:keepNext/>
              <w:keepLines/>
              <w:jc w:val="center"/>
              <w:rPr>
                <w:rFonts w:ascii="Arial Narrow" w:hAnsi="Arial Narrow"/>
                <w:b/>
                <w:bCs/>
                <w:i/>
                <w:iCs/>
                <w:sz w:val="18"/>
                <w:szCs w:val="18"/>
              </w:rPr>
            </w:pPr>
            <w:r>
              <w:rPr>
                <w:rFonts w:ascii="Arial Narrow" w:hAnsi="Arial Narrow"/>
                <w:b/>
                <w:bCs/>
                <w:i/>
                <w:iCs/>
                <w:sz w:val="18"/>
                <w:szCs w:val="18"/>
              </w:rPr>
              <w:t>(0.11, 0.36)</w:t>
            </w:r>
          </w:p>
        </w:tc>
      </w:tr>
      <w:tr w:rsidR="0022613A" w:rsidRPr="00E2771E" w:rsidTr="0022613A">
        <w:tc>
          <w:tcPr>
            <w:tcW w:w="2123" w:type="pct"/>
            <w:gridSpan w:val="4"/>
            <w:shd w:val="clear" w:color="auto" w:fill="auto"/>
            <w:vAlign w:val="center"/>
          </w:tcPr>
          <w:p w:rsidR="0022613A" w:rsidRPr="0052173E" w:rsidRDefault="0022613A" w:rsidP="00335E04">
            <w:pPr>
              <w:keepNext/>
              <w:keepLines/>
              <w:jc w:val="right"/>
              <w:rPr>
                <w:rFonts w:ascii="Arial Narrow" w:hAnsi="Arial Narrow" w:cstheme="minorBidi"/>
                <w:sz w:val="18"/>
                <w:szCs w:val="18"/>
              </w:rPr>
            </w:pPr>
            <w:r>
              <w:rPr>
                <w:rFonts w:ascii="Arial Narrow" w:hAnsi="Arial Narrow" w:cstheme="minorBidi"/>
                <w:sz w:val="18"/>
                <w:szCs w:val="18"/>
              </w:rPr>
              <w:t>Pooled – adalimumab trials</w:t>
            </w:r>
          </w:p>
        </w:tc>
        <w:tc>
          <w:tcPr>
            <w:tcW w:w="665" w:type="pct"/>
            <w:vAlign w:val="center"/>
          </w:tcPr>
          <w:p w:rsidR="00AF675F" w:rsidRPr="00860439" w:rsidRDefault="00062556" w:rsidP="00AF675F">
            <w:pPr>
              <w:pStyle w:val="TableText0"/>
              <w:spacing w:before="0" w:after="0"/>
              <w:jc w:val="center"/>
              <w:rPr>
                <w:rFonts w:cstheme="minorBidi"/>
                <w:b/>
                <w:bCs/>
                <w:sz w:val="18"/>
                <w:szCs w:val="18"/>
              </w:rPr>
            </w:pPr>
            <w:r>
              <w:rPr>
                <w:rFonts w:cstheme="minorBidi"/>
                <w:b/>
                <w:bCs/>
                <w:sz w:val="18"/>
                <w:szCs w:val="18"/>
              </w:rPr>
              <w:t>9.96</w:t>
            </w:r>
          </w:p>
          <w:p w:rsidR="0022613A" w:rsidRPr="0052173E" w:rsidRDefault="00062556" w:rsidP="00AF675F">
            <w:pPr>
              <w:pStyle w:val="TableText0"/>
              <w:keepLines/>
              <w:spacing w:before="0" w:after="0"/>
              <w:jc w:val="center"/>
              <w:rPr>
                <w:rFonts w:cstheme="minorBidi"/>
                <w:b/>
                <w:bCs/>
                <w:i/>
                <w:iCs/>
                <w:sz w:val="18"/>
                <w:szCs w:val="18"/>
              </w:rPr>
            </w:pPr>
            <w:r>
              <w:rPr>
                <w:rFonts w:cstheme="minorBidi"/>
                <w:b/>
                <w:bCs/>
                <w:sz w:val="18"/>
                <w:szCs w:val="18"/>
              </w:rPr>
              <w:t>(4.69</w:t>
            </w:r>
            <w:r w:rsidR="00AF675F" w:rsidRPr="00860439">
              <w:rPr>
                <w:rFonts w:cstheme="minorBidi"/>
                <w:b/>
                <w:bCs/>
                <w:sz w:val="18"/>
                <w:szCs w:val="18"/>
              </w:rPr>
              <w:t xml:space="preserve">, </w:t>
            </w:r>
            <w:r>
              <w:rPr>
                <w:rFonts w:cstheme="minorBidi"/>
                <w:b/>
                <w:bCs/>
                <w:sz w:val="18"/>
                <w:szCs w:val="18"/>
              </w:rPr>
              <w:t>21.2</w:t>
            </w:r>
            <w:r w:rsidR="00AF675F" w:rsidRPr="00860439">
              <w:rPr>
                <w:rFonts w:cstheme="minorBidi"/>
                <w:b/>
                <w:bCs/>
                <w:sz w:val="18"/>
                <w:szCs w:val="18"/>
              </w:rPr>
              <w:t>)</w:t>
            </w:r>
          </w:p>
        </w:tc>
        <w:tc>
          <w:tcPr>
            <w:tcW w:w="534" w:type="pct"/>
            <w:vAlign w:val="center"/>
          </w:tcPr>
          <w:p w:rsidR="0022613A" w:rsidRPr="00E2771E" w:rsidRDefault="0011785F" w:rsidP="00F9520B">
            <w:pPr>
              <w:keepNext/>
              <w:keepLines/>
              <w:jc w:val="center"/>
              <w:rPr>
                <w:rFonts w:ascii="Arial Narrow" w:hAnsi="Arial Narrow"/>
                <w:color w:val="000000"/>
                <w:sz w:val="20"/>
                <w:szCs w:val="18"/>
              </w:rPr>
            </w:pPr>
            <w:r>
              <w:rPr>
                <w:rFonts w:ascii="Arial Narrow" w:hAnsi="Arial Narrow"/>
                <w:color w:val="000000"/>
                <w:sz w:val="20"/>
                <w:szCs w:val="18"/>
              </w:rPr>
              <w:t>-</w:t>
            </w:r>
          </w:p>
        </w:tc>
        <w:tc>
          <w:tcPr>
            <w:tcW w:w="534" w:type="pct"/>
            <w:vAlign w:val="center"/>
          </w:tcPr>
          <w:p w:rsidR="0022613A" w:rsidRDefault="0011785F" w:rsidP="00F9520B">
            <w:pPr>
              <w:keepNext/>
              <w:keepLines/>
              <w:jc w:val="center"/>
              <w:rPr>
                <w:rFonts w:ascii="Arial Narrow" w:hAnsi="Arial Narrow"/>
                <w:color w:val="000000"/>
                <w:sz w:val="18"/>
                <w:szCs w:val="18"/>
              </w:rPr>
            </w:pPr>
            <w:r>
              <w:rPr>
                <w:rFonts w:ascii="Arial Narrow" w:hAnsi="Arial Narrow"/>
                <w:color w:val="000000"/>
                <w:sz w:val="18"/>
                <w:szCs w:val="18"/>
              </w:rPr>
              <w:t>3</w:t>
            </w:r>
          </w:p>
        </w:tc>
        <w:tc>
          <w:tcPr>
            <w:tcW w:w="535" w:type="pct"/>
            <w:vAlign w:val="center"/>
          </w:tcPr>
          <w:p w:rsidR="0022613A" w:rsidRDefault="0011785F" w:rsidP="00F9520B">
            <w:pPr>
              <w:keepNext/>
              <w:keepLines/>
              <w:jc w:val="center"/>
              <w:rPr>
                <w:rFonts w:ascii="Arial Narrow" w:hAnsi="Arial Narrow"/>
                <w:color w:val="000000"/>
                <w:sz w:val="18"/>
                <w:szCs w:val="18"/>
              </w:rPr>
            </w:pPr>
            <w:r>
              <w:rPr>
                <w:rFonts w:ascii="Arial Narrow" w:hAnsi="Arial Narrow"/>
                <w:color w:val="000000"/>
                <w:sz w:val="18"/>
                <w:szCs w:val="18"/>
              </w:rPr>
              <w:t>33</w:t>
            </w:r>
          </w:p>
        </w:tc>
        <w:tc>
          <w:tcPr>
            <w:tcW w:w="609" w:type="pct"/>
            <w:vAlign w:val="center"/>
          </w:tcPr>
          <w:p w:rsidR="00B712A9" w:rsidRPr="00806C8C" w:rsidRDefault="00B712A9" w:rsidP="00B712A9">
            <w:pPr>
              <w:jc w:val="center"/>
              <w:rPr>
                <w:rFonts w:ascii="Arial Narrow" w:hAnsi="Arial Narrow"/>
                <w:b/>
                <w:bCs/>
                <w:i/>
                <w:iCs/>
                <w:sz w:val="18"/>
                <w:szCs w:val="18"/>
              </w:rPr>
            </w:pPr>
            <w:r>
              <w:rPr>
                <w:rFonts w:ascii="Arial Narrow" w:hAnsi="Arial Narrow"/>
                <w:b/>
                <w:bCs/>
                <w:i/>
                <w:iCs/>
                <w:sz w:val="18"/>
                <w:szCs w:val="18"/>
              </w:rPr>
              <w:t>0.29</w:t>
            </w:r>
          </w:p>
          <w:p w:rsidR="0022613A" w:rsidRDefault="00B712A9" w:rsidP="00B712A9">
            <w:pPr>
              <w:keepNext/>
              <w:keepLines/>
              <w:jc w:val="center"/>
              <w:rPr>
                <w:rFonts w:ascii="Arial Narrow" w:hAnsi="Arial Narrow"/>
                <w:b/>
                <w:bCs/>
                <w:i/>
                <w:iCs/>
                <w:sz w:val="18"/>
                <w:szCs w:val="18"/>
              </w:rPr>
            </w:pPr>
            <w:r w:rsidRPr="00806C8C">
              <w:rPr>
                <w:rFonts w:ascii="Arial Narrow" w:hAnsi="Arial Narrow"/>
                <w:b/>
                <w:bCs/>
                <w:i/>
                <w:iCs/>
                <w:sz w:val="18"/>
                <w:szCs w:val="18"/>
              </w:rPr>
              <w:t>(</w:t>
            </w:r>
            <w:r w:rsidR="00062556">
              <w:rPr>
                <w:rFonts w:ascii="Arial Narrow" w:hAnsi="Arial Narrow"/>
                <w:b/>
                <w:bCs/>
                <w:i/>
                <w:iCs/>
                <w:sz w:val="18"/>
                <w:szCs w:val="18"/>
              </w:rPr>
              <w:t>0.22</w:t>
            </w:r>
            <w:r w:rsidRPr="00806C8C">
              <w:rPr>
                <w:rFonts w:ascii="Arial Narrow" w:hAnsi="Arial Narrow"/>
                <w:b/>
                <w:bCs/>
                <w:i/>
                <w:iCs/>
                <w:sz w:val="18"/>
                <w:szCs w:val="18"/>
              </w:rPr>
              <w:t>, 0.</w:t>
            </w:r>
            <w:r w:rsidR="00062556">
              <w:rPr>
                <w:rFonts w:ascii="Arial Narrow" w:hAnsi="Arial Narrow"/>
                <w:b/>
                <w:bCs/>
                <w:i/>
                <w:iCs/>
                <w:sz w:val="18"/>
                <w:szCs w:val="18"/>
              </w:rPr>
              <w:t>36</w:t>
            </w:r>
            <w:r w:rsidRPr="00806C8C">
              <w:rPr>
                <w:rFonts w:ascii="Arial Narrow" w:hAnsi="Arial Narrow"/>
                <w:b/>
                <w:bCs/>
                <w:i/>
                <w:iCs/>
                <w:sz w:val="18"/>
                <w:szCs w:val="18"/>
              </w:rPr>
              <w:t>)</w:t>
            </w:r>
          </w:p>
        </w:tc>
      </w:tr>
      <w:tr w:rsidR="007D53A9" w:rsidRPr="00E2771E" w:rsidTr="00F9520B">
        <w:tc>
          <w:tcPr>
            <w:tcW w:w="2123" w:type="pct"/>
            <w:gridSpan w:val="4"/>
            <w:shd w:val="clear" w:color="auto" w:fill="auto"/>
            <w:vAlign w:val="center"/>
          </w:tcPr>
          <w:p w:rsidR="007D53A9" w:rsidRPr="00E2771E" w:rsidRDefault="007D53A9" w:rsidP="00EF539F">
            <w:pPr>
              <w:keepNext/>
              <w:keepLines/>
              <w:jc w:val="left"/>
              <w:rPr>
                <w:rFonts w:ascii="Arial Narrow" w:hAnsi="Arial Narrow"/>
                <w:color w:val="000000"/>
                <w:sz w:val="20"/>
                <w:szCs w:val="18"/>
              </w:rPr>
            </w:pPr>
            <w:r w:rsidRPr="00E2771E">
              <w:rPr>
                <w:rFonts w:ascii="Arial Narrow" w:hAnsi="Arial Narrow"/>
                <w:color w:val="000000"/>
                <w:sz w:val="20"/>
                <w:szCs w:val="18"/>
              </w:rPr>
              <w:t xml:space="preserve">Indirect comparison: </w:t>
            </w:r>
            <w:r w:rsidR="0022613A">
              <w:rPr>
                <w:rFonts w:ascii="Arial Narrow" w:hAnsi="Arial Narrow"/>
                <w:color w:val="000000"/>
                <w:sz w:val="20"/>
                <w:szCs w:val="18"/>
              </w:rPr>
              <w:t xml:space="preserve">Pooled </w:t>
            </w:r>
            <w:proofErr w:type="spellStart"/>
            <w:r w:rsidR="0022613A">
              <w:rPr>
                <w:rFonts w:ascii="Arial Narrow" w:hAnsi="Arial Narrow"/>
                <w:color w:val="000000"/>
                <w:sz w:val="20"/>
                <w:szCs w:val="18"/>
              </w:rPr>
              <w:t>apremilast</w:t>
            </w:r>
            <w:proofErr w:type="spellEnd"/>
            <w:r>
              <w:rPr>
                <w:rFonts w:ascii="Arial Narrow" w:hAnsi="Arial Narrow"/>
                <w:color w:val="000000"/>
                <w:sz w:val="20"/>
                <w:szCs w:val="18"/>
              </w:rPr>
              <w:t xml:space="preserve"> </w:t>
            </w:r>
            <w:r w:rsidR="008A1AD8">
              <w:rPr>
                <w:rFonts w:ascii="Arial Narrow" w:hAnsi="Arial Narrow"/>
                <w:color w:val="000000"/>
                <w:sz w:val="20"/>
                <w:szCs w:val="18"/>
              </w:rPr>
              <w:t xml:space="preserve">trials </w:t>
            </w:r>
            <w:r>
              <w:rPr>
                <w:rFonts w:ascii="Arial Narrow" w:hAnsi="Arial Narrow"/>
                <w:color w:val="000000"/>
                <w:sz w:val="20"/>
                <w:szCs w:val="18"/>
              </w:rPr>
              <w:t xml:space="preserve">versus </w:t>
            </w:r>
            <w:r w:rsidR="0022613A">
              <w:rPr>
                <w:rFonts w:ascii="Arial Narrow" w:hAnsi="Arial Narrow"/>
                <w:color w:val="000000"/>
                <w:sz w:val="20"/>
                <w:szCs w:val="18"/>
              </w:rPr>
              <w:t>Pooled adalimumab</w:t>
            </w:r>
            <w:r w:rsidR="008A1AD8">
              <w:rPr>
                <w:rFonts w:ascii="Arial Narrow" w:hAnsi="Arial Narrow"/>
                <w:color w:val="000000"/>
                <w:sz w:val="20"/>
                <w:szCs w:val="18"/>
              </w:rPr>
              <w:t xml:space="preserve"> trials</w:t>
            </w:r>
          </w:p>
        </w:tc>
        <w:tc>
          <w:tcPr>
            <w:tcW w:w="665" w:type="pct"/>
            <w:vAlign w:val="center"/>
          </w:tcPr>
          <w:p w:rsidR="00B70A41" w:rsidRPr="00FD7FA9" w:rsidRDefault="00B70A41" w:rsidP="00B70A41">
            <w:pPr>
              <w:pStyle w:val="TableText0"/>
              <w:spacing w:before="0" w:after="0"/>
              <w:jc w:val="center"/>
              <w:rPr>
                <w:rFonts w:cstheme="minorBidi"/>
                <w:b/>
                <w:bCs/>
                <w:sz w:val="18"/>
                <w:szCs w:val="18"/>
              </w:rPr>
            </w:pPr>
            <w:r w:rsidRPr="00FD7FA9">
              <w:rPr>
                <w:rFonts w:cstheme="minorBidi"/>
                <w:b/>
                <w:bCs/>
                <w:sz w:val="18"/>
                <w:szCs w:val="18"/>
              </w:rPr>
              <w:t>0.</w:t>
            </w:r>
            <w:r w:rsidR="00BD7D1C" w:rsidRPr="00FD7FA9">
              <w:rPr>
                <w:rFonts w:cstheme="minorBidi"/>
                <w:b/>
                <w:bCs/>
                <w:sz w:val="18"/>
                <w:szCs w:val="18"/>
              </w:rPr>
              <w:t>22</w:t>
            </w:r>
          </w:p>
          <w:p w:rsidR="007D53A9" w:rsidRPr="00E2771E" w:rsidRDefault="00B70A41" w:rsidP="00B70A41">
            <w:pPr>
              <w:keepNext/>
              <w:keepLines/>
              <w:jc w:val="center"/>
              <w:rPr>
                <w:rFonts w:ascii="Arial Narrow" w:hAnsi="Arial Narrow"/>
                <w:color w:val="000000"/>
                <w:sz w:val="20"/>
                <w:szCs w:val="18"/>
              </w:rPr>
            </w:pPr>
            <w:r w:rsidRPr="00FD7FA9">
              <w:rPr>
                <w:rFonts w:ascii="Arial Narrow" w:hAnsi="Arial Narrow" w:cstheme="minorBidi"/>
                <w:b/>
                <w:bCs/>
                <w:sz w:val="18"/>
                <w:szCs w:val="18"/>
              </w:rPr>
              <w:t>(0.09, 0.5</w:t>
            </w:r>
            <w:r w:rsidR="00FD7FA9" w:rsidRPr="00FD7FA9">
              <w:rPr>
                <w:rFonts w:ascii="Arial Narrow" w:hAnsi="Arial Narrow" w:cstheme="minorBidi"/>
                <w:b/>
                <w:bCs/>
                <w:sz w:val="18"/>
                <w:szCs w:val="18"/>
              </w:rPr>
              <w:t>1</w:t>
            </w:r>
            <w:r w:rsidR="007D53A9" w:rsidRPr="00FD7FA9">
              <w:rPr>
                <w:rFonts w:ascii="Arial Narrow" w:hAnsi="Arial Narrow" w:cstheme="minorBidi"/>
                <w:sz w:val="18"/>
                <w:szCs w:val="18"/>
              </w:rPr>
              <w:t>)</w:t>
            </w:r>
          </w:p>
        </w:tc>
        <w:tc>
          <w:tcPr>
            <w:tcW w:w="1603" w:type="pct"/>
            <w:gridSpan w:val="3"/>
            <w:shd w:val="clear" w:color="auto" w:fill="auto"/>
            <w:vAlign w:val="center"/>
          </w:tcPr>
          <w:p w:rsidR="007D53A9" w:rsidRPr="00E2771E" w:rsidRDefault="007D53A9" w:rsidP="00F9520B">
            <w:pPr>
              <w:keepNext/>
              <w:keepLines/>
              <w:jc w:val="center"/>
              <w:rPr>
                <w:rFonts w:ascii="Arial Narrow" w:hAnsi="Arial Narrow"/>
                <w:color w:val="000000"/>
                <w:sz w:val="20"/>
                <w:szCs w:val="18"/>
              </w:rPr>
            </w:pPr>
            <w:r w:rsidRPr="00E2771E">
              <w:rPr>
                <w:rFonts w:ascii="Arial Narrow" w:hAnsi="Arial Narrow"/>
                <w:color w:val="000000"/>
                <w:sz w:val="20"/>
                <w:szCs w:val="18"/>
              </w:rPr>
              <w:t>-</w:t>
            </w:r>
          </w:p>
        </w:tc>
        <w:tc>
          <w:tcPr>
            <w:tcW w:w="609" w:type="pct"/>
            <w:vAlign w:val="center"/>
          </w:tcPr>
          <w:p w:rsidR="00AB138F" w:rsidRPr="0080206B" w:rsidRDefault="00AB138F" w:rsidP="00AB138F">
            <w:pPr>
              <w:jc w:val="center"/>
              <w:rPr>
                <w:rFonts w:ascii="Arial Narrow" w:hAnsi="Arial Narrow"/>
                <w:b/>
                <w:bCs/>
                <w:i/>
                <w:iCs/>
                <w:sz w:val="18"/>
                <w:szCs w:val="18"/>
              </w:rPr>
            </w:pPr>
            <w:r w:rsidRPr="0080206B">
              <w:rPr>
                <w:rFonts w:ascii="Arial Narrow" w:hAnsi="Arial Narrow"/>
                <w:b/>
                <w:bCs/>
                <w:i/>
                <w:iCs/>
                <w:sz w:val="18"/>
                <w:szCs w:val="18"/>
              </w:rPr>
              <w:t>-0.22</w:t>
            </w:r>
          </w:p>
          <w:p w:rsidR="007D53A9" w:rsidRPr="00E2771E" w:rsidRDefault="00062556" w:rsidP="00AB138F">
            <w:pPr>
              <w:keepNext/>
              <w:keepLines/>
              <w:jc w:val="center"/>
              <w:rPr>
                <w:rFonts w:ascii="Arial Narrow" w:hAnsi="Arial Narrow"/>
                <w:color w:val="000000"/>
                <w:sz w:val="20"/>
                <w:szCs w:val="18"/>
              </w:rPr>
            </w:pPr>
            <w:r>
              <w:rPr>
                <w:rFonts w:ascii="Arial Narrow" w:hAnsi="Arial Narrow"/>
                <w:b/>
                <w:bCs/>
                <w:i/>
                <w:iCs/>
                <w:sz w:val="18"/>
                <w:szCs w:val="18"/>
              </w:rPr>
              <w:t>(-0.30, -0.14</w:t>
            </w:r>
            <w:r w:rsidR="00AB138F" w:rsidRPr="0080206B">
              <w:rPr>
                <w:rFonts w:ascii="Arial Narrow" w:hAnsi="Arial Narrow"/>
                <w:b/>
                <w:bCs/>
                <w:i/>
                <w:iCs/>
                <w:sz w:val="18"/>
                <w:szCs w:val="18"/>
              </w:rPr>
              <w:t>)</w:t>
            </w:r>
          </w:p>
        </w:tc>
      </w:tr>
    </w:tbl>
    <w:p w:rsidR="009E39E3" w:rsidRPr="009E39E3" w:rsidRDefault="009E39E3" w:rsidP="009E39E3">
      <w:pPr>
        <w:pStyle w:val="BodyText"/>
        <w:tabs>
          <w:tab w:val="left" w:pos="993"/>
        </w:tabs>
        <w:ind w:left="993" w:hanging="284"/>
        <w:rPr>
          <w:rFonts w:ascii="Arial Narrow" w:hAnsi="Arial Narrow"/>
          <w:sz w:val="18"/>
          <w:szCs w:val="14"/>
        </w:rPr>
      </w:pPr>
      <w:bookmarkStart w:id="12" w:name="_Toc409511009"/>
      <w:proofErr w:type="gramStart"/>
      <w:r>
        <w:rPr>
          <w:rFonts w:ascii="Arial Narrow" w:hAnsi="Arial Narrow"/>
          <w:sz w:val="18"/>
          <w:szCs w:val="14"/>
          <w:vertAlign w:val="superscript"/>
        </w:rPr>
        <w:t>a</w:t>
      </w:r>
      <w:proofErr w:type="gramEnd"/>
      <w:r>
        <w:rPr>
          <w:rFonts w:ascii="Arial Narrow" w:hAnsi="Arial Narrow"/>
          <w:sz w:val="18"/>
          <w:szCs w:val="14"/>
          <w:vertAlign w:val="superscript"/>
        </w:rPr>
        <w:tab/>
      </w:r>
      <w:r>
        <w:rPr>
          <w:rFonts w:ascii="Arial Narrow" w:hAnsi="Arial Narrow"/>
          <w:sz w:val="18"/>
          <w:szCs w:val="14"/>
        </w:rPr>
        <w:t xml:space="preserve">RR and RD interpreted as </w:t>
      </w:r>
      <w:proofErr w:type="spellStart"/>
      <w:r>
        <w:rPr>
          <w:rFonts w:ascii="Arial Narrow" w:hAnsi="Arial Narrow"/>
          <w:sz w:val="18"/>
          <w:szCs w:val="14"/>
        </w:rPr>
        <w:t>apremilast</w:t>
      </w:r>
      <w:proofErr w:type="spellEnd"/>
      <w:r>
        <w:rPr>
          <w:rFonts w:ascii="Arial Narrow" w:hAnsi="Arial Narrow"/>
          <w:sz w:val="18"/>
          <w:szCs w:val="14"/>
        </w:rPr>
        <w:t xml:space="preserve"> versus placebo (</w:t>
      </w:r>
      <w:proofErr w:type="spellStart"/>
      <w:r>
        <w:rPr>
          <w:rFonts w:ascii="Arial Narrow" w:hAnsi="Arial Narrow"/>
          <w:sz w:val="18"/>
          <w:szCs w:val="14"/>
        </w:rPr>
        <w:t>apremilast</w:t>
      </w:r>
      <w:proofErr w:type="spellEnd"/>
      <w:r>
        <w:rPr>
          <w:rFonts w:ascii="Arial Narrow" w:hAnsi="Arial Narrow"/>
          <w:sz w:val="18"/>
          <w:szCs w:val="14"/>
        </w:rPr>
        <w:t xml:space="preserve"> trials), adalimumab versus placebo (adalimumab trials) and </w:t>
      </w:r>
      <w:proofErr w:type="spellStart"/>
      <w:r>
        <w:rPr>
          <w:rFonts w:ascii="Arial Narrow" w:hAnsi="Arial Narrow"/>
          <w:sz w:val="18"/>
          <w:szCs w:val="14"/>
        </w:rPr>
        <w:t>apremilast</w:t>
      </w:r>
      <w:proofErr w:type="spellEnd"/>
      <w:r>
        <w:rPr>
          <w:rFonts w:ascii="Arial Narrow" w:hAnsi="Arial Narrow"/>
          <w:sz w:val="18"/>
          <w:szCs w:val="14"/>
        </w:rPr>
        <w:t xml:space="preserve"> versus adalimumab (indirect comparison)</w:t>
      </w:r>
    </w:p>
    <w:p w:rsidR="008A1AD8" w:rsidRPr="00CE6FB2" w:rsidRDefault="009E39E3" w:rsidP="00CE6FB2">
      <w:pPr>
        <w:pStyle w:val="BodyText"/>
        <w:tabs>
          <w:tab w:val="left" w:pos="993"/>
        </w:tabs>
        <w:ind w:firstLine="709"/>
        <w:rPr>
          <w:rFonts w:ascii="Arial Narrow" w:hAnsi="Arial Narrow"/>
          <w:sz w:val="18"/>
          <w:szCs w:val="14"/>
        </w:rPr>
      </w:pPr>
      <w:proofErr w:type="gramStart"/>
      <w:r w:rsidRPr="009E39E3">
        <w:rPr>
          <w:rFonts w:ascii="Arial Narrow" w:hAnsi="Arial Narrow"/>
          <w:sz w:val="18"/>
          <w:szCs w:val="14"/>
          <w:vertAlign w:val="superscript"/>
        </w:rPr>
        <w:t>b</w:t>
      </w:r>
      <w:proofErr w:type="gramEnd"/>
      <w:r w:rsidR="00EF539F" w:rsidRPr="00CE6FB2">
        <w:rPr>
          <w:rFonts w:ascii="Arial Narrow" w:hAnsi="Arial Narrow"/>
          <w:sz w:val="18"/>
          <w:szCs w:val="14"/>
        </w:rPr>
        <w:tab/>
      </w:r>
      <w:proofErr w:type="spellStart"/>
      <w:r w:rsidR="0057738D" w:rsidRPr="00CE6FB2">
        <w:rPr>
          <w:rFonts w:ascii="Arial Narrow" w:hAnsi="Arial Narrow"/>
          <w:sz w:val="18"/>
          <w:szCs w:val="14"/>
        </w:rPr>
        <w:t>Timepoint</w:t>
      </w:r>
      <w:proofErr w:type="spellEnd"/>
      <w:r w:rsidR="0057738D" w:rsidRPr="00CE6FB2">
        <w:rPr>
          <w:rFonts w:ascii="Arial Narrow" w:hAnsi="Arial Narrow"/>
          <w:sz w:val="18"/>
          <w:szCs w:val="14"/>
        </w:rPr>
        <w:t xml:space="preserve"> at which </w:t>
      </w:r>
      <w:r w:rsidR="00BE7A0E" w:rsidRPr="00CE6FB2">
        <w:rPr>
          <w:rFonts w:ascii="Arial Narrow" w:hAnsi="Arial Narrow"/>
          <w:sz w:val="18"/>
          <w:szCs w:val="14"/>
        </w:rPr>
        <w:t>ACR50</w:t>
      </w:r>
      <w:r w:rsidR="0057738D" w:rsidRPr="00CE6FB2">
        <w:rPr>
          <w:rFonts w:ascii="Arial Narrow" w:hAnsi="Arial Narrow"/>
          <w:sz w:val="18"/>
          <w:szCs w:val="14"/>
        </w:rPr>
        <w:t xml:space="preserve"> response measured: </w:t>
      </w:r>
      <w:proofErr w:type="spellStart"/>
      <w:r w:rsidR="0057738D" w:rsidRPr="00CE6FB2">
        <w:rPr>
          <w:rFonts w:ascii="Arial Narrow" w:hAnsi="Arial Narrow"/>
          <w:sz w:val="18"/>
          <w:szCs w:val="14"/>
        </w:rPr>
        <w:t>apremilast</w:t>
      </w:r>
      <w:proofErr w:type="spellEnd"/>
      <w:r w:rsidR="0057738D" w:rsidRPr="00CE6FB2">
        <w:rPr>
          <w:rFonts w:ascii="Arial Narrow" w:hAnsi="Arial Narrow"/>
          <w:sz w:val="18"/>
          <w:szCs w:val="14"/>
        </w:rPr>
        <w:t xml:space="preserve"> trials = 16 weeks; adalimumab trials = 12 weeks</w:t>
      </w:r>
    </w:p>
    <w:p w:rsidR="007D53A9" w:rsidRPr="00CE6FB2" w:rsidRDefault="007D53A9" w:rsidP="00CE6FB2">
      <w:pPr>
        <w:pStyle w:val="BodyText"/>
        <w:tabs>
          <w:tab w:val="left" w:pos="993"/>
        </w:tabs>
        <w:ind w:firstLine="709"/>
        <w:rPr>
          <w:rFonts w:ascii="Arial Narrow" w:hAnsi="Arial Narrow"/>
          <w:sz w:val="18"/>
          <w:szCs w:val="14"/>
        </w:rPr>
      </w:pPr>
      <w:r w:rsidRPr="00CE6FB2">
        <w:rPr>
          <w:rFonts w:ascii="Arial Narrow" w:hAnsi="Arial Narrow"/>
          <w:sz w:val="18"/>
          <w:szCs w:val="14"/>
        </w:rPr>
        <w:t xml:space="preserve">Abbreviations: ADA = adalimumab; APR = </w:t>
      </w:r>
      <w:proofErr w:type="spellStart"/>
      <w:r w:rsidRPr="00CE6FB2">
        <w:rPr>
          <w:rFonts w:ascii="Arial Narrow" w:hAnsi="Arial Narrow"/>
          <w:sz w:val="18"/>
          <w:szCs w:val="14"/>
        </w:rPr>
        <w:t>apremilast</w:t>
      </w:r>
      <w:proofErr w:type="spellEnd"/>
      <w:r w:rsidRPr="00CE6FB2">
        <w:rPr>
          <w:rFonts w:ascii="Arial Narrow" w:hAnsi="Arial Narrow"/>
          <w:sz w:val="18"/>
          <w:szCs w:val="14"/>
        </w:rPr>
        <w:t>; PBO = placebo; RD = risk difference; RR = risk ratio</w:t>
      </w:r>
      <w:bookmarkEnd w:id="12"/>
    </w:p>
    <w:p w:rsidR="002D331D" w:rsidRPr="00CE6FB2" w:rsidRDefault="007D53A9" w:rsidP="00CE6FB2">
      <w:pPr>
        <w:pStyle w:val="BodyText"/>
        <w:tabs>
          <w:tab w:val="left" w:pos="993"/>
        </w:tabs>
        <w:ind w:firstLine="709"/>
        <w:rPr>
          <w:rFonts w:ascii="Arial Narrow" w:hAnsi="Arial Narrow"/>
          <w:sz w:val="18"/>
          <w:szCs w:val="14"/>
        </w:rPr>
      </w:pPr>
      <w:bookmarkStart w:id="13" w:name="_Toc409511010"/>
      <w:r w:rsidRPr="00CE6FB2">
        <w:rPr>
          <w:rFonts w:ascii="Arial Narrow" w:hAnsi="Arial Narrow"/>
          <w:sz w:val="18"/>
          <w:szCs w:val="14"/>
        </w:rPr>
        <w:t>Source: Compiled during the evaluation</w:t>
      </w:r>
      <w:bookmarkEnd w:id="13"/>
    </w:p>
    <w:p w:rsidR="00B60939" w:rsidRPr="0004231D" w:rsidRDefault="00B60939" w:rsidP="0004231D">
      <w:pPr>
        <w:rPr>
          <w:szCs w:val="22"/>
        </w:rPr>
      </w:pPr>
    </w:p>
    <w:p w:rsidR="00FC1884" w:rsidRPr="00D06FD4" w:rsidRDefault="0011785F" w:rsidP="00582D67">
      <w:pPr>
        <w:pStyle w:val="ListParagraph"/>
        <w:widowControl/>
        <w:numPr>
          <w:ilvl w:val="1"/>
          <w:numId w:val="5"/>
        </w:numPr>
        <w:rPr>
          <w:szCs w:val="22"/>
        </w:rPr>
      </w:pPr>
      <w:r>
        <w:t xml:space="preserve">On the basis of </w:t>
      </w:r>
      <w:r w:rsidR="00EC00C9" w:rsidRPr="00CF6EE4">
        <w:t>direc</w:t>
      </w:r>
      <w:r w:rsidR="002219EF">
        <w:t>t</w:t>
      </w:r>
      <w:r w:rsidR="00EC00C9" w:rsidRPr="00CF6EE4">
        <w:t xml:space="preserve"> evidence presented by the </w:t>
      </w:r>
      <w:r w:rsidR="00152F61">
        <w:t>re</w:t>
      </w:r>
      <w:r w:rsidR="00EC00C9" w:rsidRPr="00CF6EE4">
        <w:t>submission, for every 100 pat</w:t>
      </w:r>
      <w:r>
        <w:t xml:space="preserve">ients treated with </w:t>
      </w:r>
      <w:proofErr w:type="spellStart"/>
      <w:r w:rsidRPr="00C53156">
        <w:rPr>
          <w:u w:val="single"/>
        </w:rPr>
        <w:t>apremilast</w:t>
      </w:r>
      <w:proofErr w:type="spellEnd"/>
      <w:r w:rsidR="00EC00C9" w:rsidRPr="00C53156">
        <w:rPr>
          <w:u w:val="single"/>
        </w:rPr>
        <w:t xml:space="preserve"> in co</w:t>
      </w:r>
      <w:r w:rsidRPr="00C53156">
        <w:rPr>
          <w:u w:val="single"/>
        </w:rPr>
        <w:t>mparison to placebo</w:t>
      </w:r>
      <w:r w:rsidR="002965CF">
        <w:t>:</w:t>
      </w:r>
    </w:p>
    <w:p w:rsidR="0011785F" w:rsidRDefault="0011785F" w:rsidP="00582D67">
      <w:pPr>
        <w:pStyle w:val="ListParagraph"/>
        <w:widowControl/>
        <w:numPr>
          <w:ilvl w:val="0"/>
          <w:numId w:val="4"/>
        </w:numPr>
        <w:ind w:left="993" w:hanging="284"/>
      </w:pPr>
      <w:r>
        <w:t>Approximately 8</w:t>
      </w:r>
      <w:r w:rsidR="00FC1884" w:rsidRPr="00CF6EE4">
        <w:t xml:space="preserve"> additional patients w</w:t>
      </w:r>
      <w:r>
        <w:t xml:space="preserve">ould have </w:t>
      </w:r>
      <w:r w:rsidR="001E271F">
        <w:t xml:space="preserve">an </w:t>
      </w:r>
      <w:r w:rsidR="00BE7A0E">
        <w:t>ACR50</w:t>
      </w:r>
      <w:r>
        <w:t xml:space="preserve"> response over 16 weeks of treatment.</w:t>
      </w:r>
    </w:p>
    <w:p w:rsidR="0011785F" w:rsidRDefault="0011785F" w:rsidP="002965CF">
      <w:pPr>
        <w:widowControl/>
      </w:pPr>
    </w:p>
    <w:p w:rsidR="0011785F" w:rsidRPr="0011785F" w:rsidRDefault="0011785F" w:rsidP="00796899">
      <w:pPr>
        <w:pStyle w:val="ListParagraph"/>
        <w:widowControl/>
        <w:numPr>
          <w:ilvl w:val="1"/>
          <w:numId w:val="5"/>
        </w:numPr>
      </w:pPr>
      <w:r>
        <w:lastRenderedPageBreak/>
        <w:t xml:space="preserve">On the basis of </w:t>
      </w:r>
      <w:r w:rsidRPr="00CF6EE4">
        <w:t>direc</w:t>
      </w:r>
      <w:r>
        <w:t>t</w:t>
      </w:r>
      <w:r w:rsidRPr="00CF6EE4">
        <w:t xml:space="preserve"> evidence presented by the </w:t>
      </w:r>
      <w:r>
        <w:t>re</w:t>
      </w:r>
      <w:r w:rsidRPr="00CF6EE4">
        <w:t>submission, for every 100 pat</w:t>
      </w:r>
      <w:r>
        <w:t xml:space="preserve">ients treated with </w:t>
      </w:r>
      <w:r w:rsidRPr="00C53156">
        <w:rPr>
          <w:u w:val="single"/>
        </w:rPr>
        <w:t>adalimumab in comparison to placebo</w:t>
      </w:r>
      <w:r w:rsidR="001E271F">
        <w:t>:</w:t>
      </w:r>
    </w:p>
    <w:p w:rsidR="0011785F" w:rsidRDefault="0011785F" w:rsidP="00582D67">
      <w:pPr>
        <w:pStyle w:val="ListParagraph"/>
        <w:widowControl/>
        <w:numPr>
          <w:ilvl w:val="0"/>
          <w:numId w:val="4"/>
        </w:numPr>
        <w:ind w:left="993" w:hanging="284"/>
      </w:pPr>
      <w:r>
        <w:t xml:space="preserve">Approximately </w:t>
      </w:r>
      <w:r w:rsidR="00D7578B">
        <w:t>30</w:t>
      </w:r>
      <w:r w:rsidRPr="00CF6EE4">
        <w:t xml:space="preserve"> additional patients w</w:t>
      </w:r>
      <w:r w:rsidR="00D7578B">
        <w:t xml:space="preserve">ould have </w:t>
      </w:r>
      <w:r w:rsidR="001E271F">
        <w:t xml:space="preserve">an </w:t>
      </w:r>
      <w:r w:rsidR="00BE7A0E">
        <w:t>ACR50</w:t>
      </w:r>
      <w:r>
        <w:t xml:space="preserve"> response over</w:t>
      </w:r>
      <w:r w:rsidR="00D7578B">
        <w:t xml:space="preserve"> 12</w:t>
      </w:r>
      <w:r>
        <w:t xml:space="preserve"> weeks of treatment.</w:t>
      </w:r>
    </w:p>
    <w:p w:rsidR="00D62D16" w:rsidRDefault="00D62D16" w:rsidP="00D62D16">
      <w:pPr>
        <w:widowControl/>
      </w:pPr>
    </w:p>
    <w:p w:rsidR="001E271F" w:rsidRDefault="001E271F" w:rsidP="00796899">
      <w:pPr>
        <w:pStyle w:val="ListParagraph"/>
        <w:widowControl/>
        <w:numPr>
          <w:ilvl w:val="1"/>
          <w:numId w:val="5"/>
        </w:numPr>
        <w:rPr>
          <w:iCs/>
        </w:rPr>
      </w:pPr>
      <w:r>
        <w:rPr>
          <w:iCs/>
        </w:rPr>
        <w:t xml:space="preserve">On the basis of </w:t>
      </w:r>
      <w:r w:rsidR="00D62D16" w:rsidRPr="00D62D16">
        <w:rPr>
          <w:iCs/>
        </w:rPr>
        <w:t>an indirect comparison</w:t>
      </w:r>
      <w:r>
        <w:rPr>
          <w:iCs/>
        </w:rPr>
        <w:t xml:space="preserve"> presented by the resubmission</w:t>
      </w:r>
      <w:r w:rsidR="00D62D16" w:rsidRPr="00D62D16">
        <w:rPr>
          <w:iCs/>
        </w:rPr>
        <w:t xml:space="preserve">, </w:t>
      </w:r>
      <w:r w:rsidR="007676A4" w:rsidRPr="00CF6EE4">
        <w:t>for every 100 pat</w:t>
      </w:r>
      <w:r w:rsidR="007676A4">
        <w:t>ients treated</w:t>
      </w:r>
      <w:r w:rsidR="007676A4" w:rsidRPr="00D62D16" w:rsidDel="009923B9">
        <w:rPr>
          <w:iCs/>
        </w:rPr>
        <w:t xml:space="preserve"> </w:t>
      </w:r>
      <w:r>
        <w:rPr>
          <w:iCs/>
        </w:rPr>
        <w:t xml:space="preserve">with </w:t>
      </w:r>
      <w:r w:rsidRPr="00C53156">
        <w:rPr>
          <w:iCs/>
          <w:u w:val="single"/>
        </w:rPr>
        <w:t>adalimumab</w:t>
      </w:r>
      <w:r>
        <w:rPr>
          <w:iCs/>
          <w:u w:val="single"/>
        </w:rPr>
        <w:t xml:space="preserve"> in comparison with</w:t>
      </w:r>
      <w:r w:rsidRPr="001E271F">
        <w:rPr>
          <w:iCs/>
          <w:u w:val="single"/>
        </w:rPr>
        <w:t xml:space="preserve"> </w:t>
      </w:r>
      <w:proofErr w:type="spellStart"/>
      <w:r w:rsidRPr="00C53156">
        <w:rPr>
          <w:iCs/>
          <w:u w:val="single"/>
        </w:rPr>
        <w:t>apremilast</w:t>
      </w:r>
      <w:proofErr w:type="spellEnd"/>
      <w:r w:rsidRPr="001E271F">
        <w:rPr>
          <w:iCs/>
        </w:rPr>
        <w:t>:</w:t>
      </w:r>
    </w:p>
    <w:p w:rsidR="00D62D16" w:rsidRPr="00D62D16" w:rsidRDefault="001E271F" w:rsidP="001E271F">
      <w:pPr>
        <w:pStyle w:val="ListParagraph"/>
        <w:widowControl/>
        <w:numPr>
          <w:ilvl w:val="0"/>
          <w:numId w:val="4"/>
        </w:numPr>
        <w:ind w:left="993" w:hanging="284"/>
        <w:rPr>
          <w:iCs/>
        </w:rPr>
      </w:pPr>
      <w:r>
        <w:rPr>
          <w:iCs/>
        </w:rPr>
        <w:t>A</w:t>
      </w:r>
      <w:r w:rsidR="009923B9" w:rsidRPr="001E271F">
        <w:t>pproximately</w:t>
      </w:r>
      <w:r w:rsidR="009923B9">
        <w:rPr>
          <w:iCs/>
        </w:rPr>
        <w:t xml:space="preserve"> 22</w:t>
      </w:r>
      <w:r w:rsidR="00D62D16" w:rsidRPr="00D62D16">
        <w:rPr>
          <w:iCs/>
        </w:rPr>
        <w:t xml:space="preserve"> </w:t>
      </w:r>
      <w:r w:rsidR="007676A4">
        <w:rPr>
          <w:iCs/>
        </w:rPr>
        <w:t>additional</w:t>
      </w:r>
      <w:r w:rsidR="009923B9">
        <w:rPr>
          <w:iCs/>
        </w:rPr>
        <w:t xml:space="preserve"> </w:t>
      </w:r>
      <w:r w:rsidR="00D62D16" w:rsidRPr="00D62D16">
        <w:rPr>
          <w:iCs/>
        </w:rPr>
        <w:t xml:space="preserve">patients </w:t>
      </w:r>
      <w:r>
        <w:rPr>
          <w:iCs/>
        </w:rPr>
        <w:t xml:space="preserve">would have an </w:t>
      </w:r>
      <w:r w:rsidR="00BE7A0E">
        <w:rPr>
          <w:iCs/>
        </w:rPr>
        <w:t>ACR50</w:t>
      </w:r>
      <w:r w:rsidR="00D62D16" w:rsidRPr="00D62D16">
        <w:rPr>
          <w:iCs/>
        </w:rPr>
        <w:t xml:space="preserve"> response</w:t>
      </w:r>
      <w:r>
        <w:rPr>
          <w:iCs/>
        </w:rPr>
        <w:t xml:space="preserve"> </w:t>
      </w:r>
      <w:r>
        <w:t>over 12 to 16 weeks of treatment</w:t>
      </w:r>
      <w:r w:rsidR="00D62D16" w:rsidRPr="00D62D16">
        <w:rPr>
          <w:iCs/>
        </w:rPr>
        <w:t>.</w:t>
      </w:r>
    </w:p>
    <w:p w:rsidR="00AC68BC" w:rsidRPr="00882085" w:rsidRDefault="00AC68BC" w:rsidP="00FC1884"/>
    <w:p w:rsidR="00B60939" w:rsidRPr="002965CF" w:rsidRDefault="00B60939" w:rsidP="0093180A">
      <w:pPr>
        <w:pStyle w:val="Heading2"/>
      </w:pPr>
      <w:bookmarkStart w:id="14" w:name="_Toc430164101"/>
      <w:r w:rsidRPr="0093180A">
        <w:t>Clinical</w:t>
      </w:r>
      <w:r w:rsidRPr="002965CF">
        <w:t xml:space="preserve"> claim</w:t>
      </w:r>
      <w:bookmarkEnd w:id="14"/>
    </w:p>
    <w:p w:rsidR="00B60939" w:rsidRPr="00882085" w:rsidRDefault="00B60939" w:rsidP="00D06FD4">
      <w:pPr>
        <w:pStyle w:val="BodyText"/>
      </w:pPr>
    </w:p>
    <w:p w:rsidR="00CC4A36" w:rsidRPr="002A30BA" w:rsidRDefault="00CC4A36" w:rsidP="00030BF1">
      <w:pPr>
        <w:pStyle w:val="ListParagraph"/>
        <w:widowControl/>
        <w:numPr>
          <w:ilvl w:val="1"/>
          <w:numId w:val="5"/>
        </w:numPr>
      </w:pPr>
      <w:r w:rsidRPr="00CC4A36">
        <w:t xml:space="preserve">The </w:t>
      </w:r>
      <w:r>
        <w:t>re</w:t>
      </w:r>
      <w:r w:rsidRPr="00CC4A36">
        <w:t>submission describe</w:t>
      </w:r>
      <w:r w:rsidR="00030BF1">
        <w:t>d</w:t>
      </w:r>
      <w:r w:rsidRPr="00CC4A36">
        <w:t xml:space="preserve"> </w:t>
      </w:r>
      <w:proofErr w:type="spellStart"/>
      <w:r w:rsidRPr="00CC4A36">
        <w:t>apremilast</w:t>
      </w:r>
      <w:proofErr w:type="spellEnd"/>
      <w:r w:rsidRPr="00CC4A36">
        <w:t xml:space="preserve"> as </w:t>
      </w:r>
      <w:r w:rsidRPr="00CC4A36">
        <w:rPr>
          <w:u w:val="single"/>
        </w:rPr>
        <w:t>inferior</w:t>
      </w:r>
      <w:r w:rsidRPr="00CC4A36">
        <w:t xml:space="preserve"> in terms of compar</w:t>
      </w:r>
      <w:r w:rsidR="006F1768">
        <w:t xml:space="preserve">ative effectiveness and </w:t>
      </w:r>
      <w:r w:rsidR="006F1768" w:rsidRPr="004E7AC8">
        <w:rPr>
          <w:u w:val="single"/>
        </w:rPr>
        <w:t>non-inferior</w:t>
      </w:r>
      <w:r w:rsidRPr="00CC4A36">
        <w:t xml:space="preserve"> in terms of safety (“</w:t>
      </w:r>
      <w:r w:rsidRPr="00CC4A36">
        <w:rPr>
          <w:u w:val="single"/>
        </w:rPr>
        <w:t>equivalent</w:t>
      </w:r>
      <w:r w:rsidRPr="00CC4A36">
        <w:t>” in terms of short-term safety but “</w:t>
      </w:r>
      <w:r w:rsidRPr="00CC4A36">
        <w:rPr>
          <w:u w:val="single"/>
        </w:rPr>
        <w:t>superior</w:t>
      </w:r>
      <w:r w:rsidRPr="00CC4A36">
        <w:t>” in terms of lon</w:t>
      </w:r>
      <w:r w:rsidR="006F1768">
        <w:t>g-term safety), over adalimumab</w:t>
      </w:r>
      <w:r w:rsidRPr="00CC4A36">
        <w:t>.</w:t>
      </w:r>
      <w:r w:rsidR="004E7AC8">
        <w:t xml:space="preserve"> </w:t>
      </w:r>
      <w:r w:rsidR="00796899" w:rsidRPr="002A30BA">
        <w:t xml:space="preserve">The ESC considered that the </w:t>
      </w:r>
      <w:r w:rsidR="001E271F">
        <w:t>clinical claim was reasonable.</w:t>
      </w:r>
    </w:p>
    <w:p w:rsidR="00EF539F" w:rsidRPr="00CC4A36" w:rsidRDefault="00EF539F" w:rsidP="00EF539F">
      <w:pPr>
        <w:widowControl/>
      </w:pPr>
    </w:p>
    <w:p w:rsidR="00767FAD" w:rsidRPr="002A30BA" w:rsidRDefault="00767FAD" w:rsidP="00030BF1">
      <w:pPr>
        <w:pStyle w:val="ListParagraph"/>
        <w:widowControl/>
        <w:numPr>
          <w:ilvl w:val="1"/>
          <w:numId w:val="5"/>
        </w:numPr>
        <w:rPr>
          <w:szCs w:val="22"/>
        </w:rPr>
      </w:pPr>
      <w:r w:rsidRPr="00CC4A6E">
        <w:rPr>
          <w:iCs/>
        </w:rPr>
        <w:t>The data presented in the resubmission support</w:t>
      </w:r>
      <w:r w:rsidR="00030BF1" w:rsidRPr="00CC4A6E">
        <w:rPr>
          <w:iCs/>
        </w:rPr>
        <w:t>ed</w:t>
      </w:r>
      <w:r w:rsidRPr="00CC4A6E">
        <w:rPr>
          <w:iCs/>
        </w:rPr>
        <w:t xml:space="preserve"> the claim of inferior effectiveness at 16 weeks </w:t>
      </w:r>
      <w:r w:rsidR="00F907BD" w:rsidRPr="00CC4A6E">
        <w:rPr>
          <w:iCs/>
        </w:rPr>
        <w:t xml:space="preserve">of </w:t>
      </w:r>
      <w:proofErr w:type="spellStart"/>
      <w:r w:rsidR="00F907BD" w:rsidRPr="00CC4A6E">
        <w:rPr>
          <w:iCs/>
        </w:rPr>
        <w:t>apremilast</w:t>
      </w:r>
      <w:proofErr w:type="spellEnd"/>
      <w:r w:rsidR="00F907BD" w:rsidRPr="00CC4A6E">
        <w:rPr>
          <w:iCs/>
        </w:rPr>
        <w:t xml:space="preserve"> </w:t>
      </w:r>
      <w:r w:rsidRPr="00CC4A6E">
        <w:rPr>
          <w:iCs/>
        </w:rPr>
        <w:t>compared with the effectiv</w:t>
      </w:r>
      <w:r w:rsidR="00F907BD" w:rsidRPr="00CC4A6E">
        <w:rPr>
          <w:iCs/>
        </w:rPr>
        <w:t>eness at 12 weeks of adalimumab</w:t>
      </w:r>
      <w:r w:rsidRPr="00CC4A6E">
        <w:rPr>
          <w:iCs/>
        </w:rPr>
        <w:t xml:space="preserve">, in terms of </w:t>
      </w:r>
      <w:r w:rsidR="00EF539F" w:rsidRPr="00CC4A6E">
        <w:rPr>
          <w:iCs/>
        </w:rPr>
        <w:t xml:space="preserve">ACR50 and </w:t>
      </w:r>
      <w:r w:rsidR="00BE7A0E" w:rsidRPr="00CC4A6E">
        <w:rPr>
          <w:iCs/>
        </w:rPr>
        <w:t>ACR20</w:t>
      </w:r>
      <w:r w:rsidRPr="00CC4A6E">
        <w:rPr>
          <w:iCs/>
        </w:rPr>
        <w:t xml:space="preserve"> response, </w:t>
      </w:r>
      <w:proofErr w:type="spellStart"/>
      <w:r w:rsidRPr="00CC4A6E">
        <w:rPr>
          <w:iCs/>
        </w:rPr>
        <w:t>PsARC</w:t>
      </w:r>
      <w:proofErr w:type="spellEnd"/>
      <w:r w:rsidRPr="00CC4A6E">
        <w:rPr>
          <w:iCs/>
        </w:rPr>
        <w:t xml:space="preserve"> response and PASI 75 response</w:t>
      </w:r>
      <w:r w:rsidRPr="00CC4A6E">
        <w:t>.</w:t>
      </w:r>
    </w:p>
    <w:p w:rsidR="002A30BA" w:rsidRPr="001E271F" w:rsidRDefault="002A30BA" w:rsidP="002A30BA">
      <w:pPr>
        <w:rPr>
          <w:szCs w:val="22"/>
        </w:rPr>
      </w:pPr>
    </w:p>
    <w:p w:rsidR="002A30BA" w:rsidRPr="002A30BA" w:rsidRDefault="002A30BA" w:rsidP="002A30BA">
      <w:pPr>
        <w:pStyle w:val="ListParagraph"/>
        <w:widowControl/>
        <w:numPr>
          <w:ilvl w:val="1"/>
          <w:numId w:val="5"/>
        </w:numPr>
        <w:jc w:val="left"/>
        <w:rPr>
          <w:bCs/>
          <w:szCs w:val="22"/>
        </w:rPr>
      </w:pPr>
      <w:r w:rsidRPr="002A30BA">
        <w:rPr>
          <w:bCs/>
          <w:szCs w:val="22"/>
        </w:rPr>
        <w:t>The PBAC considered that the claim of inferior comparative effectiveness was reasonably supported by the data.</w:t>
      </w:r>
    </w:p>
    <w:p w:rsidR="002A30BA" w:rsidRPr="002A30BA" w:rsidRDefault="002A30BA" w:rsidP="002A30BA">
      <w:pPr>
        <w:widowControl/>
        <w:jc w:val="left"/>
        <w:rPr>
          <w:bCs/>
          <w:szCs w:val="22"/>
        </w:rPr>
      </w:pPr>
    </w:p>
    <w:p w:rsidR="002A30BA" w:rsidRPr="002A30BA" w:rsidRDefault="002A30BA" w:rsidP="002A30BA">
      <w:pPr>
        <w:pStyle w:val="ListParagraph"/>
        <w:widowControl/>
        <w:numPr>
          <w:ilvl w:val="1"/>
          <w:numId w:val="5"/>
        </w:numPr>
        <w:rPr>
          <w:szCs w:val="22"/>
        </w:rPr>
      </w:pPr>
      <w:r w:rsidRPr="002A30BA">
        <w:rPr>
          <w:szCs w:val="22"/>
        </w:rPr>
        <w:t xml:space="preserve">The PBAC considered that the claim of non-inferior </w:t>
      </w:r>
      <w:r w:rsidR="00284EAD">
        <w:rPr>
          <w:szCs w:val="22"/>
        </w:rPr>
        <w:t xml:space="preserve">short-term </w:t>
      </w:r>
      <w:r w:rsidRPr="002A30BA">
        <w:rPr>
          <w:szCs w:val="22"/>
        </w:rPr>
        <w:t>safety</w:t>
      </w:r>
      <w:r w:rsidR="00916FF7">
        <w:rPr>
          <w:szCs w:val="22"/>
        </w:rPr>
        <w:t xml:space="preserve"> </w:t>
      </w:r>
      <w:r w:rsidR="00284EAD">
        <w:rPr>
          <w:szCs w:val="22"/>
        </w:rPr>
        <w:t xml:space="preserve">and superior long-term safety </w:t>
      </w:r>
      <w:r w:rsidRPr="002A30BA">
        <w:rPr>
          <w:szCs w:val="22"/>
        </w:rPr>
        <w:t>was reasonably supported by the data.</w:t>
      </w:r>
    </w:p>
    <w:p w:rsidR="002A30BA" w:rsidRPr="002A30BA" w:rsidRDefault="002A30BA" w:rsidP="002A30BA">
      <w:pPr>
        <w:widowControl/>
        <w:rPr>
          <w:szCs w:val="22"/>
        </w:rPr>
      </w:pPr>
    </w:p>
    <w:p w:rsidR="002C1A10" w:rsidRPr="002C1A10" w:rsidRDefault="002C1A10" w:rsidP="002C1A10">
      <w:pPr>
        <w:pStyle w:val="ListParagraph"/>
        <w:widowControl/>
        <w:rPr>
          <w:i/>
          <w:szCs w:val="22"/>
        </w:rPr>
      </w:pPr>
      <w:r>
        <w:rPr>
          <w:i/>
          <w:iCs/>
        </w:rPr>
        <w:t>For more detail on PBAC’s view, see section 7 “PBAC outcome”</w:t>
      </w:r>
      <w:r w:rsidR="001E271F">
        <w:rPr>
          <w:i/>
          <w:iCs/>
        </w:rPr>
        <w:t>.</w:t>
      </w:r>
    </w:p>
    <w:p w:rsidR="00B60939" w:rsidRPr="00882085" w:rsidRDefault="00B60939" w:rsidP="00B60939">
      <w:pPr>
        <w:ind w:left="720" w:hanging="720"/>
        <w:rPr>
          <w:szCs w:val="22"/>
        </w:rPr>
      </w:pPr>
    </w:p>
    <w:p w:rsidR="00B60939" w:rsidRPr="00652648" w:rsidRDefault="00B60939" w:rsidP="0093180A">
      <w:pPr>
        <w:pStyle w:val="Heading2"/>
      </w:pPr>
      <w:bookmarkStart w:id="15" w:name="_Toc430164102"/>
      <w:r w:rsidRPr="00652648">
        <w:t>Economic analysis</w:t>
      </w:r>
      <w:bookmarkEnd w:id="15"/>
    </w:p>
    <w:p w:rsidR="00B60939" w:rsidRPr="00882085" w:rsidRDefault="00B60939" w:rsidP="00B60939">
      <w:pPr>
        <w:ind w:left="720" w:hanging="720"/>
        <w:rPr>
          <w:szCs w:val="22"/>
        </w:rPr>
      </w:pPr>
    </w:p>
    <w:p w:rsidR="00C53156" w:rsidRPr="00C53156" w:rsidRDefault="00155187" w:rsidP="00C53156">
      <w:pPr>
        <w:pStyle w:val="ListParagraph"/>
        <w:widowControl/>
        <w:numPr>
          <w:ilvl w:val="1"/>
          <w:numId w:val="5"/>
        </w:numPr>
        <w:rPr>
          <w:iCs/>
        </w:rPr>
      </w:pPr>
      <w:r w:rsidRPr="00657EB5">
        <w:t>The resubmission present</w:t>
      </w:r>
      <w:r w:rsidR="00EF539F">
        <w:t>ed</w:t>
      </w:r>
      <w:r w:rsidRPr="00657EB5">
        <w:t xml:space="preserve"> a modelled evaluation of </w:t>
      </w:r>
      <w:proofErr w:type="spellStart"/>
      <w:r w:rsidRPr="00657EB5">
        <w:t>apremilast</w:t>
      </w:r>
      <w:proofErr w:type="spellEnd"/>
      <w:r w:rsidRPr="00657EB5">
        <w:t xml:space="preserve"> versus </w:t>
      </w:r>
      <w:r w:rsidRPr="004C1068">
        <w:t>adalimumab</w:t>
      </w:r>
      <w:r w:rsidR="00C53156" w:rsidRPr="004C1068">
        <w:t>, specifically:</w:t>
      </w:r>
    </w:p>
    <w:p w:rsidR="00C53156" w:rsidRPr="00C53156" w:rsidRDefault="00C53156" w:rsidP="00C53156">
      <w:pPr>
        <w:rPr>
          <w:iCs/>
        </w:rPr>
      </w:pPr>
    </w:p>
    <w:tbl>
      <w:tblPr>
        <w:tblStyle w:val="TableGrid"/>
        <w:tblW w:w="0" w:type="auto"/>
        <w:tblInd w:w="737" w:type="dxa"/>
        <w:tblCellMar>
          <w:left w:w="28" w:type="dxa"/>
          <w:right w:w="28" w:type="dxa"/>
        </w:tblCellMar>
        <w:tblLook w:val="04A0" w:firstRow="1" w:lastRow="0" w:firstColumn="1" w:lastColumn="0" w:noHBand="0" w:noVBand="1"/>
        <w:tblCaption w:val="Economic model of structure of apremilast vs. adalimumab"/>
      </w:tblPr>
      <w:tblGrid>
        <w:gridCol w:w="1701"/>
        <w:gridCol w:w="567"/>
        <w:gridCol w:w="1701"/>
        <w:gridCol w:w="567"/>
        <w:gridCol w:w="1418"/>
        <w:gridCol w:w="386"/>
        <w:gridCol w:w="2005"/>
      </w:tblGrid>
      <w:tr w:rsidR="00C53156" w:rsidRPr="00C12CAF" w:rsidTr="00B16BB6">
        <w:trPr>
          <w:tblHeader/>
        </w:trPr>
        <w:tc>
          <w:tcPr>
            <w:tcW w:w="1701" w:type="dxa"/>
            <w:vAlign w:val="center"/>
          </w:tcPr>
          <w:p w:rsidR="00C53156" w:rsidRPr="00C12CAF" w:rsidRDefault="00C53156" w:rsidP="00CE6FB2">
            <w:pPr>
              <w:jc w:val="center"/>
              <w:rPr>
                <w:rFonts w:ascii="Arial Narrow" w:hAnsi="Arial Narrow"/>
                <w:b/>
                <w:bCs/>
                <w:i/>
                <w:sz w:val="20"/>
              </w:rPr>
            </w:pPr>
            <w:proofErr w:type="spellStart"/>
            <w:r w:rsidRPr="00C12CAF">
              <w:rPr>
                <w:rFonts w:ascii="Arial Narrow" w:hAnsi="Arial Narrow"/>
                <w:b/>
                <w:bCs/>
                <w:i/>
                <w:sz w:val="20"/>
              </w:rPr>
              <w:t>Apremilast</w:t>
            </w:r>
            <w:proofErr w:type="spellEnd"/>
          </w:p>
        </w:tc>
        <w:tc>
          <w:tcPr>
            <w:tcW w:w="567" w:type="dxa"/>
            <w:tcBorders>
              <w:top w:val="nil"/>
              <w:bottom w:val="nil"/>
            </w:tcBorders>
            <w:vAlign w:val="center"/>
          </w:tcPr>
          <w:p w:rsidR="00C53156" w:rsidRPr="00C12CAF" w:rsidRDefault="00C53156" w:rsidP="00CE6FB2">
            <w:pPr>
              <w:jc w:val="center"/>
              <w:rPr>
                <w:rFonts w:ascii="Arial Narrow" w:hAnsi="Arial Narrow"/>
                <w:bCs/>
                <w:i/>
                <w:sz w:val="20"/>
              </w:rPr>
            </w:pPr>
            <w:r>
              <w:rPr>
                <w:rFonts w:ascii="Arial Narrow" w:hAnsi="Arial Narrow"/>
                <w:bCs/>
                <w:i/>
                <w:sz w:val="20"/>
              </w:rPr>
              <w:t>→</w:t>
            </w:r>
          </w:p>
        </w:tc>
        <w:tc>
          <w:tcPr>
            <w:tcW w:w="1701" w:type="dxa"/>
            <w:vAlign w:val="center"/>
          </w:tcPr>
          <w:p w:rsidR="00C53156" w:rsidRPr="00C12CAF" w:rsidRDefault="00C53156" w:rsidP="00CE6FB2">
            <w:pPr>
              <w:jc w:val="center"/>
              <w:rPr>
                <w:rFonts w:ascii="Arial Narrow" w:hAnsi="Arial Narrow"/>
                <w:bCs/>
                <w:i/>
                <w:sz w:val="20"/>
              </w:rPr>
            </w:pPr>
            <w:r>
              <w:rPr>
                <w:rFonts w:ascii="Arial Narrow" w:hAnsi="Arial Narrow"/>
                <w:bCs/>
                <w:i/>
                <w:sz w:val="20"/>
              </w:rPr>
              <w:t>Etanercept</w:t>
            </w:r>
          </w:p>
        </w:tc>
        <w:tc>
          <w:tcPr>
            <w:tcW w:w="567" w:type="dxa"/>
            <w:tcBorders>
              <w:top w:val="nil"/>
              <w:bottom w:val="nil"/>
            </w:tcBorders>
            <w:vAlign w:val="center"/>
          </w:tcPr>
          <w:p w:rsidR="00C53156" w:rsidRPr="00C12CAF" w:rsidRDefault="00C53156" w:rsidP="00CE6FB2">
            <w:pPr>
              <w:jc w:val="center"/>
              <w:rPr>
                <w:rFonts w:ascii="Arial Narrow" w:hAnsi="Arial Narrow"/>
                <w:bCs/>
                <w:i/>
                <w:sz w:val="20"/>
              </w:rPr>
            </w:pPr>
            <w:r>
              <w:rPr>
                <w:rFonts w:ascii="Arial Narrow" w:hAnsi="Arial Narrow"/>
                <w:bCs/>
                <w:i/>
                <w:sz w:val="20"/>
              </w:rPr>
              <w:t>→</w:t>
            </w:r>
          </w:p>
        </w:tc>
        <w:tc>
          <w:tcPr>
            <w:tcW w:w="1418" w:type="dxa"/>
            <w:vAlign w:val="center"/>
          </w:tcPr>
          <w:p w:rsidR="00C53156" w:rsidRPr="00C12CAF" w:rsidRDefault="00C53156" w:rsidP="00CE6FB2">
            <w:pPr>
              <w:jc w:val="center"/>
              <w:rPr>
                <w:rFonts w:ascii="Arial Narrow" w:hAnsi="Arial Narrow"/>
                <w:bCs/>
                <w:i/>
                <w:sz w:val="20"/>
              </w:rPr>
            </w:pPr>
            <w:r>
              <w:rPr>
                <w:rFonts w:ascii="Arial Narrow" w:hAnsi="Arial Narrow"/>
                <w:bCs/>
                <w:i/>
                <w:sz w:val="20"/>
              </w:rPr>
              <w:t>Golimumab</w:t>
            </w:r>
          </w:p>
        </w:tc>
        <w:tc>
          <w:tcPr>
            <w:tcW w:w="386" w:type="dxa"/>
            <w:tcBorders>
              <w:top w:val="nil"/>
              <w:bottom w:val="nil"/>
            </w:tcBorders>
            <w:vAlign w:val="center"/>
          </w:tcPr>
          <w:p w:rsidR="00C53156" w:rsidRPr="00C12CAF" w:rsidRDefault="00C53156" w:rsidP="00CE6FB2">
            <w:pPr>
              <w:jc w:val="center"/>
              <w:rPr>
                <w:rFonts w:ascii="Arial Narrow" w:hAnsi="Arial Narrow"/>
                <w:bCs/>
                <w:i/>
                <w:sz w:val="20"/>
              </w:rPr>
            </w:pPr>
            <w:r>
              <w:rPr>
                <w:rFonts w:ascii="Arial Narrow" w:hAnsi="Arial Narrow"/>
                <w:bCs/>
                <w:i/>
                <w:sz w:val="20"/>
              </w:rPr>
              <w:t>→</w:t>
            </w:r>
          </w:p>
        </w:tc>
        <w:tc>
          <w:tcPr>
            <w:tcW w:w="2005" w:type="dxa"/>
            <w:vAlign w:val="center"/>
          </w:tcPr>
          <w:p w:rsidR="00C53156" w:rsidRPr="00C12CAF" w:rsidRDefault="00C53156" w:rsidP="00CE6FB2">
            <w:pPr>
              <w:jc w:val="center"/>
              <w:rPr>
                <w:rFonts w:ascii="Arial Narrow" w:hAnsi="Arial Narrow"/>
                <w:bCs/>
                <w:i/>
                <w:sz w:val="20"/>
              </w:rPr>
            </w:pPr>
            <w:r>
              <w:rPr>
                <w:rFonts w:ascii="Arial Narrow" w:hAnsi="Arial Narrow"/>
                <w:bCs/>
                <w:i/>
                <w:sz w:val="20"/>
              </w:rPr>
              <w:t>Best supportive care</w:t>
            </w:r>
          </w:p>
        </w:tc>
      </w:tr>
      <w:tr w:rsidR="00C53156" w:rsidRPr="00C12CAF" w:rsidTr="00C53156">
        <w:tc>
          <w:tcPr>
            <w:tcW w:w="1701" w:type="dxa"/>
            <w:tcBorders>
              <w:left w:val="nil"/>
              <w:right w:val="nil"/>
            </w:tcBorders>
            <w:vAlign w:val="center"/>
          </w:tcPr>
          <w:p w:rsidR="00C53156" w:rsidRDefault="00C53156" w:rsidP="00CE6FB2">
            <w:pPr>
              <w:jc w:val="center"/>
              <w:rPr>
                <w:rFonts w:ascii="Arial Narrow" w:hAnsi="Arial Narrow"/>
                <w:bCs/>
                <w:i/>
                <w:sz w:val="20"/>
              </w:rPr>
            </w:pPr>
          </w:p>
        </w:tc>
        <w:tc>
          <w:tcPr>
            <w:tcW w:w="567" w:type="dxa"/>
            <w:tcBorders>
              <w:top w:val="nil"/>
              <w:left w:val="nil"/>
              <w:bottom w:val="nil"/>
              <w:right w:val="nil"/>
            </w:tcBorders>
            <w:vAlign w:val="center"/>
          </w:tcPr>
          <w:p w:rsidR="00C53156" w:rsidRDefault="00C53156" w:rsidP="00CE6FB2">
            <w:pPr>
              <w:jc w:val="center"/>
              <w:rPr>
                <w:rFonts w:ascii="Arial Narrow" w:hAnsi="Arial Narrow"/>
                <w:bCs/>
                <w:i/>
                <w:sz w:val="20"/>
              </w:rPr>
            </w:pPr>
          </w:p>
        </w:tc>
        <w:tc>
          <w:tcPr>
            <w:tcW w:w="1701" w:type="dxa"/>
            <w:tcBorders>
              <w:left w:val="nil"/>
              <w:right w:val="nil"/>
            </w:tcBorders>
            <w:vAlign w:val="center"/>
          </w:tcPr>
          <w:p w:rsidR="00C53156" w:rsidRDefault="00C53156" w:rsidP="00CE6FB2">
            <w:pPr>
              <w:jc w:val="center"/>
              <w:rPr>
                <w:rFonts w:ascii="Arial Narrow" w:hAnsi="Arial Narrow"/>
                <w:bCs/>
                <w:i/>
                <w:sz w:val="20"/>
              </w:rPr>
            </w:pPr>
          </w:p>
        </w:tc>
        <w:tc>
          <w:tcPr>
            <w:tcW w:w="567" w:type="dxa"/>
            <w:tcBorders>
              <w:top w:val="nil"/>
              <w:left w:val="nil"/>
              <w:bottom w:val="nil"/>
              <w:right w:val="nil"/>
            </w:tcBorders>
            <w:vAlign w:val="center"/>
          </w:tcPr>
          <w:p w:rsidR="00C53156" w:rsidRDefault="00C53156" w:rsidP="00CE6FB2">
            <w:pPr>
              <w:jc w:val="center"/>
              <w:rPr>
                <w:rFonts w:ascii="Arial Narrow" w:hAnsi="Arial Narrow"/>
                <w:bCs/>
                <w:i/>
                <w:sz w:val="20"/>
              </w:rPr>
            </w:pPr>
            <w:r>
              <w:rPr>
                <w:rFonts w:ascii="Arial Narrow" w:hAnsi="Arial Narrow"/>
                <w:bCs/>
                <w:i/>
                <w:sz w:val="20"/>
              </w:rPr>
              <w:t>AND</w:t>
            </w:r>
          </w:p>
        </w:tc>
        <w:tc>
          <w:tcPr>
            <w:tcW w:w="1418" w:type="dxa"/>
            <w:tcBorders>
              <w:left w:val="nil"/>
              <w:right w:val="nil"/>
            </w:tcBorders>
            <w:vAlign w:val="center"/>
          </w:tcPr>
          <w:p w:rsidR="00C53156" w:rsidRDefault="00C53156" w:rsidP="00CE6FB2">
            <w:pPr>
              <w:jc w:val="center"/>
              <w:rPr>
                <w:rFonts w:ascii="Arial Narrow" w:hAnsi="Arial Narrow"/>
                <w:bCs/>
                <w:i/>
                <w:sz w:val="20"/>
              </w:rPr>
            </w:pPr>
          </w:p>
        </w:tc>
        <w:tc>
          <w:tcPr>
            <w:tcW w:w="386" w:type="dxa"/>
            <w:tcBorders>
              <w:top w:val="nil"/>
              <w:left w:val="nil"/>
              <w:bottom w:val="nil"/>
              <w:right w:val="nil"/>
            </w:tcBorders>
            <w:vAlign w:val="center"/>
          </w:tcPr>
          <w:p w:rsidR="00C53156" w:rsidRDefault="00C53156" w:rsidP="00CE6FB2">
            <w:pPr>
              <w:jc w:val="center"/>
              <w:rPr>
                <w:rFonts w:ascii="Arial Narrow" w:hAnsi="Arial Narrow"/>
                <w:bCs/>
                <w:i/>
                <w:sz w:val="20"/>
              </w:rPr>
            </w:pPr>
          </w:p>
        </w:tc>
        <w:tc>
          <w:tcPr>
            <w:tcW w:w="2005" w:type="dxa"/>
            <w:tcBorders>
              <w:left w:val="nil"/>
              <w:right w:val="nil"/>
            </w:tcBorders>
            <w:vAlign w:val="center"/>
          </w:tcPr>
          <w:p w:rsidR="00C53156" w:rsidRDefault="00C53156" w:rsidP="00CE6FB2">
            <w:pPr>
              <w:jc w:val="center"/>
              <w:rPr>
                <w:rFonts w:ascii="Arial Narrow" w:hAnsi="Arial Narrow"/>
                <w:bCs/>
                <w:i/>
                <w:sz w:val="20"/>
              </w:rPr>
            </w:pPr>
          </w:p>
        </w:tc>
      </w:tr>
      <w:tr w:rsidR="00C53156" w:rsidRPr="00C12CAF" w:rsidTr="00C53156">
        <w:tc>
          <w:tcPr>
            <w:tcW w:w="1701" w:type="dxa"/>
            <w:vAlign w:val="center"/>
          </w:tcPr>
          <w:p w:rsidR="00C53156" w:rsidRPr="00C12CAF" w:rsidRDefault="00C53156" w:rsidP="00CE6FB2">
            <w:pPr>
              <w:jc w:val="center"/>
              <w:rPr>
                <w:rFonts w:ascii="Arial Narrow" w:hAnsi="Arial Narrow"/>
                <w:b/>
                <w:bCs/>
                <w:i/>
                <w:sz w:val="20"/>
              </w:rPr>
            </w:pPr>
            <w:r w:rsidRPr="00C12CAF">
              <w:rPr>
                <w:rFonts w:ascii="Arial Narrow" w:hAnsi="Arial Narrow"/>
                <w:b/>
                <w:bCs/>
                <w:i/>
                <w:sz w:val="20"/>
              </w:rPr>
              <w:t xml:space="preserve">Adalimumab </w:t>
            </w:r>
          </w:p>
        </w:tc>
        <w:tc>
          <w:tcPr>
            <w:tcW w:w="567" w:type="dxa"/>
            <w:tcBorders>
              <w:top w:val="nil"/>
              <w:bottom w:val="nil"/>
            </w:tcBorders>
            <w:vAlign w:val="center"/>
          </w:tcPr>
          <w:p w:rsidR="00C53156" w:rsidRDefault="00C53156" w:rsidP="00CE6FB2">
            <w:pPr>
              <w:jc w:val="center"/>
              <w:rPr>
                <w:rFonts w:ascii="Arial Narrow" w:hAnsi="Arial Narrow"/>
                <w:bCs/>
                <w:i/>
                <w:sz w:val="20"/>
              </w:rPr>
            </w:pPr>
            <w:r>
              <w:rPr>
                <w:rFonts w:ascii="Arial Narrow" w:hAnsi="Arial Narrow"/>
                <w:bCs/>
                <w:i/>
                <w:sz w:val="20"/>
              </w:rPr>
              <w:t>→</w:t>
            </w:r>
          </w:p>
        </w:tc>
        <w:tc>
          <w:tcPr>
            <w:tcW w:w="1701" w:type="dxa"/>
            <w:vAlign w:val="center"/>
          </w:tcPr>
          <w:p w:rsidR="00C53156" w:rsidRDefault="00C53156" w:rsidP="00CE6FB2">
            <w:pPr>
              <w:jc w:val="center"/>
              <w:rPr>
                <w:rFonts w:ascii="Arial Narrow" w:hAnsi="Arial Narrow"/>
                <w:bCs/>
                <w:i/>
                <w:sz w:val="20"/>
              </w:rPr>
            </w:pPr>
            <w:r>
              <w:rPr>
                <w:rFonts w:ascii="Arial Narrow" w:hAnsi="Arial Narrow"/>
                <w:bCs/>
                <w:i/>
                <w:sz w:val="20"/>
              </w:rPr>
              <w:t>Etanercept</w:t>
            </w:r>
          </w:p>
        </w:tc>
        <w:tc>
          <w:tcPr>
            <w:tcW w:w="567" w:type="dxa"/>
            <w:tcBorders>
              <w:top w:val="nil"/>
              <w:bottom w:val="nil"/>
            </w:tcBorders>
            <w:vAlign w:val="center"/>
          </w:tcPr>
          <w:p w:rsidR="00C53156" w:rsidRDefault="00C53156" w:rsidP="00CE6FB2">
            <w:pPr>
              <w:jc w:val="center"/>
              <w:rPr>
                <w:rFonts w:ascii="Arial Narrow" w:hAnsi="Arial Narrow"/>
                <w:bCs/>
                <w:i/>
                <w:sz w:val="20"/>
              </w:rPr>
            </w:pPr>
            <w:r>
              <w:rPr>
                <w:rFonts w:ascii="Arial Narrow" w:hAnsi="Arial Narrow"/>
                <w:bCs/>
                <w:i/>
                <w:sz w:val="20"/>
              </w:rPr>
              <w:t>→</w:t>
            </w:r>
          </w:p>
        </w:tc>
        <w:tc>
          <w:tcPr>
            <w:tcW w:w="1418" w:type="dxa"/>
            <w:vAlign w:val="center"/>
          </w:tcPr>
          <w:p w:rsidR="00C53156" w:rsidRDefault="00C53156" w:rsidP="00CE6FB2">
            <w:pPr>
              <w:jc w:val="center"/>
              <w:rPr>
                <w:rFonts w:ascii="Arial Narrow" w:hAnsi="Arial Narrow"/>
                <w:bCs/>
                <w:i/>
                <w:sz w:val="20"/>
              </w:rPr>
            </w:pPr>
            <w:r>
              <w:rPr>
                <w:rFonts w:ascii="Arial Narrow" w:hAnsi="Arial Narrow"/>
                <w:bCs/>
                <w:i/>
                <w:sz w:val="20"/>
              </w:rPr>
              <w:t>Golimumab</w:t>
            </w:r>
          </w:p>
        </w:tc>
        <w:tc>
          <w:tcPr>
            <w:tcW w:w="386" w:type="dxa"/>
            <w:tcBorders>
              <w:top w:val="nil"/>
              <w:bottom w:val="nil"/>
            </w:tcBorders>
            <w:vAlign w:val="center"/>
          </w:tcPr>
          <w:p w:rsidR="00C53156" w:rsidRDefault="00C53156" w:rsidP="00CE6FB2">
            <w:pPr>
              <w:jc w:val="center"/>
              <w:rPr>
                <w:rFonts w:ascii="Arial Narrow" w:hAnsi="Arial Narrow"/>
                <w:bCs/>
                <w:i/>
                <w:sz w:val="20"/>
              </w:rPr>
            </w:pPr>
            <w:r>
              <w:rPr>
                <w:rFonts w:ascii="Arial Narrow" w:hAnsi="Arial Narrow"/>
                <w:bCs/>
                <w:i/>
                <w:sz w:val="20"/>
              </w:rPr>
              <w:t>→</w:t>
            </w:r>
          </w:p>
        </w:tc>
        <w:tc>
          <w:tcPr>
            <w:tcW w:w="2005" w:type="dxa"/>
            <w:vAlign w:val="center"/>
          </w:tcPr>
          <w:p w:rsidR="00C53156" w:rsidRDefault="00C53156" w:rsidP="00CE6FB2">
            <w:pPr>
              <w:jc w:val="center"/>
              <w:rPr>
                <w:rFonts w:ascii="Arial Narrow" w:hAnsi="Arial Narrow"/>
                <w:bCs/>
                <w:i/>
                <w:sz w:val="20"/>
              </w:rPr>
            </w:pPr>
            <w:r>
              <w:rPr>
                <w:rFonts w:ascii="Arial Narrow" w:hAnsi="Arial Narrow"/>
                <w:bCs/>
                <w:i/>
                <w:sz w:val="20"/>
              </w:rPr>
              <w:t>Best supportive care</w:t>
            </w:r>
          </w:p>
        </w:tc>
      </w:tr>
    </w:tbl>
    <w:p w:rsidR="00970D39" w:rsidRPr="00970D39" w:rsidRDefault="00970D39" w:rsidP="00970D39">
      <w:pPr>
        <w:widowControl/>
        <w:rPr>
          <w:iCs/>
        </w:rPr>
      </w:pPr>
    </w:p>
    <w:p w:rsidR="00970D39" w:rsidRPr="000B4556" w:rsidRDefault="00970D39" w:rsidP="00796899">
      <w:pPr>
        <w:pStyle w:val="ListParagraph"/>
        <w:widowControl/>
        <w:numPr>
          <w:ilvl w:val="1"/>
          <w:numId w:val="5"/>
        </w:numPr>
        <w:rPr>
          <w:iCs/>
        </w:rPr>
      </w:pPr>
      <w:r w:rsidRPr="000B4556">
        <w:rPr>
          <w:iCs/>
        </w:rPr>
        <w:t xml:space="preserve">The PSCR (p3) acknowledged that a more appropriate model would have been </w:t>
      </w:r>
      <w:proofErr w:type="spellStart"/>
      <w:r w:rsidR="00C81345" w:rsidRPr="000B4556">
        <w:rPr>
          <w:iCs/>
        </w:rPr>
        <w:t>a</w:t>
      </w:r>
      <w:r w:rsidRPr="000B4556">
        <w:rPr>
          <w:iCs/>
        </w:rPr>
        <w:t>premilast</w:t>
      </w:r>
      <w:proofErr w:type="spellEnd"/>
      <w:r w:rsidR="00C81345" w:rsidRPr="000B4556">
        <w:rPr>
          <w:iCs/>
        </w:rPr>
        <w:t xml:space="preserve"> &gt; a</w:t>
      </w:r>
      <w:r w:rsidRPr="000B4556">
        <w:rPr>
          <w:iCs/>
        </w:rPr>
        <w:t>dalimumab</w:t>
      </w:r>
      <w:r w:rsidR="00C81345" w:rsidRPr="000B4556">
        <w:rPr>
          <w:iCs/>
        </w:rPr>
        <w:t xml:space="preserve"> &gt;</w:t>
      </w:r>
      <w:r w:rsidRPr="000B4556">
        <w:rPr>
          <w:iCs/>
        </w:rPr>
        <w:t xml:space="preserve"> </w:t>
      </w:r>
      <w:r w:rsidR="00C81345" w:rsidRPr="000B4556">
        <w:rPr>
          <w:iCs/>
        </w:rPr>
        <w:t>e</w:t>
      </w:r>
      <w:r w:rsidRPr="000B4556">
        <w:rPr>
          <w:iCs/>
        </w:rPr>
        <w:t>tanercept</w:t>
      </w:r>
      <w:r w:rsidR="00C81345" w:rsidRPr="000B4556">
        <w:rPr>
          <w:iCs/>
        </w:rPr>
        <w:t xml:space="preserve"> &gt; best supportive care</w:t>
      </w:r>
      <w:r w:rsidRPr="000B4556">
        <w:rPr>
          <w:iCs/>
        </w:rPr>
        <w:t>, and</w:t>
      </w:r>
      <w:r w:rsidR="003647F3" w:rsidRPr="000B4556">
        <w:rPr>
          <w:iCs/>
        </w:rPr>
        <w:t xml:space="preserve"> this</w:t>
      </w:r>
      <w:r w:rsidRPr="000B4556">
        <w:rPr>
          <w:iCs/>
        </w:rPr>
        <w:t xml:space="preserve"> </w:t>
      </w:r>
      <w:r w:rsidR="00500989">
        <w:rPr>
          <w:iCs/>
        </w:rPr>
        <w:t>w</w:t>
      </w:r>
      <w:r w:rsidRPr="000B4556">
        <w:rPr>
          <w:iCs/>
        </w:rPr>
        <w:t>as incorporated i</w:t>
      </w:r>
      <w:r w:rsidR="001E271F">
        <w:rPr>
          <w:iCs/>
        </w:rPr>
        <w:t xml:space="preserve">nto </w:t>
      </w:r>
      <w:r w:rsidR="00500989">
        <w:rPr>
          <w:iCs/>
        </w:rPr>
        <w:t>a</w:t>
      </w:r>
      <w:r w:rsidR="001E271F">
        <w:rPr>
          <w:iCs/>
        </w:rPr>
        <w:t xml:space="preserve"> revised economic model.</w:t>
      </w:r>
    </w:p>
    <w:p w:rsidR="00970D39" w:rsidRPr="001E271F" w:rsidRDefault="00970D39" w:rsidP="00970D39">
      <w:pPr>
        <w:widowControl/>
        <w:rPr>
          <w:iCs/>
        </w:rPr>
      </w:pPr>
    </w:p>
    <w:p w:rsidR="00C53156" w:rsidRPr="002E4CD2" w:rsidRDefault="00C53156" w:rsidP="00796899">
      <w:pPr>
        <w:pStyle w:val="ListParagraph"/>
        <w:widowControl/>
        <w:numPr>
          <w:ilvl w:val="1"/>
          <w:numId w:val="5"/>
        </w:numPr>
        <w:rPr>
          <w:iCs/>
        </w:rPr>
      </w:pPr>
      <w:r w:rsidRPr="00CC4A6E">
        <w:t>Although the resubmission identifie</w:t>
      </w:r>
      <w:r w:rsidR="001A39C3" w:rsidRPr="00CC4A6E">
        <w:t>d</w:t>
      </w:r>
      <w:r w:rsidRPr="00CC4A6E">
        <w:t xml:space="preserve"> an “eligible </w:t>
      </w:r>
      <w:r w:rsidRPr="00796899">
        <w:t>but unwilling” population in Section A</w:t>
      </w:r>
      <w:r w:rsidR="00796899" w:rsidRPr="00796899">
        <w:t xml:space="preserve"> of the resubmission</w:t>
      </w:r>
      <w:r w:rsidR="00500989">
        <w:t>,</w:t>
      </w:r>
      <w:r w:rsidRPr="00796899">
        <w:t xml:space="preserve"> and account</w:t>
      </w:r>
      <w:r w:rsidR="001A39C3" w:rsidRPr="00796899">
        <w:t>ed</w:t>
      </w:r>
      <w:r w:rsidRPr="00796899">
        <w:t xml:space="preserve"> for the potential use of </w:t>
      </w:r>
      <w:proofErr w:type="spellStart"/>
      <w:r w:rsidRPr="00796899">
        <w:t>apremilast</w:t>
      </w:r>
      <w:proofErr w:type="spellEnd"/>
      <w:r w:rsidRPr="00796899">
        <w:t xml:space="preserve"> in this population in its financial estimates in Section E</w:t>
      </w:r>
      <w:r w:rsidR="00796899" w:rsidRPr="00796899">
        <w:t xml:space="preserve"> of the resubmission</w:t>
      </w:r>
      <w:r w:rsidRPr="00796899">
        <w:t xml:space="preserve"> (assuming they are currently untreated), the modelled economic</w:t>
      </w:r>
      <w:r w:rsidRPr="00CC4A6E">
        <w:t xml:space="preserve"> evaluation d</w:t>
      </w:r>
      <w:r w:rsidR="001A39C3" w:rsidRPr="00CC4A6E">
        <w:t>id</w:t>
      </w:r>
      <w:r w:rsidRPr="00CC4A6E">
        <w:t xml:space="preserve"> not inform the cost-effectiveness of </w:t>
      </w:r>
      <w:proofErr w:type="spellStart"/>
      <w:r w:rsidRPr="00CC4A6E">
        <w:t>apremilast</w:t>
      </w:r>
      <w:proofErr w:type="spellEnd"/>
      <w:r w:rsidRPr="00CC4A6E">
        <w:t xml:space="preserve"> in this group who are unable or unlikely to be treated with bDMARDs.</w:t>
      </w:r>
      <w:r w:rsidR="00590C35">
        <w:t xml:space="preserve"> </w:t>
      </w:r>
      <w:r w:rsidR="00FA1EC7" w:rsidRPr="00FA1EC7">
        <w:rPr>
          <w:iCs/>
        </w:rPr>
        <w:t>The PSCR (pp.</w:t>
      </w:r>
      <w:r w:rsidR="00500989">
        <w:rPr>
          <w:iCs/>
        </w:rPr>
        <w:t xml:space="preserve"> 2-3) suggested</w:t>
      </w:r>
      <w:r w:rsidR="00FA1EC7" w:rsidRPr="00FA1EC7">
        <w:rPr>
          <w:iCs/>
        </w:rPr>
        <w:t xml:space="preserve"> </w:t>
      </w:r>
      <w:r w:rsidR="00FA1EC7" w:rsidRPr="00FA1EC7">
        <w:t xml:space="preserve">a considerable majority of prospective </w:t>
      </w:r>
      <w:proofErr w:type="spellStart"/>
      <w:r w:rsidR="00FA1EC7" w:rsidRPr="00FA1EC7">
        <w:t>apremilast</w:t>
      </w:r>
      <w:proofErr w:type="spellEnd"/>
      <w:r w:rsidR="00FA1EC7" w:rsidRPr="00FA1EC7">
        <w:t xml:space="preserve"> patients would otherwise receive a bDMARD</w:t>
      </w:r>
      <w:r w:rsidR="00FA1EC7" w:rsidRPr="00FA1EC7">
        <w:rPr>
          <w:iCs/>
        </w:rPr>
        <w:t xml:space="preserve"> and moreover, for those prospective patients who are truly “eligible but unwilling” a bDMARD would represent </w:t>
      </w:r>
      <w:r w:rsidR="00FA1EC7" w:rsidRPr="00FA1EC7">
        <w:rPr>
          <w:iCs/>
        </w:rPr>
        <w:lastRenderedPageBreak/>
        <w:t xml:space="preserve">a clinically optimal and acceptably cost effective therapy; albeit one which is bypassed for various individual and patient-specific reasons. </w:t>
      </w:r>
      <w:r w:rsidR="00590C35" w:rsidRPr="002E4CD2">
        <w:t>The ESC considered th</w:t>
      </w:r>
      <w:r w:rsidR="007C5125" w:rsidRPr="002E4CD2">
        <w:t xml:space="preserve">at a model that does not inform the cost effectiveness of those patients unable or unwilling to be treated with </w:t>
      </w:r>
      <w:r w:rsidR="00231A75" w:rsidRPr="002E4CD2">
        <w:t>bDMARDs</w:t>
      </w:r>
      <w:r w:rsidR="00590C35" w:rsidRPr="002E4CD2">
        <w:t xml:space="preserve"> </w:t>
      </w:r>
      <w:r w:rsidR="00500989">
        <w:t>wa</w:t>
      </w:r>
      <w:r w:rsidR="007C5125" w:rsidRPr="002E4CD2">
        <w:t xml:space="preserve">s </w:t>
      </w:r>
      <w:r w:rsidR="00590C35" w:rsidRPr="002E4CD2">
        <w:t xml:space="preserve">problematic as the economic evaluation presented </w:t>
      </w:r>
      <w:r w:rsidR="00500989">
        <w:t>wa</w:t>
      </w:r>
      <w:r w:rsidR="00590C35" w:rsidRPr="002E4CD2">
        <w:t xml:space="preserve">s only for a subset of patients, and therefore considered that this may not be </w:t>
      </w:r>
      <w:r w:rsidR="00500989">
        <w:t>sufficient for decision making.</w:t>
      </w:r>
    </w:p>
    <w:p w:rsidR="00C53156" w:rsidRPr="00C53156" w:rsidRDefault="00C53156" w:rsidP="00C53156"/>
    <w:p w:rsidR="00953A57" w:rsidRPr="00E97A0D" w:rsidRDefault="00030BF1" w:rsidP="00030BF1">
      <w:pPr>
        <w:pStyle w:val="ListParagraph"/>
        <w:widowControl/>
        <w:numPr>
          <w:ilvl w:val="1"/>
          <w:numId w:val="5"/>
        </w:numPr>
        <w:rPr>
          <w:iCs/>
        </w:rPr>
      </w:pPr>
      <w:r>
        <w:rPr>
          <w:iCs/>
        </w:rPr>
        <w:t>The resubmission compared</w:t>
      </w:r>
      <w:r w:rsidR="00602F39">
        <w:rPr>
          <w:iCs/>
        </w:rPr>
        <w:t xml:space="preserve"> the costs and consequences of </w:t>
      </w:r>
      <w:proofErr w:type="spellStart"/>
      <w:r w:rsidR="00602F39">
        <w:rPr>
          <w:iCs/>
        </w:rPr>
        <w:t>apremilast</w:t>
      </w:r>
      <w:proofErr w:type="spellEnd"/>
      <w:r w:rsidR="00602F39">
        <w:rPr>
          <w:iCs/>
        </w:rPr>
        <w:t xml:space="preserve"> to </w:t>
      </w:r>
      <w:r w:rsidR="00602F39" w:rsidRPr="00030BF1">
        <w:t>adalimumab</w:t>
      </w:r>
      <w:r w:rsidR="00602F39">
        <w:rPr>
          <w:iCs/>
        </w:rPr>
        <w:t xml:space="preserve"> in patients who have undergone and failed therapy with methotrexate and </w:t>
      </w:r>
      <w:proofErr w:type="spellStart"/>
      <w:r w:rsidR="00602F39">
        <w:rPr>
          <w:iCs/>
        </w:rPr>
        <w:t>leflunomide</w:t>
      </w:r>
      <w:proofErr w:type="spellEnd"/>
      <w:r w:rsidR="00602F39">
        <w:rPr>
          <w:iCs/>
        </w:rPr>
        <w:t xml:space="preserve"> or sulfasalazine.</w:t>
      </w:r>
    </w:p>
    <w:p w:rsidR="00782997" w:rsidRDefault="00782997" w:rsidP="0000004D">
      <w:pPr>
        <w:widowControl/>
        <w:spacing w:line="480" w:lineRule="auto"/>
        <w:rPr>
          <w:szCs w:val="22"/>
        </w:rPr>
      </w:pPr>
    </w:p>
    <w:p w:rsidR="00D06FD4" w:rsidRDefault="00D06FD4" w:rsidP="002C1A10">
      <w:pPr>
        <w:widowControl/>
        <w:ind w:firstLine="720"/>
        <w:jc w:val="left"/>
        <w:rPr>
          <w:rStyle w:val="CommentReference"/>
        </w:rPr>
      </w:pPr>
      <w:r w:rsidRPr="00A56B6A">
        <w:rPr>
          <w:rStyle w:val="CommentReference"/>
        </w:rPr>
        <w:t xml:space="preserve">Table </w:t>
      </w:r>
      <w:r w:rsidR="00796899">
        <w:rPr>
          <w:rStyle w:val="CommentReference"/>
        </w:rPr>
        <w:t>6</w:t>
      </w:r>
      <w:r w:rsidRPr="00A56B6A">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Economic model structure and rationale"/>
      </w:tblPr>
      <w:tblGrid>
        <w:gridCol w:w="2552"/>
        <w:gridCol w:w="5793"/>
      </w:tblGrid>
      <w:tr w:rsidR="00D06FD4" w:rsidRPr="00E2771E" w:rsidTr="00D06FD4">
        <w:trPr>
          <w:tblHeader/>
        </w:trPr>
        <w:tc>
          <w:tcPr>
            <w:tcW w:w="1529" w:type="pct"/>
            <w:shd w:val="clear" w:color="auto" w:fill="auto"/>
            <w:vAlign w:val="center"/>
          </w:tcPr>
          <w:p w:rsidR="00D06FD4" w:rsidRPr="00E2771E" w:rsidRDefault="00D06FD4" w:rsidP="00D06FD4">
            <w:pPr>
              <w:jc w:val="left"/>
              <w:rPr>
                <w:rFonts w:ascii="Arial Narrow" w:hAnsi="Arial Narrow"/>
                <w:b/>
                <w:sz w:val="20"/>
              </w:rPr>
            </w:pPr>
            <w:r w:rsidRPr="00E2771E">
              <w:rPr>
                <w:rFonts w:ascii="Arial Narrow" w:hAnsi="Arial Narrow"/>
                <w:b/>
                <w:sz w:val="20"/>
              </w:rPr>
              <w:t>Component</w:t>
            </w:r>
          </w:p>
        </w:tc>
        <w:tc>
          <w:tcPr>
            <w:tcW w:w="3471" w:type="pct"/>
            <w:shd w:val="clear" w:color="auto" w:fill="auto"/>
            <w:vAlign w:val="center"/>
          </w:tcPr>
          <w:p w:rsidR="00D06FD4" w:rsidRPr="00E2771E" w:rsidRDefault="00D06FD4" w:rsidP="00D06FD4">
            <w:pPr>
              <w:jc w:val="center"/>
              <w:rPr>
                <w:rFonts w:ascii="Arial Narrow" w:hAnsi="Arial Narrow"/>
                <w:b/>
                <w:sz w:val="20"/>
              </w:rPr>
            </w:pPr>
            <w:r w:rsidRPr="00E2771E">
              <w:rPr>
                <w:rFonts w:ascii="Arial Narrow" w:hAnsi="Arial Narrow"/>
                <w:b/>
                <w:sz w:val="20"/>
              </w:rPr>
              <w:t>Summary</w:t>
            </w:r>
          </w:p>
        </w:tc>
      </w:tr>
      <w:tr w:rsidR="00E56690" w:rsidRPr="00E2771E" w:rsidTr="00853100">
        <w:tc>
          <w:tcPr>
            <w:tcW w:w="1529" w:type="pct"/>
            <w:shd w:val="clear" w:color="auto" w:fill="auto"/>
            <w:vAlign w:val="center"/>
          </w:tcPr>
          <w:p w:rsidR="00E56690" w:rsidRPr="00E2771E" w:rsidRDefault="00E56690" w:rsidP="00D06FD4">
            <w:pPr>
              <w:jc w:val="left"/>
              <w:rPr>
                <w:rFonts w:ascii="Arial Narrow" w:hAnsi="Arial Narrow"/>
                <w:sz w:val="20"/>
              </w:rPr>
            </w:pPr>
            <w:r w:rsidRPr="00E2771E">
              <w:rPr>
                <w:rFonts w:ascii="Arial Narrow" w:hAnsi="Arial Narrow"/>
                <w:sz w:val="20"/>
              </w:rPr>
              <w:t>Time horizon</w:t>
            </w:r>
          </w:p>
        </w:tc>
        <w:tc>
          <w:tcPr>
            <w:tcW w:w="3471" w:type="pct"/>
            <w:shd w:val="clear" w:color="auto" w:fill="auto"/>
          </w:tcPr>
          <w:p w:rsidR="00E56690" w:rsidRPr="00E2771E" w:rsidRDefault="00E56690" w:rsidP="00D06FD4">
            <w:pPr>
              <w:jc w:val="left"/>
              <w:rPr>
                <w:rFonts w:ascii="Arial Narrow" w:hAnsi="Arial Narrow"/>
                <w:sz w:val="20"/>
              </w:rPr>
            </w:pPr>
            <w:r w:rsidRPr="005E48EB">
              <w:rPr>
                <w:rFonts w:ascii="Arial Narrow" w:hAnsi="Arial Narrow"/>
                <w:sz w:val="20"/>
              </w:rPr>
              <w:t>5 years in the model ba</w:t>
            </w:r>
            <w:r>
              <w:rPr>
                <w:rFonts w:ascii="Arial Narrow" w:hAnsi="Arial Narrow"/>
                <w:sz w:val="20"/>
              </w:rPr>
              <w:t>se case versus 24</w:t>
            </w:r>
            <w:r w:rsidRPr="005E48EB">
              <w:rPr>
                <w:rFonts w:ascii="Arial Narrow" w:hAnsi="Arial Narrow"/>
                <w:sz w:val="20"/>
              </w:rPr>
              <w:t xml:space="preserve"> weeks in trial</w:t>
            </w:r>
          </w:p>
        </w:tc>
      </w:tr>
      <w:tr w:rsidR="00E56690" w:rsidRPr="00E2771E" w:rsidTr="00853100">
        <w:tc>
          <w:tcPr>
            <w:tcW w:w="1529" w:type="pct"/>
            <w:shd w:val="clear" w:color="auto" w:fill="auto"/>
            <w:vAlign w:val="center"/>
          </w:tcPr>
          <w:p w:rsidR="00E56690" w:rsidRPr="00E2771E" w:rsidRDefault="00E56690" w:rsidP="00D06FD4">
            <w:pPr>
              <w:jc w:val="left"/>
              <w:rPr>
                <w:rFonts w:ascii="Arial Narrow" w:hAnsi="Arial Narrow"/>
                <w:sz w:val="20"/>
              </w:rPr>
            </w:pPr>
            <w:r w:rsidRPr="00E2771E">
              <w:rPr>
                <w:rFonts w:ascii="Arial Narrow" w:hAnsi="Arial Narrow"/>
                <w:sz w:val="20"/>
              </w:rPr>
              <w:t>Outcomes</w:t>
            </w:r>
          </w:p>
        </w:tc>
        <w:tc>
          <w:tcPr>
            <w:tcW w:w="3471" w:type="pct"/>
            <w:shd w:val="clear" w:color="auto" w:fill="auto"/>
          </w:tcPr>
          <w:p w:rsidR="00E56690" w:rsidRPr="00E2771E" w:rsidRDefault="00E56690" w:rsidP="00D06FD4">
            <w:pPr>
              <w:jc w:val="left"/>
              <w:rPr>
                <w:rFonts w:ascii="Arial Narrow" w:hAnsi="Arial Narrow"/>
                <w:sz w:val="20"/>
              </w:rPr>
            </w:pPr>
            <w:r>
              <w:rPr>
                <w:rFonts w:ascii="Arial Narrow" w:hAnsi="Arial Narrow"/>
                <w:sz w:val="20"/>
              </w:rPr>
              <w:t>QALYs</w:t>
            </w:r>
          </w:p>
        </w:tc>
      </w:tr>
      <w:tr w:rsidR="00E56690" w:rsidRPr="00E2771E" w:rsidTr="00853100">
        <w:tc>
          <w:tcPr>
            <w:tcW w:w="1529" w:type="pct"/>
            <w:shd w:val="clear" w:color="auto" w:fill="auto"/>
            <w:vAlign w:val="center"/>
          </w:tcPr>
          <w:p w:rsidR="00E56690" w:rsidRPr="00E2771E" w:rsidRDefault="00E56690" w:rsidP="00D06FD4">
            <w:pPr>
              <w:jc w:val="left"/>
              <w:rPr>
                <w:rFonts w:ascii="Arial Narrow" w:hAnsi="Arial Narrow"/>
                <w:sz w:val="20"/>
              </w:rPr>
            </w:pPr>
            <w:r w:rsidRPr="00E2771E">
              <w:rPr>
                <w:rFonts w:ascii="Arial Narrow" w:hAnsi="Arial Narrow"/>
                <w:sz w:val="20"/>
              </w:rPr>
              <w:t>Methods used to generate results</w:t>
            </w:r>
          </w:p>
        </w:tc>
        <w:tc>
          <w:tcPr>
            <w:tcW w:w="3471" w:type="pct"/>
            <w:shd w:val="clear" w:color="auto" w:fill="auto"/>
          </w:tcPr>
          <w:p w:rsidR="00E56690" w:rsidRPr="00E2771E" w:rsidRDefault="00E56690" w:rsidP="00D06FD4">
            <w:pPr>
              <w:jc w:val="left"/>
              <w:rPr>
                <w:rFonts w:ascii="Arial Narrow" w:hAnsi="Arial Narrow"/>
                <w:sz w:val="20"/>
              </w:rPr>
            </w:pPr>
            <w:r w:rsidRPr="00D36490">
              <w:rPr>
                <w:rFonts w:ascii="Arial Narrow" w:hAnsi="Arial Narrow"/>
                <w:sz w:val="20"/>
              </w:rPr>
              <w:t>cohort expected value analysis</w:t>
            </w:r>
          </w:p>
        </w:tc>
      </w:tr>
      <w:tr w:rsidR="00E56690" w:rsidRPr="00E2771E" w:rsidTr="00853100">
        <w:tc>
          <w:tcPr>
            <w:tcW w:w="1529" w:type="pct"/>
            <w:shd w:val="clear" w:color="auto" w:fill="auto"/>
            <w:vAlign w:val="center"/>
          </w:tcPr>
          <w:p w:rsidR="00E56690" w:rsidRPr="00E2771E" w:rsidRDefault="00E56690" w:rsidP="00D06FD4">
            <w:pPr>
              <w:jc w:val="left"/>
              <w:rPr>
                <w:rFonts w:ascii="Arial Narrow" w:hAnsi="Arial Narrow"/>
                <w:sz w:val="20"/>
              </w:rPr>
            </w:pPr>
            <w:r w:rsidRPr="00E2771E">
              <w:rPr>
                <w:rFonts w:ascii="Arial Narrow" w:hAnsi="Arial Narrow"/>
                <w:sz w:val="20"/>
              </w:rPr>
              <w:t>Health states</w:t>
            </w:r>
          </w:p>
        </w:tc>
        <w:tc>
          <w:tcPr>
            <w:tcW w:w="3471" w:type="pct"/>
            <w:shd w:val="clear" w:color="auto" w:fill="auto"/>
          </w:tcPr>
          <w:p w:rsidR="00E56690" w:rsidRPr="00E2771E" w:rsidRDefault="00E56690" w:rsidP="00D06FD4">
            <w:pPr>
              <w:jc w:val="left"/>
              <w:rPr>
                <w:rFonts w:ascii="Arial Narrow" w:hAnsi="Arial Narrow"/>
                <w:sz w:val="20"/>
              </w:rPr>
            </w:pPr>
            <w:r>
              <w:rPr>
                <w:rFonts w:ascii="Arial Narrow" w:hAnsi="Arial Narrow"/>
                <w:sz w:val="20"/>
              </w:rPr>
              <w:t>First-line treatment, Second-line treatment, Third-line treatment, Best Supportive Care, Dead</w:t>
            </w:r>
          </w:p>
        </w:tc>
      </w:tr>
      <w:tr w:rsidR="00E56690" w:rsidRPr="00E2771E" w:rsidTr="00853100">
        <w:tc>
          <w:tcPr>
            <w:tcW w:w="1529" w:type="pct"/>
            <w:shd w:val="clear" w:color="auto" w:fill="auto"/>
            <w:vAlign w:val="center"/>
          </w:tcPr>
          <w:p w:rsidR="00E56690" w:rsidRPr="00E2771E" w:rsidRDefault="00E56690" w:rsidP="00D06FD4">
            <w:pPr>
              <w:jc w:val="left"/>
              <w:rPr>
                <w:rFonts w:ascii="Arial Narrow" w:hAnsi="Arial Narrow"/>
                <w:sz w:val="20"/>
              </w:rPr>
            </w:pPr>
            <w:r w:rsidRPr="00E2771E">
              <w:rPr>
                <w:rFonts w:ascii="Arial Narrow" w:hAnsi="Arial Narrow"/>
                <w:sz w:val="20"/>
              </w:rPr>
              <w:t>Cycle length</w:t>
            </w:r>
          </w:p>
        </w:tc>
        <w:tc>
          <w:tcPr>
            <w:tcW w:w="3471" w:type="pct"/>
            <w:shd w:val="clear" w:color="auto" w:fill="auto"/>
          </w:tcPr>
          <w:p w:rsidR="00E56690" w:rsidRPr="00E2771E" w:rsidRDefault="002B536D" w:rsidP="00D06FD4">
            <w:pPr>
              <w:jc w:val="left"/>
              <w:rPr>
                <w:rFonts w:ascii="Arial Narrow" w:hAnsi="Arial Narrow"/>
                <w:sz w:val="20"/>
              </w:rPr>
            </w:pPr>
            <w:r>
              <w:rPr>
                <w:rFonts w:ascii="Arial Narrow" w:hAnsi="Arial Narrow"/>
                <w:sz w:val="20"/>
              </w:rPr>
              <w:t>28 days (</w:t>
            </w:r>
            <w:r w:rsidR="00E56690">
              <w:rPr>
                <w:rFonts w:ascii="Arial Narrow" w:hAnsi="Arial Narrow"/>
                <w:sz w:val="20"/>
              </w:rPr>
              <w:t>4 weeks)</w:t>
            </w:r>
          </w:p>
        </w:tc>
      </w:tr>
      <w:tr w:rsidR="00E56690" w:rsidRPr="00E2771E" w:rsidTr="00853100">
        <w:tc>
          <w:tcPr>
            <w:tcW w:w="1529" w:type="pct"/>
            <w:shd w:val="clear" w:color="auto" w:fill="auto"/>
            <w:vAlign w:val="center"/>
          </w:tcPr>
          <w:p w:rsidR="00E56690" w:rsidRPr="00E2771E" w:rsidRDefault="00E56690" w:rsidP="00D06FD4">
            <w:pPr>
              <w:jc w:val="left"/>
              <w:rPr>
                <w:rFonts w:ascii="Arial Narrow" w:hAnsi="Arial Narrow"/>
                <w:sz w:val="20"/>
              </w:rPr>
            </w:pPr>
            <w:r w:rsidRPr="00E2771E">
              <w:rPr>
                <w:rFonts w:ascii="Arial Narrow" w:hAnsi="Arial Narrow"/>
                <w:sz w:val="20"/>
              </w:rPr>
              <w:t>Transition probabilities</w:t>
            </w:r>
          </w:p>
        </w:tc>
        <w:tc>
          <w:tcPr>
            <w:tcW w:w="3471" w:type="pct"/>
            <w:shd w:val="clear" w:color="auto" w:fill="auto"/>
          </w:tcPr>
          <w:p w:rsidR="00E56690" w:rsidRPr="00E2771E" w:rsidRDefault="00E56690" w:rsidP="00D06FD4">
            <w:pPr>
              <w:jc w:val="left"/>
              <w:rPr>
                <w:rFonts w:ascii="Arial Narrow" w:hAnsi="Arial Narrow"/>
                <w:sz w:val="20"/>
              </w:rPr>
            </w:pPr>
            <w:r>
              <w:rPr>
                <w:rFonts w:ascii="Arial Narrow" w:hAnsi="Arial Narrow"/>
                <w:sz w:val="20"/>
              </w:rPr>
              <w:t xml:space="preserve">See </w:t>
            </w:r>
            <w:r w:rsidRPr="00FA552D">
              <w:rPr>
                <w:rFonts w:ascii="Arial Narrow" w:hAnsi="Arial Narrow"/>
                <w:sz w:val="20"/>
              </w:rPr>
              <w:t>Section D.4</w:t>
            </w:r>
          </w:p>
        </w:tc>
      </w:tr>
    </w:tbl>
    <w:p w:rsidR="00D06FD4" w:rsidRPr="00275C5A" w:rsidRDefault="00D06FD4" w:rsidP="00D06FD4">
      <w:pPr>
        <w:pStyle w:val="TableFooter"/>
        <w:ind w:firstLine="720"/>
      </w:pPr>
      <w:r w:rsidRPr="00275C5A">
        <w:t>Source: compiled during the evaluation</w:t>
      </w:r>
    </w:p>
    <w:p w:rsidR="00275C5A" w:rsidRPr="00275C5A" w:rsidRDefault="00275C5A" w:rsidP="00275C5A">
      <w:pPr>
        <w:widowControl/>
        <w:rPr>
          <w:szCs w:val="22"/>
        </w:rPr>
      </w:pPr>
    </w:p>
    <w:p w:rsidR="004B6079" w:rsidRPr="00CC4A6E" w:rsidRDefault="00E97A0D" w:rsidP="001A39C3">
      <w:pPr>
        <w:pStyle w:val="ListParagraph"/>
        <w:widowControl/>
        <w:numPr>
          <w:ilvl w:val="1"/>
          <w:numId w:val="5"/>
        </w:numPr>
        <w:rPr>
          <w:szCs w:val="22"/>
        </w:rPr>
      </w:pPr>
      <w:r w:rsidRPr="00CC4A6E">
        <w:rPr>
          <w:iCs/>
        </w:rPr>
        <w:t xml:space="preserve">The </w:t>
      </w:r>
      <w:r w:rsidR="00CF51D5" w:rsidRPr="00CC4A6E">
        <w:rPr>
          <w:iCs/>
        </w:rPr>
        <w:t xml:space="preserve">difference in short-term relapse between adalimumab and </w:t>
      </w:r>
      <w:proofErr w:type="spellStart"/>
      <w:r w:rsidR="00CF51D5" w:rsidRPr="00CC4A6E">
        <w:rPr>
          <w:iCs/>
        </w:rPr>
        <w:t>apremilast</w:t>
      </w:r>
      <w:proofErr w:type="spellEnd"/>
      <w:r w:rsidR="00CF51D5" w:rsidRPr="00CC4A6E">
        <w:rPr>
          <w:iCs/>
        </w:rPr>
        <w:t xml:space="preserve">, </w:t>
      </w:r>
      <w:r w:rsidRPr="00CC4A6E">
        <w:rPr>
          <w:iCs/>
        </w:rPr>
        <w:t>difference in utilit</w:t>
      </w:r>
      <w:r w:rsidR="00DD0BCC" w:rsidRPr="00CC4A6E">
        <w:rPr>
          <w:iCs/>
        </w:rPr>
        <w:t>y between baseline</w:t>
      </w:r>
      <w:r w:rsidR="009E3C94" w:rsidRPr="00CC4A6E">
        <w:rPr>
          <w:iCs/>
        </w:rPr>
        <w:t xml:space="preserve"> and responder, </w:t>
      </w:r>
      <w:r w:rsidRPr="00CC4A6E">
        <w:rPr>
          <w:iCs/>
        </w:rPr>
        <w:t xml:space="preserve">difference in initial response rates (ACR50) between </w:t>
      </w:r>
      <w:proofErr w:type="spellStart"/>
      <w:r w:rsidRPr="00CC4A6E">
        <w:rPr>
          <w:iCs/>
        </w:rPr>
        <w:t>apremilast</w:t>
      </w:r>
      <w:proofErr w:type="spellEnd"/>
      <w:r w:rsidRPr="00CC4A6E">
        <w:rPr>
          <w:iCs/>
        </w:rPr>
        <w:t xml:space="preserve"> and adalimumab</w:t>
      </w:r>
      <w:r w:rsidR="009E3C94" w:rsidRPr="00CC4A6E">
        <w:rPr>
          <w:iCs/>
        </w:rPr>
        <w:t>, and assumed treatment sequence</w:t>
      </w:r>
      <w:r w:rsidRPr="00CC4A6E">
        <w:rPr>
          <w:iCs/>
        </w:rPr>
        <w:t xml:space="preserve"> </w:t>
      </w:r>
      <w:r w:rsidR="001A39C3" w:rsidRPr="00CC4A6E">
        <w:rPr>
          <w:iCs/>
        </w:rPr>
        <w:t>we</w:t>
      </w:r>
      <w:r w:rsidRPr="00CC4A6E">
        <w:rPr>
          <w:iCs/>
        </w:rPr>
        <w:t>re found to be driving the model</w:t>
      </w:r>
      <w:r w:rsidR="004B6079" w:rsidRPr="00CC4A6E">
        <w:rPr>
          <w:iCs/>
        </w:rPr>
        <w:t>.</w:t>
      </w:r>
    </w:p>
    <w:p w:rsidR="004B6079" w:rsidRPr="009E3C94" w:rsidRDefault="004B6079" w:rsidP="009E3C94">
      <w:pPr>
        <w:widowControl/>
        <w:rPr>
          <w:szCs w:val="22"/>
        </w:rPr>
      </w:pPr>
    </w:p>
    <w:p w:rsidR="00D06FD4" w:rsidRDefault="00D06FD4" w:rsidP="00796899">
      <w:pPr>
        <w:widowControl/>
        <w:ind w:firstLine="720"/>
        <w:jc w:val="left"/>
        <w:rPr>
          <w:rStyle w:val="CommentReference"/>
        </w:rPr>
      </w:pPr>
      <w:r w:rsidRPr="00A56B6A">
        <w:rPr>
          <w:rStyle w:val="CommentReference"/>
        </w:rPr>
        <w:t xml:space="preserve">Table </w:t>
      </w:r>
      <w:r w:rsidR="00796899">
        <w:rPr>
          <w:rStyle w:val="CommentReference"/>
        </w:rPr>
        <w:t>7</w:t>
      </w:r>
      <w:r w:rsidRPr="00A56B6A">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2552"/>
        <w:gridCol w:w="3543"/>
        <w:gridCol w:w="2250"/>
      </w:tblGrid>
      <w:tr w:rsidR="00D06FD4" w:rsidRPr="00E2771E" w:rsidTr="00D06FD4">
        <w:trPr>
          <w:tblHeader/>
        </w:trPr>
        <w:tc>
          <w:tcPr>
            <w:tcW w:w="1529" w:type="pct"/>
            <w:shd w:val="clear" w:color="auto" w:fill="auto"/>
            <w:vAlign w:val="center"/>
          </w:tcPr>
          <w:p w:rsidR="00D06FD4" w:rsidRPr="00E2771E" w:rsidRDefault="00D06FD4" w:rsidP="00D06FD4">
            <w:pPr>
              <w:jc w:val="left"/>
              <w:rPr>
                <w:rFonts w:ascii="Arial Narrow" w:hAnsi="Arial Narrow"/>
                <w:b/>
                <w:sz w:val="20"/>
                <w:lang w:val="en-US"/>
              </w:rPr>
            </w:pPr>
            <w:r w:rsidRPr="00E2771E">
              <w:rPr>
                <w:rFonts w:ascii="Arial Narrow" w:hAnsi="Arial Narrow"/>
                <w:b/>
                <w:sz w:val="20"/>
                <w:lang w:val="en-US"/>
              </w:rPr>
              <w:t>Description</w:t>
            </w:r>
          </w:p>
        </w:tc>
        <w:tc>
          <w:tcPr>
            <w:tcW w:w="2123" w:type="pct"/>
            <w:shd w:val="clear" w:color="auto" w:fill="auto"/>
            <w:vAlign w:val="center"/>
          </w:tcPr>
          <w:p w:rsidR="00D06FD4" w:rsidRPr="00E2771E" w:rsidRDefault="00D06FD4" w:rsidP="00D06FD4">
            <w:pPr>
              <w:jc w:val="center"/>
              <w:rPr>
                <w:rFonts w:ascii="Arial Narrow" w:hAnsi="Arial Narrow"/>
                <w:b/>
                <w:sz w:val="20"/>
                <w:lang w:val="en-US"/>
              </w:rPr>
            </w:pPr>
            <w:r w:rsidRPr="00E2771E">
              <w:rPr>
                <w:rFonts w:ascii="Arial Narrow" w:hAnsi="Arial Narrow"/>
                <w:b/>
                <w:sz w:val="20"/>
                <w:lang w:val="en-US"/>
              </w:rPr>
              <w:t>Method/Value</w:t>
            </w:r>
          </w:p>
        </w:tc>
        <w:tc>
          <w:tcPr>
            <w:tcW w:w="1348" w:type="pct"/>
            <w:shd w:val="clear" w:color="auto" w:fill="auto"/>
            <w:vAlign w:val="center"/>
          </w:tcPr>
          <w:p w:rsidR="00D06FD4" w:rsidRPr="00E2771E" w:rsidRDefault="00D06FD4" w:rsidP="00D06FD4">
            <w:pPr>
              <w:jc w:val="center"/>
              <w:rPr>
                <w:rFonts w:ascii="Arial Narrow" w:hAnsi="Arial Narrow"/>
                <w:b/>
                <w:sz w:val="20"/>
                <w:lang w:val="en-US"/>
              </w:rPr>
            </w:pPr>
            <w:r w:rsidRPr="00E2771E">
              <w:rPr>
                <w:rFonts w:ascii="Arial Narrow" w:hAnsi="Arial Narrow"/>
                <w:b/>
                <w:sz w:val="20"/>
                <w:lang w:val="en-US"/>
              </w:rPr>
              <w:t>Impact</w:t>
            </w:r>
          </w:p>
        </w:tc>
      </w:tr>
      <w:tr w:rsidR="00CF51D5" w:rsidRPr="00E2771E" w:rsidTr="00D06FD4">
        <w:tc>
          <w:tcPr>
            <w:tcW w:w="1529" w:type="pct"/>
            <w:shd w:val="clear" w:color="auto" w:fill="auto"/>
            <w:vAlign w:val="center"/>
          </w:tcPr>
          <w:p w:rsidR="00CF51D5" w:rsidRDefault="00CF51D5" w:rsidP="00D06FD4">
            <w:pPr>
              <w:jc w:val="left"/>
              <w:rPr>
                <w:rFonts w:ascii="Arial Narrow" w:hAnsi="Arial Narrow"/>
                <w:sz w:val="20"/>
                <w:lang w:val="en-US"/>
              </w:rPr>
            </w:pPr>
            <w:r>
              <w:rPr>
                <w:rFonts w:ascii="Arial Narrow" w:hAnsi="Arial Narrow"/>
                <w:sz w:val="20"/>
                <w:lang w:val="en-US"/>
              </w:rPr>
              <w:t xml:space="preserve">Difference in short-term relapse rates between adalimumab and </w:t>
            </w:r>
            <w:proofErr w:type="spellStart"/>
            <w:r>
              <w:rPr>
                <w:rFonts w:ascii="Arial Narrow" w:hAnsi="Arial Narrow"/>
                <w:sz w:val="20"/>
                <w:lang w:val="en-US"/>
              </w:rPr>
              <w:t>apremilast</w:t>
            </w:r>
            <w:proofErr w:type="spellEnd"/>
          </w:p>
        </w:tc>
        <w:tc>
          <w:tcPr>
            <w:tcW w:w="2123" w:type="pct"/>
            <w:shd w:val="clear" w:color="auto" w:fill="auto"/>
            <w:vAlign w:val="center"/>
          </w:tcPr>
          <w:p w:rsidR="00CF51D5" w:rsidRPr="007D4561" w:rsidRDefault="00D01522" w:rsidP="00D06FD4">
            <w:pPr>
              <w:jc w:val="center"/>
              <w:rPr>
                <w:rFonts w:ascii="Arial Narrow" w:hAnsi="Arial Narrow"/>
                <w:sz w:val="20"/>
                <w:lang w:val="en-US"/>
              </w:rPr>
            </w:pPr>
            <w:r>
              <w:rPr>
                <w:rFonts w:ascii="Arial Narrow" w:hAnsi="Arial Narrow"/>
                <w:sz w:val="20"/>
                <w:lang w:val="en-US"/>
              </w:rPr>
              <w:t xml:space="preserve">2.6% </w:t>
            </w:r>
            <w:r w:rsidR="00CF51D5">
              <w:rPr>
                <w:rFonts w:ascii="Arial Narrow" w:hAnsi="Arial Narrow"/>
                <w:sz w:val="20"/>
                <w:lang w:val="en-US"/>
              </w:rPr>
              <w:t>(</w:t>
            </w:r>
            <w:r>
              <w:rPr>
                <w:rFonts w:ascii="Arial Narrow" w:hAnsi="Arial Narrow"/>
                <w:sz w:val="20"/>
                <w:lang w:val="en-US"/>
              </w:rPr>
              <w:t xml:space="preserve">6.5%-3.9%); adalimumab relapse derived from </w:t>
            </w:r>
            <w:r w:rsidRPr="00FC4A41">
              <w:rPr>
                <w:rFonts w:ascii="Arial Narrow" w:hAnsi="Arial Narrow"/>
                <w:sz w:val="20"/>
              </w:rPr>
              <w:t xml:space="preserve">10% longitudinal </w:t>
            </w:r>
            <w:r>
              <w:rPr>
                <w:rFonts w:ascii="Arial Narrow" w:hAnsi="Arial Narrow"/>
                <w:sz w:val="20"/>
              </w:rPr>
              <w:t xml:space="preserve">PBS </w:t>
            </w:r>
            <w:r w:rsidRPr="00FC4A41">
              <w:rPr>
                <w:rFonts w:ascii="Arial Narrow" w:hAnsi="Arial Narrow"/>
                <w:sz w:val="20"/>
              </w:rPr>
              <w:t>sample</w:t>
            </w:r>
          </w:p>
        </w:tc>
        <w:tc>
          <w:tcPr>
            <w:tcW w:w="1348" w:type="pct"/>
            <w:shd w:val="clear" w:color="auto" w:fill="auto"/>
            <w:vAlign w:val="center"/>
          </w:tcPr>
          <w:p w:rsidR="00CF51D5" w:rsidRDefault="00D01522" w:rsidP="00D06FD4">
            <w:pPr>
              <w:jc w:val="center"/>
              <w:rPr>
                <w:rFonts w:ascii="Arial Narrow" w:hAnsi="Arial Narrow"/>
                <w:sz w:val="20"/>
                <w:lang w:val="en-US"/>
              </w:rPr>
            </w:pPr>
            <w:r>
              <w:rPr>
                <w:rFonts w:ascii="Arial Narrow" w:hAnsi="Arial Narrow"/>
                <w:sz w:val="20"/>
                <w:lang w:val="en-US"/>
              </w:rPr>
              <w:t>High</w:t>
            </w:r>
          </w:p>
        </w:tc>
      </w:tr>
      <w:tr w:rsidR="00D06FD4" w:rsidRPr="00E2771E" w:rsidTr="00D06FD4">
        <w:tc>
          <w:tcPr>
            <w:tcW w:w="1529" w:type="pct"/>
            <w:shd w:val="clear" w:color="auto" w:fill="auto"/>
            <w:vAlign w:val="center"/>
          </w:tcPr>
          <w:p w:rsidR="00D06FD4" w:rsidRPr="00E2771E" w:rsidRDefault="007D259C" w:rsidP="00D06FD4">
            <w:pPr>
              <w:jc w:val="left"/>
              <w:rPr>
                <w:rFonts w:ascii="Arial Narrow" w:hAnsi="Arial Narrow"/>
                <w:sz w:val="20"/>
                <w:lang w:val="en-US"/>
              </w:rPr>
            </w:pPr>
            <w:r>
              <w:rPr>
                <w:rFonts w:ascii="Arial Narrow" w:hAnsi="Arial Narrow"/>
                <w:sz w:val="20"/>
                <w:lang w:val="en-US"/>
              </w:rPr>
              <w:t>Difference in utilit</w:t>
            </w:r>
            <w:r w:rsidR="00DD0BCC">
              <w:rPr>
                <w:rFonts w:ascii="Arial Narrow" w:hAnsi="Arial Narrow"/>
                <w:sz w:val="20"/>
                <w:lang w:val="en-US"/>
              </w:rPr>
              <w:t>y between baseline</w:t>
            </w:r>
            <w:r>
              <w:rPr>
                <w:rFonts w:ascii="Arial Narrow" w:hAnsi="Arial Narrow"/>
                <w:sz w:val="20"/>
                <w:lang w:val="en-US"/>
              </w:rPr>
              <w:t xml:space="preserve"> and responder</w:t>
            </w:r>
          </w:p>
        </w:tc>
        <w:tc>
          <w:tcPr>
            <w:tcW w:w="2123" w:type="pct"/>
            <w:shd w:val="clear" w:color="auto" w:fill="auto"/>
            <w:vAlign w:val="center"/>
          </w:tcPr>
          <w:p w:rsidR="00D06FD4" w:rsidRPr="007D4561" w:rsidRDefault="00DD0BCC" w:rsidP="00D06FD4">
            <w:pPr>
              <w:jc w:val="center"/>
              <w:rPr>
                <w:rFonts w:ascii="Arial Narrow" w:hAnsi="Arial Narrow"/>
                <w:sz w:val="20"/>
                <w:lang w:val="en-US"/>
              </w:rPr>
            </w:pPr>
            <w:r w:rsidRPr="007D4561">
              <w:rPr>
                <w:rFonts w:ascii="Arial Narrow" w:hAnsi="Arial Narrow"/>
                <w:sz w:val="20"/>
                <w:lang w:val="en-US"/>
              </w:rPr>
              <w:t>0.25 (0.77 – 0.52)</w:t>
            </w:r>
            <w:r w:rsidR="001C413E" w:rsidRPr="007D4561">
              <w:rPr>
                <w:rFonts w:ascii="Arial Narrow" w:hAnsi="Arial Narrow"/>
                <w:sz w:val="20"/>
                <w:lang w:val="en-US"/>
              </w:rPr>
              <w:t xml:space="preserve">; </w:t>
            </w:r>
            <w:r w:rsidR="007D4561" w:rsidRPr="007D4561">
              <w:rPr>
                <w:rFonts w:ascii="Arial Narrow" w:hAnsi="Arial Narrow"/>
                <w:sz w:val="20"/>
              </w:rPr>
              <w:t xml:space="preserve">UK valuation algorithm from the pooled </w:t>
            </w:r>
            <w:proofErr w:type="spellStart"/>
            <w:r w:rsidR="007D4561" w:rsidRPr="007D4561">
              <w:rPr>
                <w:rFonts w:ascii="Arial Narrow" w:hAnsi="Arial Narrow"/>
                <w:sz w:val="20"/>
              </w:rPr>
              <w:t>apremilast</w:t>
            </w:r>
            <w:proofErr w:type="spellEnd"/>
            <w:r w:rsidR="007D4561" w:rsidRPr="007D4561">
              <w:rPr>
                <w:rFonts w:ascii="Arial Narrow" w:hAnsi="Arial Narrow"/>
                <w:sz w:val="20"/>
              </w:rPr>
              <w:t xml:space="preserve"> trials </w:t>
            </w:r>
          </w:p>
        </w:tc>
        <w:tc>
          <w:tcPr>
            <w:tcW w:w="1348" w:type="pct"/>
            <w:shd w:val="clear" w:color="auto" w:fill="auto"/>
            <w:vAlign w:val="center"/>
          </w:tcPr>
          <w:p w:rsidR="00D06FD4" w:rsidRPr="00E2771E" w:rsidRDefault="007D4561" w:rsidP="00D06FD4">
            <w:pPr>
              <w:jc w:val="center"/>
              <w:rPr>
                <w:rFonts w:ascii="Arial Narrow" w:hAnsi="Arial Narrow"/>
                <w:sz w:val="20"/>
                <w:lang w:val="en-US"/>
              </w:rPr>
            </w:pPr>
            <w:r>
              <w:rPr>
                <w:rFonts w:ascii="Arial Narrow" w:hAnsi="Arial Narrow"/>
                <w:sz w:val="20"/>
                <w:lang w:val="en-US"/>
              </w:rPr>
              <w:t xml:space="preserve">High, </w:t>
            </w:r>
            <w:proofErr w:type="spellStart"/>
            <w:r>
              <w:rPr>
                <w:rFonts w:ascii="Arial Narrow" w:hAnsi="Arial Narrow"/>
                <w:sz w:val="20"/>
                <w:lang w:val="en-US"/>
              </w:rPr>
              <w:t>favours</w:t>
            </w:r>
            <w:proofErr w:type="spellEnd"/>
            <w:r>
              <w:rPr>
                <w:rFonts w:ascii="Arial Narrow" w:hAnsi="Arial Narrow"/>
                <w:sz w:val="20"/>
                <w:lang w:val="en-US"/>
              </w:rPr>
              <w:t xml:space="preserve"> a</w:t>
            </w:r>
            <w:r w:rsidR="00C1611C">
              <w:rPr>
                <w:rFonts w:ascii="Arial Narrow" w:hAnsi="Arial Narrow"/>
                <w:sz w:val="20"/>
                <w:lang w:val="en-US"/>
              </w:rPr>
              <w:t>dalimumab</w:t>
            </w:r>
          </w:p>
        </w:tc>
      </w:tr>
      <w:tr w:rsidR="00D06FD4" w:rsidRPr="00E2771E" w:rsidTr="00D06FD4">
        <w:tc>
          <w:tcPr>
            <w:tcW w:w="1529" w:type="pct"/>
            <w:shd w:val="clear" w:color="auto" w:fill="auto"/>
            <w:vAlign w:val="center"/>
          </w:tcPr>
          <w:p w:rsidR="00D06FD4" w:rsidRPr="00E2771E" w:rsidRDefault="007D259C" w:rsidP="00D06FD4">
            <w:pPr>
              <w:jc w:val="left"/>
              <w:rPr>
                <w:rFonts w:ascii="Arial Narrow" w:hAnsi="Arial Narrow"/>
                <w:sz w:val="20"/>
                <w:lang w:val="en-US"/>
              </w:rPr>
            </w:pPr>
            <w:r>
              <w:rPr>
                <w:rFonts w:ascii="Arial Narrow" w:hAnsi="Arial Narrow"/>
                <w:sz w:val="20"/>
                <w:lang w:val="en-US"/>
              </w:rPr>
              <w:t xml:space="preserve">Difference in initial ACR50 response rates between </w:t>
            </w:r>
            <w:proofErr w:type="spellStart"/>
            <w:r>
              <w:rPr>
                <w:rFonts w:ascii="Arial Narrow" w:hAnsi="Arial Narrow"/>
                <w:sz w:val="20"/>
                <w:lang w:val="en-US"/>
              </w:rPr>
              <w:t>apremilast</w:t>
            </w:r>
            <w:proofErr w:type="spellEnd"/>
            <w:r>
              <w:rPr>
                <w:rFonts w:ascii="Arial Narrow" w:hAnsi="Arial Narrow"/>
                <w:sz w:val="20"/>
                <w:lang w:val="en-US"/>
              </w:rPr>
              <w:t xml:space="preserve"> and adalimumab</w:t>
            </w:r>
          </w:p>
        </w:tc>
        <w:tc>
          <w:tcPr>
            <w:tcW w:w="2123" w:type="pct"/>
            <w:shd w:val="clear" w:color="auto" w:fill="auto"/>
            <w:vAlign w:val="center"/>
          </w:tcPr>
          <w:p w:rsidR="00D06FD4" w:rsidRPr="00E2771E" w:rsidRDefault="000C1C21" w:rsidP="00D06FD4">
            <w:pPr>
              <w:jc w:val="center"/>
              <w:rPr>
                <w:rFonts w:ascii="Arial Narrow" w:hAnsi="Arial Narrow"/>
                <w:sz w:val="20"/>
                <w:lang w:val="en-US"/>
              </w:rPr>
            </w:pPr>
            <w:r>
              <w:rPr>
                <w:rFonts w:ascii="Arial Narrow" w:hAnsi="Arial Narrow"/>
                <w:sz w:val="20"/>
                <w:lang w:val="en-US"/>
              </w:rPr>
              <w:t xml:space="preserve">19.1% (33% - 13.9%); ACR50 response rates pooled across </w:t>
            </w:r>
            <w:proofErr w:type="spellStart"/>
            <w:r>
              <w:rPr>
                <w:rFonts w:ascii="Arial Narrow" w:hAnsi="Arial Narrow"/>
                <w:sz w:val="20"/>
                <w:lang w:val="en-US"/>
              </w:rPr>
              <w:t>apremilast</w:t>
            </w:r>
            <w:proofErr w:type="spellEnd"/>
            <w:r>
              <w:rPr>
                <w:rFonts w:ascii="Arial Narrow" w:hAnsi="Arial Narrow"/>
                <w:sz w:val="20"/>
                <w:lang w:val="en-US"/>
              </w:rPr>
              <w:t xml:space="preserve"> and adalimumab trials, respectively.</w:t>
            </w:r>
          </w:p>
        </w:tc>
        <w:tc>
          <w:tcPr>
            <w:tcW w:w="1348" w:type="pct"/>
            <w:shd w:val="clear" w:color="auto" w:fill="auto"/>
            <w:vAlign w:val="center"/>
          </w:tcPr>
          <w:p w:rsidR="00D06FD4" w:rsidRPr="00E2771E" w:rsidRDefault="00C1611C" w:rsidP="00D06FD4">
            <w:pPr>
              <w:jc w:val="center"/>
              <w:rPr>
                <w:rFonts w:ascii="Arial Narrow" w:hAnsi="Arial Narrow"/>
                <w:sz w:val="20"/>
                <w:lang w:val="en-US"/>
              </w:rPr>
            </w:pPr>
            <w:r>
              <w:rPr>
                <w:rFonts w:ascii="Arial Narrow" w:hAnsi="Arial Narrow"/>
                <w:sz w:val="20"/>
                <w:lang w:val="en-US"/>
              </w:rPr>
              <w:t>Moderate</w:t>
            </w:r>
          </w:p>
        </w:tc>
      </w:tr>
      <w:tr w:rsidR="00574203" w:rsidRPr="00E2771E" w:rsidTr="00D06FD4">
        <w:tc>
          <w:tcPr>
            <w:tcW w:w="1529" w:type="pct"/>
            <w:shd w:val="clear" w:color="auto" w:fill="auto"/>
            <w:vAlign w:val="center"/>
          </w:tcPr>
          <w:p w:rsidR="00574203" w:rsidRDefault="00574203" w:rsidP="00D06FD4">
            <w:pPr>
              <w:jc w:val="left"/>
              <w:rPr>
                <w:rFonts w:ascii="Arial Narrow" w:hAnsi="Arial Narrow"/>
                <w:sz w:val="20"/>
                <w:lang w:val="en-US"/>
              </w:rPr>
            </w:pPr>
            <w:r>
              <w:rPr>
                <w:rFonts w:ascii="Arial Narrow" w:hAnsi="Arial Narrow"/>
                <w:sz w:val="20"/>
                <w:lang w:val="en-US"/>
              </w:rPr>
              <w:t>Treatment sequence</w:t>
            </w:r>
          </w:p>
        </w:tc>
        <w:tc>
          <w:tcPr>
            <w:tcW w:w="2123" w:type="pct"/>
            <w:shd w:val="clear" w:color="auto" w:fill="auto"/>
            <w:vAlign w:val="center"/>
          </w:tcPr>
          <w:p w:rsidR="00574203" w:rsidRDefault="00574203" w:rsidP="00D06FD4">
            <w:pPr>
              <w:jc w:val="center"/>
              <w:rPr>
                <w:rFonts w:ascii="Arial Narrow" w:hAnsi="Arial Narrow"/>
                <w:sz w:val="20"/>
                <w:lang w:val="en-US"/>
              </w:rPr>
            </w:pPr>
            <w:proofErr w:type="spellStart"/>
            <w:r>
              <w:rPr>
                <w:rFonts w:ascii="Arial Narrow" w:hAnsi="Arial Narrow"/>
                <w:sz w:val="20"/>
                <w:lang w:val="en-US"/>
              </w:rPr>
              <w:t>Apremilast</w:t>
            </w:r>
            <w:proofErr w:type="spellEnd"/>
            <w:r>
              <w:rPr>
                <w:rFonts w:ascii="Arial Narrow" w:hAnsi="Arial Narrow"/>
                <w:sz w:val="20"/>
                <w:lang w:val="en-US"/>
              </w:rPr>
              <w:t xml:space="preserve"> → </w:t>
            </w:r>
            <w:r w:rsidR="0029282A">
              <w:rPr>
                <w:rFonts w:ascii="Arial Narrow" w:hAnsi="Arial Narrow"/>
                <w:sz w:val="20"/>
                <w:lang w:val="en-US"/>
              </w:rPr>
              <w:t>Etanercept → Golimumab → BSC</w:t>
            </w:r>
          </w:p>
        </w:tc>
        <w:tc>
          <w:tcPr>
            <w:tcW w:w="1348" w:type="pct"/>
            <w:shd w:val="clear" w:color="auto" w:fill="auto"/>
            <w:vAlign w:val="center"/>
          </w:tcPr>
          <w:p w:rsidR="00574203" w:rsidRDefault="0029282A" w:rsidP="00D06FD4">
            <w:pPr>
              <w:jc w:val="center"/>
              <w:rPr>
                <w:rFonts w:ascii="Arial Narrow" w:hAnsi="Arial Narrow"/>
                <w:sz w:val="20"/>
                <w:lang w:val="en-US"/>
              </w:rPr>
            </w:pPr>
            <w:r>
              <w:rPr>
                <w:rFonts w:ascii="Arial Narrow" w:hAnsi="Arial Narrow"/>
                <w:sz w:val="20"/>
                <w:lang w:val="en-US"/>
              </w:rPr>
              <w:t xml:space="preserve">Moderate, </w:t>
            </w:r>
            <w:proofErr w:type="spellStart"/>
            <w:r>
              <w:rPr>
                <w:rFonts w:ascii="Arial Narrow" w:hAnsi="Arial Narrow"/>
                <w:sz w:val="20"/>
                <w:lang w:val="en-US"/>
              </w:rPr>
              <w:t>favours</w:t>
            </w:r>
            <w:proofErr w:type="spellEnd"/>
            <w:r>
              <w:rPr>
                <w:rFonts w:ascii="Arial Narrow" w:hAnsi="Arial Narrow"/>
                <w:sz w:val="20"/>
                <w:lang w:val="en-US"/>
              </w:rPr>
              <w:t xml:space="preserve"> </w:t>
            </w:r>
            <w:proofErr w:type="spellStart"/>
            <w:r>
              <w:rPr>
                <w:rFonts w:ascii="Arial Narrow" w:hAnsi="Arial Narrow"/>
                <w:sz w:val="20"/>
                <w:lang w:val="en-US"/>
              </w:rPr>
              <w:t>apremilast</w:t>
            </w:r>
            <w:proofErr w:type="spellEnd"/>
          </w:p>
        </w:tc>
      </w:tr>
    </w:tbl>
    <w:p w:rsidR="00D06FD4" w:rsidRPr="00D110BD" w:rsidRDefault="00D06FD4" w:rsidP="00D06FD4">
      <w:pPr>
        <w:pStyle w:val="TableFooter"/>
        <w:ind w:firstLine="720"/>
      </w:pPr>
      <w:r w:rsidRPr="00D110BD">
        <w:t>Source: compiled during the evaluation</w:t>
      </w:r>
    </w:p>
    <w:p w:rsidR="00D110BD" w:rsidRPr="00275C5A" w:rsidRDefault="00D110BD" w:rsidP="00275C5A">
      <w:pPr>
        <w:widowControl/>
        <w:rPr>
          <w:szCs w:val="22"/>
        </w:rPr>
      </w:pPr>
    </w:p>
    <w:p w:rsidR="0012295B" w:rsidRPr="00144501" w:rsidRDefault="008B5211" w:rsidP="007A5C24">
      <w:pPr>
        <w:pStyle w:val="ListParagraph"/>
        <w:widowControl/>
        <w:numPr>
          <w:ilvl w:val="1"/>
          <w:numId w:val="5"/>
        </w:numPr>
        <w:rPr>
          <w:szCs w:val="22"/>
        </w:rPr>
      </w:pPr>
      <w:r w:rsidRPr="008B5211">
        <w:t xml:space="preserve">The results of the cost-utility analysis are summarised in Table </w:t>
      </w:r>
      <w:r w:rsidR="00590C35">
        <w:t>8</w:t>
      </w:r>
      <w:r w:rsidRPr="008B5211">
        <w:t>.</w:t>
      </w:r>
      <w:r w:rsidR="00D110BD" w:rsidRPr="008B5211">
        <w:t xml:space="preserve"> </w:t>
      </w:r>
      <w:r w:rsidRPr="008B5211">
        <w:t xml:space="preserve">Table </w:t>
      </w:r>
      <w:r w:rsidR="00590C35">
        <w:t xml:space="preserve">8 </w:t>
      </w:r>
      <w:r w:rsidRPr="008B5211">
        <w:t xml:space="preserve">shows that an average </w:t>
      </w:r>
      <w:r w:rsidR="00C53156">
        <w:t>reduction in cost</w:t>
      </w:r>
      <w:r w:rsidRPr="008B5211">
        <w:t xml:space="preserve"> of $</w:t>
      </w:r>
      <w:r w:rsidR="00DB34FC">
        <w:rPr>
          <w:noProof/>
          <w:color w:val="000000"/>
          <w:highlight w:val="black"/>
        </w:rPr>
        <w:t>''''''''''''''</w:t>
      </w:r>
      <w:r w:rsidRPr="008B5211">
        <w:t xml:space="preserve"> per patient, and an average loss of 0.06 QALYs </w:t>
      </w:r>
      <w:r w:rsidR="00C53156">
        <w:t>per patient</w:t>
      </w:r>
      <w:r w:rsidRPr="008B5211">
        <w:t xml:space="preserve">, </w:t>
      </w:r>
      <w:r w:rsidR="00030BF1">
        <w:t>treated with</w:t>
      </w:r>
      <w:r w:rsidRPr="008B5211">
        <w:t xml:space="preserve"> </w:t>
      </w:r>
      <w:proofErr w:type="spellStart"/>
      <w:r w:rsidRPr="008B5211">
        <w:t>apremilast</w:t>
      </w:r>
      <w:proofErr w:type="spellEnd"/>
      <w:r w:rsidRPr="008B5211">
        <w:t xml:space="preserve"> </w:t>
      </w:r>
      <w:r w:rsidR="00EF539F">
        <w:t>compared with</w:t>
      </w:r>
      <w:r w:rsidRPr="008B5211">
        <w:t xml:space="preserve"> adalimu</w:t>
      </w:r>
      <w:r w:rsidR="00EF539F">
        <w:t>ma</w:t>
      </w:r>
      <w:r w:rsidRPr="008B5211">
        <w:t>b</w:t>
      </w:r>
      <w:r w:rsidR="00030BF1" w:rsidRPr="00030BF1">
        <w:t xml:space="preserve"> </w:t>
      </w:r>
      <w:r w:rsidR="00030BF1" w:rsidRPr="008B5211">
        <w:t>over 5 years</w:t>
      </w:r>
      <w:r w:rsidR="00500989">
        <w:t xml:space="preserve">. </w:t>
      </w:r>
      <w:r w:rsidR="00030BF1">
        <w:t>The ICER wa</w:t>
      </w:r>
      <w:r w:rsidRPr="008B5211">
        <w:t xml:space="preserve">s estimated to be </w:t>
      </w:r>
      <w:bookmarkStart w:id="16" w:name="_GoBack"/>
      <w:bookmarkEnd w:id="16"/>
      <w:r w:rsidR="007E77C9">
        <w:t xml:space="preserve">$105,000/QALY - $200,000/QALY </w:t>
      </w:r>
      <w:r w:rsidR="00EF539F">
        <w:t>foregone</w:t>
      </w:r>
      <w:r w:rsidR="00FA1EC7">
        <w:t xml:space="preserve"> assuming that </w:t>
      </w:r>
      <w:proofErr w:type="spellStart"/>
      <w:r w:rsidR="00FA1EC7">
        <w:t>apremilast</w:t>
      </w:r>
      <w:proofErr w:type="spellEnd"/>
      <w:r w:rsidR="00FA1EC7">
        <w:t xml:space="preserve"> would replace one of three bDMARDs in a treatment cycle</w:t>
      </w:r>
      <w:r w:rsidRPr="008B5211">
        <w:rPr>
          <w:color w:val="3366FF"/>
        </w:rPr>
        <w:t>.</w:t>
      </w:r>
      <w:r w:rsidR="00C81345">
        <w:rPr>
          <w:color w:val="3366FF"/>
        </w:rPr>
        <w:t xml:space="preserve"> </w:t>
      </w:r>
      <w:r w:rsidR="00C81345" w:rsidRPr="002E4CD2">
        <w:t xml:space="preserve">This was updated in the PSCR (p4) to </w:t>
      </w:r>
      <w:r w:rsidR="007E77C9">
        <w:t xml:space="preserve">$75,000/QALY - $105,000/QALY </w:t>
      </w:r>
      <w:r w:rsidR="00C81345" w:rsidRPr="002E4CD2">
        <w:t>foregone</w:t>
      </w:r>
      <w:r w:rsidR="007C5125" w:rsidRPr="002E4CD2">
        <w:t xml:space="preserve"> reflecting decreased costs of $</w:t>
      </w:r>
      <w:r w:rsidR="00DB34FC">
        <w:rPr>
          <w:noProof/>
          <w:color w:val="000000"/>
          <w:highlight w:val="black"/>
        </w:rPr>
        <w:t>'''''''''''''''''''''''</w:t>
      </w:r>
      <w:r w:rsidR="007C5125" w:rsidRPr="002E4CD2">
        <w:t xml:space="preserve"> and decreased effectiveness of 0.093 QALYs for </w:t>
      </w:r>
      <w:proofErr w:type="spellStart"/>
      <w:r w:rsidR="007C5125" w:rsidRPr="002E4CD2">
        <w:t>apremilast</w:t>
      </w:r>
      <w:proofErr w:type="spellEnd"/>
      <w:r w:rsidR="007C5125" w:rsidRPr="002E4CD2">
        <w:t xml:space="preserve"> compared to adalimumab.</w:t>
      </w:r>
      <w:r w:rsidR="00C81345" w:rsidRPr="002E4CD2">
        <w:t xml:space="preserve"> </w:t>
      </w:r>
      <w:r w:rsidR="007C5125" w:rsidRPr="002E4CD2">
        <w:t>The ESC considered that a step-wise modification of the base case would have been more informative than simply the presentation of a new ICER.</w:t>
      </w:r>
    </w:p>
    <w:p w:rsidR="0012295B" w:rsidRPr="00500989" w:rsidRDefault="0012295B" w:rsidP="0012295B">
      <w:pPr>
        <w:widowControl/>
        <w:rPr>
          <w:szCs w:val="22"/>
        </w:rPr>
      </w:pPr>
    </w:p>
    <w:p w:rsidR="0012295B" w:rsidRPr="002E4CD2" w:rsidRDefault="007A5C24" w:rsidP="0012295B">
      <w:pPr>
        <w:pStyle w:val="ListParagraph"/>
        <w:widowControl/>
        <w:numPr>
          <w:ilvl w:val="1"/>
          <w:numId w:val="5"/>
        </w:numPr>
        <w:rPr>
          <w:szCs w:val="22"/>
        </w:rPr>
      </w:pPr>
      <w:r w:rsidRPr="00CC4A6E">
        <w:rPr>
          <w:iCs/>
        </w:rPr>
        <w:t>The cost savings a</w:t>
      </w:r>
      <w:r w:rsidR="00500989">
        <w:rPr>
          <w:iCs/>
        </w:rPr>
        <w:t xml:space="preserve">re likely to be overestimated. </w:t>
      </w:r>
      <w:r w:rsidRPr="00CC4A6E">
        <w:rPr>
          <w:iCs/>
        </w:rPr>
        <w:t xml:space="preserve">Available data from the trials suggested that </w:t>
      </w:r>
      <w:r w:rsidR="00DB34FC">
        <w:rPr>
          <w:iCs/>
          <w:noProof/>
          <w:color w:val="000000"/>
          <w:highlight w:val="black"/>
        </w:rPr>
        <w:t>''''''</w:t>
      </w:r>
      <w:r w:rsidRPr="00CC4A6E">
        <w:rPr>
          <w:iCs/>
        </w:rPr>
        <w:t xml:space="preserve">% of Week 16 ACR 50 responders lose response by Week 24, with a further </w:t>
      </w:r>
      <w:r w:rsidR="00DB34FC">
        <w:rPr>
          <w:iCs/>
          <w:noProof/>
          <w:color w:val="000000"/>
          <w:highlight w:val="black"/>
        </w:rPr>
        <w:t>''''''''</w:t>
      </w:r>
      <w:r w:rsidRPr="00CC4A6E">
        <w:rPr>
          <w:iCs/>
        </w:rPr>
        <w:t>% los</w:t>
      </w:r>
      <w:r w:rsidR="00500989">
        <w:rPr>
          <w:iCs/>
        </w:rPr>
        <w:t xml:space="preserve">ing ACR50 response by Week 52. </w:t>
      </w:r>
      <w:r w:rsidRPr="00CC4A6E">
        <w:rPr>
          <w:iCs/>
        </w:rPr>
        <w:t>The model</w:t>
      </w:r>
      <w:r w:rsidR="00500989">
        <w:rPr>
          <w:iCs/>
        </w:rPr>
        <w:t>,</w:t>
      </w:r>
      <w:r w:rsidRPr="00CC4A6E">
        <w:rPr>
          <w:iCs/>
        </w:rPr>
        <w:t xml:space="preserve"> however</w:t>
      </w:r>
      <w:r w:rsidR="00500989">
        <w:rPr>
          <w:iCs/>
        </w:rPr>
        <w:t>,</w:t>
      </w:r>
      <w:r w:rsidRPr="00CC4A6E">
        <w:rPr>
          <w:iCs/>
        </w:rPr>
        <w:t xml:space="preserve"> assumed a constant discontinuation rate per cycle over the first year of treatment with </w:t>
      </w:r>
      <w:proofErr w:type="spellStart"/>
      <w:r w:rsidRPr="00CC4A6E">
        <w:rPr>
          <w:iCs/>
        </w:rPr>
        <w:t>apremilast</w:t>
      </w:r>
      <w:proofErr w:type="spellEnd"/>
      <w:r w:rsidRPr="00CC4A6E">
        <w:rPr>
          <w:iCs/>
        </w:rPr>
        <w:t xml:space="preserve"> (based on the data r</w:t>
      </w:r>
      <w:r w:rsidR="00500989">
        <w:rPr>
          <w:iCs/>
        </w:rPr>
        <w:t xml:space="preserve">eported above). </w:t>
      </w:r>
      <w:r w:rsidRPr="00CC4A6E">
        <w:rPr>
          <w:rFonts w:asciiTheme="minorBidi" w:hAnsiTheme="minorBidi" w:cstheme="minorBidi"/>
          <w:szCs w:val="22"/>
        </w:rPr>
        <w:t xml:space="preserve">The effect of this in the modelled economic evaluation </w:t>
      </w:r>
      <w:r w:rsidR="00500989">
        <w:rPr>
          <w:rFonts w:asciiTheme="minorBidi" w:hAnsiTheme="minorBidi" w:cstheme="minorBidi"/>
          <w:szCs w:val="22"/>
        </w:rPr>
        <w:t>wa</w:t>
      </w:r>
      <w:r w:rsidRPr="00CC4A6E">
        <w:rPr>
          <w:rFonts w:asciiTheme="minorBidi" w:hAnsiTheme="minorBidi" w:cstheme="minorBidi"/>
          <w:szCs w:val="22"/>
        </w:rPr>
        <w:t>s that patients remain</w:t>
      </w:r>
      <w:r w:rsidR="0012295B" w:rsidRPr="00CC4A6E">
        <w:rPr>
          <w:rFonts w:asciiTheme="minorBidi" w:hAnsiTheme="minorBidi" w:cstheme="minorBidi"/>
          <w:szCs w:val="22"/>
        </w:rPr>
        <w:t>ed</w:t>
      </w:r>
      <w:r w:rsidRPr="00CC4A6E">
        <w:rPr>
          <w:rFonts w:asciiTheme="minorBidi" w:hAnsiTheme="minorBidi" w:cstheme="minorBidi"/>
          <w:szCs w:val="22"/>
        </w:rPr>
        <w:t xml:space="preserve"> on </w:t>
      </w:r>
      <w:proofErr w:type="spellStart"/>
      <w:r w:rsidRPr="00CC4A6E">
        <w:rPr>
          <w:rFonts w:asciiTheme="minorBidi" w:hAnsiTheme="minorBidi" w:cstheme="minorBidi"/>
          <w:szCs w:val="22"/>
        </w:rPr>
        <w:t>apremilast</w:t>
      </w:r>
      <w:proofErr w:type="spellEnd"/>
      <w:r w:rsidRPr="00CC4A6E">
        <w:rPr>
          <w:rFonts w:asciiTheme="minorBidi" w:hAnsiTheme="minorBidi" w:cstheme="minorBidi"/>
          <w:szCs w:val="22"/>
        </w:rPr>
        <w:t xml:space="preserve"> for longer, accruing benefits (utility associated with ACR50 response) and lower treatment costs (given </w:t>
      </w:r>
      <w:proofErr w:type="spellStart"/>
      <w:r w:rsidRPr="00CC4A6E">
        <w:rPr>
          <w:rFonts w:asciiTheme="minorBidi" w:hAnsiTheme="minorBidi" w:cstheme="minorBidi"/>
          <w:szCs w:val="22"/>
        </w:rPr>
        <w:t>apremilast</w:t>
      </w:r>
      <w:proofErr w:type="spellEnd"/>
      <w:r w:rsidRPr="00CC4A6E">
        <w:rPr>
          <w:rFonts w:asciiTheme="minorBidi" w:hAnsiTheme="minorBidi" w:cstheme="minorBidi"/>
          <w:szCs w:val="22"/>
        </w:rPr>
        <w:t xml:space="preserve"> costs </w:t>
      </w:r>
      <w:r w:rsidR="00500989">
        <w:rPr>
          <w:rFonts w:asciiTheme="minorBidi" w:hAnsiTheme="minorBidi" w:cstheme="minorBidi"/>
          <w:szCs w:val="22"/>
        </w:rPr>
        <w:t>we</w:t>
      </w:r>
      <w:r w:rsidRPr="00CC4A6E">
        <w:rPr>
          <w:rFonts w:asciiTheme="minorBidi" w:hAnsiTheme="minorBidi" w:cstheme="minorBidi"/>
          <w:szCs w:val="22"/>
        </w:rPr>
        <w:t xml:space="preserve">re </w:t>
      </w:r>
      <w:r w:rsidR="00500989">
        <w:rPr>
          <w:rFonts w:asciiTheme="minorBidi" w:hAnsiTheme="minorBidi" w:cstheme="minorBidi"/>
          <w:szCs w:val="22"/>
        </w:rPr>
        <w:t xml:space="preserve">estimated to be </w:t>
      </w:r>
      <w:r w:rsidRPr="00CC4A6E">
        <w:rPr>
          <w:rFonts w:asciiTheme="minorBidi" w:hAnsiTheme="minorBidi" w:cstheme="minorBidi"/>
          <w:szCs w:val="22"/>
        </w:rPr>
        <w:t>lower than those for the bDMARDs) before switching to bDMARD treatment in the model.</w:t>
      </w:r>
      <w:r w:rsidRPr="00CC4A6E">
        <w:rPr>
          <w:iCs/>
        </w:rPr>
        <w:t xml:space="preserve"> </w:t>
      </w:r>
      <w:r w:rsidR="00590C35" w:rsidRPr="002E4CD2">
        <w:rPr>
          <w:iCs/>
        </w:rPr>
        <w:t xml:space="preserve">The ESC agreed that the issues identified in the model </w:t>
      </w:r>
      <w:r w:rsidR="00500989">
        <w:rPr>
          <w:iCs/>
        </w:rPr>
        <w:t>we</w:t>
      </w:r>
      <w:r w:rsidR="00590C35" w:rsidRPr="002E4CD2">
        <w:rPr>
          <w:iCs/>
        </w:rPr>
        <w:t xml:space="preserve">re likely to </w:t>
      </w:r>
      <w:r w:rsidR="00C81345" w:rsidRPr="002E4CD2">
        <w:rPr>
          <w:iCs/>
        </w:rPr>
        <w:t>overestimate</w:t>
      </w:r>
      <w:r w:rsidR="00500989">
        <w:rPr>
          <w:iCs/>
        </w:rPr>
        <w:t xml:space="preserve"> cost savings.</w:t>
      </w:r>
    </w:p>
    <w:p w:rsidR="0012295B" w:rsidRPr="00500989" w:rsidRDefault="0012295B" w:rsidP="0012295B">
      <w:pPr>
        <w:rPr>
          <w:szCs w:val="22"/>
        </w:rPr>
      </w:pPr>
    </w:p>
    <w:p w:rsidR="00D110BD" w:rsidRPr="00246C09" w:rsidRDefault="007A5C24" w:rsidP="007A5C24">
      <w:pPr>
        <w:pStyle w:val="ListParagraph"/>
        <w:widowControl/>
        <w:numPr>
          <w:ilvl w:val="1"/>
          <w:numId w:val="5"/>
        </w:numPr>
        <w:rPr>
          <w:szCs w:val="22"/>
        </w:rPr>
      </w:pPr>
      <w:r w:rsidRPr="00246C09">
        <w:rPr>
          <w:iCs/>
        </w:rPr>
        <w:t xml:space="preserve">Although fewer QALYs are accrued among those treated with </w:t>
      </w:r>
      <w:proofErr w:type="spellStart"/>
      <w:r w:rsidRPr="00246C09">
        <w:rPr>
          <w:iCs/>
        </w:rPr>
        <w:t>apremilast</w:t>
      </w:r>
      <w:proofErr w:type="spellEnd"/>
      <w:r w:rsidRPr="00246C09">
        <w:rPr>
          <w:iCs/>
        </w:rPr>
        <w:t xml:space="preserve"> (0.43) compared with adalimumab (0.69) while they are treated with these therapies in the model, the </w:t>
      </w:r>
      <w:proofErr w:type="spellStart"/>
      <w:r w:rsidRPr="00246C09">
        <w:rPr>
          <w:iCs/>
        </w:rPr>
        <w:t>apremilast</w:t>
      </w:r>
      <w:proofErr w:type="spellEnd"/>
      <w:r w:rsidRPr="00246C09">
        <w:rPr>
          <w:iCs/>
        </w:rPr>
        <w:t xml:space="preserve"> arm of the model “catches-up” with accrual of QALYs when moving on to subsequent </w:t>
      </w:r>
      <w:r w:rsidR="0012295B" w:rsidRPr="00246C09">
        <w:rPr>
          <w:iCs/>
        </w:rPr>
        <w:t xml:space="preserve">treatment with </w:t>
      </w:r>
      <w:r w:rsidRPr="00246C09">
        <w:rPr>
          <w:iCs/>
        </w:rPr>
        <w:t>bDMARD</w:t>
      </w:r>
      <w:r w:rsidR="0012295B" w:rsidRPr="00246C09">
        <w:rPr>
          <w:iCs/>
        </w:rPr>
        <w:t>s</w:t>
      </w:r>
      <w:r w:rsidRPr="00246C09">
        <w:rPr>
          <w:iCs/>
        </w:rPr>
        <w:t xml:space="preserve"> and best supportive care therapy</w:t>
      </w:r>
      <w:r w:rsidR="00D0663C" w:rsidRPr="00246C09">
        <w:rPr>
          <w:iCs/>
        </w:rPr>
        <w:t xml:space="preserve"> (see Table </w:t>
      </w:r>
      <w:r w:rsidR="00796899" w:rsidRPr="00246C09">
        <w:rPr>
          <w:iCs/>
        </w:rPr>
        <w:t>8</w:t>
      </w:r>
      <w:r w:rsidR="00D0663C" w:rsidRPr="00246C09">
        <w:rPr>
          <w:iCs/>
        </w:rPr>
        <w:t>)</w:t>
      </w:r>
      <w:r w:rsidRPr="00246C09">
        <w:rPr>
          <w:iCs/>
        </w:rPr>
        <w:t>.</w:t>
      </w:r>
    </w:p>
    <w:p w:rsidR="008B5211" w:rsidRPr="00500989" w:rsidRDefault="008B5211" w:rsidP="008B5211">
      <w:pPr>
        <w:widowControl/>
        <w:rPr>
          <w:szCs w:val="22"/>
        </w:rPr>
      </w:pPr>
    </w:p>
    <w:p w:rsidR="002570C5" w:rsidRPr="00246C09" w:rsidRDefault="006262A0" w:rsidP="002570C5">
      <w:pPr>
        <w:ind w:firstLine="720"/>
        <w:rPr>
          <w:rStyle w:val="CommentReference"/>
        </w:rPr>
      </w:pPr>
      <w:r w:rsidRPr="00246C09">
        <w:rPr>
          <w:rStyle w:val="CommentReference"/>
        </w:rPr>
        <w:t xml:space="preserve">Table </w:t>
      </w:r>
      <w:r w:rsidR="00796899" w:rsidRPr="00246C09">
        <w:rPr>
          <w:rStyle w:val="CommentReference"/>
        </w:rPr>
        <w:t>8</w:t>
      </w:r>
      <w:r w:rsidR="002570C5" w:rsidRPr="00246C09">
        <w:rPr>
          <w:rStyle w:val="CommentReference"/>
        </w:rPr>
        <w:t>: Results of the stepped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stepped economic evaluation"/>
      </w:tblPr>
      <w:tblGrid>
        <w:gridCol w:w="2552"/>
        <w:gridCol w:w="2268"/>
        <w:gridCol w:w="2126"/>
        <w:gridCol w:w="1399"/>
      </w:tblGrid>
      <w:tr w:rsidR="002570C5" w:rsidRPr="00246C09" w:rsidTr="00D01C77">
        <w:trPr>
          <w:tblHeader/>
        </w:trPr>
        <w:tc>
          <w:tcPr>
            <w:tcW w:w="1529" w:type="pct"/>
            <w:vAlign w:val="center"/>
          </w:tcPr>
          <w:p w:rsidR="002570C5" w:rsidRPr="00246C09" w:rsidRDefault="002570C5" w:rsidP="0060380D">
            <w:pPr>
              <w:keepNext/>
              <w:jc w:val="left"/>
              <w:rPr>
                <w:rFonts w:ascii="Arial Narrow" w:hAnsi="Arial Narrow"/>
                <w:b/>
                <w:sz w:val="20"/>
              </w:rPr>
            </w:pPr>
            <w:r w:rsidRPr="00246C09">
              <w:rPr>
                <w:rFonts w:ascii="Arial Narrow" w:hAnsi="Arial Narrow"/>
                <w:b/>
                <w:sz w:val="20"/>
              </w:rPr>
              <w:t>Step and component</w:t>
            </w:r>
          </w:p>
        </w:tc>
        <w:tc>
          <w:tcPr>
            <w:tcW w:w="1359" w:type="pct"/>
            <w:vAlign w:val="center"/>
          </w:tcPr>
          <w:p w:rsidR="002570C5" w:rsidRPr="00246C09" w:rsidRDefault="00D01C77" w:rsidP="0060380D">
            <w:pPr>
              <w:keepNext/>
              <w:jc w:val="center"/>
              <w:rPr>
                <w:rFonts w:ascii="Arial Narrow" w:hAnsi="Arial Narrow"/>
                <w:b/>
                <w:sz w:val="20"/>
              </w:rPr>
            </w:pPr>
            <w:proofErr w:type="spellStart"/>
            <w:r w:rsidRPr="00246C09">
              <w:rPr>
                <w:rFonts w:ascii="Arial Narrow" w:hAnsi="Arial Narrow"/>
                <w:b/>
                <w:sz w:val="20"/>
              </w:rPr>
              <w:t>Apremilast</w:t>
            </w:r>
            <w:proofErr w:type="spellEnd"/>
          </w:p>
        </w:tc>
        <w:tc>
          <w:tcPr>
            <w:tcW w:w="1274" w:type="pct"/>
            <w:vAlign w:val="center"/>
          </w:tcPr>
          <w:p w:rsidR="002570C5" w:rsidRPr="00246C09" w:rsidRDefault="00D01C77" w:rsidP="0060380D">
            <w:pPr>
              <w:keepNext/>
              <w:jc w:val="center"/>
              <w:rPr>
                <w:rFonts w:ascii="Arial Narrow" w:hAnsi="Arial Narrow"/>
                <w:b/>
                <w:sz w:val="20"/>
              </w:rPr>
            </w:pPr>
            <w:r w:rsidRPr="00246C09">
              <w:rPr>
                <w:rFonts w:ascii="Arial Narrow" w:hAnsi="Arial Narrow"/>
                <w:b/>
                <w:sz w:val="20"/>
              </w:rPr>
              <w:t>Adalimumab</w:t>
            </w:r>
          </w:p>
        </w:tc>
        <w:tc>
          <w:tcPr>
            <w:tcW w:w="838" w:type="pct"/>
            <w:vAlign w:val="center"/>
          </w:tcPr>
          <w:p w:rsidR="002570C5" w:rsidRPr="00246C09" w:rsidRDefault="002570C5" w:rsidP="0060380D">
            <w:pPr>
              <w:keepNext/>
              <w:jc w:val="center"/>
              <w:rPr>
                <w:rFonts w:ascii="Arial Narrow" w:hAnsi="Arial Narrow"/>
                <w:b/>
                <w:sz w:val="20"/>
              </w:rPr>
            </w:pPr>
            <w:r w:rsidRPr="00246C09">
              <w:rPr>
                <w:rFonts w:ascii="Arial Narrow" w:hAnsi="Arial Narrow"/>
                <w:b/>
                <w:sz w:val="20"/>
              </w:rPr>
              <w:t>Increment</w:t>
            </w:r>
          </w:p>
        </w:tc>
      </w:tr>
      <w:tr w:rsidR="007265FB" w:rsidRPr="00246C09" w:rsidTr="00D01C77">
        <w:tc>
          <w:tcPr>
            <w:tcW w:w="1529" w:type="pct"/>
            <w:vAlign w:val="center"/>
          </w:tcPr>
          <w:p w:rsidR="007265FB" w:rsidRPr="00246C09" w:rsidRDefault="007265FB" w:rsidP="005801E9">
            <w:pPr>
              <w:jc w:val="left"/>
              <w:rPr>
                <w:rFonts w:ascii="Arial Narrow" w:hAnsi="Arial Narrow"/>
                <w:b/>
                <w:bCs/>
                <w:sz w:val="20"/>
              </w:rPr>
            </w:pPr>
            <w:r w:rsidRPr="00246C09">
              <w:rPr>
                <w:rFonts w:ascii="Arial Narrow" w:hAnsi="Arial Narrow"/>
                <w:b/>
                <w:bCs/>
                <w:sz w:val="20"/>
              </w:rPr>
              <w:t>Costs</w:t>
            </w:r>
          </w:p>
        </w:tc>
        <w:tc>
          <w:tcPr>
            <w:tcW w:w="1359" w:type="pct"/>
            <w:vAlign w:val="center"/>
          </w:tcPr>
          <w:p w:rsidR="007265FB" w:rsidRPr="00246C09" w:rsidRDefault="000E5FE4" w:rsidP="005801E9">
            <w:pPr>
              <w:jc w:val="center"/>
              <w:rPr>
                <w:rFonts w:ascii="Arial Narrow" w:hAnsi="Arial Narrow"/>
                <w:b/>
                <w:bCs/>
                <w:sz w:val="20"/>
              </w:rPr>
            </w:pPr>
            <w:r w:rsidRPr="00246C09">
              <w:rPr>
                <w:rFonts w:ascii="Arial Narrow" w:hAnsi="Arial Narrow"/>
                <w:b/>
                <w:bCs/>
                <w:sz w:val="20"/>
              </w:rPr>
              <w:t>$</w:t>
            </w:r>
            <w:r w:rsidR="00DB34FC">
              <w:rPr>
                <w:rFonts w:ascii="Arial Narrow" w:hAnsi="Arial Narrow"/>
                <w:b/>
                <w:bCs/>
                <w:noProof/>
                <w:color w:val="000000"/>
                <w:sz w:val="20"/>
                <w:highlight w:val="black"/>
              </w:rPr>
              <w:t>'''''''''''''</w:t>
            </w:r>
          </w:p>
        </w:tc>
        <w:tc>
          <w:tcPr>
            <w:tcW w:w="1274" w:type="pct"/>
            <w:vAlign w:val="center"/>
          </w:tcPr>
          <w:p w:rsidR="007265FB" w:rsidRPr="00246C09" w:rsidRDefault="000E5FE4" w:rsidP="005801E9">
            <w:pPr>
              <w:jc w:val="center"/>
              <w:rPr>
                <w:rFonts w:ascii="Arial Narrow" w:hAnsi="Arial Narrow"/>
                <w:b/>
                <w:bCs/>
                <w:sz w:val="20"/>
              </w:rPr>
            </w:pPr>
            <w:r w:rsidRPr="00246C09">
              <w:rPr>
                <w:rFonts w:ascii="Arial Narrow" w:hAnsi="Arial Narrow"/>
                <w:b/>
                <w:bCs/>
                <w:sz w:val="20"/>
              </w:rPr>
              <w:t>$63,837</w:t>
            </w:r>
          </w:p>
        </w:tc>
        <w:tc>
          <w:tcPr>
            <w:tcW w:w="838" w:type="pct"/>
            <w:vAlign w:val="center"/>
          </w:tcPr>
          <w:p w:rsidR="007265FB" w:rsidRPr="00246C09" w:rsidRDefault="000E5FE4" w:rsidP="005801E9">
            <w:pPr>
              <w:jc w:val="center"/>
              <w:rPr>
                <w:rFonts w:ascii="Arial Narrow" w:hAnsi="Arial Narrow"/>
                <w:b/>
                <w:bCs/>
                <w:sz w:val="20"/>
              </w:rPr>
            </w:pPr>
            <w:r w:rsidRPr="00246C09">
              <w:rPr>
                <w:rFonts w:ascii="Arial Narrow" w:hAnsi="Arial Narrow"/>
                <w:b/>
                <w:bCs/>
                <w:sz w:val="20"/>
              </w:rPr>
              <w:t>-$</w:t>
            </w:r>
            <w:r w:rsidR="00DB34FC">
              <w:rPr>
                <w:rFonts w:ascii="Arial Narrow" w:hAnsi="Arial Narrow"/>
                <w:b/>
                <w:bCs/>
                <w:noProof/>
                <w:color w:val="000000"/>
                <w:sz w:val="20"/>
                <w:highlight w:val="black"/>
              </w:rPr>
              <w:t>''''''''''''</w:t>
            </w:r>
          </w:p>
        </w:tc>
      </w:tr>
      <w:tr w:rsidR="0012295B" w:rsidRPr="00246C09" w:rsidTr="006A3905">
        <w:tc>
          <w:tcPr>
            <w:tcW w:w="1529" w:type="pct"/>
            <w:vAlign w:val="center"/>
          </w:tcPr>
          <w:p w:rsidR="0012295B" w:rsidRPr="00246C09" w:rsidRDefault="0012295B" w:rsidP="0012295B">
            <w:pPr>
              <w:ind w:firstLine="256"/>
              <w:jc w:val="left"/>
              <w:rPr>
                <w:rFonts w:ascii="Arial Narrow" w:hAnsi="Arial Narrow"/>
                <w:sz w:val="20"/>
              </w:rPr>
            </w:pPr>
            <w:proofErr w:type="spellStart"/>
            <w:r w:rsidRPr="00246C09">
              <w:rPr>
                <w:rFonts w:ascii="Arial Narrow" w:hAnsi="Arial Narrow" w:cs="Times New Roman"/>
                <w:sz w:val="20"/>
              </w:rPr>
              <w:t>Apremilast</w:t>
            </w:r>
            <w:proofErr w:type="spellEnd"/>
          </w:p>
        </w:tc>
        <w:tc>
          <w:tcPr>
            <w:tcW w:w="1359"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w:t>
            </w:r>
            <w:r w:rsidR="00DB34FC">
              <w:rPr>
                <w:rFonts w:ascii="Arial Narrow" w:hAnsi="Arial Narrow" w:cs="Times New Roman"/>
                <w:iCs/>
                <w:noProof/>
                <w:color w:val="000000"/>
                <w:sz w:val="20"/>
                <w:highlight w:val="black"/>
              </w:rPr>
              <w:t>'''''''''''''''''''''''''</w:t>
            </w:r>
          </w:p>
        </w:tc>
        <w:tc>
          <w:tcPr>
            <w:tcW w:w="1274" w:type="pct"/>
            <w:vAlign w:val="center"/>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$0</w:t>
            </w:r>
          </w:p>
        </w:tc>
        <w:tc>
          <w:tcPr>
            <w:tcW w:w="838"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w:t>
            </w:r>
            <w:r w:rsidR="00DB34FC">
              <w:rPr>
                <w:rFonts w:ascii="Arial Narrow" w:hAnsi="Arial Narrow" w:cs="Times New Roman"/>
                <w:iCs/>
                <w:noProof/>
                <w:color w:val="000000"/>
                <w:sz w:val="20"/>
                <w:highlight w:val="black"/>
              </w:rPr>
              <w:t>''''''''''''''''''''''</w:t>
            </w:r>
          </w:p>
        </w:tc>
      </w:tr>
      <w:tr w:rsidR="0012295B" w:rsidRPr="00246C09" w:rsidTr="006A3905">
        <w:tc>
          <w:tcPr>
            <w:tcW w:w="1529" w:type="pct"/>
            <w:vAlign w:val="center"/>
          </w:tcPr>
          <w:p w:rsidR="0012295B" w:rsidRPr="00246C09" w:rsidRDefault="0012295B" w:rsidP="0012295B">
            <w:pPr>
              <w:ind w:firstLine="256"/>
              <w:jc w:val="left"/>
              <w:rPr>
                <w:rFonts w:ascii="Arial Narrow" w:hAnsi="Arial Narrow"/>
                <w:sz w:val="20"/>
              </w:rPr>
            </w:pPr>
            <w:r w:rsidRPr="00246C09">
              <w:rPr>
                <w:rFonts w:ascii="Arial Narrow" w:hAnsi="Arial Narrow"/>
                <w:sz w:val="20"/>
              </w:rPr>
              <w:t>Adalimumab</w:t>
            </w:r>
          </w:p>
        </w:tc>
        <w:tc>
          <w:tcPr>
            <w:tcW w:w="1359"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$0</w:t>
            </w:r>
          </w:p>
        </w:tc>
        <w:tc>
          <w:tcPr>
            <w:tcW w:w="1274"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$22,897.37</w:t>
            </w:r>
          </w:p>
        </w:tc>
        <w:tc>
          <w:tcPr>
            <w:tcW w:w="838"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-$22,897.37</w:t>
            </w:r>
          </w:p>
        </w:tc>
      </w:tr>
      <w:tr w:rsidR="0012295B" w:rsidRPr="00246C09" w:rsidTr="006A3905">
        <w:tc>
          <w:tcPr>
            <w:tcW w:w="1529" w:type="pct"/>
            <w:vAlign w:val="center"/>
          </w:tcPr>
          <w:p w:rsidR="0012295B" w:rsidRPr="00246C09" w:rsidRDefault="0012295B" w:rsidP="0012295B">
            <w:pPr>
              <w:ind w:firstLine="256"/>
              <w:jc w:val="left"/>
              <w:rPr>
                <w:rFonts w:ascii="Arial Narrow" w:hAnsi="Arial Narrow"/>
                <w:sz w:val="20"/>
              </w:rPr>
            </w:pPr>
            <w:r w:rsidRPr="00246C09">
              <w:rPr>
                <w:rFonts w:ascii="Arial Narrow" w:hAnsi="Arial Narrow"/>
                <w:sz w:val="20"/>
              </w:rPr>
              <w:t>Etanercept</w:t>
            </w:r>
          </w:p>
        </w:tc>
        <w:tc>
          <w:tcPr>
            <w:tcW w:w="1359"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w:t>
            </w:r>
            <w:r w:rsidR="00DB34FC">
              <w:rPr>
                <w:rFonts w:ascii="Arial Narrow" w:hAnsi="Arial Narrow" w:cs="Times New Roman"/>
                <w:iCs/>
                <w:noProof/>
                <w:color w:val="000000"/>
                <w:sz w:val="20"/>
                <w:highlight w:val="black"/>
              </w:rPr>
              <w:t>''''''''''''''''''''''''</w:t>
            </w:r>
          </w:p>
        </w:tc>
        <w:tc>
          <w:tcPr>
            <w:tcW w:w="1274"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$22,835.25</w:t>
            </w:r>
          </w:p>
        </w:tc>
        <w:tc>
          <w:tcPr>
            <w:tcW w:w="838"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w:t>
            </w:r>
            <w:r w:rsidR="00DB34FC">
              <w:rPr>
                <w:rFonts w:ascii="Arial Narrow" w:hAnsi="Arial Narrow" w:cs="Times New Roman"/>
                <w:iCs/>
                <w:noProof/>
                <w:color w:val="000000"/>
                <w:sz w:val="20"/>
                <w:highlight w:val="black"/>
              </w:rPr>
              <w:t>'''''''''''''''''''</w:t>
            </w:r>
          </w:p>
        </w:tc>
      </w:tr>
      <w:tr w:rsidR="0012295B" w:rsidRPr="00246C09" w:rsidTr="006A3905">
        <w:tc>
          <w:tcPr>
            <w:tcW w:w="1529" w:type="pct"/>
            <w:vAlign w:val="center"/>
          </w:tcPr>
          <w:p w:rsidR="0012295B" w:rsidRPr="00246C09" w:rsidRDefault="0012295B" w:rsidP="0012295B">
            <w:pPr>
              <w:ind w:firstLine="256"/>
              <w:jc w:val="left"/>
              <w:rPr>
                <w:rFonts w:ascii="Arial Narrow" w:hAnsi="Arial Narrow"/>
                <w:sz w:val="20"/>
              </w:rPr>
            </w:pPr>
            <w:r w:rsidRPr="00246C09">
              <w:rPr>
                <w:rFonts w:ascii="Arial Narrow" w:hAnsi="Arial Narrow"/>
                <w:sz w:val="20"/>
              </w:rPr>
              <w:t>Golimumab</w:t>
            </w:r>
          </w:p>
        </w:tc>
        <w:tc>
          <w:tcPr>
            <w:tcW w:w="1359"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w:t>
            </w:r>
            <w:r w:rsidR="00DB34FC">
              <w:rPr>
                <w:rFonts w:ascii="Arial Narrow" w:hAnsi="Arial Narrow" w:cs="Times New Roman"/>
                <w:iCs/>
                <w:noProof/>
                <w:color w:val="000000"/>
                <w:sz w:val="20"/>
                <w:highlight w:val="black"/>
              </w:rPr>
              <w:t>'''''''''''''''''''''''''</w:t>
            </w:r>
          </w:p>
        </w:tc>
        <w:tc>
          <w:tcPr>
            <w:tcW w:w="1274"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$15,820.23</w:t>
            </w:r>
          </w:p>
        </w:tc>
        <w:tc>
          <w:tcPr>
            <w:tcW w:w="838"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w:t>
            </w:r>
            <w:r w:rsidR="00DB34FC">
              <w:rPr>
                <w:rFonts w:ascii="Arial Narrow" w:hAnsi="Arial Narrow" w:cs="Times New Roman"/>
                <w:iCs/>
                <w:noProof/>
                <w:color w:val="000000"/>
                <w:sz w:val="20"/>
                <w:highlight w:val="black"/>
              </w:rPr>
              <w:t>''''''''''''''''''''</w:t>
            </w:r>
          </w:p>
        </w:tc>
      </w:tr>
      <w:tr w:rsidR="0012295B" w:rsidRPr="00246C09" w:rsidTr="006A3905">
        <w:tc>
          <w:tcPr>
            <w:tcW w:w="1529" w:type="pct"/>
            <w:vAlign w:val="center"/>
          </w:tcPr>
          <w:p w:rsidR="0012295B" w:rsidRPr="00246C09" w:rsidRDefault="0012295B" w:rsidP="0012295B">
            <w:pPr>
              <w:ind w:firstLine="256"/>
              <w:jc w:val="left"/>
              <w:rPr>
                <w:rFonts w:ascii="Arial Narrow" w:hAnsi="Arial Narrow"/>
                <w:sz w:val="20"/>
              </w:rPr>
            </w:pPr>
            <w:r w:rsidRPr="00246C09">
              <w:rPr>
                <w:rFonts w:ascii="Arial Narrow" w:hAnsi="Arial Narrow"/>
                <w:sz w:val="20"/>
              </w:rPr>
              <w:t>Best supportive care</w:t>
            </w:r>
          </w:p>
        </w:tc>
        <w:tc>
          <w:tcPr>
            <w:tcW w:w="1359"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w:t>
            </w:r>
            <w:r w:rsidR="00DB34FC">
              <w:rPr>
                <w:rFonts w:ascii="Arial Narrow" w:hAnsi="Arial Narrow" w:cs="Times New Roman"/>
                <w:iCs/>
                <w:noProof/>
                <w:color w:val="000000"/>
                <w:sz w:val="20"/>
                <w:highlight w:val="black"/>
              </w:rPr>
              <w:t>'''''''''''''''''''</w:t>
            </w:r>
          </w:p>
        </w:tc>
        <w:tc>
          <w:tcPr>
            <w:tcW w:w="1274"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$2,284.56</w:t>
            </w:r>
          </w:p>
        </w:tc>
        <w:tc>
          <w:tcPr>
            <w:tcW w:w="838"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w:t>
            </w:r>
            <w:r w:rsidR="00DB34FC">
              <w:rPr>
                <w:rFonts w:ascii="Arial Narrow" w:hAnsi="Arial Narrow" w:cs="Times New Roman"/>
                <w:iCs/>
                <w:noProof/>
                <w:color w:val="000000"/>
                <w:sz w:val="20"/>
                <w:highlight w:val="black"/>
              </w:rPr>
              <w:t>''''''''''''''''</w:t>
            </w:r>
          </w:p>
        </w:tc>
      </w:tr>
      <w:tr w:rsidR="0012295B" w:rsidRPr="00246C09" w:rsidTr="00D01C77">
        <w:tc>
          <w:tcPr>
            <w:tcW w:w="1529" w:type="pct"/>
            <w:vAlign w:val="center"/>
          </w:tcPr>
          <w:p w:rsidR="0012295B" w:rsidRPr="00246C09" w:rsidRDefault="0012295B" w:rsidP="0012295B">
            <w:pPr>
              <w:jc w:val="left"/>
              <w:rPr>
                <w:rFonts w:ascii="Arial Narrow" w:hAnsi="Arial Narrow"/>
                <w:b/>
                <w:bCs/>
                <w:sz w:val="20"/>
              </w:rPr>
            </w:pPr>
            <w:r w:rsidRPr="00246C09">
              <w:rPr>
                <w:rFonts w:ascii="Arial Narrow" w:hAnsi="Arial Narrow"/>
                <w:b/>
                <w:bCs/>
                <w:sz w:val="20"/>
              </w:rPr>
              <w:t>QALYs</w:t>
            </w:r>
          </w:p>
        </w:tc>
        <w:tc>
          <w:tcPr>
            <w:tcW w:w="1359" w:type="pct"/>
            <w:vAlign w:val="center"/>
          </w:tcPr>
          <w:p w:rsidR="0012295B" w:rsidRPr="00654BED" w:rsidRDefault="0012295B" w:rsidP="0012295B">
            <w:pPr>
              <w:jc w:val="center"/>
              <w:rPr>
                <w:rFonts w:ascii="Arial Narrow" w:hAnsi="Arial Narrow"/>
                <w:b/>
                <w:bCs/>
                <w:sz w:val="20"/>
              </w:rPr>
            </w:pPr>
            <w:r w:rsidRPr="00654BED">
              <w:rPr>
                <w:rFonts w:ascii="Arial Narrow" w:hAnsi="Arial Narrow"/>
                <w:b/>
                <w:bCs/>
                <w:sz w:val="20"/>
              </w:rPr>
              <w:t>2.86</w:t>
            </w:r>
          </w:p>
        </w:tc>
        <w:tc>
          <w:tcPr>
            <w:tcW w:w="1274" w:type="pct"/>
            <w:vAlign w:val="center"/>
          </w:tcPr>
          <w:p w:rsidR="0012295B" w:rsidRPr="00654BED" w:rsidRDefault="0012295B" w:rsidP="0012295B">
            <w:pPr>
              <w:jc w:val="center"/>
              <w:rPr>
                <w:rFonts w:ascii="Arial Narrow" w:hAnsi="Arial Narrow"/>
                <w:b/>
                <w:bCs/>
                <w:sz w:val="20"/>
              </w:rPr>
            </w:pPr>
            <w:r w:rsidRPr="00654BED">
              <w:rPr>
                <w:rFonts w:ascii="Arial Narrow" w:hAnsi="Arial Narrow"/>
                <w:b/>
                <w:bCs/>
                <w:sz w:val="20"/>
              </w:rPr>
              <w:t>2.91</w:t>
            </w:r>
          </w:p>
        </w:tc>
        <w:tc>
          <w:tcPr>
            <w:tcW w:w="838" w:type="pct"/>
            <w:vAlign w:val="center"/>
          </w:tcPr>
          <w:p w:rsidR="0012295B" w:rsidRPr="00654BED" w:rsidRDefault="0012295B" w:rsidP="0012295B">
            <w:pPr>
              <w:jc w:val="center"/>
              <w:rPr>
                <w:rFonts w:ascii="Arial Narrow" w:hAnsi="Arial Narrow"/>
                <w:b/>
                <w:bCs/>
                <w:sz w:val="20"/>
              </w:rPr>
            </w:pPr>
            <w:r w:rsidRPr="00654BED">
              <w:rPr>
                <w:rFonts w:ascii="Arial Narrow" w:hAnsi="Arial Narrow"/>
                <w:b/>
                <w:bCs/>
                <w:sz w:val="20"/>
              </w:rPr>
              <w:t>-0.06</w:t>
            </w:r>
          </w:p>
        </w:tc>
      </w:tr>
      <w:tr w:rsidR="0012295B" w:rsidRPr="00246C09" w:rsidTr="006A3905">
        <w:tc>
          <w:tcPr>
            <w:tcW w:w="1529" w:type="pct"/>
            <w:vAlign w:val="center"/>
          </w:tcPr>
          <w:p w:rsidR="0012295B" w:rsidRPr="00246C09" w:rsidRDefault="0012295B" w:rsidP="0012295B">
            <w:pPr>
              <w:ind w:firstLine="256"/>
              <w:jc w:val="left"/>
              <w:rPr>
                <w:rFonts w:ascii="Arial Narrow" w:hAnsi="Arial Narrow"/>
                <w:sz w:val="20"/>
              </w:rPr>
            </w:pPr>
            <w:proofErr w:type="spellStart"/>
            <w:r w:rsidRPr="00246C09">
              <w:rPr>
                <w:rFonts w:ascii="Arial Narrow" w:hAnsi="Arial Narrow" w:cs="Times New Roman"/>
                <w:sz w:val="20"/>
              </w:rPr>
              <w:t>Apremilast</w:t>
            </w:r>
            <w:proofErr w:type="spellEnd"/>
          </w:p>
        </w:tc>
        <w:tc>
          <w:tcPr>
            <w:tcW w:w="1359"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0.43</w:t>
            </w:r>
          </w:p>
        </w:tc>
        <w:tc>
          <w:tcPr>
            <w:tcW w:w="1274" w:type="pct"/>
            <w:vAlign w:val="center"/>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w:t>
            </w:r>
          </w:p>
        </w:tc>
        <w:tc>
          <w:tcPr>
            <w:tcW w:w="838"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0.43</w:t>
            </w:r>
          </w:p>
        </w:tc>
      </w:tr>
      <w:tr w:rsidR="0012295B" w:rsidRPr="00246C09" w:rsidTr="006A3905">
        <w:tc>
          <w:tcPr>
            <w:tcW w:w="1529" w:type="pct"/>
            <w:vAlign w:val="center"/>
          </w:tcPr>
          <w:p w:rsidR="0012295B" w:rsidRPr="00246C09" w:rsidRDefault="0012295B" w:rsidP="0012295B">
            <w:pPr>
              <w:ind w:firstLine="256"/>
              <w:jc w:val="left"/>
              <w:rPr>
                <w:rFonts w:ascii="Arial Narrow" w:hAnsi="Arial Narrow"/>
                <w:sz w:val="20"/>
              </w:rPr>
            </w:pPr>
            <w:r w:rsidRPr="00246C09">
              <w:rPr>
                <w:rFonts w:ascii="Arial Narrow" w:hAnsi="Arial Narrow"/>
                <w:sz w:val="20"/>
              </w:rPr>
              <w:t>Adalimumab</w:t>
            </w:r>
          </w:p>
        </w:tc>
        <w:tc>
          <w:tcPr>
            <w:tcW w:w="1359"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w:t>
            </w:r>
          </w:p>
        </w:tc>
        <w:tc>
          <w:tcPr>
            <w:tcW w:w="1274"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0.69</w:t>
            </w:r>
          </w:p>
        </w:tc>
        <w:tc>
          <w:tcPr>
            <w:tcW w:w="838"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-0.69</w:t>
            </w:r>
          </w:p>
        </w:tc>
      </w:tr>
      <w:tr w:rsidR="0012295B" w:rsidRPr="00246C09" w:rsidTr="006A3905">
        <w:tc>
          <w:tcPr>
            <w:tcW w:w="1529" w:type="pct"/>
            <w:vAlign w:val="center"/>
          </w:tcPr>
          <w:p w:rsidR="0012295B" w:rsidRPr="00246C09" w:rsidRDefault="0012295B" w:rsidP="0012295B">
            <w:pPr>
              <w:ind w:firstLine="256"/>
              <w:jc w:val="left"/>
              <w:rPr>
                <w:rFonts w:ascii="Arial Narrow" w:hAnsi="Arial Narrow"/>
                <w:sz w:val="20"/>
              </w:rPr>
            </w:pPr>
            <w:r w:rsidRPr="00246C09">
              <w:rPr>
                <w:rFonts w:ascii="Arial Narrow" w:hAnsi="Arial Narrow"/>
                <w:sz w:val="20"/>
              </w:rPr>
              <w:t>Etanercept</w:t>
            </w:r>
          </w:p>
        </w:tc>
        <w:tc>
          <w:tcPr>
            <w:tcW w:w="1359"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0.77</w:t>
            </w:r>
          </w:p>
        </w:tc>
        <w:tc>
          <w:tcPr>
            <w:tcW w:w="1274"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0.71</w:t>
            </w:r>
          </w:p>
        </w:tc>
        <w:tc>
          <w:tcPr>
            <w:tcW w:w="838"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0.06</w:t>
            </w:r>
          </w:p>
        </w:tc>
      </w:tr>
      <w:tr w:rsidR="0012295B" w:rsidRPr="00246C09" w:rsidTr="006A3905">
        <w:tc>
          <w:tcPr>
            <w:tcW w:w="1529" w:type="pct"/>
            <w:vAlign w:val="center"/>
          </w:tcPr>
          <w:p w:rsidR="0012295B" w:rsidRPr="00246C09" w:rsidRDefault="0012295B" w:rsidP="0012295B">
            <w:pPr>
              <w:ind w:firstLine="256"/>
              <w:jc w:val="left"/>
              <w:rPr>
                <w:rFonts w:ascii="Arial Narrow" w:hAnsi="Arial Narrow"/>
                <w:sz w:val="20"/>
              </w:rPr>
            </w:pPr>
            <w:r w:rsidRPr="00246C09">
              <w:rPr>
                <w:rFonts w:ascii="Arial Narrow" w:hAnsi="Arial Narrow"/>
                <w:sz w:val="20"/>
              </w:rPr>
              <w:t xml:space="preserve">Golimumab </w:t>
            </w:r>
          </w:p>
        </w:tc>
        <w:tc>
          <w:tcPr>
            <w:tcW w:w="1359"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0.53</w:t>
            </w:r>
          </w:p>
        </w:tc>
        <w:tc>
          <w:tcPr>
            <w:tcW w:w="1274"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0.48</w:t>
            </w:r>
          </w:p>
        </w:tc>
        <w:tc>
          <w:tcPr>
            <w:tcW w:w="838"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0.04</w:t>
            </w:r>
          </w:p>
        </w:tc>
      </w:tr>
      <w:tr w:rsidR="0012295B" w:rsidRPr="00246C09" w:rsidTr="006A3905">
        <w:tc>
          <w:tcPr>
            <w:tcW w:w="1529" w:type="pct"/>
            <w:vAlign w:val="center"/>
          </w:tcPr>
          <w:p w:rsidR="0012295B" w:rsidRPr="00246C09" w:rsidRDefault="0012295B" w:rsidP="0012295B">
            <w:pPr>
              <w:ind w:firstLine="256"/>
              <w:jc w:val="left"/>
              <w:rPr>
                <w:rFonts w:ascii="Arial Narrow" w:hAnsi="Arial Narrow"/>
                <w:sz w:val="20"/>
              </w:rPr>
            </w:pPr>
            <w:r w:rsidRPr="00246C09">
              <w:rPr>
                <w:rFonts w:ascii="Arial Narrow" w:hAnsi="Arial Narrow"/>
                <w:sz w:val="20"/>
              </w:rPr>
              <w:t>Best supportive care</w:t>
            </w:r>
          </w:p>
        </w:tc>
        <w:tc>
          <w:tcPr>
            <w:tcW w:w="1359"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1.13</w:t>
            </w:r>
          </w:p>
        </w:tc>
        <w:tc>
          <w:tcPr>
            <w:tcW w:w="1274"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1.03</w:t>
            </w:r>
          </w:p>
        </w:tc>
        <w:tc>
          <w:tcPr>
            <w:tcW w:w="838" w:type="pct"/>
            <w:vAlign w:val="bottom"/>
          </w:tcPr>
          <w:p w:rsidR="0012295B" w:rsidRPr="00654BED" w:rsidRDefault="0012295B" w:rsidP="0012295B">
            <w:pPr>
              <w:jc w:val="center"/>
              <w:rPr>
                <w:rFonts w:ascii="Arial Narrow" w:hAnsi="Arial Narrow"/>
                <w:sz w:val="20"/>
              </w:rPr>
            </w:pPr>
            <w:r w:rsidRPr="00654BED">
              <w:rPr>
                <w:rFonts w:ascii="Arial Narrow" w:hAnsi="Arial Narrow" w:cs="Times New Roman"/>
                <w:iCs/>
                <w:sz w:val="20"/>
              </w:rPr>
              <w:t>0.10</w:t>
            </w:r>
          </w:p>
        </w:tc>
      </w:tr>
      <w:tr w:rsidR="0012295B" w:rsidRPr="00246C09" w:rsidTr="002570C5">
        <w:tc>
          <w:tcPr>
            <w:tcW w:w="4162" w:type="pct"/>
            <w:gridSpan w:val="3"/>
            <w:vAlign w:val="center"/>
          </w:tcPr>
          <w:p w:rsidR="0012295B" w:rsidRPr="00246C09" w:rsidRDefault="0012295B" w:rsidP="00B9709A">
            <w:pPr>
              <w:jc w:val="left"/>
              <w:rPr>
                <w:rFonts w:ascii="Arial Narrow" w:hAnsi="Arial Narrow"/>
                <w:b/>
                <w:sz w:val="20"/>
              </w:rPr>
            </w:pPr>
            <w:r w:rsidRPr="00246C09">
              <w:rPr>
                <w:rFonts w:ascii="Arial Narrow" w:hAnsi="Arial Narrow"/>
                <w:b/>
                <w:sz w:val="20"/>
              </w:rPr>
              <w:t xml:space="preserve">Incremental </w:t>
            </w:r>
            <w:r w:rsidR="00B9709A" w:rsidRPr="00246C09">
              <w:rPr>
                <w:rFonts w:ascii="Arial Narrow" w:hAnsi="Arial Narrow"/>
                <w:b/>
                <w:sz w:val="20"/>
              </w:rPr>
              <w:t>saving</w:t>
            </w:r>
            <w:r w:rsidRPr="00246C09">
              <w:rPr>
                <w:rFonts w:ascii="Arial Narrow" w:hAnsi="Arial Narrow"/>
                <w:b/>
                <w:sz w:val="20"/>
              </w:rPr>
              <w:t xml:space="preserve">/extra QALY </w:t>
            </w:r>
            <w:r w:rsidR="00B9709A" w:rsidRPr="00246C09">
              <w:rPr>
                <w:rFonts w:ascii="Arial Narrow" w:hAnsi="Arial Narrow"/>
                <w:b/>
                <w:sz w:val="20"/>
              </w:rPr>
              <w:t>forgone</w:t>
            </w:r>
          </w:p>
        </w:tc>
        <w:tc>
          <w:tcPr>
            <w:tcW w:w="838" w:type="pct"/>
            <w:vAlign w:val="center"/>
          </w:tcPr>
          <w:p w:rsidR="0012295B" w:rsidRPr="00246C09" w:rsidRDefault="0012295B" w:rsidP="0012295B">
            <w:pPr>
              <w:jc w:val="center"/>
              <w:rPr>
                <w:rFonts w:ascii="Arial Narrow" w:hAnsi="Arial Narrow"/>
                <w:b/>
                <w:sz w:val="20"/>
              </w:rPr>
            </w:pPr>
            <w:r w:rsidRPr="00246C09">
              <w:rPr>
                <w:rFonts w:ascii="Arial Narrow" w:hAnsi="Arial Narrow"/>
                <w:b/>
                <w:sz w:val="20"/>
              </w:rPr>
              <w:t>$</w:t>
            </w:r>
            <w:r w:rsidR="00DB34FC">
              <w:rPr>
                <w:rFonts w:ascii="Arial Narrow" w:hAnsi="Arial Narrow"/>
                <w:b/>
                <w:noProof/>
                <w:color w:val="000000"/>
                <w:sz w:val="20"/>
                <w:highlight w:val="black"/>
              </w:rPr>
              <w:t>''''''''''''''</w:t>
            </w:r>
          </w:p>
        </w:tc>
      </w:tr>
    </w:tbl>
    <w:p w:rsidR="00D110BD" w:rsidRPr="00246C09" w:rsidRDefault="000E5FE4" w:rsidP="002570C5">
      <w:pPr>
        <w:pStyle w:val="TableFooter"/>
        <w:ind w:firstLine="709"/>
      </w:pPr>
      <w:r w:rsidRPr="00246C09">
        <w:t>Source: Table D-4,</w:t>
      </w:r>
      <w:r w:rsidR="00906077" w:rsidRPr="00246C09">
        <w:t xml:space="preserve"> p</w:t>
      </w:r>
      <w:r w:rsidRPr="00246C09">
        <w:t>121</w:t>
      </w:r>
      <w:r w:rsidR="00906077" w:rsidRPr="00246C09">
        <w:t xml:space="preserve"> </w:t>
      </w:r>
      <w:r w:rsidR="007265FB" w:rsidRPr="00246C09">
        <w:t xml:space="preserve">of the </w:t>
      </w:r>
      <w:r w:rsidRPr="00246C09">
        <w:t>re</w:t>
      </w:r>
      <w:r w:rsidR="007265FB" w:rsidRPr="00246C09">
        <w:t>submissio</w:t>
      </w:r>
      <w:r w:rsidR="00906077" w:rsidRPr="00246C09">
        <w:t>n</w:t>
      </w:r>
    </w:p>
    <w:p w:rsidR="007F15B9" w:rsidRPr="00500989" w:rsidRDefault="007F15B9" w:rsidP="00500989">
      <w:pPr>
        <w:widowControl/>
        <w:rPr>
          <w:szCs w:val="22"/>
        </w:rPr>
      </w:pPr>
    </w:p>
    <w:p w:rsidR="00FA1EC7" w:rsidRPr="00246C09" w:rsidRDefault="00590C35" w:rsidP="00FA1EC7">
      <w:pPr>
        <w:pStyle w:val="ListParagraph"/>
        <w:widowControl/>
        <w:numPr>
          <w:ilvl w:val="1"/>
          <w:numId w:val="5"/>
        </w:numPr>
      </w:pPr>
      <w:r w:rsidRPr="00246C09">
        <w:t>The ESC</w:t>
      </w:r>
      <w:r w:rsidR="00500989">
        <w:t xml:space="preserve"> advised</w:t>
      </w:r>
      <w:r w:rsidRPr="00246C09">
        <w:t xml:space="preserve"> that the </w:t>
      </w:r>
      <w:r w:rsidR="00B9709A" w:rsidRPr="00246C09">
        <w:t>ICER</w:t>
      </w:r>
      <w:r w:rsidRPr="00246C09">
        <w:t xml:space="preserve"> shown in Table 8 above </w:t>
      </w:r>
      <w:r w:rsidR="00B9709A" w:rsidRPr="00246C09">
        <w:t>need</w:t>
      </w:r>
      <w:r w:rsidR="00500989">
        <w:t>ed</w:t>
      </w:r>
      <w:r w:rsidR="00B9709A" w:rsidRPr="00246C09">
        <w:t xml:space="preserve"> to</w:t>
      </w:r>
      <w:r w:rsidRPr="00246C09">
        <w:t xml:space="preserve"> be interpreted as a</w:t>
      </w:r>
      <w:r w:rsidR="00B9709A" w:rsidRPr="00246C09">
        <w:t>n incremental</w:t>
      </w:r>
      <w:r w:rsidRPr="00246C09">
        <w:t xml:space="preserve"> saving per QALY forgone. The ESC </w:t>
      </w:r>
      <w:r w:rsidR="00500989">
        <w:t>further advised</w:t>
      </w:r>
      <w:r w:rsidR="00DE013B" w:rsidRPr="00246C09">
        <w:t xml:space="preserve"> that the interpretation of ICERs in the south-west quadrant of the cost-effectiveness plane </w:t>
      </w:r>
      <w:r w:rsidR="00DB2032" w:rsidRPr="00246C09">
        <w:t>is not the</w:t>
      </w:r>
      <w:r w:rsidR="00DE013B" w:rsidRPr="00246C09">
        <w:t xml:space="preserve"> same as ICER</w:t>
      </w:r>
      <w:r w:rsidR="00DB2032" w:rsidRPr="00246C09">
        <w:t>s</w:t>
      </w:r>
      <w:r w:rsidR="00DE013B" w:rsidRPr="00246C09">
        <w:t xml:space="preserve"> in the north-east quadrant as </w:t>
      </w:r>
      <w:r w:rsidR="00FA1EC7" w:rsidRPr="00246C09">
        <w:rPr>
          <w:iCs/>
        </w:rPr>
        <w:t xml:space="preserve">reduced effectiveness may require a greater than equal reduction in price and consideration is required regarding how much of a cost saving would be required to compensate for the reduced effectiveness of </w:t>
      </w:r>
      <w:proofErr w:type="spellStart"/>
      <w:r w:rsidR="00FA1EC7" w:rsidRPr="00246C09">
        <w:rPr>
          <w:iCs/>
        </w:rPr>
        <w:t>apremilast</w:t>
      </w:r>
      <w:proofErr w:type="spellEnd"/>
      <w:r w:rsidR="00FA1EC7" w:rsidRPr="00246C09">
        <w:rPr>
          <w:iCs/>
        </w:rPr>
        <w:t xml:space="preserve"> compared with adalimumab (and all other bDMARDs). </w:t>
      </w:r>
      <w:r w:rsidR="00FA1EC7" w:rsidRPr="00246C09">
        <w:t xml:space="preserve">A loss of QALYs may not be acceptable, even in the face of potential cost savings (the magnitude of which is uncertain). </w:t>
      </w:r>
      <w:r w:rsidR="00500989">
        <w:t>As such, t</w:t>
      </w:r>
      <w:r w:rsidR="00FA1EC7" w:rsidRPr="00246C09">
        <w:t xml:space="preserve">his </w:t>
      </w:r>
      <w:r w:rsidR="00500989">
        <w:t>re</w:t>
      </w:r>
      <w:r w:rsidR="00FA1EC7" w:rsidRPr="00246C09">
        <w:t xml:space="preserve">submission </w:t>
      </w:r>
      <w:r w:rsidR="00500989">
        <w:t>was effectively</w:t>
      </w:r>
      <w:r w:rsidR="00FA1EC7" w:rsidRPr="00246C09">
        <w:t xml:space="preserve"> proposing, by proxy, for patients to pay (in terms of QALY loss) for convenience (mode of administration).</w:t>
      </w:r>
    </w:p>
    <w:p w:rsidR="00FA1EC7" w:rsidRPr="00500989" w:rsidRDefault="00FA1EC7" w:rsidP="00FA1EC7">
      <w:pPr>
        <w:widowControl/>
      </w:pPr>
    </w:p>
    <w:p w:rsidR="00FA1EC7" w:rsidRPr="00FA1EC7" w:rsidRDefault="00FA1EC7" w:rsidP="00FA1EC7">
      <w:pPr>
        <w:pStyle w:val="ListParagraph"/>
        <w:widowControl/>
        <w:numPr>
          <w:ilvl w:val="1"/>
          <w:numId w:val="5"/>
        </w:numPr>
      </w:pPr>
      <w:r w:rsidRPr="00246C09">
        <w:rPr>
          <w:iCs/>
        </w:rPr>
        <w:t xml:space="preserve">The </w:t>
      </w:r>
      <w:r w:rsidR="00B9709A" w:rsidRPr="00246C09">
        <w:t xml:space="preserve">ESC </w:t>
      </w:r>
      <w:r w:rsidR="00500989">
        <w:t>advised</w:t>
      </w:r>
      <w:r w:rsidR="00B9709A" w:rsidRPr="00246C09">
        <w:t xml:space="preserve"> that an ICER in the south-west quadrant for this </w:t>
      </w:r>
      <w:proofErr w:type="spellStart"/>
      <w:r w:rsidR="00B9709A" w:rsidRPr="00246C09">
        <w:t>apremilast</w:t>
      </w:r>
      <w:proofErr w:type="spellEnd"/>
      <w:r w:rsidR="00B9709A" w:rsidRPr="00246C09">
        <w:t xml:space="preserve"> resubmission was </w:t>
      </w:r>
      <w:r w:rsidR="00DB2032" w:rsidRPr="00246C09">
        <w:t xml:space="preserve">difficult to interpret </w:t>
      </w:r>
      <w:r w:rsidR="00B9709A" w:rsidRPr="00246C09">
        <w:t xml:space="preserve">given the </w:t>
      </w:r>
      <w:r w:rsidR="00DB2032" w:rsidRPr="00246C09">
        <w:t xml:space="preserve">proposed positioning of </w:t>
      </w:r>
      <w:proofErr w:type="spellStart"/>
      <w:r w:rsidR="00DB2032" w:rsidRPr="00246C09">
        <w:t>apremilast</w:t>
      </w:r>
      <w:proofErr w:type="spellEnd"/>
      <w:r w:rsidR="00DB2032" w:rsidRPr="00246C09">
        <w:t xml:space="preserve"> would</w:t>
      </w:r>
      <w:r w:rsidR="00DB2032" w:rsidRPr="00246C09">
        <w:rPr>
          <w:iCs/>
          <w:szCs w:val="22"/>
        </w:rPr>
        <w:t xml:space="preserve"> inappropriately</w:t>
      </w:r>
      <w:r w:rsidR="00DB2032" w:rsidRPr="00FA1EC7">
        <w:rPr>
          <w:iCs/>
          <w:szCs w:val="22"/>
        </w:rPr>
        <w:t xml:space="preserve"> limit patients to two bDMARDs in a cycle of therapy</w:t>
      </w:r>
      <w:r w:rsidR="00500989">
        <w:rPr>
          <w:iCs/>
          <w:szCs w:val="22"/>
        </w:rPr>
        <w:t>,</w:t>
      </w:r>
      <w:r w:rsidR="00DB2032" w:rsidRPr="00FA1EC7">
        <w:rPr>
          <w:iCs/>
          <w:szCs w:val="22"/>
        </w:rPr>
        <w:t xml:space="preserve"> and the </w:t>
      </w:r>
      <w:r w:rsidR="0062605C" w:rsidRPr="00FA1EC7">
        <w:rPr>
          <w:iCs/>
          <w:szCs w:val="22"/>
        </w:rPr>
        <w:t>“</w:t>
      </w:r>
      <w:r w:rsidR="00DB2032" w:rsidRPr="00FA1EC7">
        <w:rPr>
          <w:iCs/>
          <w:szCs w:val="22"/>
        </w:rPr>
        <w:t>eligible but unwilling</w:t>
      </w:r>
      <w:r w:rsidR="0062605C" w:rsidRPr="00FA1EC7">
        <w:rPr>
          <w:iCs/>
          <w:szCs w:val="22"/>
        </w:rPr>
        <w:t>”</w:t>
      </w:r>
      <w:r w:rsidR="00DB2032" w:rsidRPr="00FA1EC7">
        <w:rPr>
          <w:iCs/>
          <w:szCs w:val="22"/>
        </w:rPr>
        <w:t xml:space="preserve"> population were not factored into the </w:t>
      </w:r>
      <w:r w:rsidR="0062605C" w:rsidRPr="00FA1EC7">
        <w:rPr>
          <w:iCs/>
          <w:szCs w:val="22"/>
        </w:rPr>
        <w:t xml:space="preserve">clinical or </w:t>
      </w:r>
      <w:r w:rsidR="00DB2032" w:rsidRPr="00FA1EC7">
        <w:rPr>
          <w:iCs/>
          <w:szCs w:val="22"/>
        </w:rPr>
        <w:t>economic considerations</w:t>
      </w:r>
      <w:r w:rsidR="00DB2032" w:rsidRPr="00FA1EC7">
        <w:rPr>
          <w:i/>
          <w:iCs/>
          <w:szCs w:val="22"/>
        </w:rPr>
        <w:t>.</w:t>
      </w:r>
      <w:r w:rsidRPr="00FA1EC7">
        <w:rPr>
          <w:i/>
        </w:rPr>
        <w:t xml:space="preserve"> </w:t>
      </w:r>
      <w:r w:rsidRPr="00FA1EC7">
        <w:rPr>
          <w:iCs/>
        </w:rPr>
        <w:t xml:space="preserve">Additionally, consideration </w:t>
      </w:r>
      <w:r w:rsidR="00500989">
        <w:rPr>
          <w:iCs/>
        </w:rPr>
        <w:t>would be</w:t>
      </w:r>
      <w:r w:rsidRPr="00FA1EC7">
        <w:rPr>
          <w:iCs/>
        </w:rPr>
        <w:t xml:space="preserve"> required regarding the </w:t>
      </w:r>
      <w:r w:rsidRPr="00FA1EC7">
        <w:rPr>
          <w:iCs/>
        </w:rPr>
        <w:lastRenderedPageBreak/>
        <w:t>opportunity costs</w:t>
      </w:r>
      <w:r w:rsidR="00500989">
        <w:rPr>
          <w:iCs/>
        </w:rPr>
        <w:t>,</w:t>
      </w:r>
      <w:r w:rsidRPr="00FA1EC7">
        <w:rPr>
          <w:iCs/>
        </w:rPr>
        <w:t xml:space="preserve"> and whether the cost savings</w:t>
      </w:r>
      <w:r w:rsidR="00500989" w:rsidRPr="00FA1EC7">
        <w:rPr>
          <w:iCs/>
        </w:rPr>
        <w:t xml:space="preserve"> </w:t>
      </w:r>
      <w:r w:rsidR="00500989">
        <w:rPr>
          <w:iCs/>
        </w:rPr>
        <w:t>are</w:t>
      </w:r>
      <w:r w:rsidR="00500989" w:rsidRPr="00FA1EC7">
        <w:rPr>
          <w:iCs/>
        </w:rPr>
        <w:t xml:space="preserve"> reasonable</w:t>
      </w:r>
      <w:r w:rsidRPr="00FA1EC7">
        <w:rPr>
          <w:iCs/>
        </w:rPr>
        <w:t xml:space="preserve">, </w:t>
      </w:r>
      <w:r w:rsidR="00500989">
        <w:rPr>
          <w:iCs/>
        </w:rPr>
        <w:t xml:space="preserve">because they </w:t>
      </w:r>
      <w:r w:rsidRPr="00FA1EC7">
        <w:rPr>
          <w:iCs/>
        </w:rPr>
        <w:t xml:space="preserve">may allow for accumulation of QALYs among patients other than those with </w:t>
      </w:r>
      <w:proofErr w:type="spellStart"/>
      <w:r w:rsidRPr="00FA1EC7">
        <w:rPr>
          <w:iCs/>
        </w:rPr>
        <w:t>PsA</w:t>
      </w:r>
      <w:proofErr w:type="spellEnd"/>
      <w:r w:rsidRPr="00FA1EC7">
        <w:rPr>
          <w:iCs/>
        </w:rPr>
        <w:t xml:space="preserve">, rather than optimising QALY gains among </w:t>
      </w:r>
      <w:proofErr w:type="spellStart"/>
      <w:r w:rsidRPr="00FA1EC7">
        <w:rPr>
          <w:iCs/>
        </w:rPr>
        <w:t>PsA</w:t>
      </w:r>
      <w:proofErr w:type="spellEnd"/>
      <w:r w:rsidRPr="00FA1EC7">
        <w:rPr>
          <w:iCs/>
        </w:rPr>
        <w:t xml:space="preserve"> patients.</w:t>
      </w:r>
    </w:p>
    <w:p w:rsidR="00CD2359" w:rsidRPr="00FA1EC7" w:rsidRDefault="00CD2359" w:rsidP="00FA1EC7">
      <w:pPr>
        <w:widowControl/>
        <w:rPr>
          <w:i/>
        </w:rPr>
      </w:pPr>
    </w:p>
    <w:p w:rsidR="00CD2359" w:rsidRPr="002E4CD2" w:rsidRDefault="00FE13B6" w:rsidP="00582D67">
      <w:pPr>
        <w:pStyle w:val="ListParagraph"/>
        <w:widowControl/>
        <w:numPr>
          <w:ilvl w:val="1"/>
          <w:numId w:val="5"/>
        </w:numPr>
      </w:pPr>
      <w:r w:rsidRPr="002E4CD2">
        <w:t>Due to</w:t>
      </w:r>
      <w:r w:rsidR="00CD2359" w:rsidRPr="002E4CD2">
        <w:t xml:space="preserve"> the</w:t>
      </w:r>
      <w:r w:rsidRPr="002E4CD2">
        <w:t xml:space="preserve"> unclear clinical place of </w:t>
      </w:r>
      <w:proofErr w:type="spellStart"/>
      <w:r w:rsidRPr="002E4CD2">
        <w:t>apremilast</w:t>
      </w:r>
      <w:proofErr w:type="spellEnd"/>
      <w:r w:rsidRPr="002E4CD2">
        <w:t xml:space="preserve"> and</w:t>
      </w:r>
      <w:r w:rsidR="00CD2359" w:rsidRPr="002E4CD2">
        <w:t xml:space="preserve"> </w:t>
      </w:r>
      <w:r w:rsidRPr="002E4CD2">
        <w:t xml:space="preserve">the issues associated with the </w:t>
      </w:r>
      <w:r w:rsidR="00CD2359" w:rsidRPr="002E4CD2">
        <w:t xml:space="preserve">model, the ESC considered that a cost-minimisation analysis compared to </w:t>
      </w:r>
      <w:proofErr w:type="spellStart"/>
      <w:r w:rsidR="00CD2359" w:rsidRPr="002E4CD2">
        <w:t>leflunomide</w:t>
      </w:r>
      <w:proofErr w:type="spellEnd"/>
      <w:r w:rsidR="00CD2359" w:rsidRPr="002E4CD2">
        <w:t xml:space="preserve"> may be </w:t>
      </w:r>
      <w:r w:rsidR="00500989">
        <w:t>a more</w:t>
      </w:r>
      <w:r w:rsidR="00CD2359" w:rsidRPr="002E4CD2">
        <w:t xml:space="preserve"> appropriate economic evaluation</w:t>
      </w:r>
      <w:r w:rsidRPr="002E4CD2">
        <w:t xml:space="preserve">, noting that </w:t>
      </w:r>
      <w:proofErr w:type="spellStart"/>
      <w:r w:rsidRPr="002E4CD2">
        <w:t>apremilast</w:t>
      </w:r>
      <w:proofErr w:type="spellEnd"/>
      <w:r w:rsidRPr="002E4CD2">
        <w:t xml:space="preserve"> </w:t>
      </w:r>
      <w:proofErr w:type="gramStart"/>
      <w:r w:rsidRPr="002E4CD2">
        <w:t>should</w:t>
      </w:r>
      <w:proofErr w:type="gramEnd"/>
      <w:r w:rsidRPr="002E4CD2">
        <w:t xml:space="preserve"> replace the use of a DMARD (sulfasalazine or </w:t>
      </w:r>
      <w:proofErr w:type="spellStart"/>
      <w:r w:rsidRPr="002E4CD2">
        <w:t>leflunomide</w:t>
      </w:r>
      <w:proofErr w:type="spellEnd"/>
      <w:r w:rsidRPr="002E4CD2">
        <w:t>) and not be an additional line of therapy that ma</w:t>
      </w:r>
      <w:r w:rsidR="00500989">
        <w:t>y delay treatment with bDMARDs.</w:t>
      </w:r>
    </w:p>
    <w:p w:rsidR="00590C35" w:rsidRPr="002E4CD2" w:rsidRDefault="00590C35" w:rsidP="00590C35">
      <w:pPr>
        <w:widowControl/>
      </w:pPr>
    </w:p>
    <w:p w:rsidR="000E5FE4" w:rsidRDefault="007F15B9" w:rsidP="00582D67">
      <w:pPr>
        <w:pStyle w:val="ListParagraph"/>
        <w:widowControl/>
        <w:numPr>
          <w:ilvl w:val="1"/>
          <w:numId w:val="5"/>
        </w:numPr>
      </w:pPr>
      <w:r w:rsidRPr="007F15B9">
        <w:t>U</w:t>
      </w:r>
      <w:r w:rsidR="00A86E8B" w:rsidRPr="007F15B9">
        <w:t>nivari</w:t>
      </w:r>
      <w:r w:rsidRPr="007F15B9">
        <w:t>ate sensitivity analyses show</w:t>
      </w:r>
      <w:r w:rsidR="00030BF1">
        <w:t>ed</w:t>
      </w:r>
      <w:r w:rsidRPr="007F15B9">
        <w:t xml:space="preserve"> that that the </w:t>
      </w:r>
      <w:r w:rsidRPr="00D13A3E">
        <w:t>mode</w:t>
      </w:r>
      <w:r w:rsidR="00030BF1">
        <w:t xml:space="preserve">l </w:t>
      </w:r>
      <w:r w:rsidR="00E656C4">
        <w:t xml:space="preserve">in the resubmission </w:t>
      </w:r>
      <w:r w:rsidR="00030BF1">
        <w:t>wa</w:t>
      </w:r>
      <w:r>
        <w:t xml:space="preserve">s most sensitive to the assumption that no patients go onto best supportive care (treatment cycling), the short-term relapse rates for adalimumab versus </w:t>
      </w:r>
      <w:proofErr w:type="spellStart"/>
      <w:r>
        <w:t>apremilast</w:t>
      </w:r>
      <w:proofErr w:type="spellEnd"/>
      <w:r>
        <w:t xml:space="preserve">, the utility value of best supportive care, the incremental utility of responder vs. non-responder and responder vs. baseline/BSC, and </w:t>
      </w:r>
      <w:r w:rsidR="00E656C4">
        <w:t xml:space="preserve">the </w:t>
      </w:r>
      <w:r>
        <w:t>incremental ACR50 initial response rates</w:t>
      </w:r>
      <w:r w:rsidR="000A633C">
        <w:t xml:space="preserve"> for adalimumab vs. </w:t>
      </w:r>
      <w:proofErr w:type="spellStart"/>
      <w:r w:rsidR="00A20168">
        <w:t>apremilast</w:t>
      </w:r>
      <w:proofErr w:type="spellEnd"/>
      <w:r w:rsidR="000E5FE4">
        <w:t>.</w:t>
      </w:r>
    </w:p>
    <w:p w:rsidR="00C25D9C" w:rsidRDefault="00C25D9C" w:rsidP="00C25D9C">
      <w:pPr>
        <w:widowControl/>
        <w:rPr>
          <w:szCs w:val="22"/>
        </w:rPr>
      </w:pPr>
    </w:p>
    <w:p w:rsidR="002C1A10" w:rsidRPr="002C1A10" w:rsidRDefault="002C1A10" w:rsidP="002C1A10">
      <w:pPr>
        <w:pStyle w:val="ListParagraph"/>
        <w:widowControl/>
        <w:rPr>
          <w:i/>
          <w:szCs w:val="22"/>
        </w:rPr>
      </w:pPr>
      <w:r>
        <w:rPr>
          <w:i/>
          <w:iCs/>
        </w:rPr>
        <w:t>For more detail on PBAC’s view, see section 7 “PBAC outcome”</w:t>
      </w:r>
      <w:r w:rsidR="00E656C4">
        <w:rPr>
          <w:i/>
          <w:iCs/>
        </w:rPr>
        <w:t>.</w:t>
      </w:r>
    </w:p>
    <w:p w:rsidR="002C1A10" w:rsidRDefault="002C1A10" w:rsidP="00C25D9C">
      <w:pPr>
        <w:widowControl/>
        <w:rPr>
          <w:szCs w:val="22"/>
        </w:rPr>
      </w:pPr>
    </w:p>
    <w:p w:rsidR="00C25D9C" w:rsidRPr="00497F10" w:rsidRDefault="00CA300F" w:rsidP="0093180A">
      <w:pPr>
        <w:pStyle w:val="Heading2"/>
        <w:rPr>
          <w:szCs w:val="22"/>
        </w:rPr>
      </w:pPr>
      <w:bookmarkStart w:id="17" w:name="_Toc430164103"/>
      <w:r w:rsidRPr="00E656C4">
        <w:t xml:space="preserve">Drug </w:t>
      </w:r>
      <w:r w:rsidRPr="0093180A">
        <w:t>cost</w:t>
      </w:r>
      <w:r w:rsidRPr="00E656C4">
        <w:t xml:space="preserve">/patient/year: </w:t>
      </w:r>
      <w:r>
        <w:t>$</w:t>
      </w:r>
      <w:r w:rsidR="00DB34FC">
        <w:rPr>
          <w:noProof/>
          <w:color w:val="000000"/>
          <w:highlight w:val="black"/>
        </w:rPr>
        <w:t>''''''''''''''''''</w:t>
      </w:r>
      <w:r w:rsidR="00C25D9C" w:rsidRPr="00497F10">
        <w:t>.</w:t>
      </w:r>
      <w:bookmarkEnd w:id="17"/>
    </w:p>
    <w:p w:rsidR="00C25D9C" w:rsidRPr="00C25D9C" w:rsidRDefault="00C25D9C" w:rsidP="00C25D9C">
      <w:pPr>
        <w:widowControl/>
        <w:rPr>
          <w:szCs w:val="22"/>
        </w:rPr>
      </w:pPr>
    </w:p>
    <w:p w:rsidR="001C4621" w:rsidRPr="00CC4A6E" w:rsidRDefault="00CA300F" w:rsidP="009E39E3">
      <w:pPr>
        <w:pStyle w:val="ListParagraph"/>
        <w:keepNext/>
        <w:keepLines/>
        <w:widowControl/>
        <w:numPr>
          <w:ilvl w:val="1"/>
          <w:numId w:val="5"/>
        </w:numPr>
        <w:snapToGrid w:val="0"/>
        <w:rPr>
          <w:iCs/>
          <w:szCs w:val="22"/>
        </w:rPr>
      </w:pPr>
      <w:r w:rsidRPr="00CC4A6E">
        <w:t>$</w:t>
      </w:r>
      <w:r w:rsidR="00DB34FC">
        <w:rPr>
          <w:noProof/>
          <w:color w:val="000000"/>
          <w:highlight w:val="black"/>
        </w:rPr>
        <w:t>''''''''''''''''''''''''''</w:t>
      </w:r>
      <w:r w:rsidRPr="00CC4A6E">
        <w:t xml:space="preserve"> per patient per year based on the requested price and assuming one initiation and 12 maintenance scripts per year. </w:t>
      </w:r>
      <w:r w:rsidR="001C4621" w:rsidRPr="00CC4A6E">
        <w:t>This compares with a cost of $</w:t>
      </w:r>
      <w:r w:rsidR="00DB34FC">
        <w:rPr>
          <w:noProof/>
          <w:color w:val="000000"/>
          <w:highlight w:val="black"/>
        </w:rPr>
        <w:t>'''''''''''''''''''''''''</w:t>
      </w:r>
      <w:r w:rsidR="001C4621" w:rsidRPr="00CC4A6E">
        <w:t xml:space="preserve"> for adalimumab, assuming the July 2015 PBS price of $</w:t>
      </w:r>
      <w:r w:rsidR="00DB34FC">
        <w:rPr>
          <w:noProof/>
          <w:color w:val="000000"/>
          <w:highlight w:val="black"/>
        </w:rPr>
        <w:t>'''''''''''''''''''</w:t>
      </w:r>
      <w:r w:rsidR="001C4621" w:rsidRPr="00CC4A6E">
        <w:t>, and 12.5 scripts per year.</w:t>
      </w:r>
      <w:r w:rsidR="0089236D" w:rsidRPr="00CC4A6E">
        <w:t xml:space="preserve"> The savings per patient per year would be $</w:t>
      </w:r>
      <w:r w:rsidR="00DB34FC">
        <w:rPr>
          <w:noProof/>
          <w:color w:val="000000"/>
          <w:highlight w:val="black"/>
        </w:rPr>
        <w:t>'''''''''''''''''''''''</w:t>
      </w:r>
      <w:r w:rsidR="0089236D" w:rsidRPr="00CC4A6E">
        <w:t>.</w:t>
      </w:r>
    </w:p>
    <w:p w:rsidR="00B60939" w:rsidRPr="00882085" w:rsidRDefault="00B60939" w:rsidP="001456B0">
      <w:pPr>
        <w:rPr>
          <w:szCs w:val="22"/>
        </w:rPr>
      </w:pPr>
    </w:p>
    <w:p w:rsidR="00B60939" w:rsidRPr="00E656C4" w:rsidRDefault="00B60939" w:rsidP="0093180A">
      <w:pPr>
        <w:pStyle w:val="Heading2"/>
      </w:pPr>
      <w:bookmarkStart w:id="18" w:name="_Toc430164104"/>
      <w:r w:rsidRPr="00E656C4">
        <w:t>Estimated PBS usage &amp; financial implications</w:t>
      </w:r>
      <w:bookmarkEnd w:id="18"/>
    </w:p>
    <w:p w:rsidR="00B60939" w:rsidRPr="00882085" w:rsidRDefault="00B60939" w:rsidP="00497F10"/>
    <w:p w:rsidR="00E172B0" w:rsidRPr="00CC4A6E" w:rsidRDefault="00C25D9C" w:rsidP="00030BF1">
      <w:pPr>
        <w:pStyle w:val="ListParagraph"/>
        <w:widowControl/>
        <w:numPr>
          <w:ilvl w:val="1"/>
          <w:numId w:val="5"/>
        </w:numPr>
        <w:rPr>
          <w:szCs w:val="22"/>
        </w:rPr>
      </w:pPr>
      <w:r w:rsidRPr="00CC4A6E">
        <w:t xml:space="preserve">This </w:t>
      </w:r>
      <w:r w:rsidR="0004231D" w:rsidRPr="00CC4A6E">
        <w:t>re</w:t>
      </w:r>
      <w:r w:rsidR="00030BF1" w:rsidRPr="00CC4A6E">
        <w:t>submission wa</w:t>
      </w:r>
      <w:r w:rsidR="00501591" w:rsidRPr="00CC4A6E">
        <w:t>s not</w:t>
      </w:r>
      <w:r w:rsidRPr="00CC4A6E">
        <w:t xml:space="preserve"> considered by DUSC</w:t>
      </w:r>
      <w:r w:rsidR="00E656C4">
        <w:t xml:space="preserve">. </w:t>
      </w:r>
      <w:r w:rsidR="0072557B" w:rsidRPr="00CC4A6E">
        <w:t>The resubmission use</w:t>
      </w:r>
      <w:r w:rsidR="00030BF1" w:rsidRPr="00CC4A6E">
        <w:t>d</w:t>
      </w:r>
      <w:r w:rsidR="00E656C4">
        <w:t xml:space="preserve"> a market-</w:t>
      </w:r>
      <w:r w:rsidR="0072557B" w:rsidRPr="00CC4A6E">
        <w:t xml:space="preserve">based approach, based on current PBS prescription data of bDMARDs for </w:t>
      </w:r>
      <w:proofErr w:type="spellStart"/>
      <w:r w:rsidR="0072557B" w:rsidRPr="00CC4A6E">
        <w:t>PsA</w:t>
      </w:r>
      <w:proofErr w:type="spellEnd"/>
      <w:r w:rsidR="0072557B" w:rsidRPr="00CC4A6E">
        <w:t xml:space="preserve">, and results of the expert clinician survey. </w:t>
      </w:r>
      <w:r w:rsidR="00C53156" w:rsidRPr="00CC4A6E">
        <w:rPr>
          <w:iCs/>
        </w:rPr>
        <w:t xml:space="preserve">There </w:t>
      </w:r>
      <w:r w:rsidR="00E656C4">
        <w:rPr>
          <w:iCs/>
        </w:rPr>
        <w:t>wa</w:t>
      </w:r>
      <w:r w:rsidR="00C53156" w:rsidRPr="00CC4A6E">
        <w:rPr>
          <w:iCs/>
        </w:rPr>
        <w:t>s no appropriately worded question in the survey from which to derive the proportion of untreated patients who are eligible but not treated with bDMARDs.</w:t>
      </w:r>
    </w:p>
    <w:p w:rsidR="00B52D4C" w:rsidRPr="00E656C4" w:rsidRDefault="00B52D4C" w:rsidP="00B52D4C">
      <w:pPr>
        <w:widowControl/>
        <w:rPr>
          <w:iCs/>
          <w:szCs w:val="22"/>
        </w:rPr>
      </w:pPr>
    </w:p>
    <w:p w:rsidR="00406535" w:rsidRPr="00CC4A6E" w:rsidRDefault="00406535" w:rsidP="00C53156">
      <w:pPr>
        <w:pStyle w:val="ListParagraph"/>
        <w:widowControl/>
        <w:numPr>
          <w:ilvl w:val="1"/>
          <w:numId w:val="5"/>
        </w:numPr>
        <w:rPr>
          <w:szCs w:val="22"/>
        </w:rPr>
      </w:pPr>
      <w:r w:rsidRPr="00CC4A6E">
        <w:t>T</w:t>
      </w:r>
      <w:r w:rsidR="00E42041" w:rsidRPr="00CC4A6E">
        <w:t xml:space="preserve">able </w:t>
      </w:r>
      <w:r w:rsidR="00796899">
        <w:t>9</w:t>
      </w:r>
      <w:r w:rsidR="00796899" w:rsidRPr="00CC4A6E">
        <w:t xml:space="preserve"> </w:t>
      </w:r>
      <w:r w:rsidRPr="00CC4A6E">
        <w:t xml:space="preserve">summarises the estimated use and financial implications of </w:t>
      </w:r>
      <w:r w:rsidR="00E656C4">
        <w:t xml:space="preserve">listing </w:t>
      </w:r>
      <w:proofErr w:type="spellStart"/>
      <w:r w:rsidR="00E656C4">
        <w:t>apremilast</w:t>
      </w:r>
      <w:proofErr w:type="spellEnd"/>
      <w:r w:rsidR="00E656C4">
        <w:t xml:space="preserve"> on the PBS. </w:t>
      </w:r>
      <w:r w:rsidR="00C53156" w:rsidRPr="00CC4A6E">
        <w:rPr>
          <w:iCs/>
        </w:rPr>
        <w:t>The net cost to the PBS estimated in the current resubmission is much lower than that estimated in the previous submission (see last row of the table).</w:t>
      </w:r>
    </w:p>
    <w:p w:rsidR="00B16BB6" w:rsidRDefault="00B16BB6">
      <w:pPr>
        <w:widowControl/>
        <w:jc w:val="left"/>
        <w:rPr>
          <w:szCs w:val="22"/>
        </w:rPr>
      </w:pPr>
      <w:r>
        <w:rPr>
          <w:szCs w:val="22"/>
        </w:rPr>
        <w:br w:type="page"/>
      </w:r>
    </w:p>
    <w:p w:rsidR="00C25D9C" w:rsidRDefault="00C25D9C" w:rsidP="00B240FD">
      <w:pPr>
        <w:widowControl/>
        <w:spacing w:line="720" w:lineRule="auto"/>
        <w:rPr>
          <w:szCs w:val="22"/>
        </w:rPr>
      </w:pPr>
    </w:p>
    <w:p w:rsidR="0004231D" w:rsidRPr="001222FC" w:rsidRDefault="0004231D" w:rsidP="00B608CF">
      <w:pPr>
        <w:ind w:firstLine="709"/>
        <w:rPr>
          <w:rStyle w:val="CommentReference"/>
        </w:rPr>
      </w:pPr>
      <w:r w:rsidRPr="001222FC">
        <w:rPr>
          <w:rStyle w:val="CommentReference"/>
        </w:rPr>
        <w:t xml:space="preserve">Table </w:t>
      </w:r>
      <w:r w:rsidR="00796899">
        <w:rPr>
          <w:rStyle w:val="CommentReference"/>
        </w:rPr>
        <w:t>9</w:t>
      </w:r>
      <w:r w:rsidRPr="001222FC">
        <w:rPr>
          <w:rStyle w:val="CommentReference"/>
        </w:rPr>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Utilisation estimates and financial implications"/>
      </w:tblPr>
      <w:tblGrid>
        <w:gridCol w:w="2552"/>
        <w:gridCol w:w="1140"/>
        <w:gridCol w:w="1133"/>
        <w:gridCol w:w="1133"/>
        <w:gridCol w:w="1135"/>
        <w:gridCol w:w="1252"/>
      </w:tblGrid>
      <w:tr w:rsidR="00B608CF" w:rsidRPr="00ED0F04" w:rsidTr="00B608CF">
        <w:trPr>
          <w:tblHeader/>
        </w:trPr>
        <w:tc>
          <w:tcPr>
            <w:tcW w:w="1529" w:type="pct"/>
            <w:shd w:val="clear" w:color="auto" w:fill="auto"/>
            <w:vAlign w:val="center"/>
          </w:tcPr>
          <w:p w:rsidR="0004231D" w:rsidRPr="00ED0F04" w:rsidRDefault="0004231D" w:rsidP="00577717">
            <w:pPr>
              <w:tabs>
                <w:tab w:val="left" w:pos="142"/>
              </w:tabs>
              <w:ind w:right="93"/>
              <w:jc w:val="left"/>
              <w:rPr>
                <w:rFonts w:ascii="Arial Narrow" w:hAnsi="Arial Narrow"/>
                <w:b/>
                <w:sz w:val="20"/>
              </w:rPr>
            </w:pPr>
          </w:p>
        </w:tc>
        <w:tc>
          <w:tcPr>
            <w:tcW w:w="683" w:type="pct"/>
            <w:shd w:val="clear" w:color="auto" w:fill="auto"/>
            <w:vAlign w:val="center"/>
          </w:tcPr>
          <w:p w:rsidR="0004231D" w:rsidRPr="00ED0F04" w:rsidRDefault="0004231D" w:rsidP="00577717">
            <w:pPr>
              <w:ind w:right="93"/>
              <w:jc w:val="center"/>
              <w:rPr>
                <w:rFonts w:ascii="Arial Narrow" w:hAnsi="Arial Narrow"/>
                <w:b/>
                <w:sz w:val="20"/>
              </w:rPr>
            </w:pPr>
            <w:r w:rsidRPr="00ED0F04">
              <w:rPr>
                <w:rFonts w:ascii="Arial Narrow" w:hAnsi="Arial Narrow"/>
                <w:b/>
                <w:sz w:val="20"/>
              </w:rPr>
              <w:t>Year 1</w:t>
            </w:r>
          </w:p>
        </w:tc>
        <w:tc>
          <w:tcPr>
            <w:tcW w:w="679" w:type="pct"/>
            <w:shd w:val="clear" w:color="auto" w:fill="auto"/>
            <w:vAlign w:val="center"/>
          </w:tcPr>
          <w:p w:rsidR="0004231D" w:rsidRPr="00ED0F04" w:rsidRDefault="0004231D" w:rsidP="00577717">
            <w:pPr>
              <w:ind w:right="93"/>
              <w:jc w:val="center"/>
              <w:rPr>
                <w:rFonts w:ascii="Arial Narrow" w:hAnsi="Arial Narrow"/>
                <w:b/>
                <w:sz w:val="20"/>
              </w:rPr>
            </w:pPr>
            <w:r w:rsidRPr="00ED0F04">
              <w:rPr>
                <w:rFonts w:ascii="Arial Narrow" w:hAnsi="Arial Narrow"/>
                <w:b/>
                <w:sz w:val="20"/>
              </w:rPr>
              <w:t>Year 2</w:t>
            </w:r>
          </w:p>
        </w:tc>
        <w:tc>
          <w:tcPr>
            <w:tcW w:w="679" w:type="pct"/>
            <w:shd w:val="clear" w:color="auto" w:fill="auto"/>
            <w:vAlign w:val="center"/>
          </w:tcPr>
          <w:p w:rsidR="0004231D" w:rsidRPr="00ED0F04" w:rsidRDefault="0004231D" w:rsidP="00577717">
            <w:pPr>
              <w:ind w:right="93"/>
              <w:jc w:val="center"/>
              <w:rPr>
                <w:rFonts w:ascii="Arial Narrow" w:hAnsi="Arial Narrow"/>
                <w:b/>
                <w:sz w:val="20"/>
              </w:rPr>
            </w:pPr>
            <w:r w:rsidRPr="00ED0F04">
              <w:rPr>
                <w:rFonts w:ascii="Arial Narrow" w:hAnsi="Arial Narrow"/>
                <w:b/>
                <w:sz w:val="20"/>
              </w:rPr>
              <w:t>Year 3</w:t>
            </w:r>
          </w:p>
        </w:tc>
        <w:tc>
          <w:tcPr>
            <w:tcW w:w="680" w:type="pct"/>
            <w:shd w:val="clear" w:color="auto" w:fill="auto"/>
            <w:vAlign w:val="center"/>
          </w:tcPr>
          <w:p w:rsidR="0004231D" w:rsidRPr="00ED0F04" w:rsidRDefault="0004231D" w:rsidP="00577717">
            <w:pPr>
              <w:ind w:right="93"/>
              <w:jc w:val="center"/>
              <w:rPr>
                <w:rFonts w:ascii="Arial Narrow" w:hAnsi="Arial Narrow"/>
                <w:b/>
                <w:sz w:val="20"/>
              </w:rPr>
            </w:pPr>
            <w:r w:rsidRPr="00ED0F04">
              <w:rPr>
                <w:rFonts w:ascii="Arial Narrow" w:hAnsi="Arial Narrow"/>
                <w:b/>
                <w:sz w:val="20"/>
              </w:rPr>
              <w:t>Year 4</w:t>
            </w:r>
          </w:p>
        </w:tc>
        <w:tc>
          <w:tcPr>
            <w:tcW w:w="750" w:type="pct"/>
            <w:shd w:val="clear" w:color="auto" w:fill="auto"/>
            <w:vAlign w:val="center"/>
          </w:tcPr>
          <w:p w:rsidR="0004231D" w:rsidRPr="00ED0F04" w:rsidRDefault="0004231D" w:rsidP="00577717">
            <w:pPr>
              <w:ind w:right="93"/>
              <w:jc w:val="center"/>
              <w:rPr>
                <w:rFonts w:ascii="Arial Narrow" w:hAnsi="Arial Narrow"/>
                <w:b/>
                <w:sz w:val="20"/>
              </w:rPr>
            </w:pPr>
            <w:r w:rsidRPr="00ED0F04">
              <w:rPr>
                <w:rFonts w:ascii="Arial Narrow" w:hAnsi="Arial Narrow"/>
                <w:b/>
                <w:sz w:val="20"/>
              </w:rPr>
              <w:t>Year 5</w:t>
            </w:r>
          </w:p>
        </w:tc>
      </w:tr>
      <w:tr w:rsidR="0004231D" w:rsidRPr="00ED0F04" w:rsidTr="00B608CF">
        <w:tc>
          <w:tcPr>
            <w:tcW w:w="5000" w:type="pct"/>
            <w:gridSpan w:val="6"/>
            <w:shd w:val="clear" w:color="auto" w:fill="auto"/>
            <w:vAlign w:val="center"/>
          </w:tcPr>
          <w:p w:rsidR="0004231D" w:rsidRPr="00ED0F04" w:rsidRDefault="0004231D" w:rsidP="00577717">
            <w:pPr>
              <w:ind w:right="93"/>
              <w:jc w:val="left"/>
              <w:rPr>
                <w:rFonts w:ascii="Arial Narrow" w:hAnsi="Arial Narrow"/>
                <w:b/>
                <w:bCs/>
                <w:color w:val="000000"/>
                <w:sz w:val="20"/>
              </w:rPr>
            </w:pPr>
            <w:r w:rsidRPr="00ED0F04">
              <w:rPr>
                <w:rFonts w:ascii="Arial Narrow" w:hAnsi="Arial Narrow"/>
                <w:b/>
                <w:bCs/>
                <w:color w:val="000000"/>
                <w:sz w:val="20"/>
              </w:rPr>
              <w:t>Estimated extent of use</w:t>
            </w:r>
          </w:p>
        </w:tc>
      </w:tr>
      <w:tr w:rsidR="00BD0D28" w:rsidRPr="00ED0F04" w:rsidTr="00B608CF">
        <w:tc>
          <w:tcPr>
            <w:tcW w:w="1529" w:type="pct"/>
            <w:shd w:val="clear" w:color="auto" w:fill="auto"/>
            <w:vAlign w:val="center"/>
          </w:tcPr>
          <w:p w:rsidR="00BD0D28" w:rsidRPr="00ED0F04" w:rsidRDefault="00BD0D28" w:rsidP="00577717">
            <w:pPr>
              <w:tabs>
                <w:tab w:val="left" w:pos="142"/>
              </w:tabs>
              <w:ind w:right="93"/>
              <w:jc w:val="left"/>
              <w:rPr>
                <w:rFonts w:ascii="Arial Narrow" w:hAnsi="Arial Narrow"/>
                <w:sz w:val="20"/>
              </w:rPr>
            </w:pPr>
            <w:r w:rsidRPr="00ED0F04">
              <w:rPr>
                <w:rFonts w:ascii="Arial Narrow" w:hAnsi="Arial Narrow"/>
                <w:sz w:val="20"/>
              </w:rPr>
              <w:t xml:space="preserve">Number </w:t>
            </w:r>
            <w:r>
              <w:rPr>
                <w:rFonts w:ascii="Arial Narrow" w:hAnsi="Arial Narrow"/>
                <w:sz w:val="20"/>
              </w:rPr>
              <w:t>initiating treatment</w:t>
            </w:r>
          </w:p>
        </w:tc>
        <w:tc>
          <w:tcPr>
            <w:tcW w:w="683" w:type="pct"/>
            <w:shd w:val="clear" w:color="auto" w:fill="auto"/>
            <w:vAlign w:val="center"/>
          </w:tcPr>
          <w:p w:rsidR="00BD0D28" w:rsidRPr="00DB34FC" w:rsidRDefault="00DB34FC" w:rsidP="00577717">
            <w:pPr>
              <w:ind w:right="93"/>
              <w:jc w:val="center"/>
              <w:rPr>
                <w:rFonts w:ascii="Arial Narrow" w:hAnsi="Arial Narrow"/>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BD0D28" w:rsidRPr="00DB34FC" w:rsidRDefault="00DB34FC" w:rsidP="00577717">
            <w:pPr>
              <w:ind w:right="93"/>
              <w:jc w:val="center"/>
              <w:rPr>
                <w:rFonts w:ascii="Arial Narrow" w:hAnsi="Arial Narrow"/>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BD0D28" w:rsidRPr="00DB34FC" w:rsidRDefault="00DB34FC" w:rsidP="00577717">
            <w:pPr>
              <w:ind w:right="93"/>
              <w:jc w:val="center"/>
              <w:rPr>
                <w:rFonts w:ascii="Arial Narrow" w:hAnsi="Arial Narrow"/>
                <w:color w:val="000000"/>
                <w:sz w:val="20"/>
                <w:highlight w:val="black"/>
              </w:rPr>
            </w:pPr>
            <w:r>
              <w:rPr>
                <w:rFonts w:ascii="Arial Narrow" w:hAnsi="Arial Narrow"/>
                <w:noProof/>
                <w:color w:val="000000"/>
                <w:sz w:val="20"/>
                <w:highlight w:val="black"/>
              </w:rPr>
              <w:t>'''''''''</w:t>
            </w:r>
          </w:p>
        </w:tc>
        <w:tc>
          <w:tcPr>
            <w:tcW w:w="680" w:type="pct"/>
            <w:shd w:val="clear" w:color="auto" w:fill="auto"/>
            <w:vAlign w:val="center"/>
          </w:tcPr>
          <w:p w:rsidR="00BD0D28" w:rsidRPr="00DB34FC" w:rsidRDefault="00DB34FC" w:rsidP="00577717">
            <w:pPr>
              <w:ind w:right="93"/>
              <w:jc w:val="center"/>
              <w:rPr>
                <w:rFonts w:ascii="Arial Narrow" w:hAnsi="Arial Narrow"/>
                <w:color w:val="000000"/>
                <w:sz w:val="20"/>
                <w:highlight w:val="black"/>
              </w:rPr>
            </w:pPr>
            <w:r>
              <w:rPr>
                <w:rFonts w:ascii="Arial Narrow" w:hAnsi="Arial Narrow"/>
                <w:noProof/>
                <w:color w:val="000000"/>
                <w:sz w:val="20"/>
                <w:highlight w:val="black"/>
              </w:rPr>
              <w:t>''''''''''</w:t>
            </w:r>
          </w:p>
        </w:tc>
        <w:tc>
          <w:tcPr>
            <w:tcW w:w="750" w:type="pct"/>
            <w:shd w:val="clear" w:color="auto" w:fill="auto"/>
            <w:vAlign w:val="center"/>
          </w:tcPr>
          <w:p w:rsidR="00BD0D28" w:rsidRPr="00DB34FC" w:rsidRDefault="00DB34FC" w:rsidP="00577717">
            <w:pPr>
              <w:ind w:right="93"/>
              <w:jc w:val="center"/>
              <w:rPr>
                <w:rFonts w:ascii="Arial Narrow" w:hAnsi="Arial Narrow"/>
                <w:color w:val="000000"/>
                <w:sz w:val="20"/>
                <w:highlight w:val="black"/>
              </w:rPr>
            </w:pPr>
            <w:r>
              <w:rPr>
                <w:rFonts w:ascii="Arial Narrow" w:hAnsi="Arial Narrow"/>
                <w:noProof/>
                <w:color w:val="000000"/>
                <w:sz w:val="20"/>
                <w:highlight w:val="black"/>
              </w:rPr>
              <w:t>''''''''''</w:t>
            </w:r>
          </w:p>
        </w:tc>
      </w:tr>
      <w:tr w:rsidR="00B608CF" w:rsidRPr="00ED0F04" w:rsidTr="00B608CF">
        <w:tc>
          <w:tcPr>
            <w:tcW w:w="1529" w:type="pct"/>
            <w:shd w:val="clear" w:color="auto" w:fill="auto"/>
            <w:vAlign w:val="center"/>
          </w:tcPr>
          <w:p w:rsidR="0004231D" w:rsidRDefault="0004231D" w:rsidP="00577717">
            <w:pPr>
              <w:tabs>
                <w:tab w:val="left" w:pos="142"/>
              </w:tabs>
              <w:ind w:right="93"/>
              <w:jc w:val="left"/>
              <w:rPr>
                <w:rFonts w:ascii="Arial Narrow" w:hAnsi="Arial Narrow"/>
                <w:sz w:val="20"/>
              </w:rPr>
            </w:pPr>
            <w:r>
              <w:rPr>
                <w:rFonts w:ascii="Arial Narrow" w:hAnsi="Arial Narrow"/>
                <w:sz w:val="20"/>
              </w:rPr>
              <w:t>Uptake rate</w:t>
            </w:r>
            <w:r w:rsidR="00DF5113">
              <w:rPr>
                <w:rFonts w:ascii="Arial Narrow" w:hAnsi="Arial Narrow"/>
                <w:sz w:val="20"/>
              </w:rPr>
              <w:t>:</w:t>
            </w:r>
          </w:p>
          <w:p w:rsidR="00DF5113" w:rsidRDefault="00DF5113" w:rsidP="00577717">
            <w:pPr>
              <w:tabs>
                <w:tab w:val="left" w:pos="142"/>
              </w:tabs>
              <w:ind w:right="93"/>
              <w:jc w:val="left"/>
              <w:rPr>
                <w:rFonts w:ascii="Arial Narrow" w:hAnsi="Arial Narrow"/>
                <w:sz w:val="20"/>
              </w:rPr>
            </w:pPr>
            <w:r>
              <w:rPr>
                <w:rFonts w:ascii="Arial Narrow" w:hAnsi="Arial Narrow"/>
                <w:sz w:val="20"/>
              </w:rPr>
              <w:t>bDMARD treated</w:t>
            </w:r>
          </w:p>
          <w:p w:rsidR="00DF5113" w:rsidRDefault="00DF5113" w:rsidP="00DF5113">
            <w:pPr>
              <w:tabs>
                <w:tab w:val="left" w:pos="142"/>
              </w:tabs>
              <w:ind w:right="93"/>
              <w:jc w:val="left"/>
              <w:rPr>
                <w:rFonts w:ascii="Arial Narrow" w:hAnsi="Arial Narrow"/>
                <w:sz w:val="20"/>
              </w:rPr>
            </w:pPr>
            <w:r>
              <w:rPr>
                <w:rFonts w:ascii="Arial Narrow" w:hAnsi="Arial Narrow"/>
                <w:sz w:val="20"/>
              </w:rPr>
              <w:t>Untreated, eligible but unwilling</w:t>
            </w:r>
          </w:p>
        </w:tc>
        <w:tc>
          <w:tcPr>
            <w:tcW w:w="683" w:type="pct"/>
            <w:shd w:val="clear" w:color="auto" w:fill="auto"/>
            <w:vAlign w:val="center"/>
          </w:tcPr>
          <w:p w:rsidR="00DF5113" w:rsidRDefault="00DF5113" w:rsidP="00577717">
            <w:pPr>
              <w:ind w:right="93"/>
              <w:jc w:val="center"/>
              <w:rPr>
                <w:rFonts w:ascii="Arial Narrow" w:hAnsi="Arial Narrow"/>
                <w:sz w:val="20"/>
              </w:rPr>
            </w:pPr>
          </w:p>
          <w:p w:rsidR="0004231D" w:rsidRDefault="00DF5113" w:rsidP="00577717">
            <w:pPr>
              <w:ind w:right="93"/>
              <w:jc w:val="center"/>
              <w:rPr>
                <w:rFonts w:ascii="Arial Narrow" w:hAnsi="Arial Narrow"/>
                <w:sz w:val="20"/>
              </w:rPr>
            </w:pPr>
            <w:r>
              <w:rPr>
                <w:rFonts w:ascii="Arial Narrow" w:hAnsi="Arial Narrow"/>
                <w:sz w:val="20"/>
              </w:rPr>
              <w:t>22</w:t>
            </w:r>
            <w:r w:rsidR="0004231D">
              <w:rPr>
                <w:rFonts w:ascii="Arial Narrow" w:hAnsi="Arial Narrow"/>
                <w:sz w:val="20"/>
              </w:rPr>
              <w:t>%</w:t>
            </w:r>
          </w:p>
          <w:p w:rsidR="00DF5113" w:rsidRPr="00BF6AF4" w:rsidRDefault="00DF5113" w:rsidP="00577717">
            <w:pPr>
              <w:ind w:right="93"/>
              <w:jc w:val="center"/>
              <w:rPr>
                <w:rFonts w:ascii="Arial Narrow" w:hAnsi="Arial Narrow"/>
                <w:sz w:val="20"/>
              </w:rPr>
            </w:pPr>
            <w:r>
              <w:rPr>
                <w:rFonts w:ascii="Arial Narrow" w:hAnsi="Arial Narrow"/>
                <w:sz w:val="20"/>
              </w:rPr>
              <w:t>66%</w:t>
            </w:r>
          </w:p>
        </w:tc>
        <w:tc>
          <w:tcPr>
            <w:tcW w:w="679" w:type="pct"/>
            <w:shd w:val="clear" w:color="auto" w:fill="auto"/>
            <w:vAlign w:val="center"/>
          </w:tcPr>
          <w:p w:rsidR="00DF5113" w:rsidRDefault="00DF5113" w:rsidP="00DF5113">
            <w:pPr>
              <w:ind w:right="93"/>
              <w:jc w:val="center"/>
              <w:rPr>
                <w:rFonts w:ascii="Arial Narrow" w:hAnsi="Arial Narrow"/>
                <w:sz w:val="20"/>
              </w:rPr>
            </w:pPr>
          </w:p>
          <w:p w:rsidR="00DF5113" w:rsidRDefault="00DF5113" w:rsidP="00DF5113">
            <w:pPr>
              <w:ind w:right="93"/>
              <w:jc w:val="center"/>
              <w:rPr>
                <w:rFonts w:ascii="Arial Narrow" w:hAnsi="Arial Narrow"/>
                <w:sz w:val="20"/>
              </w:rPr>
            </w:pPr>
            <w:r>
              <w:rPr>
                <w:rFonts w:ascii="Arial Narrow" w:hAnsi="Arial Narrow"/>
                <w:sz w:val="20"/>
              </w:rPr>
              <w:t>22%</w:t>
            </w:r>
          </w:p>
          <w:p w:rsidR="0004231D" w:rsidRPr="00BF6AF4" w:rsidRDefault="00DF5113" w:rsidP="00DF5113">
            <w:pPr>
              <w:ind w:right="93"/>
              <w:jc w:val="center"/>
              <w:rPr>
                <w:rFonts w:ascii="Arial Narrow" w:hAnsi="Arial Narrow"/>
                <w:sz w:val="20"/>
              </w:rPr>
            </w:pPr>
            <w:r>
              <w:rPr>
                <w:rFonts w:ascii="Arial Narrow" w:hAnsi="Arial Narrow"/>
                <w:sz w:val="20"/>
              </w:rPr>
              <w:t>66%</w:t>
            </w:r>
          </w:p>
        </w:tc>
        <w:tc>
          <w:tcPr>
            <w:tcW w:w="679" w:type="pct"/>
            <w:shd w:val="clear" w:color="auto" w:fill="auto"/>
            <w:vAlign w:val="center"/>
          </w:tcPr>
          <w:p w:rsidR="00DF5113" w:rsidRDefault="00DF5113" w:rsidP="00DF5113">
            <w:pPr>
              <w:ind w:right="93"/>
              <w:jc w:val="center"/>
              <w:rPr>
                <w:rFonts w:ascii="Arial Narrow" w:hAnsi="Arial Narrow"/>
                <w:sz w:val="20"/>
              </w:rPr>
            </w:pPr>
          </w:p>
          <w:p w:rsidR="00DF5113" w:rsidRDefault="00DF5113" w:rsidP="00DF5113">
            <w:pPr>
              <w:ind w:right="93"/>
              <w:jc w:val="center"/>
              <w:rPr>
                <w:rFonts w:ascii="Arial Narrow" w:hAnsi="Arial Narrow"/>
                <w:sz w:val="20"/>
              </w:rPr>
            </w:pPr>
            <w:r>
              <w:rPr>
                <w:rFonts w:ascii="Arial Narrow" w:hAnsi="Arial Narrow"/>
                <w:sz w:val="20"/>
              </w:rPr>
              <w:t>22%</w:t>
            </w:r>
          </w:p>
          <w:p w:rsidR="0004231D" w:rsidRPr="00BF6AF4" w:rsidRDefault="00DF5113" w:rsidP="00DF5113">
            <w:pPr>
              <w:ind w:right="93"/>
              <w:jc w:val="center"/>
              <w:rPr>
                <w:rFonts w:ascii="Arial Narrow" w:hAnsi="Arial Narrow"/>
                <w:sz w:val="20"/>
              </w:rPr>
            </w:pPr>
            <w:r>
              <w:rPr>
                <w:rFonts w:ascii="Arial Narrow" w:hAnsi="Arial Narrow"/>
                <w:sz w:val="20"/>
              </w:rPr>
              <w:t>66%</w:t>
            </w:r>
          </w:p>
        </w:tc>
        <w:tc>
          <w:tcPr>
            <w:tcW w:w="680" w:type="pct"/>
            <w:shd w:val="clear" w:color="auto" w:fill="auto"/>
            <w:vAlign w:val="center"/>
          </w:tcPr>
          <w:p w:rsidR="00DF5113" w:rsidRDefault="00DF5113" w:rsidP="00DF5113">
            <w:pPr>
              <w:ind w:right="93"/>
              <w:jc w:val="center"/>
              <w:rPr>
                <w:rFonts w:ascii="Arial Narrow" w:hAnsi="Arial Narrow"/>
                <w:sz w:val="20"/>
              </w:rPr>
            </w:pPr>
          </w:p>
          <w:p w:rsidR="00DF5113" w:rsidRDefault="00DF5113" w:rsidP="00DF5113">
            <w:pPr>
              <w:ind w:right="93"/>
              <w:jc w:val="center"/>
              <w:rPr>
                <w:rFonts w:ascii="Arial Narrow" w:hAnsi="Arial Narrow"/>
                <w:sz w:val="20"/>
              </w:rPr>
            </w:pPr>
            <w:r>
              <w:rPr>
                <w:rFonts w:ascii="Arial Narrow" w:hAnsi="Arial Narrow"/>
                <w:sz w:val="20"/>
              </w:rPr>
              <w:t>22%</w:t>
            </w:r>
          </w:p>
          <w:p w:rsidR="0004231D" w:rsidRPr="00BF6AF4" w:rsidRDefault="00DF5113" w:rsidP="00DF5113">
            <w:pPr>
              <w:ind w:right="93"/>
              <w:jc w:val="center"/>
              <w:rPr>
                <w:rFonts w:ascii="Arial Narrow" w:hAnsi="Arial Narrow"/>
                <w:sz w:val="20"/>
              </w:rPr>
            </w:pPr>
            <w:r>
              <w:rPr>
                <w:rFonts w:ascii="Arial Narrow" w:hAnsi="Arial Narrow"/>
                <w:sz w:val="20"/>
              </w:rPr>
              <w:t>66%</w:t>
            </w:r>
          </w:p>
        </w:tc>
        <w:tc>
          <w:tcPr>
            <w:tcW w:w="750" w:type="pct"/>
            <w:shd w:val="clear" w:color="auto" w:fill="auto"/>
            <w:vAlign w:val="center"/>
          </w:tcPr>
          <w:p w:rsidR="00DF5113" w:rsidRDefault="00DF5113" w:rsidP="00DF5113">
            <w:pPr>
              <w:ind w:right="93"/>
              <w:jc w:val="center"/>
              <w:rPr>
                <w:rFonts w:ascii="Arial Narrow" w:hAnsi="Arial Narrow"/>
                <w:sz w:val="20"/>
              </w:rPr>
            </w:pPr>
          </w:p>
          <w:p w:rsidR="00DF5113" w:rsidRDefault="00DF5113" w:rsidP="00DF5113">
            <w:pPr>
              <w:ind w:right="93"/>
              <w:jc w:val="center"/>
              <w:rPr>
                <w:rFonts w:ascii="Arial Narrow" w:hAnsi="Arial Narrow"/>
                <w:sz w:val="20"/>
              </w:rPr>
            </w:pPr>
            <w:r>
              <w:rPr>
                <w:rFonts w:ascii="Arial Narrow" w:hAnsi="Arial Narrow"/>
                <w:sz w:val="20"/>
              </w:rPr>
              <w:t>22%</w:t>
            </w:r>
          </w:p>
          <w:p w:rsidR="0004231D" w:rsidRPr="00BF6AF4" w:rsidRDefault="00DF5113" w:rsidP="00DF5113">
            <w:pPr>
              <w:ind w:right="93"/>
              <w:jc w:val="center"/>
              <w:rPr>
                <w:rFonts w:ascii="Arial Narrow" w:hAnsi="Arial Narrow"/>
                <w:sz w:val="20"/>
              </w:rPr>
            </w:pPr>
            <w:r>
              <w:rPr>
                <w:rFonts w:ascii="Arial Narrow" w:hAnsi="Arial Narrow"/>
                <w:sz w:val="20"/>
              </w:rPr>
              <w:t>66%</w:t>
            </w:r>
          </w:p>
        </w:tc>
      </w:tr>
      <w:tr w:rsidR="00B608CF" w:rsidRPr="00ED0F04" w:rsidTr="00B608CF">
        <w:tc>
          <w:tcPr>
            <w:tcW w:w="1529" w:type="pct"/>
            <w:shd w:val="clear" w:color="auto" w:fill="auto"/>
            <w:vAlign w:val="center"/>
          </w:tcPr>
          <w:p w:rsidR="0004231D" w:rsidRDefault="005716E8" w:rsidP="00577717">
            <w:pPr>
              <w:tabs>
                <w:tab w:val="left" w:pos="142"/>
              </w:tabs>
              <w:ind w:right="93"/>
              <w:jc w:val="left"/>
              <w:rPr>
                <w:rFonts w:ascii="Arial Narrow" w:hAnsi="Arial Narrow"/>
                <w:sz w:val="20"/>
              </w:rPr>
            </w:pPr>
            <w:r>
              <w:rPr>
                <w:rFonts w:ascii="Arial Narrow" w:hAnsi="Arial Narrow"/>
                <w:sz w:val="20"/>
              </w:rPr>
              <w:t xml:space="preserve">Titration </w:t>
            </w:r>
            <w:proofErr w:type="spellStart"/>
            <w:r>
              <w:rPr>
                <w:rFonts w:ascii="Arial Narrow" w:hAnsi="Arial Narrow"/>
                <w:sz w:val="20"/>
              </w:rPr>
              <w:t>packs</w:t>
            </w:r>
            <w:r w:rsidR="006C688D" w:rsidRPr="006C688D">
              <w:rPr>
                <w:rFonts w:ascii="Arial Narrow" w:hAnsi="Arial Narrow"/>
                <w:sz w:val="20"/>
                <w:vertAlign w:val="superscript"/>
              </w:rPr>
              <w:t>a</w:t>
            </w:r>
            <w:proofErr w:type="spellEnd"/>
          </w:p>
          <w:p w:rsidR="005716E8" w:rsidRPr="00ED0F04" w:rsidRDefault="005716E8" w:rsidP="00577717">
            <w:pPr>
              <w:tabs>
                <w:tab w:val="left" w:pos="142"/>
              </w:tabs>
              <w:ind w:right="93"/>
              <w:jc w:val="left"/>
              <w:rPr>
                <w:rFonts w:ascii="Arial Narrow" w:hAnsi="Arial Narrow"/>
                <w:sz w:val="20"/>
              </w:rPr>
            </w:pPr>
            <w:r>
              <w:rPr>
                <w:rFonts w:ascii="Arial Narrow" w:hAnsi="Arial Narrow"/>
                <w:sz w:val="20"/>
              </w:rPr>
              <w:t xml:space="preserve">Continuation </w:t>
            </w:r>
            <w:proofErr w:type="spellStart"/>
            <w:r>
              <w:rPr>
                <w:rFonts w:ascii="Arial Narrow" w:hAnsi="Arial Narrow"/>
                <w:sz w:val="20"/>
              </w:rPr>
              <w:t>packs</w:t>
            </w:r>
            <w:r w:rsidR="006C688D" w:rsidRPr="006C688D">
              <w:rPr>
                <w:rFonts w:ascii="Arial Narrow" w:hAnsi="Arial Narrow"/>
                <w:sz w:val="20"/>
                <w:vertAlign w:val="superscript"/>
              </w:rPr>
              <w:t>b</w:t>
            </w:r>
            <w:proofErr w:type="spellEnd"/>
          </w:p>
        </w:tc>
        <w:tc>
          <w:tcPr>
            <w:tcW w:w="683" w:type="pct"/>
            <w:shd w:val="clear" w:color="auto" w:fill="auto"/>
            <w:vAlign w:val="center"/>
          </w:tcPr>
          <w:p w:rsidR="0004231D" w:rsidRPr="00DB34FC" w:rsidRDefault="00DB34FC" w:rsidP="00577717">
            <w:pPr>
              <w:ind w:right="93"/>
              <w:jc w:val="center"/>
              <w:rPr>
                <w:rFonts w:ascii="Arial Narrow" w:hAnsi="Arial Narrow"/>
                <w:sz w:val="20"/>
                <w:highlight w:val="black"/>
              </w:rPr>
            </w:pPr>
            <w:r>
              <w:rPr>
                <w:rFonts w:ascii="Arial Narrow" w:hAnsi="Arial Narrow"/>
                <w:noProof/>
                <w:color w:val="000000"/>
                <w:sz w:val="20"/>
                <w:highlight w:val="black"/>
              </w:rPr>
              <w:t>''''''''''</w:t>
            </w:r>
          </w:p>
          <w:p w:rsidR="005716E8" w:rsidRPr="00DB34FC" w:rsidRDefault="00DB34FC" w:rsidP="00577717">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04231D" w:rsidRPr="00DB34FC" w:rsidRDefault="00DB34FC" w:rsidP="00577717">
            <w:pPr>
              <w:ind w:right="93"/>
              <w:jc w:val="center"/>
              <w:rPr>
                <w:rFonts w:ascii="Arial Narrow" w:hAnsi="Arial Narrow"/>
                <w:sz w:val="20"/>
                <w:highlight w:val="black"/>
              </w:rPr>
            </w:pPr>
            <w:r>
              <w:rPr>
                <w:rFonts w:ascii="Arial Narrow" w:hAnsi="Arial Narrow"/>
                <w:noProof/>
                <w:color w:val="000000"/>
                <w:sz w:val="20"/>
                <w:highlight w:val="black"/>
              </w:rPr>
              <w:t>'''''''''</w:t>
            </w:r>
          </w:p>
          <w:p w:rsidR="005716E8" w:rsidRPr="00DB34FC" w:rsidRDefault="00DB34FC" w:rsidP="00577717">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04231D" w:rsidRPr="00DB34FC" w:rsidRDefault="00DB34FC" w:rsidP="00577717">
            <w:pPr>
              <w:ind w:right="93"/>
              <w:jc w:val="center"/>
              <w:rPr>
                <w:rFonts w:ascii="Arial Narrow" w:hAnsi="Arial Narrow"/>
                <w:sz w:val="20"/>
                <w:highlight w:val="black"/>
              </w:rPr>
            </w:pPr>
            <w:r>
              <w:rPr>
                <w:rFonts w:ascii="Arial Narrow" w:hAnsi="Arial Narrow"/>
                <w:noProof/>
                <w:color w:val="000000"/>
                <w:sz w:val="20"/>
                <w:highlight w:val="black"/>
              </w:rPr>
              <w:t>''''''''''</w:t>
            </w:r>
          </w:p>
          <w:p w:rsidR="005716E8" w:rsidRPr="00DB34FC" w:rsidRDefault="00DB34FC" w:rsidP="00577717">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80" w:type="pct"/>
            <w:shd w:val="clear" w:color="auto" w:fill="auto"/>
            <w:vAlign w:val="center"/>
          </w:tcPr>
          <w:p w:rsidR="0004231D" w:rsidRPr="00DB34FC" w:rsidRDefault="00DB34FC" w:rsidP="00577717">
            <w:pPr>
              <w:ind w:right="93"/>
              <w:jc w:val="center"/>
              <w:rPr>
                <w:rFonts w:ascii="Arial Narrow" w:hAnsi="Arial Narrow"/>
                <w:sz w:val="20"/>
                <w:highlight w:val="black"/>
              </w:rPr>
            </w:pPr>
            <w:r>
              <w:rPr>
                <w:rFonts w:ascii="Arial Narrow" w:hAnsi="Arial Narrow"/>
                <w:noProof/>
                <w:color w:val="000000"/>
                <w:sz w:val="20"/>
                <w:highlight w:val="black"/>
              </w:rPr>
              <w:t>''''''''</w:t>
            </w:r>
          </w:p>
          <w:p w:rsidR="005716E8" w:rsidRPr="00DB34FC" w:rsidRDefault="00DB34FC" w:rsidP="00577717">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0" w:type="pct"/>
            <w:shd w:val="clear" w:color="auto" w:fill="auto"/>
            <w:vAlign w:val="center"/>
          </w:tcPr>
          <w:p w:rsidR="0004231D" w:rsidRPr="00DB34FC" w:rsidRDefault="00DB34FC" w:rsidP="00577717">
            <w:pPr>
              <w:ind w:right="93"/>
              <w:jc w:val="center"/>
              <w:rPr>
                <w:rFonts w:ascii="Arial Narrow" w:hAnsi="Arial Narrow"/>
                <w:sz w:val="20"/>
                <w:highlight w:val="black"/>
              </w:rPr>
            </w:pPr>
            <w:r>
              <w:rPr>
                <w:rFonts w:ascii="Arial Narrow" w:hAnsi="Arial Narrow"/>
                <w:noProof/>
                <w:color w:val="000000"/>
                <w:sz w:val="20"/>
                <w:highlight w:val="black"/>
              </w:rPr>
              <w:t>''''''''''</w:t>
            </w:r>
          </w:p>
          <w:p w:rsidR="005716E8" w:rsidRPr="00DB34FC" w:rsidRDefault="00DB34FC" w:rsidP="00577717">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04231D" w:rsidRPr="00ED0F04" w:rsidTr="00B608CF">
        <w:tc>
          <w:tcPr>
            <w:tcW w:w="5000" w:type="pct"/>
            <w:gridSpan w:val="6"/>
            <w:shd w:val="clear" w:color="auto" w:fill="auto"/>
            <w:vAlign w:val="center"/>
          </w:tcPr>
          <w:p w:rsidR="0004231D" w:rsidRPr="00ED0F04" w:rsidRDefault="0004231D" w:rsidP="00577717">
            <w:pPr>
              <w:ind w:right="93"/>
              <w:jc w:val="left"/>
              <w:rPr>
                <w:rFonts w:ascii="Arial Narrow" w:hAnsi="Arial Narrow"/>
                <w:b/>
                <w:bCs/>
                <w:color w:val="000000"/>
                <w:sz w:val="20"/>
              </w:rPr>
            </w:pPr>
            <w:r w:rsidRPr="00ED0F04">
              <w:rPr>
                <w:rFonts w:ascii="Arial Narrow" w:hAnsi="Arial Narrow"/>
                <w:b/>
                <w:bCs/>
                <w:color w:val="000000"/>
                <w:sz w:val="20"/>
              </w:rPr>
              <w:t>Es</w:t>
            </w:r>
            <w:r>
              <w:rPr>
                <w:rFonts w:ascii="Arial Narrow" w:hAnsi="Arial Narrow"/>
                <w:b/>
                <w:bCs/>
                <w:color w:val="000000"/>
                <w:sz w:val="20"/>
              </w:rPr>
              <w:t>timated net cost to PBS/MBS</w:t>
            </w:r>
          </w:p>
        </w:tc>
      </w:tr>
      <w:tr w:rsidR="00DD5880" w:rsidRPr="00ED0F04" w:rsidTr="00F9520B">
        <w:tc>
          <w:tcPr>
            <w:tcW w:w="1529" w:type="pct"/>
            <w:shd w:val="clear" w:color="auto" w:fill="auto"/>
            <w:vAlign w:val="center"/>
          </w:tcPr>
          <w:p w:rsidR="00DD5880" w:rsidRPr="00ED0F04" w:rsidRDefault="00DD5880" w:rsidP="00577717">
            <w:pPr>
              <w:tabs>
                <w:tab w:val="left" w:pos="142"/>
              </w:tabs>
              <w:ind w:right="93"/>
              <w:jc w:val="left"/>
              <w:rPr>
                <w:rFonts w:ascii="Arial Narrow" w:hAnsi="Arial Narrow"/>
                <w:sz w:val="20"/>
              </w:rPr>
            </w:pPr>
            <w:r w:rsidRPr="00ED0F04">
              <w:rPr>
                <w:rFonts w:ascii="Arial Narrow" w:hAnsi="Arial Narrow"/>
                <w:sz w:val="20"/>
              </w:rPr>
              <w:t>Net cost to PBS</w:t>
            </w:r>
            <w:r>
              <w:rPr>
                <w:rFonts w:ascii="Arial Narrow" w:hAnsi="Arial Narrow"/>
                <w:sz w:val="20"/>
              </w:rPr>
              <w:t xml:space="preserve"> </w:t>
            </w:r>
          </w:p>
        </w:tc>
        <w:tc>
          <w:tcPr>
            <w:tcW w:w="683" w:type="pct"/>
            <w:shd w:val="clear" w:color="auto" w:fill="auto"/>
            <w:vAlign w:val="bottom"/>
          </w:tcPr>
          <w:p w:rsidR="00DD5880" w:rsidRPr="00DD5880" w:rsidRDefault="00DD5880" w:rsidP="00577717">
            <w:pPr>
              <w:ind w:right="93"/>
              <w:jc w:val="center"/>
              <w:rPr>
                <w:rFonts w:ascii="Arial Narrow" w:hAnsi="Arial Narrow"/>
                <w:color w:val="000000"/>
                <w:sz w:val="20"/>
              </w:rPr>
            </w:pPr>
            <w:r w:rsidRPr="00DD5880">
              <w:rPr>
                <w:rFonts w:ascii="Arial Narrow" w:hAnsi="Arial Narrow"/>
                <w:sz w:val="20"/>
              </w:rPr>
              <w:t>$</w:t>
            </w:r>
            <w:r w:rsidR="00DB34FC">
              <w:rPr>
                <w:rFonts w:ascii="Arial Narrow" w:hAnsi="Arial Narrow"/>
                <w:noProof/>
                <w:color w:val="000000"/>
                <w:sz w:val="20"/>
                <w:highlight w:val="black"/>
              </w:rPr>
              <w:t>'''''''''''''''''''''</w:t>
            </w:r>
          </w:p>
        </w:tc>
        <w:tc>
          <w:tcPr>
            <w:tcW w:w="679" w:type="pct"/>
            <w:shd w:val="clear" w:color="auto" w:fill="auto"/>
            <w:vAlign w:val="bottom"/>
          </w:tcPr>
          <w:p w:rsidR="00DD5880" w:rsidRPr="00DD5880" w:rsidRDefault="00DD5880" w:rsidP="00577717">
            <w:pPr>
              <w:ind w:right="93"/>
              <w:jc w:val="center"/>
              <w:rPr>
                <w:rFonts w:ascii="Arial Narrow" w:hAnsi="Arial Narrow"/>
                <w:color w:val="000000"/>
                <w:sz w:val="20"/>
              </w:rPr>
            </w:pPr>
            <w:r w:rsidRPr="00DD5880">
              <w:rPr>
                <w:rFonts w:ascii="Arial Narrow" w:hAnsi="Arial Narrow"/>
                <w:sz w:val="20"/>
              </w:rPr>
              <w:t>$</w:t>
            </w:r>
            <w:r w:rsidR="00DB34FC">
              <w:rPr>
                <w:rFonts w:ascii="Arial Narrow" w:hAnsi="Arial Narrow"/>
                <w:noProof/>
                <w:color w:val="000000"/>
                <w:sz w:val="20"/>
                <w:highlight w:val="black"/>
              </w:rPr>
              <w:t>''''''''''''''''''''</w:t>
            </w:r>
          </w:p>
        </w:tc>
        <w:tc>
          <w:tcPr>
            <w:tcW w:w="679" w:type="pct"/>
            <w:shd w:val="clear" w:color="auto" w:fill="auto"/>
            <w:vAlign w:val="bottom"/>
          </w:tcPr>
          <w:p w:rsidR="00DD5880" w:rsidRPr="00DD5880" w:rsidRDefault="00DD5880" w:rsidP="00577717">
            <w:pPr>
              <w:ind w:right="93"/>
              <w:jc w:val="center"/>
              <w:rPr>
                <w:rFonts w:ascii="Arial Narrow" w:hAnsi="Arial Narrow"/>
                <w:color w:val="000000"/>
                <w:sz w:val="20"/>
              </w:rPr>
            </w:pPr>
            <w:r w:rsidRPr="00DD5880">
              <w:rPr>
                <w:rFonts w:ascii="Arial Narrow" w:hAnsi="Arial Narrow"/>
                <w:sz w:val="20"/>
              </w:rPr>
              <w:t>$</w:t>
            </w:r>
            <w:r w:rsidR="00DB34FC">
              <w:rPr>
                <w:rFonts w:ascii="Arial Narrow" w:hAnsi="Arial Narrow"/>
                <w:noProof/>
                <w:color w:val="000000"/>
                <w:sz w:val="20"/>
                <w:highlight w:val="black"/>
              </w:rPr>
              <w:t>'''''''''''''''''''''</w:t>
            </w:r>
          </w:p>
        </w:tc>
        <w:tc>
          <w:tcPr>
            <w:tcW w:w="680" w:type="pct"/>
            <w:shd w:val="clear" w:color="auto" w:fill="auto"/>
            <w:vAlign w:val="bottom"/>
          </w:tcPr>
          <w:p w:rsidR="00DD5880" w:rsidRPr="00DD5880" w:rsidRDefault="00DD5880" w:rsidP="00577717">
            <w:pPr>
              <w:ind w:right="93"/>
              <w:jc w:val="center"/>
              <w:rPr>
                <w:rFonts w:ascii="Arial Narrow" w:hAnsi="Arial Narrow"/>
                <w:color w:val="000000"/>
                <w:sz w:val="20"/>
              </w:rPr>
            </w:pPr>
            <w:r w:rsidRPr="00DD5880">
              <w:rPr>
                <w:rFonts w:ascii="Arial Narrow" w:hAnsi="Arial Narrow"/>
                <w:sz w:val="20"/>
              </w:rPr>
              <w:t>$</w:t>
            </w:r>
            <w:r w:rsidR="00DB34FC">
              <w:rPr>
                <w:rFonts w:ascii="Arial Narrow" w:hAnsi="Arial Narrow"/>
                <w:noProof/>
                <w:color w:val="000000"/>
                <w:sz w:val="20"/>
                <w:highlight w:val="black"/>
              </w:rPr>
              <w:t>'''''''''''''''''''''''</w:t>
            </w:r>
          </w:p>
        </w:tc>
        <w:tc>
          <w:tcPr>
            <w:tcW w:w="750" w:type="pct"/>
            <w:shd w:val="clear" w:color="auto" w:fill="auto"/>
            <w:vAlign w:val="bottom"/>
          </w:tcPr>
          <w:p w:rsidR="00DD5880" w:rsidRPr="00DD5880" w:rsidRDefault="00DD5880" w:rsidP="00577717">
            <w:pPr>
              <w:ind w:right="93"/>
              <w:jc w:val="center"/>
              <w:rPr>
                <w:rFonts w:ascii="Arial Narrow" w:hAnsi="Arial Narrow"/>
                <w:color w:val="000000"/>
                <w:sz w:val="20"/>
              </w:rPr>
            </w:pPr>
            <w:r w:rsidRPr="00DD5880">
              <w:rPr>
                <w:rFonts w:ascii="Arial Narrow" w:hAnsi="Arial Narrow"/>
                <w:sz w:val="20"/>
              </w:rPr>
              <w:t>$</w:t>
            </w:r>
            <w:r w:rsidR="00DB34FC">
              <w:rPr>
                <w:rFonts w:ascii="Arial Narrow" w:hAnsi="Arial Narrow"/>
                <w:noProof/>
                <w:color w:val="000000"/>
                <w:sz w:val="20"/>
                <w:highlight w:val="black"/>
              </w:rPr>
              <w:t>''''''''''''''''''''''''''</w:t>
            </w:r>
          </w:p>
        </w:tc>
      </w:tr>
      <w:tr w:rsidR="00B608CF" w:rsidRPr="00ED0F04" w:rsidTr="00B608CF">
        <w:tc>
          <w:tcPr>
            <w:tcW w:w="1529" w:type="pct"/>
            <w:shd w:val="clear" w:color="auto" w:fill="auto"/>
            <w:vAlign w:val="center"/>
          </w:tcPr>
          <w:p w:rsidR="0004231D" w:rsidRPr="00ED0F04" w:rsidRDefault="0004231D" w:rsidP="00577717">
            <w:pPr>
              <w:tabs>
                <w:tab w:val="left" w:pos="142"/>
              </w:tabs>
              <w:ind w:right="93"/>
              <w:jc w:val="left"/>
              <w:rPr>
                <w:rFonts w:ascii="Arial Narrow" w:hAnsi="Arial Narrow"/>
                <w:sz w:val="20"/>
              </w:rPr>
            </w:pPr>
            <w:r w:rsidRPr="00ED0F04">
              <w:rPr>
                <w:rFonts w:ascii="Arial Narrow" w:hAnsi="Arial Narrow"/>
                <w:sz w:val="20"/>
              </w:rPr>
              <w:t>Net cost to MBS</w:t>
            </w:r>
          </w:p>
        </w:tc>
        <w:tc>
          <w:tcPr>
            <w:tcW w:w="683" w:type="pct"/>
            <w:shd w:val="clear" w:color="auto" w:fill="auto"/>
            <w:vAlign w:val="center"/>
          </w:tcPr>
          <w:p w:rsidR="0004231D" w:rsidRPr="00BF6AF4" w:rsidRDefault="00DD5880" w:rsidP="00577717">
            <w:pPr>
              <w:ind w:right="93"/>
              <w:jc w:val="center"/>
              <w:rPr>
                <w:rFonts w:ascii="Arial Narrow" w:hAnsi="Arial Narrow"/>
                <w:sz w:val="20"/>
              </w:rPr>
            </w:pPr>
            <w:r>
              <w:rPr>
                <w:rFonts w:ascii="Arial Narrow" w:hAnsi="Arial Narrow"/>
                <w:sz w:val="20"/>
              </w:rPr>
              <w:t>-</w:t>
            </w:r>
          </w:p>
        </w:tc>
        <w:tc>
          <w:tcPr>
            <w:tcW w:w="679" w:type="pct"/>
            <w:shd w:val="clear" w:color="auto" w:fill="auto"/>
            <w:vAlign w:val="center"/>
          </w:tcPr>
          <w:p w:rsidR="0004231D" w:rsidRPr="00BF6AF4" w:rsidRDefault="00DD5880" w:rsidP="00577717">
            <w:pPr>
              <w:ind w:right="93"/>
              <w:jc w:val="center"/>
              <w:rPr>
                <w:rFonts w:ascii="Arial Narrow" w:hAnsi="Arial Narrow"/>
                <w:sz w:val="20"/>
              </w:rPr>
            </w:pPr>
            <w:r>
              <w:rPr>
                <w:rFonts w:ascii="Arial Narrow" w:hAnsi="Arial Narrow"/>
                <w:sz w:val="20"/>
              </w:rPr>
              <w:t>-</w:t>
            </w:r>
          </w:p>
        </w:tc>
        <w:tc>
          <w:tcPr>
            <w:tcW w:w="679" w:type="pct"/>
            <w:shd w:val="clear" w:color="auto" w:fill="auto"/>
            <w:vAlign w:val="center"/>
          </w:tcPr>
          <w:p w:rsidR="0004231D" w:rsidRPr="00BF6AF4" w:rsidRDefault="00DD5880" w:rsidP="00577717">
            <w:pPr>
              <w:ind w:right="93"/>
              <w:jc w:val="center"/>
              <w:rPr>
                <w:rFonts w:ascii="Arial Narrow" w:hAnsi="Arial Narrow"/>
                <w:sz w:val="20"/>
              </w:rPr>
            </w:pPr>
            <w:r>
              <w:rPr>
                <w:rFonts w:ascii="Arial Narrow" w:hAnsi="Arial Narrow"/>
                <w:sz w:val="20"/>
              </w:rPr>
              <w:t>-</w:t>
            </w:r>
          </w:p>
        </w:tc>
        <w:tc>
          <w:tcPr>
            <w:tcW w:w="680" w:type="pct"/>
            <w:shd w:val="clear" w:color="auto" w:fill="auto"/>
            <w:vAlign w:val="center"/>
          </w:tcPr>
          <w:p w:rsidR="0004231D" w:rsidRPr="00BF6AF4" w:rsidRDefault="00DD5880" w:rsidP="00577717">
            <w:pPr>
              <w:ind w:right="93"/>
              <w:jc w:val="center"/>
              <w:rPr>
                <w:rFonts w:ascii="Arial Narrow" w:hAnsi="Arial Narrow"/>
                <w:sz w:val="20"/>
              </w:rPr>
            </w:pPr>
            <w:r>
              <w:rPr>
                <w:rFonts w:ascii="Arial Narrow" w:hAnsi="Arial Narrow"/>
                <w:sz w:val="20"/>
              </w:rPr>
              <w:t>-</w:t>
            </w:r>
          </w:p>
        </w:tc>
        <w:tc>
          <w:tcPr>
            <w:tcW w:w="750" w:type="pct"/>
            <w:shd w:val="clear" w:color="auto" w:fill="auto"/>
            <w:vAlign w:val="center"/>
          </w:tcPr>
          <w:p w:rsidR="0004231D" w:rsidRPr="00BF6AF4" w:rsidRDefault="00DD5880" w:rsidP="00577717">
            <w:pPr>
              <w:ind w:right="93"/>
              <w:jc w:val="center"/>
              <w:rPr>
                <w:rFonts w:ascii="Arial Narrow" w:hAnsi="Arial Narrow"/>
                <w:sz w:val="20"/>
              </w:rPr>
            </w:pPr>
            <w:r>
              <w:rPr>
                <w:rFonts w:ascii="Arial Narrow" w:hAnsi="Arial Narrow"/>
                <w:sz w:val="20"/>
              </w:rPr>
              <w:t>-</w:t>
            </w:r>
          </w:p>
        </w:tc>
      </w:tr>
      <w:tr w:rsidR="0004231D" w:rsidRPr="00ED0F04" w:rsidTr="00B608CF">
        <w:tc>
          <w:tcPr>
            <w:tcW w:w="5000" w:type="pct"/>
            <w:gridSpan w:val="6"/>
            <w:shd w:val="clear" w:color="auto" w:fill="auto"/>
            <w:vAlign w:val="center"/>
          </w:tcPr>
          <w:p w:rsidR="0004231D" w:rsidRPr="00ED0F04" w:rsidRDefault="0004231D" w:rsidP="00577717">
            <w:pPr>
              <w:ind w:right="93"/>
              <w:jc w:val="left"/>
              <w:rPr>
                <w:rFonts w:ascii="Arial Narrow" w:hAnsi="Arial Narrow"/>
                <w:b/>
                <w:color w:val="000000"/>
                <w:sz w:val="20"/>
              </w:rPr>
            </w:pPr>
            <w:r w:rsidRPr="00ED0F04">
              <w:rPr>
                <w:rFonts w:ascii="Arial Narrow" w:hAnsi="Arial Narrow"/>
                <w:b/>
                <w:color w:val="000000"/>
                <w:sz w:val="20"/>
              </w:rPr>
              <w:t>Estimated total net cost</w:t>
            </w:r>
          </w:p>
        </w:tc>
      </w:tr>
      <w:tr w:rsidR="00DD5880" w:rsidRPr="00BF6AF4" w:rsidTr="00F9520B">
        <w:tc>
          <w:tcPr>
            <w:tcW w:w="1529" w:type="pct"/>
            <w:shd w:val="clear" w:color="auto" w:fill="auto"/>
            <w:vAlign w:val="center"/>
          </w:tcPr>
          <w:p w:rsidR="00DD5880" w:rsidRPr="002C1A10" w:rsidRDefault="00DD5880" w:rsidP="00577717">
            <w:pPr>
              <w:tabs>
                <w:tab w:val="left" w:pos="142"/>
              </w:tabs>
              <w:ind w:right="93"/>
              <w:jc w:val="left"/>
              <w:rPr>
                <w:rFonts w:ascii="Arial Narrow" w:hAnsi="Arial Narrow"/>
                <w:b/>
                <w:sz w:val="20"/>
              </w:rPr>
            </w:pPr>
            <w:r w:rsidRPr="002C1A10">
              <w:rPr>
                <w:rFonts w:ascii="Arial Narrow" w:hAnsi="Arial Narrow"/>
                <w:b/>
                <w:bCs/>
                <w:color w:val="000000"/>
                <w:sz w:val="20"/>
              </w:rPr>
              <w:t>Net cost PBS/MBS</w:t>
            </w:r>
          </w:p>
        </w:tc>
        <w:tc>
          <w:tcPr>
            <w:tcW w:w="683" w:type="pct"/>
            <w:shd w:val="clear" w:color="auto" w:fill="auto"/>
            <w:vAlign w:val="bottom"/>
          </w:tcPr>
          <w:p w:rsidR="00DD5880" w:rsidRPr="002C1A10" w:rsidRDefault="00DD5880" w:rsidP="00577717">
            <w:pPr>
              <w:ind w:right="93"/>
              <w:jc w:val="center"/>
              <w:rPr>
                <w:rFonts w:ascii="Arial Narrow" w:hAnsi="Arial Narrow"/>
                <w:b/>
                <w:bCs/>
                <w:sz w:val="20"/>
              </w:rPr>
            </w:pPr>
            <w:r w:rsidRPr="002C1A10">
              <w:rPr>
                <w:rFonts w:ascii="Arial Narrow" w:hAnsi="Arial Narrow"/>
                <w:sz w:val="20"/>
              </w:rPr>
              <w:t>$</w:t>
            </w:r>
            <w:r w:rsidR="00DB34FC">
              <w:rPr>
                <w:rFonts w:ascii="Arial Narrow" w:hAnsi="Arial Narrow"/>
                <w:noProof/>
                <w:color w:val="000000"/>
                <w:sz w:val="20"/>
                <w:highlight w:val="black"/>
              </w:rPr>
              <w:t>'''''''''''''''''</w:t>
            </w:r>
          </w:p>
        </w:tc>
        <w:tc>
          <w:tcPr>
            <w:tcW w:w="679" w:type="pct"/>
            <w:shd w:val="clear" w:color="auto" w:fill="auto"/>
            <w:vAlign w:val="bottom"/>
          </w:tcPr>
          <w:p w:rsidR="00DD5880" w:rsidRPr="002C1A10" w:rsidRDefault="00DD5880" w:rsidP="00577717">
            <w:pPr>
              <w:ind w:right="93"/>
              <w:jc w:val="center"/>
              <w:rPr>
                <w:rFonts w:ascii="Arial Narrow" w:hAnsi="Arial Narrow"/>
                <w:b/>
                <w:bCs/>
                <w:sz w:val="20"/>
              </w:rPr>
            </w:pPr>
            <w:r w:rsidRPr="002C1A10">
              <w:rPr>
                <w:rFonts w:ascii="Arial Narrow" w:hAnsi="Arial Narrow"/>
                <w:sz w:val="20"/>
              </w:rPr>
              <w:t>$</w:t>
            </w:r>
            <w:r w:rsidR="00DB34FC">
              <w:rPr>
                <w:rFonts w:ascii="Arial Narrow" w:hAnsi="Arial Narrow"/>
                <w:noProof/>
                <w:color w:val="000000"/>
                <w:sz w:val="20"/>
                <w:highlight w:val="black"/>
              </w:rPr>
              <w:t>''''''''''''''''''''</w:t>
            </w:r>
          </w:p>
        </w:tc>
        <w:tc>
          <w:tcPr>
            <w:tcW w:w="679" w:type="pct"/>
            <w:shd w:val="clear" w:color="auto" w:fill="auto"/>
            <w:vAlign w:val="bottom"/>
          </w:tcPr>
          <w:p w:rsidR="00DD5880" w:rsidRPr="002C1A10" w:rsidRDefault="00DD5880" w:rsidP="00577717">
            <w:pPr>
              <w:ind w:right="93"/>
              <w:jc w:val="center"/>
              <w:rPr>
                <w:rFonts w:ascii="Arial Narrow" w:hAnsi="Arial Narrow"/>
                <w:b/>
                <w:bCs/>
                <w:sz w:val="20"/>
              </w:rPr>
            </w:pPr>
            <w:r w:rsidRPr="002C1A10">
              <w:rPr>
                <w:rFonts w:ascii="Arial Narrow" w:hAnsi="Arial Narrow"/>
                <w:sz w:val="20"/>
              </w:rPr>
              <w:t>$</w:t>
            </w:r>
            <w:r w:rsidR="00DB34FC">
              <w:rPr>
                <w:rFonts w:ascii="Arial Narrow" w:hAnsi="Arial Narrow"/>
                <w:noProof/>
                <w:color w:val="000000"/>
                <w:sz w:val="20"/>
                <w:highlight w:val="black"/>
              </w:rPr>
              <w:t>'''''''''''''''''''''</w:t>
            </w:r>
          </w:p>
        </w:tc>
        <w:tc>
          <w:tcPr>
            <w:tcW w:w="680" w:type="pct"/>
            <w:shd w:val="clear" w:color="auto" w:fill="auto"/>
            <w:vAlign w:val="bottom"/>
          </w:tcPr>
          <w:p w:rsidR="00DD5880" w:rsidRPr="002C1A10" w:rsidRDefault="00DD5880" w:rsidP="00577717">
            <w:pPr>
              <w:ind w:right="93"/>
              <w:jc w:val="center"/>
              <w:rPr>
                <w:rFonts w:ascii="Arial Narrow" w:hAnsi="Arial Narrow"/>
                <w:b/>
                <w:bCs/>
                <w:sz w:val="20"/>
              </w:rPr>
            </w:pPr>
            <w:r w:rsidRPr="002C1A10">
              <w:rPr>
                <w:rFonts w:ascii="Arial Narrow" w:hAnsi="Arial Narrow"/>
                <w:sz w:val="20"/>
              </w:rPr>
              <w:t>$</w:t>
            </w:r>
            <w:r w:rsidR="00DB34FC">
              <w:rPr>
                <w:rFonts w:ascii="Arial Narrow" w:hAnsi="Arial Narrow"/>
                <w:noProof/>
                <w:color w:val="000000"/>
                <w:sz w:val="20"/>
                <w:highlight w:val="black"/>
              </w:rPr>
              <w:t>'''''''''''''''''''''''</w:t>
            </w:r>
          </w:p>
        </w:tc>
        <w:tc>
          <w:tcPr>
            <w:tcW w:w="750" w:type="pct"/>
            <w:shd w:val="clear" w:color="auto" w:fill="auto"/>
            <w:vAlign w:val="bottom"/>
          </w:tcPr>
          <w:p w:rsidR="00DD5880" w:rsidRPr="002C1A10" w:rsidRDefault="00DD5880" w:rsidP="00577717">
            <w:pPr>
              <w:ind w:right="93"/>
              <w:jc w:val="center"/>
              <w:rPr>
                <w:rFonts w:ascii="Arial Narrow" w:hAnsi="Arial Narrow"/>
                <w:b/>
                <w:bCs/>
                <w:sz w:val="20"/>
              </w:rPr>
            </w:pPr>
            <w:r w:rsidRPr="002C1A10">
              <w:rPr>
                <w:rFonts w:ascii="Arial Narrow" w:hAnsi="Arial Narrow"/>
                <w:sz w:val="20"/>
              </w:rPr>
              <w:t>$</w:t>
            </w:r>
            <w:r w:rsidR="00DB34FC">
              <w:rPr>
                <w:rFonts w:ascii="Arial Narrow" w:hAnsi="Arial Narrow"/>
                <w:noProof/>
                <w:color w:val="000000"/>
                <w:sz w:val="20"/>
                <w:highlight w:val="black"/>
              </w:rPr>
              <w:t>''''''''''''''''''''''''''</w:t>
            </w:r>
          </w:p>
        </w:tc>
      </w:tr>
      <w:tr w:rsidR="00DD5880" w:rsidRPr="0004231D" w:rsidTr="00F9520B">
        <w:tc>
          <w:tcPr>
            <w:tcW w:w="1529" w:type="pct"/>
            <w:shd w:val="clear" w:color="auto" w:fill="auto"/>
            <w:vAlign w:val="center"/>
          </w:tcPr>
          <w:p w:rsidR="00DD5880" w:rsidRPr="002C1A10" w:rsidRDefault="00DD5880" w:rsidP="00577717">
            <w:pPr>
              <w:tabs>
                <w:tab w:val="left" w:pos="142"/>
              </w:tabs>
              <w:ind w:right="93"/>
              <w:jc w:val="left"/>
              <w:rPr>
                <w:rFonts w:ascii="Arial Narrow" w:hAnsi="Arial Narrow"/>
                <w:iCs/>
                <w:sz w:val="20"/>
              </w:rPr>
            </w:pPr>
            <w:r w:rsidRPr="002C1A10">
              <w:rPr>
                <w:rFonts w:ascii="Arial Narrow" w:hAnsi="Arial Narrow"/>
                <w:bCs/>
                <w:iCs/>
                <w:sz w:val="20"/>
              </w:rPr>
              <w:t>Net cost PBS/MBS – Mar 2015</w:t>
            </w:r>
          </w:p>
        </w:tc>
        <w:tc>
          <w:tcPr>
            <w:tcW w:w="683" w:type="pct"/>
            <w:shd w:val="clear" w:color="auto" w:fill="auto"/>
            <w:vAlign w:val="bottom"/>
          </w:tcPr>
          <w:p w:rsidR="00DD5880" w:rsidRPr="002C1A10" w:rsidRDefault="00DD5880" w:rsidP="00577717">
            <w:pPr>
              <w:ind w:right="93"/>
              <w:jc w:val="center"/>
              <w:rPr>
                <w:rFonts w:ascii="Arial Narrow" w:hAnsi="Arial Narrow"/>
                <w:bCs/>
                <w:iCs/>
                <w:sz w:val="20"/>
              </w:rPr>
            </w:pPr>
            <w:r w:rsidRPr="002C1A10">
              <w:rPr>
                <w:rFonts w:ascii="Arial Narrow" w:hAnsi="Arial Narrow"/>
                <w:iCs/>
                <w:sz w:val="20"/>
              </w:rPr>
              <w:t>$</w:t>
            </w:r>
            <w:r w:rsidR="00DB34FC">
              <w:rPr>
                <w:rFonts w:ascii="Arial Narrow" w:hAnsi="Arial Narrow"/>
                <w:iCs/>
                <w:noProof/>
                <w:color w:val="000000"/>
                <w:sz w:val="20"/>
                <w:highlight w:val="black"/>
              </w:rPr>
              <w:t>'''''''''''''''''''''''''</w:t>
            </w:r>
          </w:p>
        </w:tc>
        <w:tc>
          <w:tcPr>
            <w:tcW w:w="679" w:type="pct"/>
            <w:shd w:val="clear" w:color="auto" w:fill="auto"/>
            <w:vAlign w:val="bottom"/>
          </w:tcPr>
          <w:p w:rsidR="00DD5880" w:rsidRPr="002C1A10" w:rsidRDefault="00DD5880" w:rsidP="00577717">
            <w:pPr>
              <w:ind w:right="93"/>
              <w:jc w:val="center"/>
              <w:rPr>
                <w:rFonts w:ascii="Arial Narrow" w:hAnsi="Arial Narrow"/>
                <w:bCs/>
                <w:iCs/>
                <w:sz w:val="20"/>
              </w:rPr>
            </w:pPr>
            <w:r w:rsidRPr="002C1A10">
              <w:rPr>
                <w:rFonts w:ascii="Arial Narrow" w:hAnsi="Arial Narrow"/>
                <w:iCs/>
                <w:sz w:val="20"/>
              </w:rPr>
              <w:t>$</w:t>
            </w:r>
            <w:r w:rsidR="00DB34FC">
              <w:rPr>
                <w:rFonts w:ascii="Arial Narrow" w:hAnsi="Arial Narrow"/>
                <w:iCs/>
                <w:noProof/>
                <w:color w:val="000000"/>
                <w:sz w:val="20"/>
                <w:highlight w:val="black"/>
              </w:rPr>
              <w:t>''''''''''''''''''''''''''</w:t>
            </w:r>
          </w:p>
        </w:tc>
        <w:tc>
          <w:tcPr>
            <w:tcW w:w="679" w:type="pct"/>
            <w:shd w:val="clear" w:color="auto" w:fill="auto"/>
            <w:vAlign w:val="bottom"/>
          </w:tcPr>
          <w:p w:rsidR="00DD5880" w:rsidRPr="002C1A10" w:rsidRDefault="00DD5880" w:rsidP="00577717">
            <w:pPr>
              <w:ind w:right="93"/>
              <w:jc w:val="center"/>
              <w:rPr>
                <w:rFonts w:ascii="Arial Narrow" w:hAnsi="Arial Narrow"/>
                <w:bCs/>
                <w:iCs/>
                <w:sz w:val="20"/>
              </w:rPr>
            </w:pPr>
            <w:r w:rsidRPr="002C1A10">
              <w:rPr>
                <w:rFonts w:ascii="Arial Narrow" w:hAnsi="Arial Narrow"/>
                <w:iCs/>
                <w:sz w:val="20"/>
              </w:rPr>
              <w:t>$</w:t>
            </w:r>
            <w:r w:rsidR="00DB34FC">
              <w:rPr>
                <w:rFonts w:ascii="Arial Narrow" w:hAnsi="Arial Narrow"/>
                <w:iCs/>
                <w:noProof/>
                <w:color w:val="000000"/>
                <w:sz w:val="20"/>
                <w:highlight w:val="black"/>
              </w:rPr>
              <w:t>'''''''''''''''''''''''''</w:t>
            </w:r>
          </w:p>
        </w:tc>
        <w:tc>
          <w:tcPr>
            <w:tcW w:w="680" w:type="pct"/>
            <w:shd w:val="clear" w:color="auto" w:fill="auto"/>
            <w:vAlign w:val="bottom"/>
          </w:tcPr>
          <w:p w:rsidR="00DD5880" w:rsidRPr="002C1A10" w:rsidRDefault="00DD5880" w:rsidP="00577717">
            <w:pPr>
              <w:ind w:right="93"/>
              <w:jc w:val="center"/>
              <w:rPr>
                <w:rFonts w:ascii="Arial Narrow" w:hAnsi="Arial Narrow"/>
                <w:bCs/>
                <w:iCs/>
                <w:sz w:val="20"/>
              </w:rPr>
            </w:pPr>
            <w:r w:rsidRPr="002C1A10">
              <w:rPr>
                <w:rFonts w:ascii="Arial Narrow" w:hAnsi="Arial Narrow"/>
                <w:iCs/>
                <w:sz w:val="20"/>
              </w:rPr>
              <w:t>$</w:t>
            </w:r>
            <w:r w:rsidR="00DB34FC">
              <w:rPr>
                <w:rFonts w:ascii="Arial Narrow" w:hAnsi="Arial Narrow"/>
                <w:iCs/>
                <w:noProof/>
                <w:color w:val="000000"/>
                <w:sz w:val="20"/>
                <w:highlight w:val="black"/>
              </w:rPr>
              <w:t>'''''''''''''''''''''''''</w:t>
            </w:r>
          </w:p>
        </w:tc>
        <w:tc>
          <w:tcPr>
            <w:tcW w:w="750" w:type="pct"/>
            <w:shd w:val="clear" w:color="auto" w:fill="auto"/>
            <w:vAlign w:val="bottom"/>
          </w:tcPr>
          <w:p w:rsidR="00DD5880" w:rsidRPr="002C1A10" w:rsidRDefault="00DD5880" w:rsidP="00577717">
            <w:pPr>
              <w:ind w:right="93"/>
              <w:jc w:val="center"/>
              <w:rPr>
                <w:rFonts w:ascii="Arial Narrow" w:hAnsi="Arial Narrow"/>
                <w:bCs/>
                <w:iCs/>
                <w:sz w:val="20"/>
              </w:rPr>
            </w:pPr>
            <w:r w:rsidRPr="002C1A10">
              <w:rPr>
                <w:rFonts w:ascii="Arial Narrow" w:hAnsi="Arial Narrow"/>
                <w:iCs/>
                <w:sz w:val="20"/>
              </w:rPr>
              <w:t>$</w:t>
            </w:r>
            <w:r w:rsidR="00DB34FC">
              <w:rPr>
                <w:rFonts w:ascii="Arial Narrow" w:hAnsi="Arial Narrow"/>
                <w:iCs/>
                <w:noProof/>
                <w:color w:val="000000"/>
                <w:sz w:val="20"/>
                <w:highlight w:val="black"/>
              </w:rPr>
              <w:t>'''''''''''''''''''''''''</w:t>
            </w:r>
          </w:p>
        </w:tc>
      </w:tr>
    </w:tbl>
    <w:p w:rsidR="0004231D" w:rsidRDefault="0004231D" w:rsidP="00B608CF">
      <w:pPr>
        <w:pStyle w:val="TableFooter"/>
        <w:ind w:firstLine="709"/>
      </w:pPr>
      <w:r w:rsidRPr="00EB690C">
        <w:t xml:space="preserve">Source: </w:t>
      </w:r>
      <w:r>
        <w:t>Compiled during the evaluation</w:t>
      </w:r>
    </w:p>
    <w:p w:rsidR="00450C28" w:rsidRDefault="00F52F12" w:rsidP="00720C12">
      <w:pPr>
        <w:pStyle w:val="TableFooter"/>
        <w:tabs>
          <w:tab w:val="left" w:pos="567"/>
          <w:tab w:val="left" w:pos="709"/>
          <w:tab w:val="left" w:pos="993"/>
        </w:tabs>
        <w:ind w:firstLine="709"/>
      </w:pPr>
      <w:proofErr w:type="gramStart"/>
      <w:r w:rsidRPr="00F52F12">
        <w:rPr>
          <w:vertAlign w:val="superscript"/>
        </w:rPr>
        <w:t>a</w:t>
      </w:r>
      <w:proofErr w:type="gramEnd"/>
      <w:r w:rsidR="00450C28">
        <w:tab/>
        <w:t>One titration pack per patient initiating treatment</w:t>
      </w:r>
    </w:p>
    <w:p w:rsidR="00B73137" w:rsidRDefault="00F52F12" w:rsidP="00720C12">
      <w:pPr>
        <w:pStyle w:val="TableFooter"/>
        <w:tabs>
          <w:tab w:val="left" w:pos="567"/>
          <w:tab w:val="left" w:pos="709"/>
          <w:tab w:val="left" w:pos="993"/>
        </w:tabs>
        <w:ind w:left="993" w:hanging="284"/>
      </w:pPr>
      <w:r w:rsidRPr="00F52F12">
        <w:rPr>
          <w:vertAlign w:val="superscript"/>
        </w:rPr>
        <w:t>b</w:t>
      </w:r>
      <w:r w:rsidR="00B73137" w:rsidRPr="00F52F12">
        <w:rPr>
          <w:vertAlign w:val="superscript"/>
        </w:rPr>
        <w:t xml:space="preserve"> </w:t>
      </w:r>
      <w:r>
        <w:tab/>
        <w:t>4</w:t>
      </w:r>
      <w:r w:rsidR="00B73137">
        <w:t xml:space="preserve"> continuation packs per initial non-responder, </w:t>
      </w:r>
      <w:r>
        <w:t>9 continuation packs per part-year responder, 13 continuation packs per full-year responder, 13 continuation packs per patient continuing treatment</w:t>
      </w:r>
      <w:r w:rsidR="00B4590D">
        <w:t>.</w:t>
      </w:r>
    </w:p>
    <w:p w:rsidR="00C25D9C" w:rsidRDefault="00C25D9C" w:rsidP="00720C12">
      <w:pPr>
        <w:widowControl/>
        <w:tabs>
          <w:tab w:val="left" w:pos="567"/>
          <w:tab w:val="left" w:pos="709"/>
          <w:tab w:val="left" w:pos="993"/>
        </w:tabs>
        <w:rPr>
          <w:szCs w:val="22"/>
        </w:rPr>
      </w:pPr>
    </w:p>
    <w:p w:rsidR="004F48DC" w:rsidRPr="004F48DC" w:rsidRDefault="004F48DC" w:rsidP="004F48DC">
      <w:pPr>
        <w:widowControl/>
        <w:tabs>
          <w:tab w:val="left" w:pos="567"/>
          <w:tab w:val="left" w:pos="709"/>
          <w:tab w:val="left" w:pos="993"/>
        </w:tabs>
        <w:ind w:left="709"/>
        <w:rPr>
          <w:i/>
          <w:szCs w:val="22"/>
        </w:rPr>
      </w:pPr>
      <w:r>
        <w:rPr>
          <w:i/>
          <w:szCs w:val="22"/>
        </w:rPr>
        <w:t xml:space="preserve">The redacted table above shows the estimated patients to receive initiating treatment with </w:t>
      </w:r>
      <w:proofErr w:type="spellStart"/>
      <w:r>
        <w:rPr>
          <w:i/>
          <w:szCs w:val="22"/>
        </w:rPr>
        <w:t>apremilast</w:t>
      </w:r>
      <w:proofErr w:type="spellEnd"/>
      <w:r>
        <w:rPr>
          <w:i/>
          <w:szCs w:val="22"/>
        </w:rPr>
        <w:t xml:space="preserve"> to be less than 10,000 per year and the estimated net cost to PBS/MBS to be less than $10 million per year.  </w:t>
      </w:r>
    </w:p>
    <w:p w:rsidR="004F48DC" w:rsidRPr="00C25D9C" w:rsidRDefault="004F48DC" w:rsidP="00720C12">
      <w:pPr>
        <w:widowControl/>
        <w:tabs>
          <w:tab w:val="left" w:pos="567"/>
          <w:tab w:val="left" w:pos="709"/>
          <w:tab w:val="left" w:pos="993"/>
        </w:tabs>
        <w:rPr>
          <w:szCs w:val="22"/>
        </w:rPr>
      </w:pPr>
    </w:p>
    <w:p w:rsidR="007B3452" w:rsidRPr="00DE013B" w:rsidRDefault="007B3452" w:rsidP="00582D67">
      <w:pPr>
        <w:pStyle w:val="ListParagraph"/>
        <w:widowControl/>
        <w:numPr>
          <w:ilvl w:val="1"/>
          <w:numId w:val="5"/>
        </w:numPr>
        <w:rPr>
          <w:szCs w:val="22"/>
        </w:rPr>
      </w:pPr>
      <w:r w:rsidRPr="00CC4A6E">
        <w:rPr>
          <w:iCs/>
        </w:rPr>
        <w:t>The</w:t>
      </w:r>
      <w:r w:rsidR="00E656C4">
        <w:rPr>
          <w:iCs/>
        </w:rPr>
        <w:t>se</w:t>
      </w:r>
      <w:r w:rsidRPr="00CC4A6E">
        <w:rPr>
          <w:iCs/>
        </w:rPr>
        <w:t xml:space="preserve"> estimates </w:t>
      </w:r>
      <w:r w:rsidR="00E656C4">
        <w:rPr>
          <w:iCs/>
        </w:rPr>
        <w:t>we</w:t>
      </w:r>
      <w:r w:rsidRPr="00CC4A6E">
        <w:rPr>
          <w:iCs/>
        </w:rPr>
        <w:t xml:space="preserve">re most sensitive to the proportion of untreated patients (who are eligible but currently unwilling) who </w:t>
      </w:r>
      <w:r w:rsidR="00E656C4">
        <w:rPr>
          <w:iCs/>
        </w:rPr>
        <w:t>we</w:t>
      </w:r>
      <w:r w:rsidRPr="00CC4A6E">
        <w:rPr>
          <w:iCs/>
        </w:rPr>
        <w:t xml:space="preserve">re assumed to present again to their specialist for treatment should a new oral therapy become available, and the proportion of untreated patients who are eligible </w:t>
      </w:r>
      <w:r w:rsidR="00E656C4">
        <w:rPr>
          <w:iCs/>
        </w:rPr>
        <w:t xml:space="preserve">but currently unwilling. </w:t>
      </w:r>
      <w:r w:rsidRPr="00CC4A6E">
        <w:rPr>
          <w:iCs/>
        </w:rPr>
        <w:t xml:space="preserve">The estimates </w:t>
      </w:r>
      <w:r w:rsidR="00E656C4">
        <w:rPr>
          <w:iCs/>
        </w:rPr>
        <w:t>we</w:t>
      </w:r>
      <w:r w:rsidRPr="00CC4A6E">
        <w:rPr>
          <w:iCs/>
        </w:rPr>
        <w:t xml:space="preserve">re also sensitive to the price of </w:t>
      </w:r>
      <w:proofErr w:type="spellStart"/>
      <w:r w:rsidRPr="00CC4A6E">
        <w:rPr>
          <w:iCs/>
        </w:rPr>
        <w:t>apremilast</w:t>
      </w:r>
      <w:proofErr w:type="spellEnd"/>
      <w:r w:rsidRPr="00CC4A6E">
        <w:rPr>
          <w:iCs/>
        </w:rPr>
        <w:t xml:space="preserve"> and the assumed uptake rates of </w:t>
      </w:r>
      <w:proofErr w:type="spellStart"/>
      <w:r w:rsidRPr="00CC4A6E">
        <w:rPr>
          <w:iCs/>
        </w:rPr>
        <w:t>apremilast</w:t>
      </w:r>
      <w:proofErr w:type="spellEnd"/>
      <w:r w:rsidRPr="00CC4A6E">
        <w:rPr>
          <w:iCs/>
        </w:rPr>
        <w:t>.</w:t>
      </w:r>
    </w:p>
    <w:p w:rsidR="00DE013B" w:rsidRDefault="00DE013B" w:rsidP="00DE013B">
      <w:pPr>
        <w:widowControl/>
        <w:rPr>
          <w:szCs w:val="22"/>
        </w:rPr>
      </w:pPr>
    </w:p>
    <w:p w:rsidR="00DE013B" w:rsidRPr="00E656C4" w:rsidRDefault="00DE013B" w:rsidP="0093180A">
      <w:pPr>
        <w:pStyle w:val="Heading2"/>
        <w:rPr>
          <w:szCs w:val="22"/>
        </w:rPr>
      </w:pPr>
      <w:bookmarkStart w:id="19" w:name="_Toc430164106"/>
      <w:r w:rsidRPr="00E656C4">
        <w:t xml:space="preserve">Financial </w:t>
      </w:r>
      <w:r w:rsidRPr="0093180A">
        <w:t>Management</w:t>
      </w:r>
      <w:r w:rsidRPr="00E656C4">
        <w:t xml:space="preserve"> – Risk Sharing Arrangements</w:t>
      </w:r>
      <w:bookmarkEnd w:id="19"/>
    </w:p>
    <w:p w:rsidR="00DE013B" w:rsidRPr="00DE013B" w:rsidRDefault="00DE013B" w:rsidP="00DE013B">
      <w:pPr>
        <w:widowControl/>
        <w:rPr>
          <w:szCs w:val="22"/>
        </w:rPr>
      </w:pPr>
    </w:p>
    <w:p w:rsidR="00DE013B" w:rsidRPr="002E4CD2" w:rsidRDefault="00DE013B" w:rsidP="00582D67">
      <w:pPr>
        <w:pStyle w:val="ListParagraph"/>
        <w:widowControl/>
        <w:numPr>
          <w:ilvl w:val="1"/>
          <w:numId w:val="5"/>
        </w:numPr>
        <w:rPr>
          <w:szCs w:val="22"/>
        </w:rPr>
      </w:pPr>
      <w:r w:rsidRPr="002E4CD2">
        <w:rPr>
          <w:iCs/>
        </w:rPr>
        <w:t xml:space="preserve">The PSCR (p4) noted the considerable uncertainty surrounding estimated financial implications and the potential for use beyond the proposed restriction, suggesting that a risk sharing </w:t>
      </w:r>
      <w:r w:rsidR="00E656C4">
        <w:rPr>
          <w:iCs/>
        </w:rPr>
        <w:t>arrangement may be appropriate.</w:t>
      </w:r>
    </w:p>
    <w:p w:rsidR="00576972" w:rsidRPr="00E656C4" w:rsidRDefault="00576972" w:rsidP="007B3452">
      <w:pPr>
        <w:widowControl/>
        <w:rPr>
          <w:iCs/>
        </w:rPr>
      </w:pPr>
    </w:p>
    <w:p w:rsidR="002C1A10" w:rsidRDefault="002C1A10" w:rsidP="007B3452">
      <w:pPr>
        <w:pStyle w:val="ListParagraph"/>
        <w:widowControl/>
        <w:rPr>
          <w:i/>
          <w:iCs/>
        </w:rPr>
      </w:pPr>
      <w:r>
        <w:rPr>
          <w:i/>
          <w:iCs/>
        </w:rPr>
        <w:t>For more detail on PBAC’s view, see section 7 “PBAC outcome”</w:t>
      </w:r>
      <w:r w:rsidR="007216B8">
        <w:rPr>
          <w:i/>
          <w:iCs/>
        </w:rPr>
        <w:t>.</w:t>
      </w:r>
    </w:p>
    <w:p w:rsidR="002C1A10" w:rsidRDefault="002C1A10" w:rsidP="002C1A10">
      <w:pPr>
        <w:widowControl/>
        <w:rPr>
          <w:i/>
          <w:szCs w:val="22"/>
        </w:rPr>
      </w:pPr>
    </w:p>
    <w:p w:rsidR="005D57AD" w:rsidRDefault="005D57AD" w:rsidP="002C1A10">
      <w:pPr>
        <w:widowControl/>
        <w:rPr>
          <w:i/>
          <w:szCs w:val="22"/>
        </w:rPr>
      </w:pPr>
    </w:p>
    <w:p w:rsidR="002C1A10" w:rsidRDefault="002C1A10" w:rsidP="0093180A">
      <w:pPr>
        <w:pStyle w:val="Heading1"/>
      </w:pPr>
      <w:r>
        <w:t>PBAC Outcome</w:t>
      </w:r>
    </w:p>
    <w:p w:rsidR="002C1A10" w:rsidRPr="00E656C4" w:rsidRDefault="002C1A10" w:rsidP="002C1A10">
      <w:pPr>
        <w:pStyle w:val="PBACheading1"/>
        <w:numPr>
          <w:ilvl w:val="0"/>
          <w:numId w:val="0"/>
        </w:numPr>
      </w:pPr>
    </w:p>
    <w:p w:rsidR="007D0001" w:rsidRDefault="00FA5DCE" w:rsidP="00FA5DCE">
      <w:pPr>
        <w:pStyle w:val="ListParagraph"/>
        <w:widowControl/>
        <w:numPr>
          <w:ilvl w:val="1"/>
          <w:numId w:val="5"/>
        </w:numPr>
      </w:pPr>
      <w:r>
        <w:t xml:space="preserve">The PBAC did not recommend the listing of </w:t>
      </w:r>
      <w:proofErr w:type="spellStart"/>
      <w:r>
        <w:t>apremilast</w:t>
      </w:r>
      <w:proofErr w:type="spellEnd"/>
      <w:r>
        <w:t xml:space="preserve"> for the treatment of severe active psoriatic arthritis on the basis that the </w:t>
      </w:r>
      <w:r w:rsidR="00FB33FB">
        <w:t xml:space="preserve">proposed </w:t>
      </w:r>
      <w:r>
        <w:t xml:space="preserve">place </w:t>
      </w:r>
      <w:r w:rsidR="000B4556">
        <w:t xml:space="preserve">of </w:t>
      </w:r>
      <w:proofErr w:type="spellStart"/>
      <w:r w:rsidR="000B4556">
        <w:t>apremilast</w:t>
      </w:r>
      <w:proofErr w:type="spellEnd"/>
      <w:r w:rsidR="000B4556">
        <w:t xml:space="preserve"> </w:t>
      </w:r>
      <w:r>
        <w:t xml:space="preserve">in the clinical </w:t>
      </w:r>
      <w:r w:rsidR="00561EAC">
        <w:t xml:space="preserve">management </w:t>
      </w:r>
      <w:r>
        <w:t xml:space="preserve">algorithm is </w:t>
      </w:r>
      <w:r w:rsidR="00FB33FB">
        <w:t>inappropriate</w:t>
      </w:r>
      <w:r w:rsidR="00756262">
        <w:t xml:space="preserve"> and the comparison to bDMARDs is also inappropriate for patients unwilling to try bDMARDs</w:t>
      </w:r>
      <w:r>
        <w:t>.</w:t>
      </w:r>
    </w:p>
    <w:p w:rsidR="00FA5DCE" w:rsidRDefault="00FA5DCE" w:rsidP="007D0001">
      <w:pPr>
        <w:widowControl/>
      </w:pPr>
    </w:p>
    <w:p w:rsidR="007D0001" w:rsidRDefault="007D0001" w:rsidP="00FA5DCE">
      <w:pPr>
        <w:pStyle w:val="ListParagraph"/>
        <w:widowControl/>
        <w:numPr>
          <w:ilvl w:val="1"/>
          <w:numId w:val="5"/>
        </w:numPr>
      </w:pPr>
      <w:r>
        <w:t>The PBAC agreed with the ESC that limiting patients to two bDMARDs in a cycle of therapy</w:t>
      </w:r>
      <w:r w:rsidR="008A7C1F">
        <w:t>, as proposed in the resubmission,</w:t>
      </w:r>
      <w:r>
        <w:t xml:space="preserve"> </w:t>
      </w:r>
      <w:r w:rsidR="00E656C4">
        <w:t xml:space="preserve">would </w:t>
      </w:r>
      <w:r w:rsidR="008A7C1F">
        <w:t>not</w:t>
      </w:r>
      <w:r>
        <w:t xml:space="preserve"> </w:t>
      </w:r>
      <w:r w:rsidR="00E656C4">
        <w:t xml:space="preserve">be </w:t>
      </w:r>
      <w:r>
        <w:t>appropriate</w:t>
      </w:r>
      <w:r w:rsidR="00E656C4">
        <w:t>,</w:t>
      </w:r>
      <w:r>
        <w:t xml:space="preserve"> given that </w:t>
      </w:r>
      <w:proofErr w:type="spellStart"/>
      <w:r>
        <w:t>apremilast</w:t>
      </w:r>
      <w:proofErr w:type="spellEnd"/>
      <w:r>
        <w:t xml:space="preserve"> is a significantly less effective treatment</w:t>
      </w:r>
      <w:r w:rsidR="008A7C1F">
        <w:t xml:space="preserve"> than bDMARDs</w:t>
      </w:r>
      <w:r>
        <w:t xml:space="preserve">. The PBAC </w:t>
      </w:r>
      <w:r>
        <w:lastRenderedPageBreak/>
        <w:t xml:space="preserve">reiterated </w:t>
      </w:r>
      <w:r w:rsidR="00E656C4">
        <w:t xml:space="preserve">its </w:t>
      </w:r>
      <w:r>
        <w:t>previous conc</w:t>
      </w:r>
      <w:r w:rsidR="00654BED">
        <w:t>lusion</w:t>
      </w:r>
      <w:r>
        <w:t xml:space="preserve">s from March 2015 </w:t>
      </w:r>
      <w:r w:rsidR="008A7C1F">
        <w:t xml:space="preserve">that </w:t>
      </w:r>
      <w:proofErr w:type="spellStart"/>
      <w:r w:rsidR="008A7C1F">
        <w:t>apremilast</w:t>
      </w:r>
      <w:proofErr w:type="spellEnd"/>
      <w:r w:rsidR="008A7C1F">
        <w:t xml:space="preserve"> should </w:t>
      </w:r>
      <w:r w:rsidR="00561EAC">
        <w:t xml:space="preserve">be one of the options to be used before the bDMARDs, but </w:t>
      </w:r>
      <w:r w:rsidR="008A7C1F">
        <w:t xml:space="preserve">not </w:t>
      </w:r>
      <w:r w:rsidR="00561EAC">
        <w:t xml:space="preserve">as </w:t>
      </w:r>
      <w:r w:rsidR="008A7C1F">
        <w:t xml:space="preserve">an additional line of therapy prior to patients being initiated on bDMARD therapy </w:t>
      </w:r>
      <w:r w:rsidR="00561EAC">
        <w:t>because</w:t>
      </w:r>
      <w:r w:rsidR="008A7C1F">
        <w:t xml:space="preserve"> this would unnecessarily d</w:t>
      </w:r>
      <w:r w:rsidR="00E656C4">
        <w:t xml:space="preserve">elay </w:t>
      </w:r>
      <w:r w:rsidR="00561EAC">
        <w:t xml:space="preserve">the use of </w:t>
      </w:r>
      <w:r w:rsidR="00E656C4">
        <w:t xml:space="preserve">more effective </w:t>
      </w:r>
      <w:r w:rsidR="007216B8">
        <w:t xml:space="preserve">bDMARD </w:t>
      </w:r>
      <w:r w:rsidR="00E656C4">
        <w:t>treatment.</w:t>
      </w:r>
    </w:p>
    <w:p w:rsidR="007D0001" w:rsidRDefault="007D0001" w:rsidP="007D0001"/>
    <w:p w:rsidR="007D0001" w:rsidRDefault="000B4556" w:rsidP="000B4556">
      <w:pPr>
        <w:pStyle w:val="ListParagraph"/>
        <w:widowControl/>
        <w:numPr>
          <w:ilvl w:val="1"/>
          <w:numId w:val="5"/>
        </w:numPr>
      </w:pPr>
      <w:r>
        <w:t xml:space="preserve">The PBAC noted that the PSCR identified two patient populations who may access </w:t>
      </w:r>
      <w:proofErr w:type="spellStart"/>
      <w:r>
        <w:t>apremilast</w:t>
      </w:r>
      <w:proofErr w:type="spellEnd"/>
      <w:r>
        <w:t>: those who are currently treated with bDMARDs</w:t>
      </w:r>
      <w:r w:rsidR="00E656C4">
        <w:t>,</w:t>
      </w:r>
      <w:r>
        <w:t xml:space="preserve"> but would prefer an oral therapy</w:t>
      </w:r>
      <w:r w:rsidR="002E0BC7">
        <w:t xml:space="preserve"> and would switch if </w:t>
      </w:r>
      <w:proofErr w:type="spellStart"/>
      <w:r w:rsidR="002E0BC7">
        <w:t>apremilast</w:t>
      </w:r>
      <w:proofErr w:type="spellEnd"/>
      <w:r w:rsidR="002E0BC7">
        <w:t xml:space="preserve"> became available</w:t>
      </w:r>
      <w:r w:rsidR="00E656C4">
        <w:t>;</w:t>
      </w:r>
      <w:r>
        <w:t xml:space="preserve"> and those who are currently appropriate and eligible for bDMARD therapy</w:t>
      </w:r>
      <w:r w:rsidR="00E656C4">
        <w:t>,</w:t>
      </w:r>
      <w:r>
        <w:t xml:space="preserve"> but are unwilling to commence this. The PBAC noted that neither of these populations </w:t>
      </w:r>
      <w:proofErr w:type="gramStart"/>
      <w:r>
        <w:t>were</w:t>
      </w:r>
      <w:proofErr w:type="gramEnd"/>
      <w:r>
        <w:t xml:space="preserve"> incorporated into the economic model</w:t>
      </w:r>
      <w:r w:rsidR="00E656C4">
        <w:t>, which assumed</w:t>
      </w:r>
      <w:r w:rsidR="00415F0E">
        <w:t xml:space="preserve"> patients initiate treatment with </w:t>
      </w:r>
      <w:proofErr w:type="spellStart"/>
      <w:r w:rsidR="00415F0E">
        <w:t>apremilast</w:t>
      </w:r>
      <w:proofErr w:type="spellEnd"/>
      <w:r w:rsidR="00415F0E">
        <w:t xml:space="preserve"> after failure of DMARDs</w:t>
      </w:r>
      <w:r w:rsidR="002E0BC7">
        <w:t>, directly replacing the use of adalimumab.</w:t>
      </w:r>
      <w:r>
        <w:t xml:space="preserve"> </w:t>
      </w:r>
      <w:r w:rsidR="007D0001">
        <w:t xml:space="preserve">The PBAC considered that the identified “eligible but unwilling” population were </w:t>
      </w:r>
      <w:r w:rsidR="005D57AD">
        <w:t>not adequately defined by the resubmission</w:t>
      </w:r>
      <w:r w:rsidR="00DB6D3F">
        <w:t>, and in clinical practice are likely to be quite small</w:t>
      </w:r>
      <w:r w:rsidR="005D57AD">
        <w:t xml:space="preserve">. </w:t>
      </w:r>
      <w:r>
        <w:t>The sponsor h</w:t>
      </w:r>
      <w:r w:rsidR="005D57AD">
        <w:t>earing defined this</w:t>
      </w:r>
      <w:r>
        <w:t xml:space="preserve"> population</w:t>
      </w:r>
      <w:r w:rsidR="005D57AD">
        <w:t xml:space="preserve"> as</w:t>
      </w:r>
      <w:r>
        <w:t xml:space="preserve"> predominantly elderly patients </w:t>
      </w:r>
      <w:r w:rsidR="005D57AD">
        <w:t>with</w:t>
      </w:r>
      <w:r>
        <w:t xml:space="preserve"> significant</w:t>
      </w:r>
      <w:r w:rsidR="005D57AD">
        <w:t xml:space="preserve"> comorbidities </w:t>
      </w:r>
      <w:r>
        <w:t>who are therefore unsuitable for bDMARDs. This assume</w:t>
      </w:r>
      <w:r w:rsidR="00E656C4">
        <w:t>d</w:t>
      </w:r>
      <w:r>
        <w:t xml:space="preserve"> that patients would not otherwise be treated with adalimumab (or another bDMARD)</w:t>
      </w:r>
      <w:r w:rsidR="00415F0E">
        <w:t xml:space="preserve"> after failure of </w:t>
      </w:r>
      <w:proofErr w:type="gramStart"/>
      <w:r w:rsidR="00415F0E">
        <w:t>DMARDs,</w:t>
      </w:r>
      <w:proofErr w:type="gramEnd"/>
      <w:r w:rsidR="00415F0E">
        <w:t xml:space="preserve"> however t</w:t>
      </w:r>
      <w:r>
        <w:t>his is not represented by the model structure</w:t>
      </w:r>
      <w:r w:rsidR="00415F0E">
        <w:t>.</w:t>
      </w:r>
    </w:p>
    <w:p w:rsidR="007D0001" w:rsidRDefault="007D0001" w:rsidP="000B4556"/>
    <w:p w:rsidR="007D0001" w:rsidRDefault="007D0001" w:rsidP="007540D7">
      <w:pPr>
        <w:pStyle w:val="ListParagraph"/>
        <w:widowControl/>
        <w:numPr>
          <w:ilvl w:val="1"/>
          <w:numId w:val="5"/>
        </w:numPr>
      </w:pPr>
      <w:r>
        <w:t>The PBAC considered that adalimumab, or any bDMARD</w:t>
      </w:r>
      <w:r w:rsidR="00415F0E">
        <w:t xml:space="preserve"> for the treatment of </w:t>
      </w:r>
      <w:proofErr w:type="spellStart"/>
      <w:r w:rsidR="00415F0E">
        <w:t>PsA</w:t>
      </w:r>
      <w:proofErr w:type="spellEnd"/>
      <w:r>
        <w:t>, is not an appropriate comparator</w:t>
      </w:r>
      <w:r w:rsidR="00E656C4">
        <w:t xml:space="preserve"> because </w:t>
      </w:r>
      <w:r w:rsidR="00561EAC">
        <w:t xml:space="preserve">the more appropriate place of </w:t>
      </w:r>
      <w:proofErr w:type="spellStart"/>
      <w:r w:rsidR="00561EAC">
        <w:t>apremilast</w:t>
      </w:r>
      <w:proofErr w:type="spellEnd"/>
      <w:r w:rsidR="00561EAC">
        <w:t xml:space="preserve"> </w:t>
      </w:r>
      <w:r w:rsidR="00B97F98">
        <w:t xml:space="preserve">is earlier </w:t>
      </w:r>
      <w:r w:rsidR="00561EAC">
        <w:t xml:space="preserve">in the clinical management algorithm </w:t>
      </w:r>
      <w:r w:rsidR="00B97F98">
        <w:t xml:space="preserve">than the </w:t>
      </w:r>
      <w:r w:rsidR="00561EAC">
        <w:t>bDMARDs</w:t>
      </w:r>
      <w:r>
        <w:t xml:space="preserve">. </w:t>
      </w:r>
      <w:r w:rsidR="005401EB">
        <w:t>T</w:t>
      </w:r>
      <w:r>
        <w:t xml:space="preserve">he PBAC reiterated that </w:t>
      </w:r>
      <w:proofErr w:type="spellStart"/>
      <w:r>
        <w:t>leflunomide</w:t>
      </w:r>
      <w:proofErr w:type="spellEnd"/>
      <w:r>
        <w:t xml:space="preserve">, or another DMARD used for the treatment of </w:t>
      </w:r>
      <w:proofErr w:type="spellStart"/>
      <w:r>
        <w:t>PsA</w:t>
      </w:r>
      <w:proofErr w:type="spellEnd"/>
      <w:r>
        <w:t>, is the appropriate comparator.</w:t>
      </w:r>
    </w:p>
    <w:p w:rsidR="00FA5DCE" w:rsidRDefault="00FA5DCE" w:rsidP="002C1A10">
      <w:pPr>
        <w:pStyle w:val="PBACheading1"/>
        <w:numPr>
          <w:ilvl w:val="0"/>
          <w:numId w:val="0"/>
        </w:numPr>
      </w:pPr>
    </w:p>
    <w:p w:rsidR="00557715" w:rsidRDefault="00557715" w:rsidP="007540D7">
      <w:pPr>
        <w:pStyle w:val="ListParagraph"/>
        <w:numPr>
          <w:ilvl w:val="1"/>
          <w:numId w:val="5"/>
        </w:numPr>
      </w:pPr>
      <w:r>
        <w:t>The PBAC noted that</w:t>
      </w:r>
      <w:r w:rsidR="00B97F98">
        <w:t>,</w:t>
      </w:r>
      <w:r>
        <w:t xml:space="preserve"> on the basis of the indirect comparison of </w:t>
      </w:r>
      <w:proofErr w:type="spellStart"/>
      <w:r>
        <w:t>apremilast</w:t>
      </w:r>
      <w:proofErr w:type="spellEnd"/>
      <w:r>
        <w:t xml:space="preserve"> to adalimumab, </w:t>
      </w:r>
      <w:proofErr w:type="spellStart"/>
      <w:r>
        <w:t>apremilast</w:t>
      </w:r>
      <w:proofErr w:type="spellEnd"/>
      <w:r>
        <w:t xml:space="preserve"> was statistically significantly inferior to adalimumab in terms of ACR50 response.</w:t>
      </w:r>
      <w:r w:rsidR="007540D7">
        <w:t xml:space="preserve"> </w:t>
      </w:r>
      <w:r w:rsidR="00B97F98">
        <w:t>Despite reliance on an indirect comparison, t</w:t>
      </w:r>
      <w:r w:rsidR="007540D7">
        <w:t>he PBAC was</w:t>
      </w:r>
      <w:r w:rsidR="005401EB">
        <w:t xml:space="preserve"> </w:t>
      </w:r>
      <w:r w:rsidR="005401EB" w:rsidRPr="007540D7">
        <w:rPr>
          <w:lang w:val="en-US"/>
        </w:rPr>
        <w:t>reasonably</w:t>
      </w:r>
      <w:r w:rsidR="007540D7" w:rsidRPr="007540D7">
        <w:rPr>
          <w:lang w:val="en-US"/>
        </w:rPr>
        <w:t xml:space="preserve"> confident of inferiority, given </w:t>
      </w:r>
      <w:r w:rsidR="007540D7">
        <w:rPr>
          <w:lang w:val="en-US"/>
        </w:rPr>
        <w:t xml:space="preserve">the </w:t>
      </w:r>
      <w:r w:rsidR="007540D7" w:rsidRPr="007540D7">
        <w:rPr>
          <w:lang w:val="en-US"/>
        </w:rPr>
        <w:t xml:space="preserve">magnitude of </w:t>
      </w:r>
      <w:r w:rsidR="00B97F98">
        <w:rPr>
          <w:lang w:val="en-US"/>
        </w:rPr>
        <w:t xml:space="preserve">the </w:t>
      </w:r>
      <w:r w:rsidR="007540D7" w:rsidRPr="007540D7">
        <w:rPr>
          <w:lang w:val="en-US"/>
        </w:rPr>
        <w:t xml:space="preserve">difference and </w:t>
      </w:r>
      <w:r w:rsidR="00B97F98">
        <w:rPr>
          <w:lang w:val="en-US"/>
        </w:rPr>
        <w:t xml:space="preserve">the </w:t>
      </w:r>
      <w:r w:rsidR="007540D7" w:rsidRPr="007540D7">
        <w:rPr>
          <w:lang w:val="en-US"/>
        </w:rPr>
        <w:t xml:space="preserve">lack of clear differences in </w:t>
      </w:r>
      <w:r w:rsidR="00B97F98">
        <w:rPr>
          <w:lang w:val="en-US"/>
        </w:rPr>
        <w:t xml:space="preserve">known </w:t>
      </w:r>
      <w:r w:rsidR="007540D7" w:rsidRPr="007540D7">
        <w:rPr>
          <w:lang w:val="en-US"/>
        </w:rPr>
        <w:t xml:space="preserve">modifiers </w:t>
      </w:r>
      <w:r w:rsidR="00B97F98">
        <w:rPr>
          <w:lang w:val="en-US"/>
        </w:rPr>
        <w:t xml:space="preserve">of treatment effect </w:t>
      </w:r>
      <w:r w:rsidR="007540D7" w:rsidRPr="007540D7">
        <w:rPr>
          <w:lang w:val="en-US"/>
        </w:rPr>
        <w:t>(with the exception of year of study)</w:t>
      </w:r>
      <w:r w:rsidR="005401EB">
        <w:rPr>
          <w:lang w:val="en-US"/>
        </w:rPr>
        <w:t>.</w:t>
      </w:r>
    </w:p>
    <w:p w:rsidR="00557715" w:rsidRDefault="00557715" w:rsidP="002C1A10">
      <w:pPr>
        <w:pStyle w:val="PBACheading1"/>
        <w:numPr>
          <w:ilvl w:val="0"/>
          <w:numId w:val="0"/>
        </w:numPr>
      </w:pPr>
    </w:p>
    <w:p w:rsidR="00557715" w:rsidRDefault="00284EAD" w:rsidP="00284EAD">
      <w:pPr>
        <w:pStyle w:val="ListParagraph"/>
        <w:widowControl/>
        <w:numPr>
          <w:ilvl w:val="1"/>
          <w:numId w:val="5"/>
        </w:numPr>
      </w:pPr>
      <w:r>
        <w:t xml:space="preserve">The PBAC considered </w:t>
      </w:r>
      <w:r w:rsidRPr="002A30BA">
        <w:rPr>
          <w:szCs w:val="22"/>
        </w:rPr>
        <w:t xml:space="preserve">the claim of non-inferior </w:t>
      </w:r>
      <w:r>
        <w:rPr>
          <w:szCs w:val="22"/>
        </w:rPr>
        <w:t xml:space="preserve">short-term </w:t>
      </w:r>
      <w:r w:rsidRPr="002A30BA">
        <w:rPr>
          <w:szCs w:val="22"/>
        </w:rPr>
        <w:t>safety</w:t>
      </w:r>
      <w:r>
        <w:rPr>
          <w:szCs w:val="22"/>
        </w:rPr>
        <w:t xml:space="preserve"> </w:t>
      </w:r>
      <w:r w:rsidR="00B97F98">
        <w:rPr>
          <w:szCs w:val="22"/>
        </w:rPr>
        <w:t>compared t</w:t>
      </w:r>
      <w:r w:rsidR="005E224F">
        <w:rPr>
          <w:szCs w:val="22"/>
        </w:rPr>
        <w:t>o</w:t>
      </w:r>
      <w:r w:rsidR="00B97F98">
        <w:rPr>
          <w:szCs w:val="22"/>
        </w:rPr>
        <w:t xml:space="preserve"> adalimumab </w:t>
      </w:r>
      <w:r w:rsidRPr="002A30BA">
        <w:rPr>
          <w:szCs w:val="22"/>
        </w:rPr>
        <w:t>was reasonably supported by the data</w:t>
      </w:r>
      <w:r>
        <w:t xml:space="preserve">. </w:t>
      </w:r>
      <w:r w:rsidR="00557715">
        <w:t xml:space="preserve">The PBAC </w:t>
      </w:r>
      <w:r>
        <w:t>considered</w:t>
      </w:r>
      <w:r w:rsidR="00B97F98">
        <w:t xml:space="preserve"> that</w:t>
      </w:r>
      <w:r>
        <w:t xml:space="preserve">, in the </w:t>
      </w:r>
      <w:r w:rsidRPr="00284EAD">
        <w:t>absence of comparative safety data</w:t>
      </w:r>
      <w:r>
        <w:t>,</w:t>
      </w:r>
      <w:r w:rsidRPr="00284EAD">
        <w:t xml:space="preserve"> </w:t>
      </w:r>
      <w:r>
        <w:t>the claim of</w:t>
      </w:r>
      <w:r w:rsidR="00557715">
        <w:t xml:space="preserve"> superior long-term safety of </w:t>
      </w:r>
      <w:proofErr w:type="spellStart"/>
      <w:r w:rsidR="00557715">
        <w:t>apremilast</w:t>
      </w:r>
      <w:proofErr w:type="spellEnd"/>
      <w:r w:rsidR="00557715">
        <w:t xml:space="preserve"> compared to adalimumab</w:t>
      </w:r>
      <w:r>
        <w:t xml:space="preserve"> was not robustly supported</w:t>
      </w:r>
      <w:r w:rsidR="00B97F98">
        <w:t xml:space="preserve"> (with the exception of </w:t>
      </w:r>
      <w:r>
        <w:t>the rate of infections</w:t>
      </w:r>
      <w:r w:rsidR="00B97F98">
        <w:t>, which is likely to be greater</w:t>
      </w:r>
      <w:r>
        <w:t xml:space="preserve"> with adalimumab</w:t>
      </w:r>
      <w:r w:rsidR="00654BED">
        <w:t>).</w:t>
      </w:r>
    </w:p>
    <w:p w:rsidR="00557715" w:rsidRDefault="00557715" w:rsidP="005E224F"/>
    <w:p w:rsidR="00557715" w:rsidRDefault="007F1313" w:rsidP="005401EB">
      <w:pPr>
        <w:pStyle w:val="ListParagraph"/>
        <w:widowControl/>
        <w:numPr>
          <w:ilvl w:val="1"/>
          <w:numId w:val="5"/>
        </w:numPr>
      </w:pPr>
      <w:r>
        <w:t xml:space="preserve">The PBAC agreed with the ESC that issues identified in the model </w:t>
      </w:r>
      <w:r w:rsidR="005E224F">
        <w:t>we</w:t>
      </w:r>
      <w:r>
        <w:t xml:space="preserve">re likely to </w:t>
      </w:r>
      <w:r w:rsidR="005E224F">
        <w:t xml:space="preserve">result in an </w:t>
      </w:r>
      <w:r>
        <w:t xml:space="preserve">overestimate </w:t>
      </w:r>
      <w:r w:rsidR="005E224F">
        <w:t xml:space="preserve">of the </w:t>
      </w:r>
      <w:r>
        <w:t xml:space="preserve">cost savings. </w:t>
      </w:r>
      <w:r w:rsidR="008A7C1F">
        <w:t xml:space="preserve">The PBAC noted that the ICER for </w:t>
      </w:r>
      <w:proofErr w:type="spellStart"/>
      <w:r w:rsidR="008A7C1F">
        <w:t>apremilast</w:t>
      </w:r>
      <w:proofErr w:type="spellEnd"/>
      <w:r w:rsidR="008A7C1F">
        <w:t xml:space="preserve"> </w:t>
      </w:r>
      <w:r w:rsidR="005E224F">
        <w:t>lay</w:t>
      </w:r>
      <w:r w:rsidR="008A7C1F">
        <w:t xml:space="preserve"> within the south-west quadrant of the cost effectiveness plane (i.e. less effective and cheaper) compared to bDMARDs</w:t>
      </w:r>
      <w:r w:rsidR="005E224F">
        <w:t>. H</w:t>
      </w:r>
      <w:r w:rsidR="008A7C1F">
        <w:t xml:space="preserve">owever </w:t>
      </w:r>
      <w:r w:rsidR="005E224F">
        <w:t xml:space="preserve">the PBAC </w:t>
      </w:r>
      <w:r w:rsidR="008A7C1F">
        <w:t>considered that</w:t>
      </w:r>
      <w:r w:rsidR="005E224F">
        <w:t>,</w:t>
      </w:r>
      <w:r w:rsidR="008A7C1F">
        <w:t xml:space="preserve"> given the unclear patient population likely to use </w:t>
      </w:r>
      <w:proofErr w:type="spellStart"/>
      <w:r w:rsidR="008A7C1F">
        <w:t>apremilast</w:t>
      </w:r>
      <w:proofErr w:type="spellEnd"/>
      <w:r w:rsidR="008A7C1F">
        <w:t xml:space="preserve">, </w:t>
      </w:r>
      <w:r w:rsidR="005E224F">
        <w:t xml:space="preserve">this model did not adequately assess </w:t>
      </w:r>
      <w:r w:rsidR="008A7C1F">
        <w:t xml:space="preserve">the cost-effectiveness </w:t>
      </w:r>
      <w:r w:rsidR="005E224F">
        <w:t xml:space="preserve">of </w:t>
      </w:r>
      <w:proofErr w:type="spellStart"/>
      <w:r w:rsidR="005E224F">
        <w:t>apremilast</w:t>
      </w:r>
      <w:proofErr w:type="spellEnd"/>
      <w:r w:rsidR="005E224F">
        <w:t xml:space="preserve"> in its </w:t>
      </w:r>
      <w:r w:rsidR="005401EB">
        <w:t xml:space="preserve">proposed </w:t>
      </w:r>
      <w:r w:rsidR="008A7C1F">
        <w:t>place in therapy</w:t>
      </w:r>
      <w:r w:rsidR="005E224F">
        <w:t>, let alone the earlier place in therapy considered to be more appropriate</w:t>
      </w:r>
      <w:r w:rsidR="008A7C1F">
        <w:t xml:space="preserve">. The PBAC therefore considered that a cost-minimisation analysis compared to </w:t>
      </w:r>
      <w:proofErr w:type="spellStart"/>
      <w:r w:rsidR="008A7C1F">
        <w:t>leflunomide</w:t>
      </w:r>
      <w:proofErr w:type="spellEnd"/>
      <w:r w:rsidR="008A7C1F">
        <w:t xml:space="preserve"> </w:t>
      </w:r>
      <w:r w:rsidR="005E224F">
        <w:t>would be a more</w:t>
      </w:r>
      <w:r w:rsidR="008A7C1F">
        <w:t xml:space="preserve"> a</w:t>
      </w:r>
      <w:r w:rsidR="005E224F">
        <w:t>ppropriate economic evaluation.</w:t>
      </w:r>
    </w:p>
    <w:p w:rsidR="008A7C1F" w:rsidRDefault="008A7C1F" w:rsidP="008A7C1F"/>
    <w:p w:rsidR="002E0BC7" w:rsidRDefault="008A7C1F" w:rsidP="00557715">
      <w:pPr>
        <w:pStyle w:val="ListParagraph"/>
        <w:widowControl/>
        <w:numPr>
          <w:ilvl w:val="1"/>
          <w:numId w:val="5"/>
        </w:numPr>
      </w:pPr>
      <w:r>
        <w:t xml:space="preserve">The PBAC considered that it </w:t>
      </w:r>
      <w:r w:rsidR="005E224F">
        <w:t>wa</w:t>
      </w:r>
      <w:r>
        <w:t xml:space="preserve">s difficult to </w:t>
      </w:r>
      <w:r w:rsidR="002E0BC7">
        <w:t>accurately estimate</w:t>
      </w:r>
      <w:r>
        <w:t xml:space="preserve"> the number of patients likely to be captured by the proposed “eligible but unwilling” patient population.</w:t>
      </w:r>
    </w:p>
    <w:p w:rsidR="002E0BC7" w:rsidRDefault="002E0BC7" w:rsidP="002E0BC7"/>
    <w:p w:rsidR="008A7C1F" w:rsidRDefault="002E0BC7" w:rsidP="00557715">
      <w:pPr>
        <w:pStyle w:val="ListParagraph"/>
        <w:widowControl/>
        <w:numPr>
          <w:ilvl w:val="1"/>
          <w:numId w:val="5"/>
        </w:numPr>
      </w:pPr>
      <w:r>
        <w:t xml:space="preserve">The PBAC noted that this </w:t>
      </w:r>
      <w:r w:rsidR="007216B8">
        <w:t>re</w:t>
      </w:r>
      <w:r>
        <w:t>submission is e</w:t>
      </w:r>
      <w:r w:rsidR="005E224F">
        <w:t>ligible for Independent Review.</w:t>
      </w:r>
    </w:p>
    <w:p w:rsidR="002C1A10" w:rsidRDefault="002C1A10" w:rsidP="002C1A10">
      <w:pPr>
        <w:pStyle w:val="PBACheading1"/>
        <w:numPr>
          <w:ilvl w:val="0"/>
          <w:numId w:val="0"/>
        </w:numPr>
      </w:pPr>
    </w:p>
    <w:p w:rsidR="002E0BC7" w:rsidRDefault="002E0BC7" w:rsidP="002C1A10">
      <w:pPr>
        <w:pStyle w:val="PBACheading1"/>
        <w:numPr>
          <w:ilvl w:val="0"/>
          <w:numId w:val="0"/>
        </w:numPr>
      </w:pPr>
    </w:p>
    <w:p w:rsidR="002C1A10" w:rsidRDefault="005E224F" w:rsidP="0093180A">
      <w:pPr>
        <w:pStyle w:val="Heading2"/>
      </w:pPr>
      <w:r>
        <w:t>Outcome:</w:t>
      </w:r>
    </w:p>
    <w:p w:rsidR="006F5CEE" w:rsidRDefault="0085538E" w:rsidP="00085ADC">
      <w:pPr>
        <w:pStyle w:val="PBACheading1"/>
        <w:numPr>
          <w:ilvl w:val="0"/>
          <w:numId w:val="0"/>
        </w:numPr>
      </w:pPr>
      <w:r>
        <w:t>Rejected</w:t>
      </w:r>
    </w:p>
    <w:p w:rsidR="00B240FD" w:rsidRDefault="00B240FD" w:rsidP="00085ADC">
      <w:pPr>
        <w:pStyle w:val="PBACheading1"/>
        <w:numPr>
          <w:ilvl w:val="0"/>
          <w:numId w:val="0"/>
        </w:numPr>
      </w:pPr>
    </w:p>
    <w:p w:rsidR="00B240FD" w:rsidRDefault="00B240FD" w:rsidP="0093180A">
      <w:pPr>
        <w:pStyle w:val="Heading1"/>
        <w:rPr>
          <w:rFonts w:eastAsia="SimSun"/>
        </w:rPr>
      </w:pPr>
      <w:r>
        <w:rPr>
          <w:rFonts w:eastAsia="SimSun"/>
        </w:rPr>
        <w:t>Context for Decision</w:t>
      </w:r>
    </w:p>
    <w:p w:rsidR="00B240FD" w:rsidRDefault="00B240FD" w:rsidP="00B240FD">
      <w:pPr>
        <w:ind w:left="720"/>
        <w:contextualSpacing/>
        <w:rPr>
          <w:b/>
        </w:rPr>
      </w:pPr>
    </w:p>
    <w:p w:rsidR="00B240FD" w:rsidRDefault="00B240FD" w:rsidP="00B240FD">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240FD" w:rsidRDefault="00B240FD" w:rsidP="00B240FD"/>
    <w:p w:rsidR="00B240FD" w:rsidRDefault="00B240FD" w:rsidP="0093180A">
      <w:pPr>
        <w:pStyle w:val="Heading1"/>
        <w:rPr>
          <w:rFonts w:eastAsia="SimSun"/>
        </w:rPr>
      </w:pPr>
      <w:r>
        <w:rPr>
          <w:rFonts w:eastAsia="SimSun"/>
        </w:rPr>
        <w:t>Sponsor’s Comment</w:t>
      </w:r>
    </w:p>
    <w:p w:rsidR="00B240FD" w:rsidRDefault="00B240FD" w:rsidP="00B240FD">
      <w:pPr>
        <w:tabs>
          <w:tab w:val="left" w:pos="2940"/>
        </w:tabs>
        <w:rPr>
          <w:szCs w:val="22"/>
        </w:rPr>
      </w:pPr>
    </w:p>
    <w:p w:rsidR="00B240FD" w:rsidRDefault="00E74D37" w:rsidP="00E74D37">
      <w:pPr>
        <w:pStyle w:val="PBACheading1"/>
        <w:numPr>
          <w:ilvl w:val="0"/>
          <w:numId w:val="0"/>
        </w:numPr>
        <w:ind w:left="720"/>
      </w:pPr>
      <w:r>
        <w:t>The sponsor had no comment.</w:t>
      </w:r>
    </w:p>
    <w:sectPr w:rsidR="00B240FD" w:rsidSect="00085AD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57187E" w15:done="0"/>
  <w15:commentEx w15:paraId="2773370E" w15:done="0"/>
  <w15:commentEx w15:paraId="1CBBDF80" w15:done="0"/>
  <w15:commentEx w15:paraId="302857ED" w15:done="0"/>
  <w15:commentEx w15:paraId="0D0EEBF4" w15:done="0"/>
  <w15:commentEx w15:paraId="6F539098" w15:paraIdParent="0D0EEB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4FC" w:rsidRDefault="00DB34FC" w:rsidP="00124A51">
      <w:r>
        <w:separator/>
      </w:r>
    </w:p>
  </w:endnote>
  <w:endnote w:type="continuationSeparator" w:id="0">
    <w:p w:rsidR="00DB34FC" w:rsidRDefault="00DB34FC"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AHCJX V+ Helvetica Neue LT Std">
    <w:altName w:val="Cambria"/>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FC" w:rsidRDefault="00DB34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200781"/>
      <w:docPartObj>
        <w:docPartGallery w:val="Page Numbers (Bottom of Page)"/>
        <w:docPartUnique/>
      </w:docPartObj>
    </w:sdtPr>
    <w:sdtEndPr>
      <w:rPr>
        <w:noProof/>
      </w:rPr>
    </w:sdtEndPr>
    <w:sdtContent>
      <w:p w:rsidR="00DB34FC" w:rsidRDefault="00DB34FC">
        <w:pPr>
          <w:pStyle w:val="Footer"/>
          <w:jc w:val="center"/>
        </w:pPr>
        <w:r>
          <w:fldChar w:fldCharType="begin"/>
        </w:r>
        <w:r>
          <w:instrText xml:space="preserve"> PAGE   \* MERGEFORMAT </w:instrText>
        </w:r>
        <w:r>
          <w:fldChar w:fldCharType="separate"/>
        </w:r>
        <w:r w:rsidR="00DD7BBF">
          <w:rPr>
            <w:noProof/>
          </w:rPr>
          <w:t>10</w:t>
        </w:r>
        <w:r>
          <w:rPr>
            <w:noProof/>
          </w:rPr>
          <w:fldChar w:fldCharType="end"/>
        </w:r>
      </w:p>
    </w:sdtContent>
  </w:sdt>
  <w:p w:rsidR="00DB34FC" w:rsidRDefault="00DB34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FC" w:rsidRDefault="00DB3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4FC" w:rsidRDefault="00DB34FC" w:rsidP="00124A51">
      <w:r>
        <w:separator/>
      </w:r>
    </w:p>
  </w:footnote>
  <w:footnote w:type="continuationSeparator" w:id="0">
    <w:p w:rsidR="00DB34FC" w:rsidRDefault="00DB34FC"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FC" w:rsidRDefault="00DB34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FC" w:rsidRPr="00DF217D" w:rsidRDefault="00DB34FC" w:rsidP="00B240FD">
    <w:pPr>
      <w:pStyle w:val="Header"/>
      <w:ind w:left="360"/>
      <w:jc w:val="center"/>
      <w:rPr>
        <w:i/>
        <w:color w:val="808080"/>
      </w:rPr>
    </w:pPr>
    <w:r w:rsidRPr="00E810C7">
      <w:rPr>
        <w:i/>
        <w:color w:val="808080"/>
        <w:szCs w:val="22"/>
      </w:rPr>
      <w:t>Public Summary Document –</w:t>
    </w:r>
    <w:r w:rsidRPr="00DF217D">
      <w:rPr>
        <w:i/>
        <w:color w:val="808080"/>
      </w:rPr>
      <w:t xml:space="preserve"> </w:t>
    </w:r>
    <w:r>
      <w:rPr>
        <w:i/>
        <w:color w:val="808080"/>
      </w:rPr>
      <w:t xml:space="preserve">November 2015 </w:t>
    </w:r>
    <w:r w:rsidRPr="00DF217D">
      <w:rPr>
        <w:i/>
        <w:color w:val="808080"/>
      </w:rPr>
      <w:t>PBAC</w:t>
    </w:r>
    <w:r>
      <w:rPr>
        <w:i/>
        <w:color w:val="808080"/>
      </w:rPr>
      <w:t xml:space="preserve"> </w:t>
    </w:r>
    <w:r w:rsidRPr="00DF217D">
      <w:rPr>
        <w:i/>
        <w:color w:val="808080"/>
      </w:rPr>
      <w:t>Meeting</w:t>
    </w:r>
  </w:p>
  <w:p w:rsidR="00DB34FC" w:rsidRDefault="00DB34FC" w:rsidP="002E4C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FC" w:rsidRDefault="00DB3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F62"/>
    <w:multiLevelType w:val="hybridMultilevel"/>
    <w:tmpl w:val="6EBCAD56"/>
    <w:lvl w:ilvl="0" w:tplc="8454E9CA">
      <w:start w:val="2"/>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576EA"/>
    <w:multiLevelType w:val="hybridMultilevel"/>
    <w:tmpl w:val="A788C02E"/>
    <w:lvl w:ilvl="0" w:tplc="78B648A8">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D46D90"/>
    <w:multiLevelType w:val="hybridMultilevel"/>
    <w:tmpl w:val="1E4460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A5635C6"/>
    <w:multiLevelType w:val="hybridMultilevel"/>
    <w:tmpl w:val="44389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7F3891"/>
    <w:multiLevelType w:val="hybridMultilevel"/>
    <w:tmpl w:val="AC1E7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C53902"/>
    <w:multiLevelType w:val="hybridMultilevel"/>
    <w:tmpl w:val="94C60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D8379CA"/>
    <w:multiLevelType w:val="hybridMultilevel"/>
    <w:tmpl w:val="20CE079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nsid w:val="0DFB04EA"/>
    <w:multiLevelType w:val="hybridMultilevel"/>
    <w:tmpl w:val="44ACE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F780E97"/>
    <w:multiLevelType w:val="hybridMultilevel"/>
    <w:tmpl w:val="F1BE9BFE"/>
    <w:lvl w:ilvl="0" w:tplc="6B5C0932">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E74B65"/>
    <w:multiLevelType w:val="hybridMultilevel"/>
    <w:tmpl w:val="46687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627061"/>
    <w:multiLevelType w:val="multilevel"/>
    <w:tmpl w:val="1A6E74F0"/>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2">
    <w:nsid w:val="1A306486"/>
    <w:multiLevelType w:val="hybridMultilevel"/>
    <w:tmpl w:val="83385C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0CF4A3B"/>
    <w:multiLevelType w:val="hybridMultilevel"/>
    <w:tmpl w:val="EE304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C839A2"/>
    <w:multiLevelType w:val="hybridMultilevel"/>
    <w:tmpl w:val="58F296AC"/>
    <w:lvl w:ilvl="0" w:tplc="0C090001">
      <w:start w:val="1"/>
      <w:numFmt w:val="bullet"/>
      <w:lvlText w:val=""/>
      <w:lvlJc w:val="left"/>
      <w:pPr>
        <w:ind w:left="1779"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5">
    <w:nsid w:val="292524F9"/>
    <w:multiLevelType w:val="hybridMultilevel"/>
    <w:tmpl w:val="4236A288"/>
    <w:lvl w:ilvl="0" w:tplc="0C09001B">
      <w:start w:val="1"/>
      <w:numFmt w:val="lowerRoman"/>
      <w:lvlText w:val="%1."/>
      <w:lvlJc w:val="right"/>
      <w:pPr>
        <w:ind w:left="720" w:hanging="360"/>
      </w:pPr>
    </w:lvl>
    <w:lvl w:ilvl="1" w:tplc="8EB8CD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B273C01"/>
    <w:multiLevelType w:val="hybridMultilevel"/>
    <w:tmpl w:val="633E9EE4"/>
    <w:lvl w:ilvl="0" w:tplc="599AE712">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3331C9"/>
    <w:multiLevelType w:val="hybridMultilevel"/>
    <w:tmpl w:val="5C08FC58"/>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874473"/>
    <w:multiLevelType w:val="hybridMultilevel"/>
    <w:tmpl w:val="42B47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5340E4"/>
    <w:multiLevelType w:val="hybridMultilevel"/>
    <w:tmpl w:val="79648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5F4A5B"/>
    <w:multiLevelType w:val="multilevel"/>
    <w:tmpl w:val="78D4FCD8"/>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61B56AE"/>
    <w:multiLevelType w:val="hybridMultilevel"/>
    <w:tmpl w:val="34DC3BD6"/>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22">
    <w:nsid w:val="36576FDE"/>
    <w:multiLevelType w:val="hybridMultilevel"/>
    <w:tmpl w:val="D2BC27CA"/>
    <w:lvl w:ilvl="0" w:tplc="599AE7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497DC3"/>
    <w:multiLevelType w:val="hybridMultilevel"/>
    <w:tmpl w:val="4050B8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5">
    <w:nsid w:val="420B6ECC"/>
    <w:multiLevelType w:val="hybridMultilevel"/>
    <w:tmpl w:val="7B20D602"/>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start w:val="1"/>
      <w:numFmt w:val="bullet"/>
      <w:lvlText w:val=""/>
      <w:lvlJc w:val="left"/>
      <w:pPr>
        <w:ind w:left="2160" w:hanging="360"/>
      </w:pPr>
      <w:rPr>
        <w:rFonts w:ascii="Wingdings" w:hAnsi="Wingdings" w:hint="default"/>
      </w:rPr>
    </w:lvl>
    <w:lvl w:ilvl="3" w:tplc="48E8658E">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26">
    <w:nsid w:val="44FD630D"/>
    <w:multiLevelType w:val="hybridMultilevel"/>
    <w:tmpl w:val="5510B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nsid w:val="50B73F51"/>
    <w:multiLevelType w:val="hybridMultilevel"/>
    <w:tmpl w:val="AD925F8A"/>
    <w:lvl w:ilvl="0" w:tplc="599AE7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057FBA"/>
    <w:multiLevelType w:val="hybridMultilevel"/>
    <w:tmpl w:val="37AC4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1E04AFB"/>
    <w:multiLevelType w:val="hybridMultilevel"/>
    <w:tmpl w:val="6DE69104"/>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31">
    <w:nsid w:val="52FB34D1"/>
    <w:multiLevelType w:val="hybridMultilevel"/>
    <w:tmpl w:val="D5746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3">
    <w:nsid w:val="59997B4E"/>
    <w:multiLevelType w:val="hybridMultilevel"/>
    <w:tmpl w:val="473AE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9BC5196"/>
    <w:multiLevelType w:val="multilevel"/>
    <w:tmpl w:val="828496E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ADE37A4"/>
    <w:multiLevelType w:val="hybridMultilevel"/>
    <w:tmpl w:val="964C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B25708A"/>
    <w:multiLevelType w:val="hybridMultilevel"/>
    <w:tmpl w:val="3B86E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E6211AC"/>
    <w:multiLevelType w:val="hybridMultilevel"/>
    <w:tmpl w:val="2D2C6654"/>
    <w:lvl w:ilvl="0" w:tplc="FFFFFFFF">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0084FBF"/>
    <w:multiLevelType w:val="hybridMultilevel"/>
    <w:tmpl w:val="E9480C26"/>
    <w:lvl w:ilvl="0" w:tplc="808882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5246BDF"/>
    <w:multiLevelType w:val="hybridMultilevel"/>
    <w:tmpl w:val="3940C334"/>
    <w:lvl w:ilvl="0" w:tplc="614AEEFC">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5414CB7"/>
    <w:multiLevelType w:val="hybridMultilevel"/>
    <w:tmpl w:val="BE4AD7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nsid w:val="70A424D7"/>
    <w:multiLevelType w:val="hybridMultilevel"/>
    <w:tmpl w:val="18C6D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193714F"/>
    <w:multiLevelType w:val="hybridMultilevel"/>
    <w:tmpl w:val="771CDC4A"/>
    <w:lvl w:ilvl="0" w:tplc="8EB8CDC0">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4773D67"/>
    <w:multiLevelType w:val="hybridMultilevel"/>
    <w:tmpl w:val="A7EEB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84D033C"/>
    <w:multiLevelType w:val="multilevel"/>
    <w:tmpl w:val="9FBC821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AFB4457"/>
    <w:multiLevelType w:val="hybridMultilevel"/>
    <w:tmpl w:val="FBDE3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B0D7132"/>
    <w:multiLevelType w:val="hybridMultilevel"/>
    <w:tmpl w:val="948C2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24"/>
  </w:num>
  <w:num w:numId="3">
    <w:abstractNumId w:val="27"/>
  </w:num>
  <w:num w:numId="4">
    <w:abstractNumId w:val="1"/>
  </w:num>
  <w:num w:numId="5">
    <w:abstractNumId w:val="45"/>
  </w:num>
  <w:num w:numId="6">
    <w:abstractNumId w:val="34"/>
  </w:num>
  <w:num w:numId="7">
    <w:abstractNumId w:val="20"/>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30"/>
  </w:num>
  <w:num w:numId="12">
    <w:abstractNumId w:val="16"/>
  </w:num>
  <w:num w:numId="13">
    <w:abstractNumId w:val="4"/>
  </w:num>
  <w:num w:numId="14">
    <w:abstractNumId w:val="26"/>
  </w:num>
  <w:num w:numId="15">
    <w:abstractNumId w:val="47"/>
  </w:num>
  <w:num w:numId="16">
    <w:abstractNumId w:val="41"/>
  </w:num>
  <w:num w:numId="17">
    <w:abstractNumId w:val="22"/>
  </w:num>
  <w:num w:numId="18">
    <w:abstractNumId w:val="13"/>
  </w:num>
  <w:num w:numId="19">
    <w:abstractNumId w:val="25"/>
  </w:num>
  <w:num w:numId="20">
    <w:abstractNumId w:val="10"/>
  </w:num>
  <w:num w:numId="21">
    <w:abstractNumId w:val="7"/>
  </w:num>
  <w:num w:numId="22">
    <w:abstractNumId w:val="37"/>
  </w:num>
  <w:num w:numId="23">
    <w:abstractNumId w:val="33"/>
  </w:num>
  <w:num w:numId="24">
    <w:abstractNumId w:val="43"/>
  </w:num>
  <w:num w:numId="25">
    <w:abstractNumId w:val="17"/>
  </w:num>
  <w:num w:numId="26">
    <w:abstractNumId w:val="29"/>
  </w:num>
  <w:num w:numId="27">
    <w:abstractNumId w:val="39"/>
  </w:num>
  <w:num w:numId="28">
    <w:abstractNumId w:val="11"/>
  </w:num>
  <w:num w:numId="29">
    <w:abstractNumId w:val="35"/>
  </w:num>
  <w:num w:numId="30">
    <w:abstractNumId w:val="44"/>
  </w:num>
  <w:num w:numId="31">
    <w:abstractNumId w:val="8"/>
  </w:num>
  <w:num w:numId="32">
    <w:abstractNumId w:val="3"/>
  </w:num>
  <w:num w:numId="33">
    <w:abstractNumId w:val="31"/>
  </w:num>
  <w:num w:numId="34">
    <w:abstractNumId w:val="36"/>
  </w:num>
  <w:num w:numId="35">
    <w:abstractNumId w:val="15"/>
  </w:num>
  <w:num w:numId="36">
    <w:abstractNumId w:val="5"/>
  </w:num>
  <w:num w:numId="37">
    <w:abstractNumId w:val="2"/>
  </w:num>
  <w:num w:numId="38">
    <w:abstractNumId w:val="12"/>
  </w:num>
  <w:num w:numId="39">
    <w:abstractNumId w:val="21"/>
  </w:num>
  <w:num w:numId="40">
    <w:abstractNumId w:val="42"/>
  </w:num>
  <w:num w:numId="41">
    <w:abstractNumId w:val="40"/>
  </w:num>
  <w:num w:numId="42">
    <w:abstractNumId w:val="46"/>
  </w:num>
  <w:num w:numId="43">
    <w:abstractNumId w:val="19"/>
  </w:num>
  <w:num w:numId="44">
    <w:abstractNumId w:val="6"/>
  </w:num>
  <w:num w:numId="45">
    <w:abstractNumId w:val="9"/>
  </w:num>
  <w:num w:numId="46">
    <w:abstractNumId w:val="28"/>
  </w:num>
  <w:num w:numId="47">
    <w:abstractNumId w:val="0"/>
  </w:num>
  <w:num w:numId="48">
    <w:abstractNumId w:val="23"/>
  </w:num>
  <w:num w:numId="49">
    <w:abstractNumId w:val="32"/>
  </w:num>
  <w:num w:numId="50">
    <w:abstractNumId w:val="45"/>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Yong">
    <w15:presenceInfo w15:providerId="AD" w15:userId="S-1-5-21-948756243-734778046-674738317-11710"/>
  </w15:person>
  <w15:person w15:author="Silva Zavarsek">
    <w15:presenceInfo w15:providerId="AD" w15:userId="S-1-5-21-948756243-734778046-674738317-20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04D"/>
    <w:rsid w:val="00000092"/>
    <w:rsid w:val="0000014C"/>
    <w:rsid w:val="00000790"/>
    <w:rsid w:val="000008AD"/>
    <w:rsid w:val="0000110B"/>
    <w:rsid w:val="000014E0"/>
    <w:rsid w:val="00002103"/>
    <w:rsid w:val="000027A9"/>
    <w:rsid w:val="00002F57"/>
    <w:rsid w:val="00004B7D"/>
    <w:rsid w:val="00004BD8"/>
    <w:rsid w:val="000062DC"/>
    <w:rsid w:val="000065DA"/>
    <w:rsid w:val="00006A36"/>
    <w:rsid w:val="00007590"/>
    <w:rsid w:val="00007A4A"/>
    <w:rsid w:val="00010615"/>
    <w:rsid w:val="00011123"/>
    <w:rsid w:val="000114A9"/>
    <w:rsid w:val="000119F9"/>
    <w:rsid w:val="00011BA1"/>
    <w:rsid w:val="0001207D"/>
    <w:rsid w:val="00012B04"/>
    <w:rsid w:val="00013247"/>
    <w:rsid w:val="00013861"/>
    <w:rsid w:val="00013C8D"/>
    <w:rsid w:val="00013D51"/>
    <w:rsid w:val="00014A00"/>
    <w:rsid w:val="000151D5"/>
    <w:rsid w:val="00015494"/>
    <w:rsid w:val="00015886"/>
    <w:rsid w:val="000162EF"/>
    <w:rsid w:val="000177C8"/>
    <w:rsid w:val="00017EDC"/>
    <w:rsid w:val="000206E9"/>
    <w:rsid w:val="00021960"/>
    <w:rsid w:val="0002225F"/>
    <w:rsid w:val="00022E83"/>
    <w:rsid w:val="00023763"/>
    <w:rsid w:val="0002389D"/>
    <w:rsid w:val="00023DC6"/>
    <w:rsid w:val="00024640"/>
    <w:rsid w:val="000246CA"/>
    <w:rsid w:val="00024BFA"/>
    <w:rsid w:val="000254BD"/>
    <w:rsid w:val="00027495"/>
    <w:rsid w:val="00030423"/>
    <w:rsid w:val="00030BF1"/>
    <w:rsid w:val="00032242"/>
    <w:rsid w:val="00032B4D"/>
    <w:rsid w:val="00033516"/>
    <w:rsid w:val="00034147"/>
    <w:rsid w:val="000341A9"/>
    <w:rsid w:val="0003428D"/>
    <w:rsid w:val="000343DF"/>
    <w:rsid w:val="00034558"/>
    <w:rsid w:val="00034626"/>
    <w:rsid w:val="00034AB7"/>
    <w:rsid w:val="00034D71"/>
    <w:rsid w:val="000350A7"/>
    <w:rsid w:val="00035367"/>
    <w:rsid w:val="00036635"/>
    <w:rsid w:val="00036CB7"/>
    <w:rsid w:val="00037180"/>
    <w:rsid w:val="00040895"/>
    <w:rsid w:val="00041113"/>
    <w:rsid w:val="000421DF"/>
    <w:rsid w:val="0004231D"/>
    <w:rsid w:val="000425DC"/>
    <w:rsid w:val="00042ADD"/>
    <w:rsid w:val="00042B60"/>
    <w:rsid w:val="00043850"/>
    <w:rsid w:val="00043C37"/>
    <w:rsid w:val="0004528D"/>
    <w:rsid w:val="000457F9"/>
    <w:rsid w:val="0004601B"/>
    <w:rsid w:val="0004605E"/>
    <w:rsid w:val="000467CA"/>
    <w:rsid w:val="00046EBD"/>
    <w:rsid w:val="00050636"/>
    <w:rsid w:val="00051BA1"/>
    <w:rsid w:val="00051BEE"/>
    <w:rsid w:val="000525E6"/>
    <w:rsid w:val="000528F0"/>
    <w:rsid w:val="00053A26"/>
    <w:rsid w:val="00053E5A"/>
    <w:rsid w:val="0005416B"/>
    <w:rsid w:val="000546D7"/>
    <w:rsid w:val="00054F0E"/>
    <w:rsid w:val="0005503B"/>
    <w:rsid w:val="0005550E"/>
    <w:rsid w:val="000565AA"/>
    <w:rsid w:val="00056643"/>
    <w:rsid w:val="00056901"/>
    <w:rsid w:val="00056B62"/>
    <w:rsid w:val="000577FB"/>
    <w:rsid w:val="00057FC2"/>
    <w:rsid w:val="00060450"/>
    <w:rsid w:val="000623A2"/>
    <w:rsid w:val="00062556"/>
    <w:rsid w:val="00062888"/>
    <w:rsid w:val="0006352A"/>
    <w:rsid w:val="00064456"/>
    <w:rsid w:val="000647EB"/>
    <w:rsid w:val="00065F99"/>
    <w:rsid w:val="00066B43"/>
    <w:rsid w:val="00066B5E"/>
    <w:rsid w:val="00067147"/>
    <w:rsid w:val="000672E8"/>
    <w:rsid w:val="0006795C"/>
    <w:rsid w:val="00070C8C"/>
    <w:rsid w:val="00070FE3"/>
    <w:rsid w:val="00071248"/>
    <w:rsid w:val="00071511"/>
    <w:rsid w:val="00071D50"/>
    <w:rsid w:val="000720B9"/>
    <w:rsid w:val="00072B4B"/>
    <w:rsid w:val="00074C43"/>
    <w:rsid w:val="000750E5"/>
    <w:rsid w:val="0007582D"/>
    <w:rsid w:val="00077E9F"/>
    <w:rsid w:val="000808F3"/>
    <w:rsid w:val="00080DDE"/>
    <w:rsid w:val="00080E94"/>
    <w:rsid w:val="000812CA"/>
    <w:rsid w:val="00081787"/>
    <w:rsid w:val="00081C98"/>
    <w:rsid w:val="0008238D"/>
    <w:rsid w:val="00082F47"/>
    <w:rsid w:val="00082F51"/>
    <w:rsid w:val="000832EB"/>
    <w:rsid w:val="000848E2"/>
    <w:rsid w:val="00085ADC"/>
    <w:rsid w:val="000870C8"/>
    <w:rsid w:val="0008711D"/>
    <w:rsid w:val="00087123"/>
    <w:rsid w:val="000871F8"/>
    <w:rsid w:val="0008781F"/>
    <w:rsid w:val="00087FF4"/>
    <w:rsid w:val="00090284"/>
    <w:rsid w:val="00090C7E"/>
    <w:rsid w:val="00090E03"/>
    <w:rsid w:val="0009273D"/>
    <w:rsid w:val="00092EBA"/>
    <w:rsid w:val="00094253"/>
    <w:rsid w:val="00094345"/>
    <w:rsid w:val="000949DE"/>
    <w:rsid w:val="0009557B"/>
    <w:rsid w:val="00095614"/>
    <w:rsid w:val="000973F2"/>
    <w:rsid w:val="000A0280"/>
    <w:rsid w:val="000A0E1B"/>
    <w:rsid w:val="000A0F3C"/>
    <w:rsid w:val="000A1E47"/>
    <w:rsid w:val="000A1F6A"/>
    <w:rsid w:val="000A2986"/>
    <w:rsid w:val="000A2E56"/>
    <w:rsid w:val="000A3A76"/>
    <w:rsid w:val="000A3B3A"/>
    <w:rsid w:val="000A40E3"/>
    <w:rsid w:val="000A55FC"/>
    <w:rsid w:val="000A57E9"/>
    <w:rsid w:val="000A5A06"/>
    <w:rsid w:val="000A60DB"/>
    <w:rsid w:val="000A633C"/>
    <w:rsid w:val="000A715B"/>
    <w:rsid w:val="000A7172"/>
    <w:rsid w:val="000A7AAC"/>
    <w:rsid w:val="000B0340"/>
    <w:rsid w:val="000B0DC2"/>
    <w:rsid w:val="000B181F"/>
    <w:rsid w:val="000B37B4"/>
    <w:rsid w:val="000B4556"/>
    <w:rsid w:val="000B4936"/>
    <w:rsid w:val="000B4976"/>
    <w:rsid w:val="000B4DF3"/>
    <w:rsid w:val="000B50B7"/>
    <w:rsid w:val="000B5209"/>
    <w:rsid w:val="000B6C59"/>
    <w:rsid w:val="000B73B8"/>
    <w:rsid w:val="000C1C21"/>
    <w:rsid w:val="000C1C76"/>
    <w:rsid w:val="000C2ADB"/>
    <w:rsid w:val="000C30AC"/>
    <w:rsid w:val="000C3F06"/>
    <w:rsid w:val="000C51C4"/>
    <w:rsid w:val="000C57F3"/>
    <w:rsid w:val="000C61B5"/>
    <w:rsid w:val="000C62C1"/>
    <w:rsid w:val="000C634F"/>
    <w:rsid w:val="000C69AC"/>
    <w:rsid w:val="000C76B4"/>
    <w:rsid w:val="000C7C30"/>
    <w:rsid w:val="000C7F95"/>
    <w:rsid w:val="000D07E8"/>
    <w:rsid w:val="000D0A58"/>
    <w:rsid w:val="000D12F5"/>
    <w:rsid w:val="000D1979"/>
    <w:rsid w:val="000D1BFC"/>
    <w:rsid w:val="000D288B"/>
    <w:rsid w:val="000D2C40"/>
    <w:rsid w:val="000D2EA9"/>
    <w:rsid w:val="000D2EFF"/>
    <w:rsid w:val="000D359C"/>
    <w:rsid w:val="000D405A"/>
    <w:rsid w:val="000D51A0"/>
    <w:rsid w:val="000D5356"/>
    <w:rsid w:val="000D544F"/>
    <w:rsid w:val="000D5C13"/>
    <w:rsid w:val="000D5ECF"/>
    <w:rsid w:val="000D7A70"/>
    <w:rsid w:val="000E04FB"/>
    <w:rsid w:val="000E0A12"/>
    <w:rsid w:val="000E11B6"/>
    <w:rsid w:val="000E1B2C"/>
    <w:rsid w:val="000E1BE8"/>
    <w:rsid w:val="000E2F0C"/>
    <w:rsid w:val="000E30DF"/>
    <w:rsid w:val="000E3E10"/>
    <w:rsid w:val="000E5343"/>
    <w:rsid w:val="000E5437"/>
    <w:rsid w:val="000E5521"/>
    <w:rsid w:val="000E5664"/>
    <w:rsid w:val="000E5EDB"/>
    <w:rsid w:val="000E5FE4"/>
    <w:rsid w:val="000E786B"/>
    <w:rsid w:val="000E7E64"/>
    <w:rsid w:val="000F132B"/>
    <w:rsid w:val="000F247F"/>
    <w:rsid w:val="000F2D7F"/>
    <w:rsid w:val="000F378B"/>
    <w:rsid w:val="000F68AB"/>
    <w:rsid w:val="000F6DB1"/>
    <w:rsid w:val="000F7610"/>
    <w:rsid w:val="000F7F42"/>
    <w:rsid w:val="001004A5"/>
    <w:rsid w:val="00100A74"/>
    <w:rsid w:val="00100E42"/>
    <w:rsid w:val="00100F8A"/>
    <w:rsid w:val="001019FE"/>
    <w:rsid w:val="00101E8F"/>
    <w:rsid w:val="00102131"/>
    <w:rsid w:val="00102726"/>
    <w:rsid w:val="00102D18"/>
    <w:rsid w:val="001036A9"/>
    <w:rsid w:val="00103977"/>
    <w:rsid w:val="00105CB5"/>
    <w:rsid w:val="0010725F"/>
    <w:rsid w:val="001074C3"/>
    <w:rsid w:val="0010761E"/>
    <w:rsid w:val="0011032E"/>
    <w:rsid w:val="00110CA1"/>
    <w:rsid w:val="001117EF"/>
    <w:rsid w:val="001119E8"/>
    <w:rsid w:val="00112CEC"/>
    <w:rsid w:val="00112EE1"/>
    <w:rsid w:val="00113304"/>
    <w:rsid w:val="001138FB"/>
    <w:rsid w:val="00113D90"/>
    <w:rsid w:val="00114679"/>
    <w:rsid w:val="00114C96"/>
    <w:rsid w:val="00115C73"/>
    <w:rsid w:val="0011618E"/>
    <w:rsid w:val="001166E1"/>
    <w:rsid w:val="001174D3"/>
    <w:rsid w:val="0011785F"/>
    <w:rsid w:val="00120BCF"/>
    <w:rsid w:val="00120CEF"/>
    <w:rsid w:val="00120E37"/>
    <w:rsid w:val="00121743"/>
    <w:rsid w:val="00121799"/>
    <w:rsid w:val="001222FC"/>
    <w:rsid w:val="00122865"/>
    <w:rsid w:val="0012294F"/>
    <w:rsid w:val="0012295B"/>
    <w:rsid w:val="00123B14"/>
    <w:rsid w:val="00123C6D"/>
    <w:rsid w:val="001248EC"/>
    <w:rsid w:val="00124A51"/>
    <w:rsid w:val="00125138"/>
    <w:rsid w:val="00125145"/>
    <w:rsid w:val="00126382"/>
    <w:rsid w:val="00126621"/>
    <w:rsid w:val="00126AEC"/>
    <w:rsid w:val="00126C22"/>
    <w:rsid w:val="001278B1"/>
    <w:rsid w:val="001301E9"/>
    <w:rsid w:val="00131075"/>
    <w:rsid w:val="0013110D"/>
    <w:rsid w:val="001311F3"/>
    <w:rsid w:val="00131F3C"/>
    <w:rsid w:val="00132302"/>
    <w:rsid w:val="00132652"/>
    <w:rsid w:val="0013289D"/>
    <w:rsid w:val="00132DE5"/>
    <w:rsid w:val="00133EE4"/>
    <w:rsid w:val="00134857"/>
    <w:rsid w:val="00134F3A"/>
    <w:rsid w:val="001352ED"/>
    <w:rsid w:val="00135361"/>
    <w:rsid w:val="00135D20"/>
    <w:rsid w:val="00135E94"/>
    <w:rsid w:val="00135F1D"/>
    <w:rsid w:val="00136F78"/>
    <w:rsid w:val="00137645"/>
    <w:rsid w:val="001378BF"/>
    <w:rsid w:val="0014015A"/>
    <w:rsid w:val="00140E99"/>
    <w:rsid w:val="0014160B"/>
    <w:rsid w:val="001423A3"/>
    <w:rsid w:val="001427DA"/>
    <w:rsid w:val="00142EE2"/>
    <w:rsid w:val="00143ED8"/>
    <w:rsid w:val="0014419B"/>
    <w:rsid w:val="00144501"/>
    <w:rsid w:val="00144B03"/>
    <w:rsid w:val="00144EFF"/>
    <w:rsid w:val="0014501E"/>
    <w:rsid w:val="001454E5"/>
    <w:rsid w:val="001456B0"/>
    <w:rsid w:val="00145A86"/>
    <w:rsid w:val="00146AA4"/>
    <w:rsid w:val="00146B49"/>
    <w:rsid w:val="00147371"/>
    <w:rsid w:val="001477AB"/>
    <w:rsid w:val="00151119"/>
    <w:rsid w:val="00152563"/>
    <w:rsid w:val="00152804"/>
    <w:rsid w:val="00152F61"/>
    <w:rsid w:val="00153852"/>
    <w:rsid w:val="00153AA6"/>
    <w:rsid w:val="00154504"/>
    <w:rsid w:val="00155187"/>
    <w:rsid w:val="001563CD"/>
    <w:rsid w:val="00156E87"/>
    <w:rsid w:val="00157130"/>
    <w:rsid w:val="001579BE"/>
    <w:rsid w:val="00157D5F"/>
    <w:rsid w:val="001607B7"/>
    <w:rsid w:val="00161267"/>
    <w:rsid w:val="00161703"/>
    <w:rsid w:val="0016222F"/>
    <w:rsid w:val="00162480"/>
    <w:rsid w:val="001624C3"/>
    <w:rsid w:val="00162913"/>
    <w:rsid w:val="00162CD5"/>
    <w:rsid w:val="00162CED"/>
    <w:rsid w:val="00163856"/>
    <w:rsid w:val="0016387C"/>
    <w:rsid w:val="00163B70"/>
    <w:rsid w:val="00163D15"/>
    <w:rsid w:val="00163EFF"/>
    <w:rsid w:val="00165547"/>
    <w:rsid w:val="00165C5A"/>
    <w:rsid w:val="001661FB"/>
    <w:rsid w:val="0016628D"/>
    <w:rsid w:val="0016641F"/>
    <w:rsid w:val="00167C61"/>
    <w:rsid w:val="0017071F"/>
    <w:rsid w:val="00170D87"/>
    <w:rsid w:val="001714BB"/>
    <w:rsid w:val="00171C35"/>
    <w:rsid w:val="00172610"/>
    <w:rsid w:val="00172B4C"/>
    <w:rsid w:val="00173493"/>
    <w:rsid w:val="00173663"/>
    <w:rsid w:val="0017407F"/>
    <w:rsid w:val="00174B3C"/>
    <w:rsid w:val="00174FC9"/>
    <w:rsid w:val="001756B3"/>
    <w:rsid w:val="00175833"/>
    <w:rsid w:val="00175BAA"/>
    <w:rsid w:val="00177785"/>
    <w:rsid w:val="001815DB"/>
    <w:rsid w:val="001816EC"/>
    <w:rsid w:val="00181F30"/>
    <w:rsid w:val="00182AF2"/>
    <w:rsid w:val="00183DD3"/>
    <w:rsid w:val="00184A67"/>
    <w:rsid w:val="001853F9"/>
    <w:rsid w:val="00185F8B"/>
    <w:rsid w:val="00186566"/>
    <w:rsid w:val="00187E6F"/>
    <w:rsid w:val="00187FC6"/>
    <w:rsid w:val="00190CF1"/>
    <w:rsid w:val="0019140F"/>
    <w:rsid w:val="00191605"/>
    <w:rsid w:val="00192179"/>
    <w:rsid w:val="00192469"/>
    <w:rsid w:val="0019294F"/>
    <w:rsid w:val="00192A4C"/>
    <w:rsid w:val="00193A10"/>
    <w:rsid w:val="0019445F"/>
    <w:rsid w:val="001945F8"/>
    <w:rsid w:val="00194B50"/>
    <w:rsid w:val="001951AA"/>
    <w:rsid w:val="00195222"/>
    <w:rsid w:val="00195DBF"/>
    <w:rsid w:val="001963D7"/>
    <w:rsid w:val="001971A6"/>
    <w:rsid w:val="001975D8"/>
    <w:rsid w:val="001A2165"/>
    <w:rsid w:val="001A218F"/>
    <w:rsid w:val="001A39C3"/>
    <w:rsid w:val="001A3CA8"/>
    <w:rsid w:val="001A4A8E"/>
    <w:rsid w:val="001A5F18"/>
    <w:rsid w:val="001A6127"/>
    <w:rsid w:val="001A6AF4"/>
    <w:rsid w:val="001A6C7C"/>
    <w:rsid w:val="001B0880"/>
    <w:rsid w:val="001B088E"/>
    <w:rsid w:val="001B0F14"/>
    <w:rsid w:val="001B10C7"/>
    <w:rsid w:val="001B1D3F"/>
    <w:rsid w:val="001B1EF3"/>
    <w:rsid w:val="001B2414"/>
    <w:rsid w:val="001B2D68"/>
    <w:rsid w:val="001B3443"/>
    <w:rsid w:val="001B3844"/>
    <w:rsid w:val="001B40BA"/>
    <w:rsid w:val="001B493A"/>
    <w:rsid w:val="001B4EA0"/>
    <w:rsid w:val="001B51DA"/>
    <w:rsid w:val="001B6188"/>
    <w:rsid w:val="001B69FA"/>
    <w:rsid w:val="001B790A"/>
    <w:rsid w:val="001B7AAA"/>
    <w:rsid w:val="001C0894"/>
    <w:rsid w:val="001C0D4E"/>
    <w:rsid w:val="001C0D54"/>
    <w:rsid w:val="001C1030"/>
    <w:rsid w:val="001C106B"/>
    <w:rsid w:val="001C284F"/>
    <w:rsid w:val="001C386B"/>
    <w:rsid w:val="001C3D7F"/>
    <w:rsid w:val="001C413E"/>
    <w:rsid w:val="001C4621"/>
    <w:rsid w:val="001C4B3E"/>
    <w:rsid w:val="001C4D1D"/>
    <w:rsid w:val="001C4DBC"/>
    <w:rsid w:val="001C4E24"/>
    <w:rsid w:val="001C4E2A"/>
    <w:rsid w:val="001C5A6A"/>
    <w:rsid w:val="001C6E66"/>
    <w:rsid w:val="001C744F"/>
    <w:rsid w:val="001C7D89"/>
    <w:rsid w:val="001C7E5C"/>
    <w:rsid w:val="001D00E3"/>
    <w:rsid w:val="001D011E"/>
    <w:rsid w:val="001D0CEE"/>
    <w:rsid w:val="001D0EAB"/>
    <w:rsid w:val="001D112E"/>
    <w:rsid w:val="001D2234"/>
    <w:rsid w:val="001D247C"/>
    <w:rsid w:val="001D2C08"/>
    <w:rsid w:val="001D2E63"/>
    <w:rsid w:val="001D312A"/>
    <w:rsid w:val="001D34C0"/>
    <w:rsid w:val="001D4B3E"/>
    <w:rsid w:val="001D59DF"/>
    <w:rsid w:val="001D6E01"/>
    <w:rsid w:val="001D6F58"/>
    <w:rsid w:val="001D73D8"/>
    <w:rsid w:val="001D75F8"/>
    <w:rsid w:val="001D7F65"/>
    <w:rsid w:val="001E0083"/>
    <w:rsid w:val="001E0871"/>
    <w:rsid w:val="001E0F29"/>
    <w:rsid w:val="001E1001"/>
    <w:rsid w:val="001E238E"/>
    <w:rsid w:val="001E271F"/>
    <w:rsid w:val="001E283E"/>
    <w:rsid w:val="001E2FD9"/>
    <w:rsid w:val="001E44D0"/>
    <w:rsid w:val="001E52EB"/>
    <w:rsid w:val="001E740C"/>
    <w:rsid w:val="001F04D4"/>
    <w:rsid w:val="001F0503"/>
    <w:rsid w:val="001F1235"/>
    <w:rsid w:val="001F1887"/>
    <w:rsid w:val="001F1CB3"/>
    <w:rsid w:val="001F20E8"/>
    <w:rsid w:val="001F2AF0"/>
    <w:rsid w:val="001F2EE6"/>
    <w:rsid w:val="001F30ED"/>
    <w:rsid w:val="001F487F"/>
    <w:rsid w:val="001F50AE"/>
    <w:rsid w:val="001F5674"/>
    <w:rsid w:val="001F582F"/>
    <w:rsid w:val="001F5AF0"/>
    <w:rsid w:val="001F6388"/>
    <w:rsid w:val="001F7361"/>
    <w:rsid w:val="001F7BE1"/>
    <w:rsid w:val="001F7EB5"/>
    <w:rsid w:val="0020064D"/>
    <w:rsid w:val="00200654"/>
    <w:rsid w:val="002007B0"/>
    <w:rsid w:val="00200DAC"/>
    <w:rsid w:val="002025FE"/>
    <w:rsid w:val="00202749"/>
    <w:rsid w:val="002050D0"/>
    <w:rsid w:val="00205751"/>
    <w:rsid w:val="0020623C"/>
    <w:rsid w:val="00207D6A"/>
    <w:rsid w:val="00207DCF"/>
    <w:rsid w:val="00207F40"/>
    <w:rsid w:val="002100BA"/>
    <w:rsid w:val="00210343"/>
    <w:rsid w:val="002105C1"/>
    <w:rsid w:val="002106F7"/>
    <w:rsid w:val="00210960"/>
    <w:rsid w:val="00211158"/>
    <w:rsid w:val="002115BC"/>
    <w:rsid w:val="002118DD"/>
    <w:rsid w:val="002118F8"/>
    <w:rsid w:val="00211A07"/>
    <w:rsid w:val="00211CE2"/>
    <w:rsid w:val="00212EC9"/>
    <w:rsid w:val="002131E2"/>
    <w:rsid w:val="00213789"/>
    <w:rsid w:val="002149B6"/>
    <w:rsid w:val="002155A3"/>
    <w:rsid w:val="00215902"/>
    <w:rsid w:val="00216150"/>
    <w:rsid w:val="0021700F"/>
    <w:rsid w:val="002219EF"/>
    <w:rsid w:val="00221BE9"/>
    <w:rsid w:val="002228B3"/>
    <w:rsid w:val="00222E23"/>
    <w:rsid w:val="00223735"/>
    <w:rsid w:val="002238AA"/>
    <w:rsid w:val="00223AC1"/>
    <w:rsid w:val="00223B49"/>
    <w:rsid w:val="002246C4"/>
    <w:rsid w:val="00224D2D"/>
    <w:rsid w:val="00224DD4"/>
    <w:rsid w:val="00225504"/>
    <w:rsid w:val="002255EE"/>
    <w:rsid w:val="00225771"/>
    <w:rsid w:val="00225882"/>
    <w:rsid w:val="0022613A"/>
    <w:rsid w:val="0022794A"/>
    <w:rsid w:val="00227CB3"/>
    <w:rsid w:val="002309CC"/>
    <w:rsid w:val="00230E6C"/>
    <w:rsid w:val="00231249"/>
    <w:rsid w:val="002319BC"/>
    <w:rsid w:val="00231A75"/>
    <w:rsid w:val="002321E8"/>
    <w:rsid w:val="002328AD"/>
    <w:rsid w:val="00232943"/>
    <w:rsid w:val="00233428"/>
    <w:rsid w:val="00233D1C"/>
    <w:rsid w:val="002341A9"/>
    <w:rsid w:val="002344AA"/>
    <w:rsid w:val="0023450B"/>
    <w:rsid w:val="0023489D"/>
    <w:rsid w:val="0023582C"/>
    <w:rsid w:val="00236052"/>
    <w:rsid w:val="002360F7"/>
    <w:rsid w:val="0023621F"/>
    <w:rsid w:val="00236557"/>
    <w:rsid w:val="002368A8"/>
    <w:rsid w:val="00237020"/>
    <w:rsid w:val="00237813"/>
    <w:rsid w:val="00240435"/>
    <w:rsid w:val="002416DF"/>
    <w:rsid w:val="00243333"/>
    <w:rsid w:val="00243438"/>
    <w:rsid w:val="00243D18"/>
    <w:rsid w:val="00244815"/>
    <w:rsid w:val="00244ADC"/>
    <w:rsid w:val="00244BC3"/>
    <w:rsid w:val="0024508C"/>
    <w:rsid w:val="002450DD"/>
    <w:rsid w:val="00245431"/>
    <w:rsid w:val="00245DF1"/>
    <w:rsid w:val="00246A19"/>
    <w:rsid w:val="00246C09"/>
    <w:rsid w:val="00246F68"/>
    <w:rsid w:val="002471DA"/>
    <w:rsid w:val="00247368"/>
    <w:rsid w:val="00247401"/>
    <w:rsid w:val="002505B1"/>
    <w:rsid w:val="00250F1D"/>
    <w:rsid w:val="00251636"/>
    <w:rsid w:val="002516F2"/>
    <w:rsid w:val="002522CA"/>
    <w:rsid w:val="00252324"/>
    <w:rsid w:val="0025254F"/>
    <w:rsid w:val="002533F7"/>
    <w:rsid w:val="0025345B"/>
    <w:rsid w:val="00253726"/>
    <w:rsid w:val="002537A6"/>
    <w:rsid w:val="00253A8E"/>
    <w:rsid w:val="00253ADD"/>
    <w:rsid w:val="0025417F"/>
    <w:rsid w:val="0025447C"/>
    <w:rsid w:val="0025534B"/>
    <w:rsid w:val="00255763"/>
    <w:rsid w:val="0025586C"/>
    <w:rsid w:val="00255BB7"/>
    <w:rsid w:val="00256922"/>
    <w:rsid w:val="00256B1C"/>
    <w:rsid w:val="00256E37"/>
    <w:rsid w:val="002570C5"/>
    <w:rsid w:val="0025765E"/>
    <w:rsid w:val="0026013B"/>
    <w:rsid w:val="002611B2"/>
    <w:rsid w:val="002613F2"/>
    <w:rsid w:val="00261B1E"/>
    <w:rsid w:val="00261BD7"/>
    <w:rsid w:val="00261CF0"/>
    <w:rsid w:val="0026216E"/>
    <w:rsid w:val="0026221A"/>
    <w:rsid w:val="00262A87"/>
    <w:rsid w:val="00262C15"/>
    <w:rsid w:val="00263773"/>
    <w:rsid w:val="00264A44"/>
    <w:rsid w:val="0026701B"/>
    <w:rsid w:val="002674E4"/>
    <w:rsid w:val="002714A6"/>
    <w:rsid w:val="00272229"/>
    <w:rsid w:val="00272C26"/>
    <w:rsid w:val="002737C9"/>
    <w:rsid w:val="0027403C"/>
    <w:rsid w:val="0027437D"/>
    <w:rsid w:val="002755F6"/>
    <w:rsid w:val="00275C5A"/>
    <w:rsid w:val="002764CF"/>
    <w:rsid w:val="00277A60"/>
    <w:rsid w:val="00277B7E"/>
    <w:rsid w:val="00277F89"/>
    <w:rsid w:val="0028033F"/>
    <w:rsid w:val="0028043C"/>
    <w:rsid w:val="00280D40"/>
    <w:rsid w:val="00281284"/>
    <w:rsid w:val="002813C5"/>
    <w:rsid w:val="0028202A"/>
    <w:rsid w:val="00282147"/>
    <w:rsid w:val="00282930"/>
    <w:rsid w:val="00282EFB"/>
    <w:rsid w:val="00284241"/>
    <w:rsid w:val="002843B8"/>
    <w:rsid w:val="00284EAD"/>
    <w:rsid w:val="0028506E"/>
    <w:rsid w:val="00285154"/>
    <w:rsid w:val="00285FFE"/>
    <w:rsid w:val="002862A4"/>
    <w:rsid w:val="00286B15"/>
    <w:rsid w:val="00287978"/>
    <w:rsid w:val="00287A58"/>
    <w:rsid w:val="002908FD"/>
    <w:rsid w:val="00291B20"/>
    <w:rsid w:val="00291B54"/>
    <w:rsid w:val="00291CA2"/>
    <w:rsid w:val="00291E82"/>
    <w:rsid w:val="0029282A"/>
    <w:rsid w:val="00292939"/>
    <w:rsid w:val="00293129"/>
    <w:rsid w:val="002931D1"/>
    <w:rsid w:val="0029394E"/>
    <w:rsid w:val="0029570A"/>
    <w:rsid w:val="0029571C"/>
    <w:rsid w:val="00295ACA"/>
    <w:rsid w:val="0029605E"/>
    <w:rsid w:val="002965CF"/>
    <w:rsid w:val="00296D9F"/>
    <w:rsid w:val="00297325"/>
    <w:rsid w:val="00297ACD"/>
    <w:rsid w:val="00297BEE"/>
    <w:rsid w:val="002A14AB"/>
    <w:rsid w:val="002A23E1"/>
    <w:rsid w:val="002A2663"/>
    <w:rsid w:val="002A2A26"/>
    <w:rsid w:val="002A2D39"/>
    <w:rsid w:val="002A30BA"/>
    <w:rsid w:val="002A310C"/>
    <w:rsid w:val="002A3B11"/>
    <w:rsid w:val="002A3B64"/>
    <w:rsid w:val="002A3E89"/>
    <w:rsid w:val="002A4741"/>
    <w:rsid w:val="002A5308"/>
    <w:rsid w:val="002A588C"/>
    <w:rsid w:val="002A5E31"/>
    <w:rsid w:val="002A5FE9"/>
    <w:rsid w:val="002A605C"/>
    <w:rsid w:val="002A6496"/>
    <w:rsid w:val="002A6893"/>
    <w:rsid w:val="002A7137"/>
    <w:rsid w:val="002A7722"/>
    <w:rsid w:val="002B005F"/>
    <w:rsid w:val="002B0B44"/>
    <w:rsid w:val="002B1467"/>
    <w:rsid w:val="002B1B00"/>
    <w:rsid w:val="002B1C1F"/>
    <w:rsid w:val="002B255B"/>
    <w:rsid w:val="002B2B07"/>
    <w:rsid w:val="002B36F4"/>
    <w:rsid w:val="002B38B3"/>
    <w:rsid w:val="002B3D29"/>
    <w:rsid w:val="002B40B1"/>
    <w:rsid w:val="002B432F"/>
    <w:rsid w:val="002B4A49"/>
    <w:rsid w:val="002B4E6E"/>
    <w:rsid w:val="002B536D"/>
    <w:rsid w:val="002B6689"/>
    <w:rsid w:val="002B6CCE"/>
    <w:rsid w:val="002B77A6"/>
    <w:rsid w:val="002C0897"/>
    <w:rsid w:val="002C0B58"/>
    <w:rsid w:val="002C0D76"/>
    <w:rsid w:val="002C139F"/>
    <w:rsid w:val="002C179C"/>
    <w:rsid w:val="002C1A10"/>
    <w:rsid w:val="002C27C1"/>
    <w:rsid w:val="002C2A68"/>
    <w:rsid w:val="002C2F37"/>
    <w:rsid w:val="002C368F"/>
    <w:rsid w:val="002C37CE"/>
    <w:rsid w:val="002C3895"/>
    <w:rsid w:val="002C3E51"/>
    <w:rsid w:val="002C40DD"/>
    <w:rsid w:val="002C4EA4"/>
    <w:rsid w:val="002C5244"/>
    <w:rsid w:val="002C5358"/>
    <w:rsid w:val="002C5646"/>
    <w:rsid w:val="002C624A"/>
    <w:rsid w:val="002C72E5"/>
    <w:rsid w:val="002D0756"/>
    <w:rsid w:val="002D113E"/>
    <w:rsid w:val="002D149B"/>
    <w:rsid w:val="002D1C99"/>
    <w:rsid w:val="002D2539"/>
    <w:rsid w:val="002D3103"/>
    <w:rsid w:val="002D331D"/>
    <w:rsid w:val="002D3633"/>
    <w:rsid w:val="002D3931"/>
    <w:rsid w:val="002D4A3F"/>
    <w:rsid w:val="002D649A"/>
    <w:rsid w:val="002D6FEC"/>
    <w:rsid w:val="002D70A0"/>
    <w:rsid w:val="002D76C3"/>
    <w:rsid w:val="002D7AE4"/>
    <w:rsid w:val="002E0BC7"/>
    <w:rsid w:val="002E0DDC"/>
    <w:rsid w:val="002E0F70"/>
    <w:rsid w:val="002E1841"/>
    <w:rsid w:val="002E1858"/>
    <w:rsid w:val="002E1865"/>
    <w:rsid w:val="002E1897"/>
    <w:rsid w:val="002E18C6"/>
    <w:rsid w:val="002E19D5"/>
    <w:rsid w:val="002E27DE"/>
    <w:rsid w:val="002E2AF3"/>
    <w:rsid w:val="002E40D1"/>
    <w:rsid w:val="002E4CD2"/>
    <w:rsid w:val="002E5206"/>
    <w:rsid w:val="002E52F7"/>
    <w:rsid w:val="002E54D0"/>
    <w:rsid w:val="002E584B"/>
    <w:rsid w:val="002E6D16"/>
    <w:rsid w:val="002E7382"/>
    <w:rsid w:val="002E7700"/>
    <w:rsid w:val="002F0660"/>
    <w:rsid w:val="002F1029"/>
    <w:rsid w:val="002F1D9A"/>
    <w:rsid w:val="002F40F3"/>
    <w:rsid w:val="002F41FA"/>
    <w:rsid w:val="002F451F"/>
    <w:rsid w:val="002F5FD5"/>
    <w:rsid w:val="002F6603"/>
    <w:rsid w:val="002F6842"/>
    <w:rsid w:val="002F7317"/>
    <w:rsid w:val="002F7A36"/>
    <w:rsid w:val="0030041F"/>
    <w:rsid w:val="00300916"/>
    <w:rsid w:val="00300DE6"/>
    <w:rsid w:val="00301017"/>
    <w:rsid w:val="0030227A"/>
    <w:rsid w:val="0030263E"/>
    <w:rsid w:val="00303233"/>
    <w:rsid w:val="00305829"/>
    <w:rsid w:val="00306178"/>
    <w:rsid w:val="003062FF"/>
    <w:rsid w:val="00306FBF"/>
    <w:rsid w:val="0030718F"/>
    <w:rsid w:val="003071FA"/>
    <w:rsid w:val="0030786C"/>
    <w:rsid w:val="00307F33"/>
    <w:rsid w:val="0031031A"/>
    <w:rsid w:val="00311420"/>
    <w:rsid w:val="00311869"/>
    <w:rsid w:val="0031226E"/>
    <w:rsid w:val="00313480"/>
    <w:rsid w:val="00313FD1"/>
    <w:rsid w:val="00315498"/>
    <w:rsid w:val="00315C09"/>
    <w:rsid w:val="00315CF5"/>
    <w:rsid w:val="00316CA0"/>
    <w:rsid w:val="00320D2E"/>
    <w:rsid w:val="00321355"/>
    <w:rsid w:val="0032172F"/>
    <w:rsid w:val="00322778"/>
    <w:rsid w:val="003239BE"/>
    <w:rsid w:val="003247A8"/>
    <w:rsid w:val="00325D2D"/>
    <w:rsid w:val="00325D6B"/>
    <w:rsid w:val="003263B4"/>
    <w:rsid w:val="003272A1"/>
    <w:rsid w:val="00330552"/>
    <w:rsid w:val="00330719"/>
    <w:rsid w:val="0033084E"/>
    <w:rsid w:val="003317EB"/>
    <w:rsid w:val="00332B60"/>
    <w:rsid w:val="00332BD9"/>
    <w:rsid w:val="003344BA"/>
    <w:rsid w:val="00334766"/>
    <w:rsid w:val="003347A4"/>
    <w:rsid w:val="00334CFB"/>
    <w:rsid w:val="00334E86"/>
    <w:rsid w:val="00335E04"/>
    <w:rsid w:val="003361A9"/>
    <w:rsid w:val="003366C9"/>
    <w:rsid w:val="00340FC8"/>
    <w:rsid w:val="00341544"/>
    <w:rsid w:val="003419FC"/>
    <w:rsid w:val="00341C54"/>
    <w:rsid w:val="00341EF7"/>
    <w:rsid w:val="00342089"/>
    <w:rsid w:val="003421E4"/>
    <w:rsid w:val="003446AD"/>
    <w:rsid w:val="003451C3"/>
    <w:rsid w:val="00345821"/>
    <w:rsid w:val="00346677"/>
    <w:rsid w:val="00346F26"/>
    <w:rsid w:val="00346FD0"/>
    <w:rsid w:val="003472DE"/>
    <w:rsid w:val="00347513"/>
    <w:rsid w:val="00347992"/>
    <w:rsid w:val="00347C83"/>
    <w:rsid w:val="003503CD"/>
    <w:rsid w:val="0035259C"/>
    <w:rsid w:val="00352BD0"/>
    <w:rsid w:val="00353178"/>
    <w:rsid w:val="00353EE9"/>
    <w:rsid w:val="00355705"/>
    <w:rsid w:val="00355AC1"/>
    <w:rsid w:val="0035620E"/>
    <w:rsid w:val="00356492"/>
    <w:rsid w:val="00357A5A"/>
    <w:rsid w:val="00360096"/>
    <w:rsid w:val="00360F7E"/>
    <w:rsid w:val="0036119F"/>
    <w:rsid w:val="00361C26"/>
    <w:rsid w:val="00361D87"/>
    <w:rsid w:val="0036206F"/>
    <w:rsid w:val="003627DE"/>
    <w:rsid w:val="00362C05"/>
    <w:rsid w:val="0036301B"/>
    <w:rsid w:val="003647F3"/>
    <w:rsid w:val="0036558E"/>
    <w:rsid w:val="00366B60"/>
    <w:rsid w:val="00367378"/>
    <w:rsid w:val="00367F26"/>
    <w:rsid w:val="00370217"/>
    <w:rsid w:val="003702A7"/>
    <w:rsid w:val="003708EC"/>
    <w:rsid w:val="00370B22"/>
    <w:rsid w:val="00370B50"/>
    <w:rsid w:val="00370F13"/>
    <w:rsid w:val="00371ADE"/>
    <w:rsid w:val="003723B0"/>
    <w:rsid w:val="00373380"/>
    <w:rsid w:val="003748C2"/>
    <w:rsid w:val="00374EC1"/>
    <w:rsid w:val="003750E4"/>
    <w:rsid w:val="003754B2"/>
    <w:rsid w:val="00375E43"/>
    <w:rsid w:val="00376519"/>
    <w:rsid w:val="003769DF"/>
    <w:rsid w:val="00376B75"/>
    <w:rsid w:val="00377310"/>
    <w:rsid w:val="0037740E"/>
    <w:rsid w:val="00377DC6"/>
    <w:rsid w:val="00377FE8"/>
    <w:rsid w:val="00380257"/>
    <w:rsid w:val="0038040E"/>
    <w:rsid w:val="003809B3"/>
    <w:rsid w:val="00380E88"/>
    <w:rsid w:val="00381151"/>
    <w:rsid w:val="00381A7D"/>
    <w:rsid w:val="00382126"/>
    <w:rsid w:val="00382789"/>
    <w:rsid w:val="0038342D"/>
    <w:rsid w:val="003835EC"/>
    <w:rsid w:val="0038365C"/>
    <w:rsid w:val="00384065"/>
    <w:rsid w:val="003840D3"/>
    <w:rsid w:val="0038789C"/>
    <w:rsid w:val="00390A90"/>
    <w:rsid w:val="00391AB0"/>
    <w:rsid w:val="003925D1"/>
    <w:rsid w:val="00392668"/>
    <w:rsid w:val="00392EB1"/>
    <w:rsid w:val="0039336E"/>
    <w:rsid w:val="00393B0A"/>
    <w:rsid w:val="00393CA1"/>
    <w:rsid w:val="00393EB2"/>
    <w:rsid w:val="00393F75"/>
    <w:rsid w:val="0039450D"/>
    <w:rsid w:val="00395875"/>
    <w:rsid w:val="003958B5"/>
    <w:rsid w:val="00395A96"/>
    <w:rsid w:val="00396DD7"/>
    <w:rsid w:val="00396E57"/>
    <w:rsid w:val="00396FD0"/>
    <w:rsid w:val="003970F1"/>
    <w:rsid w:val="003977D4"/>
    <w:rsid w:val="00397AA1"/>
    <w:rsid w:val="00397B5C"/>
    <w:rsid w:val="003A046D"/>
    <w:rsid w:val="003A0901"/>
    <w:rsid w:val="003A1A2B"/>
    <w:rsid w:val="003A1A7A"/>
    <w:rsid w:val="003A1E30"/>
    <w:rsid w:val="003A1F22"/>
    <w:rsid w:val="003A2C74"/>
    <w:rsid w:val="003A35F2"/>
    <w:rsid w:val="003A4AC6"/>
    <w:rsid w:val="003A4BB3"/>
    <w:rsid w:val="003A5190"/>
    <w:rsid w:val="003A649D"/>
    <w:rsid w:val="003A6888"/>
    <w:rsid w:val="003A6AA4"/>
    <w:rsid w:val="003A7CA5"/>
    <w:rsid w:val="003B063C"/>
    <w:rsid w:val="003B0F30"/>
    <w:rsid w:val="003B1C34"/>
    <w:rsid w:val="003B1C67"/>
    <w:rsid w:val="003B1CC9"/>
    <w:rsid w:val="003B1D34"/>
    <w:rsid w:val="003B1F26"/>
    <w:rsid w:val="003B22F5"/>
    <w:rsid w:val="003B397E"/>
    <w:rsid w:val="003B3B7F"/>
    <w:rsid w:val="003B53B8"/>
    <w:rsid w:val="003B5402"/>
    <w:rsid w:val="003B6826"/>
    <w:rsid w:val="003B7885"/>
    <w:rsid w:val="003C01E6"/>
    <w:rsid w:val="003C083F"/>
    <w:rsid w:val="003C09E8"/>
    <w:rsid w:val="003C0D6F"/>
    <w:rsid w:val="003C1FA8"/>
    <w:rsid w:val="003C23D3"/>
    <w:rsid w:val="003C243D"/>
    <w:rsid w:val="003C320A"/>
    <w:rsid w:val="003C3B91"/>
    <w:rsid w:val="003C4C47"/>
    <w:rsid w:val="003C6648"/>
    <w:rsid w:val="003C6C6F"/>
    <w:rsid w:val="003D01BB"/>
    <w:rsid w:val="003D0392"/>
    <w:rsid w:val="003D0B54"/>
    <w:rsid w:val="003D1612"/>
    <w:rsid w:val="003D1828"/>
    <w:rsid w:val="003D2422"/>
    <w:rsid w:val="003D3223"/>
    <w:rsid w:val="003D34D8"/>
    <w:rsid w:val="003D54F9"/>
    <w:rsid w:val="003D72BD"/>
    <w:rsid w:val="003E008A"/>
    <w:rsid w:val="003E0409"/>
    <w:rsid w:val="003E3A00"/>
    <w:rsid w:val="003E3BFC"/>
    <w:rsid w:val="003E48A1"/>
    <w:rsid w:val="003E4C94"/>
    <w:rsid w:val="003E53E2"/>
    <w:rsid w:val="003E58D9"/>
    <w:rsid w:val="003E61A9"/>
    <w:rsid w:val="003F0185"/>
    <w:rsid w:val="003F04FE"/>
    <w:rsid w:val="003F0986"/>
    <w:rsid w:val="003F2F76"/>
    <w:rsid w:val="003F32E5"/>
    <w:rsid w:val="003F4019"/>
    <w:rsid w:val="003F4065"/>
    <w:rsid w:val="003F4156"/>
    <w:rsid w:val="003F4E70"/>
    <w:rsid w:val="003F55B9"/>
    <w:rsid w:val="003F5701"/>
    <w:rsid w:val="003F6158"/>
    <w:rsid w:val="003F62A3"/>
    <w:rsid w:val="003F6662"/>
    <w:rsid w:val="003F6965"/>
    <w:rsid w:val="003F7112"/>
    <w:rsid w:val="003F7579"/>
    <w:rsid w:val="00400089"/>
    <w:rsid w:val="004005F7"/>
    <w:rsid w:val="00400792"/>
    <w:rsid w:val="0040165C"/>
    <w:rsid w:val="00401D2B"/>
    <w:rsid w:val="004027AB"/>
    <w:rsid w:val="00403116"/>
    <w:rsid w:val="004037B6"/>
    <w:rsid w:val="00403834"/>
    <w:rsid w:val="00404828"/>
    <w:rsid w:val="00404BA1"/>
    <w:rsid w:val="00404EEB"/>
    <w:rsid w:val="00405C14"/>
    <w:rsid w:val="00405D38"/>
    <w:rsid w:val="00406535"/>
    <w:rsid w:val="00407A10"/>
    <w:rsid w:val="004102AF"/>
    <w:rsid w:val="004105E4"/>
    <w:rsid w:val="00410A0B"/>
    <w:rsid w:val="00410EC7"/>
    <w:rsid w:val="004111AF"/>
    <w:rsid w:val="0041156D"/>
    <w:rsid w:val="00411E08"/>
    <w:rsid w:val="00412B65"/>
    <w:rsid w:val="00412E05"/>
    <w:rsid w:val="0041391F"/>
    <w:rsid w:val="004139D0"/>
    <w:rsid w:val="004139DF"/>
    <w:rsid w:val="00414476"/>
    <w:rsid w:val="00414A04"/>
    <w:rsid w:val="00414B4B"/>
    <w:rsid w:val="004154D9"/>
    <w:rsid w:val="00415F0E"/>
    <w:rsid w:val="00416515"/>
    <w:rsid w:val="00416A7B"/>
    <w:rsid w:val="0041754B"/>
    <w:rsid w:val="0041788B"/>
    <w:rsid w:val="00420B9F"/>
    <w:rsid w:val="00420CB3"/>
    <w:rsid w:val="00421B34"/>
    <w:rsid w:val="00421D5D"/>
    <w:rsid w:val="0042294D"/>
    <w:rsid w:val="00423631"/>
    <w:rsid w:val="00423A82"/>
    <w:rsid w:val="00423BF9"/>
    <w:rsid w:val="004241EE"/>
    <w:rsid w:val="00424B82"/>
    <w:rsid w:val="00424BA3"/>
    <w:rsid w:val="00425091"/>
    <w:rsid w:val="004254F4"/>
    <w:rsid w:val="004259AE"/>
    <w:rsid w:val="00425B9F"/>
    <w:rsid w:val="00425CB2"/>
    <w:rsid w:val="004265D7"/>
    <w:rsid w:val="00426B20"/>
    <w:rsid w:val="00426E33"/>
    <w:rsid w:val="0042789F"/>
    <w:rsid w:val="00427DB9"/>
    <w:rsid w:val="004300A1"/>
    <w:rsid w:val="004319F8"/>
    <w:rsid w:val="00431AE4"/>
    <w:rsid w:val="00433285"/>
    <w:rsid w:val="004332CF"/>
    <w:rsid w:val="00433B25"/>
    <w:rsid w:val="0043582D"/>
    <w:rsid w:val="0043646D"/>
    <w:rsid w:val="004364E5"/>
    <w:rsid w:val="004378A0"/>
    <w:rsid w:val="00440C3F"/>
    <w:rsid w:val="004415D8"/>
    <w:rsid w:val="004416FA"/>
    <w:rsid w:val="00441D0C"/>
    <w:rsid w:val="00441DF2"/>
    <w:rsid w:val="00442060"/>
    <w:rsid w:val="00442A08"/>
    <w:rsid w:val="00442A46"/>
    <w:rsid w:val="0044332B"/>
    <w:rsid w:val="00443632"/>
    <w:rsid w:val="00443A13"/>
    <w:rsid w:val="00444128"/>
    <w:rsid w:val="004443A7"/>
    <w:rsid w:val="00446399"/>
    <w:rsid w:val="004464EB"/>
    <w:rsid w:val="004468AE"/>
    <w:rsid w:val="004469F9"/>
    <w:rsid w:val="00446AA5"/>
    <w:rsid w:val="00446B2E"/>
    <w:rsid w:val="004474EF"/>
    <w:rsid w:val="00450C28"/>
    <w:rsid w:val="00452248"/>
    <w:rsid w:val="0045227E"/>
    <w:rsid w:val="00452794"/>
    <w:rsid w:val="00452F8F"/>
    <w:rsid w:val="00453201"/>
    <w:rsid w:val="00453BD4"/>
    <w:rsid w:val="00454B3F"/>
    <w:rsid w:val="004551AA"/>
    <w:rsid w:val="00455951"/>
    <w:rsid w:val="00455A1D"/>
    <w:rsid w:val="00455CD0"/>
    <w:rsid w:val="00455D45"/>
    <w:rsid w:val="00457448"/>
    <w:rsid w:val="004604A4"/>
    <w:rsid w:val="0046340F"/>
    <w:rsid w:val="004636B5"/>
    <w:rsid w:val="00464405"/>
    <w:rsid w:val="00464595"/>
    <w:rsid w:val="004646AE"/>
    <w:rsid w:val="0046557C"/>
    <w:rsid w:val="0046588C"/>
    <w:rsid w:val="00465DFB"/>
    <w:rsid w:val="00466BB5"/>
    <w:rsid w:val="00466C2A"/>
    <w:rsid w:val="00466CDC"/>
    <w:rsid w:val="004670A2"/>
    <w:rsid w:val="0046720E"/>
    <w:rsid w:val="00467584"/>
    <w:rsid w:val="00467649"/>
    <w:rsid w:val="00467A1E"/>
    <w:rsid w:val="00467E6B"/>
    <w:rsid w:val="004714D1"/>
    <w:rsid w:val="00472359"/>
    <w:rsid w:val="0047456A"/>
    <w:rsid w:val="00475207"/>
    <w:rsid w:val="00476DFF"/>
    <w:rsid w:val="00477109"/>
    <w:rsid w:val="0047795F"/>
    <w:rsid w:val="00477F59"/>
    <w:rsid w:val="00480C38"/>
    <w:rsid w:val="004812FC"/>
    <w:rsid w:val="00481820"/>
    <w:rsid w:val="004821B3"/>
    <w:rsid w:val="00482AE0"/>
    <w:rsid w:val="00483AE6"/>
    <w:rsid w:val="00485AEA"/>
    <w:rsid w:val="00486424"/>
    <w:rsid w:val="004867E2"/>
    <w:rsid w:val="0049097B"/>
    <w:rsid w:val="00490CAF"/>
    <w:rsid w:val="004916CF"/>
    <w:rsid w:val="00491B3A"/>
    <w:rsid w:val="00491E2B"/>
    <w:rsid w:val="0049289F"/>
    <w:rsid w:val="00492A3A"/>
    <w:rsid w:val="0049315D"/>
    <w:rsid w:val="0049400F"/>
    <w:rsid w:val="0049484E"/>
    <w:rsid w:val="00494F0F"/>
    <w:rsid w:val="00496AB7"/>
    <w:rsid w:val="00496B89"/>
    <w:rsid w:val="00496DB4"/>
    <w:rsid w:val="0049755E"/>
    <w:rsid w:val="00497831"/>
    <w:rsid w:val="00497D96"/>
    <w:rsid w:val="00497F10"/>
    <w:rsid w:val="00497FF0"/>
    <w:rsid w:val="004A0DA1"/>
    <w:rsid w:val="004A1E42"/>
    <w:rsid w:val="004A2BC8"/>
    <w:rsid w:val="004A2FE0"/>
    <w:rsid w:val="004A33C4"/>
    <w:rsid w:val="004A4152"/>
    <w:rsid w:val="004A45E0"/>
    <w:rsid w:val="004A6597"/>
    <w:rsid w:val="004A684C"/>
    <w:rsid w:val="004A6D03"/>
    <w:rsid w:val="004A7025"/>
    <w:rsid w:val="004A71BB"/>
    <w:rsid w:val="004A724E"/>
    <w:rsid w:val="004A7338"/>
    <w:rsid w:val="004A77EC"/>
    <w:rsid w:val="004A7961"/>
    <w:rsid w:val="004B0743"/>
    <w:rsid w:val="004B0EB9"/>
    <w:rsid w:val="004B11EC"/>
    <w:rsid w:val="004B2F18"/>
    <w:rsid w:val="004B3DDB"/>
    <w:rsid w:val="004B44FD"/>
    <w:rsid w:val="004B4882"/>
    <w:rsid w:val="004B4ACE"/>
    <w:rsid w:val="004B5964"/>
    <w:rsid w:val="004B5CFC"/>
    <w:rsid w:val="004B6079"/>
    <w:rsid w:val="004C00CF"/>
    <w:rsid w:val="004C1068"/>
    <w:rsid w:val="004C1174"/>
    <w:rsid w:val="004C19CF"/>
    <w:rsid w:val="004C2C6A"/>
    <w:rsid w:val="004C2D70"/>
    <w:rsid w:val="004C36CB"/>
    <w:rsid w:val="004C45AC"/>
    <w:rsid w:val="004C4AED"/>
    <w:rsid w:val="004C550C"/>
    <w:rsid w:val="004C5560"/>
    <w:rsid w:val="004C5AA2"/>
    <w:rsid w:val="004C5CBA"/>
    <w:rsid w:val="004C6ACA"/>
    <w:rsid w:val="004C798D"/>
    <w:rsid w:val="004D0032"/>
    <w:rsid w:val="004D0DB6"/>
    <w:rsid w:val="004D16C0"/>
    <w:rsid w:val="004D22E2"/>
    <w:rsid w:val="004D28A6"/>
    <w:rsid w:val="004D59C6"/>
    <w:rsid w:val="004E0EB8"/>
    <w:rsid w:val="004E12A8"/>
    <w:rsid w:val="004E12F9"/>
    <w:rsid w:val="004E147C"/>
    <w:rsid w:val="004E14AB"/>
    <w:rsid w:val="004E14EA"/>
    <w:rsid w:val="004E1AFE"/>
    <w:rsid w:val="004E2ADC"/>
    <w:rsid w:val="004E3FD3"/>
    <w:rsid w:val="004E3FF9"/>
    <w:rsid w:val="004E50D0"/>
    <w:rsid w:val="004E5838"/>
    <w:rsid w:val="004E592A"/>
    <w:rsid w:val="004E5A0A"/>
    <w:rsid w:val="004E621D"/>
    <w:rsid w:val="004E683B"/>
    <w:rsid w:val="004E7AC8"/>
    <w:rsid w:val="004E7EC8"/>
    <w:rsid w:val="004F00A9"/>
    <w:rsid w:val="004F03F5"/>
    <w:rsid w:val="004F0693"/>
    <w:rsid w:val="004F0AC9"/>
    <w:rsid w:val="004F0E74"/>
    <w:rsid w:val="004F10AC"/>
    <w:rsid w:val="004F1686"/>
    <w:rsid w:val="004F1D02"/>
    <w:rsid w:val="004F2657"/>
    <w:rsid w:val="004F2679"/>
    <w:rsid w:val="004F3041"/>
    <w:rsid w:val="004F3638"/>
    <w:rsid w:val="004F3683"/>
    <w:rsid w:val="004F384F"/>
    <w:rsid w:val="004F3AE5"/>
    <w:rsid w:val="004F48DC"/>
    <w:rsid w:val="004F61A2"/>
    <w:rsid w:val="004F6330"/>
    <w:rsid w:val="004F6429"/>
    <w:rsid w:val="004F761E"/>
    <w:rsid w:val="004F7CA3"/>
    <w:rsid w:val="004F7FBA"/>
    <w:rsid w:val="00500223"/>
    <w:rsid w:val="005004D7"/>
    <w:rsid w:val="00500989"/>
    <w:rsid w:val="00501591"/>
    <w:rsid w:val="00501C2F"/>
    <w:rsid w:val="00501F66"/>
    <w:rsid w:val="00503F58"/>
    <w:rsid w:val="00504834"/>
    <w:rsid w:val="00504A7D"/>
    <w:rsid w:val="00504D31"/>
    <w:rsid w:val="00505725"/>
    <w:rsid w:val="00505B13"/>
    <w:rsid w:val="00505F17"/>
    <w:rsid w:val="00506166"/>
    <w:rsid w:val="00506334"/>
    <w:rsid w:val="00506783"/>
    <w:rsid w:val="00506E16"/>
    <w:rsid w:val="00507043"/>
    <w:rsid w:val="005100B3"/>
    <w:rsid w:val="005102CD"/>
    <w:rsid w:val="005109CE"/>
    <w:rsid w:val="00510DA0"/>
    <w:rsid w:val="0051158B"/>
    <w:rsid w:val="00511BAE"/>
    <w:rsid w:val="005120AD"/>
    <w:rsid w:val="00512D07"/>
    <w:rsid w:val="00512E39"/>
    <w:rsid w:val="00512E91"/>
    <w:rsid w:val="005152B5"/>
    <w:rsid w:val="0051563E"/>
    <w:rsid w:val="005159AE"/>
    <w:rsid w:val="00515EA6"/>
    <w:rsid w:val="005162F8"/>
    <w:rsid w:val="00516AA6"/>
    <w:rsid w:val="00517A7E"/>
    <w:rsid w:val="00517BEF"/>
    <w:rsid w:val="00521319"/>
    <w:rsid w:val="00521F22"/>
    <w:rsid w:val="00522681"/>
    <w:rsid w:val="005231E0"/>
    <w:rsid w:val="0052349C"/>
    <w:rsid w:val="005237B3"/>
    <w:rsid w:val="00523A50"/>
    <w:rsid w:val="00523C28"/>
    <w:rsid w:val="005248F7"/>
    <w:rsid w:val="00524DB7"/>
    <w:rsid w:val="00526A3D"/>
    <w:rsid w:val="005302F6"/>
    <w:rsid w:val="00530909"/>
    <w:rsid w:val="00530A02"/>
    <w:rsid w:val="005312F9"/>
    <w:rsid w:val="00533C06"/>
    <w:rsid w:val="00535091"/>
    <w:rsid w:val="0053656C"/>
    <w:rsid w:val="00536B53"/>
    <w:rsid w:val="005375DA"/>
    <w:rsid w:val="00537C09"/>
    <w:rsid w:val="005401EB"/>
    <w:rsid w:val="0054052E"/>
    <w:rsid w:val="00540809"/>
    <w:rsid w:val="0054083C"/>
    <w:rsid w:val="00540D7E"/>
    <w:rsid w:val="0054144F"/>
    <w:rsid w:val="005425B2"/>
    <w:rsid w:val="0054290E"/>
    <w:rsid w:val="00543017"/>
    <w:rsid w:val="0054334F"/>
    <w:rsid w:val="00544B09"/>
    <w:rsid w:val="005450F0"/>
    <w:rsid w:val="00545989"/>
    <w:rsid w:val="005462C4"/>
    <w:rsid w:val="00546CD4"/>
    <w:rsid w:val="00546F8E"/>
    <w:rsid w:val="005501A6"/>
    <w:rsid w:val="00550225"/>
    <w:rsid w:val="00550575"/>
    <w:rsid w:val="00550A51"/>
    <w:rsid w:val="00550B7B"/>
    <w:rsid w:val="00552E81"/>
    <w:rsid w:val="00553566"/>
    <w:rsid w:val="005538A2"/>
    <w:rsid w:val="00554EA5"/>
    <w:rsid w:val="00555109"/>
    <w:rsid w:val="005573A6"/>
    <w:rsid w:val="00557715"/>
    <w:rsid w:val="00557EA7"/>
    <w:rsid w:val="005604E5"/>
    <w:rsid w:val="005605A4"/>
    <w:rsid w:val="00560C46"/>
    <w:rsid w:val="00561039"/>
    <w:rsid w:val="00561EAC"/>
    <w:rsid w:val="00562040"/>
    <w:rsid w:val="0056276A"/>
    <w:rsid w:val="00562E9B"/>
    <w:rsid w:val="0056342E"/>
    <w:rsid w:val="00563893"/>
    <w:rsid w:val="0056392C"/>
    <w:rsid w:val="00566712"/>
    <w:rsid w:val="0056696F"/>
    <w:rsid w:val="005716E8"/>
    <w:rsid w:val="00571AA4"/>
    <w:rsid w:val="0057249F"/>
    <w:rsid w:val="0057278A"/>
    <w:rsid w:val="00572FD3"/>
    <w:rsid w:val="00573807"/>
    <w:rsid w:val="00574203"/>
    <w:rsid w:val="00574723"/>
    <w:rsid w:val="005754EF"/>
    <w:rsid w:val="00575569"/>
    <w:rsid w:val="00576972"/>
    <w:rsid w:val="00576E5B"/>
    <w:rsid w:val="005772D8"/>
    <w:rsid w:val="0057738D"/>
    <w:rsid w:val="00577717"/>
    <w:rsid w:val="005801E9"/>
    <w:rsid w:val="00580E5A"/>
    <w:rsid w:val="00581BE9"/>
    <w:rsid w:val="00582096"/>
    <w:rsid w:val="00582D67"/>
    <w:rsid w:val="00583699"/>
    <w:rsid w:val="0058403E"/>
    <w:rsid w:val="00584717"/>
    <w:rsid w:val="00587C41"/>
    <w:rsid w:val="00587FC7"/>
    <w:rsid w:val="00590C35"/>
    <w:rsid w:val="00590F7A"/>
    <w:rsid w:val="00591231"/>
    <w:rsid w:val="0059126C"/>
    <w:rsid w:val="00591ECF"/>
    <w:rsid w:val="0059257D"/>
    <w:rsid w:val="00592F45"/>
    <w:rsid w:val="005939F6"/>
    <w:rsid w:val="00593CDC"/>
    <w:rsid w:val="005943E9"/>
    <w:rsid w:val="0059449D"/>
    <w:rsid w:val="00595962"/>
    <w:rsid w:val="00595DBD"/>
    <w:rsid w:val="00595F58"/>
    <w:rsid w:val="00596020"/>
    <w:rsid w:val="00596987"/>
    <w:rsid w:val="00596E2D"/>
    <w:rsid w:val="00597D27"/>
    <w:rsid w:val="005A0660"/>
    <w:rsid w:val="005A16FF"/>
    <w:rsid w:val="005A3761"/>
    <w:rsid w:val="005A46FC"/>
    <w:rsid w:val="005A4B1E"/>
    <w:rsid w:val="005A4F22"/>
    <w:rsid w:val="005A530C"/>
    <w:rsid w:val="005A77C6"/>
    <w:rsid w:val="005B0D52"/>
    <w:rsid w:val="005B380C"/>
    <w:rsid w:val="005B3DC4"/>
    <w:rsid w:val="005B4804"/>
    <w:rsid w:val="005B4A01"/>
    <w:rsid w:val="005B51B4"/>
    <w:rsid w:val="005B55D8"/>
    <w:rsid w:val="005B5857"/>
    <w:rsid w:val="005B70B7"/>
    <w:rsid w:val="005B744E"/>
    <w:rsid w:val="005C030D"/>
    <w:rsid w:val="005C035B"/>
    <w:rsid w:val="005C07BD"/>
    <w:rsid w:val="005C1621"/>
    <w:rsid w:val="005C184B"/>
    <w:rsid w:val="005C1B83"/>
    <w:rsid w:val="005C1CC6"/>
    <w:rsid w:val="005C25E6"/>
    <w:rsid w:val="005C346B"/>
    <w:rsid w:val="005C3A56"/>
    <w:rsid w:val="005C449E"/>
    <w:rsid w:val="005C5B06"/>
    <w:rsid w:val="005C5D0C"/>
    <w:rsid w:val="005C66DB"/>
    <w:rsid w:val="005C6A73"/>
    <w:rsid w:val="005C7B68"/>
    <w:rsid w:val="005D00F9"/>
    <w:rsid w:val="005D0966"/>
    <w:rsid w:val="005D18AD"/>
    <w:rsid w:val="005D27B1"/>
    <w:rsid w:val="005D2C4B"/>
    <w:rsid w:val="005D2DA9"/>
    <w:rsid w:val="005D4422"/>
    <w:rsid w:val="005D518D"/>
    <w:rsid w:val="005D5454"/>
    <w:rsid w:val="005D549B"/>
    <w:rsid w:val="005D57AD"/>
    <w:rsid w:val="005D6272"/>
    <w:rsid w:val="005D72CB"/>
    <w:rsid w:val="005D77DF"/>
    <w:rsid w:val="005D796F"/>
    <w:rsid w:val="005D7E3E"/>
    <w:rsid w:val="005E0341"/>
    <w:rsid w:val="005E0A8A"/>
    <w:rsid w:val="005E0E82"/>
    <w:rsid w:val="005E0FBD"/>
    <w:rsid w:val="005E1E56"/>
    <w:rsid w:val="005E1E71"/>
    <w:rsid w:val="005E224F"/>
    <w:rsid w:val="005E2D29"/>
    <w:rsid w:val="005E476D"/>
    <w:rsid w:val="005E48EB"/>
    <w:rsid w:val="005E5078"/>
    <w:rsid w:val="005E567B"/>
    <w:rsid w:val="005E5E78"/>
    <w:rsid w:val="005E6038"/>
    <w:rsid w:val="005E614D"/>
    <w:rsid w:val="005E6CC2"/>
    <w:rsid w:val="005E754C"/>
    <w:rsid w:val="005E7D8F"/>
    <w:rsid w:val="005F04CE"/>
    <w:rsid w:val="005F0796"/>
    <w:rsid w:val="005F1762"/>
    <w:rsid w:val="005F1CB0"/>
    <w:rsid w:val="005F24B5"/>
    <w:rsid w:val="005F2706"/>
    <w:rsid w:val="005F2D2E"/>
    <w:rsid w:val="005F3042"/>
    <w:rsid w:val="005F397D"/>
    <w:rsid w:val="005F39E3"/>
    <w:rsid w:val="005F4264"/>
    <w:rsid w:val="005F48B4"/>
    <w:rsid w:val="005F57FD"/>
    <w:rsid w:val="005F5ACC"/>
    <w:rsid w:val="005F5CEC"/>
    <w:rsid w:val="005F69AE"/>
    <w:rsid w:val="005F6A8F"/>
    <w:rsid w:val="005F6C79"/>
    <w:rsid w:val="005F7054"/>
    <w:rsid w:val="005F706A"/>
    <w:rsid w:val="005F7152"/>
    <w:rsid w:val="005F76CF"/>
    <w:rsid w:val="005F7F7D"/>
    <w:rsid w:val="006002F9"/>
    <w:rsid w:val="00600765"/>
    <w:rsid w:val="00600C1A"/>
    <w:rsid w:val="00601270"/>
    <w:rsid w:val="006025DB"/>
    <w:rsid w:val="0060296D"/>
    <w:rsid w:val="00602F39"/>
    <w:rsid w:val="0060380D"/>
    <w:rsid w:val="00604820"/>
    <w:rsid w:val="00604BFB"/>
    <w:rsid w:val="00605C06"/>
    <w:rsid w:val="006061DA"/>
    <w:rsid w:val="006064A3"/>
    <w:rsid w:val="00607669"/>
    <w:rsid w:val="00607C16"/>
    <w:rsid w:val="00607F9B"/>
    <w:rsid w:val="00611C9C"/>
    <w:rsid w:val="00611D17"/>
    <w:rsid w:val="00612448"/>
    <w:rsid w:val="00612F97"/>
    <w:rsid w:val="00613116"/>
    <w:rsid w:val="006132B9"/>
    <w:rsid w:val="006134B0"/>
    <w:rsid w:val="00613518"/>
    <w:rsid w:val="006137D4"/>
    <w:rsid w:val="00613B49"/>
    <w:rsid w:val="00613DB2"/>
    <w:rsid w:val="00614D76"/>
    <w:rsid w:val="00616802"/>
    <w:rsid w:val="00616D7A"/>
    <w:rsid w:val="00617E12"/>
    <w:rsid w:val="006204BC"/>
    <w:rsid w:val="00621477"/>
    <w:rsid w:val="00621750"/>
    <w:rsid w:val="006226CE"/>
    <w:rsid w:val="00622C29"/>
    <w:rsid w:val="00623039"/>
    <w:rsid w:val="006238E9"/>
    <w:rsid w:val="00624493"/>
    <w:rsid w:val="0062605C"/>
    <w:rsid w:val="006262A0"/>
    <w:rsid w:val="006275BA"/>
    <w:rsid w:val="00630E0F"/>
    <w:rsid w:val="006310E6"/>
    <w:rsid w:val="00631214"/>
    <w:rsid w:val="00631990"/>
    <w:rsid w:val="00631D6B"/>
    <w:rsid w:val="0063201D"/>
    <w:rsid w:val="00632BDF"/>
    <w:rsid w:val="006334BE"/>
    <w:rsid w:val="00634179"/>
    <w:rsid w:val="0063479F"/>
    <w:rsid w:val="00634832"/>
    <w:rsid w:val="006359B5"/>
    <w:rsid w:val="006364A1"/>
    <w:rsid w:val="00636A99"/>
    <w:rsid w:val="00637485"/>
    <w:rsid w:val="006376CA"/>
    <w:rsid w:val="0063784C"/>
    <w:rsid w:val="00637BFD"/>
    <w:rsid w:val="0064024C"/>
    <w:rsid w:val="00640D56"/>
    <w:rsid w:val="006421D1"/>
    <w:rsid w:val="00642C97"/>
    <w:rsid w:val="00643304"/>
    <w:rsid w:val="00643FCA"/>
    <w:rsid w:val="00644979"/>
    <w:rsid w:val="006454F2"/>
    <w:rsid w:val="006455EF"/>
    <w:rsid w:val="00645C89"/>
    <w:rsid w:val="0064616E"/>
    <w:rsid w:val="006464F5"/>
    <w:rsid w:val="006471CC"/>
    <w:rsid w:val="00647642"/>
    <w:rsid w:val="00647CD3"/>
    <w:rsid w:val="00650397"/>
    <w:rsid w:val="0065079F"/>
    <w:rsid w:val="0065119E"/>
    <w:rsid w:val="006518BA"/>
    <w:rsid w:val="00652648"/>
    <w:rsid w:val="006526F3"/>
    <w:rsid w:val="00653B78"/>
    <w:rsid w:val="00653BBE"/>
    <w:rsid w:val="00653C84"/>
    <w:rsid w:val="00653E33"/>
    <w:rsid w:val="00654A46"/>
    <w:rsid w:val="00654BED"/>
    <w:rsid w:val="00655440"/>
    <w:rsid w:val="006559E1"/>
    <w:rsid w:val="00655A8D"/>
    <w:rsid w:val="006561ED"/>
    <w:rsid w:val="00657BD2"/>
    <w:rsid w:val="00657EB5"/>
    <w:rsid w:val="00660221"/>
    <w:rsid w:val="00661009"/>
    <w:rsid w:val="0066248F"/>
    <w:rsid w:val="0066258C"/>
    <w:rsid w:val="006628D4"/>
    <w:rsid w:val="00662B11"/>
    <w:rsid w:val="00662EC6"/>
    <w:rsid w:val="006637E3"/>
    <w:rsid w:val="006638A3"/>
    <w:rsid w:val="00663B81"/>
    <w:rsid w:val="00665367"/>
    <w:rsid w:val="0066686A"/>
    <w:rsid w:val="006679C2"/>
    <w:rsid w:val="006708CF"/>
    <w:rsid w:val="006717FC"/>
    <w:rsid w:val="00671E31"/>
    <w:rsid w:val="00671F83"/>
    <w:rsid w:val="00672A34"/>
    <w:rsid w:val="00674E0A"/>
    <w:rsid w:val="00674E42"/>
    <w:rsid w:val="006753A7"/>
    <w:rsid w:val="0067671C"/>
    <w:rsid w:val="00676D64"/>
    <w:rsid w:val="00677044"/>
    <w:rsid w:val="00677333"/>
    <w:rsid w:val="00680756"/>
    <w:rsid w:val="00682112"/>
    <w:rsid w:val="006835E7"/>
    <w:rsid w:val="00683979"/>
    <w:rsid w:val="00683FB3"/>
    <w:rsid w:val="006844A8"/>
    <w:rsid w:val="00685C82"/>
    <w:rsid w:val="00686E8E"/>
    <w:rsid w:val="00687D62"/>
    <w:rsid w:val="006900BD"/>
    <w:rsid w:val="00690E2D"/>
    <w:rsid w:val="00691D14"/>
    <w:rsid w:val="0069234E"/>
    <w:rsid w:val="00692F33"/>
    <w:rsid w:val="0069493E"/>
    <w:rsid w:val="00694B99"/>
    <w:rsid w:val="00694F44"/>
    <w:rsid w:val="00695554"/>
    <w:rsid w:val="00695E3D"/>
    <w:rsid w:val="00696188"/>
    <w:rsid w:val="006973F2"/>
    <w:rsid w:val="006A02F0"/>
    <w:rsid w:val="006A1261"/>
    <w:rsid w:val="006A2F00"/>
    <w:rsid w:val="006A3828"/>
    <w:rsid w:val="006A3905"/>
    <w:rsid w:val="006A3E8B"/>
    <w:rsid w:val="006A512E"/>
    <w:rsid w:val="006A5DB0"/>
    <w:rsid w:val="006A74BF"/>
    <w:rsid w:val="006A77B3"/>
    <w:rsid w:val="006A7B29"/>
    <w:rsid w:val="006A7B8F"/>
    <w:rsid w:val="006A7E69"/>
    <w:rsid w:val="006B2B26"/>
    <w:rsid w:val="006B309F"/>
    <w:rsid w:val="006B3BE4"/>
    <w:rsid w:val="006B3EFD"/>
    <w:rsid w:val="006B407A"/>
    <w:rsid w:val="006B49F9"/>
    <w:rsid w:val="006B6943"/>
    <w:rsid w:val="006B734C"/>
    <w:rsid w:val="006B7EBC"/>
    <w:rsid w:val="006C126E"/>
    <w:rsid w:val="006C144D"/>
    <w:rsid w:val="006C1FDF"/>
    <w:rsid w:val="006C21AF"/>
    <w:rsid w:val="006C239B"/>
    <w:rsid w:val="006C2A8E"/>
    <w:rsid w:val="006C4AD9"/>
    <w:rsid w:val="006C63A4"/>
    <w:rsid w:val="006C64E5"/>
    <w:rsid w:val="006C6754"/>
    <w:rsid w:val="006C688D"/>
    <w:rsid w:val="006D05BD"/>
    <w:rsid w:val="006D0B66"/>
    <w:rsid w:val="006D105A"/>
    <w:rsid w:val="006D1588"/>
    <w:rsid w:val="006D26C6"/>
    <w:rsid w:val="006D3C7D"/>
    <w:rsid w:val="006D446E"/>
    <w:rsid w:val="006D461D"/>
    <w:rsid w:val="006D67AD"/>
    <w:rsid w:val="006D7758"/>
    <w:rsid w:val="006D7FE0"/>
    <w:rsid w:val="006E025A"/>
    <w:rsid w:val="006E1955"/>
    <w:rsid w:val="006E3A50"/>
    <w:rsid w:val="006E3A62"/>
    <w:rsid w:val="006E3C3C"/>
    <w:rsid w:val="006E4F68"/>
    <w:rsid w:val="006E56E1"/>
    <w:rsid w:val="006E69E3"/>
    <w:rsid w:val="006E6E1C"/>
    <w:rsid w:val="006E7851"/>
    <w:rsid w:val="006E797C"/>
    <w:rsid w:val="006E7A9D"/>
    <w:rsid w:val="006F090F"/>
    <w:rsid w:val="006F0A04"/>
    <w:rsid w:val="006F0A3C"/>
    <w:rsid w:val="006F1768"/>
    <w:rsid w:val="006F1D1D"/>
    <w:rsid w:val="006F2466"/>
    <w:rsid w:val="006F2893"/>
    <w:rsid w:val="006F33DC"/>
    <w:rsid w:val="006F3B8F"/>
    <w:rsid w:val="006F48F7"/>
    <w:rsid w:val="006F54D7"/>
    <w:rsid w:val="006F5755"/>
    <w:rsid w:val="006F5824"/>
    <w:rsid w:val="006F5B81"/>
    <w:rsid w:val="006F5CEE"/>
    <w:rsid w:val="006F63A5"/>
    <w:rsid w:val="006F71E1"/>
    <w:rsid w:val="006F724A"/>
    <w:rsid w:val="0070276E"/>
    <w:rsid w:val="0070303A"/>
    <w:rsid w:val="00703573"/>
    <w:rsid w:val="007040DA"/>
    <w:rsid w:val="0070462F"/>
    <w:rsid w:val="007050D4"/>
    <w:rsid w:val="00705523"/>
    <w:rsid w:val="00705D81"/>
    <w:rsid w:val="00706BD6"/>
    <w:rsid w:val="00707FEC"/>
    <w:rsid w:val="00710147"/>
    <w:rsid w:val="00710774"/>
    <w:rsid w:val="00711993"/>
    <w:rsid w:val="00711A36"/>
    <w:rsid w:val="00712168"/>
    <w:rsid w:val="00712C86"/>
    <w:rsid w:val="00713036"/>
    <w:rsid w:val="0071339B"/>
    <w:rsid w:val="00714013"/>
    <w:rsid w:val="007158F8"/>
    <w:rsid w:val="00715F0B"/>
    <w:rsid w:val="0071662B"/>
    <w:rsid w:val="00716941"/>
    <w:rsid w:val="00716C84"/>
    <w:rsid w:val="0071721B"/>
    <w:rsid w:val="007172AD"/>
    <w:rsid w:val="00717802"/>
    <w:rsid w:val="007202B2"/>
    <w:rsid w:val="00720C12"/>
    <w:rsid w:val="00720FB6"/>
    <w:rsid w:val="007216B8"/>
    <w:rsid w:val="00721C24"/>
    <w:rsid w:val="007224EA"/>
    <w:rsid w:val="00723B22"/>
    <w:rsid w:val="00723E34"/>
    <w:rsid w:val="007250BD"/>
    <w:rsid w:val="0072557B"/>
    <w:rsid w:val="00725958"/>
    <w:rsid w:val="00725B36"/>
    <w:rsid w:val="007261E7"/>
    <w:rsid w:val="007265FB"/>
    <w:rsid w:val="007270A7"/>
    <w:rsid w:val="007277D9"/>
    <w:rsid w:val="00731A2D"/>
    <w:rsid w:val="00731F8D"/>
    <w:rsid w:val="0073211F"/>
    <w:rsid w:val="00732836"/>
    <w:rsid w:val="00733A46"/>
    <w:rsid w:val="00733BA0"/>
    <w:rsid w:val="00734AF5"/>
    <w:rsid w:val="00735328"/>
    <w:rsid w:val="0073685B"/>
    <w:rsid w:val="007368F7"/>
    <w:rsid w:val="00736E4F"/>
    <w:rsid w:val="007375DC"/>
    <w:rsid w:val="007377FD"/>
    <w:rsid w:val="0073791D"/>
    <w:rsid w:val="00740083"/>
    <w:rsid w:val="007402D8"/>
    <w:rsid w:val="007408BC"/>
    <w:rsid w:val="00740C04"/>
    <w:rsid w:val="00741D53"/>
    <w:rsid w:val="00742452"/>
    <w:rsid w:val="00742EA2"/>
    <w:rsid w:val="00743C69"/>
    <w:rsid w:val="007445C5"/>
    <w:rsid w:val="007449C5"/>
    <w:rsid w:val="00745658"/>
    <w:rsid w:val="00745E4F"/>
    <w:rsid w:val="007464EE"/>
    <w:rsid w:val="007465B3"/>
    <w:rsid w:val="00746790"/>
    <w:rsid w:val="007474AD"/>
    <w:rsid w:val="0075031D"/>
    <w:rsid w:val="007516E6"/>
    <w:rsid w:val="0075338D"/>
    <w:rsid w:val="00753598"/>
    <w:rsid w:val="00753D21"/>
    <w:rsid w:val="007540D7"/>
    <w:rsid w:val="0075410C"/>
    <w:rsid w:val="00754415"/>
    <w:rsid w:val="00755E59"/>
    <w:rsid w:val="00755FC1"/>
    <w:rsid w:val="00756262"/>
    <w:rsid w:val="0075793C"/>
    <w:rsid w:val="007607CB"/>
    <w:rsid w:val="00762932"/>
    <w:rsid w:val="00763C83"/>
    <w:rsid w:val="00763E83"/>
    <w:rsid w:val="007649C2"/>
    <w:rsid w:val="0076553F"/>
    <w:rsid w:val="00765934"/>
    <w:rsid w:val="007670BB"/>
    <w:rsid w:val="007676A4"/>
    <w:rsid w:val="00767FAD"/>
    <w:rsid w:val="00767FC5"/>
    <w:rsid w:val="00770500"/>
    <w:rsid w:val="00770E98"/>
    <w:rsid w:val="00773185"/>
    <w:rsid w:val="00773271"/>
    <w:rsid w:val="00773353"/>
    <w:rsid w:val="00773FB5"/>
    <w:rsid w:val="00775190"/>
    <w:rsid w:val="00775B36"/>
    <w:rsid w:val="00776812"/>
    <w:rsid w:val="00776A93"/>
    <w:rsid w:val="00776B30"/>
    <w:rsid w:val="00776E37"/>
    <w:rsid w:val="00777282"/>
    <w:rsid w:val="007802FC"/>
    <w:rsid w:val="007817A0"/>
    <w:rsid w:val="0078197F"/>
    <w:rsid w:val="00781A75"/>
    <w:rsid w:val="007822C4"/>
    <w:rsid w:val="00782997"/>
    <w:rsid w:val="00785878"/>
    <w:rsid w:val="00786312"/>
    <w:rsid w:val="007863E7"/>
    <w:rsid w:val="00786662"/>
    <w:rsid w:val="007866EA"/>
    <w:rsid w:val="00790A5A"/>
    <w:rsid w:val="00790F81"/>
    <w:rsid w:val="00791FFB"/>
    <w:rsid w:val="00794832"/>
    <w:rsid w:val="00795B44"/>
    <w:rsid w:val="00796079"/>
    <w:rsid w:val="00796899"/>
    <w:rsid w:val="00797BD0"/>
    <w:rsid w:val="007A03F0"/>
    <w:rsid w:val="007A281F"/>
    <w:rsid w:val="007A30D5"/>
    <w:rsid w:val="007A41E6"/>
    <w:rsid w:val="007A4A69"/>
    <w:rsid w:val="007A5557"/>
    <w:rsid w:val="007A55D5"/>
    <w:rsid w:val="007A5C24"/>
    <w:rsid w:val="007A687B"/>
    <w:rsid w:val="007B158E"/>
    <w:rsid w:val="007B2103"/>
    <w:rsid w:val="007B2178"/>
    <w:rsid w:val="007B251D"/>
    <w:rsid w:val="007B301C"/>
    <w:rsid w:val="007B32E6"/>
    <w:rsid w:val="007B3452"/>
    <w:rsid w:val="007B384C"/>
    <w:rsid w:val="007B4C1C"/>
    <w:rsid w:val="007B504E"/>
    <w:rsid w:val="007B542C"/>
    <w:rsid w:val="007B65A7"/>
    <w:rsid w:val="007B77D1"/>
    <w:rsid w:val="007B7908"/>
    <w:rsid w:val="007B7C2C"/>
    <w:rsid w:val="007C0099"/>
    <w:rsid w:val="007C147C"/>
    <w:rsid w:val="007C1666"/>
    <w:rsid w:val="007C1BC0"/>
    <w:rsid w:val="007C27C8"/>
    <w:rsid w:val="007C39E2"/>
    <w:rsid w:val="007C3B47"/>
    <w:rsid w:val="007C5125"/>
    <w:rsid w:val="007C6324"/>
    <w:rsid w:val="007C79C3"/>
    <w:rsid w:val="007C79E9"/>
    <w:rsid w:val="007C7B77"/>
    <w:rsid w:val="007C7DB6"/>
    <w:rsid w:val="007D0001"/>
    <w:rsid w:val="007D0B38"/>
    <w:rsid w:val="007D259C"/>
    <w:rsid w:val="007D27C7"/>
    <w:rsid w:val="007D3CBF"/>
    <w:rsid w:val="007D4561"/>
    <w:rsid w:val="007D4A32"/>
    <w:rsid w:val="007D5005"/>
    <w:rsid w:val="007D5014"/>
    <w:rsid w:val="007D53A9"/>
    <w:rsid w:val="007D704E"/>
    <w:rsid w:val="007D7B8F"/>
    <w:rsid w:val="007E0992"/>
    <w:rsid w:val="007E3232"/>
    <w:rsid w:val="007E416E"/>
    <w:rsid w:val="007E578B"/>
    <w:rsid w:val="007E77C9"/>
    <w:rsid w:val="007F0509"/>
    <w:rsid w:val="007F1017"/>
    <w:rsid w:val="007F121E"/>
    <w:rsid w:val="007F1313"/>
    <w:rsid w:val="007F15B9"/>
    <w:rsid w:val="007F165F"/>
    <w:rsid w:val="007F2627"/>
    <w:rsid w:val="007F29BE"/>
    <w:rsid w:val="007F2AF0"/>
    <w:rsid w:val="007F435D"/>
    <w:rsid w:val="007F4739"/>
    <w:rsid w:val="007F4A3F"/>
    <w:rsid w:val="007F4B76"/>
    <w:rsid w:val="007F5483"/>
    <w:rsid w:val="007F5A73"/>
    <w:rsid w:val="007F60AA"/>
    <w:rsid w:val="007F7177"/>
    <w:rsid w:val="0080024D"/>
    <w:rsid w:val="00800926"/>
    <w:rsid w:val="00800A49"/>
    <w:rsid w:val="0080206B"/>
    <w:rsid w:val="00802530"/>
    <w:rsid w:val="008027A5"/>
    <w:rsid w:val="00802B08"/>
    <w:rsid w:val="00802C74"/>
    <w:rsid w:val="00802F97"/>
    <w:rsid w:val="00803A49"/>
    <w:rsid w:val="008046BA"/>
    <w:rsid w:val="00805142"/>
    <w:rsid w:val="0080598E"/>
    <w:rsid w:val="0080627A"/>
    <w:rsid w:val="008066D0"/>
    <w:rsid w:val="008077FE"/>
    <w:rsid w:val="00807A8B"/>
    <w:rsid w:val="00807D84"/>
    <w:rsid w:val="0081071B"/>
    <w:rsid w:val="00810CDD"/>
    <w:rsid w:val="00811BC8"/>
    <w:rsid w:val="00812149"/>
    <w:rsid w:val="00812316"/>
    <w:rsid w:val="008124A0"/>
    <w:rsid w:val="008126B8"/>
    <w:rsid w:val="00812EAB"/>
    <w:rsid w:val="00813775"/>
    <w:rsid w:val="00813BE5"/>
    <w:rsid w:val="00814EA1"/>
    <w:rsid w:val="00814F61"/>
    <w:rsid w:val="008154AF"/>
    <w:rsid w:val="008166EF"/>
    <w:rsid w:val="00816D1D"/>
    <w:rsid w:val="00817A7B"/>
    <w:rsid w:val="008201CA"/>
    <w:rsid w:val="00821A0C"/>
    <w:rsid w:val="00822207"/>
    <w:rsid w:val="00822D22"/>
    <w:rsid w:val="00822EAF"/>
    <w:rsid w:val="0082332D"/>
    <w:rsid w:val="00823CD5"/>
    <w:rsid w:val="00823DAA"/>
    <w:rsid w:val="0082461C"/>
    <w:rsid w:val="008246A3"/>
    <w:rsid w:val="008264EB"/>
    <w:rsid w:val="00827334"/>
    <w:rsid w:val="00830605"/>
    <w:rsid w:val="0083063E"/>
    <w:rsid w:val="0083129A"/>
    <w:rsid w:val="00831490"/>
    <w:rsid w:val="0083233A"/>
    <w:rsid w:val="00832795"/>
    <w:rsid w:val="0083331F"/>
    <w:rsid w:val="0083353C"/>
    <w:rsid w:val="00833D27"/>
    <w:rsid w:val="008344C8"/>
    <w:rsid w:val="00834933"/>
    <w:rsid w:val="00835776"/>
    <w:rsid w:val="00835C1E"/>
    <w:rsid w:val="00835DB0"/>
    <w:rsid w:val="008362F9"/>
    <w:rsid w:val="00836E37"/>
    <w:rsid w:val="008373CD"/>
    <w:rsid w:val="00837AB3"/>
    <w:rsid w:val="00837F38"/>
    <w:rsid w:val="00840BDC"/>
    <w:rsid w:val="00840CA2"/>
    <w:rsid w:val="0084130D"/>
    <w:rsid w:val="00841687"/>
    <w:rsid w:val="0084201C"/>
    <w:rsid w:val="00843158"/>
    <w:rsid w:val="00843D25"/>
    <w:rsid w:val="00843DDB"/>
    <w:rsid w:val="00844554"/>
    <w:rsid w:val="0084513F"/>
    <w:rsid w:val="00845E94"/>
    <w:rsid w:val="00846455"/>
    <w:rsid w:val="008466E6"/>
    <w:rsid w:val="00850203"/>
    <w:rsid w:val="0085035C"/>
    <w:rsid w:val="00852DD0"/>
    <w:rsid w:val="00853100"/>
    <w:rsid w:val="00853345"/>
    <w:rsid w:val="00853C2E"/>
    <w:rsid w:val="0085466A"/>
    <w:rsid w:val="008548AD"/>
    <w:rsid w:val="0085538E"/>
    <w:rsid w:val="00856916"/>
    <w:rsid w:val="00856E9A"/>
    <w:rsid w:val="0085728B"/>
    <w:rsid w:val="00857BF4"/>
    <w:rsid w:val="00857C1F"/>
    <w:rsid w:val="00860439"/>
    <w:rsid w:val="00860AC0"/>
    <w:rsid w:val="00861B76"/>
    <w:rsid w:val="00861CA8"/>
    <w:rsid w:val="0086205F"/>
    <w:rsid w:val="008623F2"/>
    <w:rsid w:val="00863314"/>
    <w:rsid w:val="00863480"/>
    <w:rsid w:val="00863D8F"/>
    <w:rsid w:val="00864AD3"/>
    <w:rsid w:val="00865BBD"/>
    <w:rsid w:val="008663FC"/>
    <w:rsid w:val="008666A1"/>
    <w:rsid w:val="0086673E"/>
    <w:rsid w:val="00866846"/>
    <w:rsid w:val="00866EE0"/>
    <w:rsid w:val="00866F7E"/>
    <w:rsid w:val="0086738D"/>
    <w:rsid w:val="0086786F"/>
    <w:rsid w:val="00870082"/>
    <w:rsid w:val="00870226"/>
    <w:rsid w:val="008702F6"/>
    <w:rsid w:val="00870391"/>
    <w:rsid w:val="0087124F"/>
    <w:rsid w:val="00871829"/>
    <w:rsid w:val="00871F31"/>
    <w:rsid w:val="00872102"/>
    <w:rsid w:val="008725F3"/>
    <w:rsid w:val="00872F58"/>
    <w:rsid w:val="00873A55"/>
    <w:rsid w:val="00873D36"/>
    <w:rsid w:val="008743BB"/>
    <w:rsid w:val="0087546A"/>
    <w:rsid w:val="00876CC7"/>
    <w:rsid w:val="00876FCA"/>
    <w:rsid w:val="008778A6"/>
    <w:rsid w:val="00877A94"/>
    <w:rsid w:val="00877BC3"/>
    <w:rsid w:val="00877C82"/>
    <w:rsid w:val="0088047A"/>
    <w:rsid w:val="0088080B"/>
    <w:rsid w:val="00880B35"/>
    <w:rsid w:val="008815BF"/>
    <w:rsid w:val="00881BC8"/>
    <w:rsid w:val="00881C39"/>
    <w:rsid w:val="00881D68"/>
    <w:rsid w:val="00882661"/>
    <w:rsid w:val="00882874"/>
    <w:rsid w:val="00882961"/>
    <w:rsid w:val="00882CC5"/>
    <w:rsid w:val="00882D5A"/>
    <w:rsid w:val="00883185"/>
    <w:rsid w:val="00883787"/>
    <w:rsid w:val="00883C54"/>
    <w:rsid w:val="00885B0B"/>
    <w:rsid w:val="00885D3D"/>
    <w:rsid w:val="008878A7"/>
    <w:rsid w:val="00887E8B"/>
    <w:rsid w:val="00890267"/>
    <w:rsid w:val="00891EBC"/>
    <w:rsid w:val="0089236D"/>
    <w:rsid w:val="008926A1"/>
    <w:rsid w:val="008931BD"/>
    <w:rsid w:val="0089477F"/>
    <w:rsid w:val="008963A5"/>
    <w:rsid w:val="00896CD2"/>
    <w:rsid w:val="0089743F"/>
    <w:rsid w:val="008975ED"/>
    <w:rsid w:val="008A0230"/>
    <w:rsid w:val="008A1091"/>
    <w:rsid w:val="008A10B8"/>
    <w:rsid w:val="008A1987"/>
    <w:rsid w:val="008A19E6"/>
    <w:rsid w:val="008A1AD8"/>
    <w:rsid w:val="008A212F"/>
    <w:rsid w:val="008A21AA"/>
    <w:rsid w:val="008A2747"/>
    <w:rsid w:val="008A3C00"/>
    <w:rsid w:val="008A3C3E"/>
    <w:rsid w:val="008A58F7"/>
    <w:rsid w:val="008A60B7"/>
    <w:rsid w:val="008A6660"/>
    <w:rsid w:val="008A79DE"/>
    <w:rsid w:val="008A7C1F"/>
    <w:rsid w:val="008A7CE7"/>
    <w:rsid w:val="008B000F"/>
    <w:rsid w:val="008B06D9"/>
    <w:rsid w:val="008B19C0"/>
    <w:rsid w:val="008B1A46"/>
    <w:rsid w:val="008B1AEA"/>
    <w:rsid w:val="008B1D3E"/>
    <w:rsid w:val="008B20C5"/>
    <w:rsid w:val="008B2FF3"/>
    <w:rsid w:val="008B3E69"/>
    <w:rsid w:val="008B5211"/>
    <w:rsid w:val="008B68F8"/>
    <w:rsid w:val="008B6CFB"/>
    <w:rsid w:val="008B72DF"/>
    <w:rsid w:val="008B732F"/>
    <w:rsid w:val="008B7D7E"/>
    <w:rsid w:val="008C0938"/>
    <w:rsid w:val="008C10CE"/>
    <w:rsid w:val="008C313A"/>
    <w:rsid w:val="008C33FB"/>
    <w:rsid w:val="008C3CA7"/>
    <w:rsid w:val="008C453F"/>
    <w:rsid w:val="008C4A69"/>
    <w:rsid w:val="008C7AA4"/>
    <w:rsid w:val="008C7ECB"/>
    <w:rsid w:val="008D016A"/>
    <w:rsid w:val="008D0309"/>
    <w:rsid w:val="008D0A18"/>
    <w:rsid w:val="008D12B7"/>
    <w:rsid w:val="008D1BA1"/>
    <w:rsid w:val="008D5048"/>
    <w:rsid w:val="008D54B5"/>
    <w:rsid w:val="008D5569"/>
    <w:rsid w:val="008D66DE"/>
    <w:rsid w:val="008D6B3D"/>
    <w:rsid w:val="008D7078"/>
    <w:rsid w:val="008E0003"/>
    <w:rsid w:val="008E1354"/>
    <w:rsid w:val="008E1849"/>
    <w:rsid w:val="008E1B9E"/>
    <w:rsid w:val="008E1FDB"/>
    <w:rsid w:val="008E21D7"/>
    <w:rsid w:val="008E2511"/>
    <w:rsid w:val="008E278F"/>
    <w:rsid w:val="008E43B6"/>
    <w:rsid w:val="008E4FC2"/>
    <w:rsid w:val="008E5954"/>
    <w:rsid w:val="008E6857"/>
    <w:rsid w:val="008E6F50"/>
    <w:rsid w:val="008F0522"/>
    <w:rsid w:val="008F0B28"/>
    <w:rsid w:val="008F12D9"/>
    <w:rsid w:val="008F2EBF"/>
    <w:rsid w:val="008F41A2"/>
    <w:rsid w:val="008F4244"/>
    <w:rsid w:val="008F48EB"/>
    <w:rsid w:val="008F4F0B"/>
    <w:rsid w:val="008F6A75"/>
    <w:rsid w:val="008F733B"/>
    <w:rsid w:val="008F7C22"/>
    <w:rsid w:val="00900F2D"/>
    <w:rsid w:val="0090125E"/>
    <w:rsid w:val="00901D39"/>
    <w:rsid w:val="00902599"/>
    <w:rsid w:val="00902606"/>
    <w:rsid w:val="00902709"/>
    <w:rsid w:val="0090382B"/>
    <w:rsid w:val="00905B9F"/>
    <w:rsid w:val="00905FAB"/>
    <w:rsid w:val="00906077"/>
    <w:rsid w:val="009062A5"/>
    <w:rsid w:val="00907037"/>
    <w:rsid w:val="009074BE"/>
    <w:rsid w:val="00907887"/>
    <w:rsid w:val="00907FE7"/>
    <w:rsid w:val="00910957"/>
    <w:rsid w:val="00911272"/>
    <w:rsid w:val="00911513"/>
    <w:rsid w:val="009124D0"/>
    <w:rsid w:val="00912BA8"/>
    <w:rsid w:val="00913CBD"/>
    <w:rsid w:val="00913FDE"/>
    <w:rsid w:val="009145D8"/>
    <w:rsid w:val="00914A1C"/>
    <w:rsid w:val="00915489"/>
    <w:rsid w:val="00915808"/>
    <w:rsid w:val="009161F3"/>
    <w:rsid w:val="00916FF7"/>
    <w:rsid w:val="00920AF3"/>
    <w:rsid w:val="00921031"/>
    <w:rsid w:val="00921199"/>
    <w:rsid w:val="00921747"/>
    <w:rsid w:val="00923BFB"/>
    <w:rsid w:val="009249F1"/>
    <w:rsid w:val="00926327"/>
    <w:rsid w:val="00926DA1"/>
    <w:rsid w:val="00927072"/>
    <w:rsid w:val="0092726B"/>
    <w:rsid w:val="0092784F"/>
    <w:rsid w:val="00930D6B"/>
    <w:rsid w:val="00931688"/>
    <w:rsid w:val="0093180A"/>
    <w:rsid w:val="009318E7"/>
    <w:rsid w:val="00931981"/>
    <w:rsid w:val="009319B9"/>
    <w:rsid w:val="009332DC"/>
    <w:rsid w:val="00933EFB"/>
    <w:rsid w:val="00934736"/>
    <w:rsid w:val="0093501A"/>
    <w:rsid w:val="00935D66"/>
    <w:rsid w:val="00935DB4"/>
    <w:rsid w:val="00936256"/>
    <w:rsid w:val="00936FD9"/>
    <w:rsid w:val="009370E2"/>
    <w:rsid w:val="0093775A"/>
    <w:rsid w:val="009378FA"/>
    <w:rsid w:val="0094073A"/>
    <w:rsid w:val="009419A5"/>
    <w:rsid w:val="00942835"/>
    <w:rsid w:val="00943258"/>
    <w:rsid w:val="0094342F"/>
    <w:rsid w:val="009436FA"/>
    <w:rsid w:val="00943771"/>
    <w:rsid w:val="00943B85"/>
    <w:rsid w:val="0094473D"/>
    <w:rsid w:val="00944BF1"/>
    <w:rsid w:val="0094551B"/>
    <w:rsid w:val="00945EB2"/>
    <w:rsid w:val="00950733"/>
    <w:rsid w:val="00950FB4"/>
    <w:rsid w:val="009511E8"/>
    <w:rsid w:val="00952401"/>
    <w:rsid w:val="009526A7"/>
    <w:rsid w:val="00953A57"/>
    <w:rsid w:val="00953AEC"/>
    <w:rsid w:val="009541DB"/>
    <w:rsid w:val="00956CA5"/>
    <w:rsid w:val="009572EF"/>
    <w:rsid w:val="00957A52"/>
    <w:rsid w:val="0096059A"/>
    <w:rsid w:val="0096118C"/>
    <w:rsid w:val="00961AF9"/>
    <w:rsid w:val="0096203E"/>
    <w:rsid w:val="00962CB9"/>
    <w:rsid w:val="009633EB"/>
    <w:rsid w:val="00963689"/>
    <w:rsid w:val="00963FEF"/>
    <w:rsid w:val="00964200"/>
    <w:rsid w:val="00964312"/>
    <w:rsid w:val="00964399"/>
    <w:rsid w:val="00965657"/>
    <w:rsid w:val="00966007"/>
    <w:rsid w:val="00966119"/>
    <w:rsid w:val="00967BFC"/>
    <w:rsid w:val="00970873"/>
    <w:rsid w:val="0097094B"/>
    <w:rsid w:val="00970B96"/>
    <w:rsid w:val="00970D39"/>
    <w:rsid w:val="009718BF"/>
    <w:rsid w:val="00973566"/>
    <w:rsid w:val="009736E7"/>
    <w:rsid w:val="00974013"/>
    <w:rsid w:val="00975D0B"/>
    <w:rsid w:val="00976787"/>
    <w:rsid w:val="00976DCB"/>
    <w:rsid w:val="00977A19"/>
    <w:rsid w:val="0098002F"/>
    <w:rsid w:val="0098127A"/>
    <w:rsid w:val="009819E8"/>
    <w:rsid w:val="00981C78"/>
    <w:rsid w:val="009828A4"/>
    <w:rsid w:val="00982D98"/>
    <w:rsid w:val="009834A9"/>
    <w:rsid w:val="0098377E"/>
    <w:rsid w:val="00983B9D"/>
    <w:rsid w:val="00983CF3"/>
    <w:rsid w:val="00983E57"/>
    <w:rsid w:val="009844B6"/>
    <w:rsid w:val="00984710"/>
    <w:rsid w:val="00985C80"/>
    <w:rsid w:val="00986D60"/>
    <w:rsid w:val="00987B51"/>
    <w:rsid w:val="00987B52"/>
    <w:rsid w:val="00991925"/>
    <w:rsid w:val="009923B9"/>
    <w:rsid w:val="009925F3"/>
    <w:rsid w:val="00992893"/>
    <w:rsid w:val="00992A48"/>
    <w:rsid w:val="00992EC9"/>
    <w:rsid w:val="0099369C"/>
    <w:rsid w:val="00994074"/>
    <w:rsid w:val="009942B5"/>
    <w:rsid w:val="0099509D"/>
    <w:rsid w:val="009962C4"/>
    <w:rsid w:val="00996919"/>
    <w:rsid w:val="00996B1A"/>
    <w:rsid w:val="00997953"/>
    <w:rsid w:val="009A0267"/>
    <w:rsid w:val="009A03AB"/>
    <w:rsid w:val="009A067D"/>
    <w:rsid w:val="009A0C90"/>
    <w:rsid w:val="009A1EDA"/>
    <w:rsid w:val="009A28C5"/>
    <w:rsid w:val="009A428F"/>
    <w:rsid w:val="009A4304"/>
    <w:rsid w:val="009A4402"/>
    <w:rsid w:val="009A4F5B"/>
    <w:rsid w:val="009A7EAF"/>
    <w:rsid w:val="009B08E5"/>
    <w:rsid w:val="009B0EA0"/>
    <w:rsid w:val="009B0F03"/>
    <w:rsid w:val="009B262C"/>
    <w:rsid w:val="009B37E2"/>
    <w:rsid w:val="009B3E26"/>
    <w:rsid w:val="009B4577"/>
    <w:rsid w:val="009B607C"/>
    <w:rsid w:val="009C0DE7"/>
    <w:rsid w:val="009C19CD"/>
    <w:rsid w:val="009C1A38"/>
    <w:rsid w:val="009C1BB3"/>
    <w:rsid w:val="009C1D82"/>
    <w:rsid w:val="009C2610"/>
    <w:rsid w:val="009C2BF1"/>
    <w:rsid w:val="009C3324"/>
    <w:rsid w:val="009C3A65"/>
    <w:rsid w:val="009C3D28"/>
    <w:rsid w:val="009C3EC4"/>
    <w:rsid w:val="009C4000"/>
    <w:rsid w:val="009C49A4"/>
    <w:rsid w:val="009C6D91"/>
    <w:rsid w:val="009D042C"/>
    <w:rsid w:val="009D21DC"/>
    <w:rsid w:val="009D26D0"/>
    <w:rsid w:val="009D284A"/>
    <w:rsid w:val="009D291E"/>
    <w:rsid w:val="009D2A4E"/>
    <w:rsid w:val="009D2D8D"/>
    <w:rsid w:val="009D3731"/>
    <w:rsid w:val="009D38B2"/>
    <w:rsid w:val="009D4CCA"/>
    <w:rsid w:val="009D5B91"/>
    <w:rsid w:val="009D6628"/>
    <w:rsid w:val="009D6C5A"/>
    <w:rsid w:val="009D760B"/>
    <w:rsid w:val="009D7C8E"/>
    <w:rsid w:val="009E0305"/>
    <w:rsid w:val="009E0F30"/>
    <w:rsid w:val="009E1B54"/>
    <w:rsid w:val="009E20A8"/>
    <w:rsid w:val="009E22B9"/>
    <w:rsid w:val="009E2933"/>
    <w:rsid w:val="009E2A9E"/>
    <w:rsid w:val="009E2EA2"/>
    <w:rsid w:val="009E3150"/>
    <w:rsid w:val="009E345B"/>
    <w:rsid w:val="009E36C5"/>
    <w:rsid w:val="009E39E3"/>
    <w:rsid w:val="009E3C94"/>
    <w:rsid w:val="009E4C07"/>
    <w:rsid w:val="009E623A"/>
    <w:rsid w:val="009E6536"/>
    <w:rsid w:val="009E6883"/>
    <w:rsid w:val="009E70E5"/>
    <w:rsid w:val="009E713F"/>
    <w:rsid w:val="009F037D"/>
    <w:rsid w:val="009F0594"/>
    <w:rsid w:val="009F0A38"/>
    <w:rsid w:val="009F0DB8"/>
    <w:rsid w:val="009F1014"/>
    <w:rsid w:val="009F1735"/>
    <w:rsid w:val="009F1EAE"/>
    <w:rsid w:val="009F1F6A"/>
    <w:rsid w:val="009F232C"/>
    <w:rsid w:val="009F2B94"/>
    <w:rsid w:val="009F3B10"/>
    <w:rsid w:val="009F425A"/>
    <w:rsid w:val="009F4ADC"/>
    <w:rsid w:val="009F56AE"/>
    <w:rsid w:val="009F5BB1"/>
    <w:rsid w:val="009F6026"/>
    <w:rsid w:val="009F63DC"/>
    <w:rsid w:val="009F7801"/>
    <w:rsid w:val="00A01227"/>
    <w:rsid w:val="00A01657"/>
    <w:rsid w:val="00A017DF"/>
    <w:rsid w:val="00A0191E"/>
    <w:rsid w:val="00A033BA"/>
    <w:rsid w:val="00A034CC"/>
    <w:rsid w:val="00A03B48"/>
    <w:rsid w:val="00A03D43"/>
    <w:rsid w:val="00A04380"/>
    <w:rsid w:val="00A04E30"/>
    <w:rsid w:val="00A05022"/>
    <w:rsid w:val="00A05379"/>
    <w:rsid w:val="00A0552B"/>
    <w:rsid w:val="00A06B69"/>
    <w:rsid w:val="00A06C28"/>
    <w:rsid w:val="00A06EE9"/>
    <w:rsid w:val="00A07FDC"/>
    <w:rsid w:val="00A104A6"/>
    <w:rsid w:val="00A1067D"/>
    <w:rsid w:val="00A10B11"/>
    <w:rsid w:val="00A1117B"/>
    <w:rsid w:val="00A11BC9"/>
    <w:rsid w:val="00A11F1F"/>
    <w:rsid w:val="00A129CA"/>
    <w:rsid w:val="00A130F5"/>
    <w:rsid w:val="00A13948"/>
    <w:rsid w:val="00A13B4B"/>
    <w:rsid w:val="00A145FF"/>
    <w:rsid w:val="00A14682"/>
    <w:rsid w:val="00A156D7"/>
    <w:rsid w:val="00A17110"/>
    <w:rsid w:val="00A17C0A"/>
    <w:rsid w:val="00A20041"/>
    <w:rsid w:val="00A20168"/>
    <w:rsid w:val="00A208C8"/>
    <w:rsid w:val="00A20F29"/>
    <w:rsid w:val="00A2269D"/>
    <w:rsid w:val="00A226C5"/>
    <w:rsid w:val="00A23263"/>
    <w:rsid w:val="00A24B41"/>
    <w:rsid w:val="00A2511F"/>
    <w:rsid w:val="00A25259"/>
    <w:rsid w:val="00A27AEC"/>
    <w:rsid w:val="00A30D1D"/>
    <w:rsid w:val="00A31398"/>
    <w:rsid w:val="00A31E69"/>
    <w:rsid w:val="00A32623"/>
    <w:rsid w:val="00A3277C"/>
    <w:rsid w:val="00A339D6"/>
    <w:rsid w:val="00A339F7"/>
    <w:rsid w:val="00A33EA3"/>
    <w:rsid w:val="00A34605"/>
    <w:rsid w:val="00A358F2"/>
    <w:rsid w:val="00A35905"/>
    <w:rsid w:val="00A35D16"/>
    <w:rsid w:val="00A35DCA"/>
    <w:rsid w:val="00A375FA"/>
    <w:rsid w:val="00A40315"/>
    <w:rsid w:val="00A410F7"/>
    <w:rsid w:val="00A41205"/>
    <w:rsid w:val="00A41A0D"/>
    <w:rsid w:val="00A42B5D"/>
    <w:rsid w:val="00A43C59"/>
    <w:rsid w:val="00A43C6B"/>
    <w:rsid w:val="00A43EBB"/>
    <w:rsid w:val="00A452DC"/>
    <w:rsid w:val="00A46FC9"/>
    <w:rsid w:val="00A503A3"/>
    <w:rsid w:val="00A50494"/>
    <w:rsid w:val="00A50E47"/>
    <w:rsid w:val="00A50ECD"/>
    <w:rsid w:val="00A52172"/>
    <w:rsid w:val="00A52729"/>
    <w:rsid w:val="00A52B7B"/>
    <w:rsid w:val="00A53675"/>
    <w:rsid w:val="00A551AE"/>
    <w:rsid w:val="00A55775"/>
    <w:rsid w:val="00A561FF"/>
    <w:rsid w:val="00A56B6A"/>
    <w:rsid w:val="00A56C82"/>
    <w:rsid w:val="00A578DC"/>
    <w:rsid w:val="00A600EE"/>
    <w:rsid w:val="00A602DD"/>
    <w:rsid w:val="00A6059C"/>
    <w:rsid w:val="00A60E7C"/>
    <w:rsid w:val="00A619BE"/>
    <w:rsid w:val="00A62898"/>
    <w:rsid w:val="00A62D44"/>
    <w:rsid w:val="00A6389F"/>
    <w:rsid w:val="00A64C3B"/>
    <w:rsid w:val="00A66E20"/>
    <w:rsid w:val="00A6725B"/>
    <w:rsid w:val="00A67638"/>
    <w:rsid w:val="00A7044D"/>
    <w:rsid w:val="00A70A5B"/>
    <w:rsid w:val="00A70FBA"/>
    <w:rsid w:val="00A72C7D"/>
    <w:rsid w:val="00A72DF4"/>
    <w:rsid w:val="00A73061"/>
    <w:rsid w:val="00A73410"/>
    <w:rsid w:val="00A744C8"/>
    <w:rsid w:val="00A7552B"/>
    <w:rsid w:val="00A756B3"/>
    <w:rsid w:val="00A75C7D"/>
    <w:rsid w:val="00A764B0"/>
    <w:rsid w:val="00A7679F"/>
    <w:rsid w:val="00A76D51"/>
    <w:rsid w:val="00A81DF3"/>
    <w:rsid w:val="00A81E5B"/>
    <w:rsid w:val="00A82992"/>
    <w:rsid w:val="00A832A4"/>
    <w:rsid w:val="00A83A19"/>
    <w:rsid w:val="00A83A61"/>
    <w:rsid w:val="00A85065"/>
    <w:rsid w:val="00A855B6"/>
    <w:rsid w:val="00A8566D"/>
    <w:rsid w:val="00A8619C"/>
    <w:rsid w:val="00A86E8B"/>
    <w:rsid w:val="00A86FC1"/>
    <w:rsid w:val="00A872A2"/>
    <w:rsid w:val="00A872A4"/>
    <w:rsid w:val="00A879A6"/>
    <w:rsid w:val="00A91C18"/>
    <w:rsid w:val="00A923D5"/>
    <w:rsid w:val="00A92C80"/>
    <w:rsid w:val="00A92D69"/>
    <w:rsid w:val="00A92F89"/>
    <w:rsid w:val="00A93072"/>
    <w:rsid w:val="00A93C37"/>
    <w:rsid w:val="00A93EE8"/>
    <w:rsid w:val="00A94445"/>
    <w:rsid w:val="00A94564"/>
    <w:rsid w:val="00A94B0E"/>
    <w:rsid w:val="00A9533E"/>
    <w:rsid w:val="00A96209"/>
    <w:rsid w:val="00A9633A"/>
    <w:rsid w:val="00A96A48"/>
    <w:rsid w:val="00A97057"/>
    <w:rsid w:val="00A979A7"/>
    <w:rsid w:val="00A97D4E"/>
    <w:rsid w:val="00A97F6E"/>
    <w:rsid w:val="00AA0A07"/>
    <w:rsid w:val="00AA13DA"/>
    <w:rsid w:val="00AA15A5"/>
    <w:rsid w:val="00AA1B21"/>
    <w:rsid w:val="00AA2CDD"/>
    <w:rsid w:val="00AA3B36"/>
    <w:rsid w:val="00AA3D9D"/>
    <w:rsid w:val="00AA4385"/>
    <w:rsid w:val="00AA4E4A"/>
    <w:rsid w:val="00AA5CC0"/>
    <w:rsid w:val="00AA6AD8"/>
    <w:rsid w:val="00AA6BFD"/>
    <w:rsid w:val="00AA6D1C"/>
    <w:rsid w:val="00AA6FB0"/>
    <w:rsid w:val="00AA7C4F"/>
    <w:rsid w:val="00AB042A"/>
    <w:rsid w:val="00AB05EB"/>
    <w:rsid w:val="00AB0A76"/>
    <w:rsid w:val="00AB0FEE"/>
    <w:rsid w:val="00AB138F"/>
    <w:rsid w:val="00AB166A"/>
    <w:rsid w:val="00AB1A43"/>
    <w:rsid w:val="00AB1CEC"/>
    <w:rsid w:val="00AB1FAC"/>
    <w:rsid w:val="00AB3430"/>
    <w:rsid w:val="00AB3478"/>
    <w:rsid w:val="00AB5798"/>
    <w:rsid w:val="00AB582A"/>
    <w:rsid w:val="00AB7CFA"/>
    <w:rsid w:val="00AC0930"/>
    <w:rsid w:val="00AC12D8"/>
    <w:rsid w:val="00AC1DF9"/>
    <w:rsid w:val="00AC1E00"/>
    <w:rsid w:val="00AC285D"/>
    <w:rsid w:val="00AC31B1"/>
    <w:rsid w:val="00AC3483"/>
    <w:rsid w:val="00AC50C8"/>
    <w:rsid w:val="00AC5991"/>
    <w:rsid w:val="00AC680A"/>
    <w:rsid w:val="00AC68BC"/>
    <w:rsid w:val="00AC6A45"/>
    <w:rsid w:val="00AC6C6F"/>
    <w:rsid w:val="00AC7C19"/>
    <w:rsid w:val="00AD0507"/>
    <w:rsid w:val="00AD2A0F"/>
    <w:rsid w:val="00AD33E5"/>
    <w:rsid w:val="00AD3897"/>
    <w:rsid w:val="00AD4EC5"/>
    <w:rsid w:val="00AD519D"/>
    <w:rsid w:val="00AD5253"/>
    <w:rsid w:val="00AE010B"/>
    <w:rsid w:val="00AE0289"/>
    <w:rsid w:val="00AE08C2"/>
    <w:rsid w:val="00AE1635"/>
    <w:rsid w:val="00AE18B9"/>
    <w:rsid w:val="00AE22CB"/>
    <w:rsid w:val="00AE2466"/>
    <w:rsid w:val="00AE430E"/>
    <w:rsid w:val="00AE45FA"/>
    <w:rsid w:val="00AE6B73"/>
    <w:rsid w:val="00AE7F3A"/>
    <w:rsid w:val="00AF05D1"/>
    <w:rsid w:val="00AF06AA"/>
    <w:rsid w:val="00AF099A"/>
    <w:rsid w:val="00AF0BF4"/>
    <w:rsid w:val="00AF0EE8"/>
    <w:rsid w:val="00AF19F5"/>
    <w:rsid w:val="00AF1BF8"/>
    <w:rsid w:val="00AF299C"/>
    <w:rsid w:val="00AF2DB1"/>
    <w:rsid w:val="00AF3FE1"/>
    <w:rsid w:val="00AF5968"/>
    <w:rsid w:val="00AF5EB7"/>
    <w:rsid w:val="00AF6682"/>
    <w:rsid w:val="00AF675F"/>
    <w:rsid w:val="00AF6E4C"/>
    <w:rsid w:val="00AF6E71"/>
    <w:rsid w:val="00AF7180"/>
    <w:rsid w:val="00AF745C"/>
    <w:rsid w:val="00B00161"/>
    <w:rsid w:val="00B00EE4"/>
    <w:rsid w:val="00B01603"/>
    <w:rsid w:val="00B02A5D"/>
    <w:rsid w:val="00B03047"/>
    <w:rsid w:val="00B0350E"/>
    <w:rsid w:val="00B038C5"/>
    <w:rsid w:val="00B03C63"/>
    <w:rsid w:val="00B04263"/>
    <w:rsid w:val="00B04334"/>
    <w:rsid w:val="00B05A55"/>
    <w:rsid w:val="00B062A2"/>
    <w:rsid w:val="00B06BF1"/>
    <w:rsid w:val="00B07B6D"/>
    <w:rsid w:val="00B07D5F"/>
    <w:rsid w:val="00B11154"/>
    <w:rsid w:val="00B116A0"/>
    <w:rsid w:val="00B1196B"/>
    <w:rsid w:val="00B11FB2"/>
    <w:rsid w:val="00B1393E"/>
    <w:rsid w:val="00B1394F"/>
    <w:rsid w:val="00B14E80"/>
    <w:rsid w:val="00B16BB6"/>
    <w:rsid w:val="00B1732B"/>
    <w:rsid w:val="00B20D71"/>
    <w:rsid w:val="00B22405"/>
    <w:rsid w:val="00B22AD0"/>
    <w:rsid w:val="00B23EFE"/>
    <w:rsid w:val="00B240FD"/>
    <w:rsid w:val="00B24188"/>
    <w:rsid w:val="00B24525"/>
    <w:rsid w:val="00B24A1A"/>
    <w:rsid w:val="00B24D00"/>
    <w:rsid w:val="00B258C8"/>
    <w:rsid w:val="00B25A5C"/>
    <w:rsid w:val="00B25BED"/>
    <w:rsid w:val="00B25DC0"/>
    <w:rsid w:val="00B262A7"/>
    <w:rsid w:val="00B2656F"/>
    <w:rsid w:val="00B26909"/>
    <w:rsid w:val="00B2703E"/>
    <w:rsid w:val="00B2721A"/>
    <w:rsid w:val="00B303BC"/>
    <w:rsid w:val="00B31786"/>
    <w:rsid w:val="00B31C28"/>
    <w:rsid w:val="00B327E6"/>
    <w:rsid w:val="00B330B3"/>
    <w:rsid w:val="00B330BC"/>
    <w:rsid w:val="00B33BF0"/>
    <w:rsid w:val="00B34DBB"/>
    <w:rsid w:val="00B34DDC"/>
    <w:rsid w:val="00B35E37"/>
    <w:rsid w:val="00B360C3"/>
    <w:rsid w:val="00B36645"/>
    <w:rsid w:val="00B36982"/>
    <w:rsid w:val="00B36E99"/>
    <w:rsid w:val="00B3792C"/>
    <w:rsid w:val="00B41216"/>
    <w:rsid w:val="00B4189F"/>
    <w:rsid w:val="00B424E9"/>
    <w:rsid w:val="00B4253C"/>
    <w:rsid w:val="00B42851"/>
    <w:rsid w:val="00B428DE"/>
    <w:rsid w:val="00B4315C"/>
    <w:rsid w:val="00B43964"/>
    <w:rsid w:val="00B447E3"/>
    <w:rsid w:val="00B44E8B"/>
    <w:rsid w:val="00B4590D"/>
    <w:rsid w:val="00B46FFF"/>
    <w:rsid w:val="00B4706E"/>
    <w:rsid w:val="00B4737C"/>
    <w:rsid w:val="00B4779C"/>
    <w:rsid w:val="00B50514"/>
    <w:rsid w:val="00B50520"/>
    <w:rsid w:val="00B507A7"/>
    <w:rsid w:val="00B51059"/>
    <w:rsid w:val="00B51597"/>
    <w:rsid w:val="00B526D7"/>
    <w:rsid w:val="00B52D4C"/>
    <w:rsid w:val="00B5343E"/>
    <w:rsid w:val="00B537CC"/>
    <w:rsid w:val="00B5391A"/>
    <w:rsid w:val="00B54813"/>
    <w:rsid w:val="00B54815"/>
    <w:rsid w:val="00B5495A"/>
    <w:rsid w:val="00B54B5B"/>
    <w:rsid w:val="00B5562E"/>
    <w:rsid w:val="00B55A49"/>
    <w:rsid w:val="00B55BD2"/>
    <w:rsid w:val="00B565FB"/>
    <w:rsid w:val="00B57000"/>
    <w:rsid w:val="00B579BC"/>
    <w:rsid w:val="00B608CF"/>
    <w:rsid w:val="00B60939"/>
    <w:rsid w:val="00B6098B"/>
    <w:rsid w:val="00B60A44"/>
    <w:rsid w:val="00B60AFD"/>
    <w:rsid w:val="00B61CC2"/>
    <w:rsid w:val="00B6256F"/>
    <w:rsid w:val="00B62715"/>
    <w:rsid w:val="00B62C1E"/>
    <w:rsid w:val="00B63397"/>
    <w:rsid w:val="00B64262"/>
    <w:rsid w:val="00B6427C"/>
    <w:rsid w:val="00B663C8"/>
    <w:rsid w:val="00B66B3C"/>
    <w:rsid w:val="00B7086C"/>
    <w:rsid w:val="00B70A41"/>
    <w:rsid w:val="00B712A9"/>
    <w:rsid w:val="00B7250D"/>
    <w:rsid w:val="00B72D5D"/>
    <w:rsid w:val="00B73137"/>
    <w:rsid w:val="00B739EF"/>
    <w:rsid w:val="00B74B11"/>
    <w:rsid w:val="00B74C7B"/>
    <w:rsid w:val="00B74E71"/>
    <w:rsid w:val="00B7536F"/>
    <w:rsid w:val="00B754C8"/>
    <w:rsid w:val="00B75E96"/>
    <w:rsid w:val="00B75F4A"/>
    <w:rsid w:val="00B76967"/>
    <w:rsid w:val="00B77A3A"/>
    <w:rsid w:val="00B77A4E"/>
    <w:rsid w:val="00B800CF"/>
    <w:rsid w:val="00B806FE"/>
    <w:rsid w:val="00B80DB6"/>
    <w:rsid w:val="00B80E7E"/>
    <w:rsid w:val="00B818A4"/>
    <w:rsid w:val="00B82B41"/>
    <w:rsid w:val="00B83A93"/>
    <w:rsid w:val="00B84469"/>
    <w:rsid w:val="00B8471E"/>
    <w:rsid w:val="00B84B62"/>
    <w:rsid w:val="00B853C4"/>
    <w:rsid w:val="00B8558B"/>
    <w:rsid w:val="00B8649C"/>
    <w:rsid w:val="00B868CE"/>
    <w:rsid w:val="00B9088A"/>
    <w:rsid w:val="00B92D0B"/>
    <w:rsid w:val="00B93802"/>
    <w:rsid w:val="00B93CD4"/>
    <w:rsid w:val="00B94945"/>
    <w:rsid w:val="00B94AA4"/>
    <w:rsid w:val="00B94EA6"/>
    <w:rsid w:val="00B96AB7"/>
    <w:rsid w:val="00B9709A"/>
    <w:rsid w:val="00B9731C"/>
    <w:rsid w:val="00B97F98"/>
    <w:rsid w:val="00BA08EF"/>
    <w:rsid w:val="00BA27F4"/>
    <w:rsid w:val="00BA2E84"/>
    <w:rsid w:val="00BA31CA"/>
    <w:rsid w:val="00BA3253"/>
    <w:rsid w:val="00BA3904"/>
    <w:rsid w:val="00BA3956"/>
    <w:rsid w:val="00BA46C2"/>
    <w:rsid w:val="00BA484C"/>
    <w:rsid w:val="00BA5384"/>
    <w:rsid w:val="00BB0334"/>
    <w:rsid w:val="00BB16E9"/>
    <w:rsid w:val="00BB1D4D"/>
    <w:rsid w:val="00BB22D3"/>
    <w:rsid w:val="00BB2F82"/>
    <w:rsid w:val="00BB3324"/>
    <w:rsid w:val="00BB36F7"/>
    <w:rsid w:val="00BB3815"/>
    <w:rsid w:val="00BB388E"/>
    <w:rsid w:val="00BB60C8"/>
    <w:rsid w:val="00BB6332"/>
    <w:rsid w:val="00BB6B65"/>
    <w:rsid w:val="00BB6FF3"/>
    <w:rsid w:val="00BB745F"/>
    <w:rsid w:val="00BC0259"/>
    <w:rsid w:val="00BC1126"/>
    <w:rsid w:val="00BC1495"/>
    <w:rsid w:val="00BC1636"/>
    <w:rsid w:val="00BC1981"/>
    <w:rsid w:val="00BC1A67"/>
    <w:rsid w:val="00BC30AC"/>
    <w:rsid w:val="00BC32FE"/>
    <w:rsid w:val="00BC37BA"/>
    <w:rsid w:val="00BC37D2"/>
    <w:rsid w:val="00BC396B"/>
    <w:rsid w:val="00BC3C49"/>
    <w:rsid w:val="00BC4D55"/>
    <w:rsid w:val="00BC53E5"/>
    <w:rsid w:val="00BC622F"/>
    <w:rsid w:val="00BC6370"/>
    <w:rsid w:val="00BC6824"/>
    <w:rsid w:val="00BD0278"/>
    <w:rsid w:val="00BD0AEB"/>
    <w:rsid w:val="00BD0D28"/>
    <w:rsid w:val="00BD18A4"/>
    <w:rsid w:val="00BD1F66"/>
    <w:rsid w:val="00BD235E"/>
    <w:rsid w:val="00BD2F1C"/>
    <w:rsid w:val="00BD325A"/>
    <w:rsid w:val="00BD43C2"/>
    <w:rsid w:val="00BD4530"/>
    <w:rsid w:val="00BD499C"/>
    <w:rsid w:val="00BD4CFB"/>
    <w:rsid w:val="00BD6711"/>
    <w:rsid w:val="00BD6AE1"/>
    <w:rsid w:val="00BD7D1C"/>
    <w:rsid w:val="00BD7EEC"/>
    <w:rsid w:val="00BE0BD6"/>
    <w:rsid w:val="00BE19E6"/>
    <w:rsid w:val="00BE2180"/>
    <w:rsid w:val="00BE22D4"/>
    <w:rsid w:val="00BE2D8F"/>
    <w:rsid w:val="00BE2F79"/>
    <w:rsid w:val="00BE3D2F"/>
    <w:rsid w:val="00BE402D"/>
    <w:rsid w:val="00BE4275"/>
    <w:rsid w:val="00BE44B9"/>
    <w:rsid w:val="00BE46D5"/>
    <w:rsid w:val="00BE4E30"/>
    <w:rsid w:val="00BE5244"/>
    <w:rsid w:val="00BE5697"/>
    <w:rsid w:val="00BE5AEF"/>
    <w:rsid w:val="00BE6376"/>
    <w:rsid w:val="00BE6546"/>
    <w:rsid w:val="00BE7100"/>
    <w:rsid w:val="00BE7A08"/>
    <w:rsid w:val="00BE7A0E"/>
    <w:rsid w:val="00BE7F84"/>
    <w:rsid w:val="00BF0E05"/>
    <w:rsid w:val="00BF12CC"/>
    <w:rsid w:val="00BF1B6B"/>
    <w:rsid w:val="00BF23ED"/>
    <w:rsid w:val="00BF2433"/>
    <w:rsid w:val="00BF3331"/>
    <w:rsid w:val="00BF3B51"/>
    <w:rsid w:val="00BF50DD"/>
    <w:rsid w:val="00BF54C4"/>
    <w:rsid w:val="00BF56D0"/>
    <w:rsid w:val="00BF5D56"/>
    <w:rsid w:val="00BF5DDF"/>
    <w:rsid w:val="00BF5FB5"/>
    <w:rsid w:val="00BF61C9"/>
    <w:rsid w:val="00BF6460"/>
    <w:rsid w:val="00BF6586"/>
    <w:rsid w:val="00BF7473"/>
    <w:rsid w:val="00C00B27"/>
    <w:rsid w:val="00C00C98"/>
    <w:rsid w:val="00C00DBD"/>
    <w:rsid w:val="00C012DA"/>
    <w:rsid w:val="00C0143E"/>
    <w:rsid w:val="00C01442"/>
    <w:rsid w:val="00C01AA3"/>
    <w:rsid w:val="00C01CB4"/>
    <w:rsid w:val="00C02E99"/>
    <w:rsid w:val="00C04EA1"/>
    <w:rsid w:val="00C0519D"/>
    <w:rsid w:val="00C05702"/>
    <w:rsid w:val="00C05D92"/>
    <w:rsid w:val="00C066F1"/>
    <w:rsid w:val="00C06980"/>
    <w:rsid w:val="00C06B49"/>
    <w:rsid w:val="00C07938"/>
    <w:rsid w:val="00C111A5"/>
    <w:rsid w:val="00C114A4"/>
    <w:rsid w:val="00C11BBE"/>
    <w:rsid w:val="00C1219B"/>
    <w:rsid w:val="00C12CAF"/>
    <w:rsid w:val="00C12D21"/>
    <w:rsid w:val="00C12E30"/>
    <w:rsid w:val="00C130F8"/>
    <w:rsid w:val="00C13535"/>
    <w:rsid w:val="00C1370A"/>
    <w:rsid w:val="00C13CB2"/>
    <w:rsid w:val="00C14242"/>
    <w:rsid w:val="00C14AF7"/>
    <w:rsid w:val="00C15C1E"/>
    <w:rsid w:val="00C1611C"/>
    <w:rsid w:val="00C1676A"/>
    <w:rsid w:val="00C16AA4"/>
    <w:rsid w:val="00C17652"/>
    <w:rsid w:val="00C2038F"/>
    <w:rsid w:val="00C21597"/>
    <w:rsid w:val="00C2170F"/>
    <w:rsid w:val="00C21B45"/>
    <w:rsid w:val="00C22904"/>
    <w:rsid w:val="00C2316C"/>
    <w:rsid w:val="00C2340E"/>
    <w:rsid w:val="00C237B1"/>
    <w:rsid w:val="00C23ABE"/>
    <w:rsid w:val="00C246D5"/>
    <w:rsid w:val="00C24EED"/>
    <w:rsid w:val="00C251C5"/>
    <w:rsid w:val="00C2535D"/>
    <w:rsid w:val="00C25418"/>
    <w:rsid w:val="00C25D9C"/>
    <w:rsid w:val="00C25F82"/>
    <w:rsid w:val="00C26109"/>
    <w:rsid w:val="00C26FD0"/>
    <w:rsid w:val="00C278EC"/>
    <w:rsid w:val="00C279B6"/>
    <w:rsid w:val="00C27A46"/>
    <w:rsid w:val="00C27D43"/>
    <w:rsid w:val="00C31649"/>
    <w:rsid w:val="00C31E5D"/>
    <w:rsid w:val="00C33E36"/>
    <w:rsid w:val="00C3429C"/>
    <w:rsid w:val="00C3439B"/>
    <w:rsid w:val="00C350E8"/>
    <w:rsid w:val="00C3542B"/>
    <w:rsid w:val="00C35545"/>
    <w:rsid w:val="00C3559F"/>
    <w:rsid w:val="00C35CC6"/>
    <w:rsid w:val="00C37250"/>
    <w:rsid w:val="00C37714"/>
    <w:rsid w:val="00C40385"/>
    <w:rsid w:val="00C40BF8"/>
    <w:rsid w:val="00C40E83"/>
    <w:rsid w:val="00C412AD"/>
    <w:rsid w:val="00C41488"/>
    <w:rsid w:val="00C446B0"/>
    <w:rsid w:val="00C44B26"/>
    <w:rsid w:val="00C452B0"/>
    <w:rsid w:val="00C45EC6"/>
    <w:rsid w:val="00C47A07"/>
    <w:rsid w:val="00C47D53"/>
    <w:rsid w:val="00C50733"/>
    <w:rsid w:val="00C51ACA"/>
    <w:rsid w:val="00C521A5"/>
    <w:rsid w:val="00C53156"/>
    <w:rsid w:val="00C53566"/>
    <w:rsid w:val="00C537C7"/>
    <w:rsid w:val="00C53E75"/>
    <w:rsid w:val="00C543AC"/>
    <w:rsid w:val="00C5465B"/>
    <w:rsid w:val="00C54C84"/>
    <w:rsid w:val="00C55ECF"/>
    <w:rsid w:val="00C55FAD"/>
    <w:rsid w:val="00C56CFA"/>
    <w:rsid w:val="00C57012"/>
    <w:rsid w:val="00C579AD"/>
    <w:rsid w:val="00C57A8D"/>
    <w:rsid w:val="00C57DD0"/>
    <w:rsid w:val="00C6008A"/>
    <w:rsid w:val="00C605AA"/>
    <w:rsid w:val="00C61405"/>
    <w:rsid w:val="00C615FB"/>
    <w:rsid w:val="00C61A97"/>
    <w:rsid w:val="00C624F1"/>
    <w:rsid w:val="00C627EE"/>
    <w:rsid w:val="00C62E1A"/>
    <w:rsid w:val="00C63268"/>
    <w:rsid w:val="00C636C3"/>
    <w:rsid w:val="00C63F63"/>
    <w:rsid w:val="00C642E9"/>
    <w:rsid w:val="00C64419"/>
    <w:rsid w:val="00C6548F"/>
    <w:rsid w:val="00C65576"/>
    <w:rsid w:val="00C66165"/>
    <w:rsid w:val="00C67134"/>
    <w:rsid w:val="00C67160"/>
    <w:rsid w:val="00C70831"/>
    <w:rsid w:val="00C70C52"/>
    <w:rsid w:val="00C70DEC"/>
    <w:rsid w:val="00C70E76"/>
    <w:rsid w:val="00C7103D"/>
    <w:rsid w:val="00C71B40"/>
    <w:rsid w:val="00C721CB"/>
    <w:rsid w:val="00C7236A"/>
    <w:rsid w:val="00C7245B"/>
    <w:rsid w:val="00C72B7C"/>
    <w:rsid w:val="00C7358E"/>
    <w:rsid w:val="00C735C5"/>
    <w:rsid w:val="00C735D5"/>
    <w:rsid w:val="00C7425C"/>
    <w:rsid w:val="00C74B91"/>
    <w:rsid w:val="00C74D35"/>
    <w:rsid w:val="00C751CF"/>
    <w:rsid w:val="00C75351"/>
    <w:rsid w:val="00C75A72"/>
    <w:rsid w:val="00C75C23"/>
    <w:rsid w:val="00C75E0A"/>
    <w:rsid w:val="00C7625A"/>
    <w:rsid w:val="00C7796E"/>
    <w:rsid w:val="00C812AB"/>
    <w:rsid w:val="00C81345"/>
    <w:rsid w:val="00C81497"/>
    <w:rsid w:val="00C8213F"/>
    <w:rsid w:val="00C82D94"/>
    <w:rsid w:val="00C8314B"/>
    <w:rsid w:val="00C83446"/>
    <w:rsid w:val="00C876DE"/>
    <w:rsid w:val="00C8797A"/>
    <w:rsid w:val="00C87A66"/>
    <w:rsid w:val="00C90376"/>
    <w:rsid w:val="00C90F83"/>
    <w:rsid w:val="00C90FDC"/>
    <w:rsid w:val="00C929B0"/>
    <w:rsid w:val="00C935AD"/>
    <w:rsid w:val="00C938CF"/>
    <w:rsid w:val="00C9438C"/>
    <w:rsid w:val="00C94718"/>
    <w:rsid w:val="00C94D5E"/>
    <w:rsid w:val="00C95193"/>
    <w:rsid w:val="00C959F3"/>
    <w:rsid w:val="00C9623F"/>
    <w:rsid w:val="00C96494"/>
    <w:rsid w:val="00C97004"/>
    <w:rsid w:val="00C9703F"/>
    <w:rsid w:val="00C970C1"/>
    <w:rsid w:val="00C97512"/>
    <w:rsid w:val="00C97BB6"/>
    <w:rsid w:val="00CA0538"/>
    <w:rsid w:val="00CA05A0"/>
    <w:rsid w:val="00CA1B04"/>
    <w:rsid w:val="00CA1D25"/>
    <w:rsid w:val="00CA1E61"/>
    <w:rsid w:val="00CA2349"/>
    <w:rsid w:val="00CA300F"/>
    <w:rsid w:val="00CA35C6"/>
    <w:rsid w:val="00CA3984"/>
    <w:rsid w:val="00CA40BA"/>
    <w:rsid w:val="00CA4D0B"/>
    <w:rsid w:val="00CA5245"/>
    <w:rsid w:val="00CA6A70"/>
    <w:rsid w:val="00CA78F9"/>
    <w:rsid w:val="00CA7B09"/>
    <w:rsid w:val="00CB09E6"/>
    <w:rsid w:val="00CB1A43"/>
    <w:rsid w:val="00CB2221"/>
    <w:rsid w:val="00CB2F61"/>
    <w:rsid w:val="00CB3256"/>
    <w:rsid w:val="00CB38DD"/>
    <w:rsid w:val="00CB3C46"/>
    <w:rsid w:val="00CB47CE"/>
    <w:rsid w:val="00CB4FEB"/>
    <w:rsid w:val="00CB5B1A"/>
    <w:rsid w:val="00CB6ED6"/>
    <w:rsid w:val="00CB732F"/>
    <w:rsid w:val="00CB7789"/>
    <w:rsid w:val="00CC05BC"/>
    <w:rsid w:val="00CC0841"/>
    <w:rsid w:val="00CC0D4E"/>
    <w:rsid w:val="00CC184D"/>
    <w:rsid w:val="00CC238E"/>
    <w:rsid w:val="00CC24C1"/>
    <w:rsid w:val="00CC2501"/>
    <w:rsid w:val="00CC271C"/>
    <w:rsid w:val="00CC2A78"/>
    <w:rsid w:val="00CC3CEE"/>
    <w:rsid w:val="00CC4884"/>
    <w:rsid w:val="00CC4A36"/>
    <w:rsid w:val="00CC4A6E"/>
    <w:rsid w:val="00CC4F35"/>
    <w:rsid w:val="00CC58FF"/>
    <w:rsid w:val="00CC5D9F"/>
    <w:rsid w:val="00CC5DAA"/>
    <w:rsid w:val="00CC669C"/>
    <w:rsid w:val="00CC67F9"/>
    <w:rsid w:val="00CC6A72"/>
    <w:rsid w:val="00CC6CE7"/>
    <w:rsid w:val="00CC7B19"/>
    <w:rsid w:val="00CD02D5"/>
    <w:rsid w:val="00CD03A0"/>
    <w:rsid w:val="00CD130E"/>
    <w:rsid w:val="00CD1793"/>
    <w:rsid w:val="00CD18F0"/>
    <w:rsid w:val="00CD19B9"/>
    <w:rsid w:val="00CD2359"/>
    <w:rsid w:val="00CD237B"/>
    <w:rsid w:val="00CD513B"/>
    <w:rsid w:val="00CD5CF5"/>
    <w:rsid w:val="00CD63DE"/>
    <w:rsid w:val="00CD6ADC"/>
    <w:rsid w:val="00CE00A8"/>
    <w:rsid w:val="00CE044B"/>
    <w:rsid w:val="00CE06CA"/>
    <w:rsid w:val="00CE094C"/>
    <w:rsid w:val="00CE16B2"/>
    <w:rsid w:val="00CE29B9"/>
    <w:rsid w:val="00CE4086"/>
    <w:rsid w:val="00CE4B9F"/>
    <w:rsid w:val="00CE6274"/>
    <w:rsid w:val="00CE66EC"/>
    <w:rsid w:val="00CE6FA1"/>
    <w:rsid w:val="00CE6FB2"/>
    <w:rsid w:val="00CE7015"/>
    <w:rsid w:val="00CE787C"/>
    <w:rsid w:val="00CE7C63"/>
    <w:rsid w:val="00CE7C70"/>
    <w:rsid w:val="00CE7CC1"/>
    <w:rsid w:val="00CF0224"/>
    <w:rsid w:val="00CF057A"/>
    <w:rsid w:val="00CF11F4"/>
    <w:rsid w:val="00CF16D1"/>
    <w:rsid w:val="00CF18AD"/>
    <w:rsid w:val="00CF1B4C"/>
    <w:rsid w:val="00CF1D3B"/>
    <w:rsid w:val="00CF20AB"/>
    <w:rsid w:val="00CF214C"/>
    <w:rsid w:val="00CF31F4"/>
    <w:rsid w:val="00CF3997"/>
    <w:rsid w:val="00CF444F"/>
    <w:rsid w:val="00CF456B"/>
    <w:rsid w:val="00CF4AFE"/>
    <w:rsid w:val="00CF51D5"/>
    <w:rsid w:val="00CF551B"/>
    <w:rsid w:val="00CF5A22"/>
    <w:rsid w:val="00CF6073"/>
    <w:rsid w:val="00CF74AB"/>
    <w:rsid w:val="00CF784C"/>
    <w:rsid w:val="00D002FD"/>
    <w:rsid w:val="00D0071B"/>
    <w:rsid w:val="00D00C45"/>
    <w:rsid w:val="00D01522"/>
    <w:rsid w:val="00D019F8"/>
    <w:rsid w:val="00D01AA5"/>
    <w:rsid w:val="00D01C77"/>
    <w:rsid w:val="00D01DBD"/>
    <w:rsid w:val="00D02044"/>
    <w:rsid w:val="00D02089"/>
    <w:rsid w:val="00D0262E"/>
    <w:rsid w:val="00D04132"/>
    <w:rsid w:val="00D04AE3"/>
    <w:rsid w:val="00D04C42"/>
    <w:rsid w:val="00D06019"/>
    <w:rsid w:val="00D0663C"/>
    <w:rsid w:val="00D06905"/>
    <w:rsid w:val="00D06FD4"/>
    <w:rsid w:val="00D07154"/>
    <w:rsid w:val="00D071F7"/>
    <w:rsid w:val="00D0744C"/>
    <w:rsid w:val="00D07A49"/>
    <w:rsid w:val="00D110BD"/>
    <w:rsid w:val="00D11313"/>
    <w:rsid w:val="00D11DF5"/>
    <w:rsid w:val="00D12112"/>
    <w:rsid w:val="00D12AF5"/>
    <w:rsid w:val="00D12F7B"/>
    <w:rsid w:val="00D13258"/>
    <w:rsid w:val="00D14889"/>
    <w:rsid w:val="00D15AAF"/>
    <w:rsid w:val="00D1609D"/>
    <w:rsid w:val="00D1612B"/>
    <w:rsid w:val="00D16F38"/>
    <w:rsid w:val="00D17D6C"/>
    <w:rsid w:val="00D206CB"/>
    <w:rsid w:val="00D2082A"/>
    <w:rsid w:val="00D209C4"/>
    <w:rsid w:val="00D20E09"/>
    <w:rsid w:val="00D20F9E"/>
    <w:rsid w:val="00D211B2"/>
    <w:rsid w:val="00D22BB4"/>
    <w:rsid w:val="00D23207"/>
    <w:rsid w:val="00D23A05"/>
    <w:rsid w:val="00D23F91"/>
    <w:rsid w:val="00D27733"/>
    <w:rsid w:val="00D27B9D"/>
    <w:rsid w:val="00D306FA"/>
    <w:rsid w:val="00D3161B"/>
    <w:rsid w:val="00D326D4"/>
    <w:rsid w:val="00D329D8"/>
    <w:rsid w:val="00D3353A"/>
    <w:rsid w:val="00D33CA9"/>
    <w:rsid w:val="00D347FB"/>
    <w:rsid w:val="00D34FD5"/>
    <w:rsid w:val="00D36490"/>
    <w:rsid w:val="00D36BDE"/>
    <w:rsid w:val="00D36DA0"/>
    <w:rsid w:val="00D370D1"/>
    <w:rsid w:val="00D40A66"/>
    <w:rsid w:val="00D4303B"/>
    <w:rsid w:val="00D43456"/>
    <w:rsid w:val="00D43726"/>
    <w:rsid w:val="00D4416D"/>
    <w:rsid w:val="00D45478"/>
    <w:rsid w:val="00D457A9"/>
    <w:rsid w:val="00D474BB"/>
    <w:rsid w:val="00D50A64"/>
    <w:rsid w:val="00D51941"/>
    <w:rsid w:val="00D51E32"/>
    <w:rsid w:val="00D52011"/>
    <w:rsid w:val="00D52A15"/>
    <w:rsid w:val="00D53644"/>
    <w:rsid w:val="00D5542C"/>
    <w:rsid w:val="00D55ADF"/>
    <w:rsid w:val="00D560F3"/>
    <w:rsid w:val="00D56C69"/>
    <w:rsid w:val="00D574C4"/>
    <w:rsid w:val="00D615B6"/>
    <w:rsid w:val="00D619AD"/>
    <w:rsid w:val="00D62D16"/>
    <w:rsid w:val="00D63036"/>
    <w:rsid w:val="00D635FB"/>
    <w:rsid w:val="00D64276"/>
    <w:rsid w:val="00D6476A"/>
    <w:rsid w:val="00D64A06"/>
    <w:rsid w:val="00D659D7"/>
    <w:rsid w:val="00D65C34"/>
    <w:rsid w:val="00D6622E"/>
    <w:rsid w:val="00D66540"/>
    <w:rsid w:val="00D67299"/>
    <w:rsid w:val="00D676F0"/>
    <w:rsid w:val="00D70289"/>
    <w:rsid w:val="00D70BD4"/>
    <w:rsid w:val="00D70D1B"/>
    <w:rsid w:val="00D727A8"/>
    <w:rsid w:val="00D727C4"/>
    <w:rsid w:val="00D72B2E"/>
    <w:rsid w:val="00D73366"/>
    <w:rsid w:val="00D7444F"/>
    <w:rsid w:val="00D74AB6"/>
    <w:rsid w:val="00D750AF"/>
    <w:rsid w:val="00D7578B"/>
    <w:rsid w:val="00D76226"/>
    <w:rsid w:val="00D7646B"/>
    <w:rsid w:val="00D76A44"/>
    <w:rsid w:val="00D76AFF"/>
    <w:rsid w:val="00D77688"/>
    <w:rsid w:val="00D77E2D"/>
    <w:rsid w:val="00D80179"/>
    <w:rsid w:val="00D80AA2"/>
    <w:rsid w:val="00D80CB1"/>
    <w:rsid w:val="00D80D7C"/>
    <w:rsid w:val="00D81427"/>
    <w:rsid w:val="00D81C4E"/>
    <w:rsid w:val="00D82B8F"/>
    <w:rsid w:val="00D82E1C"/>
    <w:rsid w:val="00D835D1"/>
    <w:rsid w:val="00D8424D"/>
    <w:rsid w:val="00D847D9"/>
    <w:rsid w:val="00D84AB3"/>
    <w:rsid w:val="00D86B5F"/>
    <w:rsid w:val="00D86C31"/>
    <w:rsid w:val="00D8701C"/>
    <w:rsid w:val="00D87F68"/>
    <w:rsid w:val="00D90705"/>
    <w:rsid w:val="00D9080B"/>
    <w:rsid w:val="00D90F4C"/>
    <w:rsid w:val="00D911A7"/>
    <w:rsid w:val="00D9146B"/>
    <w:rsid w:val="00D91612"/>
    <w:rsid w:val="00D92F13"/>
    <w:rsid w:val="00D936A9"/>
    <w:rsid w:val="00D93753"/>
    <w:rsid w:val="00D93BAF"/>
    <w:rsid w:val="00D94104"/>
    <w:rsid w:val="00D95928"/>
    <w:rsid w:val="00D9666A"/>
    <w:rsid w:val="00D96975"/>
    <w:rsid w:val="00D9737C"/>
    <w:rsid w:val="00D97DA1"/>
    <w:rsid w:val="00D97F46"/>
    <w:rsid w:val="00DA05C3"/>
    <w:rsid w:val="00DA1091"/>
    <w:rsid w:val="00DA15D8"/>
    <w:rsid w:val="00DA17C9"/>
    <w:rsid w:val="00DA22B8"/>
    <w:rsid w:val="00DA32FF"/>
    <w:rsid w:val="00DA343F"/>
    <w:rsid w:val="00DA35BB"/>
    <w:rsid w:val="00DA36DC"/>
    <w:rsid w:val="00DA382F"/>
    <w:rsid w:val="00DA42C1"/>
    <w:rsid w:val="00DA5280"/>
    <w:rsid w:val="00DA54A8"/>
    <w:rsid w:val="00DA5DE1"/>
    <w:rsid w:val="00DA64A6"/>
    <w:rsid w:val="00DA6A0C"/>
    <w:rsid w:val="00DA73EC"/>
    <w:rsid w:val="00DA73FE"/>
    <w:rsid w:val="00DA777A"/>
    <w:rsid w:val="00DA77A5"/>
    <w:rsid w:val="00DA7A3E"/>
    <w:rsid w:val="00DB0346"/>
    <w:rsid w:val="00DB06FC"/>
    <w:rsid w:val="00DB120A"/>
    <w:rsid w:val="00DB1745"/>
    <w:rsid w:val="00DB2032"/>
    <w:rsid w:val="00DB34FC"/>
    <w:rsid w:val="00DB3668"/>
    <w:rsid w:val="00DB418F"/>
    <w:rsid w:val="00DB5347"/>
    <w:rsid w:val="00DB6B1E"/>
    <w:rsid w:val="00DB6D3F"/>
    <w:rsid w:val="00DC0515"/>
    <w:rsid w:val="00DC07C4"/>
    <w:rsid w:val="00DC1730"/>
    <w:rsid w:val="00DC1883"/>
    <w:rsid w:val="00DC21C2"/>
    <w:rsid w:val="00DC271B"/>
    <w:rsid w:val="00DC2EB7"/>
    <w:rsid w:val="00DC30E6"/>
    <w:rsid w:val="00DC3BEB"/>
    <w:rsid w:val="00DC3F8A"/>
    <w:rsid w:val="00DC506B"/>
    <w:rsid w:val="00DC5501"/>
    <w:rsid w:val="00DC6A95"/>
    <w:rsid w:val="00DC785E"/>
    <w:rsid w:val="00DC7A9E"/>
    <w:rsid w:val="00DD0049"/>
    <w:rsid w:val="00DD017C"/>
    <w:rsid w:val="00DD05EA"/>
    <w:rsid w:val="00DD0BCC"/>
    <w:rsid w:val="00DD159C"/>
    <w:rsid w:val="00DD1C40"/>
    <w:rsid w:val="00DD2072"/>
    <w:rsid w:val="00DD30CC"/>
    <w:rsid w:val="00DD3E91"/>
    <w:rsid w:val="00DD3F28"/>
    <w:rsid w:val="00DD4537"/>
    <w:rsid w:val="00DD4E15"/>
    <w:rsid w:val="00DD4FA2"/>
    <w:rsid w:val="00DD517A"/>
    <w:rsid w:val="00DD5195"/>
    <w:rsid w:val="00DD5880"/>
    <w:rsid w:val="00DD674B"/>
    <w:rsid w:val="00DD7291"/>
    <w:rsid w:val="00DD77EC"/>
    <w:rsid w:val="00DD7A1B"/>
    <w:rsid w:val="00DD7BBF"/>
    <w:rsid w:val="00DE013B"/>
    <w:rsid w:val="00DE05A2"/>
    <w:rsid w:val="00DE20EB"/>
    <w:rsid w:val="00DE21C2"/>
    <w:rsid w:val="00DE2D7E"/>
    <w:rsid w:val="00DE3272"/>
    <w:rsid w:val="00DE3288"/>
    <w:rsid w:val="00DE3933"/>
    <w:rsid w:val="00DE4D0A"/>
    <w:rsid w:val="00DE4D3F"/>
    <w:rsid w:val="00DE4FCB"/>
    <w:rsid w:val="00DE5501"/>
    <w:rsid w:val="00DE5700"/>
    <w:rsid w:val="00DE5CFF"/>
    <w:rsid w:val="00DE6B07"/>
    <w:rsid w:val="00DE7C6C"/>
    <w:rsid w:val="00DF0194"/>
    <w:rsid w:val="00DF037A"/>
    <w:rsid w:val="00DF079A"/>
    <w:rsid w:val="00DF0833"/>
    <w:rsid w:val="00DF0E36"/>
    <w:rsid w:val="00DF1552"/>
    <w:rsid w:val="00DF1D26"/>
    <w:rsid w:val="00DF20D0"/>
    <w:rsid w:val="00DF248D"/>
    <w:rsid w:val="00DF2BBD"/>
    <w:rsid w:val="00DF2C67"/>
    <w:rsid w:val="00DF33ED"/>
    <w:rsid w:val="00DF3679"/>
    <w:rsid w:val="00DF49B6"/>
    <w:rsid w:val="00DF5113"/>
    <w:rsid w:val="00DF5596"/>
    <w:rsid w:val="00DF5C32"/>
    <w:rsid w:val="00DF6D4F"/>
    <w:rsid w:val="00DF744C"/>
    <w:rsid w:val="00DF76BC"/>
    <w:rsid w:val="00DF7AD6"/>
    <w:rsid w:val="00DF7D47"/>
    <w:rsid w:val="00E011F9"/>
    <w:rsid w:val="00E0148A"/>
    <w:rsid w:val="00E020E3"/>
    <w:rsid w:val="00E032AA"/>
    <w:rsid w:val="00E0337A"/>
    <w:rsid w:val="00E06071"/>
    <w:rsid w:val="00E060E2"/>
    <w:rsid w:val="00E06D43"/>
    <w:rsid w:val="00E06E83"/>
    <w:rsid w:val="00E07B96"/>
    <w:rsid w:val="00E10149"/>
    <w:rsid w:val="00E101BD"/>
    <w:rsid w:val="00E1069C"/>
    <w:rsid w:val="00E10BF1"/>
    <w:rsid w:val="00E112D3"/>
    <w:rsid w:val="00E11363"/>
    <w:rsid w:val="00E123F9"/>
    <w:rsid w:val="00E13133"/>
    <w:rsid w:val="00E1478D"/>
    <w:rsid w:val="00E14EC0"/>
    <w:rsid w:val="00E14F72"/>
    <w:rsid w:val="00E15DEA"/>
    <w:rsid w:val="00E15EF7"/>
    <w:rsid w:val="00E16372"/>
    <w:rsid w:val="00E165C8"/>
    <w:rsid w:val="00E172B0"/>
    <w:rsid w:val="00E17E89"/>
    <w:rsid w:val="00E17FDC"/>
    <w:rsid w:val="00E200FB"/>
    <w:rsid w:val="00E20BD6"/>
    <w:rsid w:val="00E20D11"/>
    <w:rsid w:val="00E20D91"/>
    <w:rsid w:val="00E20ED6"/>
    <w:rsid w:val="00E21358"/>
    <w:rsid w:val="00E2247F"/>
    <w:rsid w:val="00E2249B"/>
    <w:rsid w:val="00E2364F"/>
    <w:rsid w:val="00E24233"/>
    <w:rsid w:val="00E24512"/>
    <w:rsid w:val="00E2455E"/>
    <w:rsid w:val="00E24F06"/>
    <w:rsid w:val="00E26C20"/>
    <w:rsid w:val="00E26EE4"/>
    <w:rsid w:val="00E2765F"/>
    <w:rsid w:val="00E2771E"/>
    <w:rsid w:val="00E27754"/>
    <w:rsid w:val="00E27A5A"/>
    <w:rsid w:val="00E27D0B"/>
    <w:rsid w:val="00E306C7"/>
    <w:rsid w:val="00E310DF"/>
    <w:rsid w:val="00E31403"/>
    <w:rsid w:val="00E321C5"/>
    <w:rsid w:val="00E32647"/>
    <w:rsid w:val="00E329F6"/>
    <w:rsid w:val="00E331B6"/>
    <w:rsid w:val="00E332E1"/>
    <w:rsid w:val="00E341F8"/>
    <w:rsid w:val="00E34991"/>
    <w:rsid w:val="00E35B1B"/>
    <w:rsid w:val="00E35CFC"/>
    <w:rsid w:val="00E37569"/>
    <w:rsid w:val="00E37646"/>
    <w:rsid w:val="00E37690"/>
    <w:rsid w:val="00E3793A"/>
    <w:rsid w:val="00E41B25"/>
    <w:rsid w:val="00E41E30"/>
    <w:rsid w:val="00E42041"/>
    <w:rsid w:val="00E4294C"/>
    <w:rsid w:val="00E4303B"/>
    <w:rsid w:val="00E44F92"/>
    <w:rsid w:val="00E45038"/>
    <w:rsid w:val="00E469F4"/>
    <w:rsid w:val="00E46CB2"/>
    <w:rsid w:val="00E47280"/>
    <w:rsid w:val="00E4795E"/>
    <w:rsid w:val="00E47B2C"/>
    <w:rsid w:val="00E5052B"/>
    <w:rsid w:val="00E5065B"/>
    <w:rsid w:val="00E51262"/>
    <w:rsid w:val="00E522EB"/>
    <w:rsid w:val="00E5232B"/>
    <w:rsid w:val="00E52BBB"/>
    <w:rsid w:val="00E52DB4"/>
    <w:rsid w:val="00E53EBD"/>
    <w:rsid w:val="00E55424"/>
    <w:rsid w:val="00E563C2"/>
    <w:rsid w:val="00E5662B"/>
    <w:rsid w:val="00E56690"/>
    <w:rsid w:val="00E61A36"/>
    <w:rsid w:val="00E61C5A"/>
    <w:rsid w:val="00E6360A"/>
    <w:rsid w:val="00E63719"/>
    <w:rsid w:val="00E63BB3"/>
    <w:rsid w:val="00E63C4E"/>
    <w:rsid w:val="00E648FA"/>
    <w:rsid w:val="00E649AA"/>
    <w:rsid w:val="00E656C4"/>
    <w:rsid w:val="00E658D6"/>
    <w:rsid w:val="00E65E79"/>
    <w:rsid w:val="00E67416"/>
    <w:rsid w:val="00E67A07"/>
    <w:rsid w:val="00E70120"/>
    <w:rsid w:val="00E70507"/>
    <w:rsid w:val="00E707DD"/>
    <w:rsid w:val="00E710B2"/>
    <w:rsid w:val="00E710C4"/>
    <w:rsid w:val="00E717F9"/>
    <w:rsid w:val="00E718B6"/>
    <w:rsid w:val="00E73581"/>
    <w:rsid w:val="00E73FFA"/>
    <w:rsid w:val="00E744C7"/>
    <w:rsid w:val="00E746E5"/>
    <w:rsid w:val="00E74D37"/>
    <w:rsid w:val="00E76D61"/>
    <w:rsid w:val="00E76FB0"/>
    <w:rsid w:val="00E77E90"/>
    <w:rsid w:val="00E80D54"/>
    <w:rsid w:val="00E81028"/>
    <w:rsid w:val="00E8243D"/>
    <w:rsid w:val="00E82557"/>
    <w:rsid w:val="00E82A70"/>
    <w:rsid w:val="00E83AB2"/>
    <w:rsid w:val="00E83BDF"/>
    <w:rsid w:val="00E842DC"/>
    <w:rsid w:val="00E84675"/>
    <w:rsid w:val="00E8564F"/>
    <w:rsid w:val="00E85BCF"/>
    <w:rsid w:val="00E87D0C"/>
    <w:rsid w:val="00E90322"/>
    <w:rsid w:val="00E90E77"/>
    <w:rsid w:val="00E913BD"/>
    <w:rsid w:val="00E921F4"/>
    <w:rsid w:val="00E931B2"/>
    <w:rsid w:val="00E9321B"/>
    <w:rsid w:val="00E93490"/>
    <w:rsid w:val="00E94BEA"/>
    <w:rsid w:val="00E94ECB"/>
    <w:rsid w:val="00E94F64"/>
    <w:rsid w:val="00E9637F"/>
    <w:rsid w:val="00E96712"/>
    <w:rsid w:val="00E97A0D"/>
    <w:rsid w:val="00EA0435"/>
    <w:rsid w:val="00EA10BA"/>
    <w:rsid w:val="00EA11DD"/>
    <w:rsid w:val="00EA13B5"/>
    <w:rsid w:val="00EA1CBB"/>
    <w:rsid w:val="00EA27BF"/>
    <w:rsid w:val="00EA2A71"/>
    <w:rsid w:val="00EA3643"/>
    <w:rsid w:val="00EA3864"/>
    <w:rsid w:val="00EA3B0C"/>
    <w:rsid w:val="00EA5454"/>
    <w:rsid w:val="00EA556C"/>
    <w:rsid w:val="00EA59C0"/>
    <w:rsid w:val="00EA6817"/>
    <w:rsid w:val="00EA72C5"/>
    <w:rsid w:val="00EB0190"/>
    <w:rsid w:val="00EB0BBB"/>
    <w:rsid w:val="00EB0E8E"/>
    <w:rsid w:val="00EB12CA"/>
    <w:rsid w:val="00EB2106"/>
    <w:rsid w:val="00EB254B"/>
    <w:rsid w:val="00EB2EF1"/>
    <w:rsid w:val="00EB34DF"/>
    <w:rsid w:val="00EB3968"/>
    <w:rsid w:val="00EB3984"/>
    <w:rsid w:val="00EB4539"/>
    <w:rsid w:val="00EB4910"/>
    <w:rsid w:val="00EB4F34"/>
    <w:rsid w:val="00EB5DA5"/>
    <w:rsid w:val="00EB61E9"/>
    <w:rsid w:val="00EB6407"/>
    <w:rsid w:val="00EB65D4"/>
    <w:rsid w:val="00EB7D5D"/>
    <w:rsid w:val="00EC00C9"/>
    <w:rsid w:val="00EC04B1"/>
    <w:rsid w:val="00EC104D"/>
    <w:rsid w:val="00EC12B4"/>
    <w:rsid w:val="00EC1485"/>
    <w:rsid w:val="00EC2A0A"/>
    <w:rsid w:val="00EC4735"/>
    <w:rsid w:val="00EC475D"/>
    <w:rsid w:val="00EC50AE"/>
    <w:rsid w:val="00EC50F5"/>
    <w:rsid w:val="00EC60F3"/>
    <w:rsid w:val="00EC761B"/>
    <w:rsid w:val="00EC777B"/>
    <w:rsid w:val="00EC7A43"/>
    <w:rsid w:val="00EC7C3F"/>
    <w:rsid w:val="00ED075E"/>
    <w:rsid w:val="00ED0BE5"/>
    <w:rsid w:val="00ED0C19"/>
    <w:rsid w:val="00ED1770"/>
    <w:rsid w:val="00ED184C"/>
    <w:rsid w:val="00ED1B76"/>
    <w:rsid w:val="00ED2276"/>
    <w:rsid w:val="00ED423B"/>
    <w:rsid w:val="00ED574C"/>
    <w:rsid w:val="00ED601B"/>
    <w:rsid w:val="00EE02C5"/>
    <w:rsid w:val="00EE07D3"/>
    <w:rsid w:val="00EE21D7"/>
    <w:rsid w:val="00EE2AB4"/>
    <w:rsid w:val="00EE2D31"/>
    <w:rsid w:val="00EE4010"/>
    <w:rsid w:val="00EE43AB"/>
    <w:rsid w:val="00EE54D2"/>
    <w:rsid w:val="00EE55BD"/>
    <w:rsid w:val="00EE55D1"/>
    <w:rsid w:val="00EE5922"/>
    <w:rsid w:val="00EE64D9"/>
    <w:rsid w:val="00EE6C4D"/>
    <w:rsid w:val="00EE6D8A"/>
    <w:rsid w:val="00EE758F"/>
    <w:rsid w:val="00EF0341"/>
    <w:rsid w:val="00EF0477"/>
    <w:rsid w:val="00EF0668"/>
    <w:rsid w:val="00EF06DA"/>
    <w:rsid w:val="00EF23EC"/>
    <w:rsid w:val="00EF34B1"/>
    <w:rsid w:val="00EF39F5"/>
    <w:rsid w:val="00EF3F04"/>
    <w:rsid w:val="00EF4E21"/>
    <w:rsid w:val="00EF52BA"/>
    <w:rsid w:val="00EF539F"/>
    <w:rsid w:val="00EF6212"/>
    <w:rsid w:val="00EF621E"/>
    <w:rsid w:val="00EF699A"/>
    <w:rsid w:val="00EF7944"/>
    <w:rsid w:val="00EF7C57"/>
    <w:rsid w:val="00EF7CCA"/>
    <w:rsid w:val="00EF7D18"/>
    <w:rsid w:val="00F00B16"/>
    <w:rsid w:val="00F00DE5"/>
    <w:rsid w:val="00F00F35"/>
    <w:rsid w:val="00F011DF"/>
    <w:rsid w:val="00F0126C"/>
    <w:rsid w:val="00F01502"/>
    <w:rsid w:val="00F018EE"/>
    <w:rsid w:val="00F0212F"/>
    <w:rsid w:val="00F02F21"/>
    <w:rsid w:val="00F0333B"/>
    <w:rsid w:val="00F03ACD"/>
    <w:rsid w:val="00F042A4"/>
    <w:rsid w:val="00F04A13"/>
    <w:rsid w:val="00F04E48"/>
    <w:rsid w:val="00F054A5"/>
    <w:rsid w:val="00F05688"/>
    <w:rsid w:val="00F058C9"/>
    <w:rsid w:val="00F06168"/>
    <w:rsid w:val="00F067A2"/>
    <w:rsid w:val="00F071EF"/>
    <w:rsid w:val="00F10513"/>
    <w:rsid w:val="00F10D54"/>
    <w:rsid w:val="00F113B2"/>
    <w:rsid w:val="00F11DB8"/>
    <w:rsid w:val="00F11FD2"/>
    <w:rsid w:val="00F13F19"/>
    <w:rsid w:val="00F14A9C"/>
    <w:rsid w:val="00F14D4B"/>
    <w:rsid w:val="00F14F52"/>
    <w:rsid w:val="00F16E5F"/>
    <w:rsid w:val="00F1713F"/>
    <w:rsid w:val="00F176DE"/>
    <w:rsid w:val="00F20B84"/>
    <w:rsid w:val="00F21223"/>
    <w:rsid w:val="00F2147E"/>
    <w:rsid w:val="00F217ED"/>
    <w:rsid w:val="00F22B1A"/>
    <w:rsid w:val="00F244D2"/>
    <w:rsid w:val="00F2476B"/>
    <w:rsid w:val="00F24837"/>
    <w:rsid w:val="00F24E70"/>
    <w:rsid w:val="00F2575F"/>
    <w:rsid w:val="00F2787E"/>
    <w:rsid w:val="00F27D3C"/>
    <w:rsid w:val="00F30329"/>
    <w:rsid w:val="00F30434"/>
    <w:rsid w:val="00F32907"/>
    <w:rsid w:val="00F331FD"/>
    <w:rsid w:val="00F332CB"/>
    <w:rsid w:val="00F333FB"/>
    <w:rsid w:val="00F33493"/>
    <w:rsid w:val="00F338FF"/>
    <w:rsid w:val="00F33926"/>
    <w:rsid w:val="00F33DE9"/>
    <w:rsid w:val="00F34845"/>
    <w:rsid w:val="00F353E3"/>
    <w:rsid w:val="00F3570E"/>
    <w:rsid w:val="00F3593A"/>
    <w:rsid w:val="00F3619A"/>
    <w:rsid w:val="00F419D9"/>
    <w:rsid w:val="00F424C7"/>
    <w:rsid w:val="00F42C00"/>
    <w:rsid w:val="00F43E8B"/>
    <w:rsid w:val="00F45792"/>
    <w:rsid w:val="00F46B27"/>
    <w:rsid w:val="00F46CB6"/>
    <w:rsid w:val="00F479EF"/>
    <w:rsid w:val="00F50A18"/>
    <w:rsid w:val="00F5252C"/>
    <w:rsid w:val="00F52F12"/>
    <w:rsid w:val="00F52FBC"/>
    <w:rsid w:val="00F537CB"/>
    <w:rsid w:val="00F54844"/>
    <w:rsid w:val="00F54883"/>
    <w:rsid w:val="00F557D6"/>
    <w:rsid w:val="00F55E73"/>
    <w:rsid w:val="00F56242"/>
    <w:rsid w:val="00F57EF8"/>
    <w:rsid w:val="00F6090B"/>
    <w:rsid w:val="00F6142B"/>
    <w:rsid w:val="00F61E77"/>
    <w:rsid w:val="00F6214D"/>
    <w:rsid w:val="00F625C9"/>
    <w:rsid w:val="00F6288F"/>
    <w:rsid w:val="00F62DD4"/>
    <w:rsid w:val="00F65BFE"/>
    <w:rsid w:val="00F668A0"/>
    <w:rsid w:val="00F671AE"/>
    <w:rsid w:val="00F6767D"/>
    <w:rsid w:val="00F678A2"/>
    <w:rsid w:val="00F706B4"/>
    <w:rsid w:val="00F71436"/>
    <w:rsid w:val="00F7213F"/>
    <w:rsid w:val="00F72F28"/>
    <w:rsid w:val="00F735FC"/>
    <w:rsid w:val="00F73A19"/>
    <w:rsid w:val="00F74294"/>
    <w:rsid w:val="00F744F1"/>
    <w:rsid w:val="00F7452B"/>
    <w:rsid w:val="00F74B57"/>
    <w:rsid w:val="00F75213"/>
    <w:rsid w:val="00F75DE9"/>
    <w:rsid w:val="00F769A1"/>
    <w:rsid w:val="00F80E5D"/>
    <w:rsid w:val="00F815B0"/>
    <w:rsid w:val="00F82939"/>
    <w:rsid w:val="00F83830"/>
    <w:rsid w:val="00F845DD"/>
    <w:rsid w:val="00F84C0C"/>
    <w:rsid w:val="00F851CE"/>
    <w:rsid w:val="00F85220"/>
    <w:rsid w:val="00F85497"/>
    <w:rsid w:val="00F854D0"/>
    <w:rsid w:val="00F907BD"/>
    <w:rsid w:val="00F92A49"/>
    <w:rsid w:val="00F940DF"/>
    <w:rsid w:val="00F9520B"/>
    <w:rsid w:val="00F95E7F"/>
    <w:rsid w:val="00F96EA8"/>
    <w:rsid w:val="00F97A78"/>
    <w:rsid w:val="00F97B0B"/>
    <w:rsid w:val="00F97F17"/>
    <w:rsid w:val="00FA0CEB"/>
    <w:rsid w:val="00FA0FB8"/>
    <w:rsid w:val="00FA1EC7"/>
    <w:rsid w:val="00FA277F"/>
    <w:rsid w:val="00FA417C"/>
    <w:rsid w:val="00FA46A4"/>
    <w:rsid w:val="00FA52DE"/>
    <w:rsid w:val="00FA552D"/>
    <w:rsid w:val="00FA5566"/>
    <w:rsid w:val="00FA5DCE"/>
    <w:rsid w:val="00FA60C0"/>
    <w:rsid w:val="00FA65DC"/>
    <w:rsid w:val="00FA6895"/>
    <w:rsid w:val="00FA7004"/>
    <w:rsid w:val="00FB0238"/>
    <w:rsid w:val="00FB1049"/>
    <w:rsid w:val="00FB167D"/>
    <w:rsid w:val="00FB1769"/>
    <w:rsid w:val="00FB1A4B"/>
    <w:rsid w:val="00FB1BCC"/>
    <w:rsid w:val="00FB23D4"/>
    <w:rsid w:val="00FB2FCB"/>
    <w:rsid w:val="00FB33FB"/>
    <w:rsid w:val="00FB350A"/>
    <w:rsid w:val="00FB4199"/>
    <w:rsid w:val="00FB4BFB"/>
    <w:rsid w:val="00FB5E78"/>
    <w:rsid w:val="00FB665F"/>
    <w:rsid w:val="00FB67ED"/>
    <w:rsid w:val="00FB7BAF"/>
    <w:rsid w:val="00FB7DC8"/>
    <w:rsid w:val="00FC0908"/>
    <w:rsid w:val="00FC1074"/>
    <w:rsid w:val="00FC16EC"/>
    <w:rsid w:val="00FC1884"/>
    <w:rsid w:val="00FC3A78"/>
    <w:rsid w:val="00FC3BFF"/>
    <w:rsid w:val="00FC3D6D"/>
    <w:rsid w:val="00FC4A41"/>
    <w:rsid w:val="00FC55DF"/>
    <w:rsid w:val="00FC5D32"/>
    <w:rsid w:val="00FC5E8F"/>
    <w:rsid w:val="00FC6C17"/>
    <w:rsid w:val="00FC7111"/>
    <w:rsid w:val="00FC7188"/>
    <w:rsid w:val="00FC77CE"/>
    <w:rsid w:val="00FC7ECA"/>
    <w:rsid w:val="00FD01D9"/>
    <w:rsid w:val="00FD064C"/>
    <w:rsid w:val="00FD204D"/>
    <w:rsid w:val="00FD2100"/>
    <w:rsid w:val="00FD3010"/>
    <w:rsid w:val="00FD3381"/>
    <w:rsid w:val="00FD33E1"/>
    <w:rsid w:val="00FD3FC8"/>
    <w:rsid w:val="00FD446D"/>
    <w:rsid w:val="00FD4A40"/>
    <w:rsid w:val="00FD56B9"/>
    <w:rsid w:val="00FD59A1"/>
    <w:rsid w:val="00FD6426"/>
    <w:rsid w:val="00FD6685"/>
    <w:rsid w:val="00FD66BE"/>
    <w:rsid w:val="00FD679D"/>
    <w:rsid w:val="00FD69D8"/>
    <w:rsid w:val="00FD6FCA"/>
    <w:rsid w:val="00FD70EB"/>
    <w:rsid w:val="00FD7FA9"/>
    <w:rsid w:val="00FE0F4B"/>
    <w:rsid w:val="00FE13B6"/>
    <w:rsid w:val="00FE1E3F"/>
    <w:rsid w:val="00FE27AC"/>
    <w:rsid w:val="00FE28E7"/>
    <w:rsid w:val="00FE2D10"/>
    <w:rsid w:val="00FE34C6"/>
    <w:rsid w:val="00FE39CD"/>
    <w:rsid w:val="00FE3DB3"/>
    <w:rsid w:val="00FE443D"/>
    <w:rsid w:val="00FE4CBB"/>
    <w:rsid w:val="00FE4FEB"/>
    <w:rsid w:val="00FE50E5"/>
    <w:rsid w:val="00FE70B2"/>
    <w:rsid w:val="00FF0055"/>
    <w:rsid w:val="00FF040B"/>
    <w:rsid w:val="00FF0DD3"/>
    <w:rsid w:val="00FF2516"/>
    <w:rsid w:val="00FF2F90"/>
    <w:rsid w:val="00FF3DCF"/>
    <w:rsid w:val="00FF3FB9"/>
    <w:rsid w:val="00FF4304"/>
    <w:rsid w:val="00FF4C9C"/>
    <w:rsid w:val="00FF5AA3"/>
    <w:rsid w:val="00FF6919"/>
    <w:rsid w:val="00FF6B9C"/>
    <w:rsid w:val="00FF6CC9"/>
    <w:rsid w:val="00FF6C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PBACheading1"/>
    <w:next w:val="Normal"/>
    <w:qFormat/>
    <w:rsid w:val="0093180A"/>
    <w:pPr>
      <w:outlineLvl w:val="0"/>
    </w:pPr>
    <w:rPr>
      <w:b/>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link w:val="Caption"/>
    <w:uiPriority w:val="10"/>
    <w:rsid w:val="00124A51"/>
    <w:rPr>
      <w:b/>
      <w:bCs/>
      <w:snapToGrid w:val="0"/>
      <w:color w:val="4F81BD" w:themeColor="accent1"/>
      <w:sz w:val="18"/>
      <w:szCs w:val="18"/>
      <w:lang w:eastAsia="en-US"/>
    </w:rPr>
  </w:style>
  <w:style w:type="paragraph" w:styleId="Title">
    <w:name w:val="Title"/>
    <w:basedOn w:val="Heading1"/>
    <w:next w:val="Normal"/>
    <w:link w:val="TitleChar"/>
    <w:rsid w:val="0093180A"/>
    <w:pPr>
      <w:ind w:left="0" w:firstLine="0"/>
    </w:pPr>
    <w:rPr>
      <w:sz w:val="28"/>
    </w:rPr>
  </w:style>
  <w:style w:type="character" w:customStyle="1" w:styleId="TitleChar">
    <w:name w:val="Title Char"/>
    <w:basedOn w:val="DefaultParagraphFont"/>
    <w:link w:val="Title"/>
    <w:rsid w:val="0093180A"/>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5"/>
      </w:numPr>
    </w:pPr>
    <w:rPr>
      <w:rFonts w:ascii="Arial" w:hAnsi="Arial" w:cs="Arial"/>
      <w:snapToGrid w:val="0"/>
      <w:sz w:val="22"/>
      <w:szCs w:val="22"/>
      <w:lang w:eastAsia="en-US"/>
    </w:rPr>
  </w:style>
  <w:style w:type="paragraph" w:customStyle="1" w:styleId="Table">
    <w:name w:val="Table"/>
    <w:basedOn w:val="Normal"/>
    <w:link w:val="TableChar"/>
    <w:qFormat/>
    <w:rsid w:val="00745E4F"/>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745E4F"/>
    <w:rPr>
      <w:rFonts w:ascii="Candara" w:eastAsiaTheme="majorEastAsia" w:hAnsi="Candara" w:cstheme="majorBidi"/>
      <w:szCs w:val="22"/>
      <w:lang w:eastAsia="en-US" w:bidi="en-US"/>
    </w:rPr>
  </w:style>
  <w:style w:type="character" w:customStyle="1" w:styleId="SmallSubscript">
    <w:name w:val="Small Subscript"/>
    <w:basedOn w:val="DefaultParagraphFont"/>
    <w:uiPriority w:val="1"/>
    <w:qFormat/>
    <w:rsid w:val="00BD6711"/>
    <w:rPr>
      <w:rFonts w:ascii="Candara" w:hAnsi="Candara"/>
      <w:b w:val="0"/>
      <w:sz w:val="20"/>
      <w:vertAlign w:val="subscript"/>
    </w:rPr>
  </w:style>
  <w:style w:type="paragraph" w:customStyle="1" w:styleId="TableCentre">
    <w:name w:val="Table Centre"/>
    <w:basedOn w:val="Table"/>
    <w:link w:val="TableCentreChar"/>
    <w:qFormat/>
    <w:rsid w:val="009A067D"/>
    <w:pPr>
      <w:jc w:val="center"/>
    </w:pPr>
  </w:style>
  <w:style w:type="character" w:customStyle="1" w:styleId="TableCentreChar">
    <w:name w:val="Table Centre Char"/>
    <w:basedOn w:val="TableChar"/>
    <w:link w:val="TableCentre"/>
    <w:rsid w:val="009A067D"/>
    <w:rPr>
      <w:rFonts w:ascii="Candara" w:eastAsiaTheme="majorEastAsia" w:hAnsi="Candara" w:cstheme="majorBidi"/>
      <w:szCs w:val="22"/>
      <w:lang w:eastAsia="en-US" w:bidi="en-US"/>
    </w:rPr>
  </w:style>
  <w:style w:type="paragraph" w:customStyle="1" w:styleId="Default">
    <w:name w:val="Default"/>
    <w:rsid w:val="00927072"/>
    <w:pPr>
      <w:autoSpaceDE w:val="0"/>
      <w:autoSpaceDN w:val="0"/>
      <w:adjustRightInd w:val="0"/>
    </w:pPr>
    <w:rPr>
      <w:rFonts w:ascii="AHCJX V+ Helvetica Neue LT Std" w:hAnsi="AHCJX V+ Helvetica Neue LT Std" w:cs="AHCJX V+ Helvetica Neue LT Std"/>
      <w:color w:val="000000"/>
      <w:sz w:val="24"/>
      <w:szCs w:val="24"/>
    </w:rPr>
  </w:style>
  <w:style w:type="paragraph" w:customStyle="1" w:styleId="NormalBulletList">
    <w:name w:val="Normal Bullet List"/>
    <w:basedOn w:val="Normal"/>
    <w:uiPriority w:val="3"/>
    <w:qFormat/>
    <w:rsid w:val="00843158"/>
    <w:pPr>
      <w:widowControl/>
      <w:numPr>
        <w:numId w:val="19"/>
      </w:numPr>
      <w:spacing w:after="240" w:line="276" w:lineRule="auto"/>
      <w:contextualSpacing/>
      <w:jc w:val="left"/>
    </w:pPr>
    <w:rPr>
      <w:rFonts w:ascii="Candara" w:eastAsiaTheme="majorEastAsia" w:hAnsi="Candara" w:cstheme="majorBidi"/>
      <w:snapToGrid/>
      <w:sz w:val="24"/>
      <w:szCs w:val="22"/>
      <w:lang w:bidi="en-US"/>
    </w:rPr>
  </w:style>
  <w:style w:type="character" w:customStyle="1" w:styleId="Font">
    <w:name w:val="Font"/>
    <w:basedOn w:val="DefaultParagraphFont"/>
    <w:uiPriority w:val="1"/>
    <w:qFormat/>
    <w:rsid w:val="005F76CF"/>
    <w:rPr>
      <w:rFonts w:ascii="Candara" w:hAnsi="Candara"/>
      <w:sz w:val="24"/>
    </w:rPr>
  </w:style>
  <w:style w:type="character" w:customStyle="1" w:styleId="SmallUnderline">
    <w:name w:val="Small Underline"/>
    <w:basedOn w:val="DefaultParagraphFont"/>
    <w:uiPriority w:val="4"/>
    <w:qFormat/>
    <w:rsid w:val="001248EC"/>
    <w:rPr>
      <w:rFonts w:ascii="Candara" w:hAnsi="Candara"/>
      <w:sz w:val="20"/>
      <w:u w:val="single"/>
    </w:rPr>
  </w:style>
  <w:style w:type="character" w:customStyle="1" w:styleId="FontUnderlined">
    <w:name w:val="Font Underlined"/>
    <w:basedOn w:val="Font"/>
    <w:uiPriority w:val="1"/>
    <w:qFormat/>
    <w:rsid w:val="001816EC"/>
    <w:rPr>
      <w:rFonts w:ascii="Candara" w:hAnsi="Candara"/>
      <w:sz w:val="24"/>
      <w:u w:val="single"/>
    </w:rPr>
  </w:style>
  <w:style w:type="character" w:customStyle="1" w:styleId="Small">
    <w:name w:val="Small"/>
    <w:basedOn w:val="Font"/>
    <w:uiPriority w:val="4"/>
    <w:qFormat/>
    <w:rsid w:val="00BB745F"/>
    <w:rPr>
      <w:rFonts w:ascii="Candara" w:hAnsi="Candara"/>
      <w:sz w:val="20"/>
    </w:rPr>
  </w:style>
  <w:style w:type="character" w:customStyle="1" w:styleId="SmallBold">
    <w:name w:val="Small Bold"/>
    <w:basedOn w:val="Small"/>
    <w:uiPriority w:val="4"/>
    <w:qFormat/>
    <w:rsid w:val="00BB745F"/>
    <w:rPr>
      <w:rFonts w:ascii="Candara" w:hAnsi="Candara"/>
      <w:b/>
      <w:sz w:val="20"/>
      <w:lang w:val="en-AU"/>
    </w:rPr>
  </w:style>
  <w:style w:type="paragraph" w:customStyle="1" w:styleId="TableBullets">
    <w:name w:val="Table Bullets"/>
    <w:basedOn w:val="Table"/>
    <w:link w:val="TableBulletsChar"/>
    <w:uiPriority w:val="5"/>
    <w:qFormat/>
    <w:rsid w:val="00BB745F"/>
    <w:pPr>
      <w:numPr>
        <w:numId w:val="27"/>
      </w:numPr>
      <w:ind w:left="284" w:hanging="250"/>
    </w:pPr>
  </w:style>
  <w:style w:type="paragraph" w:customStyle="1" w:styleId="CaptionFootnote">
    <w:name w:val="Caption Footnote"/>
    <w:basedOn w:val="Caption"/>
    <w:qFormat/>
    <w:rsid w:val="00BB745F"/>
    <w:pPr>
      <w:tabs>
        <w:tab w:val="left" w:pos="1134"/>
      </w:tabs>
      <w:spacing w:after="0"/>
      <w:jc w:val="left"/>
    </w:pPr>
    <w:rPr>
      <w:rFonts w:ascii="Candara" w:eastAsiaTheme="majorEastAsia" w:hAnsi="Candara" w:cstheme="majorBidi"/>
      <w:b w:val="0"/>
      <w:snapToGrid/>
      <w:color w:val="auto"/>
      <w:sz w:val="16"/>
      <w:lang w:bidi="en-US"/>
    </w:rPr>
  </w:style>
  <w:style w:type="character" w:customStyle="1" w:styleId="TableBulletsChar">
    <w:name w:val="Table Bullets Char"/>
    <w:basedOn w:val="TableChar"/>
    <w:link w:val="TableBullets"/>
    <w:uiPriority w:val="5"/>
    <w:rsid w:val="00BB745F"/>
    <w:rPr>
      <w:rFonts w:ascii="Candara" w:eastAsiaTheme="majorEastAsia" w:hAnsi="Candara" w:cstheme="majorBidi"/>
      <w:szCs w:val="22"/>
      <w:lang w:eastAsia="en-US" w:bidi="en-US"/>
    </w:rPr>
  </w:style>
  <w:style w:type="paragraph" w:customStyle="1" w:styleId="PBACHeading10">
    <w:name w:val="PBAC Heading 1"/>
    <w:qFormat/>
    <w:rsid w:val="00695E3D"/>
    <w:pPr>
      <w:ind w:left="720" w:hanging="720"/>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6226CE"/>
    <w:rPr>
      <w:sz w:val="20"/>
    </w:rPr>
  </w:style>
  <w:style w:type="character" w:customStyle="1" w:styleId="FootnoteTextChar">
    <w:name w:val="Footnote Text Char"/>
    <w:basedOn w:val="DefaultParagraphFont"/>
    <w:link w:val="FootnoteText"/>
    <w:semiHidden/>
    <w:rsid w:val="006226CE"/>
    <w:rPr>
      <w:rFonts w:ascii="Arial" w:hAnsi="Arial" w:cs="Arial"/>
      <w:snapToGrid w:val="0"/>
      <w:lang w:eastAsia="en-US"/>
    </w:rPr>
  </w:style>
  <w:style w:type="character" w:styleId="FootnoteReference">
    <w:name w:val="footnote reference"/>
    <w:basedOn w:val="DefaultParagraphFont"/>
    <w:semiHidden/>
    <w:unhideWhenUsed/>
    <w:rsid w:val="006226CE"/>
    <w:rPr>
      <w:vertAlign w:val="superscript"/>
    </w:rPr>
  </w:style>
  <w:style w:type="table" w:customStyle="1" w:styleId="TableGrid17">
    <w:name w:val="Table Grid17"/>
    <w:basedOn w:val="TableNormal"/>
    <w:next w:val="TableGrid"/>
    <w:uiPriority w:val="59"/>
    <w:rsid w:val="00443632"/>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FollowedHyperlink">
    <w:name w:val="FollowedHyperlink"/>
    <w:basedOn w:val="DefaultParagraphFont"/>
    <w:semiHidden/>
    <w:unhideWhenUsed/>
    <w:rsid w:val="00D6622E"/>
    <w:rPr>
      <w:color w:val="800080" w:themeColor="followedHyperlink"/>
      <w:u w:val="single"/>
    </w:rPr>
  </w:style>
  <w:style w:type="paragraph" w:styleId="ListBullet">
    <w:name w:val="List Bullet"/>
    <w:basedOn w:val="Normal"/>
    <w:autoRedefine/>
    <w:rsid w:val="001F30ED"/>
    <w:pPr>
      <w:widowControl/>
      <w:jc w:val="left"/>
    </w:pPr>
    <w:rPr>
      <w:rFonts w:ascii="Arial Narrow" w:hAnsi="Arial Narrow"/>
      <w:sz w:val="20"/>
    </w:rPr>
  </w:style>
  <w:style w:type="character" w:customStyle="1" w:styleId="ListParagraphChar">
    <w:name w:val="List Paragraph Char"/>
    <w:link w:val="ListParagraph"/>
    <w:uiPriority w:val="72"/>
    <w:rsid w:val="006F5CEE"/>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PBACheading1"/>
    <w:next w:val="Normal"/>
    <w:qFormat/>
    <w:rsid w:val="0093180A"/>
    <w:pPr>
      <w:outlineLvl w:val="0"/>
    </w:pPr>
    <w:rPr>
      <w:b/>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link w:val="Caption"/>
    <w:uiPriority w:val="10"/>
    <w:rsid w:val="00124A51"/>
    <w:rPr>
      <w:b/>
      <w:bCs/>
      <w:snapToGrid w:val="0"/>
      <w:color w:val="4F81BD" w:themeColor="accent1"/>
      <w:sz w:val="18"/>
      <w:szCs w:val="18"/>
      <w:lang w:eastAsia="en-US"/>
    </w:rPr>
  </w:style>
  <w:style w:type="paragraph" w:styleId="Title">
    <w:name w:val="Title"/>
    <w:basedOn w:val="Heading1"/>
    <w:next w:val="Normal"/>
    <w:link w:val="TitleChar"/>
    <w:rsid w:val="0093180A"/>
    <w:pPr>
      <w:ind w:left="0" w:firstLine="0"/>
    </w:pPr>
    <w:rPr>
      <w:sz w:val="28"/>
    </w:rPr>
  </w:style>
  <w:style w:type="character" w:customStyle="1" w:styleId="TitleChar">
    <w:name w:val="Title Char"/>
    <w:basedOn w:val="DefaultParagraphFont"/>
    <w:link w:val="Title"/>
    <w:rsid w:val="0093180A"/>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5"/>
      </w:numPr>
    </w:pPr>
    <w:rPr>
      <w:rFonts w:ascii="Arial" w:hAnsi="Arial" w:cs="Arial"/>
      <w:snapToGrid w:val="0"/>
      <w:sz w:val="22"/>
      <w:szCs w:val="22"/>
      <w:lang w:eastAsia="en-US"/>
    </w:rPr>
  </w:style>
  <w:style w:type="paragraph" w:customStyle="1" w:styleId="Table">
    <w:name w:val="Table"/>
    <w:basedOn w:val="Normal"/>
    <w:link w:val="TableChar"/>
    <w:qFormat/>
    <w:rsid w:val="00745E4F"/>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745E4F"/>
    <w:rPr>
      <w:rFonts w:ascii="Candara" w:eastAsiaTheme="majorEastAsia" w:hAnsi="Candara" w:cstheme="majorBidi"/>
      <w:szCs w:val="22"/>
      <w:lang w:eastAsia="en-US" w:bidi="en-US"/>
    </w:rPr>
  </w:style>
  <w:style w:type="character" w:customStyle="1" w:styleId="SmallSubscript">
    <w:name w:val="Small Subscript"/>
    <w:basedOn w:val="DefaultParagraphFont"/>
    <w:uiPriority w:val="1"/>
    <w:qFormat/>
    <w:rsid w:val="00BD6711"/>
    <w:rPr>
      <w:rFonts w:ascii="Candara" w:hAnsi="Candara"/>
      <w:b w:val="0"/>
      <w:sz w:val="20"/>
      <w:vertAlign w:val="subscript"/>
    </w:rPr>
  </w:style>
  <w:style w:type="paragraph" w:customStyle="1" w:styleId="TableCentre">
    <w:name w:val="Table Centre"/>
    <w:basedOn w:val="Table"/>
    <w:link w:val="TableCentreChar"/>
    <w:qFormat/>
    <w:rsid w:val="009A067D"/>
    <w:pPr>
      <w:jc w:val="center"/>
    </w:pPr>
  </w:style>
  <w:style w:type="character" w:customStyle="1" w:styleId="TableCentreChar">
    <w:name w:val="Table Centre Char"/>
    <w:basedOn w:val="TableChar"/>
    <w:link w:val="TableCentre"/>
    <w:rsid w:val="009A067D"/>
    <w:rPr>
      <w:rFonts w:ascii="Candara" w:eastAsiaTheme="majorEastAsia" w:hAnsi="Candara" w:cstheme="majorBidi"/>
      <w:szCs w:val="22"/>
      <w:lang w:eastAsia="en-US" w:bidi="en-US"/>
    </w:rPr>
  </w:style>
  <w:style w:type="paragraph" w:customStyle="1" w:styleId="Default">
    <w:name w:val="Default"/>
    <w:rsid w:val="00927072"/>
    <w:pPr>
      <w:autoSpaceDE w:val="0"/>
      <w:autoSpaceDN w:val="0"/>
      <w:adjustRightInd w:val="0"/>
    </w:pPr>
    <w:rPr>
      <w:rFonts w:ascii="AHCJX V+ Helvetica Neue LT Std" w:hAnsi="AHCJX V+ Helvetica Neue LT Std" w:cs="AHCJX V+ Helvetica Neue LT Std"/>
      <w:color w:val="000000"/>
      <w:sz w:val="24"/>
      <w:szCs w:val="24"/>
    </w:rPr>
  </w:style>
  <w:style w:type="paragraph" w:customStyle="1" w:styleId="NormalBulletList">
    <w:name w:val="Normal Bullet List"/>
    <w:basedOn w:val="Normal"/>
    <w:uiPriority w:val="3"/>
    <w:qFormat/>
    <w:rsid w:val="00843158"/>
    <w:pPr>
      <w:widowControl/>
      <w:numPr>
        <w:numId w:val="19"/>
      </w:numPr>
      <w:spacing w:after="240" w:line="276" w:lineRule="auto"/>
      <w:contextualSpacing/>
      <w:jc w:val="left"/>
    </w:pPr>
    <w:rPr>
      <w:rFonts w:ascii="Candara" w:eastAsiaTheme="majorEastAsia" w:hAnsi="Candara" w:cstheme="majorBidi"/>
      <w:snapToGrid/>
      <w:sz w:val="24"/>
      <w:szCs w:val="22"/>
      <w:lang w:bidi="en-US"/>
    </w:rPr>
  </w:style>
  <w:style w:type="character" w:customStyle="1" w:styleId="Font">
    <w:name w:val="Font"/>
    <w:basedOn w:val="DefaultParagraphFont"/>
    <w:uiPriority w:val="1"/>
    <w:qFormat/>
    <w:rsid w:val="005F76CF"/>
    <w:rPr>
      <w:rFonts w:ascii="Candara" w:hAnsi="Candara"/>
      <w:sz w:val="24"/>
    </w:rPr>
  </w:style>
  <w:style w:type="character" w:customStyle="1" w:styleId="SmallUnderline">
    <w:name w:val="Small Underline"/>
    <w:basedOn w:val="DefaultParagraphFont"/>
    <w:uiPriority w:val="4"/>
    <w:qFormat/>
    <w:rsid w:val="001248EC"/>
    <w:rPr>
      <w:rFonts w:ascii="Candara" w:hAnsi="Candara"/>
      <w:sz w:val="20"/>
      <w:u w:val="single"/>
    </w:rPr>
  </w:style>
  <w:style w:type="character" w:customStyle="1" w:styleId="FontUnderlined">
    <w:name w:val="Font Underlined"/>
    <w:basedOn w:val="Font"/>
    <w:uiPriority w:val="1"/>
    <w:qFormat/>
    <w:rsid w:val="001816EC"/>
    <w:rPr>
      <w:rFonts w:ascii="Candara" w:hAnsi="Candara"/>
      <w:sz w:val="24"/>
      <w:u w:val="single"/>
    </w:rPr>
  </w:style>
  <w:style w:type="character" w:customStyle="1" w:styleId="Small">
    <w:name w:val="Small"/>
    <w:basedOn w:val="Font"/>
    <w:uiPriority w:val="4"/>
    <w:qFormat/>
    <w:rsid w:val="00BB745F"/>
    <w:rPr>
      <w:rFonts w:ascii="Candara" w:hAnsi="Candara"/>
      <w:sz w:val="20"/>
    </w:rPr>
  </w:style>
  <w:style w:type="character" w:customStyle="1" w:styleId="SmallBold">
    <w:name w:val="Small Bold"/>
    <w:basedOn w:val="Small"/>
    <w:uiPriority w:val="4"/>
    <w:qFormat/>
    <w:rsid w:val="00BB745F"/>
    <w:rPr>
      <w:rFonts w:ascii="Candara" w:hAnsi="Candara"/>
      <w:b/>
      <w:sz w:val="20"/>
      <w:lang w:val="en-AU"/>
    </w:rPr>
  </w:style>
  <w:style w:type="paragraph" w:customStyle="1" w:styleId="TableBullets">
    <w:name w:val="Table Bullets"/>
    <w:basedOn w:val="Table"/>
    <w:link w:val="TableBulletsChar"/>
    <w:uiPriority w:val="5"/>
    <w:qFormat/>
    <w:rsid w:val="00BB745F"/>
    <w:pPr>
      <w:numPr>
        <w:numId w:val="27"/>
      </w:numPr>
      <w:ind w:left="284" w:hanging="250"/>
    </w:pPr>
  </w:style>
  <w:style w:type="paragraph" w:customStyle="1" w:styleId="CaptionFootnote">
    <w:name w:val="Caption Footnote"/>
    <w:basedOn w:val="Caption"/>
    <w:qFormat/>
    <w:rsid w:val="00BB745F"/>
    <w:pPr>
      <w:tabs>
        <w:tab w:val="left" w:pos="1134"/>
      </w:tabs>
      <w:spacing w:after="0"/>
      <w:jc w:val="left"/>
    </w:pPr>
    <w:rPr>
      <w:rFonts w:ascii="Candara" w:eastAsiaTheme="majorEastAsia" w:hAnsi="Candara" w:cstheme="majorBidi"/>
      <w:b w:val="0"/>
      <w:snapToGrid/>
      <w:color w:val="auto"/>
      <w:sz w:val="16"/>
      <w:lang w:bidi="en-US"/>
    </w:rPr>
  </w:style>
  <w:style w:type="character" w:customStyle="1" w:styleId="TableBulletsChar">
    <w:name w:val="Table Bullets Char"/>
    <w:basedOn w:val="TableChar"/>
    <w:link w:val="TableBullets"/>
    <w:uiPriority w:val="5"/>
    <w:rsid w:val="00BB745F"/>
    <w:rPr>
      <w:rFonts w:ascii="Candara" w:eastAsiaTheme="majorEastAsia" w:hAnsi="Candara" w:cstheme="majorBidi"/>
      <w:szCs w:val="22"/>
      <w:lang w:eastAsia="en-US" w:bidi="en-US"/>
    </w:rPr>
  </w:style>
  <w:style w:type="paragraph" w:customStyle="1" w:styleId="PBACHeading10">
    <w:name w:val="PBAC Heading 1"/>
    <w:qFormat/>
    <w:rsid w:val="00695E3D"/>
    <w:pPr>
      <w:ind w:left="720" w:hanging="720"/>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6226CE"/>
    <w:rPr>
      <w:sz w:val="20"/>
    </w:rPr>
  </w:style>
  <w:style w:type="character" w:customStyle="1" w:styleId="FootnoteTextChar">
    <w:name w:val="Footnote Text Char"/>
    <w:basedOn w:val="DefaultParagraphFont"/>
    <w:link w:val="FootnoteText"/>
    <w:semiHidden/>
    <w:rsid w:val="006226CE"/>
    <w:rPr>
      <w:rFonts w:ascii="Arial" w:hAnsi="Arial" w:cs="Arial"/>
      <w:snapToGrid w:val="0"/>
      <w:lang w:eastAsia="en-US"/>
    </w:rPr>
  </w:style>
  <w:style w:type="character" w:styleId="FootnoteReference">
    <w:name w:val="footnote reference"/>
    <w:basedOn w:val="DefaultParagraphFont"/>
    <w:semiHidden/>
    <w:unhideWhenUsed/>
    <w:rsid w:val="006226CE"/>
    <w:rPr>
      <w:vertAlign w:val="superscript"/>
    </w:rPr>
  </w:style>
  <w:style w:type="table" w:customStyle="1" w:styleId="TableGrid17">
    <w:name w:val="Table Grid17"/>
    <w:basedOn w:val="TableNormal"/>
    <w:next w:val="TableGrid"/>
    <w:uiPriority w:val="59"/>
    <w:rsid w:val="00443632"/>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FollowedHyperlink">
    <w:name w:val="FollowedHyperlink"/>
    <w:basedOn w:val="DefaultParagraphFont"/>
    <w:semiHidden/>
    <w:unhideWhenUsed/>
    <w:rsid w:val="00D6622E"/>
    <w:rPr>
      <w:color w:val="800080" w:themeColor="followedHyperlink"/>
      <w:u w:val="single"/>
    </w:rPr>
  </w:style>
  <w:style w:type="paragraph" w:styleId="ListBullet">
    <w:name w:val="List Bullet"/>
    <w:basedOn w:val="Normal"/>
    <w:autoRedefine/>
    <w:rsid w:val="001F30ED"/>
    <w:pPr>
      <w:widowControl/>
      <w:jc w:val="left"/>
    </w:pPr>
    <w:rPr>
      <w:rFonts w:ascii="Arial Narrow" w:hAnsi="Arial Narrow"/>
      <w:sz w:val="20"/>
    </w:rPr>
  </w:style>
  <w:style w:type="character" w:customStyle="1" w:styleId="ListParagraphChar">
    <w:name w:val="List Paragraph Char"/>
    <w:link w:val="ListParagraph"/>
    <w:uiPriority w:val="72"/>
    <w:rsid w:val="006F5CEE"/>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42142">
      <w:bodyDiv w:val="1"/>
      <w:marLeft w:val="0"/>
      <w:marRight w:val="0"/>
      <w:marTop w:val="0"/>
      <w:marBottom w:val="0"/>
      <w:divBdr>
        <w:top w:val="none" w:sz="0" w:space="0" w:color="auto"/>
        <w:left w:val="none" w:sz="0" w:space="0" w:color="auto"/>
        <w:bottom w:val="none" w:sz="0" w:space="0" w:color="auto"/>
        <w:right w:val="none" w:sz="0" w:space="0" w:color="auto"/>
      </w:divBdr>
    </w:div>
    <w:div w:id="975792632">
      <w:bodyDiv w:val="1"/>
      <w:marLeft w:val="0"/>
      <w:marRight w:val="0"/>
      <w:marTop w:val="0"/>
      <w:marBottom w:val="0"/>
      <w:divBdr>
        <w:top w:val="none" w:sz="0" w:space="0" w:color="auto"/>
        <w:left w:val="none" w:sz="0" w:space="0" w:color="auto"/>
        <w:bottom w:val="none" w:sz="0" w:space="0" w:color="auto"/>
        <w:right w:val="none" w:sz="0" w:space="0" w:color="auto"/>
      </w:divBdr>
    </w:div>
    <w:div w:id="1141267922">
      <w:bodyDiv w:val="1"/>
      <w:marLeft w:val="0"/>
      <w:marRight w:val="0"/>
      <w:marTop w:val="0"/>
      <w:marBottom w:val="0"/>
      <w:divBdr>
        <w:top w:val="none" w:sz="0" w:space="0" w:color="auto"/>
        <w:left w:val="none" w:sz="0" w:space="0" w:color="auto"/>
        <w:bottom w:val="none" w:sz="0" w:space="0" w:color="auto"/>
        <w:right w:val="none" w:sz="0" w:space="0" w:color="auto"/>
      </w:divBdr>
      <w:divsChild>
        <w:div w:id="1039476697">
          <w:marLeft w:val="0"/>
          <w:marRight w:val="0"/>
          <w:marTop w:val="240"/>
          <w:marBottom w:val="480"/>
          <w:divBdr>
            <w:top w:val="none" w:sz="0" w:space="0" w:color="auto"/>
            <w:left w:val="none" w:sz="0" w:space="0" w:color="auto"/>
            <w:bottom w:val="none" w:sz="0" w:space="0" w:color="auto"/>
            <w:right w:val="none" w:sz="0" w:space="0" w:color="auto"/>
          </w:divBdr>
          <w:divsChild>
            <w:div w:id="2072848068">
              <w:marLeft w:val="0"/>
              <w:marRight w:val="0"/>
              <w:marTop w:val="0"/>
              <w:marBottom w:val="0"/>
              <w:divBdr>
                <w:top w:val="none" w:sz="0" w:space="0" w:color="auto"/>
                <w:left w:val="none" w:sz="0" w:space="0" w:color="auto"/>
                <w:bottom w:val="none" w:sz="0" w:space="0" w:color="auto"/>
                <w:right w:val="none" w:sz="0" w:space="0" w:color="auto"/>
              </w:divBdr>
              <w:divsChild>
                <w:div w:id="440300235">
                  <w:marLeft w:val="0"/>
                  <w:marRight w:val="0"/>
                  <w:marTop w:val="0"/>
                  <w:marBottom w:val="0"/>
                  <w:divBdr>
                    <w:top w:val="none" w:sz="0" w:space="0" w:color="auto"/>
                    <w:left w:val="none" w:sz="0" w:space="0" w:color="auto"/>
                    <w:bottom w:val="none" w:sz="0" w:space="0" w:color="auto"/>
                    <w:right w:val="none" w:sz="0" w:space="0" w:color="auto"/>
                  </w:divBdr>
                  <w:divsChild>
                    <w:div w:id="1757634531">
                      <w:marLeft w:val="0"/>
                      <w:marRight w:val="0"/>
                      <w:marTop w:val="0"/>
                      <w:marBottom w:val="0"/>
                      <w:divBdr>
                        <w:top w:val="none" w:sz="0" w:space="0" w:color="auto"/>
                        <w:left w:val="none" w:sz="0" w:space="0" w:color="auto"/>
                        <w:bottom w:val="none" w:sz="0" w:space="0" w:color="auto"/>
                        <w:right w:val="none" w:sz="0" w:space="0" w:color="auto"/>
                      </w:divBdr>
                      <w:divsChild>
                        <w:div w:id="2101101929">
                          <w:marLeft w:val="0"/>
                          <w:marRight w:val="0"/>
                          <w:marTop w:val="0"/>
                          <w:marBottom w:val="0"/>
                          <w:divBdr>
                            <w:top w:val="none" w:sz="0" w:space="0" w:color="auto"/>
                            <w:left w:val="none" w:sz="0" w:space="0" w:color="auto"/>
                            <w:bottom w:val="none" w:sz="0" w:space="0" w:color="auto"/>
                            <w:right w:val="none" w:sz="0" w:space="0" w:color="auto"/>
                          </w:divBdr>
                          <w:divsChild>
                            <w:div w:id="12925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20019">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5654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A3F9E-DD11-414C-B452-7BF5C8F5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6483</Words>
  <Characters>37862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7.01 apremilast</vt:lpstr>
    </vt:vector>
  </TitlesOfParts>
  <LinksUpToDate>false</LinksUpToDate>
  <CharactersWithSpaces>44257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7.01 apremilast</dc:title>
  <dc:creator/>
  <cp:lastModifiedBy/>
  <cp:revision>1</cp:revision>
  <dcterms:created xsi:type="dcterms:W3CDTF">2016-02-24T03:59:00Z</dcterms:created>
  <dcterms:modified xsi:type="dcterms:W3CDTF">2016-02-26T02:25:00Z</dcterms:modified>
</cp:coreProperties>
</file>