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39" w:rsidRDefault="005075FE" w:rsidP="00713488">
      <w:pPr>
        <w:pStyle w:val="Heading1"/>
        <w:rPr>
          <w:sz w:val="28"/>
        </w:rPr>
      </w:pPr>
      <w:bookmarkStart w:id="0" w:name="_Toc429660424"/>
      <w:bookmarkStart w:id="1" w:name="_Toc341702043"/>
      <w:bookmarkStart w:id="2" w:name="_Toc380742621"/>
      <w:bookmarkStart w:id="3" w:name="_Toc380746188"/>
      <w:bookmarkStart w:id="4" w:name="_Toc380746314"/>
      <w:bookmarkStart w:id="5" w:name="_Toc380746595"/>
      <w:r>
        <w:rPr>
          <w:sz w:val="28"/>
        </w:rPr>
        <w:t>5.01</w:t>
      </w:r>
      <w:r w:rsidR="00713488" w:rsidRPr="00207D00">
        <w:rPr>
          <w:sz w:val="28"/>
        </w:rPr>
        <w:tab/>
      </w:r>
      <w:r w:rsidR="00713488">
        <w:rPr>
          <w:sz w:val="28"/>
        </w:rPr>
        <w:t>Armodafinil</w:t>
      </w:r>
      <w:r w:rsidR="00713488" w:rsidRPr="00207D00">
        <w:rPr>
          <w:sz w:val="28"/>
        </w:rPr>
        <w:t xml:space="preserve"> </w:t>
      </w:r>
    </w:p>
    <w:p w:rsidR="00656D39" w:rsidRDefault="00713488" w:rsidP="00656D39">
      <w:pPr>
        <w:pStyle w:val="Heading1"/>
        <w:ind w:firstLine="0"/>
        <w:rPr>
          <w:sz w:val="28"/>
        </w:rPr>
      </w:pPr>
      <w:r>
        <w:rPr>
          <w:caps w:val="0"/>
          <w:sz w:val="28"/>
        </w:rPr>
        <w:t>table</w:t>
      </w:r>
      <w:r w:rsidR="005A330B">
        <w:rPr>
          <w:caps w:val="0"/>
          <w:sz w:val="28"/>
        </w:rPr>
        <w:t>t</w:t>
      </w:r>
      <w:r>
        <w:rPr>
          <w:caps w:val="0"/>
          <w:sz w:val="28"/>
        </w:rPr>
        <w:t>s</w:t>
      </w:r>
      <w:r w:rsidRPr="00207D00">
        <w:rPr>
          <w:sz w:val="28"/>
        </w:rPr>
        <w:t xml:space="preserve">, </w:t>
      </w:r>
      <w:r>
        <w:rPr>
          <w:caps w:val="0"/>
          <w:sz w:val="28"/>
        </w:rPr>
        <w:t>50mg, 150mg and 250mg</w:t>
      </w:r>
      <w:r w:rsidRPr="00207D00">
        <w:rPr>
          <w:sz w:val="28"/>
        </w:rPr>
        <w:t xml:space="preserve">, </w:t>
      </w:r>
    </w:p>
    <w:p w:rsidR="00713488" w:rsidRDefault="00713488" w:rsidP="00656D39">
      <w:pPr>
        <w:pStyle w:val="Heading1"/>
        <w:ind w:firstLine="0"/>
        <w:rPr>
          <w:caps w:val="0"/>
          <w:sz w:val="28"/>
        </w:rPr>
      </w:pPr>
      <w:r>
        <w:rPr>
          <w:caps w:val="0"/>
          <w:sz w:val="28"/>
        </w:rPr>
        <w:t>N</w:t>
      </w:r>
      <w:r w:rsidR="0095552B">
        <w:rPr>
          <w:caps w:val="0"/>
          <w:sz w:val="28"/>
        </w:rPr>
        <w:t>u</w:t>
      </w:r>
      <w:r>
        <w:rPr>
          <w:caps w:val="0"/>
          <w:sz w:val="28"/>
        </w:rPr>
        <w:t>vigil</w:t>
      </w:r>
      <w:r w:rsidRPr="00207D00">
        <w:rPr>
          <w:sz w:val="28"/>
          <w:vertAlign w:val="superscript"/>
        </w:rPr>
        <w:t>®</w:t>
      </w:r>
      <w:r w:rsidRPr="00207D00">
        <w:rPr>
          <w:sz w:val="28"/>
        </w:rPr>
        <w:t xml:space="preserve">, </w:t>
      </w:r>
      <w:r>
        <w:rPr>
          <w:caps w:val="0"/>
          <w:sz w:val="28"/>
        </w:rPr>
        <w:t>TEVA Pharma Australia Pty Ltd</w:t>
      </w:r>
      <w:bookmarkEnd w:id="0"/>
    </w:p>
    <w:p w:rsidR="00713488" w:rsidRDefault="00713488" w:rsidP="00713488"/>
    <w:p w:rsidR="00713488" w:rsidRDefault="00713488" w:rsidP="00713488"/>
    <w:p w:rsidR="00713488" w:rsidRPr="00407F2D" w:rsidRDefault="00713488" w:rsidP="00713488">
      <w:pPr>
        <w:pStyle w:val="PBACHeading1"/>
      </w:pPr>
      <w:bookmarkStart w:id="6" w:name="_Toc429660426"/>
      <w:r w:rsidRPr="00407F2D">
        <w:t>Purpose of Application</w:t>
      </w:r>
      <w:bookmarkEnd w:id="6"/>
    </w:p>
    <w:p w:rsidR="00713488" w:rsidRPr="00882085" w:rsidRDefault="00713488" w:rsidP="00713488">
      <w:pPr>
        <w:rPr>
          <w:szCs w:val="22"/>
        </w:rPr>
      </w:pPr>
    </w:p>
    <w:p w:rsidR="00713488" w:rsidRPr="00B50DB8" w:rsidRDefault="00713488" w:rsidP="00713488">
      <w:pPr>
        <w:pStyle w:val="ListParagraph"/>
        <w:widowControl/>
        <w:numPr>
          <w:ilvl w:val="1"/>
          <w:numId w:val="10"/>
        </w:numPr>
        <w:rPr>
          <w:szCs w:val="22"/>
        </w:rPr>
      </w:pPr>
      <w:r>
        <w:t>The submission sought an Authority Required listing on the General Schedule for armodafinil for treatment of excessive daytime sleepiness associated with narcolepsy.</w:t>
      </w:r>
    </w:p>
    <w:p w:rsidR="00713488" w:rsidRDefault="00713488" w:rsidP="00713488"/>
    <w:p w:rsidR="005075FE" w:rsidRDefault="005075FE">
      <w:pPr>
        <w:widowControl/>
        <w:jc w:val="left"/>
      </w:pPr>
    </w:p>
    <w:p w:rsidR="00713488" w:rsidRPr="00407F2D" w:rsidRDefault="00713488" w:rsidP="00713488">
      <w:pPr>
        <w:pStyle w:val="PBACHeading1"/>
      </w:pPr>
      <w:bookmarkStart w:id="7" w:name="_Toc429660427"/>
      <w:r w:rsidRPr="00407F2D">
        <w:t>Requested listing</w:t>
      </w:r>
      <w:bookmarkEnd w:id="7"/>
    </w:p>
    <w:p w:rsidR="00713488" w:rsidRPr="00882085" w:rsidRDefault="00713488" w:rsidP="00713488"/>
    <w:p w:rsidR="00713488" w:rsidRPr="008E386A" w:rsidRDefault="00AD76C7" w:rsidP="00AD76C7">
      <w:pPr>
        <w:pStyle w:val="ListParagraph"/>
        <w:widowControl/>
        <w:numPr>
          <w:ilvl w:val="1"/>
          <w:numId w:val="10"/>
        </w:numPr>
        <w:rPr>
          <w:szCs w:val="22"/>
        </w:rPr>
      </w:pPr>
      <w:r w:rsidRPr="008E386A">
        <w:t xml:space="preserve">The restrictions have been reformatted by the Secretariat to comply with requirements for entry into the PBS database. </w:t>
      </w:r>
      <w:r w:rsidR="00713488" w:rsidRPr="008E386A">
        <w:t>The requested listings are:</w:t>
      </w:r>
    </w:p>
    <w:p w:rsidR="00713488" w:rsidRDefault="00713488" w:rsidP="00713488"/>
    <w:tbl>
      <w:tblPr>
        <w:tblW w:w="4460" w:type="pct"/>
        <w:tblInd w:w="742" w:type="dxa"/>
        <w:tblCellMar>
          <w:left w:w="28" w:type="dxa"/>
          <w:right w:w="28" w:type="dxa"/>
        </w:tblCellMar>
        <w:tblLook w:val="0000" w:firstRow="0" w:lastRow="0" w:firstColumn="0" w:lastColumn="0" w:noHBand="0" w:noVBand="0"/>
      </w:tblPr>
      <w:tblGrid>
        <w:gridCol w:w="2263"/>
        <w:gridCol w:w="599"/>
        <w:gridCol w:w="906"/>
        <w:gridCol w:w="2037"/>
        <w:gridCol w:w="937"/>
        <w:gridCol w:w="1360"/>
      </w:tblGrid>
      <w:tr w:rsidR="00713488" w:rsidRPr="00A939CD" w:rsidTr="00AD76C7">
        <w:trPr>
          <w:cantSplit/>
          <w:trHeight w:val="471"/>
        </w:trPr>
        <w:tc>
          <w:tcPr>
            <w:tcW w:w="1397" w:type="pct"/>
            <w:tcBorders>
              <w:bottom w:val="single" w:sz="4" w:space="0" w:color="auto"/>
            </w:tcBorders>
          </w:tcPr>
          <w:p w:rsidR="00713488" w:rsidRPr="00207799" w:rsidRDefault="00713488" w:rsidP="008B4C07">
            <w:pPr>
              <w:keepNext/>
              <w:rPr>
                <w:rFonts w:ascii="Arial Narrow" w:hAnsi="Arial Narrow"/>
                <w:sz w:val="20"/>
              </w:rPr>
            </w:pPr>
            <w:r w:rsidRPr="00207799">
              <w:rPr>
                <w:rFonts w:ascii="Arial Narrow" w:hAnsi="Arial Narrow"/>
                <w:sz w:val="20"/>
              </w:rPr>
              <w:t>Name, Restriction,</w:t>
            </w:r>
          </w:p>
          <w:p w:rsidR="00713488" w:rsidRPr="00207799" w:rsidRDefault="00713488" w:rsidP="008B4C07">
            <w:pPr>
              <w:keepNext/>
              <w:rPr>
                <w:rFonts w:ascii="Arial Narrow" w:hAnsi="Arial Narrow"/>
                <w:sz w:val="20"/>
              </w:rPr>
            </w:pPr>
            <w:r w:rsidRPr="00207799">
              <w:rPr>
                <w:rFonts w:ascii="Arial Narrow" w:hAnsi="Arial Narrow"/>
                <w:sz w:val="20"/>
              </w:rPr>
              <w:t>Manner of administration and form</w:t>
            </w:r>
          </w:p>
        </w:tc>
        <w:tc>
          <w:tcPr>
            <w:tcW w:w="370" w:type="pct"/>
            <w:tcBorders>
              <w:bottom w:val="single" w:sz="4" w:space="0" w:color="auto"/>
            </w:tcBorders>
          </w:tcPr>
          <w:p w:rsidR="00713488" w:rsidRPr="00207799" w:rsidRDefault="00713488" w:rsidP="008B4C07">
            <w:pPr>
              <w:keepNext/>
              <w:jc w:val="center"/>
              <w:rPr>
                <w:rFonts w:ascii="Arial Narrow" w:hAnsi="Arial Narrow"/>
                <w:sz w:val="20"/>
              </w:rPr>
            </w:pPr>
            <w:r w:rsidRPr="00207799">
              <w:rPr>
                <w:rFonts w:ascii="Arial Narrow" w:hAnsi="Arial Narrow"/>
                <w:sz w:val="20"/>
              </w:rPr>
              <w:t>Max.</w:t>
            </w:r>
          </w:p>
          <w:p w:rsidR="00713488" w:rsidRPr="00207799" w:rsidRDefault="00713488" w:rsidP="008B4C07">
            <w:pPr>
              <w:keepNext/>
              <w:jc w:val="center"/>
              <w:rPr>
                <w:rFonts w:ascii="Arial Narrow" w:hAnsi="Arial Narrow"/>
                <w:sz w:val="20"/>
              </w:rPr>
            </w:pPr>
            <w:r w:rsidRPr="00207799">
              <w:rPr>
                <w:rFonts w:ascii="Arial Narrow" w:hAnsi="Arial Narrow"/>
                <w:sz w:val="20"/>
              </w:rPr>
              <w:t>Qty</w:t>
            </w:r>
          </w:p>
        </w:tc>
        <w:tc>
          <w:tcPr>
            <w:tcW w:w="559" w:type="pct"/>
            <w:tcBorders>
              <w:bottom w:val="single" w:sz="4" w:space="0" w:color="auto"/>
            </w:tcBorders>
          </w:tcPr>
          <w:p w:rsidR="00713488" w:rsidRPr="00207799" w:rsidRDefault="00713488" w:rsidP="008B4C07">
            <w:pPr>
              <w:keepNext/>
              <w:jc w:val="center"/>
              <w:rPr>
                <w:rFonts w:ascii="Arial Narrow" w:hAnsi="Arial Narrow"/>
                <w:sz w:val="20"/>
              </w:rPr>
            </w:pPr>
            <w:r w:rsidRPr="00207799">
              <w:rPr>
                <w:rFonts w:ascii="Arial Narrow" w:hAnsi="Arial Narrow"/>
                <w:sz w:val="20"/>
              </w:rPr>
              <w:t>№.of</w:t>
            </w:r>
          </w:p>
          <w:p w:rsidR="00713488" w:rsidRPr="00207799" w:rsidRDefault="00713488" w:rsidP="008B4C07">
            <w:pPr>
              <w:keepNext/>
              <w:jc w:val="center"/>
              <w:rPr>
                <w:rFonts w:ascii="Arial Narrow" w:hAnsi="Arial Narrow"/>
                <w:sz w:val="20"/>
              </w:rPr>
            </w:pPr>
            <w:r w:rsidRPr="00207799">
              <w:rPr>
                <w:rFonts w:ascii="Arial Narrow" w:hAnsi="Arial Narrow"/>
                <w:sz w:val="20"/>
              </w:rPr>
              <w:t>Rpts</w:t>
            </w:r>
          </w:p>
        </w:tc>
        <w:tc>
          <w:tcPr>
            <w:tcW w:w="1257" w:type="pct"/>
            <w:tcBorders>
              <w:bottom w:val="single" w:sz="4" w:space="0" w:color="auto"/>
            </w:tcBorders>
          </w:tcPr>
          <w:p w:rsidR="00713488" w:rsidRPr="00207799" w:rsidRDefault="00713488" w:rsidP="008B4C07">
            <w:pPr>
              <w:keepNext/>
              <w:jc w:val="center"/>
              <w:rPr>
                <w:rFonts w:ascii="Arial Narrow" w:hAnsi="Arial Narrow"/>
                <w:sz w:val="20"/>
                <w:vertAlign w:val="superscript"/>
              </w:rPr>
            </w:pPr>
            <w:r w:rsidRPr="00207799">
              <w:rPr>
                <w:rFonts w:ascii="Arial Narrow" w:hAnsi="Arial Narrow"/>
                <w:sz w:val="20"/>
              </w:rPr>
              <w:t>Dispensed Price for Max. Qty</w:t>
            </w:r>
          </w:p>
        </w:tc>
        <w:tc>
          <w:tcPr>
            <w:tcW w:w="1418" w:type="pct"/>
            <w:gridSpan w:val="2"/>
            <w:tcBorders>
              <w:bottom w:val="single" w:sz="4" w:space="0" w:color="auto"/>
            </w:tcBorders>
          </w:tcPr>
          <w:p w:rsidR="00713488" w:rsidRPr="00207799" w:rsidRDefault="00713488" w:rsidP="008B4C07">
            <w:pPr>
              <w:keepNext/>
              <w:jc w:val="center"/>
              <w:rPr>
                <w:rFonts w:ascii="Arial Narrow" w:hAnsi="Arial Narrow"/>
                <w:sz w:val="20"/>
                <w:lang w:val="fr-FR"/>
              </w:rPr>
            </w:pPr>
            <w:r w:rsidRPr="00207799">
              <w:rPr>
                <w:rFonts w:ascii="Arial Narrow" w:hAnsi="Arial Narrow"/>
                <w:sz w:val="20"/>
              </w:rPr>
              <w:t>Proprietary Name and Manufacturer</w:t>
            </w:r>
          </w:p>
        </w:tc>
      </w:tr>
      <w:tr w:rsidR="00713488" w:rsidRPr="00A939CD" w:rsidTr="008B4C07">
        <w:trPr>
          <w:cantSplit/>
          <w:trHeight w:val="577"/>
        </w:trPr>
        <w:tc>
          <w:tcPr>
            <w:tcW w:w="1397" w:type="pct"/>
          </w:tcPr>
          <w:p w:rsidR="00713488" w:rsidRPr="00207799" w:rsidRDefault="00713488" w:rsidP="008B4C07">
            <w:pPr>
              <w:keepNext/>
              <w:rPr>
                <w:rFonts w:ascii="Arial Narrow" w:hAnsi="Arial Narrow"/>
                <w:sz w:val="20"/>
              </w:rPr>
            </w:pPr>
            <w:r w:rsidRPr="00207799">
              <w:rPr>
                <w:rFonts w:ascii="Arial Narrow" w:hAnsi="Arial Narrow"/>
                <w:smallCaps/>
                <w:sz w:val="20"/>
              </w:rPr>
              <w:t xml:space="preserve">Armodafinil 30 oral tablets 50mg, </w:t>
            </w:r>
          </w:p>
          <w:p w:rsidR="00713488" w:rsidRPr="00207799" w:rsidRDefault="00713488" w:rsidP="008B4C07">
            <w:pPr>
              <w:keepNext/>
              <w:rPr>
                <w:rFonts w:ascii="Arial Narrow" w:hAnsi="Arial Narrow"/>
                <w:smallCaps/>
                <w:sz w:val="20"/>
              </w:rPr>
            </w:pPr>
            <w:r w:rsidRPr="00207799">
              <w:rPr>
                <w:rFonts w:ascii="Arial Narrow" w:hAnsi="Arial Narrow"/>
                <w:smallCaps/>
                <w:sz w:val="20"/>
              </w:rPr>
              <w:t>Armodafinil 30 oral tablets 150mg</w:t>
            </w:r>
          </w:p>
          <w:p w:rsidR="00713488" w:rsidRPr="00207799" w:rsidRDefault="00713488" w:rsidP="008B4C07">
            <w:pPr>
              <w:keepNext/>
              <w:rPr>
                <w:rFonts w:ascii="Arial Narrow" w:hAnsi="Arial Narrow"/>
                <w:sz w:val="20"/>
              </w:rPr>
            </w:pPr>
            <w:r w:rsidRPr="00207799">
              <w:rPr>
                <w:rFonts w:ascii="Arial Narrow" w:hAnsi="Arial Narrow"/>
                <w:smallCaps/>
                <w:sz w:val="20"/>
              </w:rPr>
              <w:t>Armodafinil 30 oral tablets 250mg</w:t>
            </w:r>
          </w:p>
        </w:tc>
        <w:tc>
          <w:tcPr>
            <w:tcW w:w="370" w:type="pct"/>
          </w:tcPr>
          <w:p w:rsidR="00713488" w:rsidRPr="00207799" w:rsidRDefault="00713488" w:rsidP="008B4C07">
            <w:pPr>
              <w:keepNext/>
              <w:jc w:val="center"/>
              <w:rPr>
                <w:rFonts w:ascii="Arial Narrow" w:hAnsi="Arial Narrow"/>
                <w:sz w:val="20"/>
              </w:rPr>
            </w:pPr>
            <w:r w:rsidRPr="00207799">
              <w:rPr>
                <w:rFonts w:ascii="Arial Narrow" w:hAnsi="Arial Narrow"/>
                <w:sz w:val="20"/>
              </w:rPr>
              <w:t>2</w:t>
            </w:r>
          </w:p>
          <w:p w:rsidR="00713488" w:rsidRPr="00207799" w:rsidRDefault="00713488" w:rsidP="008B4C07">
            <w:pPr>
              <w:keepNext/>
              <w:jc w:val="center"/>
              <w:rPr>
                <w:rFonts w:ascii="Arial Narrow" w:hAnsi="Arial Narrow"/>
                <w:sz w:val="20"/>
              </w:rPr>
            </w:pPr>
          </w:p>
          <w:p w:rsidR="00713488" w:rsidRPr="00207799" w:rsidRDefault="00713488" w:rsidP="008B4C07">
            <w:pPr>
              <w:keepNext/>
              <w:jc w:val="center"/>
              <w:rPr>
                <w:rFonts w:ascii="Arial Narrow" w:hAnsi="Arial Narrow"/>
                <w:sz w:val="20"/>
              </w:rPr>
            </w:pPr>
            <w:r w:rsidRPr="00207799">
              <w:rPr>
                <w:rFonts w:ascii="Arial Narrow" w:hAnsi="Arial Narrow"/>
                <w:sz w:val="20"/>
              </w:rPr>
              <w:t>1</w:t>
            </w:r>
          </w:p>
          <w:p w:rsidR="00713488" w:rsidRPr="00207799" w:rsidRDefault="00713488" w:rsidP="008B4C07">
            <w:pPr>
              <w:keepNext/>
              <w:jc w:val="center"/>
              <w:rPr>
                <w:rFonts w:ascii="Arial Narrow" w:hAnsi="Arial Narrow"/>
                <w:sz w:val="20"/>
              </w:rPr>
            </w:pPr>
          </w:p>
          <w:p w:rsidR="00713488" w:rsidRPr="00207799" w:rsidRDefault="00713488" w:rsidP="008B4C07">
            <w:pPr>
              <w:keepNext/>
              <w:jc w:val="center"/>
              <w:rPr>
                <w:rFonts w:ascii="Arial Narrow" w:hAnsi="Arial Narrow"/>
                <w:sz w:val="20"/>
              </w:rPr>
            </w:pPr>
            <w:r w:rsidRPr="00207799">
              <w:rPr>
                <w:rFonts w:ascii="Arial Narrow" w:hAnsi="Arial Narrow"/>
                <w:sz w:val="20"/>
              </w:rPr>
              <w:t>1</w:t>
            </w:r>
          </w:p>
        </w:tc>
        <w:tc>
          <w:tcPr>
            <w:tcW w:w="559" w:type="pct"/>
          </w:tcPr>
          <w:p w:rsidR="00713488" w:rsidRPr="00207799" w:rsidRDefault="00713488" w:rsidP="008B4C07">
            <w:pPr>
              <w:keepNext/>
              <w:jc w:val="center"/>
              <w:rPr>
                <w:rFonts w:ascii="Arial Narrow" w:hAnsi="Arial Narrow"/>
                <w:sz w:val="20"/>
              </w:rPr>
            </w:pPr>
            <w:r w:rsidRPr="00207799">
              <w:rPr>
                <w:rFonts w:ascii="Arial Narrow" w:hAnsi="Arial Narrow"/>
                <w:sz w:val="20"/>
              </w:rPr>
              <w:t>5</w:t>
            </w:r>
          </w:p>
          <w:p w:rsidR="00713488" w:rsidRPr="00207799" w:rsidRDefault="00713488" w:rsidP="008B4C07">
            <w:pPr>
              <w:keepNext/>
              <w:jc w:val="center"/>
              <w:rPr>
                <w:rFonts w:ascii="Arial Narrow" w:hAnsi="Arial Narrow"/>
                <w:sz w:val="20"/>
              </w:rPr>
            </w:pPr>
          </w:p>
          <w:p w:rsidR="00713488" w:rsidRPr="00207799" w:rsidRDefault="00713488" w:rsidP="008B4C07">
            <w:pPr>
              <w:keepNext/>
              <w:jc w:val="center"/>
              <w:rPr>
                <w:rFonts w:ascii="Arial Narrow" w:hAnsi="Arial Narrow"/>
                <w:sz w:val="20"/>
              </w:rPr>
            </w:pPr>
            <w:r w:rsidRPr="00207799">
              <w:rPr>
                <w:rFonts w:ascii="Arial Narrow" w:hAnsi="Arial Narrow"/>
                <w:sz w:val="20"/>
              </w:rPr>
              <w:t>5</w:t>
            </w:r>
          </w:p>
          <w:p w:rsidR="00713488" w:rsidRPr="00207799" w:rsidRDefault="00713488" w:rsidP="008B4C07">
            <w:pPr>
              <w:keepNext/>
              <w:jc w:val="center"/>
              <w:rPr>
                <w:rFonts w:ascii="Arial Narrow" w:hAnsi="Arial Narrow"/>
                <w:sz w:val="20"/>
              </w:rPr>
            </w:pPr>
          </w:p>
          <w:p w:rsidR="00713488" w:rsidRPr="00207799" w:rsidRDefault="00713488" w:rsidP="008B4C07">
            <w:pPr>
              <w:keepNext/>
              <w:jc w:val="center"/>
              <w:rPr>
                <w:rFonts w:ascii="Arial Narrow" w:hAnsi="Arial Narrow"/>
                <w:sz w:val="20"/>
              </w:rPr>
            </w:pPr>
            <w:r w:rsidRPr="00207799">
              <w:rPr>
                <w:rFonts w:ascii="Arial Narrow" w:hAnsi="Arial Narrow"/>
                <w:sz w:val="20"/>
              </w:rPr>
              <w:t>5</w:t>
            </w:r>
          </w:p>
        </w:tc>
        <w:tc>
          <w:tcPr>
            <w:tcW w:w="1257" w:type="pct"/>
          </w:tcPr>
          <w:p w:rsidR="00713488" w:rsidRPr="00207799" w:rsidRDefault="00713488" w:rsidP="008B4C07">
            <w:pPr>
              <w:keepNext/>
              <w:jc w:val="center"/>
              <w:rPr>
                <w:rFonts w:ascii="Arial Narrow" w:hAnsi="Arial Narrow"/>
                <w:sz w:val="20"/>
              </w:rPr>
            </w:pPr>
            <w:r w:rsidRPr="00207799">
              <w:rPr>
                <w:rFonts w:ascii="Arial Narrow" w:hAnsi="Arial Narrow"/>
                <w:sz w:val="20"/>
              </w:rPr>
              <w:t>$</w:t>
            </w:r>
            <w:r w:rsidR="00770D3D">
              <w:rPr>
                <w:rFonts w:ascii="Arial Narrow" w:hAnsi="Arial Narrow"/>
                <w:noProof/>
                <w:color w:val="000000"/>
                <w:sz w:val="20"/>
                <w:highlight w:val="black"/>
              </w:rPr>
              <w:t>'''''''''''''''''</w:t>
            </w:r>
            <w:r w:rsidRPr="00207799">
              <w:rPr>
                <w:rFonts w:ascii="Arial Narrow" w:hAnsi="Arial Narrow"/>
                <w:sz w:val="20"/>
              </w:rPr>
              <w:t xml:space="preserve"> </w:t>
            </w:r>
          </w:p>
          <w:p w:rsidR="00713488" w:rsidRPr="00207799" w:rsidRDefault="00713488" w:rsidP="008B4C07">
            <w:pPr>
              <w:keepNext/>
              <w:jc w:val="center"/>
              <w:rPr>
                <w:rFonts w:ascii="Arial Narrow" w:hAnsi="Arial Narrow"/>
                <w:i/>
                <w:sz w:val="20"/>
              </w:rPr>
            </w:pPr>
            <w:r w:rsidRPr="00207799">
              <w:rPr>
                <w:rFonts w:ascii="Arial Narrow" w:hAnsi="Arial Narrow"/>
                <w:i/>
                <w:sz w:val="20"/>
              </w:rPr>
              <w:t>(revised: $</w:t>
            </w:r>
            <w:r w:rsidR="00770D3D">
              <w:rPr>
                <w:rFonts w:ascii="Arial Narrow" w:hAnsi="Arial Narrow"/>
                <w:i/>
                <w:noProof/>
                <w:color w:val="000000"/>
                <w:sz w:val="20"/>
                <w:highlight w:val="black"/>
              </w:rPr>
              <w:t>''''''''''''''''''</w:t>
            </w:r>
            <w:r w:rsidRPr="00207799">
              <w:rPr>
                <w:rFonts w:ascii="Arial Narrow" w:hAnsi="Arial Narrow"/>
                <w:i/>
                <w:sz w:val="20"/>
              </w:rPr>
              <w:t>)</w:t>
            </w:r>
          </w:p>
          <w:p w:rsidR="00713488" w:rsidRPr="00207799" w:rsidRDefault="00713488" w:rsidP="008B4C07">
            <w:pPr>
              <w:keepNext/>
              <w:jc w:val="center"/>
              <w:rPr>
                <w:rFonts w:ascii="Arial Narrow" w:hAnsi="Arial Narrow"/>
                <w:sz w:val="20"/>
              </w:rPr>
            </w:pPr>
            <w:r w:rsidRPr="00207799">
              <w:rPr>
                <w:rFonts w:ascii="Arial Narrow" w:hAnsi="Arial Narrow"/>
                <w:sz w:val="20"/>
              </w:rPr>
              <w:t>$</w:t>
            </w:r>
            <w:r w:rsidR="00770D3D">
              <w:rPr>
                <w:rFonts w:ascii="Arial Narrow" w:hAnsi="Arial Narrow"/>
                <w:noProof/>
                <w:color w:val="000000"/>
                <w:sz w:val="20"/>
                <w:highlight w:val="black"/>
              </w:rPr>
              <w:t>'''''''''''''''''</w:t>
            </w:r>
            <w:r w:rsidRPr="00207799">
              <w:rPr>
                <w:rFonts w:ascii="Arial Narrow" w:hAnsi="Arial Narrow"/>
                <w:sz w:val="20"/>
                <w:vertAlign w:val="superscript"/>
              </w:rPr>
              <w:t>a</w:t>
            </w:r>
          </w:p>
          <w:p w:rsidR="00713488" w:rsidRPr="00207799" w:rsidRDefault="00713488" w:rsidP="008B4C07">
            <w:pPr>
              <w:keepNext/>
              <w:jc w:val="center"/>
              <w:rPr>
                <w:rFonts w:ascii="Arial Narrow" w:hAnsi="Arial Narrow"/>
                <w:i/>
                <w:sz w:val="20"/>
              </w:rPr>
            </w:pPr>
            <w:r w:rsidRPr="00207799">
              <w:rPr>
                <w:rFonts w:ascii="Arial Narrow" w:hAnsi="Arial Narrow"/>
                <w:i/>
                <w:sz w:val="20"/>
              </w:rPr>
              <w:t>(</w:t>
            </w:r>
            <w:r w:rsidR="007D06AB">
              <w:rPr>
                <w:rFonts w:ascii="Arial Narrow" w:hAnsi="Arial Narrow"/>
                <w:i/>
                <w:sz w:val="20"/>
              </w:rPr>
              <w:t>r</w:t>
            </w:r>
            <w:r w:rsidRPr="00207799">
              <w:rPr>
                <w:rFonts w:ascii="Arial Narrow" w:hAnsi="Arial Narrow"/>
                <w:i/>
                <w:sz w:val="20"/>
              </w:rPr>
              <w:t>evised: $</w:t>
            </w:r>
            <w:r w:rsidR="00770D3D">
              <w:rPr>
                <w:rFonts w:ascii="Arial Narrow" w:hAnsi="Arial Narrow"/>
                <w:i/>
                <w:noProof/>
                <w:color w:val="000000"/>
                <w:sz w:val="20"/>
                <w:highlight w:val="black"/>
              </w:rPr>
              <w:t>'''''''''''''''</w:t>
            </w:r>
            <w:r w:rsidRPr="00207799">
              <w:rPr>
                <w:rFonts w:ascii="Arial Narrow" w:hAnsi="Arial Narrow"/>
                <w:i/>
                <w:sz w:val="20"/>
                <w:vertAlign w:val="superscript"/>
              </w:rPr>
              <w:t>b</w:t>
            </w:r>
            <w:r w:rsidRPr="00207799">
              <w:rPr>
                <w:rFonts w:ascii="Arial Narrow" w:hAnsi="Arial Narrow"/>
                <w:i/>
                <w:sz w:val="20"/>
              </w:rPr>
              <w:t>)</w:t>
            </w:r>
          </w:p>
          <w:p w:rsidR="00713488" w:rsidRPr="00207799" w:rsidRDefault="00713488" w:rsidP="008B4C07">
            <w:pPr>
              <w:keepNext/>
              <w:jc w:val="center"/>
              <w:rPr>
                <w:rFonts w:ascii="Arial Narrow" w:hAnsi="Arial Narrow"/>
                <w:sz w:val="20"/>
                <w:vertAlign w:val="superscript"/>
              </w:rPr>
            </w:pPr>
            <w:r w:rsidRPr="00207799">
              <w:rPr>
                <w:rFonts w:ascii="Arial Narrow" w:hAnsi="Arial Narrow"/>
                <w:sz w:val="20"/>
              </w:rPr>
              <w:t>$</w:t>
            </w:r>
            <w:r w:rsidR="00770D3D">
              <w:rPr>
                <w:rFonts w:ascii="Arial Narrow" w:hAnsi="Arial Narrow"/>
                <w:noProof/>
                <w:color w:val="000000"/>
                <w:sz w:val="20"/>
                <w:highlight w:val="black"/>
              </w:rPr>
              <w:t>''''''''''''''''</w:t>
            </w:r>
            <w:r w:rsidRPr="00207799">
              <w:rPr>
                <w:rFonts w:ascii="Arial Narrow" w:hAnsi="Arial Narrow"/>
                <w:sz w:val="20"/>
                <w:vertAlign w:val="superscript"/>
              </w:rPr>
              <w:t>a</w:t>
            </w:r>
          </w:p>
          <w:p w:rsidR="00713488" w:rsidRPr="00207799" w:rsidRDefault="00713488" w:rsidP="007D06AB">
            <w:pPr>
              <w:keepNext/>
              <w:jc w:val="center"/>
              <w:rPr>
                <w:rFonts w:ascii="Arial Narrow" w:hAnsi="Arial Narrow"/>
                <w:i/>
                <w:sz w:val="20"/>
              </w:rPr>
            </w:pPr>
            <w:r w:rsidRPr="00207799">
              <w:rPr>
                <w:rFonts w:ascii="Arial Narrow" w:hAnsi="Arial Narrow"/>
                <w:i/>
                <w:sz w:val="20"/>
              </w:rPr>
              <w:t>(</w:t>
            </w:r>
            <w:r w:rsidR="007D06AB">
              <w:rPr>
                <w:rFonts w:ascii="Arial Narrow" w:hAnsi="Arial Narrow"/>
                <w:i/>
                <w:sz w:val="20"/>
              </w:rPr>
              <w:t>r</w:t>
            </w:r>
            <w:r w:rsidRPr="00207799">
              <w:rPr>
                <w:rFonts w:ascii="Arial Narrow" w:hAnsi="Arial Narrow"/>
                <w:i/>
                <w:sz w:val="20"/>
              </w:rPr>
              <w:t>evised: $</w:t>
            </w:r>
            <w:r w:rsidR="00770D3D">
              <w:rPr>
                <w:rFonts w:ascii="Arial Narrow" w:hAnsi="Arial Narrow"/>
                <w:i/>
                <w:noProof/>
                <w:color w:val="000000"/>
                <w:sz w:val="20"/>
                <w:highlight w:val="black"/>
              </w:rPr>
              <w:t>'''''''''''''''</w:t>
            </w:r>
            <w:r w:rsidRPr="00207799">
              <w:rPr>
                <w:rFonts w:ascii="Arial Narrow" w:hAnsi="Arial Narrow"/>
                <w:i/>
                <w:sz w:val="20"/>
                <w:vertAlign w:val="superscript"/>
              </w:rPr>
              <w:t>b</w:t>
            </w:r>
            <w:r w:rsidRPr="00207799">
              <w:rPr>
                <w:rFonts w:ascii="Arial Narrow" w:hAnsi="Arial Narrow"/>
                <w:i/>
                <w:sz w:val="20"/>
              </w:rPr>
              <w:t>)</w:t>
            </w:r>
          </w:p>
        </w:tc>
        <w:tc>
          <w:tcPr>
            <w:tcW w:w="578" w:type="pct"/>
          </w:tcPr>
          <w:p w:rsidR="00713488" w:rsidRPr="00207799" w:rsidRDefault="00713488" w:rsidP="008B4C07">
            <w:pPr>
              <w:keepNext/>
              <w:jc w:val="center"/>
              <w:rPr>
                <w:rFonts w:ascii="Arial Narrow" w:hAnsi="Arial Narrow"/>
                <w:sz w:val="20"/>
              </w:rPr>
            </w:pPr>
            <w:r w:rsidRPr="00207799">
              <w:rPr>
                <w:rFonts w:ascii="Arial Narrow" w:hAnsi="Arial Narrow"/>
                <w:sz w:val="20"/>
              </w:rPr>
              <w:t>Nuvigil</w:t>
            </w:r>
            <w:r w:rsidRPr="00207799">
              <w:rPr>
                <w:rFonts w:ascii="Arial Narrow" w:hAnsi="Arial Narrow"/>
                <w:sz w:val="20"/>
                <w:vertAlign w:val="superscript"/>
              </w:rPr>
              <w:t>®</w:t>
            </w:r>
          </w:p>
        </w:tc>
        <w:tc>
          <w:tcPr>
            <w:tcW w:w="839" w:type="pct"/>
          </w:tcPr>
          <w:p w:rsidR="00713488" w:rsidRPr="00207799" w:rsidRDefault="00713488" w:rsidP="008B4C07">
            <w:pPr>
              <w:keepNext/>
              <w:jc w:val="center"/>
              <w:rPr>
                <w:rFonts w:ascii="Arial Narrow" w:hAnsi="Arial Narrow"/>
                <w:sz w:val="20"/>
              </w:rPr>
            </w:pPr>
            <w:r w:rsidRPr="00207799">
              <w:rPr>
                <w:rFonts w:ascii="Arial Narrow" w:hAnsi="Arial Narrow"/>
                <w:sz w:val="20"/>
              </w:rPr>
              <w:t>TEVA</w:t>
            </w:r>
          </w:p>
        </w:tc>
      </w:tr>
    </w:tbl>
    <w:p w:rsidR="00AD76C7" w:rsidRDefault="00AD76C7" w:rsidP="00713488">
      <w:pPr>
        <w:ind w:left="720"/>
        <w:rPr>
          <w:rFonts w:ascii="Arial Narrow" w:hAnsi="Arial Narrow"/>
          <w:sz w:val="18"/>
          <w:szCs w:val="18"/>
          <w:vertAlign w:val="superscript"/>
        </w:rPr>
      </w:pPr>
    </w:p>
    <w:p w:rsidR="00713488" w:rsidRDefault="00713488" w:rsidP="00713488">
      <w:pPr>
        <w:ind w:left="720"/>
        <w:rPr>
          <w:rFonts w:ascii="Arial Narrow" w:hAnsi="Arial Narrow"/>
          <w:sz w:val="18"/>
          <w:szCs w:val="18"/>
        </w:rPr>
      </w:pPr>
      <w:r w:rsidRPr="00971E7E">
        <w:rPr>
          <w:rFonts w:ascii="Arial Narrow" w:hAnsi="Arial Narrow"/>
          <w:sz w:val="18"/>
          <w:szCs w:val="18"/>
          <w:vertAlign w:val="superscript"/>
        </w:rPr>
        <w:t>a</w:t>
      </w:r>
      <w:r>
        <w:rPr>
          <w:rFonts w:ascii="Arial Narrow" w:hAnsi="Arial Narrow"/>
          <w:sz w:val="18"/>
          <w:szCs w:val="18"/>
          <w:vertAlign w:val="superscript"/>
        </w:rPr>
        <w:t xml:space="preserve"> </w:t>
      </w:r>
      <w:r w:rsidRPr="00971E7E">
        <w:rPr>
          <w:rFonts w:ascii="Arial Narrow" w:hAnsi="Arial Narrow"/>
          <w:sz w:val="18"/>
          <w:szCs w:val="18"/>
        </w:rPr>
        <w:t>Based on June 2015 mark-ups and dispensing fees</w:t>
      </w:r>
    </w:p>
    <w:p w:rsidR="00713488" w:rsidRPr="00E7336D" w:rsidRDefault="00713488" w:rsidP="00713488">
      <w:pPr>
        <w:ind w:left="720"/>
        <w:rPr>
          <w:rFonts w:ascii="Arial Narrow" w:hAnsi="Arial Narrow"/>
          <w:i/>
          <w:sz w:val="18"/>
          <w:szCs w:val="18"/>
        </w:rPr>
      </w:pPr>
      <w:r w:rsidRPr="00E7336D">
        <w:rPr>
          <w:rFonts w:ascii="Arial Narrow" w:hAnsi="Arial Narrow"/>
          <w:i/>
          <w:sz w:val="18"/>
          <w:szCs w:val="18"/>
          <w:vertAlign w:val="superscript"/>
        </w:rPr>
        <w:t>b</w:t>
      </w:r>
      <w:r w:rsidRPr="00E7336D">
        <w:rPr>
          <w:rFonts w:ascii="Arial Narrow" w:hAnsi="Arial Narrow"/>
          <w:i/>
          <w:sz w:val="18"/>
          <w:szCs w:val="18"/>
        </w:rPr>
        <w:t xml:space="preserve"> Based on the updated mark-ups and dispensing fees (effective in July 2015)</w:t>
      </w:r>
    </w:p>
    <w:p w:rsidR="00713488" w:rsidRPr="00A56CF9" w:rsidRDefault="00713488" w:rsidP="00713488">
      <w:pPr>
        <w:ind w:left="720"/>
        <w:rPr>
          <w:rFonts w:ascii="Arial Narrow" w:hAnsi="Arial Narrow"/>
          <w:sz w:val="18"/>
          <w:szCs w:val="18"/>
        </w:rPr>
      </w:pPr>
      <w:r w:rsidRPr="00A56CF9">
        <w:rPr>
          <w:rFonts w:ascii="Arial Narrow" w:hAnsi="Arial Narrow"/>
          <w:sz w:val="18"/>
          <w:szCs w:val="18"/>
        </w:rPr>
        <w:t xml:space="preserve">Similar details </w:t>
      </w:r>
      <w:r>
        <w:rPr>
          <w:rFonts w:ascii="Arial Narrow" w:hAnsi="Arial Narrow"/>
          <w:sz w:val="18"/>
          <w:szCs w:val="18"/>
        </w:rPr>
        <w:t>were</w:t>
      </w:r>
      <w:r w:rsidRPr="00A56CF9">
        <w:rPr>
          <w:rFonts w:ascii="Arial Narrow" w:hAnsi="Arial Narrow"/>
          <w:sz w:val="18"/>
          <w:szCs w:val="18"/>
        </w:rPr>
        <w:t xml:space="preserve"> presented for maintenance/continuation in the submission</w:t>
      </w:r>
    </w:p>
    <w:p w:rsidR="00713488" w:rsidRDefault="00713488" w:rsidP="00713488"/>
    <w:tbl>
      <w:tblPr>
        <w:tblW w:w="8363" w:type="dxa"/>
        <w:tblInd w:w="817" w:type="dxa"/>
        <w:tblLayout w:type="fixed"/>
        <w:tblLook w:val="04A0" w:firstRow="1" w:lastRow="0" w:firstColumn="1" w:lastColumn="0" w:noHBand="0" w:noVBand="1"/>
      </w:tblPr>
      <w:tblGrid>
        <w:gridCol w:w="2835"/>
        <w:gridCol w:w="5528"/>
      </w:tblGrid>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Category / Program</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GENERAL – General Schedule (Code GE)</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76C7" w:rsidRDefault="00AD76C7">
            <w:pPr>
              <w:widowControl/>
              <w:rPr>
                <w:rFonts w:ascii="Arial Narrow" w:hAnsi="Arial Narrow"/>
                <w:b/>
                <w:sz w:val="20"/>
                <w:lang w:eastAsia="en-AU"/>
              </w:rPr>
            </w:pPr>
            <w:r>
              <w:rPr>
                <w:rFonts w:ascii="Arial Narrow" w:hAnsi="Arial Narrow"/>
                <w:b/>
                <w:sz w:val="20"/>
                <w:lang w:eastAsia="en-AU"/>
              </w:rPr>
              <w:t>Prescriber type:</w:t>
            </w:r>
          </w:p>
          <w:p w:rsidR="00AD76C7" w:rsidRDefault="00AD76C7">
            <w:pPr>
              <w:widowControl/>
              <w:snapToGrid w:val="0"/>
              <w:rPr>
                <w:rFonts w:ascii="Arial Narrow" w:hAnsi="Arial Narrow"/>
                <w:b/>
                <w:sz w:val="20"/>
                <w:lang w:eastAsia="en-AU"/>
              </w:rPr>
            </w:pP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rsidP="00AD76C7">
            <w:pPr>
              <w:widowControl/>
              <w:jc w:val="left"/>
              <w:rPr>
                <w:rFonts w:ascii="Arial Narrow" w:hAnsi="Arial Narrow"/>
                <w:sz w:val="20"/>
                <w:lang w:eastAsia="en-AU"/>
              </w:rPr>
            </w:pPr>
            <w:r>
              <w:rPr>
                <w:rFonts w:ascii="Arial Narrow" w:hAnsi="Arial Narrow"/>
                <w:sz w:val="20"/>
                <w:lang w:eastAsia="en-AU"/>
              </w:rPr>
              <w:fldChar w:fldCharType="begin">
                <w:ffData>
                  <w:name w:val="Check1"/>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 xml:space="preserve">Dental  </w:t>
            </w:r>
            <w:r>
              <w:rPr>
                <w:rFonts w:ascii="Arial Narrow" w:hAnsi="Arial Narrow"/>
                <w:sz w:val="20"/>
                <w:lang w:eastAsia="en-AU"/>
              </w:rPr>
              <w:fldChar w:fldCharType="begin">
                <w:ffData>
                  <w:name w:val=""/>
                  <w:enabled/>
                  <w:calcOnExit w:val="0"/>
                  <w:checkBox>
                    <w:sizeAuto/>
                    <w:default w:val="1"/>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 xml:space="preserve">Medical Practitioners  </w:t>
            </w:r>
            <w:r>
              <w:rPr>
                <w:rFonts w:ascii="Arial Narrow" w:hAnsi="Arial Narrow"/>
                <w:sz w:val="20"/>
                <w:lang w:eastAsia="en-AU"/>
              </w:rPr>
              <w:fldChar w:fldCharType="begin">
                <w:ffData>
                  <w:name w:val="Check3"/>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 xml:space="preserve">Nurse practitioners  </w:t>
            </w:r>
            <w:r>
              <w:rPr>
                <w:rFonts w:ascii="Arial Narrow" w:hAnsi="Arial Narrow"/>
                <w:sz w:val="20"/>
                <w:lang w:eastAsia="en-AU"/>
              </w:rPr>
              <w:fldChar w:fldCharType="begin">
                <w:ffData>
                  <w:name w:val=""/>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 xml:space="preserve">Optometrists  </w:t>
            </w:r>
            <w:r>
              <w:rPr>
                <w:rFonts w:ascii="Arial Narrow" w:hAnsi="Arial Narrow"/>
                <w:sz w:val="20"/>
                <w:lang w:eastAsia="en-AU"/>
              </w:rPr>
              <w:fldChar w:fldCharType="begin">
                <w:ffData>
                  <w:name w:val="Check5"/>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Midwives</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Episodicity:</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Severity:</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Condition:</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Narcolepsy</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PBS Indication:</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Narcolepsy</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Treatment phase:</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Initial treatment</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76C7" w:rsidRDefault="00AD76C7">
            <w:pPr>
              <w:widowControl/>
              <w:rPr>
                <w:rFonts w:ascii="Arial Narrow" w:hAnsi="Arial Narrow"/>
                <w:b/>
                <w:sz w:val="20"/>
                <w:lang w:eastAsia="en-AU"/>
              </w:rPr>
            </w:pPr>
            <w:r>
              <w:rPr>
                <w:rFonts w:ascii="Arial Narrow" w:hAnsi="Arial Narrow"/>
                <w:b/>
                <w:sz w:val="20"/>
                <w:lang w:eastAsia="en-AU"/>
              </w:rPr>
              <w:t>Restriction Level / Method:</w:t>
            </w:r>
          </w:p>
          <w:p w:rsidR="00AD76C7" w:rsidRDefault="00AD76C7">
            <w:pPr>
              <w:widowControl/>
              <w:snapToGrid w:val="0"/>
              <w:jc w:val="left"/>
              <w:rPr>
                <w:rFonts w:ascii="Arial Narrow" w:hAnsi="Arial Narrow"/>
                <w:i/>
                <w:sz w:val="20"/>
                <w:lang w:eastAsia="en-AU"/>
              </w:rPr>
            </w:pP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jc w:val="left"/>
              <w:rPr>
                <w:rFonts w:ascii="Arial Narrow" w:hAnsi="Arial Narrow"/>
                <w:sz w:val="20"/>
                <w:lang w:eastAsia="en-AU"/>
              </w:rPr>
            </w:pPr>
            <w:r>
              <w:rPr>
                <w:rFonts w:ascii="Arial Narrow" w:hAnsi="Arial Narrow"/>
                <w:sz w:val="20"/>
                <w:lang w:eastAsia="en-AU"/>
              </w:rPr>
              <w:fldChar w:fldCharType="begin">
                <w:ffData>
                  <w:name w:val="Check1"/>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Restricted benefit</w:t>
            </w:r>
          </w:p>
          <w:p w:rsidR="00AD76C7" w:rsidRDefault="00AD76C7">
            <w:pPr>
              <w:widowControl/>
              <w:jc w:val="left"/>
              <w:rPr>
                <w:rFonts w:ascii="Arial Narrow" w:hAnsi="Arial Narrow"/>
                <w:sz w:val="20"/>
                <w:lang w:eastAsia="en-AU"/>
              </w:rPr>
            </w:pPr>
            <w:r>
              <w:rPr>
                <w:rFonts w:ascii="Arial Narrow" w:hAnsi="Arial Narrow"/>
                <w:sz w:val="20"/>
                <w:lang w:eastAsia="en-AU"/>
              </w:rPr>
              <w:fldChar w:fldCharType="begin">
                <w:ffData>
                  <w:name w:val=""/>
                  <w:enabled/>
                  <w:calcOnExit w:val="0"/>
                  <w:checkBox>
                    <w:sizeAuto/>
                    <w:default w:val="1"/>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Authority Required - In Writing</w:t>
            </w:r>
          </w:p>
          <w:p w:rsidR="00AD76C7" w:rsidRDefault="00AD76C7">
            <w:pPr>
              <w:widowControl/>
              <w:jc w:val="left"/>
              <w:rPr>
                <w:rFonts w:ascii="Arial Narrow" w:hAnsi="Arial Narrow"/>
                <w:sz w:val="20"/>
                <w:lang w:eastAsia="en-AU"/>
              </w:rPr>
            </w:pPr>
            <w:r>
              <w:rPr>
                <w:rFonts w:ascii="Arial Narrow" w:hAnsi="Arial Narrow"/>
                <w:sz w:val="20"/>
                <w:lang w:eastAsia="en-AU"/>
              </w:rPr>
              <w:fldChar w:fldCharType="begin">
                <w:ffData>
                  <w:name w:val=""/>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Authority Required - Telephone</w:t>
            </w:r>
          </w:p>
          <w:p w:rsidR="00AD76C7" w:rsidRDefault="00AD76C7">
            <w:pPr>
              <w:widowControl/>
              <w:jc w:val="left"/>
              <w:rPr>
                <w:rFonts w:ascii="Arial Narrow" w:hAnsi="Arial Narrow"/>
                <w:sz w:val="20"/>
                <w:lang w:eastAsia="en-AU"/>
              </w:rPr>
            </w:pPr>
            <w:r>
              <w:rPr>
                <w:rFonts w:ascii="Arial Narrow" w:hAnsi="Arial Narrow"/>
                <w:sz w:val="20"/>
                <w:lang w:eastAsia="en-AU"/>
              </w:rPr>
              <w:fldChar w:fldCharType="begin">
                <w:ffData>
                  <w:name w:val=""/>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Authority Required – Emergency</w:t>
            </w:r>
          </w:p>
          <w:p w:rsidR="00AD76C7" w:rsidRDefault="00AD76C7">
            <w:pPr>
              <w:widowControl/>
              <w:jc w:val="left"/>
              <w:rPr>
                <w:rFonts w:ascii="Arial Narrow" w:hAnsi="Arial Narrow"/>
                <w:sz w:val="20"/>
                <w:lang w:eastAsia="en-AU"/>
              </w:rPr>
            </w:pPr>
            <w:r>
              <w:rPr>
                <w:rFonts w:ascii="Arial Narrow" w:hAnsi="Arial Narrow"/>
                <w:sz w:val="20"/>
                <w:lang w:eastAsia="en-AU"/>
              </w:rPr>
              <w:fldChar w:fldCharType="begin">
                <w:ffData>
                  <w:name w:val=""/>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Authority Required - Electronic</w:t>
            </w:r>
          </w:p>
          <w:p w:rsidR="00AD76C7" w:rsidRDefault="00AD76C7">
            <w:pPr>
              <w:widowControl/>
              <w:snapToGrid w:val="0"/>
              <w:jc w:val="left"/>
              <w:rPr>
                <w:rFonts w:ascii="Arial Narrow" w:hAnsi="Arial Narrow"/>
                <w:sz w:val="20"/>
                <w:lang w:eastAsia="en-AU"/>
              </w:rPr>
            </w:pPr>
            <w:r>
              <w:rPr>
                <w:rFonts w:ascii="Arial Narrow" w:hAnsi="Arial Narrow"/>
                <w:sz w:val="20"/>
                <w:lang w:eastAsia="en-AU"/>
              </w:rPr>
              <w:fldChar w:fldCharType="begin">
                <w:ffData>
                  <w:name w:val="Check5"/>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Streamlined</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b/>
                <w:sz w:val="20"/>
                <w:lang w:eastAsia="en-AU"/>
              </w:rPr>
            </w:pPr>
            <w:r>
              <w:rPr>
                <w:rFonts w:ascii="Arial Narrow" w:hAnsi="Arial Narrow"/>
                <w:b/>
                <w:sz w:val="20"/>
                <w:lang w:eastAsia="en-AU"/>
              </w:rPr>
              <w:t>Treatment criteria:</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Must be treated by a qualified sleep medicine practitioner or neurologist</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lastRenderedPageBreak/>
              <w:t>Clinical criteria:</w:t>
            </w:r>
          </w:p>
        </w:tc>
        <w:tc>
          <w:tcPr>
            <w:tcW w:w="5528" w:type="dxa"/>
            <w:tcBorders>
              <w:top w:val="single" w:sz="4" w:space="0" w:color="auto"/>
              <w:left w:val="single" w:sz="4" w:space="0" w:color="auto"/>
              <w:bottom w:val="single" w:sz="4" w:space="0" w:color="auto"/>
              <w:right w:val="single" w:sz="4" w:space="0" w:color="auto"/>
            </w:tcBorders>
          </w:tcPr>
          <w:p w:rsidR="00AD76C7" w:rsidRDefault="00AD76C7">
            <w:pPr>
              <w:widowControl/>
              <w:rPr>
                <w:rFonts w:ascii="Arial Narrow" w:hAnsi="Arial Narrow"/>
                <w:sz w:val="20"/>
                <w:lang w:eastAsia="en-AU"/>
              </w:rPr>
            </w:pPr>
            <w:r>
              <w:rPr>
                <w:rFonts w:ascii="Arial Narrow" w:hAnsi="Arial Narrow"/>
                <w:sz w:val="20"/>
                <w:lang w:eastAsia="en-AU"/>
              </w:rPr>
              <w:t>The treatment must be for use when therapy with dexamphetamine sulfate poses an unacceptable medical risk; OR</w:t>
            </w:r>
          </w:p>
          <w:p w:rsidR="00AD76C7" w:rsidRDefault="00AD76C7">
            <w:pPr>
              <w:widowControl/>
              <w:rPr>
                <w:rFonts w:ascii="Arial Narrow" w:hAnsi="Arial Narrow"/>
                <w:sz w:val="20"/>
                <w:lang w:eastAsia="en-AU"/>
              </w:rPr>
            </w:pPr>
            <w:r>
              <w:rPr>
                <w:rFonts w:ascii="Arial Narrow" w:hAnsi="Arial Narrow"/>
                <w:sz w:val="20"/>
                <w:lang w:eastAsia="en-AU"/>
              </w:rPr>
              <w:t>The treatment must be for use when intolerance to dexamphetamine sulfate is of a severity to necessitate treatment withdrawal,</w:t>
            </w:r>
          </w:p>
          <w:p w:rsidR="00AD76C7" w:rsidRDefault="00AD76C7">
            <w:pPr>
              <w:widowControl/>
              <w:rPr>
                <w:rFonts w:ascii="Arial Narrow" w:hAnsi="Arial Narrow"/>
                <w:sz w:val="20"/>
                <w:lang w:eastAsia="en-AU"/>
              </w:rPr>
            </w:pPr>
          </w:p>
          <w:p w:rsidR="00AD76C7" w:rsidRDefault="00AD76C7">
            <w:pPr>
              <w:widowControl/>
              <w:rPr>
                <w:rFonts w:ascii="Arial Narrow" w:hAnsi="Arial Narrow"/>
                <w:sz w:val="20"/>
                <w:lang w:eastAsia="en-AU"/>
              </w:rPr>
            </w:pPr>
            <w:r>
              <w:rPr>
                <w:rFonts w:ascii="Arial Narrow" w:hAnsi="Arial Narrow"/>
                <w:sz w:val="20"/>
                <w:lang w:eastAsia="en-AU"/>
              </w:rPr>
              <w:t>AND</w:t>
            </w:r>
          </w:p>
          <w:p w:rsidR="00AD76C7" w:rsidRDefault="00AD76C7">
            <w:pPr>
              <w:widowControl/>
              <w:rPr>
                <w:rFonts w:ascii="Arial Narrow" w:hAnsi="Arial Narrow"/>
                <w:sz w:val="20"/>
                <w:lang w:eastAsia="en-AU"/>
              </w:rPr>
            </w:pPr>
          </w:p>
          <w:p w:rsidR="00AD76C7" w:rsidRDefault="00AD76C7">
            <w:pPr>
              <w:widowControl/>
              <w:rPr>
                <w:rFonts w:ascii="Arial Narrow" w:hAnsi="Arial Narrow"/>
                <w:sz w:val="20"/>
                <w:lang w:eastAsia="en-AU"/>
              </w:rPr>
            </w:pPr>
            <w:r>
              <w:rPr>
                <w:rFonts w:ascii="Arial Narrow" w:hAnsi="Arial Narrow"/>
                <w:sz w:val="20"/>
                <w:lang w:eastAsia="en-AU"/>
              </w:rPr>
              <w:t>Patient must have experienced excessive daytime sleepiness, recurrent naps or lapses into sleep occurring almost daily for at least 3 months</w:t>
            </w:r>
          </w:p>
          <w:p w:rsidR="00AD76C7" w:rsidRDefault="00AD76C7">
            <w:pPr>
              <w:widowControl/>
              <w:rPr>
                <w:rFonts w:ascii="Arial Narrow" w:hAnsi="Arial Narrow"/>
                <w:sz w:val="20"/>
                <w:lang w:eastAsia="en-AU"/>
              </w:rPr>
            </w:pPr>
          </w:p>
          <w:p w:rsidR="00AD76C7" w:rsidRDefault="00AD76C7">
            <w:pPr>
              <w:widowControl/>
              <w:rPr>
                <w:rFonts w:ascii="Arial Narrow" w:hAnsi="Arial Narrow"/>
                <w:sz w:val="20"/>
                <w:lang w:eastAsia="en-AU"/>
              </w:rPr>
            </w:pPr>
            <w:r>
              <w:rPr>
                <w:rFonts w:ascii="Arial Narrow" w:hAnsi="Arial Narrow"/>
                <w:sz w:val="20"/>
                <w:lang w:eastAsia="en-AU"/>
              </w:rPr>
              <w:t>AND</w:t>
            </w:r>
          </w:p>
          <w:p w:rsidR="00AD76C7" w:rsidRDefault="00AD76C7">
            <w:pPr>
              <w:widowControl/>
              <w:rPr>
                <w:rFonts w:ascii="Arial Narrow" w:hAnsi="Arial Narrow"/>
                <w:sz w:val="20"/>
                <w:lang w:eastAsia="en-AU"/>
              </w:rPr>
            </w:pPr>
          </w:p>
          <w:p w:rsidR="00AD76C7" w:rsidRDefault="00AD76C7">
            <w:pPr>
              <w:widowControl/>
              <w:rPr>
                <w:rFonts w:ascii="Arial Narrow" w:hAnsi="Arial Narrow"/>
                <w:sz w:val="20"/>
                <w:lang w:eastAsia="en-AU"/>
              </w:rPr>
            </w:pPr>
            <w:r>
              <w:rPr>
                <w:rFonts w:ascii="Arial Narrow" w:hAnsi="Arial Narrow"/>
                <w:sz w:val="20"/>
                <w:lang w:eastAsia="en-AU"/>
              </w:rPr>
              <w:t>Patient must have a definite history of cataplexy; OR</w:t>
            </w:r>
          </w:p>
          <w:p w:rsidR="00AD76C7" w:rsidRDefault="00AD76C7">
            <w:pPr>
              <w:widowControl/>
              <w:rPr>
                <w:rFonts w:ascii="Arial Narrow" w:hAnsi="Arial Narrow"/>
                <w:sz w:val="20"/>
                <w:lang w:eastAsia="en-AU"/>
              </w:rPr>
            </w:pPr>
            <w:r>
              <w:rPr>
                <w:rFonts w:ascii="Arial Narrow" w:hAnsi="Arial Narrow"/>
                <w:sz w:val="20"/>
                <w:lang w:eastAsia="en-AU"/>
              </w:rPr>
              <w:t>Patient must have a mean sleep latency less than or equal to 10 minutes on a Multiple Sleep Latency Test (MSLT); OR</w:t>
            </w:r>
          </w:p>
          <w:p w:rsidR="00AD76C7" w:rsidRDefault="00AD76C7">
            <w:pPr>
              <w:widowControl/>
              <w:rPr>
                <w:rFonts w:ascii="Arial Narrow" w:hAnsi="Arial Narrow"/>
                <w:sz w:val="20"/>
                <w:lang w:eastAsia="en-AU"/>
              </w:rPr>
            </w:pPr>
            <w:r>
              <w:rPr>
                <w:rFonts w:ascii="Arial Narrow" w:hAnsi="Arial Narrow"/>
                <w:sz w:val="20"/>
                <w:lang w:eastAsia="en-AU"/>
              </w:rPr>
              <w:t>Patient must have an electroencephalographic (EEG) recording showing the pathologically rapid development of REM sleep</w:t>
            </w:r>
          </w:p>
          <w:p w:rsidR="00AD76C7" w:rsidRDefault="00AD76C7">
            <w:pPr>
              <w:widowControl/>
              <w:rPr>
                <w:rFonts w:ascii="Arial Narrow" w:hAnsi="Arial Narrow"/>
                <w:sz w:val="20"/>
                <w:lang w:eastAsia="en-AU"/>
              </w:rPr>
            </w:pPr>
          </w:p>
          <w:p w:rsidR="00AD76C7" w:rsidRDefault="00AD76C7">
            <w:pPr>
              <w:widowControl/>
              <w:rPr>
                <w:rFonts w:ascii="Arial Narrow" w:hAnsi="Arial Narrow"/>
                <w:sz w:val="20"/>
                <w:lang w:eastAsia="en-AU"/>
              </w:rPr>
            </w:pPr>
            <w:r>
              <w:rPr>
                <w:rFonts w:ascii="Arial Narrow" w:hAnsi="Arial Narrow"/>
                <w:sz w:val="20"/>
                <w:lang w:eastAsia="en-AU"/>
              </w:rPr>
              <w:t>AND</w:t>
            </w:r>
          </w:p>
          <w:p w:rsidR="00AD76C7" w:rsidRDefault="00AD76C7">
            <w:pPr>
              <w:widowControl/>
              <w:rPr>
                <w:rFonts w:ascii="Arial Narrow" w:hAnsi="Arial Narrow"/>
                <w:sz w:val="20"/>
                <w:lang w:eastAsia="en-AU"/>
              </w:rPr>
            </w:pPr>
          </w:p>
          <w:p w:rsidR="00AD76C7" w:rsidRDefault="00AD76C7">
            <w:pPr>
              <w:widowControl/>
              <w:snapToGrid w:val="0"/>
              <w:rPr>
                <w:rFonts w:ascii="Arial Narrow" w:hAnsi="Arial Narrow"/>
                <w:sz w:val="20"/>
                <w:lang w:eastAsia="en-AU"/>
              </w:rPr>
            </w:pPr>
            <w:r>
              <w:rPr>
                <w:rFonts w:ascii="Arial Narrow" w:hAnsi="Arial Narrow"/>
                <w:sz w:val="20"/>
                <w:lang w:eastAsia="en-AU"/>
              </w:rPr>
              <w:t>Patient must not have any medical or psychiatric disorder that could otherwise account for the hypersomnia</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76C7" w:rsidRDefault="00AD76C7">
            <w:pPr>
              <w:widowControl/>
              <w:rPr>
                <w:rFonts w:ascii="Arial Narrow" w:hAnsi="Arial Narrow"/>
                <w:b/>
                <w:sz w:val="20"/>
                <w:lang w:eastAsia="en-AU"/>
              </w:rPr>
            </w:pPr>
            <w:r>
              <w:rPr>
                <w:rFonts w:ascii="Arial Narrow" w:hAnsi="Arial Narrow"/>
                <w:b/>
                <w:sz w:val="20"/>
                <w:lang w:eastAsia="en-AU"/>
              </w:rPr>
              <w:t>Prescriber Instruction 1</w:t>
            </w: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r>
              <w:rPr>
                <w:rFonts w:ascii="Arial Narrow" w:hAnsi="Arial Narrow"/>
                <w:b/>
                <w:sz w:val="20"/>
                <w:lang w:eastAsia="en-AU"/>
              </w:rPr>
              <w:t>Prescriber Instruction 2</w:t>
            </w: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r>
              <w:rPr>
                <w:rFonts w:ascii="Arial Narrow" w:hAnsi="Arial Narrow"/>
                <w:b/>
                <w:sz w:val="20"/>
                <w:lang w:eastAsia="en-AU"/>
              </w:rPr>
              <w:t>Prescriber Instruction 3</w:t>
            </w: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r>
              <w:rPr>
                <w:rFonts w:ascii="Arial Narrow" w:hAnsi="Arial Narrow"/>
                <w:b/>
                <w:sz w:val="20"/>
                <w:lang w:eastAsia="en-AU"/>
              </w:rPr>
              <w:t>Prescriber Instruction 4</w:t>
            </w:r>
          </w:p>
          <w:p w:rsidR="00AD76C7" w:rsidRDefault="00AD76C7">
            <w:pPr>
              <w:widowControl/>
              <w:rPr>
                <w:rFonts w:ascii="Arial Narrow" w:hAnsi="Arial Narrow"/>
                <w:b/>
                <w:sz w:val="20"/>
                <w:lang w:eastAsia="en-AU"/>
              </w:rPr>
            </w:pPr>
          </w:p>
          <w:p w:rsidR="00AD76C7" w:rsidRDefault="00AD76C7">
            <w:pPr>
              <w:widowControl/>
              <w:snapToGrid w:val="0"/>
              <w:rPr>
                <w:rFonts w:ascii="Arial Narrow" w:hAnsi="Arial Narrow"/>
                <w:sz w:val="20"/>
                <w:lang w:eastAsia="en-AU"/>
              </w:rPr>
            </w:pPr>
          </w:p>
        </w:tc>
        <w:tc>
          <w:tcPr>
            <w:tcW w:w="5528" w:type="dxa"/>
            <w:tcBorders>
              <w:top w:val="single" w:sz="4" w:space="0" w:color="auto"/>
              <w:left w:val="single" w:sz="4" w:space="0" w:color="auto"/>
              <w:bottom w:val="single" w:sz="4" w:space="0" w:color="auto"/>
              <w:right w:val="single" w:sz="4" w:space="0" w:color="auto"/>
            </w:tcBorders>
          </w:tcPr>
          <w:p w:rsidR="00AD76C7" w:rsidRDefault="00AD76C7">
            <w:pPr>
              <w:widowControl/>
              <w:jc w:val="left"/>
              <w:rPr>
                <w:rFonts w:ascii="Arial Narrow" w:hAnsi="Arial Narrow"/>
                <w:sz w:val="20"/>
                <w:lang w:eastAsia="en-AU"/>
              </w:rPr>
            </w:pPr>
            <w:r>
              <w:rPr>
                <w:rFonts w:ascii="Arial Narrow" w:hAnsi="Arial Narrow"/>
                <w:sz w:val="20"/>
                <w:lang w:eastAsia="en-AU"/>
              </w:rPr>
              <w:t>The authority application must be made in writing and must include the following:</w:t>
            </w:r>
          </w:p>
          <w:p w:rsidR="00AD76C7" w:rsidRDefault="00AD76C7">
            <w:pPr>
              <w:widowControl/>
              <w:jc w:val="left"/>
              <w:rPr>
                <w:rFonts w:ascii="Arial Narrow" w:hAnsi="Arial Narrow"/>
                <w:sz w:val="20"/>
                <w:lang w:eastAsia="en-AU"/>
              </w:rPr>
            </w:pPr>
            <w:r>
              <w:rPr>
                <w:rFonts w:ascii="Arial Narrow" w:hAnsi="Arial Narrow"/>
                <w:sz w:val="20"/>
                <w:lang w:eastAsia="en-AU"/>
              </w:rPr>
              <w:t>(a) a completed authority prescription form; and</w:t>
            </w:r>
          </w:p>
          <w:p w:rsidR="00AD76C7" w:rsidRDefault="00AD76C7">
            <w:pPr>
              <w:widowControl/>
              <w:jc w:val="left"/>
              <w:rPr>
                <w:rFonts w:ascii="Arial Narrow" w:hAnsi="Arial Narrow"/>
                <w:sz w:val="20"/>
                <w:lang w:eastAsia="en-AU"/>
              </w:rPr>
            </w:pPr>
            <w:r>
              <w:rPr>
                <w:rFonts w:ascii="Arial Narrow" w:hAnsi="Arial Narrow"/>
                <w:sz w:val="20"/>
                <w:lang w:eastAsia="en-AU"/>
              </w:rPr>
              <w:t>(b) a completed Narcolepsy Initial PBS authority application and Supporting information form; and</w:t>
            </w:r>
          </w:p>
          <w:p w:rsidR="00AD76C7" w:rsidRDefault="00AD76C7">
            <w:pPr>
              <w:widowControl/>
              <w:jc w:val="left"/>
              <w:rPr>
                <w:rFonts w:ascii="Arial Narrow" w:hAnsi="Arial Narrow"/>
                <w:sz w:val="20"/>
                <w:lang w:eastAsia="en-AU"/>
              </w:rPr>
            </w:pPr>
            <w:r>
              <w:rPr>
                <w:rFonts w:ascii="Arial Narrow" w:hAnsi="Arial Narrow"/>
                <w:sz w:val="20"/>
                <w:lang w:eastAsia="en-AU"/>
              </w:rPr>
              <w:t>(c) details of the contraindication or intolerance to dexamphetamine sulfate; and</w:t>
            </w:r>
          </w:p>
          <w:p w:rsidR="00AD76C7" w:rsidRDefault="00AD76C7">
            <w:pPr>
              <w:widowControl/>
              <w:jc w:val="left"/>
              <w:rPr>
                <w:rFonts w:ascii="Arial Narrow" w:hAnsi="Arial Narrow"/>
                <w:sz w:val="20"/>
                <w:lang w:eastAsia="en-AU"/>
              </w:rPr>
            </w:pPr>
            <w:r>
              <w:rPr>
                <w:rFonts w:ascii="Arial Narrow" w:hAnsi="Arial Narrow"/>
                <w:sz w:val="20"/>
                <w:lang w:eastAsia="en-AU"/>
              </w:rPr>
              <w:t>(d) either:</w:t>
            </w:r>
          </w:p>
          <w:p w:rsidR="00AD76C7" w:rsidRDefault="00AD76C7">
            <w:pPr>
              <w:widowControl/>
              <w:jc w:val="left"/>
              <w:rPr>
                <w:rFonts w:ascii="Arial Narrow" w:hAnsi="Arial Narrow"/>
                <w:sz w:val="20"/>
                <w:lang w:eastAsia="en-AU"/>
              </w:rPr>
            </w:pPr>
            <w:r>
              <w:rPr>
                <w:rFonts w:ascii="Arial Narrow" w:hAnsi="Arial Narrow"/>
                <w:sz w:val="20"/>
                <w:lang w:eastAsia="en-AU"/>
              </w:rPr>
              <w:t>(i) the result and date of the polysomnography test and Multiple Sleep Latency Test (MSLT) conducted by, or under the supervision of, a qualified sleep medicine practitioner; or</w:t>
            </w:r>
          </w:p>
          <w:p w:rsidR="00AD76C7" w:rsidRDefault="00AD76C7">
            <w:pPr>
              <w:widowControl/>
              <w:jc w:val="left"/>
              <w:rPr>
                <w:rFonts w:ascii="Arial Narrow" w:hAnsi="Arial Narrow"/>
                <w:sz w:val="20"/>
                <w:lang w:eastAsia="en-AU"/>
              </w:rPr>
            </w:pPr>
            <w:r>
              <w:rPr>
                <w:rFonts w:ascii="Arial Narrow" w:hAnsi="Arial Narrow"/>
                <w:sz w:val="20"/>
                <w:lang w:eastAsia="en-AU"/>
              </w:rPr>
              <w:t>(ii) the result and date of the electroencephalograph (EEG), conducted by, or under the supervision of, a neurologist.</w:t>
            </w:r>
          </w:p>
          <w:p w:rsidR="00AD76C7" w:rsidRDefault="00AD76C7">
            <w:pPr>
              <w:widowControl/>
              <w:jc w:val="left"/>
              <w:rPr>
                <w:rFonts w:ascii="Arial Narrow" w:hAnsi="Arial Narrow"/>
                <w:sz w:val="20"/>
                <w:lang w:eastAsia="en-AU"/>
              </w:rPr>
            </w:pPr>
          </w:p>
          <w:p w:rsidR="00AD76C7" w:rsidRDefault="00AD76C7">
            <w:pPr>
              <w:widowControl/>
              <w:jc w:val="left"/>
              <w:rPr>
                <w:rFonts w:ascii="Arial Narrow" w:hAnsi="Arial Narrow"/>
                <w:sz w:val="20"/>
                <w:lang w:eastAsia="en-AU"/>
              </w:rPr>
            </w:pPr>
            <w:r>
              <w:rPr>
                <w:rFonts w:ascii="Arial Narrow" w:hAnsi="Arial Narrow"/>
                <w:sz w:val="20"/>
                <w:lang w:eastAsia="en-AU"/>
              </w:rPr>
              <w:t>The presence of any one of the following indicates treatment with dexamphetamine sulfate poses an unacceptable medical risk:</w:t>
            </w:r>
          </w:p>
          <w:p w:rsidR="00AD76C7" w:rsidRDefault="00AD76C7">
            <w:pPr>
              <w:widowControl/>
              <w:jc w:val="left"/>
              <w:rPr>
                <w:rFonts w:ascii="Arial Narrow" w:hAnsi="Arial Narrow"/>
                <w:sz w:val="20"/>
                <w:lang w:eastAsia="en-AU"/>
              </w:rPr>
            </w:pPr>
            <w:r>
              <w:rPr>
                <w:rFonts w:ascii="Arial Narrow" w:hAnsi="Arial Narrow"/>
                <w:sz w:val="20"/>
                <w:lang w:eastAsia="en-AU"/>
              </w:rPr>
              <w:t>(a) a psychiatric disorder;</w:t>
            </w:r>
          </w:p>
          <w:p w:rsidR="00AD76C7" w:rsidRDefault="00AD76C7">
            <w:pPr>
              <w:widowControl/>
              <w:jc w:val="left"/>
              <w:rPr>
                <w:rFonts w:ascii="Arial Narrow" w:hAnsi="Arial Narrow"/>
                <w:sz w:val="20"/>
                <w:lang w:eastAsia="en-AU"/>
              </w:rPr>
            </w:pPr>
            <w:r>
              <w:rPr>
                <w:rFonts w:ascii="Arial Narrow" w:hAnsi="Arial Narrow"/>
                <w:sz w:val="20"/>
                <w:lang w:eastAsia="en-AU"/>
              </w:rPr>
              <w:t>(b) a cardiovascular disorder;</w:t>
            </w:r>
          </w:p>
          <w:p w:rsidR="00AD76C7" w:rsidRDefault="00AD76C7">
            <w:pPr>
              <w:widowControl/>
              <w:jc w:val="left"/>
              <w:rPr>
                <w:rFonts w:ascii="Arial Narrow" w:hAnsi="Arial Narrow"/>
                <w:sz w:val="20"/>
                <w:lang w:eastAsia="en-AU"/>
              </w:rPr>
            </w:pPr>
            <w:r>
              <w:rPr>
                <w:rFonts w:ascii="Arial Narrow" w:hAnsi="Arial Narrow"/>
                <w:sz w:val="20"/>
                <w:lang w:eastAsia="en-AU"/>
              </w:rPr>
              <w:t>(c) a history of substance abuse;</w:t>
            </w:r>
          </w:p>
          <w:p w:rsidR="00AD76C7" w:rsidRDefault="00AD76C7">
            <w:pPr>
              <w:widowControl/>
              <w:jc w:val="left"/>
              <w:rPr>
                <w:rFonts w:ascii="Arial Narrow" w:hAnsi="Arial Narrow"/>
                <w:sz w:val="20"/>
                <w:lang w:eastAsia="en-AU"/>
              </w:rPr>
            </w:pPr>
            <w:r>
              <w:rPr>
                <w:rFonts w:ascii="Arial Narrow" w:hAnsi="Arial Narrow"/>
                <w:sz w:val="20"/>
                <w:lang w:eastAsia="en-AU"/>
              </w:rPr>
              <w:t>(d) glaucoma;</w:t>
            </w:r>
          </w:p>
          <w:p w:rsidR="00AD76C7" w:rsidRDefault="00AD76C7">
            <w:pPr>
              <w:widowControl/>
              <w:jc w:val="left"/>
              <w:rPr>
                <w:rFonts w:ascii="Arial Narrow" w:hAnsi="Arial Narrow"/>
                <w:sz w:val="20"/>
                <w:lang w:eastAsia="en-AU"/>
              </w:rPr>
            </w:pPr>
            <w:r>
              <w:rPr>
                <w:rFonts w:ascii="Arial Narrow" w:hAnsi="Arial Narrow"/>
                <w:sz w:val="20"/>
                <w:lang w:eastAsia="en-AU"/>
              </w:rPr>
              <w:t>(e) any other absolute contraindication to dexamphetamine sulfate as specified in the TGA-approved Product Information.</w:t>
            </w:r>
          </w:p>
          <w:p w:rsidR="00AD76C7" w:rsidRDefault="00AD76C7">
            <w:pPr>
              <w:widowControl/>
              <w:jc w:val="left"/>
              <w:rPr>
                <w:rFonts w:ascii="Arial Narrow" w:hAnsi="Arial Narrow"/>
                <w:sz w:val="20"/>
                <w:lang w:eastAsia="en-AU"/>
              </w:rPr>
            </w:pPr>
          </w:p>
          <w:p w:rsidR="00AD76C7" w:rsidRDefault="00AD76C7">
            <w:pPr>
              <w:widowControl/>
              <w:jc w:val="left"/>
              <w:rPr>
                <w:rFonts w:ascii="Arial Narrow" w:hAnsi="Arial Narrow"/>
                <w:sz w:val="20"/>
                <w:lang w:eastAsia="en-AU"/>
              </w:rPr>
            </w:pPr>
            <w:r>
              <w:rPr>
                <w:rFonts w:ascii="Arial Narrow" w:hAnsi="Arial Narrow"/>
                <w:sz w:val="20"/>
                <w:lang w:eastAsia="en-AU"/>
              </w:rPr>
              <w:t>The MSLT must be preceded by nocturnal polysomnography. Sleep prior to the MSLT must be at least 6 hours in duration.</w:t>
            </w:r>
          </w:p>
          <w:p w:rsidR="00AD76C7" w:rsidRDefault="00AD76C7">
            <w:pPr>
              <w:widowControl/>
              <w:jc w:val="left"/>
              <w:rPr>
                <w:rFonts w:ascii="Arial Narrow" w:hAnsi="Arial Narrow"/>
                <w:sz w:val="20"/>
                <w:lang w:eastAsia="en-AU"/>
              </w:rPr>
            </w:pPr>
          </w:p>
          <w:p w:rsidR="00AD76C7" w:rsidRDefault="00AD76C7">
            <w:pPr>
              <w:widowControl/>
              <w:snapToGrid w:val="0"/>
              <w:jc w:val="left"/>
              <w:rPr>
                <w:rFonts w:ascii="Arial Narrow" w:hAnsi="Arial Narrow"/>
                <w:i/>
                <w:sz w:val="20"/>
                <w:lang w:eastAsia="en-AU"/>
              </w:rPr>
            </w:pPr>
            <w:r>
              <w:rPr>
                <w:rFonts w:ascii="Arial Narrow" w:hAnsi="Arial Narrow"/>
                <w:sz w:val="20"/>
                <w:lang w:eastAsia="en-AU"/>
              </w:rPr>
              <w:t>The polysomnography, MSLT or EEG test reports must be provided with the authority application.</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76C7" w:rsidRDefault="00AD76C7">
            <w:pPr>
              <w:widowControl/>
              <w:rPr>
                <w:rFonts w:ascii="Arial Narrow" w:hAnsi="Arial Narrow"/>
                <w:b/>
                <w:sz w:val="20"/>
                <w:lang w:eastAsia="en-AU"/>
              </w:rPr>
            </w:pPr>
            <w:r>
              <w:rPr>
                <w:rFonts w:ascii="Arial Narrow" w:hAnsi="Arial Narrow"/>
                <w:b/>
                <w:sz w:val="20"/>
                <w:lang w:eastAsia="en-AU"/>
              </w:rPr>
              <w:lastRenderedPageBreak/>
              <w:t>Administrative Advice 1</w:t>
            </w: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r>
              <w:rPr>
                <w:rFonts w:ascii="Arial Narrow" w:hAnsi="Arial Narrow"/>
                <w:b/>
                <w:sz w:val="20"/>
                <w:lang w:eastAsia="en-AU"/>
              </w:rPr>
              <w:t>Administrative Advice 2</w:t>
            </w:r>
          </w:p>
          <w:p w:rsidR="00AD76C7" w:rsidRDefault="00AD76C7">
            <w:pPr>
              <w:widowControl/>
              <w:snapToGrid w:val="0"/>
              <w:rPr>
                <w:rFonts w:ascii="Arial Narrow" w:hAnsi="Arial Narrow"/>
                <w:i/>
                <w:sz w:val="20"/>
                <w:lang w:eastAsia="en-AU"/>
              </w:rPr>
            </w:pPr>
          </w:p>
        </w:tc>
        <w:tc>
          <w:tcPr>
            <w:tcW w:w="5528" w:type="dxa"/>
            <w:tcBorders>
              <w:top w:val="single" w:sz="4" w:space="0" w:color="auto"/>
              <w:left w:val="single" w:sz="4" w:space="0" w:color="auto"/>
              <w:bottom w:val="single" w:sz="4" w:space="0" w:color="auto"/>
              <w:right w:val="single" w:sz="4" w:space="0" w:color="auto"/>
            </w:tcBorders>
          </w:tcPr>
          <w:p w:rsidR="00AD76C7" w:rsidRDefault="00AD76C7">
            <w:pPr>
              <w:widowControl/>
              <w:jc w:val="left"/>
              <w:rPr>
                <w:rFonts w:ascii="Arial Narrow" w:hAnsi="Arial Narrow"/>
                <w:sz w:val="20"/>
                <w:lang w:eastAsia="en-AU"/>
              </w:rPr>
            </w:pPr>
            <w:r>
              <w:rPr>
                <w:rFonts w:ascii="Arial Narrow" w:hAnsi="Arial Narrow"/>
                <w:sz w:val="20"/>
                <w:lang w:eastAsia="en-AU"/>
              </w:rPr>
              <w:t xml:space="preserve">Any queries concerning the arrangements to prescribe may be directed to the Department of Human Services on 1800 700 270 (hours of operation 8 a.m. to 5 p.m. EST Monday to Friday). </w:t>
            </w:r>
          </w:p>
          <w:p w:rsidR="00AD76C7" w:rsidRDefault="00AD76C7">
            <w:pPr>
              <w:widowControl/>
              <w:jc w:val="left"/>
              <w:rPr>
                <w:rFonts w:ascii="Arial Narrow" w:hAnsi="Arial Narrow"/>
                <w:sz w:val="20"/>
                <w:lang w:eastAsia="en-AU"/>
              </w:rPr>
            </w:pPr>
            <w:r>
              <w:rPr>
                <w:rFonts w:ascii="Arial Narrow" w:hAnsi="Arial Narrow"/>
                <w:sz w:val="20"/>
                <w:lang w:eastAsia="en-AU"/>
              </w:rPr>
              <w:t>Prescribing information (including Authority Application forms and other relevant documentation as applicable) is available on the Department of Human Services website at www.humanservices.gov.au</w:t>
            </w:r>
          </w:p>
          <w:p w:rsidR="00AD76C7" w:rsidRDefault="00AD76C7">
            <w:pPr>
              <w:widowControl/>
              <w:jc w:val="left"/>
              <w:rPr>
                <w:rFonts w:ascii="Arial Narrow" w:hAnsi="Arial Narrow"/>
                <w:sz w:val="20"/>
                <w:lang w:eastAsia="en-AU"/>
              </w:rPr>
            </w:pPr>
            <w:r>
              <w:rPr>
                <w:rFonts w:ascii="Arial Narrow" w:hAnsi="Arial Narrow"/>
                <w:sz w:val="20"/>
                <w:lang w:eastAsia="en-AU"/>
              </w:rPr>
              <w:t>Applications for authority to prescribe should be forwarded to:</w:t>
            </w:r>
          </w:p>
          <w:p w:rsidR="00AD76C7" w:rsidRDefault="00AD76C7">
            <w:pPr>
              <w:widowControl/>
              <w:jc w:val="left"/>
              <w:rPr>
                <w:rFonts w:ascii="Arial Narrow" w:hAnsi="Arial Narrow"/>
                <w:sz w:val="20"/>
                <w:lang w:eastAsia="en-AU"/>
              </w:rPr>
            </w:pPr>
            <w:r>
              <w:rPr>
                <w:rFonts w:ascii="Arial Narrow" w:hAnsi="Arial Narrow"/>
                <w:sz w:val="20"/>
                <w:lang w:eastAsia="en-AU"/>
              </w:rPr>
              <w:t xml:space="preserve">Department of Human Services </w:t>
            </w:r>
          </w:p>
          <w:p w:rsidR="00AD76C7" w:rsidRDefault="00AD76C7">
            <w:pPr>
              <w:widowControl/>
              <w:jc w:val="left"/>
              <w:rPr>
                <w:rFonts w:ascii="Arial Narrow" w:hAnsi="Arial Narrow"/>
                <w:sz w:val="20"/>
                <w:lang w:eastAsia="en-AU"/>
              </w:rPr>
            </w:pPr>
            <w:r>
              <w:rPr>
                <w:rFonts w:ascii="Arial Narrow" w:hAnsi="Arial Narrow"/>
                <w:sz w:val="20"/>
                <w:lang w:eastAsia="en-AU"/>
              </w:rPr>
              <w:t>Complex Drugs</w:t>
            </w:r>
          </w:p>
          <w:p w:rsidR="00AD76C7" w:rsidRDefault="00AD76C7">
            <w:pPr>
              <w:widowControl/>
              <w:jc w:val="left"/>
              <w:rPr>
                <w:rFonts w:ascii="Arial Narrow" w:hAnsi="Arial Narrow"/>
                <w:sz w:val="20"/>
                <w:lang w:eastAsia="en-AU"/>
              </w:rPr>
            </w:pPr>
            <w:r>
              <w:rPr>
                <w:rFonts w:ascii="Arial Narrow" w:hAnsi="Arial Narrow"/>
                <w:sz w:val="20"/>
                <w:lang w:eastAsia="en-AU"/>
              </w:rPr>
              <w:t>Reply Paid 9826</w:t>
            </w:r>
          </w:p>
          <w:p w:rsidR="00AD76C7" w:rsidRDefault="00AD76C7">
            <w:pPr>
              <w:widowControl/>
              <w:jc w:val="left"/>
              <w:rPr>
                <w:rFonts w:ascii="Arial Narrow" w:hAnsi="Arial Narrow"/>
                <w:sz w:val="20"/>
                <w:lang w:eastAsia="en-AU"/>
              </w:rPr>
            </w:pPr>
            <w:r>
              <w:rPr>
                <w:rFonts w:ascii="Arial Narrow" w:hAnsi="Arial Narrow"/>
                <w:sz w:val="20"/>
                <w:lang w:eastAsia="en-AU"/>
              </w:rPr>
              <w:t>HOBART TAS 7001</w:t>
            </w:r>
          </w:p>
          <w:p w:rsidR="00AD76C7" w:rsidRDefault="00AD76C7">
            <w:pPr>
              <w:widowControl/>
              <w:jc w:val="left"/>
              <w:rPr>
                <w:rFonts w:ascii="Arial Narrow" w:hAnsi="Arial Narrow"/>
                <w:sz w:val="20"/>
                <w:lang w:eastAsia="en-AU"/>
              </w:rPr>
            </w:pPr>
          </w:p>
          <w:p w:rsidR="00AD76C7" w:rsidRDefault="00AD76C7">
            <w:pPr>
              <w:widowControl/>
              <w:snapToGrid w:val="0"/>
              <w:jc w:val="left"/>
              <w:rPr>
                <w:rFonts w:ascii="Arial Narrow" w:hAnsi="Arial Narrow"/>
                <w:sz w:val="20"/>
                <w:lang w:eastAsia="en-AU"/>
              </w:rPr>
            </w:pPr>
            <w:r>
              <w:rPr>
                <w:rFonts w:ascii="Arial Narrow" w:hAnsi="Arial Narrow"/>
                <w:sz w:val="20"/>
                <w:lang w:eastAsia="en-AU"/>
              </w:rPr>
              <w:t>This drug is not PBS-subsidised when used in combination with PBS-subsidised dexamphetamine sulfate.</w:t>
            </w:r>
          </w:p>
        </w:tc>
      </w:tr>
    </w:tbl>
    <w:p w:rsidR="00AD76C7" w:rsidRDefault="00AD76C7" w:rsidP="00AD76C7">
      <w:pPr>
        <w:widowControl/>
        <w:jc w:val="left"/>
        <w:rPr>
          <w:szCs w:val="22"/>
          <w:lang w:eastAsia="en-AU"/>
        </w:rPr>
      </w:pPr>
    </w:p>
    <w:p w:rsidR="00AD76C7" w:rsidRDefault="00AD76C7" w:rsidP="00AD76C7">
      <w:pPr>
        <w:widowControl/>
        <w:jc w:val="left"/>
        <w:rPr>
          <w:szCs w:val="22"/>
          <w:lang w:eastAsia="en-AU"/>
        </w:rPr>
      </w:pPr>
    </w:p>
    <w:tbl>
      <w:tblPr>
        <w:tblW w:w="8363" w:type="dxa"/>
        <w:tblInd w:w="817" w:type="dxa"/>
        <w:tblLayout w:type="fixed"/>
        <w:tblLook w:val="04A0" w:firstRow="1" w:lastRow="0" w:firstColumn="1" w:lastColumn="0" w:noHBand="0" w:noVBand="1"/>
      </w:tblPr>
      <w:tblGrid>
        <w:gridCol w:w="2835"/>
        <w:gridCol w:w="5528"/>
      </w:tblGrid>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Category / Program</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GENERAL – General Schedule (Code GE)</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76C7" w:rsidRDefault="00AD76C7">
            <w:pPr>
              <w:widowControl/>
              <w:rPr>
                <w:rFonts w:ascii="Arial Narrow" w:hAnsi="Arial Narrow"/>
                <w:b/>
                <w:sz w:val="20"/>
                <w:lang w:eastAsia="en-AU"/>
              </w:rPr>
            </w:pPr>
            <w:r>
              <w:rPr>
                <w:rFonts w:ascii="Arial Narrow" w:hAnsi="Arial Narrow"/>
                <w:b/>
                <w:sz w:val="20"/>
                <w:lang w:eastAsia="en-AU"/>
              </w:rPr>
              <w:t>Prescriber type:</w:t>
            </w:r>
          </w:p>
          <w:p w:rsidR="00AD76C7" w:rsidRDefault="00AD76C7">
            <w:pPr>
              <w:widowControl/>
              <w:snapToGrid w:val="0"/>
              <w:rPr>
                <w:rFonts w:ascii="Arial Narrow" w:hAnsi="Arial Narrow"/>
                <w:b/>
                <w:sz w:val="20"/>
                <w:lang w:eastAsia="en-AU"/>
              </w:rPr>
            </w:pP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rsidP="00AD76C7">
            <w:pPr>
              <w:widowControl/>
              <w:jc w:val="left"/>
              <w:rPr>
                <w:rFonts w:ascii="Arial Narrow" w:hAnsi="Arial Narrow"/>
                <w:sz w:val="20"/>
                <w:lang w:eastAsia="en-AU"/>
              </w:rPr>
            </w:pPr>
            <w:r>
              <w:rPr>
                <w:rFonts w:ascii="Arial Narrow" w:hAnsi="Arial Narrow"/>
                <w:sz w:val="20"/>
                <w:lang w:eastAsia="en-AU"/>
              </w:rPr>
              <w:fldChar w:fldCharType="begin">
                <w:ffData>
                  <w:name w:val="Check1"/>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 xml:space="preserve">Dental  </w:t>
            </w:r>
            <w:r>
              <w:rPr>
                <w:rFonts w:ascii="Arial Narrow" w:hAnsi="Arial Narrow"/>
                <w:sz w:val="20"/>
                <w:lang w:eastAsia="en-AU"/>
              </w:rPr>
              <w:fldChar w:fldCharType="begin">
                <w:ffData>
                  <w:name w:val=""/>
                  <w:enabled/>
                  <w:calcOnExit w:val="0"/>
                  <w:checkBox>
                    <w:sizeAuto/>
                    <w:default w:val="1"/>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 xml:space="preserve">Medical Practitioners  </w:t>
            </w:r>
            <w:r>
              <w:rPr>
                <w:rFonts w:ascii="Arial Narrow" w:hAnsi="Arial Narrow"/>
                <w:sz w:val="20"/>
                <w:lang w:eastAsia="en-AU"/>
              </w:rPr>
              <w:fldChar w:fldCharType="begin">
                <w:ffData>
                  <w:name w:val="Check3"/>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 xml:space="preserve">Nurse practitioners  </w:t>
            </w:r>
            <w:r>
              <w:rPr>
                <w:rFonts w:ascii="Arial Narrow" w:hAnsi="Arial Narrow"/>
                <w:sz w:val="20"/>
                <w:lang w:eastAsia="en-AU"/>
              </w:rPr>
              <w:fldChar w:fldCharType="begin">
                <w:ffData>
                  <w:name w:val=""/>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 xml:space="preserve">Optometrists  </w:t>
            </w:r>
            <w:r>
              <w:rPr>
                <w:rFonts w:ascii="Arial Narrow" w:hAnsi="Arial Narrow"/>
                <w:sz w:val="20"/>
                <w:lang w:eastAsia="en-AU"/>
              </w:rPr>
              <w:fldChar w:fldCharType="begin">
                <w:ffData>
                  <w:name w:val="Check5"/>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Midwives</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Episodicity:</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Severity:</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Condition:</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Narcolepsy</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PBS Indication:</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Narcolepsy</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Treatment phase:</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Continuing treatment</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76C7" w:rsidRDefault="00AD76C7">
            <w:pPr>
              <w:widowControl/>
              <w:rPr>
                <w:rFonts w:ascii="Arial Narrow" w:hAnsi="Arial Narrow"/>
                <w:b/>
                <w:sz w:val="20"/>
                <w:lang w:eastAsia="en-AU"/>
              </w:rPr>
            </w:pPr>
            <w:r>
              <w:rPr>
                <w:rFonts w:ascii="Arial Narrow" w:hAnsi="Arial Narrow"/>
                <w:b/>
                <w:sz w:val="20"/>
                <w:lang w:eastAsia="en-AU"/>
              </w:rPr>
              <w:t>Restriction Level / Method:</w:t>
            </w:r>
          </w:p>
          <w:p w:rsidR="00AD76C7" w:rsidRDefault="00AD76C7">
            <w:pPr>
              <w:widowControl/>
              <w:snapToGrid w:val="0"/>
              <w:jc w:val="left"/>
              <w:rPr>
                <w:rFonts w:ascii="Arial Narrow" w:hAnsi="Arial Narrow"/>
                <w:i/>
                <w:sz w:val="20"/>
                <w:lang w:eastAsia="en-AU"/>
              </w:rPr>
            </w:pP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jc w:val="left"/>
              <w:rPr>
                <w:rFonts w:ascii="Arial Narrow" w:hAnsi="Arial Narrow"/>
                <w:sz w:val="20"/>
                <w:lang w:eastAsia="en-AU"/>
              </w:rPr>
            </w:pPr>
            <w:r>
              <w:rPr>
                <w:rFonts w:ascii="Arial Narrow" w:hAnsi="Arial Narrow"/>
                <w:sz w:val="20"/>
                <w:lang w:eastAsia="en-AU"/>
              </w:rPr>
              <w:fldChar w:fldCharType="begin">
                <w:ffData>
                  <w:name w:val="Check1"/>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Restricted benefit</w:t>
            </w:r>
          </w:p>
          <w:p w:rsidR="00AD76C7" w:rsidRDefault="00AD76C7">
            <w:pPr>
              <w:widowControl/>
              <w:jc w:val="left"/>
              <w:rPr>
                <w:rFonts w:ascii="Arial Narrow" w:hAnsi="Arial Narrow"/>
                <w:sz w:val="20"/>
                <w:lang w:eastAsia="en-AU"/>
              </w:rPr>
            </w:pPr>
            <w:r>
              <w:rPr>
                <w:rFonts w:ascii="Arial Narrow" w:hAnsi="Arial Narrow"/>
                <w:sz w:val="20"/>
                <w:lang w:eastAsia="en-AU"/>
              </w:rPr>
              <w:fldChar w:fldCharType="begin">
                <w:ffData>
                  <w:name w:val=""/>
                  <w:enabled/>
                  <w:calcOnExit w:val="0"/>
                  <w:checkBox>
                    <w:sizeAuto/>
                    <w:default w:val="1"/>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Authority Required - In Writing</w:t>
            </w:r>
          </w:p>
          <w:p w:rsidR="00AD76C7" w:rsidRDefault="00AD76C7">
            <w:pPr>
              <w:widowControl/>
              <w:jc w:val="left"/>
              <w:rPr>
                <w:rFonts w:ascii="Arial Narrow" w:hAnsi="Arial Narrow"/>
                <w:sz w:val="20"/>
                <w:lang w:eastAsia="en-AU"/>
              </w:rPr>
            </w:pPr>
            <w:r>
              <w:rPr>
                <w:rFonts w:ascii="Arial Narrow" w:hAnsi="Arial Narrow"/>
                <w:sz w:val="20"/>
                <w:lang w:eastAsia="en-AU"/>
              </w:rPr>
              <w:fldChar w:fldCharType="begin">
                <w:ffData>
                  <w:name w:val="Check3"/>
                  <w:enabled/>
                  <w:calcOnExit w:val="0"/>
                  <w:checkBox>
                    <w:sizeAuto/>
                    <w:default w:val="1"/>
                  </w:checkBox>
                </w:ffData>
              </w:fldChar>
            </w:r>
            <w:bookmarkStart w:id="8" w:name="Check3"/>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fldChar w:fldCharType="end"/>
            </w:r>
            <w:bookmarkEnd w:id="8"/>
            <w:r>
              <w:rPr>
                <w:rFonts w:ascii="Arial Narrow" w:hAnsi="Arial Narrow"/>
                <w:sz w:val="20"/>
                <w:lang w:eastAsia="en-AU"/>
              </w:rPr>
              <w:t>Authority Required - Telephone</w:t>
            </w:r>
          </w:p>
          <w:p w:rsidR="00AD76C7" w:rsidRDefault="00AD76C7">
            <w:pPr>
              <w:widowControl/>
              <w:jc w:val="left"/>
              <w:rPr>
                <w:rFonts w:ascii="Arial Narrow" w:hAnsi="Arial Narrow"/>
                <w:sz w:val="20"/>
                <w:lang w:eastAsia="en-AU"/>
              </w:rPr>
            </w:pPr>
            <w:r>
              <w:rPr>
                <w:rFonts w:ascii="Arial Narrow" w:hAnsi="Arial Narrow"/>
                <w:sz w:val="20"/>
                <w:lang w:eastAsia="en-AU"/>
              </w:rPr>
              <w:fldChar w:fldCharType="begin">
                <w:ffData>
                  <w:name w:val=""/>
                  <w:enabled/>
                  <w:calcOnExit w:val="0"/>
                  <w:checkBox>
                    <w:sizeAuto/>
                    <w:default w:val="1"/>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Authority Required – Emergency</w:t>
            </w:r>
          </w:p>
          <w:p w:rsidR="00AD76C7" w:rsidRDefault="00AD76C7">
            <w:pPr>
              <w:widowControl/>
              <w:jc w:val="left"/>
              <w:rPr>
                <w:rFonts w:ascii="Arial Narrow" w:hAnsi="Arial Narrow"/>
                <w:sz w:val="20"/>
                <w:lang w:eastAsia="en-AU"/>
              </w:rPr>
            </w:pPr>
            <w:r>
              <w:rPr>
                <w:rFonts w:ascii="Arial Narrow" w:hAnsi="Arial Narrow"/>
                <w:sz w:val="20"/>
                <w:lang w:eastAsia="en-AU"/>
              </w:rPr>
              <w:fldChar w:fldCharType="begin">
                <w:ffData>
                  <w:name w:val="Check5"/>
                  <w:enabled/>
                  <w:calcOnExit w:val="0"/>
                  <w:checkBox>
                    <w:sizeAuto/>
                    <w:default w:val="1"/>
                  </w:checkBox>
                </w:ffData>
              </w:fldChar>
            </w:r>
            <w:bookmarkStart w:id="9" w:name="Check5"/>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fldChar w:fldCharType="end"/>
            </w:r>
            <w:bookmarkEnd w:id="9"/>
            <w:r>
              <w:rPr>
                <w:rFonts w:ascii="Arial Narrow" w:hAnsi="Arial Narrow"/>
                <w:sz w:val="20"/>
                <w:lang w:eastAsia="en-AU"/>
              </w:rPr>
              <w:t>Authority Required - Electronic</w:t>
            </w:r>
          </w:p>
          <w:p w:rsidR="00AD76C7" w:rsidRDefault="00AD76C7">
            <w:pPr>
              <w:widowControl/>
              <w:snapToGrid w:val="0"/>
              <w:jc w:val="left"/>
              <w:rPr>
                <w:rFonts w:ascii="Arial Narrow" w:hAnsi="Arial Narrow"/>
                <w:sz w:val="20"/>
                <w:lang w:eastAsia="en-AU"/>
              </w:rPr>
            </w:pPr>
            <w:r>
              <w:rPr>
                <w:rFonts w:ascii="Arial Narrow" w:hAnsi="Arial Narrow"/>
                <w:sz w:val="20"/>
                <w:lang w:eastAsia="en-AU"/>
              </w:rPr>
              <w:fldChar w:fldCharType="begin">
                <w:ffData>
                  <w:name w:val="Check5"/>
                  <w:enabled/>
                  <w:calcOnExit w:val="0"/>
                  <w:checkBox>
                    <w:sizeAuto/>
                    <w:default w:val="0"/>
                  </w:checkBox>
                </w:ffData>
              </w:fldChar>
            </w:r>
            <w:r>
              <w:rPr>
                <w:rFonts w:ascii="Arial Narrow" w:hAnsi="Arial Narrow"/>
                <w:sz w:val="20"/>
                <w:lang w:eastAsia="en-AU"/>
              </w:rPr>
              <w:instrText xml:space="preserve"> FORMCHECKBOX </w:instrText>
            </w:r>
            <w:r w:rsidR="00452513">
              <w:rPr>
                <w:rFonts w:ascii="Arial Narrow" w:hAnsi="Arial Narrow"/>
                <w:sz w:val="20"/>
                <w:lang w:eastAsia="en-AU"/>
              </w:rPr>
            </w:r>
            <w:r w:rsidR="00452513">
              <w:rPr>
                <w:rFonts w:ascii="Arial Narrow" w:hAnsi="Arial Narrow"/>
                <w:sz w:val="20"/>
                <w:lang w:eastAsia="en-AU"/>
              </w:rPr>
              <w:fldChar w:fldCharType="separate"/>
            </w:r>
            <w:r>
              <w:rPr>
                <w:rFonts w:ascii="Arial Narrow" w:hAnsi="Arial Narrow"/>
                <w:sz w:val="20"/>
                <w:lang w:eastAsia="en-AU"/>
              </w:rPr>
              <w:fldChar w:fldCharType="end"/>
            </w:r>
            <w:r>
              <w:rPr>
                <w:rFonts w:ascii="Arial Narrow" w:hAnsi="Arial Narrow"/>
                <w:sz w:val="20"/>
                <w:lang w:eastAsia="en-AU"/>
              </w:rPr>
              <w:t>Streamlined</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rPr>
                <w:rFonts w:ascii="Arial Narrow" w:hAnsi="Arial Narrow"/>
                <w:b/>
                <w:sz w:val="20"/>
                <w:lang w:eastAsia="en-AU"/>
              </w:rPr>
            </w:pPr>
            <w:r>
              <w:rPr>
                <w:rFonts w:ascii="Arial Narrow" w:hAnsi="Arial Narrow"/>
                <w:b/>
                <w:sz w:val="20"/>
                <w:lang w:eastAsia="en-AU"/>
              </w:rPr>
              <w:t>Clinical criteria:</w:t>
            </w:r>
          </w:p>
        </w:tc>
        <w:tc>
          <w:tcPr>
            <w:tcW w:w="5528" w:type="dxa"/>
            <w:tcBorders>
              <w:top w:val="single" w:sz="4" w:space="0" w:color="auto"/>
              <w:left w:val="single" w:sz="4" w:space="0" w:color="auto"/>
              <w:bottom w:val="single" w:sz="4" w:space="0" w:color="auto"/>
              <w:right w:val="single" w:sz="4" w:space="0" w:color="auto"/>
            </w:tcBorders>
            <w:hideMark/>
          </w:tcPr>
          <w:p w:rsidR="00AD76C7" w:rsidRDefault="00AD76C7">
            <w:pPr>
              <w:widowControl/>
              <w:snapToGrid w:val="0"/>
              <w:jc w:val="left"/>
              <w:rPr>
                <w:rFonts w:ascii="Arial Narrow" w:hAnsi="Arial Narrow"/>
                <w:sz w:val="20"/>
                <w:lang w:eastAsia="en-AU"/>
              </w:rPr>
            </w:pPr>
            <w:r>
              <w:rPr>
                <w:rFonts w:ascii="Arial Narrow" w:hAnsi="Arial Narrow"/>
                <w:sz w:val="20"/>
                <w:lang w:eastAsia="en-AU"/>
              </w:rPr>
              <w:t>Patient must have previously been issued with an authority prescription for this drug.</w:t>
            </w:r>
          </w:p>
        </w:tc>
      </w:tr>
      <w:tr w:rsidR="00AD76C7" w:rsidTr="00AD76C7">
        <w:trPr>
          <w:cantSplit/>
          <w:trHeight w:val="360"/>
        </w:trPr>
        <w:tc>
          <w:tcPr>
            <w:tcW w:w="2835" w:type="dxa"/>
            <w:tcBorders>
              <w:top w:val="single" w:sz="4" w:space="0" w:color="auto"/>
              <w:left w:val="single" w:sz="4" w:space="0" w:color="auto"/>
              <w:bottom w:val="single" w:sz="4" w:space="0" w:color="auto"/>
              <w:right w:val="single" w:sz="4" w:space="0" w:color="auto"/>
            </w:tcBorders>
          </w:tcPr>
          <w:p w:rsidR="00AD76C7" w:rsidRDefault="00AD76C7">
            <w:pPr>
              <w:widowControl/>
              <w:rPr>
                <w:rFonts w:ascii="Arial Narrow" w:hAnsi="Arial Narrow"/>
                <w:b/>
                <w:sz w:val="20"/>
                <w:lang w:eastAsia="en-AU"/>
              </w:rPr>
            </w:pPr>
            <w:r>
              <w:rPr>
                <w:rFonts w:ascii="Arial Narrow" w:hAnsi="Arial Narrow"/>
                <w:b/>
                <w:sz w:val="20"/>
                <w:lang w:eastAsia="en-AU"/>
              </w:rPr>
              <w:t>Administrative Advice 1</w:t>
            </w: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r>
              <w:rPr>
                <w:rFonts w:ascii="Arial Narrow" w:hAnsi="Arial Narrow"/>
                <w:b/>
                <w:sz w:val="20"/>
                <w:lang w:eastAsia="en-AU"/>
              </w:rPr>
              <w:t>Administrative Advice 2</w:t>
            </w: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rPr>
                <w:rFonts w:ascii="Arial Narrow" w:hAnsi="Arial Narrow"/>
                <w:b/>
                <w:sz w:val="20"/>
                <w:lang w:eastAsia="en-AU"/>
              </w:rPr>
            </w:pPr>
          </w:p>
          <w:p w:rsidR="00AD76C7" w:rsidRDefault="00AD76C7">
            <w:pPr>
              <w:widowControl/>
              <w:snapToGrid w:val="0"/>
              <w:rPr>
                <w:rFonts w:ascii="Arial Narrow" w:hAnsi="Arial Narrow"/>
                <w:b/>
                <w:sz w:val="20"/>
                <w:lang w:eastAsia="en-AU"/>
              </w:rPr>
            </w:pPr>
            <w:r>
              <w:rPr>
                <w:rFonts w:ascii="Arial Narrow" w:hAnsi="Arial Narrow"/>
                <w:b/>
                <w:sz w:val="20"/>
                <w:lang w:eastAsia="en-AU"/>
              </w:rPr>
              <w:t>Administrative Advice 3</w:t>
            </w:r>
          </w:p>
        </w:tc>
        <w:tc>
          <w:tcPr>
            <w:tcW w:w="5528" w:type="dxa"/>
            <w:tcBorders>
              <w:top w:val="single" w:sz="4" w:space="0" w:color="auto"/>
              <w:left w:val="single" w:sz="4" w:space="0" w:color="auto"/>
              <w:bottom w:val="single" w:sz="4" w:space="0" w:color="auto"/>
              <w:right w:val="single" w:sz="4" w:space="0" w:color="auto"/>
            </w:tcBorders>
          </w:tcPr>
          <w:p w:rsidR="00AD76C7" w:rsidRDefault="00AD76C7">
            <w:pPr>
              <w:widowControl/>
              <w:jc w:val="left"/>
              <w:rPr>
                <w:rFonts w:ascii="Arial Narrow" w:hAnsi="Arial Narrow"/>
                <w:sz w:val="20"/>
                <w:lang w:eastAsia="en-AU"/>
              </w:rPr>
            </w:pPr>
            <w:r>
              <w:rPr>
                <w:rFonts w:ascii="Arial Narrow" w:hAnsi="Arial Narrow"/>
                <w:sz w:val="20"/>
                <w:lang w:eastAsia="en-AU"/>
              </w:rPr>
              <w:t xml:space="preserve">Authority applications for continuing treatment may be made by telephone to the Department of Human Services on 1800 700 270 (hours of operation 8 a.m. to 5 p.m. EST Monday to Friday). </w:t>
            </w:r>
          </w:p>
          <w:p w:rsidR="00AD76C7" w:rsidRDefault="00AD76C7">
            <w:pPr>
              <w:widowControl/>
              <w:jc w:val="left"/>
              <w:rPr>
                <w:rFonts w:ascii="Arial Narrow" w:hAnsi="Arial Narrow"/>
                <w:sz w:val="20"/>
                <w:lang w:eastAsia="en-AU"/>
              </w:rPr>
            </w:pPr>
          </w:p>
          <w:p w:rsidR="00AD76C7" w:rsidRDefault="00AD76C7">
            <w:pPr>
              <w:widowControl/>
              <w:jc w:val="left"/>
              <w:rPr>
                <w:rFonts w:ascii="Arial Narrow" w:hAnsi="Arial Narrow"/>
                <w:sz w:val="20"/>
                <w:lang w:eastAsia="en-AU"/>
              </w:rPr>
            </w:pPr>
            <w:r>
              <w:rPr>
                <w:rFonts w:ascii="Arial Narrow" w:hAnsi="Arial Narrow"/>
                <w:sz w:val="20"/>
                <w:lang w:eastAsia="en-AU"/>
              </w:rPr>
              <w:t xml:space="preserve">Written applications for authority to prescribe should be forwarded to: </w:t>
            </w:r>
          </w:p>
          <w:p w:rsidR="00AD76C7" w:rsidRDefault="00AD76C7">
            <w:pPr>
              <w:widowControl/>
              <w:jc w:val="left"/>
              <w:rPr>
                <w:rFonts w:ascii="Arial Narrow" w:hAnsi="Arial Narrow"/>
                <w:sz w:val="20"/>
                <w:lang w:eastAsia="en-AU"/>
              </w:rPr>
            </w:pPr>
            <w:r>
              <w:rPr>
                <w:rFonts w:ascii="Arial Narrow" w:hAnsi="Arial Narrow"/>
                <w:sz w:val="20"/>
                <w:lang w:eastAsia="en-AU"/>
              </w:rPr>
              <w:t>Department of Human Services</w:t>
            </w:r>
          </w:p>
          <w:p w:rsidR="00AD76C7" w:rsidRDefault="00AD76C7">
            <w:pPr>
              <w:widowControl/>
              <w:jc w:val="left"/>
              <w:rPr>
                <w:rFonts w:ascii="Arial Narrow" w:hAnsi="Arial Narrow"/>
                <w:sz w:val="20"/>
                <w:lang w:eastAsia="en-AU"/>
              </w:rPr>
            </w:pPr>
            <w:r>
              <w:rPr>
                <w:rFonts w:ascii="Arial Narrow" w:hAnsi="Arial Narrow"/>
                <w:sz w:val="20"/>
                <w:lang w:eastAsia="en-AU"/>
              </w:rPr>
              <w:t xml:space="preserve">Complex Drugs </w:t>
            </w:r>
          </w:p>
          <w:p w:rsidR="00AD76C7" w:rsidRDefault="00AD76C7">
            <w:pPr>
              <w:widowControl/>
              <w:jc w:val="left"/>
              <w:rPr>
                <w:rFonts w:ascii="Arial Narrow" w:hAnsi="Arial Narrow"/>
                <w:sz w:val="20"/>
                <w:lang w:eastAsia="en-AU"/>
              </w:rPr>
            </w:pPr>
            <w:r>
              <w:rPr>
                <w:rFonts w:ascii="Arial Narrow" w:hAnsi="Arial Narrow"/>
                <w:sz w:val="20"/>
                <w:lang w:eastAsia="en-AU"/>
              </w:rPr>
              <w:t xml:space="preserve">Reply Paid 9826 </w:t>
            </w:r>
          </w:p>
          <w:p w:rsidR="00AD76C7" w:rsidRDefault="00AD76C7">
            <w:pPr>
              <w:widowControl/>
              <w:jc w:val="left"/>
              <w:rPr>
                <w:rFonts w:ascii="Arial Narrow" w:hAnsi="Arial Narrow"/>
                <w:sz w:val="20"/>
                <w:lang w:eastAsia="en-AU"/>
              </w:rPr>
            </w:pPr>
            <w:r>
              <w:rPr>
                <w:rFonts w:ascii="Arial Narrow" w:hAnsi="Arial Narrow"/>
                <w:sz w:val="20"/>
                <w:lang w:eastAsia="en-AU"/>
              </w:rPr>
              <w:t>HOBART TAS 7001</w:t>
            </w:r>
          </w:p>
          <w:p w:rsidR="00AD76C7" w:rsidRDefault="00AD76C7">
            <w:pPr>
              <w:widowControl/>
              <w:jc w:val="left"/>
              <w:rPr>
                <w:rFonts w:ascii="Arial Narrow" w:hAnsi="Arial Narrow"/>
                <w:sz w:val="20"/>
                <w:lang w:eastAsia="en-AU"/>
              </w:rPr>
            </w:pPr>
            <w:r>
              <w:rPr>
                <w:rFonts w:ascii="Arial Narrow" w:hAnsi="Arial Narrow"/>
                <w:sz w:val="20"/>
                <w:lang w:eastAsia="en-AU"/>
              </w:rPr>
              <w:t xml:space="preserve"> </w:t>
            </w:r>
          </w:p>
          <w:p w:rsidR="00AD76C7" w:rsidRDefault="00AD76C7">
            <w:pPr>
              <w:widowControl/>
              <w:snapToGrid w:val="0"/>
              <w:jc w:val="left"/>
              <w:rPr>
                <w:rFonts w:ascii="Arial Narrow" w:hAnsi="Arial Narrow"/>
                <w:sz w:val="20"/>
                <w:lang w:eastAsia="en-AU"/>
              </w:rPr>
            </w:pPr>
            <w:r>
              <w:rPr>
                <w:rFonts w:ascii="Arial Narrow" w:hAnsi="Arial Narrow"/>
                <w:sz w:val="20"/>
                <w:lang w:eastAsia="en-AU"/>
              </w:rPr>
              <w:t>This drug is not PBS-subsidised when used in combination with PBS-subsidised dexamphetamine sulfate.</w:t>
            </w:r>
          </w:p>
        </w:tc>
      </w:tr>
    </w:tbl>
    <w:p w:rsidR="00AD76C7" w:rsidRDefault="00AD76C7" w:rsidP="00713488"/>
    <w:p w:rsidR="00713488" w:rsidRPr="00A7692B" w:rsidRDefault="00713488" w:rsidP="00713488">
      <w:pPr>
        <w:pStyle w:val="ListParagraph"/>
        <w:widowControl/>
        <w:numPr>
          <w:ilvl w:val="1"/>
          <w:numId w:val="10"/>
        </w:numPr>
        <w:rPr>
          <w:szCs w:val="22"/>
        </w:rPr>
      </w:pPr>
      <w:r w:rsidRPr="00A7692B">
        <w:t xml:space="preserve">The wording of the proposed PBS restriction for armodafinil </w:t>
      </w:r>
      <w:r w:rsidR="0093129C">
        <w:t>wa</w:t>
      </w:r>
      <w:r w:rsidRPr="00A7692B">
        <w:t>s identical to that of the current listing for modafinil, the main comparator. The current modafinil restriction was largely based upon the International Classification of Sleep Disorders, 2</w:t>
      </w:r>
      <w:r w:rsidRPr="00A7692B">
        <w:rPr>
          <w:vertAlign w:val="superscript"/>
        </w:rPr>
        <w:t>nd</w:t>
      </w:r>
      <w:r w:rsidRPr="00A7692B">
        <w:t xml:space="preserve"> edition </w:t>
      </w:r>
      <w:r w:rsidRPr="00A7692B">
        <w:lastRenderedPageBreak/>
        <w:t>(ICSD-2)</w:t>
      </w:r>
      <w:r w:rsidRPr="00A7692B">
        <w:rPr>
          <w:rStyle w:val="FootnoteReference"/>
        </w:rPr>
        <w:footnoteReference w:id="1"/>
      </w:r>
      <w:r w:rsidRPr="00A7692B">
        <w:t>, with less strict diagnostic criteria</w:t>
      </w:r>
      <w:r w:rsidRPr="00645C15">
        <w:rPr>
          <w:rStyle w:val="FootnoteReference"/>
          <w:szCs w:val="22"/>
        </w:rPr>
        <w:footnoteReference w:id="2"/>
      </w:r>
      <w:r w:rsidR="00645C15">
        <w:t xml:space="preserve"> </w:t>
      </w:r>
      <w:r w:rsidRPr="00A7692B">
        <w:t>to reflect clinical experience in the diagnosis of narcolepsy and the clinical need for modafinil, as per request from the Australasian Sleep Association (ASA) and the Australian New Zealand Association of Neurologists (ANZAN) (March 2009 PBAC Outcomes – Positive Recommendations). The nomenclature, classification and diagnosis of narcolepsy have been revised according to the International Classification of Sleep Disorders, 3</w:t>
      </w:r>
      <w:r w:rsidRPr="00A7692B">
        <w:rPr>
          <w:vertAlign w:val="superscript"/>
        </w:rPr>
        <w:t>rd</w:t>
      </w:r>
      <w:r w:rsidRPr="00A7692B">
        <w:t xml:space="preserve"> edition (ICSD-3) (published in 2014)</w:t>
      </w:r>
      <w:r w:rsidRPr="00A7692B">
        <w:rPr>
          <w:rStyle w:val="FootnoteReference"/>
        </w:rPr>
        <w:footnoteReference w:id="3"/>
      </w:r>
      <w:r w:rsidRPr="00A7692B">
        <w:t>. The submission indicated that the sponsor is willing to discuss changes to the listing, should the PBAC consider this necessary.</w:t>
      </w:r>
    </w:p>
    <w:p w:rsidR="00713488" w:rsidRPr="00A7692B" w:rsidRDefault="00713488" w:rsidP="00713488">
      <w:pPr>
        <w:pStyle w:val="ListParagraph"/>
        <w:widowControl/>
        <w:rPr>
          <w:szCs w:val="22"/>
        </w:rPr>
      </w:pPr>
    </w:p>
    <w:p w:rsidR="00713488" w:rsidRPr="00A7692B" w:rsidRDefault="00713488" w:rsidP="00713488">
      <w:pPr>
        <w:pStyle w:val="ListParagraph"/>
        <w:widowControl/>
        <w:numPr>
          <w:ilvl w:val="1"/>
          <w:numId w:val="10"/>
        </w:numPr>
        <w:rPr>
          <w:szCs w:val="22"/>
        </w:rPr>
      </w:pPr>
      <w:r w:rsidRPr="00A7692B">
        <w:rPr>
          <w:szCs w:val="22"/>
        </w:rPr>
        <w:t xml:space="preserve">Listing was sought on </w:t>
      </w:r>
      <w:r w:rsidR="004856A9">
        <w:rPr>
          <w:szCs w:val="22"/>
        </w:rPr>
        <w:t>a</w:t>
      </w:r>
      <w:r w:rsidR="004856A9" w:rsidRPr="00A7692B">
        <w:rPr>
          <w:szCs w:val="22"/>
        </w:rPr>
        <w:t xml:space="preserve"> cost-minimisation </w:t>
      </w:r>
      <w:r w:rsidRPr="00A7692B">
        <w:rPr>
          <w:szCs w:val="22"/>
        </w:rPr>
        <w:t xml:space="preserve">basis to modafinil. However, there were concerns regarding the claimed equi-effective doses between armodafinil and modafinil (see below). </w:t>
      </w:r>
    </w:p>
    <w:p w:rsidR="00713488" w:rsidRDefault="00713488" w:rsidP="00713488"/>
    <w:p w:rsidR="00D035D2" w:rsidRPr="00882085" w:rsidRDefault="00D035D2" w:rsidP="00713488"/>
    <w:p w:rsidR="00713488" w:rsidRPr="00407F2D" w:rsidRDefault="00713488" w:rsidP="00713488">
      <w:pPr>
        <w:pStyle w:val="PBACHeading1"/>
      </w:pPr>
      <w:bookmarkStart w:id="10" w:name="_Toc429660428"/>
      <w:r w:rsidRPr="00407F2D">
        <w:t>Background</w:t>
      </w:r>
      <w:bookmarkEnd w:id="10"/>
    </w:p>
    <w:p w:rsidR="00713488" w:rsidRPr="00882085" w:rsidRDefault="00713488" w:rsidP="00713488">
      <w:pPr>
        <w:rPr>
          <w:szCs w:val="22"/>
        </w:rPr>
      </w:pPr>
    </w:p>
    <w:p w:rsidR="00713488" w:rsidRPr="004856A9" w:rsidRDefault="00713488" w:rsidP="00985CED">
      <w:pPr>
        <w:pStyle w:val="ListParagraph"/>
        <w:widowControl/>
        <w:numPr>
          <w:ilvl w:val="1"/>
          <w:numId w:val="10"/>
        </w:numPr>
        <w:rPr>
          <w:szCs w:val="22"/>
        </w:rPr>
      </w:pPr>
      <w:r w:rsidRPr="004856A9">
        <w:t xml:space="preserve">The submission was made under </w:t>
      </w:r>
      <w:r w:rsidR="00372CB8" w:rsidRPr="004856A9">
        <w:t xml:space="preserve">Therapeutic </w:t>
      </w:r>
      <w:r w:rsidR="004856A9" w:rsidRPr="004856A9">
        <w:t>G</w:t>
      </w:r>
      <w:r w:rsidR="00372CB8" w:rsidRPr="004856A9">
        <w:t>oods Administration (</w:t>
      </w:r>
      <w:r w:rsidRPr="004856A9">
        <w:t>TGA</w:t>
      </w:r>
      <w:r w:rsidR="00372CB8" w:rsidRPr="004856A9">
        <w:t>)</w:t>
      </w:r>
      <w:r w:rsidRPr="004856A9">
        <w:t xml:space="preserve">/PBAC Parallel Process. An application for marketing authorisation was submitted to the </w:t>
      </w:r>
      <w:r w:rsidR="00372CB8" w:rsidRPr="004856A9">
        <w:t>TGA</w:t>
      </w:r>
      <w:r w:rsidRPr="004856A9">
        <w:t xml:space="preserve"> in August 2014. </w:t>
      </w:r>
      <w:r w:rsidR="00157BD6" w:rsidRPr="004856A9">
        <w:t>In a request for the Advisory Committee on Prescription Medicines (ACPM)</w:t>
      </w:r>
      <w:r w:rsidR="006B6D3F" w:rsidRPr="004856A9">
        <w:t xml:space="preserve"> advice</w:t>
      </w:r>
      <w:r w:rsidR="00157BD6" w:rsidRPr="004856A9">
        <w:t>, which became available during the evaluation, the</w:t>
      </w:r>
      <w:r w:rsidR="00157BD6" w:rsidRPr="004856A9">
        <w:rPr>
          <w:i/>
        </w:rPr>
        <w:t xml:space="preserve"> </w:t>
      </w:r>
      <w:r w:rsidR="000C7595" w:rsidRPr="004856A9">
        <w:t xml:space="preserve">Delegate </w:t>
      </w:r>
      <w:r w:rsidR="00157BD6" w:rsidRPr="004856A9">
        <w:t xml:space="preserve">recommended </w:t>
      </w:r>
      <w:r w:rsidR="000C7595" w:rsidRPr="004856A9">
        <w:t>the registration of armodafinil</w:t>
      </w:r>
      <w:r w:rsidR="00157BD6" w:rsidRPr="004856A9">
        <w:t xml:space="preserve"> for the following indications</w:t>
      </w:r>
      <w:r w:rsidR="000C7595" w:rsidRPr="004856A9">
        <w:t xml:space="preserve">: 1) to improve wakefulness in patients with excessive daytime sleepiness associated with narcolepsy; 2) to treat excessive sleepiness associated with </w:t>
      </w:r>
      <w:r w:rsidR="00985CED" w:rsidRPr="004856A9">
        <w:t>moderate to severe chronic shift work sleep disorder where non</w:t>
      </w:r>
      <w:r w:rsidR="00157BD6" w:rsidRPr="004856A9">
        <w:t>-</w:t>
      </w:r>
      <w:r w:rsidR="00985CED" w:rsidRPr="004856A9">
        <w:t>pharmacological interventions are unsuccessful or inappropriate; and 3) as an adjunct to continuous positive airways pressure in obstructive sleep apnoea/hypopnoea syndrome in order to improve wakefulness.</w:t>
      </w:r>
      <w:r w:rsidR="000C7595" w:rsidRPr="004856A9">
        <w:t xml:space="preserve"> </w:t>
      </w:r>
      <w:r w:rsidRPr="004856A9">
        <w:t xml:space="preserve">The application </w:t>
      </w:r>
      <w:r w:rsidR="00252578" w:rsidRPr="00E65A7F">
        <w:t xml:space="preserve">was </w:t>
      </w:r>
      <w:r w:rsidRPr="004856A9">
        <w:t xml:space="preserve">considered </w:t>
      </w:r>
      <w:r w:rsidR="000C7595" w:rsidRPr="004856A9">
        <w:t>at the</w:t>
      </w:r>
      <w:r w:rsidRPr="004856A9">
        <w:t xml:space="preserve"> </w:t>
      </w:r>
      <w:r w:rsidR="00157BD6" w:rsidRPr="004856A9">
        <w:t>ACPM</w:t>
      </w:r>
      <w:r w:rsidRPr="004856A9">
        <w:t xml:space="preserve"> </w:t>
      </w:r>
      <w:r w:rsidR="000C7595" w:rsidRPr="004856A9">
        <w:t>meeting on 2</w:t>
      </w:r>
      <w:r w:rsidR="000C7595" w:rsidRPr="004856A9">
        <w:rPr>
          <w:vertAlign w:val="superscript"/>
        </w:rPr>
        <w:t>nd</w:t>
      </w:r>
      <w:r w:rsidR="000C7595" w:rsidRPr="004856A9">
        <w:t xml:space="preserve"> October 2015</w:t>
      </w:r>
      <w:r w:rsidRPr="004856A9">
        <w:t>.</w:t>
      </w:r>
      <w:r w:rsidRPr="004856A9">
        <w:rPr>
          <w:i/>
        </w:rPr>
        <w:t xml:space="preserve"> </w:t>
      </w:r>
    </w:p>
    <w:p w:rsidR="00713488" w:rsidRPr="00882085" w:rsidRDefault="00713488" w:rsidP="00713488">
      <w:pPr>
        <w:pStyle w:val="ListParagraph"/>
        <w:rPr>
          <w:szCs w:val="22"/>
        </w:rPr>
      </w:pPr>
    </w:p>
    <w:p w:rsidR="00713488" w:rsidRPr="00A7692B" w:rsidRDefault="00713488" w:rsidP="00713488">
      <w:pPr>
        <w:pStyle w:val="ListParagraph"/>
        <w:widowControl/>
        <w:numPr>
          <w:ilvl w:val="1"/>
          <w:numId w:val="10"/>
        </w:numPr>
        <w:rPr>
          <w:szCs w:val="22"/>
        </w:rPr>
      </w:pPr>
      <w:r w:rsidRPr="00A7692B">
        <w:rPr>
          <w:szCs w:val="22"/>
        </w:rPr>
        <w:t xml:space="preserve">This </w:t>
      </w:r>
      <w:r w:rsidR="0093129C">
        <w:rPr>
          <w:szCs w:val="22"/>
        </w:rPr>
        <w:t>wa</w:t>
      </w:r>
      <w:r w:rsidRPr="00A7692B">
        <w:rPr>
          <w:szCs w:val="22"/>
        </w:rPr>
        <w:t>s the first submission to the PBAC for armodafinil for the treatment of excessive daytime sleepiness associated with narcolepsy.</w:t>
      </w:r>
    </w:p>
    <w:p w:rsidR="00713488" w:rsidRDefault="00713488" w:rsidP="00713488"/>
    <w:p w:rsidR="00D035D2" w:rsidRPr="00882085" w:rsidRDefault="00D035D2" w:rsidP="00713488"/>
    <w:p w:rsidR="00713488" w:rsidRPr="00407F2D" w:rsidRDefault="00713488" w:rsidP="00713488">
      <w:pPr>
        <w:pStyle w:val="PBACHeading1"/>
      </w:pPr>
      <w:bookmarkStart w:id="11" w:name="_Toc429660429"/>
      <w:r w:rsidRPr="00407F2D">
        <w:t>Clinical place for the proposed therapy</w:t>
      </w:r>
      <w:bookmarkEnd w:id="11"/>
    </w:p>
    <w:p w:rsidR="00713488" w:rsidRPr="00882085" w:rsidRDefault="00713488" w:rsidP="00713488">
      <w:pPr>
        <w:rPr>
          <w:szCs w:val="22"/>
        </w:rPr>
      </w:pPr>
    </w:p>
    <w:p w:rsidR="00713488" w:rsidRPr="008E386A" w:rsidRDefault="00713488" w:rsidP="00713488">
      <w:pPr>
        <w:pStyle w:val="ListParagraph"/>
        <w:widowControl/>
        <w:numPr>
          <w:ilvl w:val="1"/>
          <w:numId w:val="10"/>
        </w:numPr>
        <w:rPr>
          <w:szCs w:val="22"/>
        </w:rPr>
      </w:pPr>
      <w:r w:rsidRPr="003432D7">
        <w:rPr>
          <w:lang w:val="en-GB"/>
        </w:rPr>
        <w:t>Narcolepsy is a debilitating lifelong sleep disorder</w:t>
      </w:r>
      <w:r>
        <w:rPr>
          <w:lang w:val="en-GB"/>
        </w:rPr>
        <w:t xml:space="preserve">, </w:t>
      </w:r>
      <w:r>
        <w:t>interfering with every aspect of life, in work and social settings.</w:t>
      </w:r>
      <w:r w:rsidRPr="005037F5">
        <w:rPr>
          <w:lang w:val="en-GB"/>
        </w:rPr>
        <w:t xml:space="preserve"> </w:t>
      </w:r>
      <w:r w:rsidRPr="003432D7">
        <w:rPr>
          <w:lang w:val="en-GB"/>
        </w:rPr>
        <w:t>Excessive daytime sleepiness is the main symptom of narcolepsy</w:t>
      </w:r>
      <w:r>
        <w:rPr>
          <w:lang w:val="en-GB"/>
        </w:rPr>
        <w:t xml:space="preserve"> and is a lifelong condition, although it diminishes with age</w:t>
      </w:r>
      <w:r w:rsidRPr="003432D7">
        <w:rPr>
          <w:lang w:val="en-GB"/>
        </w:rPr>
        <w:t xml:space="preserve">. </w:t>
      </w:r>
      <w:r>
        <w:rPr>
          <w:lang w:val="en-GB"/>
        </w:rPr>
        <w:t xml:space="preserve">The current PBS reimbursed treatment for excessive daytime sleepiness associated with narcolepsy is </w:t>
      </w:r>
      <w:r w:rsidRPr="009F4C02">
        <w:rPr>
          <w:lang w:val="en-GB"/>
        </w:rPr>
        <w:t xml:space="preserve">dexamphetamine </w:t>
      </w:r>
      <w:r>
        <w:rPr>
          <w:lang w:val="en-GB"/>
        </w:rPr>
        <w:t xml:space="preserve">sulphate and modafinil when dexamphetamine sulphate is </w:t>
      </w:r>
      <w:r w:rsidRPr="008E386A">
        <w:rPr>
          <w:lang w:val="en-GB"/>
        </w:rPr>
        <w:t>unsuitable</w:t>
      </w:r>
      <w:r w:rsidR="0095552B" w:rsidRPr="008E386A">
        <w:rPr>
          <w:lang w:val="en-GB"/>
        </w:rPr>
        <w:t xml:space="preserve"> due to contraindications or side-effects</w:t>
      </w:r>
      <w:r w:rsidRPr="008E386A">
        <w:rPr>
          <w:lang w:val="en-GB"/>
        </w:rPr>
        <w:t xml:space="preserve">. </w:t>
      </w:r>
    </w:p>
    <w:p w:rsidR="00713488" w:rsidRPr="002C2775" w:rsidRDefault="00713488" w:rsidP="00713488">
      <w:pPr>
        <w:widowControl/>
        <w:rPr>
          <w:szCs w:val="22"/>
        </w:rPr>
      </w:pPr>
    </w:p>
    <w:p w:rsidR="00713488" w:rsidRPr="008E386A" w:rsidRDefault="00713488" w:rsidP="00713488">
      <w:pPr>
        <w:pStyle w:val="ListParagraph"/>
        <w:widowControl/>
        <w:numPr>
          <w:ilvl w:val="1"/>
          <w:numId w:val="10"/>
        </w:numPr>
        <w:rPr>
          <w:szCs w:val="22"/>
        </w:rPr>
      </w:pPr>
      <w:r w:rsidRPr="009F4C02">
        <w:rPr>
          <w:szCs w:val="22"/>
        </w:rPr>
        <w:t xml:space="preserve">The </w:t>
      </w:r>
      <w:r>
        <w:rPr>
          <w:szCs w:val="22"/>
        </w:rPr>
        <w:t xml:space="preserve">submission proposed that armodafinil is an alternative to modafinil in the treatment of excessive daytime sleepiness associated with narcolepsy, based on a </w:t>
      </w:r>
      <w:r>
        <w:rPr>
          <w:szCs w:val="22"/>
        </w:rPr>
        <w:lastRenderedPageBreak/>
        <w:t>claim that armodafinil is non-inferior to modafinil in terms of comparative effectiveness and safety.</w:t>
      </w:r>
      <w:r w:rsidR="009D57AD">
        <w:rPr>
          <w:szCs w:val="22"/>
        </w:rPr>
        <w:t xml:space="preserve"> </w:t>
      </w:r>
      <w:r w:rsidR="009D57AD" w:rsidRPr="008E386A">
        <w:rPr>
          <w:szCs w:val="22"/>
        </w:rPr>
        <w:t>The ESC considered that there was currently no unmet clinical need for armodafinil.</w:t>
      </w:r>
    </w:p>
    <w:p w:rsidR="00713488" w:rsidRDefault="00713488" w:rsidP="009F22ED">
      <w:pPr>
        <w:widowControl/>
        <w:rPr>
          <w:szCs w:val="22"/>
        </w:rPr>
      </w:pPr>
    </w:p>
    <w:p w:rsidR="0075035E" w:rsidRDefault="0075035E" w:rsidP="009F22ED">
      <w:pPr>
        <w:pStyle w:val="ListParagraph"/>
        <w:ind w:left="709"/>
        <w:rPr>
          <w:i/>
          <w:szCs w:val="22"/>
        </w:rPr>
      </w:pPr>
      <w:r w:rsidRPr="009F22ED">
        <w:rPr>
          <w:i/>
          <w:szCs w:val="22"/>
        </w:rPr>
        <w:t>For more detail on PBAC’s view, see section 7 “PBAC outcome”</w:t>
      </w:r>
      <w:r w:rsidR="000215CD">
        <w:rPr>
          <w:i/>
          <w:szCs w:val="22"/>
        </w:rPr>
        <w:t>.</w:t>
      </w:r>
    </w:p>
    <w:p w:rsidR="0075035E" w:rsidRPr="002C2775" w:rsidRDefault="0075035E" w:rsidP="009F22ED">
      <w:pPr>
        <w:widowControl/>
        <w:rPr>
          <w:szCs w:val="22"/>
        </w:rPr>
      </w:pPr>
    </w:p>
    <w:p w:rsidR="00713488" w:rsidRPr="00882085" w:rsidRDefault="00713488" w:rsidP="00713488">
      <w:pPr>
        <w:pStyle w:val="Header"/>
        <w:rPr>
          <w:szCs w:val="22"/>
        </w:rPr>
      </w:pPr>
    </w:p>
    <w:p w:rsidR="00713488" w:rsidRPr="00407F2D" w:rsidRDefault="00713488" w:rsidP="00713488">
      <w:pPr>
        <w:pStyle w:val="PBACHeading1"/>
      </w:pPr>
      <w:bookmarkStart w:id="12" w:name="_Toc429660430"/>
      <w:r w:rsidRPr="00407F2D">
        <w:t>Comparator</w:t>
      </w:r>
      <w:bookmarkEnd w:id="12"/>
    </w:p>
    <w:p w:rsidR="00713488" w:rsidRPr="00882085" w:rsidRDefault="00713488" w:rsidP="00713488"/>
    <w:p w:rsidR="00713488" w:rsidRPr="00546311" w:rsidRDefault="00713488" w:rsidP="00713488">
      <w:pPr>
        <w:pStyle w:val="ListParagraph"/>
        <w:widowControl/>
        <w:numPr>
          <w:ilvl w:val="1"/>
          <w:numId w:val="10"/>
        </w:numPr>
        <w:rPr>
          <w:szCs w:val="22"/>
        </w:rPr>
      </w:pPr>
      <w:r>
        <w:t>The submission nominated modafinil as the comparator.</w:t>
      </w:r>
      <w:r w:rsidRPr="006867AF">
        <w:t xml:space="preserve"> </w:t>
      </w:r>
      <w:r w:rsidRPr="00A7692B">
        <w:t>However, the key modafinil trials included for the indirect comparison only assessed modafinil dosed once daily (OD) and evidence was lacking regarding the potentially more effective split dosing regimen.</w:t>
      </w:r>
      <w:r>
        <w:t xml:space="preserve"> Modafinil Product Information (PI) states that modafinil should be </w:t>
      </w:r>
      <w:r w:rsidRPr="00EF6868">
        <w:t xml:space="preserve">given </w:t>
      </w:r>
      <w:r>
        <w:t>at 200</w:t>
      </w:r>
      <w:r w:rsidR="00D76099">
        <w:t> </w:t>
      </w:r>
      <w:r>
        <w:t>mg to 400</w:t>
      </w:r>
      <w:r w:rsidR="00D76099">
        <w:t> </w:t>
      </w:r>
      <w:r>
        <w:t xml:space="preserve">mg/day </w:t>
      </w:r>
      <w:r w:rsidRPr="00EF6868">
        <w:t>as a single dose in the morning or as two divided doses in the morning and at noon</w:t>
      </w:r>
      <w:r>
        <w:t xml:space="preserve">. </w:t>
      </w:r>
      <w:r w:rsidR="00383DD8">
        <w:t xml:space="preserve">In Section A of the submission, it was </w:t>
      </w:r>
      <w:r w:rsidR="00383DD8" w:rsidRPr="006B366D">
        <w:t>noted that split-dosing (twice daily</w:t>
      </w:r>
      <w:r w:rsidR="00383DD8">
        <w:t xml:space="preserve"> (BD)</w:t>
      </w:r>
      <w:r w:rsidR="00383DD8" w:rsidRPr="006B366D">
        <w:t xml:space="preserve">) of modafinil prolongs wakefulness throughout the day compared to </w:t>
      </w:r>
      <w:r w:rsidR="00383DD8">
        <w:t>OD</w:t>
      </w:r>
      <w:r w:rsidR="00383DD8" w:rsidRPr="006B366D">
        <w:t xml:space="preserve"> dosing and may be more appropriate than </w:t>
      </w:r>
      <w:r w:rsidR="00383DD8">
        <w:t>OD</w:t>
      </w:r>
      <w:r w:rsidR="00383DD8" w:rsidRPr="006B366D">
        <w:t xml:space="preserve"> </w:t>
      </w:r>
      <w:r w:rsidR="00383DD8">
        <w:t xml:space="preserve">dosing </w:t>
      </w:r>
      <w:r w:rsidR="00383DD8" w:rsidRPr="006B366D">
        <w:t>for patients who experience late-afternoon or evening sleepiness</w:t>
      </w:r>
      <w:r w:rsidR="00383DD8">
        <w:t xml:space="preserve">. This </w:t>
      </w:r>
      <w:r w:rsidR="00383DD8" w:rsidRPr="006B366D">
        <w:t>was evidenced in a study comparing the effectiveness of modafinil 400</w:t>
      </w:r>
      <w:r w:rsidR="00D76099">
        <w:t> </w:t>
      </w:r>
      <w:r w:rsidR="00383DD8" w:rsidRPr="006B366D">
        <w:t>mg split dose with 400</w:t>
      </w:r>
      <w:r w:rsidR="00D76099">
        <w:t> </w:t>
      </w:r>
      <w:r w:rsidR="00383DD8" w:rsidRPr="006B366D">
        <w:t xml:space="preserve">mg </w:t>
      </w:r>
      <w:r w:rsidR="00383DD8">
        <w:t xml:space="preserve">OD, which </w:t>
      </w:r>
      <w:r w:rsidR="00383DD8" w:rsidRPr="006B366D">
        <w:t xml:space="preserve">showed that the split-dose regimen improved wakefulness significantly in the evening compared to </w:t>
      </w:r>
      <w:r w:rsidR="00383DD8">
        <w:t>OD</w:t>
      </w:r>
      <w:r w:rsidR="00383DD8" w:rsidRPr="006B366D">
        <w:t xml:space="preserve"> (P &lt; 0.05) (Schwartz JRL, Feldman NT et al. 2005) (pp16-7, Section A of the submission).</w:t>
      </w:r>
      <w:r w:rsidR="00383DD8">
        <w:t xml:space="preserve"> </w:t>
      </w:r>
    </w:p>
    <w:p w:rsidR="00546311" w:rsidRDefault="00546311" w:rsidP="00546311">
      <w:pPr>
        <w:pStyle w:val="PBACHeading1"/>
        <w:numPr>
          <w:ilvl w:val="0"/>
          <w:numId w:val="0"/>
        </w:numPr>
        <w:ind w:left="720" w:hanging="720"/>
      </w:pPr>
    </w:p>
    <w:p w:rsidR="00546311" w:rsidRPr="008E386A" w:rsidRDefault="00546311" w:rsidP="00546311">
      <w:pPr>
        <w:pStyle w:val="ListParagraph"/>
        <w:widowControl/>
        <w:numPr>
          <w:ilvl w:val="1"/>
          <w:numId w:val="10"/>
        </w:numPr>
      </w:pPr>
      <w:r w:rsidRPr="008E386A">
        <w:t xml:space="preserve">The </w:t>
      </w:r>
      <w:r w:rsidR="002259ED">
        <w:t>Pre-Sub-Committee Response (</w:t>
      </w:r>
      <w:r w:rsidRPr="008E386A">
        <w:t>PSCR</w:t>
      </w:r>
      <w:r w:rsidR="002259ED">
        <w:t>)</w:t>
      </w:r>
      <w:r w:rsidRPr="008E386A">
        <w:t xml:space="preserve"> argued that it could not be concluded that suboptimal do</w:t>
      </w:r>
      <w:r w:rsidR="002C1FCB" w:rsidRPr="008E386A">
        <w:t xml:space="preserve">sing of modafinil has been used – “The population reported in Schwartz 2005 comprised only patients with narcolepsy experiencing residual late-afternoon/evening sleepiness following satisfactory responses earlier in the day. Hence, this group represents only a subset of the narcolepsy population. Moreover, it was only a 3-week study and it was not a placebo-controlled study…” </w:t>
      </w:r>
      <w:r w:rsidRPr="008E386A">
        <w:t xml:space="preserve">The ESC considered that </w:t>
      </w:r>
      <w:r w:rsidR="00BB7181" w:rsidRPr="008E386A">
        <w:t xml:space="preserve">this did not exclude the </w:t>
      </w:r>
      <w:r w:rsidR="00C425A4">
        <w:t>possibility</w:t>
      </w:r>
      <w:r w:rsidR="00BB7181" w:rsidRPr="008E386A">
        <w:t xml:space="preserve"> that </w:t>
      </w:r>
      <w:r w:rsidRPr="008E386A">
        <w:t>split dose modafinil could also be an appropriate comparator dosing regimen</w:t>
      </w:r>
      <w:r w:rsidR="00BB7181" w:rsidRPr="008E386A">
        <w:t xml:space="preserve">, particularly considering that armodafinil has a longer half-life than modafinil, which results in a more prolonged effect during the day and potential improvement in wakefulness in the late-afternoon </w:t>
      </w:r>
      <w:r w:rsidR="00BC7174" w:rsidRPr="008E386A">
        <w:t>in patients with narcolepsy.</w:t>
      </w:r>
    </w:p>
    <w:p w:rsidR="00713488" w:rsidRPr="006867AF" w:rsidRDefault="00713488" w:rsidP="00713488">
      <w:pPr>
        <w:pStyle w:val="ListParagraph"/>
        <w:widowControl/>
        <w:rPr>
          <w:szCs w:val="22"/>
        </w:rPr>
      </w:pPr>
    </w:p>
    <w:p w:rsidR="00713488" w:rsidRPr="00B50DB8" w:rsidRDefault="00713488" w:rsidP="00713488">
      <w:pPr>
        <w:pStyle w:val="ListParagraph"/>
        <w:widowControl/>
        <w:numPr>
          <w:ilvl w:val="1"/>
          <w:numId w:val="10"/>
        </w:numPr>
        <w:rPr>
          <w:szCs w:val="22"/>
        </w:rPr>
      </w:pPr>
      <w:r>
        <w:t xml:space="preserve">Armodafinil and modafinil </w:t>
      </w:r>
      <w:r w:rsidRPr="001E3D08">
        <w:t xml:space="preserve">belong to the same pharmacological class, and are indicated for treatment </w:t>
      </w:r>
      <w:r>
        <w:t>of</w:t>
      </w:r>
      <w:r w:rsidRPr="001E3D08">
        <w:t xml:space="preserve"> the same populations for which P</w:t>
      </w:r>
      <w:r>
        <w:t xml:space="preserve">BS reimbursement is requested. </w:t>
      </w:r>
      <w:r w:rsidRPr="00CC259C">
        <w:t>The main difference</w:t>
      </w:r>
      <w:r>
        <w:t>s</w:t>
      </w:r>
      <w:r w:rsidRPr="00CC259C">
        <w:t xml:space="preserve"> between armodafinil and modafinil </w:t>
      </w:r>
      <w:r>
        <w:t>are</w:t>
      </w:r>
      <w:r w:rsidRPr="00CC259C">
        <w:t xml:space="preserve"> likely to be t</w:t>
      </w:r>
      <w:r>
        <w:t>heir pharmacokinetic profiles. Armodafinil is the (R)-enantiomer of modafinil</w:t>
      </w:r>
      <w:r w:rsidR="00904655">
        <w:t>,</w:t>
      </w:r>
      <w:r>
        <w:t xml:space="preserve"> which is a </w:t>
      </w:r>
      <w:r w:rsidR="00904655">
        <w:t>50%</w:t>
      </w:r>
      <w:r>
        <w:t>:</w:t>
      </w:r>
      <w:r w:rsidR="00904655">
        <w:t>50%</w:t>
      </w:r>
      <w:r>
        <w:t xml:space="preserve"> mixture of the (R)- and (S)-enantiomers.</w:t>
      </w:r>
      <w:r w:rsidRPr="00CC259C">
        <w:t xml:space="preserve"> </w:t>
      </w:r>
      <w:r>
        <w:t>The submission indicated that the (R)</w:t>
      </w:r>
      <w:r>
        <w:rPr>
          <w:rFonts w:ascii="Cambria Math" w:hAnsi="Cambria Math" w:cs="Cambria Math"/>
        </w:rPr>
        <w:t>‐</w:t>
      </w:r>
      <w:r>
        <w:t xml:space="preserve"> and (S)</w:t>
      </w:r>
      <w:r>
        <w:rPr>
          <w:rFonts w:ascii="Cambria Math" w:hAnsi="Cambria Math" w:cs="Cambria Math"/>
        </w:rPr>
        <w:t>‐</w:t>
      </w:r>
      <w:r>
        <w:t xml:space="preserve">enantiomers of modafinil appear to be identical with respect to the mechanism of action but with different pharmacokinetics, </w:t>
      </w:r>
      <w:r>
        <w:rPr>
          <w:i/>
        </w:rPr>
        <w:t>e</w:t>
      </w:r>
      <w:r w:rsidR="004240AA">
        <w:rPr>
          <w:i/>
        </w:rPr>
        <w:t>.</w:t>
      </w:r>
      <w:r>
        <w:rPr>
          <w:i/>
        </w:rPr>
        <w:t>g</w:t>
      </w:r>
      <w:r w:rsidR="004240AA">
        <w:rPr>
          <w:i/>
        </w:rPr>
        <w:t>.</w:t>
      </w:r>
      <w:r>
        <w:rPr>
          <w:i/>
        </w:rPr>
        <w:t xml:space="preserve"> </w:t>
      </w:r>
      <w:r w:rsidRPr="00CC259C">
        <w:t xml:space="preserve">the half-life of (R)-enantiomer is </w:t>
      </w:r>
      <w:r>
        <w:t>about</w:t>
      </w:r>
      <w:r w:rsidRPr="00CC259C">
        <w:t xml:space="preserve"> three times that of the (S)-enantiomer in adult humans</w:t>
      </w:r>
      <w:r>
        <w:t xml:space="preserve"> (15 hours </w:t>
      </w:r>
      <w:r>
        <w:rPr>
          <w:i/>
        </w:rPr>
        <w:t xml:space="preserve">vs </w:t>
      </w:r>
      <w:r>
        <w:t>4 hours)</w:t>
      </w:r>
      <w:r w:rsidRPr="00CC259C">
        <w:t>.</w:t>
      </w:r>
      <w:r>
        <w:t xml:space="preserve"> </w:t>
      </w:r>
      <w:r w:rsidRPr="00796A98">
        <w:t>At steady</w:t>
      </w:r>
      <w:r>
        <w:t xml:space="preserve"> </w:t>
      </w:r>
      <w:r w:rsidRPr="00796A98">
        <w:t xml:space="preserve">state, total exposure to </w:t>
      </w:r>
      <w:r w:rsidRPr="00CC259C">
        <w:t>(R)</w:t>
      </w:r>
      <w:r w:rsidRPr="00796A98">
        <w:rPr>
          <w:rFonts w:ascii="Cambria Math" w:hAnsi="Cambria Math" w:cs="Cambria Math"/>
        </w:rPr>
        <w:t>‐</w:t>
      </w:r>
      <w:r w:rsidRPr="00796A98">
        <w:t xml:space="preserve">modafinil is approximately three times that of </w:t>
      </w:r>
      <w:r>
        <w:t>(</w:t>
      </w:r>
      <w:r w:rsidRPr="00796A98">
        <w:t>S</w:t>
      </w:r>
      <w:r>
        <w:t>)</w:t>
      </w:r>
      <w:r w:rsidRPr="00796A98">
        <w:rPr>
          <w:rFonts w:ascii="Cambria Math" w:hAnsi="Cambria Math" w:cs="Cambria Math"/>
        </w:rPr>
        <w:t>‐</w:t>
      </w:r>
      <w:r>
        <w:t xml:space="preserve">modafinil. </w:t>
      </w:r>
      <w:r w:rsidRPr="00796A98">
        <w:t xml:space="preserve">The trough concentration of circulating modafinil after </w:t>
      </w:r>
      <w:r>
        <w:t>OD</w:t>
      </w:r>
      <w:r w:rsidRPr="00796A98">
        <w:t xml:space="preserve"> dosing consists of 90% </w:t>
      </w:r>
      <w:r w:rsidRPr="00CC259C">
        <w:t>(R)</w:t>
      </w:r>
      <w:r w:rsidRPr="00796A98">
        <w:rPr>
          <w:rFonts w:ascii="Cambria Math" w:hAnsi="Cambria Math" w:cs="Cambria Math"/>
        </w:rPr>
        <w:t>‐</w:t>
      </w:r>
      <w:r w:rsidRPr="00796A98">
        <w:t xml:space="preserve">modafinil and 10% </w:t>
      </w:r>
      <w:r>
        <w:t>(</w:t>
      </w:r>
      <w:r w:rsidRPr="00796A98">
        <w:t>S</w:t>
      </w:r>
      <w:r>
        <w:t>)</w:t>
      </w:r>
      <w:r w:rsidRPr="00796A98">
        <w:rPr>
          <w:rFonts w:ascii="Cambria Math" w:hAnsi="Cambria Math" w:cs="Cambria Math"/>
        </w:rPr>
        <w:t>‐</w:t>
      </w:r>
      <w:r>
        <w:t xml:space="preserve">modafinil (modafinil Product Information). </w:t>
      </w:r>
      <w:r w:rsidRPr="000E0092">
        <w:t>The data indicate that R</w:t>
      </w:r>
      <w:r w:rsidRPr="000E0092">
        <w:rPr>
          <w:rFonts w:ascii="Cambria Math" w:hAnsi="Cambria Math" w:cs="Cambria Math"/>
        </w:rPr>
        <w:t>‐</w:t>
      </w:r>
      <w:r w:rsidRPr="000E0092">
        <w:t>modafinil is the predominant enantiomer following administration of the racemate.</w:t>
      </w:r>
      <w:r w:rsidR="0089234C">
        <w:t xml:space="preserve">  </w:t>
      </w:r>
      <w:r w:rsidR="0089234C" w:rsidRPr="008E386A">
        <w:t xml:space="preserve">The ESC noted armodafinil and modafinil being in the same pharmacological class and essentially the same drug after </w:t>
      </w:r>
      <w:r w:rsidR="0089234C" w:rsidRPr="008E386A">
        <w:lastRenderedPageBreak/>
        <w:t xml:space="preserve">metabolism </w:t>
      </w:r>
      <w:r w:rsidR="00AC37E3" w:rsidRPr="008E386A">
        <w:t>highlights the</w:t>
      </w:r>
      <w:r w:rsidR="0089234C" w:rsidRPr="008E386A">
        <w:t xml:space="preserve"> </w:t>
      </w:r>
      <w:r w:rsidR="00C425A4">
        <w:t>potential for</w:t>
      </w:r>
      <w:r w:rsidR="0089234C" w:rsidRPr="008E386A">
        <w:t xml:space="preserve"> split dosing of modafinil </w:t>
      </w:r>
      <w:r w:rsidR="00C425A4">
        <w:t>to be a relevant</w:t>
      </w:r>
      <w:r w:rsidR="0089234C" w:rsidRPr="008E386A">
        <w:t xml:space="preserve"> comparator.</w:t>
      </w:r>
      <w:r w:rsidR="0089234C">
        <w:rPr>
          <w:i/>
        </w:rPr>
        <w:t xml:space="preserve">   </w:t>
      </w:r>
    </w:p>
    <w:p w:rsidR="00713488" w:rsidRDefault="00713488" w:rsidP="00713488">
      <w:pPr>
        <w:rPr>
          <w:szCs w:val="22"/>
        </w:rPr>
      </w:pPr>
    </w:p>
    <w:p w:rsidR="005075FE" w:rsidRPr="00DF5D2B" w:rsidRDefault="005075FE" w:rsidP="00713488">
      <w:pPr>
        <w:rPr>
          <w:szCs w:val="22"/>
        </w:rPr>
      </w:pPr>
    </w:p>
    <w:p w:rsidR="00713488" w:rsidRPr="00407F2D" w:rsidRDefault="00713488" w:rsidP="00713488">
      <w:pPr>
        <w:pStyle w:val="PBACHeading1"/>
      </w:pPr>
      <w:bookmarkStart w:id="13" w:name="_Toc429660431"/>
      <w:r>
        <w:t>C</w:t>
      </w:r>
      <w:r w:rsidRPr="00407F2D">
        <w:t>onsideration of the evidence</w:t>
      </w:r>
      <w:bookmarkEnd w:id="13"/>
    </w:p>
    <w:p w:rsidR="00713488" w:rsidRPr="00882085" w:rsidRDefault="00713488" w:rsidP="008A6A64"/>
    <w:p w:rsidR="0027684D" w:rsidRPr="004675C9" w:rsidRDefault="0027684D" w:rsidP="00207799">
      <w:pPr>
        <w:pStyle w:val="Heading2"/>
        <w:rPr>
          <w:bCs/>
          <w:szCs w:val="22"/>
        </w:rPr>
      </w:pPr>
      <w:bookmarkStart w:id="14" w:name="_Toc429660432"/>
      <w:r w:rsidRPr="004675C9">
        <w:rPr>
          <w:bCs/>
          <w:szCs w:val="22"/>
        </w:rPr>
        <w:t>Sponsor hearing</w:t>
      </w:r>
    </w:p>
    <w:p w:rsidR="00207799" w:rsidRPr="00207799" w:rsidRDefault="00207799" w:rsidP="00207799"/>
    <w:p w:rsidR="0027684D" w:rsidRPr="00207799" w:rsidRDefault="0027684D" w:rsidP="008A6A64">
      <w:pPr>
        <w:numPr>
          <w:ilvl w:val="1"/>
          <w:numId w:val="10"/>
        </w:numPr>
        <w:contextualSpacing/>
        <w:rPr>
          <w:bCs/>
          <w:szCs w:val="22"/>
        </w:rPr>
      </w:pPr>
      <w:r w:rsidRPr="00207799">
        <w:rPr>
          <w:bCs/>
          <w:szCs w:val="22"/>
        </w:rPr>
        <w:t>There was no hearing for this item.</w:t>
      </w:r>
    </w:p>
    <w:p w:rsidR="0027684D" w:rsidRPr="00207799" w:rsidRDefault="0027684D" w:rsidP="008A6A64">
      <w:pPr>
        <w:rPr>
          <w:bCs/>
          <w:szCs w:val="22"/>
        </w:rPr>
      </w:pPr>
    </w:p>
    <w:p w:rsidR="0027684D" w:rsidRPr="004675C9" w:rsidRDefault="0027684D" w:rsidP="00207799">
      <w:pPr>
        <w:pStyle w:val="Heading2"/>
        <w:rPr>
          <w:bCs/>
          <w:szCs w:val="22"/>
        </w:rPr>
      </w:pPr>
      <w:r w:rsidRPr="004675C9">
        <w:rPr>
          <w:bCs/>
          <w:szCs w:val="22"/>
        </w:rPr>
        <w:t>Consumer comments</w:t>
      </w:r>
    </w:p>
    <w:p w:rsidR="00207799" w:rsidRPr="00207799" w:rsidRDefault="00207799" w:rsidP="00207799"/>
    <w:p w:rsidR="0027684D" w:rsidRPr="007D06AB" w:rsidRDefault="0027684D" w:rsidP="008A6A64">
      <w:pPr>
        <w:numPr>
          <w:ilvl w:val="1"/>
          <w:numId w:val="10"/>
        </w:numPr>
        <w:contextualSpacing/>
        <w:rPr>
          <w:bCs/>
          <w:szCs w:val="22"/>
        </w:rPr>
      </w:pPr>
      <w:r w:rsidRPr="007D06AB">
        <w:rPr>
          <w:bCs/>
          <w:szCs w:val="22"/>
        </w:rPr>
        <w:t>The PBAC noted that no consumer comme</w:t>
      </w:r>
      <w:r w:rsidR="007D06AB" w:rsidRPr="007D06AB">
        <w:rPr>
          <w:bCs/>
          <w:szCs w:val="22"/>
        </w:rPr>
        <w:t>nts were received for this item</w:t>
      </w:r>
      <w:r w:rsidRPr="007D06AB">
        <w:rPr>
          <w:bCs/>
          <w:szCs w:val="22"/>
        </w:rPr>
        <w:t>.</w:t>
      </w:r>
    </w:p>
    <w:p w:rsidR="0027684D" w:rsidRDefault="0027684D" w:rsidP="00713488">
      <w:pPr>
        <w:pStyle w:val="Heading2"/>
        <w:rPr>
          <w:i/>
        </w:rPr>
      </w:pPr>
    </w:p>
    <w:p w:rsidR="00713488" w:rsidRPr="004675C9" w:rsidRDefault="00713488" w:rsidP="00713488">
      <w:pPr>
        <w:pStyle w:val="Heading2"/>
      </w:pPr>
      <w:r w:rsidRPr="004675C9">
        <w:t>Clinical trials</w:t>
      </w:r>
      <w:bookmarkEnd w:id="14"/>
    </w:p>
    <w:p w:rsidR="00713488" w:rsidRPr="00882085" w:rsidRDefault="00713488" w:rsidP="00713488">
      <w:pPr>
        <w:rPr>
          <w:szCs w:val="22"/>
        </w:rPr>
      </w:pPr>
    </w:p>
    <w:p w:rsidR="00713488" w:rsidRDefault="00713488" w:rsidP="00713488">
      <w:pPr>
        <w:pStyle w:val="ListParagraph"/>
        <w:widowControl/>
        <w:numPr>
          <w:ilvl w:val="1"/>
          <w:numId w:val="10"/>
        </w:numPr>
      </w:pPr>
      <w:r w:rsidRPr="00862502">
        <w:t xml:space="preserve">The submission </w:t>
      </w:r>
      <w:r>
        <w:t>was</w:t>
      </w:r>
      <w:r w:rsidRPr="00862502">
        <w:t xml:space="preserve"> based on </w:t>
      </w:r>
      <w:r>
        <w:t>an indirect comparison between one placebo co</w:t>
      </w:r>
      <w:r w:rsidR="00A23D14">
        <w:t>ntrolled armodafinil trial (Tria</w:t>
      </w:r>
      <w:r>
        <w:t>l 3020, published as</w:t>
      </w:r>
      <w:r w:rsidRPr="007862FD">
        <w:t xml:space="preserve"> </w:t>
      </w:r>
      <w:r>
        <w:t>Harsh et al 2006) and a meta-analysis of two modafinil placebo controlled trials (Fry 1998 and Gross 2000), using the placebo arms as the “common reference”:</w:t>
      </w:r>
    </w:p>
    <w:p w:rsidR="00713488" w:rsidRDefault="00713488" w:rsidP="00713488">
      <w:pPr>
        <w:pStyle w:val="ListParagraph"/>
        <w:widowControl/>
        <w:numPr>
          <w:ilvl w:val="0"/>
          <w:numId w:val="42"/>
        </w:numPr>
      </w:pPr>
      <w:r>
        <w:t>Trial 3020 was a randomised parallel group placebo-controlled trial examining the efficacy and safety of OD armodafinil 150 mg/day and 250 mg/day</w:t>
      </w:r>
      <w:r w:rsidR="006B6D3F">
        <w:t>, versus placebo,</w:t>
      </w:r>
      <w:r>
        <w:t xml:space="preserve"> in adult patients with excessive daytime sleepiness associated with narcolepsy, over a 12-week period;</w:t>
      </w:r>
    </w:p>
    <w:p w:rsidR="00713488" w:rsidRPr="00B50DB8" w:rsidRDefault="00713488" w:rsidP="00713488">
      <w:pPr>
        <w:pStyle w:val="ListParagraph"/>
        <w:widowControl/>
        <w:numPr>
          <w:ilvl w:val="0"/>
          <w:numId w:val="42"/>
        </w:numPr>
        <w:rPr>
          <w:szCs w:val="22"/>
        </w:rPr>
      </w:pPr>
      <w:r>
        <w:t>Fry 1998 and Gross 2000 were two randomised parallel group placebo-controlled trials, both examining the efficacy and safety of modafinil 200</w:t>
      </w:r>
      <w:r w:rsidR="00D76099">
        <w:t> </w:t>
      </w:r>
      <w:r>
        <w:t>mg/day (OD) and 400 mg/day (OD) versus placebo, over a 9-week period.</w:t>
      </w:r>
    </w:p>
    <w:p w:rsidR="00713488" w:rsidRPr="00862502" w:rsidRDefault="00713488" w:rsidP="00713488">
      <w:pPr>
        <w:widowControl/>
        <w:rPr>
          <w:szCs w:val="22"/>
        </w:rPr>
      </w:pPr>
    </w:p>
    <w:p w:rsidR="00713488" w:rsidRPr="007862FD" w:rsidRDefault="00713488" w:rsidP="00713488">
      <w:pPr>
        <w:pStyle w:val="ListParagraph"/>
        <w:widowControl/>
        <w:numPr>
          <w:ilvl w:val="1"/>
          <w:numId w:val="10"/>
        </w:numPr>
        <w:rPr>
          <w:szCs w:val="22"/>
        </w:rPr>
      </w:pPr>
      <w:r>
        <w:rPr>
          <w:szCs w:val="22"/>
        </w:rPr>
        <w:t>The submission also included t</w:t>
      </w:r>
      <w:r w:rsidRPr="007862FD">
        <w:rPr>
          <w:szCs w:val="22"/>
        </w:rPr>
        <w:t xml:space="preserve">wo additional </w:t>
      </w:r>
      <w:r>
        <w:rPr>
          <w:szCs w:val="22"/>
        </w:rPr>
        <w:t xml:space="preserve">modafinil </w:t>
      </w:r>
      <w:r w:rsidRPr="007862FD">
        <w:rPr>
          <w:szCs w:val="22"/>
        </w:rPr>
        <w:t>studies for sensitivity analyses:</w:t>
      </w:r>
    </w:p>
    <w:p w:rsidR="00713488" w:rsidRPr="007862FD" w:rsidRDefault="00713488" w:rsidP="00713488">
      <w:pPr>
        <w:pStyle w:val="ListParagraph"/>
        <w:widowControl/>
        <w:numPr>
          <w:ilvl w:val="0"/>
          <w:numId w:val="42"/>
        </w:numPr>
      </w:pPr>
      <w:r w:rsidRPr="007862FD">
        <w:t>Besset 1993 – randomised, double-blind, cross-over study comparing modafinil 300 mg/day</w:t>
      </w:r>
      <w:r>
        <w:t xml:space="preserve"> (morning: 200 mg; noon:100</w:t>
      </w:r>
      <w:r w:rsidR="00D76099">
        <w:t> </w:t>
      </w:r>
      <w:r>
        <w:t>mg)</w:t>
      </w:r>
      <w:r w:rsidRPr="007862FD">
        <w:t xml:space="preserve"> versus placebo </w:t>
      </w:r>
      <w:r>
        <w:t xml:space="preserve">(n=16) </w:t>
      </w:r>
      <w:r w:rsidRPr="007862FD">
        <w:t>and</w:t>
      </w:r>
    </w:p>
    <w:p w:rsidR="00713488" w:rsidRPr="007862FD" w:rsidRDefault="00713488" w:rsidP="00713488">
      <w:pPr>
        <w:pStyle w:val="ListParagraph"/>
        <w:widowControl/>
        <w:numPr>
          <w:ilvl w:val="0"/>
          <w:numId w:val="42"/>
        </w:numPr>
      </w:pPr>
      <w:r w:rsidRPr="007862FD">
        <w:t>Broughton 1997 – randomised, double-blind, cross-over study comparing two doses of modafinil (200 mg/day and 400 mg/day</w:t>
      </w:r>
      <w:r>
        <w:t>, both in divided doses morning and noon</w:t>
      </w:r>
      <w:r w:rsidRPr="007862FD">
        <w:t>) versus placebo</w:t>
      </w:r>
      <w:r>
        <w:t xml:space="preserve"> (n=75)</w:t>
      </w:r>
      <w:r w:rsidRPr="007862FD">
        <w:t>.</w:t>
      </w:r>
    </w:p>
    <w:p w:rsidR="00713488" w:rsidRDefault="00713488" w:rsidP="00713488">
      <w:pPr>
        <w:pStyle w:val="ListParagraph"/>
        <w:widowControl/>
      </w:pPr>
    </w:p>
    <w:p w:rsidR="00713488" w:rsidRPr="00A7692B" w:rsidRDefault="00713488" w:rsidP="00713488">
      <w:pPr>
        <w:pStyle w:val="ListParagraph"/>
        <w:widowControl/>
      </w:pPr>
      <w:r w:rsidRPr="00A7692B">
        <w:t xml:space="preserve">Although these cross-over studies assessed split dosing of modafinil, the indirect sensitivity analyses presented in the submission using these studies are difficult to interpret. </w:t>
      </w:r>
      <w:r w:rsidR="00C01054" w:rsidRPr="00A7692B">
        <w:t xml:space="preserve">Change </w:t>
      </w:r>
      <w:r w:rsidR="006B6D3F" w:rsidRPr="00A7692B">
        <w:t xml:space="preserve">in maintenance wakefulness test (MWT) and Epworth sleepiness scale (ESS) </w:t>
      </w:r>
      <w:r w:rsidR="00C01054" w:rsidRPr="00A7692B">
        <w:t>from baseline data were not reported in the cross-over studies. Differences in mean scores at the final visit between modafinil and placebo were used instead and “pooled” with change from baseline data from the Fry (1998) and Gross (2000) trials.</w:t>
      </w:r>
    </w:p>
    <w:p w:rsidR="00713488" w:rsidRPr="00A7692B" w:rsidRDefault="00713488" w:rsidP="00713488">
      <w:pPr>
        <w:pStyle w:val="ListParagraph"/>
        <w:widowControl/>
      </w:pPr>
    </w:p>
    <w:p w:rsidR="00713488" w:rsidRPr="00B50DB8" w:rsidRDefault="00713488" w:rsidP="00713488">
      <w:pPr>
        <w:pStyle w:val="ListParagraph"/>
        <w:widowControl/>
        <w:numPr>
          <w:ilvl w:val="1"/>
          <w:numId w:val="10"/>
        </w:numPr>
        <w:rPr>
          <w:szCs w:val="22"/>
        </w:rPr>
      </w:pPr>
      <w:r w:rsidRPr="00B50DB8">
        <w:rPr>
          <w:szCs w:val="22"/>
        </w:rPr>
        <w:t xml:space="preserve">Details of the trials presented in the submission are provided in the table below.  </w:t>
      </w:r>
    </w:p>
    <w:p w:rsidR="00713488" w:rsidRPr="00862502" w:rsidRDefault="00713488" w:rsidP="00713488">
      <w:pPr>
        <w:widowControl/>
        <w:rPr>
          <w:szCs w:val="22"/>
        </w:rPr>
      </w:pPr>
    </w:p>
    <w:p w:rsidR="00977EAB" w:rsidRDefault="00977EAB">
      <w:pPr>
        <w:widowControl/>
        <w:jc w:val="left"/>
        <w:rPr>
          <w:rFonts w:ascii="Arial Narrow" w:hAnsi="Arial Narrow"/>
          <w:b/>
          <w:sz w:val="20"/>
        </w:rPr>
      </w:pPr>
      <w:r>
        <w:br w:type="page"/>
      </w:r>
    </w:p>
    <w:p w:rsidR="00713488" w:rsidRDefault="00713488" w:rsidP="00713488">
      <w:pPr>
        <w:pStyle w:val="TableHeader"/>
        <w:ind w:firstLine="720"/>
      </w:pPr>
      <w:r w:rsidRPr="005C7F65">
        <w:lastRenderedPageBreak/>
        <w:t xml:space="preserve">Table </w:t>
      </w:r>
      <w:r>
        <w:t>1</w:t>
      </w:r>
      <w:r w:rsidRPr="005C7F65">
        <w:t>: Trials and associated reports presented in the submission</w:t>
      </w:r>
    </w:p>
    <w:tbl>
      <w:tblPr>
        <w:tblW w:w="4664" w:type="pct"/>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2"/>
        <w:gridCol w:w="4108"/>
        <w:gridCol w:w="3403"/>
      </w:tblGrid>
      <w:tr w:rsidR="00713488" w:rsidRPr="004E2ADC" w:rsidTr="00587FDE">
        <w:tc>
          <w:tcPr>
            <w:tcW w:w="568" w:type="pct"/>
          </w:tcPr>
          <w:p w:rsidR="00713488" w:rsidRPr="004E2ADC" w:rsidRDefault="00713488" w:rsidP="008B4C07">
            <w:pPr>
              <w:jc w:val="left"/>
              <w:rPr>
                <w:rFonts w:ascii="Arial Narrow" w:hAnsi="Arial Narrow"/>
                <w:b/>
                <w:sz w:val="20"/>
              </w:rPr>
            </w:pPr>
            <w:r w:rsidRPr="004E2ADC">
              <w:rPr>
                <w:rFonts w:ascii="Arial Narrow" w:hAnsi="Arial Narrow"/>
                <w:b/>
                <w:sz w:val="20"/>
              </w:rPr>
              <w:t>Trial ID</w:t>
            </w:r>
          </w:p>
        </w:tc>
        <w:tc>
          <w:tcPr>
            <w:tcW w:w="2424" w:type="pct"/>
          </w:tcPr>
          <w:p w:rsidR="00713488" w:rsidRPr="004E2ADC" w:rsidRDefault="00713488" w:rsidP="008B4C07">
            <w:pPr>
              <w:jc w:val="center"/>
              <w:rPr>
                <w:rFonts w:ascii="Arial Narrow" w:hAnsi="Arial Narrow"/>
                <w:b/>
                <w:sz w:val="20"/>
              </w:rPr>
            </w:pPr>
            <w:r w:rsidRPr="004E2ADC">
              <w:rPr>
                <w:rFonts w:ascii="Arial Narrow" w:hAnsi="Arial Narrow"/>
                <w:b/>
                <w:sz w:val="20"/>
              </w:rPr>
              <w:t>Protocol title/ Publication title</w:t>
            </w:r>
          </w:p>
        </w:tc>
        <w:tc>
          <w:tcPr>
            <w:tcW w:w="2008" w:type="pct"/>
          </w:tcPr>
          <w:p w:rsidR="00713488" w:rsidRPr="004E2ADC" w:rsidRDefault="00713488" w:rsidP="008B4C07">
            <w:pPr>
              <w:jc w:val="center"/>
              <w:rPr>
                <w:rFonts w:ascii="Arial Narrow" w:hAnsi="Arial Narrow"/>
                <w:b/>
                <w:sz w:val="20"/>
              </w:rPr>
            </w:pPr>
            <w:r w:rsidRPr="004E2ADC">
              <w:rPr>
                <w:rFonts w:ascii="Arial Narrow" w:hAnsi="Arial Narrow"/>
                <w:b/>
                <w:sz w:val="20"/>
              </w:rPr>
              <w:t>Publication citation</w:t>
            </w:r>
          </w:p>
        </w:tc>
      </w:tr>
      <w:tr w:rsidR="00713488" w:rsidRPr="00F30071" w:rsidTr="00587FDE">
        <w:tc>
          <w:tcPr>
            <w:tcW w:w="568" w:type="pct"/>
          </w:tcPr>
          <w:p w:rsidR="00713488" w:rsidRPr="004E2ADC" w:rsidRDefault="00713488" w:rsidP="008B4C07">
            <w:pPr>
              <w:jc w:val="left"/>
              <w:rPr>
                <w:rFonts w:ascii="Arial Narrow" w:hAnsi="Arial Narrow"/>
                <w:sz w:val="20"/>
              </w:rPr>
            </w:pPr>
            <w:r>
              <w:rPr>
                <w:rFonts w:ascii="Arial Narrow" w:hAnsi="Arial Narrow"/>
                <w:sz w:val="20"/>
              </w:rPr>
              <w:t>3020</w:t>
            </w:r>
          </w:p>
        </w:tc>
        <w:tc>
          <w:tcPr>
            <w:tcW w:w="2424" w:type="pct"/>
          </w:tcPr>
          <w:p w:rsidR="00713488" w:rsidRPr="00597864" w:rsidRDefault="00713488" w:rsidP="008B4C07">
            <w:pPr>
              <w:jc w:val="left"/>
              <w:rPr>
                <w:rFonts w:ascii="Arial Narrow" w:hAnsi="Arial Narrow"/>
                <w:sz w:val="20"/>
              </w:rPr>
            </w:pPr>
            <w:r w:rsidRPr="00597864">
              <w:rPr>
                <w:rFonts w:ascii="Arial Narrow" w:hAnsi="Arial Narrow"/>
                <w:sz w:val="20"/>
              </w:rPr>
              <w:t xml:space="preserve">Clinical study report No: TEVA, C10953/3020/NA/MN: A 12-Week, Randomized, Double-Blind, Placebo-Controlled, Parallel-Group Study to Evaluate the Efficacy and Safety of CEP-10953 (150 and 250 mg/day) as treatment for Adults With Excessive Sleepiness Associated With Narcolepsy. </w:t>
            </w: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r w:rsidRPr="00597864">
              <w:rPr>
                <w:rFonts w:ascii="Arial Narrow" w:hAnsi="Arial Narrow"/>
                <w:sz w:val="20"/>
              </w:rPr>
              <w:t>Clinical study report No: Cephalon - Teva Pharmaceutical Industries NCT00078377: Safety and Efficacy Study of armodafinil (CEP-10953) in the Treatment of Excessive Sleepiness Associated With Narcolepsy (C10953/3020/NA/MN).</w:t>
            </w: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r w:rsidRPr="00597864">
              <w:rPr>
                <w:rFonts w:ascii="Arial Narrow" w:hAnsi="Arial Narrow"/>
                <w:sz w:val="20"/>
              </w:rPr>
              <w:t xml:space="preserve">Harsh, J. R, R. Hayduk, R. Rosenberg, K. A. Wesnes, J. K. Walsh, S. Arora, G. E. Niebler and T. Roth (2006). “The efficacy and safety of armodafinil as treatment for adults with excessive sleepiness associated with narcolepsy.” </w:t>
            </w:r>
          </w:p>
        </w:tc>
        <w:tc>
          <w:tcPr>
            <w:tcW w:w="2008" w:type="pct"/>
          </w:tcPr>
          <w:p w:rsidR="00713488" w:rsidRPr="00597864" w:rsidRDefault="00713488" w:rsidP="008B4C07">
            <w:pPr>
              <w:jc w:val="left"/>
              <w:rPr>
                <w:rFonts w:ascii="Arial Narrow" w:hAnsi="Arial Narrow"/>
                <w:sz w:val="20"/>
              </w:rPr>
            </w:pPr>
            <w:r w:rsidRPr="00597864">
              <w:rPr>
                <w:rFonts w:ascii="Arial Narrow" w:hAnsi="Arial Narrow"/>
                <w:sz w:val="20"/>
              </w:rPr>
              <w:t>9 March 2005</w:t>
            </w: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p>
          <w:p w:rsidR="00713488" w:rsidRPr="00597864" w:rsidRDefault="00713488" w:rsidP="008B4C07">
            <w:pPr>
              <w:jc w:val="left"/>
              <w:rPr>
                <w:rFonts w:ascii="Arial Narrow" w:hAnsi="Arial Narrow"/>
                <w:sz w:val="20"/>
              </w:rPr>
            </w:pPr>
            <w:r w:rsidRPr="00597864">
              <w:rPr>
                <w:rFonts w:ascii="Arial Narrow" w:hAnsi="Arial Narrow"/>
                <w:i/>
                <w:sz w:val="20"/>
              </w:rPr>
              <w:t>Current Medical Research and Opinion</w:t>
            </w:r>
            <w:r w:rsidRPr="00597864">
              <w:rPr>
                <w:rFonts w:ascii="Arial Narrow" w:hAnsi="Arial Narrow"/>
                <w:sz w:val="20"/>
              </w:rPr>
              <w:t xml:space="preserve"> 2006; 22(4): 761-774.</w:t>
            </w:r>
          </w:p>
          <w:p w:rsidR="00713488" w:rsidRPr="00597864" w:rsidRDefault="00713488" w:rsidP="008B4C07">
            <w:pPr>
              <w:jc w:val="left"/>
              <w:rPr>
                <w:rFonts w:ascii="Arial Narrow" w:hAnsi="Arial Narrow"/>
                <w:b/>
                <w:i/>
                <w:sz w:val="20"/>
              </w:rPr>
            </w:pPr>
          </w:p>
        </w:tc>
      </w:tr>
      <w:tr w:rsidR="00713488" w:rsidRPr="00F30071" w:rsidTr="00587FDE">
        <w:tc>
          <w:tcPr>
            <w:tcW w:w="568" w:type="pct"/>
          </w:tcPr>
          <w:p w:rsidR="00713488" w:rsidRDefault="00713488" w:rsidP="008B4C07">
            <w:pPr>
              <w:jc w:val="left"/>
              <w:rPr>
                <w:rFonts w:ascii="Arial Narrow" w:hAnsi="Arial Narrow"/>
                <w:sz w:val="20"/>
              </w:rPr>
            </w:pPr>
            <w:r>
              <w:rPr>
                <w:rFonts w:ascii="Arial Narrow" w:hAnsi="Arial Narrow"/>
                <w:sz w:val="20"/>
              </w:rPr>
              <w:t>Fry 1998</w:t>
            </w:r>
          </w:p>
        </w:tc>
        <w:tc>
          <w:tcPr>
            <w:tcW w:w="2424" w:type="pct"/>
          </w:tcPr>
          <w:p w:rsidR="00713488" w:rsidRDefault="00713488" w:rsidP="008B4C07">
            <w:pPr>
              <w:jc w:val="left"/>
              <w:rPr>
                <w:rFonts w:ascii="Arial Narrow" w:hAnsi="Arial Narrow"/>
                <w:sz w:val="20"/>
              </w:rPr>
            </w:pPr>
            <w:r w:rsidRPr="003611FD">
              <w:rPr>
                <w:rFonts w:ascii="Arial Narrow" w:hAnsi="Arial Narrow"/>
                <w:sz w:val="20"/>
              </w:rPr>
              <w:t xml:space="preserve">Fry, J. M. Treatment modalities for narcolepsy.” </w:t>
            </w:r>
          </w:p>
          <w:p w:rsidR="00713488" w:rsidRDefault="00713488" w:rsidP="008B4C07">
            <w:pPr>
              <w:jc w:val="left"/>
              <w:rPr>
                <w:rFonts w:ascii="Arial Narrow" w:hAnsi="Arial Narrow"/>
                <w:sz w:val="20"/>
              </w:rPr>
            </w:pPr>
          </w:p>
          <w:p w:rsidR="00713488" w:rsidRDefault="00713488" w:rsidP="008B4C07">
            <w:pPr>
              <w:jc w:val="left"/>
              <w:rPr>
                <w:rFonts w:ascii="Arial Narrow" w:hAnsi="Arial Narrow"/>
                <w:sz w:val="20"/>
              </w:rPr>
            </w:pPr>
            <w:r w:rsidRPr="003611FD">
              <w:rPr>
                <w:rFonts w:ascii="Arial Narrow" w:hAnsi="Arial Narrow"/>
                <w:sz w:val="20"/>
              </w:rPr>
              <w:t>Emsellem</w:t>
            </w:r>
            <w:r>
              <w:rPr>
                <w:rFonts w:ascii="Arial Narrow" w:hAnsi="Arial Narrow"/>
                <w:sz w:val="20"/>
              </w:rPr>
              <w:t>,</w:t>
            </w:r>
            <w:r w:rsidRPr="003611FD">
              <w:rPr>
                <w:rFonts w:ascii="Arial Narrow" w:hAnsi="Arial Narrow"/>
                <w:sz w:val="20"/>
              </w:rPr>
              <w:t xml:space="preserve"> H</w:t>
            </w:r>
            <w:r>
              <w:rPr>
                <w:rFonts w:ascii="Arial Narrow" w:hAnsi="Arial Narrow"/>
                <w:sz w:val="20"/>
              </w:rPr>
              <w:t xml:space="preserve">. </w:t>
            </w:r>
            <w:r w:rsidRPr="003611FD">
              <w:rPr>
                <w:rFonts w:ascii="Arial Narrow" w:hAnsi="Arial Narrow"/>
                <w:sz w:val="20"/>
              </w:rPr>
              <w:t xml:space="preserve"> Efficacy and safety profiles of modafinil maintained during long-term (40 and 88 weeks) treatment of excessive daytime sleepiness associated with narcolepsy." </w:t>
            </w:r>
          </w:p>
          <w:p w:rsidR="00713488" w:rsidRDefault="00713488" w:rsidP="008B4C07">
            <w:pPr>
              <w:jc w:val="left"/>
              <w:rPr>
                <w:rFonts w:ascii="Arial Narrow" w:hAnsi="Arial Narrow"/>
                <w:sz w:val="20"/>
              </w:rPr>
            </w:pPr>
          </w:p>
          <w:p w:rsidR="00713488" w:rsidRPr="003611FD" w:rsidRDefault="00713488" w:rsidP="008B4C07">
            <w:pPr>
              <w:jc w:val="left"/>
              <w:rPr>
                <w:rFonts w:ascii="Arial Narrow" w:hAnsi="Arial Narrow"/>
                <w:sz w:val="20"/>
              </w:rPr>
            </w:pPr>
            <w:r w:rsidRPr="003611FD">
              <w:rPr>
                <w:rFonts w:ascii="Arial Narrow" w:hAnsi="Arial Narrow"/>
                <w:sz w:val="20"/>
              </w:rPr>
              <w:t>Cephalon Inc. Provigil® (modafinil) Tablets (C-IV): Supplemental NDA: Briefing Document For Peripheral and Central Nervous System Drugs Advisory Committee Meeting.</w:t>
            </w:r>
          </w:p>
        </w:tc>
        <w:tc>
          <w:tcPr>
            <w:tcW w:w="2008" w:type="pct"/>
          </w:tcPr>
          <w:p w:rsidR="00713488" w:rsidRDefault="00713488" w:rsidP="008B4C07">
            <w:pPr>
              <w:jc w:val="left"/>
              <w:rPr>
                <w:rFonts w:ascii="Arial Narrow" w:hAnsi="Arial Narrow"/>
                <w:sz w:val="20"/>
              </w:rPr>
            </w:pPr>
            <w:r w:rsidRPr="003611FD">
              <w:rPr>
                <w:rFonts w:ascii="Arial Narrow" w:hAnsi="Arial Narrow"/>
                <w:i/>
                <w:sz w:val="20"/>
              </w:rPr>
              <w:t>Neurology</w:t>
            </w:r>
            <w:r w:rsidRPr="003611FD">
              <w:rPr>
                <w:rFonts w:ascii="Arial Narrow" w:hAnsi="Arial Narrow"/>
                <w:sz w:val="20"/>
              </w:rPr>
              <w:t xml:space="preserve"> </w:t>
            </w:r>
            <w:r>
              <w:rPr>
                <w:rFonts w:ascii="Arial Narrow" w:hAnsi="Arial Narrow"/>
                <w:sz w:val="20"/>
              </w:rPr>
              <w:t xml:space="preserve">1998; </w:t>
            </w:r>
            <w:r w:rsidRPr="003611FD">
              <w:rPr>
                <w:rFonts w:ascii="Arial Narrow" w:hAnsi="Arial Narrow"/>
                <w:sz w:val="20"/>
              </w:rPr>
              <w:t>50(Suppl 1): S43-S48.</w:t>
            </w:r>
          </w:p>
          <w:p w:rsidR="00713488" w:rsidRDefault="00713488" w:rsidP="008B4C07">
            <w:pPr>
              <w:jc w:val="left"/>
              <w:rPr>
                <w:rFonts w:ascii="Arial Narrow" w:hAnsi="Arial Narrow"/>
                <w:sz w:val="20"/>
              </w:rPr>
            </w:pPr>
          </w:p>
          <w:p w:rsidR="00713488" w:rsidRDefault="00713488" w:rsidP="008B4C07">
            <w:pPr>
              <w:jc w:val="left"/>
              <w:rPr>
                <w:rFonts w:ascii="Arial Narrow" w:hAnsi="Arial Narrow"/>
                <w:sz w:val="20"/>
              </w:rPr>
            </w:pPr>
            <w:r w:rsidRPr="003611FD">
              <w:rPr>
                <w:rFonts w:ascii="Arial Narrow" w:hAnsi="Arial Narrow"/>
                <w:i/>
                <w:sz w:val="20"/>
              </w:rPr>
              <w:t>Neurology</w:t>
            </w:r>
            <w:r w:rsidRPr="003611FD">
              <w:rPr>
                <w:rFonts w:ascii="Arial Narrow" w:hAnsi="Arial Narrow"/>
                <w:sz w:val="20"/>
              </w:rPr>
              <w:t xml:space="preserve"> </w:t>
            </w:r>
            <w:r>
              <w:rPr>
                <w:rFonts w:ascii="Arial Narrow" w:hAnsi="Arial Narrow"/>
                <w:sz w:val="20"/>
              </w:rPr>
              <w:t xml:space="preserve">2000; </w:t>
            </w:r>
            <w:r w:rsidRPr="003611FD">
              <w:rPr>
                <w:rFonts w:ascii="Arial Narrow" w:hAnsi="Arial Narrow"/>
                <w:sz w:val="20"/>
              </w:rPr>
              <w:t>7(Suppl 3): A29-A30.</w:t>
            </w:r>
          </w:p>
          <w:p w:rsidR="00713488" w:rsidRDefault="00713488" w:rsidP="008B4C07">
            <w:pPr>
              <w:jc w:val="left"/>
              <w:rPr>
                <w:rFonts w:ascii="Arial Narrow" w:hAnsi="Arial Narrow"/>
                <w:sz w:val="20"/>
              </w:rPr>
            </w:pPr>
          </w:p>
          <w:p w:rsidR="00713488" w:rsidRDefault="00713488" w:rsidP="008B4C07">
            <w:pPr>
              <w:jc w:val="left"/>
              <w:rPr>
                <w:rFonts w:ascii="Arial Narrow" w:hAnsi="Arial Narrow"/>
                <w:sz w:val="20"/>
              </w:rPr>
            </w:pPr>
          </w:p>
          <w:p w:rsidR="00713488" w:rsidRDefault="00713488" w:rsidP="008B4C07">
            <w:pPr>
              <w:jc w:val="left"/>
              <w:rPr>
                <w:rFonts w:ascii="Arial Narrow" w:hAnsi="Arial Narrow"/>
                <w:sz w:val="20"/>
              </w:rPr>
            </w:pPr>
          </w:p>
          <w:p w:rsidR="00713488" w:rsidRDefault="00713488" w:rsidP="008B4C07">
            <w:pPr>
              <w:jc w:val="left"/>
              <w:rPr>
                <w:rFonts w:ascii="Arial Narrow" w:hAnsi="Arial Narrow"/>
                <w:sz w:val="20"/>
              </w:rPr>
            </w:pPr>
          </w:p>
          <w:p w:rsidR="00713488" w:rsidRDefault="00713488" w:rsidP="008B4C07">
            <w:pPr>
              <w:jc w:val="left"/>
              <w:rPr>
                <w:rFonts w:ascii="Arial Narrow" w:hAnsi="Arial Narrow"/>
                <w:sz w:val="20"/>
              </w:rPr>
            </w:pPr>
            <w:r>
              <w:rPr>
                <w:rFonts w:ascii="Arial Narrow" w:hAnsi="Arial Narrow"/>
                <w:sz w:val="20"/>
              </w:rPr>
              <w:t>2003</w:t>
            </w:r>
          </w:p>
          <w:p w:rsidR="00713488" w:rsidRDefault="00713488" w:rsidP="008B4C07">
            <w:pPr>
              <w:jc w:val="left"/>
              <w:rPr>
                <w:rFonts w:ascii="Arial Narrow" w:hAnsi="Arial Narrow"/>
                <w:sz w:val="20"/>
                <w:highlight w:val="yellow"/>
              </w:rPr>
            </w:pPr>
          </w:p>
        </w:tc>
      </w:tr>
      <w:tr w:rsidR="00713488" w:rsidRPr="00F30071" w:rsidTr="00587FDE">
        <w:tc>
          <w:tcPr>
            <w:tcW w:w="568" w:type="pct"/>
          </w:tcPr>
          <w:p w:rsidR="00713488" w:rsidRDefault="00713488" w:rsidP="008B4C07">
            <w:pPr>
              <w:jc w:val="left"/>
              <w:rPr>
                <w:rFonts w:ascii="Arial Narrow" w:hAnsi="Arial Narrow"/>
                <w:sz w:val="20"/>
              </w:rPr>
            </w:pPr>
            <w:r>
              <w:rPr>
                <w:rFonts w:ascii="Arial Narrow" w:hAnsi="Arial Narrow"/>
                <w:sz w:val="20"/>
              </w:rPr>
              <w:t>Gross 2000</w:t>
            </w:r>
          </w:p>
        </w:tc>
        <w:tc>
          <w:tcPr>
            <w:tcW w:w="2424" w:type="pct"/>
          </w:tcPr>
          <w:p w:rsidR="00713488" w:rsidRPr="003611FD" w:rsidRDefault="00713488" w:rsidP="008B4C07">
            <w:pPr>
              <w:jc w:val="left"/>
              <w:rPr>
                <w:rFonts w:ascii="Arial Narrow" w:hAnsi="Arial Narrow"/>
                <w:sz w:val="20"/>
              </w:rPr>
            </w:pPr>
            <w:r w:rsidRPr="0087784E">
              <w:rPr>
                <w:rFonts w:ascii="Arial Narrow" w:hAnsi="Arial Narrow"/>
                <w:sz w:val="20"/>
              </w:rPr>
              <w:t>Gross, P. T., on behalf of US Modafinil in Narcolepsy Multicenter Study Group. Randomized trial of modafinil as a treatment for the excessive da</w:t>
            </w:r>
            <w:r>
              <w:rPr>
                <w:rFonts w:ascii="Arial Narrow" w:hAnsi="Arial Narrow"/>
                <w:sz w:val="20"/>
              </w:rPr>
              <w:t>ytime somnolence of narcolepsy.</w:t>
            </w:r>
            <w:r w:rsidRPr="0087784E">
              <w:rPr>
                <w:rFonts w:ascii="Arial Narrow" w:hAnsi="Arial Narrow"/>
                <w:sz w:val="20"/>
              </w:rPr>
              <w:t xml:space="preserve"> </w:t>
            </w:r>
          </w:p>
        </w:tc>
        <w:tc>
          <w:tcPr>
            <w:tcW w:w="2008" w:type="pct"/>
          </w:tcPr>
          <w:p w:rsidR="00713488" w:rsidRPr="003611FD" w:rsidRDefault="00713488" w:rsidP="008B4C07">
            <w:pPr>
              <w:jc w:val="left"/>
              <w:rPr>
                <w:rFonts w:ascii="Arial Narrow" w:hAnsi="Arial Narrow"/>
                <w:i/>
                <w:sz w:val="20"/>
              </w:rPr>
            </w:pPr>
            <w:r w:rsidRPr="0087784E">
              <w:rPr>
                <w:rFonts w:ascii="Arial Narrow" w:hAnsi="Arial Narrow"/>
                <w:i/>
                <w:sz w:val="20"/>
              </w:rPr>
              <w:t>Neurology</w:t>
            </w:r>
            <w:r w:rsidRPr="0087784E">
              <w:rPr>
                <w:rFonts w:ascii="Arial Narrow" w:hAnsi="Arial Narrow"/>
                <w:sz w:val="20"/>
              </w:rPr>
              <w:t xml:space="preserve"> </w:t>
            </w:r>
            <w:r>
              <w:rPr>
                <w:rFonts w:ascii="Arial Narrow" w:hAnsi="Arial Narrow"/>
                <w:sz w:val="20"/>
              </w:rPr>
              <w:t xml:space="preserve">2000; </w:t>
            </w:r>
            <w:r w:rsidRPr="0087784E">
              <w:rPr>
                <w:rFonts w:ascii="Arial Narrow" w:hAnsi="Arial Narrow"/>
                <w:sz w:val="20"/>
              </w:rPr>
              <w:t>54(5): 1166-1175.</w:t>
            </w:r>
          </w:p>
        </w:tc>
      </w:tr>
      <w:tr w:rsidR="00713488" w:rsidRPr="00F30071" w:rsidTr="00587FDE">
        <w:tc>
          <w:tcPr>
            <w:tcW w:w="5000" w:type="pct"/>
            <w:gridSpan w:val="3"/>
          </w:tcPr>
          <w:p w:rsidR="00713488" w:rsidRPr="0087784E" w:rsidRDefault="00713488" w:rsidP="008B4C07">
            <w:pPr>
              <w:jc w:val="left"/>
              <w:rPr>
                <w:rFonts w:ascii="Arial Narrow" w:hAnsi="Arial Narrow"/>
                <w:sz w:val="20"/>
              </w:rPr>
            </w:pPr>
            <w:r w:rsidRPr="0087784E">
              <w:rPr>
                <w:rFonts w:ascii="Arial Narrow" w:hAnsi="Arial Narrow"/>
                <w:sz w:val="20"/>
              </w:rPr>
              <w:t xml:space="preserve">Supplementary </w:t>
            </w:r>
            <w:r>
              <w:rPr>
                <w:rFonts w:ascii="Arial Narrow" w:hAnsi="Arial Narrow"/>
                <w:sz w:val="20"/>
              </w:rPr>
              <w:t>modafinil st</w:t>
            </w:r>
            <w:r w:rsidRPr="0087784E">
              <w:rPr>
                <w:rFonts w:ascii="Arial Narrow" w:hAnsi="Arial Narrow"/>
                <w:sz w:val="20"/>
              </w:rPr>
              <w:t>u</w:t>
            </w:r>
            <w:r>
              <w:rPr>
                <w:rFonts w:ascii="Arial Narrow" w:hAnsi="Arial Narrow"/>
                <w:sz w:val="20"/>
              </w:rPr>
              <w:t>di</w:t>
            </w:r>
            <w:r w:rsidRPr="0087784E">
              <w:rPr>
                <w:rFonts w:ascii="Arial Narrow" w:hAnsi="Arial Narrow"/>
                <w:sz w:val="20"/>
              </w:rPr>
              <w:t xml:space="preserve">es </w:t>
            </w:r>
            <w:r>
              <w:rPr>
                <w:rFonts w:ascii="Arial Narrow" w:hAnsi="Arial Narrow"/>
                <w:sz w:val="20"/>
              </w:rPr>
              <w:t xml:space="preserve">included in the submission </w:t>
            </w:r>
            <w:r w:rsidRPr="0087784E">
              <w:rPr>
                <w:rFonts w:ascii="Arial Narrow" w:hAnsi="Arial Narrow"/>
                <w:sz w:val="20"/>
              </w:rPr>
              <w:t>for sensitivity analyses</w:t>
            </w:r>
          </w:p>
        </w:tc>
      </w:tr>
      <w:tr w:rsidR="00713488" w:rsidRPr="00F30071" w:rsidTr="00587FDE">
        <w:tc>
          <w:tcPr>
            <w:tcW w:w="568" w:type="pct"/>
          </w:tcPr>
          <w:p w:rsidR="00713488" w:rsidRPr="0087784E" w:rsidRDefault="00713488" w:rsidP="008B4C07">
            <w:pPr>
              <w:jc w:val="left"/>
              <w:rPr>
                <w:rFonts w:ascii="Arial Narrow" w:hAnsi="Arial Narrow"/>
                <w:sz w:val="20"/>
              </w:rPr>
            </w:pPr>
            <w:r w:rsidRPr="0087784E">
              <w:rPr>
                <w:rFonts w:ascii="Arial Narrow" w:hAnsi="Arial Narrow"/>
                <w:sz w:val="20"/>
              </w:rPr>
              <w:t>Besset 1993</w:t>
            </w:r>
          </w:p>
        </w:tc>
        <w:tc>
          <w:tcPr>
            <w:tcW w:w="2424" w:type="pct"/>
          </w:tcPr>
          <w:p w:rsidR="00713488" w:rsidRPr="0087784E" w:rsidRDefault="00713488" w:rsidP="008B4C07">
            <w:pPr>
              <w:jc w:val="left"/>
              <w:rPr>
                <w:rFonts w:ascii="Arial Narrow" w:hAnsi="Arial Narrow"/>
                <w:sz w:val="20"/>
              </w:rPr>
            </w:pPr>
            <w:r w:rsidRPr="0087784E">
              <w:rPr>
                <w:rFonts w:ascii="Arial Narrow" w:hAnsi="Arial Narrow"/>
                <w:sz w:val="20"/>
              </w:rPr>
              <w:t>Besset, A., Tafti</w:t>
            </w:r>
            <w:r>
              <w:rPr>
                <w:rFonts w:ascii="Arial Narrow" w:hAnsi="Arial Narrow"/>
                <w:sz w:val="20"/>
              </w:rPr>
              <w:t>,</w:t>
            </w:r>
            <w:r w:rsidRPr="0087784E">
              <w:rPr>
                <w:rFonts w:ascii="Arial Narrow" w:hAnsi="Arial Narrow"/>
                <w:sz w:val="20"/>
              </w:rPr>
              <w:t xml:space="preserve"> M., Villemin</w:t>
            </w:r>
            <w:r>
              <w:rPr>
                <w:rFonts w:ascii="Arial Narrow" w:hAnsi="Arial Narrow"/>
                <w:sz w:val="20"/>
              </w:rPr>
              <w:t>,</w:t>
            </w:r>
            <w:r w:rsidRPr="0087784E">
              <w:rPr>
                <w:rFonts w:ascii="Arial Narrow" w:hAnsi="Arial Narrow"/>
                <w:sz w:val="20"/>
              </w:rPr>
              <w:t xml:space="preserve"> E and Billiard</w:t>
            </w:r>
            <w:r>
              <w:rPr>
                <w:rFonts w:ascii="Arial Narrow" w:hAnsi="Arial Narrow"/>
                <w:sz w:val="20"/>
              </w:rPr>
              <w:t>,</w:t>
            </w:r>
            <w:r w:rsidRPr="0087784E">
              <w:rPr>
                <w:rFonts w:ascii="Arial Narrow" w:hAnsi="Arial Narrow"/>
                <w:sz w:val="20"/>
              </w:rPr>
              <w:t xml:space="preserve"> M. The effects of modafinil (300 mg) on sleep, sleepiness and arousal in narcoleptic patients. </w:t>
            </w:r>
          </w:p>
        </w:tc>
        <w:tc>
          <w:tcPr>
            <w:tcW w:w="2008" w:type="pct"/>
          </w:tcPr>
          <w:p w:rsidR="00713488" w:rsidRPr="0087784E" w:rsidRDefault="00713488" w:rsidP="008B4C07">
            <w:pPr>
              <w:jc w:val="left"/>
              <w:rPr>
                <w:rFonts w:ascii="Arial Narrow" w:hAnsi="Arial Narrow"/>
                <w:i/>
                <w:sz w:val="20"/>
              </w:rPr>
            </w:pPr>
            <w:r w:rsidRPr="0087784E">
              <w:rPr>
                <w:rFonts w:ascii="Arial Narrow" w:hAnsi="Arial Narrow"/>
                <w:i/>
                <w:sz w:val="20"/>
              </w:rPr>
              <w:t>Neurophysiol Clin</w:t>
            </w:r>
            <w:r w:rsidRPr="0087784E">
              <w:rPr>
                <w:rFonts w:ascii="Arial Narrow" w:hAnsi="Arial Narrow"/>
                <w:sz w:val="20"/>
              </w:rPr>
              <w:t xml:space="preserve"> </w:t>
            </w:r>
            <w:r>
              <w:rPr>
                <w:rFonts w:ascii="Arial Narrow" w:hAnsi="Arial Narrow"/>
                <w:sz w:val="20"/>
              </w:rPr>
              <w:t xml:space="preserve">1993; </w:t>
            </w:r>
            <w:r w:rsidRPr="0087784E">
              <w:rPr>
                <w:rFonts w:ascii="Arial Narrow" w:hAnsi="Arial Narrow"/>
                <w:sz w:val="20"/>
              </w:rPr>
              <w:t>23: 47-60.</w:t>
            </w:r>
          </w:p>
        </w:tc>
      </w:tr>
      <w:tr w:rsidR="00713488" w:rsidRPr="00F30071" w:rsidTr="00587FDE">
        <w:tc>
          <w:tcPr>
            <w:tcW w:w="568" w:type="pct"/>
          </w:tcPr>
          <w:p w:rsidR="00713488" w:rsidRPr="0087784E" w:rsidRDefault="00713488" w:rsidP="008B4C07">
            <w:pPr>
              <w:jc w:val="left"/>
              <w:rPr>
                <w:rFonts w:ascii="Arial Narrow" w:hAnsi="Arial Narrow"/>
                <w:sz w:val="20"/>
              </w:rPr>
            </w:pPr>
            <w:r w:rsidRPr="0087784E">
              <w:rPr>
                <w:rFonts w:ascii="Arial Narrow" w:hAnsi="Arial Narrow"/>
                <w:sz w:val="20"/>
              </w:rPr>
              <w:t>Broughton 1997</w:t>
            </w:r>
          </w:p>
        </w:tc>
        <w:tc>
          <w:tcPr>
            <w:tcW w:w="2424" w:type="pct"/>
          </w:tcPr>
          <w:p w:rsidR="00713488" w:rsidRPr="0087784E" w:rsidRDefault="00713488" w:rsidP="008B4C07">
            <w:pPr>
              <w:jc w:val="left"/>
              <w:rPr>
                <w:rFonts w:ascii="Arial Narrow" w:hAnsi="Arial Narrow"/>
                <w:sz w:val="20"/>
              </w:rPr>
            </w:pPr>
            <w:r w:rsidRPr="0087784E">
              <w:rPr>
                <w:rFonts w:ascii="Arial Narrow" w:hAnsi="Arial Narrow"/>
                <w:sz w:val="20"/>
              </w:rPr>
              <w:t>Broughton, R. J., Fleming</w:t>
            </w:r>
            <w:r>
              <w:rPr>
                <w:rFonts w:ascii="Arial Narrow" w:hAnsi="Arial Narrow"/>
                <w:sz w:val="20"/>
              </w:rPr>
              <w:t>,</w:t>
            </w:r>
            <w:r w:rsidRPr="0087784E">
              <w:rPr>
                <w:rFonts w:ascii="Arial Narrow" w:hAnsi="Arial Narrow"/>
                <w:sz w:val="20"/>
              </w:rPr>
              <w:t xml:space="preserve"> J. A. E., George C. F. P., J. D. Hill, Kryger</w:t>
            </w:r>
            <w:r>
              <w:rPr>
                <w:rFonts w:ascii="Arial Narrow" w:hAnsi="Arial Narrow"/>
                <w:sz w:val="20"/>
              </w:rPr>
              <w:t>,</w:t>
            </w:r>
            <w:r w:rsidRPr="0087784E">
              <w:rPr>
                <w:rFonts w:ascii="Arial Narrow" w:hAnsi="Arial Narrow"/>
                <w:sz w:val="20"/>
              </w:rPr>
              <w:t xml:space="preserve"> M. H., Moldofsky</w:t>
            </w:r>
            <w:r>
              <w:rPr>
                <w:rFonts w:ascii="Arial Narrow" w:hAnsi="Arial Narrow"/>
                <w:sz w:val="20"/>
              </w:rPr>
              <w:t>,</w:t>
            </w:r>
            <w:r w:rsidRPr="0087784E">
              <w:rPr>
                <w:rFonts w:ascii="Arial Narrow" w:hAnsi="Arial Narrow"/>
                <w:sz w:val="20"/>
              </w:rPr>
              <w:t xml:space="preserve"> H.,</w:t>
            </w:r>
            <w:r>
              <w:rPr>
                <w:rFonts w:ascii="Arial Narrow" w:hAnsi="Arial Narrow"/>
                <w:sz w:val="20"/>
              </w:rPr>
              <w:t xml:space="preserve"> </w:t>
            </w:r>
            <w:r w:rsidRPr="0087784E">
              <w:rPr>
                <w:rFonts w:ascii="Arial Narrow" w:hAnsi="Arial Narrow"/>
                <w:sz w:val="20"/>
              </w:rPr>
              <w:t xml:space="preserve"> Montplaisir</w:t>
            </w:r>
            <w:r>
              <w:rPr>
                <w:rFonts w:ascii="Arial Narrow" w:hAnsi="Arial Narrow"/>
                <w:sz w:val="20"/>
              </w:rPr>
              <w:t>,</w:t>
            </w:r>
            <w:r w:rsidRPr="0087784E">
              <w:rPr>
                <w:rFonts w:ascii="Arial Narrow" w:hAnsi="Arial Narrow"/>
                <w:sz w:val="20"/>
              </w:rPr>
              <w:t xml:space="preserve"> J. Y, Morehouse</w:t>
            </w:r>
            <w:r>
              <w:rPr>
                <w:rFonts w:ascii="Arial Narrow" w:hAnsi="Arial Narrow"/>
                <w:sz w:val="20"/>
              </w:rPr>
              <w:t>,</w:t>
            </w:r>
            <w:r w:rsidRPr="0087784E">
              <w:rPr>
                <w:rFonts w:ascii="Arial Narrow" w:hAnsi="Arial Narrow"/>
                <w:sz w:val="20"/>
              </w:rPr>
              <w:t xml:space="preserve"> R. L., </w:t>
            </w:r>
            <w:r>
              <w:rPr>
                <w:rFonts w:ascii="Arial Narrow" w:hAnsi="Arial Narrow"/>
                <w:sz w:val="20"/>
              </w:rPr>
              <w:t xml:space="preserve">Moscovitch, A. and Murphy, W. F.. </w:t>
            </w:r>
            <w:r w:rsidRPr="0087784E">
              <w:rPr>
                <w:rFonts w:ascii="Arial Narrow" w:hAnsi="Arial Narrow"/>
                <w:sz w:val="20"/>
              </w:rPr>
              <w:t xml:space="preserve">Randomized, double-blind, placebo-controlled crossover trial of modafinil in the treatment of excessive daytime sleepiness in narcolepsy. </w:t>
            </w:r>
          </w:p>
        </w:tc>
        <w:tc>
          <w:tcPr>
            <w:tcW w:w="2008" w:type="pct"/>
          </w:tcPr>
          <w:p w:rsidR="00713488" w:rsidRPr="0087784E" w:rsidRDefault="00713488" w:rsidP="008B4C07">
            <w:pPr>
              <w:jc w:val="left"/>
              <w:rPr>
                <w:rFonts w:ascii="Arial Narrow" w:hAnsi="Arial Narrow"/>
                <w:i/>
                <w:sz w:val="20"/>
              </w:rPr>
            </w:pPr>
            <w:r w:rsidRPr="00C61DA3">
              <w:rPr>
                <w:rFonts w:ascii="Arial Narrow" w:hAnsi="Arial Narrow"/>
                <w:i/>
                <w:sz w:val="20"/>
              </w:rPr>
              <w:t>Neurology</w:t>
            </w:r>
            <w:r w:rsidRPr="0087784E">
              <w:rPr>
                <w:rFonts w:ascii="Arial Narrow" w:hAnsi="Arial Narrow"/>
                <w:sz w:val="20"/>
              </w:rPr>
              <w:t xml:space="preserve"> </w:t>
            </w:r>
            <w:r>
              <w:rPr>
                <w:rFonts w:ascii="Arial Narrow" w:hAnsi="Arial Narrow"/>
                <w:sz w:val="20"/>
              </w:rPr>
              <w:t xml:space="preserve">1997; </w:t>
            </w:r>
            <w:r w:rsidRPr="0087784E">
              <w:rPr>
                <w:rFonts w:ascii="Arial Narrow" w:hAnsi="Arial Narrow"/>
                <w:sz w:val="20"/>
              </w:rPr>
              <w:t>49(2): 444-451.</w:t>
            </w:r>
          </w:p>
        </w:tc>
      </w:tr>
    </w:tbl>
    <w:p w:rsidR="00713488" w:rsidRDefault="00713488" w:rsidP="00713488">
      <w:pPr>
        <w:pStyle w:val="TableHeader"/>
        <w:rPr>
          <w:b w:val="0"/>
          <w:sz w:val="18"/>
          <w:szCs w:val="18"/>
        </w:rPr>
      </w:pPr>
      <w:r>
        <w:tab/>
      </w:r>
      <w:r w:rsidRPr="009F72E8">
        <w:rPr>
          <w:b w:val="0"/>
          <w:sz w:val="18"/>
          <w:szCs w:val="18"/>
        </w:rPr>
        <w:t xml:space="preserve">CEP-10953 = armodafinil; </w:t>
      </w:r>
      <w:r>
        <w:rPr>
          <w:b w:val="0"/>
          <w:sz w:val="18"/>
          <w:szCs w:val="18"/>
        </w:rPr>
        <w:t xml:space="preserve">NDA = new drug application. </w:t>
      </w:r>
    </w:p>
    <w:p w:rsidR="00713488" w:rsidRDefault="00713488" w:rsidP="00713488">
      <w:pPr>
        <w:pStyle w:val="TableHeader"/>
        <w:ind w:firstLine="720"/>
        <w:rPr>
          <w:b w:val="0"/>
          <w:sz w:val="18"/>
          <w:szCs w:val="18"/>
        </w:rPr>
      </w:pPr>
      <w:r w:rsidRPr="0087784E">
        <w:rPr>
          <w:b w:val="0"/>
          <w:sz w:val="18"/>
          <w:szCs w:val="18"/>
        </w:rPr>
        <w:t>Source</w:t>
      </w:r>
      <w:r>
        <w:rPr>
          <w:b w:val="0"/>
          <w:sz w:val="18"/>
          <w:szCs w:val="18"/>
        </w:rPr>
        <w:t>s</w:t>
      </w:r>
      <w:r w:rsidRPr="0087784E">
        <w:rPr>
          <w:b w:val="0"/>
          <w:sz w:val="18"/>
          <w:szCs w:val="18"/>
        </w:rPr>
        <w:t>: Table B.2.1, page B.14 of the submission</w:t>
      </w:r>
    </w:p>
    <w:p w:rsidR="00713488" w:rsidRPr="008F120A" w:rsidRDefault="00713488" w:rsidP="00713488">
      <w:pPr>
        <w:widowControl/>
        <w:rPr>
          <w:szCs w:val="22"/>
        </w:rPr>
      </w:pPr>
    </w:p>
    <w:p w:rsidR="00713488" w:rsidRPr="00B50DB8" w:rsidRDefault="00713488" w:rsidP="00713488">
      <w:pPr>
        <w:pStyle w:val="ListParagraph"/>
        <w:widowControl/>
        <w:numPr>
          <w:ilvl w:val="1"/>
          <w:numId w:val="10"/>
        </w:numPr>
        <w:rPr>
          <w:szCs w:val="22"/>
        </w:rPr>
      </w:pPr>
      <w:r w:rsidRPr="00B50DB8">
        <w:rPr>
          <w:szCs w:val="22"/>
        </w:rPr>
        <w:t>The key features of the randomised trials</w:t>
      </w:r>
      <w:r>
        <w:rPr>
          <w:szCs w:val="22"/>
        </w:rPr>
        <w:t xml:space="preserve"> used for the indirect comparison</w:t>
      </w:r>
      <w:r w:rsidRPr="00B50DB8">
        <w:rPr>
          <w:szCs w:val="22"/>
        </w:rPr>
        <w:t xml:space="preserve"> are </w:t>
      </w:r>
      <w:r>
        <w:rPr>
          <w:szCs w:val="22"/>
        </w:rPr>
        <w:t>summarised in the table below.</w:t>
      </w:r>
    </w:p>
    <w:p w:rsidR="00713488" w:rsidRDefault="00713488" w:rsidP="00713488">
      <w:pPr>
        <w:widowControl/>
        <w:rPr>
          <w:szCs w:val="22"/>
        </w:rPr>
      </w:pPr>
    </w:p>
    <w:p w:rsidR="00977EAB" w:rsidRDefault="00977EAB">
      <w:pPr>
        <w:widowControl/>
        <w:jc w:val="left"/>
        <w:rPr>
          <w:rFonts w:ascii="Arial Narrow" w:hAnsi="Arial Narrow"/>
          <w:b/>
          <w:sz w:val="20"/>
        </w:rPr>
      </w:pPr>
      <w:r>
        <w:br w:type="page"/>
      </w:r>
    </w:p>
    <w:p w:rsidR="00713488" w:rsidRPr="005C7F65" w:rsidRDefault="00713488" w:rsidP="00713488">
      <w:pPr>
        <w:pStyle w:val="TableHeader"/>
        <w:ind w:firstLine="720"/>
      </w:pPr>
      <w:r w:rsidRPr="005C7F65">
        <w:lastRenderedPageBreak/>
        <w:t xml:space="preserve">Table </w:t>
      </w:r>
      <w:r>
        <w:t>2</w:t>
      </w:r>
      <w:r w:rsidRPr="005C7F65">
        <w:t>: Key features of the included evidence – indirect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3"/>
        <w:gridCol w:w="708"/>
        <w:gridCol w:w="1844"/>
        <w:gridCol w:w="991"/>
        <w:gridCol w:w="2230"/>
        <w:gridCol w:w="1439"/>
      </w:tblGrid>
      <w:tr w:rsidR="00713488" w:rsidRPr="00E2771E" w:rsidTr="008B4C07">
        <w:trPr>
          <w:tblHeader/>
        </w:trPr>
        <w:tc>
          <w:tcPr>
            <w:tcW w:w="679" w:type="pct"/>
            <w:shd w:val="clear" w:color="auto" w:fill="auto"/>
            <w:vAlign w:val="center"/>
          </w:tcPr>
          <w:p w:rsidR="00713488" w:rsidRPr="00E2771E" w:rsidRDefault="00713488" w:rsidP="008B4C07">
            <w:pPr>
              <w:jc w:val="left"/>
              <w:rPr>
                <w:rFonts w:ascii="Arial Narrow" w:hAnsi="Arial Narrow"/>
                <w:b/>
                <w:sz w:val="20"/>
                <w:szCs w:val="16"/>
                <w:lang w:val="en-US"/>
              </w:rPr>
            </w:pPr>
            <w:r w:rsidRPr="00E2771E">
              <w:rPr>
                <w:rFonts w:ascii="Arial Narrow" w:hAnsi="Arial Narrow"/>
                <w:b/>
                <w:sz w:val="20"/>
                <w:szCs w:val="16"/>
                <w:lang w:val="en-US"/>
              </w:rPr>
              <w:t>Trial</w:t>
            </w:r>
          </w:p>
        </w:tc>
        <w:tc>
          <w:tcPr>
            <w:tcW w:w="424" w:type="pct"/>
            <w:shd w:val="clear" w:color="auto" w:fill="auto"/>
            <w:vAlign w:val="center"/>
          </w:tcPr>
          <w:p w:rsidR="00713488" w:rsidRPr="00E2771E" w:rsidRDefault="00713488" w:rsidP="008B4C07">
            <w:pPr>
              <w:jc w:val="center"/>
              <w:rPr>
                <w:rFonts w:ascii="Arial Narrow" w:hAnsi="Arial Narrow"/>
                <w:b/>
                <w:sz w:val="20"/>
                <w:szCs w:val="16"/>
                <w:lang w:val="en-US"/>
              </w:rPr>
            </w:pPr>
            <w:r w:rsidRPr="00E2771E">
              <w:rPr>
                <w:rFonts w:ascii="Arial Narrow" w:hAnsi="Arial Narrow"/>
                <w:b/>
                <w:sz w:val="20"/>
                <w:szCs w:val="16"/>
                <w:lang w:val="en-US"/>
              </w:rPr>
              <w:t>N</w:t>
            </w:r>
          </w:p>
        </w:tc>
        <w:tc>
          <w:tcPr>
            <w:tcW w:w="1105" w:type="pct"/>
            <w:shd w:val="clear" w:color="auto" w:fill="auto"/>
            <w:vAlign w:val="center"/>
          </w:tcPr>
          <w:p w:rsidR="00713488" w:rsidRPr="00E2771E" w:rsidRDefault="00713488" w:rsidP="008B4C07">
            <w:pPr>
              <w:jc w:val="center"/>
              <w:rPr>
                <w:rFonts w:ascii="Arial Narrow" w:hAnsi="Arial Narrow"/>
                <w:b/>
                <w:sz w:val="20"/>
                <w:szCs w:val="16"/>
                <w:lang w:val="en-US"/>
              </w:rPr>
            </w:pPr>
            <w:r w:rsidRPr="00E2771E">
              <w:rPr>
                <w:rFonts w:ascii="Arial Narrow" w:hAnsi="Arial Narrow"/>
                <w:b/>
                <w:sz w:val="20"/>
                <w:szCs w:val="16"/>
                <w:lang w:val="en-US"/>
              </w:rPr>
              <w:t>Design/ duration</w:t>
            </w:r>
          </w:p>
        </w:tc>
        <w:tc>
          <w:tcPr>
            <w:tcW w:w="594" w:type="pct"/>
            <w:shd w:val="clear" w:color="auto" w:fill="auto"/>
            <w:vAlign w:val="center"/>
          </w:tcPr>
          <w:p w:rsidR="00713488" w:rsidRPr="00E2771E" w:rsidRDefault="00713488" w:rsidP="008B4C07">
            <w:pPr>
              <w:jc w:val="center"/>
              <w:rPr>
                <w:rFonts w:ascii="Arial Narrow" w:hAnsi="Arial Narrow"/>
                <w:b/>
                <w:sz w:val="20"/>
                <w:szCs w:val="16"/>
                <w:lang w:val="en-US"/>
              </w:rPr>
            </w:pPr>
            <w:r w:rsidRPr="00E2771E">
              <w:rPr>
                <w:rFonts w:ascii="Arial Narrow" w:hAnsi="Arial Narrow"/>
                <w:b/>
                <w:sz w:val="20"/>
                <w:szCs w:val="16"/>
                <w:lang w:val="en-US"/>
              </w:rPr>
              <w:t>Risk of bias</w:t>
            </w:r>
          </w:p>
        </w:tc>
        <w:tc>
          <w:tcPr>
            <w:tcW w:w="1336" w:type="pct"/>
            <w:shd w:val="clear" w:color="auto" w:fill="auto"/>
            <w:vAlign w:val="center"/>
          </w:tcPr>
          <w:p w:rsidR="00713488" w:rsidRPr="00E2771E" w:rsidRDefault="00713488" w:rsidP="008B4C07">
            <w:pPr>
              <w:jc w:val="center"/>
              <w:rPr>
                <w:rFonts w:ascii="Arial Narrow" w:hAnsi="Arial Narrow"/>
                <w:b/>
                <w:sz w:val="20"/>
                <w:szCs w:val="16"/>
                <w:lang w:val="en-US"/>
              </w:rPr>
            </w:pPr>
            <w:r w:rsidRPr="00E2771E">
              <w:rPr>
                <w:rFonts w:ascii="Arial Narrow" w:hAnsi="Arial Narrow"/>
                <w:b/>
                <w:sz w:val="20"/>
                <w:szCs w:val="16"/>
                <w:lang w:val="en-US"/>
              </w:rPr>
              <w:t>Patient population</w:t>
            </w:r>
          </w:p>
        </w:tc>
        <w:tc>
          <w:tcPr>
            <w:tcW w:w="862" w:type="pct"/>
            <w:shd w:val="clear" w:color="auto" w:fill="auto"/>
            <w:vAlign w:val="center"/>
          </w:tcPr>
          <w:p w:rsidR="00713488" w:rsidRPr="00E2771E" w:rsidRDefault="006B6D3F" w:rsidP="008B4C07">
            <w:pPr>
              <w:jc w:val="center"/>
              <w:rPr>
                <w:rFonts w:ascii="Arial Narrow" w:hAnsi="Arial Narrow"/>
                <w:b/>
                <w:sz w:val="20"/>
                <w:szCs w:val="16"/>
                <w:lang w:val="en-US"/>
              </w:rPr>
            </w:pPr>
            <w:r>
              <w:rPr>
                <w:rFonts w:ascii="Arial Narrow" w:hAnsi="Arial Narrow"/>
                <w:b/>
                <w:sz w:val="20"/>
                <w:szCs w:val="16"/>
                <w:lang w:val="en-US"/>
              </w:rPr>
              <w:t>Outcome</w:t>
            </w:r>
            <w:r w:rsidR="00713488" w:rsidRPr="00E2771E">
              <w:rPr>
                <w:rFonts w:ascii="Arial Narrow" w:hAnsi="Arial Narrow"/>
                <w:b/>
                <w:sz w:val="20"/>
                <w:szCs w:val="16"/>
                <w:lang w:val="en-US"/>
              </w:rPr>
              <w:t>s</w:t>
            </w:r>
          </w:p>
        </w:tc>
      </w:tr>
      <w:tr w:rsidR="00713488" w:rsidRPr="00E2771E" w:rsidTr="008B4C07">
        <w:tc>
          <w:tcPr>
            <w:tcW w:w="5000" w:type="pct"/>
            <w:gridSpan w:val="6"/>
            <w:shd w:val="clear" w:color="auto" w:fill="auto"/>
            <w:vAlign w:val="center"/>
          </w:tcPr>
          <w:p w:rsidR="00713488" w:rsidRPr="00E2771E" w:rsidRDefault="00713488" w:rsidP="008B4C07">
            <w:pPr>
              <w:jc w:val="left"/>
              <w:rPr>
                <w:rFonts w:ascii="Arial Narrow" w:hAnsi="Arial Narrow"/>
                <w:b/>
                <w:sz w:val="20"/>
                <w:szCs w:val="16"/>
                <w:lang w:val="en-US"/>
              </w:rPr>
            </w:pPr>
            <w:r>
              <w:rPr>
                <w:rFonts w:ascii="Arial Narrow" w:hAnsi="Arial Narrow"/>
                <w:b/>
                <w:sz w:val="20"/>
                <w:szCs w:val="16"/>
                <w:lang w:val="en-US"/>
              </w:rPr>
              <w:t>armodafinil</w:t>
            </w:r>
            <w:r w:rsidRPr="00E2771E">
              <w:rPr>
                <w:rFonts w:ascii="Arial Narrow" w:hAnsi="Arial Narrow"/>
                <w:b/>
                <w:sz w:val="20"/>
                <w:szCs w:val="16"/>
                <w:lang w:val="en-US"/>
              </w:rPr>
              <w:t xml:space="preserve"> vs. </w:t>
            </w:r>
            <w:r>
              <w:rPr>
                <w:rFonts w:ascii="Arial Narrow" w:hAnsi="Arial Narrow"/>
                <w:b/>
                <w:sz w:val="20"/>
                <w:szCs w:val="16"/>
                <w:lang w:val="en-US"/>
              </w:rPr>
              <w:t>placebo</w:t>
            </w:r>
          </w:p>
        </w:tc>
      </w:tr>
      <w:tr w:rsidR="00713488" w:rsidRPr="00E2771E" w:rsidTr="008B4C07">
        <w:tc>
          <w:tcPr>
            <w:tcW w:w="679" w:type="pct"/>
            <w:shd w:val="clear" w:color="auto" w:fill="auto"/>
            <w:vAlign w:val="center"/>
          </w:tcPr>
          <w:p w:rsidR="00713488" w:rsidRPr="00E2771E" w:rsidRDefault="00713488" w:rsidP="008B4C07">
            <w:pPr>
              <w:jc w:val="left"/>
              <w:rPr>
                <w:rFonts w:ascii="Arial Narrow" w:hAnsi="Arial Narrow"/>
                <w:sz w:val="20"/>
                <w:szCs w:val="16"/>
                <w:lang w:val="en-US"/>
              </w:rPr>
            </w:pPr>
            <w:r>
              <w:rPr>
                <w:rFonts w:ascii="Arial Narrow" w:hAnsi="Arial Narrow"/>
                <w:sz w:val="20"/>
                <w:szCs w:val="16"/>
                <w:lang w:val="en-US"/>
              </w:rPr>
              <w:t>Trial 3020</w:t>
            </w:r>
          </w:p>
        </w:tc>
        <w:tc>
          <w:tcPr>
            <w:tcW w:w="424"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194</w:t>
            </w:r>
          </w:p>
        </w:tc>
        <w:tc>
          <w:tcPr>
            <w:tcW w:w="1105" w:type="pct"/>
            <w:shd w:val="clear" w:color="auto" w:fill="auto"/>
            <w:vAlign w:val="center"/>
          </w:tcPr>
          <w:p w:rsidR="00713488" w:rsidRPr="00E2771E" w:rsidRDefault="00713488" w:rsidP="008B4C07">
            <w:pPr>
              <w:jc w:val="center"/>
              <w:rPr>
                <w:rFonts w:ascii="Arial Narrow" w:hAnsi="Arial Narrow"/>
                <w:sz w:val="20"/>
                <w:szCs w:val="16"/>
                <w:lang w:val="en-US"/>
              </w:rPr>
            </w:pPr>
            <w:r w:rsidRPr="00E2771E">
              <w:rPr>
                <w:rFonts w:ascii="Arial Narrow" w:hAnsi="Arial Narrow"/>
                <w:sz w:val="20"/>
                <w:szCs w:val="16"/>
                <w:lang w:val="en-US"/>
              </w:rPr>
              <w:t>R, DB</w:t>
            </w:r>
          </w:p>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12 weeks</w:t>
            </w:r>
          </w:p>
        </w:tc>
        <w:tc>
          <w:tcPr>
            <w:tcW w:w="594"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High</w:t>
            </w:r>
            <w:r w:rsidRPr="00094457">
              <w:rPr>
                <w:rFonts w:ascii="Arial Narrow" w:hAnsi="Arial Narrow"/>
                <w:sz w:val="20"/>
                <w:szCs w:val="16"/>
                <w:vertAlign w:val="superscript"/>
                <w:lang w:val="en-US"/>
              </w:rPr>
              <w:t>a</w:t>
            </w:r>
          </w:p>
        </w:tc>
        <w:tc>
          <w:tcPr>
            <w:tcW w:w="1336"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Patients with excessive daytime sleepiness associated with narcolepsy</w:t>
            </w:r>
          </w:p>
        </w:tc>
        <w:tc>
          <w:tcPr>
            <w:tcW w:w="862"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MWT, ESS, CGI-C</w:t>
            </w:r>
          </w:p>
        </w:tc>
      </w:tr>
      <w:tr w:rsidR="00713488" w:rsidRPr="00E2771E" w:rsidTr="008B4C07">
        <w:tc>
          <w:tcPr>
            <w:tcW w:w="5000" w:type="pct"/>
            <w:gridSpan w:val="6"/>
            <w:shd w:val="clear" w:color="auto" w:fill="auto"/>
            <w:vAlign w:val="center"/>
          </w:tcPr>
          <w:p w:rsidR="00713488" w:rsidRPr="00E2771E" w:rsidRDefault="00713488" w:rsidP="008B4C07">
            <w:pPr>
              <w:jc w:val="left"/>
              <w:rPr>
                <w:rFonts w:ascii="Arial Narrow" w:hAnsi="Arial Narrow"/>
                <w:b/>
                <w:sz w:val="20"/>
                <w:szCs w:val="16"/>
                <w:lang w:val="en-US"/>
              </w:rPr>
            </w:pPr>
            <w:r>
              <w:rPr>
                <w:rFonts w:ascii="Arial Narrow" w:hAnsi="Arial Narrow"/>
                <w:b/>
                <w:sz w:val="20"/>
                <w:szCs w:val="16"/>
                <w:lang w:val="en-US"/>
              </w:rPr>
              <w:t>modafinil</w:t>
            </w:r>
            <w:r w:rsidRPr="00E2771E">
              <w:rPr>
                <w:rFonts w:ascii="Arial Narrow" w:hAnsi="Arial Narrow"/>
                <w:b/>
                <w:sz w:val="20"/>
                <w:szCs w:val="16"/>
                <w:lang w:val="en-US"/>
              </w:rPr>
              <w:t xml:space="preserve"> vs. </w:t>
            </w:r>
            <w:r>
              <w:rPr>
                <w:rFonts w:ascii="Arial Narrow" w:hAnsi="Arial Narrow"/>
                <w:b/>
                <w:sz w:val="20"/>
                <w:szCs w:val="16"/>
                <w:lang w:val="en-US"/>
              </w:rPr>
              <w:t>placebo</w:t>
            </w:r>
          </w:p>
        </w:tc>
      </w:tr>
      <w:tr w:rsidR="00713488" w:rsidRPr="00E2771E" w:rsidTr="008B4C07">
        <w:tc>
          <w:tcPr>
            <w:tcW w:w="679" w:type="pct"/>
            <w:shd w:val="clear" w:color="auto" w:fill="auto"/>
            <w:vAlign w:val="center"/>
          </w:tcPr>
          <w:p w:rsidR="00713488" w:rsidRPr="00E2771E" w:rsidRDefault="00713488" w:rsidP="008B4C07">
            <w:pPr>
              <w:jc w:val="left"/>
              <w:rPr>
                <w:rFonts w:ascii="Arial Narrow" w:hAnsi="Arial Narrow"/>
                <w:sz w:val="20"/>
                <w:szCs w:val="16"/>
                <w:lang w:val="en-US"/>
              </w:rPr>
            </w:pPr>
            <w:r>
              <w:rPr>
                <w:rFonts w:ascii="Arial Narrow" w:hAnsi="Arial Narrow"/>
                <w:sz w:val="20"/>
                <w:szCs w:val="16"/>
                <w:lang w:val="en-US"/>
              </w:rPr>
              <w:t>Fry 1998</w:t>
            </w:r>
          </w:p>
        </w:tc>
        <w:tc>
          <w:tcPr>
            <w:tcW w:w="424"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273</w:t>
            </w:r>
          </w:p>
        </w:tc>
        <w:tc>
          <w:tcPr>
            <w:tcW w:w="1105" w:type="pct"/>
            <w:shd w:val="clear" w:color="auto" w:fill="auto"/>
            <w:vAlign w:val="center"/>
          </w:tcPr>
          <w:p w:rsidR="00713488" w:rsidRDefault="00713488" w:rsidP="008B4C07">
            <w:pPr>
              <w:jc w:val="center"/>
              <w:rPr>
                <w:rFonts w:ascii="Arial Narrow" w:hAnsi="Arial Narrow"/>
                <w:sz w:val="20"/>
                <w:szCs w:val="16"/>
                <w:lang w:val="en-US"/>
              </w:rPr>
            </w:pPr>
            <w:r>
              <w:rPr>
                <w:rFonts w:ascii="Arial Narrow" w:hAnsi="Arial Narrow"/>
                <w:sz w:val="20"/>
                <w:szCs w:val="16"/>
                <w:lang w:val="en-US"/>
              </w:rPr>
              <w:t>R DB</w:t>
            </w:r>
          </w:p>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9 weeks</w:t>
            </w:r>
          </w:p>
        </w:tc>
        <w:tc>
          <w:tcPr>
            <w:tcW w:w="594"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Unclear</w:t>
            </w:r>
            <w:r w:rsidRPr="00094457">
              <w:rPr>
                <w:rFonts w:ascii="Arial Narrow" w:hAnsi="Arial Narrow"/>
                <w:sz w:val="20"/>
                <w:szCs w:val="16"/>
                <w:vertAlign w:val="superscript"/>
                <w:lang w:val="en-US"/>
              </w:rPr>
              <w:t>b</w:t>
            </w:r>
          </w:p>
        </w:tc>
        <w:tc>
          <w:tcPr>
            <w:tcW w:w="1336"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Patients with excessive daytime sleepiness associated with narcolepsy</w:t>
            </w:r>
          </w:p>
        </w:tc>
        <w:tc>
          <w:tcPr>
            <w:tcW w:w="862"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MWT, ESS, CGI-C</w:t>
            </w:r>
          </w:p>
        </w:tc>
      </w:tr>
      <w:tr w:rsidR="00713488" w:rsidRPr="00E2771E" w:rsidTr="008B4C07">
        <w:tc>
          <w:tcPr>
            <w:tcW w:w="679" w:type="pct"/>
            <w:shd w:val="clear" w:color="auto" w:fill="auto"/>
            <w:vAlign w:val="center"/>
          </w:tcPr>
          <w:p w:rsidR="00713488" w:rsidRPr="00E2771E" w:rsidRDefault="00713488" w:rsidP="008B4C07">
            <w:pPr>
              <w:jc w:val="left"/>
              <w:rPr>
                <w:rFonts w:ascii="Arial Narrow" w:hAnsi="Arial Narrow"/>
                <w:sz w:val="20"/>
                <w:szCs w:val="16"/>
                <w:lang w:val="en-US"/>
              </w:rPr>
            </w:pPr>
            <w:r>
              <w:rPr>
                <w:rFonts w:ascii="Arial Narrow" w:hAnsi="Arial Narrow"/>
                <w:sz w:val="20"/>
                <w:szCs w:val="16"/>
                <w:lang w:val="en-US"/>
              </w:rPr>
              <w:t>Gross 2000</w:t>
            </w:r>
          </w:p>
        </w:tc>
        <w:tc>
          <w:tcPr>
            <w:tcW w:w="424"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257</w:t>
            </w:r>
          </w:p>
        </w:tc>
        <w:tc>
          <w:tcPr>
            <w:tcW w:w="1105" w:type="pct"/>
            <w:shd w:val="clear" w:color="auto" w:fill="auto"/>
            <w:vAlign w:val="center"/>
          </w:tcPr>
          <w:p w:rsidR="00713488" w:rsidRDefault="00713488" w:rsidP="008B4C07">
            <w:pPr>
              <w:jc w:val="center"/>
              <w:rPr>
                <w:rFonts w:ascii="Arial Narrow" w:hAnsi="Arial Narrow"/>
                <w:sz w:val="20"/>
                <w:szCs w:val="16"/>
                <w:lang w:val="en-US"/>
              </w:rPr>
            </w:pPr>
            <w:r>
              <w:rPr>
                <w:rFonts w:ascii="Arial Narrow" w:hAnsi="Arial Narrow"/>
                <w:sz w:val="20"/>
                <w:szCs w:val="16"/>
                <w:lang w:val="en-US"/>
              </w:rPr>
              <w:t>R, DB</w:t>
            </w:r>
          </w:p>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9 weeks</w:t>
            </w:r>
          </w:p>
        </w:tc>
        <w:tc>
          <w:tcPr>
            <w:tcW w:w="594"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Unclear</w:t>
            </w:r>
            <w:r w:rsidRPr="00094457">
              <w:rPr>
                <w:rFonts w:ascii="Arial Narrow" w:hAnsi="Arial Narrow"/>
                <w:sz w:val="20"/>
                <w:szCs w:val="16"/>
                <w:vertAlign w:val="superscript"/>
                <w:lang w:val="en-US"/>
              </w:rPr>
              <w:t>b</w:t>
            </w:r>
          </w:p>
        </w:tc>
        <w:tc>
          <w:tcPr>
            <w:tcW w:w="1336"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Patients with excessive daytime sleepiness associated with narcolepsy</w:t>
            </w:r>
          </w:p>
        </w:tc>
        <w:tc>
          <w:tcPr>
            <w:tcW w:w="862"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MWT, ESS, CGI-C</w:t>
            </w:r>
          </w:p>
        </w:tc>
      </w:tr>
      <w:tr w:rsidR="00713488" w:rsidRPr="00E2771E" w:rsidTr="008B4C07">
        <w:tc>
          <w:tcPr>
            <w:tcW w:w="679" w:type="pct"/>
            <w:shd w:val="clear" w:color="auto" w:fill="auto"/>
            <w:vAlign w:val="center"/>
          </w:tcPr>
          <w:p w:rsidR="00713488" w:rsidRPr="00E2771E" w:rsidRDefault="00713488" w:rsidP="008B4C07">
            <w:pPr>
              <w:jc w:val="left"/>
              <w:rPr>
                <w:rFonts w:ascii="Arial Narrow" w:hAnsi="Arial Narrow"/>
                <w:sz w:val="20"/>
                <w:szCs w:val="16"/>
                <w:lang w:val="en-US"/>
              </w:rPr>
            </w:pPr>
            <w:r w:rsidRPr="00E2771E">
              <w:rPr>
                <w:rFonts w:ascii="Arial Narrow" w:hAnsi="Arial Narrow"/>
                <w:sz w:val="20"/>
                <w:szCs w:val="16"/>
                <w:lang w:val="en-US"/>
              </w:rPr>
              <w:t>Meta-analysis</w:t>
            </w:r>
          </w:p>
        </w:tc>
        <w:tc>
          <w:tcPr>
            <w:tcW w:w="424"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530</w:t>
            </w:r>
          </w:p>
        </w:tc>
        <w:tc>
          <w:tcPr>
            <w:tcW w:w="1105" w:type="pct"/>
            <w:shd w:val="clear" w:color="auto" w:fill="auto"/>
            <w:vAlign w:val="center"/>
          </w:tcPr>
          <w:p w:rsidR="00713488" w:rsidRPr="00E2771E" w:rsidRDefault="00713488" w:rsidP="008B4C07">
            <w:pPr>
              <w:jc w:val="center"/>
              <w:rPr>
                <w:rFonts w:ascii="Arial Narrow" w:hAnsi="Arial Narrow"/>
                <w:sz w:val="20"/>
                <w:szCs w:val="16"/>
                <w:lang w:val="en-US"/>
              </w:rPr>
            </w:pPr>
            <w:r w:rsidRPr="00E2771E">
              <w:rPr>
                <w:rFonts w:ascii="Arial Narrow" w:hAnsi="Arial Narrow"/>
                <w:sz w:val="20"/>
                <w:szCs w:val="16"/>
                <w:lang w:val="en-US"/>
              </w:rPr>
              <w:t xml:space="preserve">Included </w:t>
            </w:r>
            <w:r>
              <w:rPr>
                <w:rFonts w:ascii="Arial Narrow" w:hAnsi="Arial Narrow"/>
                <w:sz w:val="20"/>
                <w:szCs w:val="16"/>
                <w:lang w:val="en-US"/>
              </w:rPr>
              <w:t>Fry 1998</w:t>
            </w:r>
            <w:r w:rsidRPr="00E2771E">
              <w:rPr>
                <w:rFonts w:ascii="Arial Narrow" w:hAnsi="Arial Narrow"/>
                <w:sz w:val="20"/>
                <w:szCs w:val="16"/>
                <w:lang w:val="en-US"/>
              </w:rPr>
              <w:t xml:space="preserve"> and </w:t>
            </w:r>
            <w:r>
              <w:rPr>
                <w:rFonts w:ascii="Arial Narrow" w:hAnsi="Arial Narrow"/>
                <w:sz w:val="20"/>
                <w:szCs w:val="16"/>
                <w:lang w:val="en-US"/>
              </w:rPr>
              <w:t>Gross 2000</w:t>
            </w:r>
          </w:p>
        </w:tc>
        <w:tc>
          <w:tcPr>
            <w:tcW w:w="594"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Unclear</w:t>
            </w:r>
            <w:r>
              <w:rPr>
                <w:rFonts w:ascii="Arial Narrow" w:hAnsi="Arial Narrow"/>
                <w:sz w:val="20"/>
                <w:szCs w:val="16"/>
                <w:vertAlign w:val="superscript"/>
                <w:lang w:val="en-US"/>
              </w:rPr>
              <w:t>b</w:t>
            </w:r>
          </w:p>
        </w:tc>
        <w:tc>
          <w:tcPr>
            <w:tcW w:w="1336"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Patients with excessive daytime sleepiness associated with narcolepsy</w:t>
            </w:r>
          </w:p>
        </w:tc>
        <w:tc>
          <w:tcPr>
            <w:tcW w:w="862" w:type="pct"/>
            <w:shd w:val="clear" w:color="auto" w:fill="auto"/>
            <w:vAlign w:val="center"/>
          </w:tcPr>
          <w:p w:rsidR="00713488" w:rsidRPr="00E2771E" w:rsidRDefault="00713488" w:rsidP="008B4C07">
            <w:pPr>
              <w:jc w:val="center"/>
              <w:rPr>
                <w:rFonts w:ascii="Arial Narrow" w:hAnsi="Arial Narrow"/>
                <w:sz w:val="20"/>
                <w:szCs w:val="16"/>
                <w:lang w:val="en-US"/>
              </w:rPr>
            </w:pPr>
            <w:r>
              <w:rPr>
                <w:rFonts w:ascii="Arial Narrow" w:hAnsi="Arial Narrow"/>
                <w:sz w:val="20"/>
                <w:szCs w:val="16"/>
                <w:lang w:val="en-US"/>
              </w:rPr>
              <w:t>MWT, ESS, CGI-C</w:t>
            </w:r>
          </w:p>
        </w:tc>
      </w:tr>
    </w:tbl>
    <w:p w:rsidR="00713488" w:rsidRDefault="00713488" w:rsidP="00713488">
      <w:pPr>
        <w:pStyle w:val="TableFooter"/>
        <w:ind w:left="720"/>
      </w:pPr>
      <w:r w:rsidRPr="009A6831">
        <w:t xml:space="preserve">DB=double blind; </w:t>
      </w:r>
      <w:r w:rsidR="00C01054">
        <w:t>R = randomised;</w:t>
      </w:r>
      <w:r>
        <w:t xml:space="preserve"> MWT = M</w:t>
      </w:r>
      <w:r w:rsidRPr="000274B1">
        <w:t>aintenance of Wakefulness Test</w:t>
      </w:r>
      <w:r>
        <w:t xml:space="preserve">; ESS = </w:t>
      </w:r>
      <w:r w:rsidRPr="00E76105">
        <w:t>Epworth Sleepiness Scale</w:t>
      </w:r>
      <w:r>
        <w:t xml:space="preserve">; CGI-C = </w:t>
      </w:r>
      <w:r w:rsidRPr="00BA6D9A">
        <w:t>Clinical Global Impression of Change</w:t>
      </w:r>
      <w:r>
        <w:t xml:space="preserve">, </w:t>
      </w:r>
      <w:r w:rsidRPr="00ED73AB">
        <w:t>a subjective measure of the patient’s global health</w:t>
      </w:r>
      <w:r>
        <w:t>.</w:t>
      </w:r>
    </w:p>
    <w:p w:rsidR="00713488" w:rsidRDefault="00713488" w:rsidP="00713488">
      <w:pPr>
        <w:pStyle w:val="TableFooter"/>
        <w:ind w:left="720"/>
      </w:pPr>
      <w:r w:rsidRPr="00094457">
        <w:rPr>
          <w:vertAlign w:val="superscript"/>
        </w:rPr>
        <w:t>a</w:t>
      </w:r>
      <w:r>
        <w:t xml:space="preserve"> Although double blinded, potential for unmasking from side effects of active drugs cannot be ruled out. In addition, there is a high risk of attrition bias. Only 75% of randomised patients in the 150mg/day arm completed the study (84% and 86% in the 250mg/day and placebo arms, respectively). The full analysis set of the combined armodafinil arms was 89% with the last observation </w:t>
      </w:r>
      <w:r w:rsidR="00C01054">
        <w:t xml:space="preserve">carried </w:t>
      </w:r>
      <w:r>
        <w:t>forward (LOCF) approach used.</w:t>
      </w:r>
    </w:p>
    <w:p w:rsidR="00713488" w:rsidRDefault="00713488" w:rsidP="00713488">
      <w:pPr>
        <w:pStyle w:val="TableFooter"/>
        <w:ind w:left="720"/>
      </w:pPr>
      <w:r w:rsidRPr="00094457">
        <w:rPr>
          <w:vertAlign w:val="superscript"/>
        </w:rPr>
        <w:t>b</w:t>
      </w:r>
      <w:r>
        <w:t xml:space="preserve"> Although double blinded, potential for unmasking from side effects of active drugs cannot be ruled out. No details provided on blinding of outcome assessment. There is a low risk of attrition bias.</w:t>
      </w:r>
    </w:p>
    <w:p w:rsidR="00713488" w:rsidRPr="007F1017" w:rsidRDefault="00713488" w:rsidP="00713488">
      <w:pPr>
        <w:pStyle w:val="TableFooter"/>
        <w:ind w:left="720"/>
      </w:pPr>
      <w:r w:rsidRPr="007F1017">
        <w:t>Source: compiled during the evaluation</w:t>
      </w:r>
    </w:p>
    <w:p w:rsidR="00713488" w:rsidRDefault="00713488" w:rsidP="00713488">
      <w:pPr>
        <w:rPr>
          <w:szCs w:val="22"/>
        </w:rPr>
      </w:pPr>
    </w:p>
    <w:p w:rsidR="00713488" w:rsidRPr="00A7692B" w:rsidRDefault="00713488" w:rsidP="00713488">
      <w:pPr>
        <w:pStyle w:val="ListParagraph"/>
        <w:widowControl/>
        <w:numPr>
          <w:ilvl w:val="1"/>
          <w:numId w:val="10"/>
        </w:numPr>
        <w:rPr>
          <w:szCs w:val="22"/>
        </w:rPr>
      </w:pPr>
      <w:r w:rsidRPr="00A7692B">
        <w:rPr>
          <w:szCs w:val="22"/>
        </w:rPr>
        <w:t xml:space="preserve">There was a </w:t>
      </w:r>
      <w:r w:rsidRPr="00795AD9">
        <w:rPr>
          <w:szCs w:val="22"/>
        </w:rPr>
        <w:t>high risk of bias</w:t>
      </w:r>
      <w:r w:rsidRPr="00A7692B">
        <w:rPr>
          <w:szCs w:val="22"/>
        </w:rPr>
        <w:t xml:space="preserve"> in the indirect comparison presented in the submission. </w:t>
      </w:r>
      <w:r w:rsidRPr="00A7692B">
        <w:t>There were differences in baseline disease characteristics between treatment arms within the trials and across the trials such as disease severity, MWT and Clinical Global Impression of Severity of Illness (CGI-S)</w:t>
      </w:r>
      <w:r w:rsidR="006F2404">
        <w:t>.</w:t>
      </w:r>
      <w:r w:rsidR="006F2404" w:rsidRPr="006F2404">
        <w:t xml:space="preserve"> For the armodafinil Trial 3020, in terms of CGI-S, there was a higher proportion of patients who were considered markedly or severely ill in the placebo arm (71%) versus the armodafinil 250mg arm (63%); there was a similar trend </w:t>
      </w:r>
      <w:r w:rsidR="00C425A4">
        <w:t>observed in</w:t>
      </w:r>
      <w:r w:rsidR="006F2404" w:rsidRPr="006F2404">
        <w:t xml:space="preserve"> the modafinil Gross trial (placebo 38% vs modafinil 200mg/day 28%) whereas the reverse was true for the modafinil Fry trial (placebo 34% vs modafinil 200/400mg/day 44%). This also implies that across the trials, disease severity, as measured in terms of CGI-S, </w:t>
      </w:r>
      <w:r w:rsidR="00C425A4">
        <w:t>may have been</w:t>
      </w:r>
      <w:r w:rsidR="006F2404" w:rsidRPr="006F2404">
        <w:t xml:space="preserve"> substantially different casting doubt on the exchangeability of these trials.</w:t>
      </w:r>
      <w:r w:rsidR="006F2404">
        <w:t xml:space="preserve"> </w:t>
      </w:r>
      <w:r w:rsidRPr="00A7692B">
        <w:t xml:space="preserve"> </w:t>
      </w:r>
      <w:r w:rsidR="00C01054" w:rsidRPr="00A7692B">
        <w:t xml:space="preserve">Whilst the indirect comparisons were adjusted for the common reference, the exchangeability of these trials and the validity of the indirect comparative estimates remain </w:t>
      </w:r>
      <w:r w:rsidR="00C425A4">
        <w:t>uncertain</w:t>
      </w:r>
      <w:r w:rsidR="00C01054" w:rsidRPr="00A7692B">
        <w:t>.</w:t>
      </w:r>
      <w:r w:rsidR="00E46ECB">
        <w:t xml:space="preserve">  </w:t>
      </w:r>
    </w:p>
    <w:p w:rsidR="00B02204" w:rsidRPr="00BE332F" w:rsidRDefault="00B02204" w:rsidP="00BE332F">
      <w:pPr>
        <w:widowControl/>
        <w:rPr>
          <w:szCs w:val="22"/>
        </w:rPr>
      </w:pPr>
    </w:p>
    <w:p w:rsidR="00713488" w:rsidRPr="00082899" w:rsidRDefault="00713488" w:rsidP="00713488">
      <w:pPr>
        <w:pStyle w:val="ListParagraph"/>
        <w:widowControl/>
        <w:numPr>
          <w:ilvl w:val="1"/>
          <w:numId w:val="10"/>
        </w:numPr>
        <w:rPr>
          <w:szCs w:val="22"/>
        </w:rPr>
      </w:pPr>
      <w:r w:rsidRPr="00A7692B">
        <w:t xml:space="preserve">The </w:t>
      </w:r>
      <w:r w:rsidR="00C425A4">
        <w:t xml:space="preserve">efficacy </w:t>
      </w:r>
      <w:r w:rsidRPr="00A7692B">
        <w:t>outcomes assessed in the included trials were primarily MWT sleep latency and Clinical Global Impression of Change (CGI-C). However, as noted by the PBAC in previous considerations of modafinil, the patient relevance</w:t>
      </w:r>
      <w:r w:rsidR="00C425A4">
        <w:t>,</w:t>
      </w:r>
      <w:r w:rsidRPr="00A7692B">
        <w:t xml:space="preserve"> and </w:t>
      </w:r>
      <w:r w:rsidR="00C425A4">
        <w:t>MCID, of</w:t>
      </w:r>
      <w:r w:rsidRPr="00A7692B">
        <w:t xml:space="preserve"> these endpoints remain uncertain (Modafinil Public Summary Document, PBAC consideration, November 2008). The PBAC noted that</w:t>
      </w:r>
      <w:r w:rsidR="00C54052" w:rsidRPr="00A7692B">
        <w:t xml:space="preserve"> </w:t>
      </w:r>
      <w:r w:rsidRPr="00A7692B">
        <w:t>it was difficult to extrapolate from the surrogate outcomes to clinically important endpoints. Unambiguously patient relevant endpoints included being completely free of drop attacks or achieving a level of reduction in sleep attacks that would allow a patient to retur</w:t>
      </w:r>
      <w:r w:rsidR="00C54052" w:rsidRPr="00A7692B">
        <w:t>n to work.</w:t>
      </w:r>
      <w:r w:rsidRPr="00A7692B">
        <w:t xml:space="preserve"> These outcomes were not measured in the trials included </w:t>
      </w:r>
      <w:r w:rsidR="00082899">
        <w:t>in</w:t>
      </w:r>
      <w:r w:rsidRPr="00A7692B">
        <w:t xml:space="preserve"> the indirect comparison. </w:t>
      </w:r>
    </w:p>
    <w:p w:rsidR="00082899" w:rsidRPr="00082899" w:rsidRDefault="00082899" w:rsidP="00082899">
      <w:pPr>
        <w:widowControl/>
        <w:rPr>
          <w:szCs w:val="22"/>
        </w:rPr>
      </w:pPr>
    </w:p>
    <w:p w:rsidR="00713488" w:rsidRPr="008E386A" w:rsidRDefault="00713488" w:rsidP="00713488">
      <w:pPr>
        <w:pStyle w:val="ListParagraph"/>
        <w:widowControl/>
        <w:numPr>
          <w:ilvl w:val="1"/>
          <w:numId w:val="10"/>
        </w:numPr>
        <w:rPr>
          <w:szCs w:val="22"/>
        </w:rPr>
      </w:pPr>
      <w:r>
        <w:t>In Trial 3020, assessments were conducted at weeks 4, 8, and 12 of the double-blind treatment phase and in Fry and Gross at Week 9. The indirect analyses only included data from week 8 and 12</w:t>
      </w:r>
      <w:r w:rsidRPr="00617861">
        <w:t xml:space="preserve"> </w:t>
      </w:r>
      <w:r>
        <w:t xml:space="preserve">for Study 3020, with a Last Observation Carried Forward </w:t>
      </w:r>
      <w:r>
        <w:lastRenderedPageBreak/>
        <w:t xml:space="preserve">(LOCF) analysis for week 12 (no LOCF was done for Week 8 given the limited loss to follow up at that period) and LOCF for week 9 for Fry and Gross. </w:t>
      </w:r>
      <w:r w:rsidRPr="00A10267">
        <w:t>The use of LOCF to handle missing data for the armodafinil Week 12 and modafinil Week 9 comparison is not recommended</w:t>
      </w:r>
      <w:r w:rsidR="00290C08">
        <w:t xml:space="preserve"> </w:t>
      </w:r>
      <w:r w:rsidR="00290C08" w:rsidRPr="00BE332F">
        <w:t>as it is based on the unrealistic assumption that the outcomes of participants do not change after they have dropped out, leading to biased treatment effects</w:t>
      </w:r>
      <w:r w:rsidRPr="00BE332F">
        <w:rPr>
          <w:rStyle w:val="FootnoteReference"/>
        </w:rPr>
        <w:footnoteReference w:id="4"/>
      </w:r>
      <w:r w:rsidRPr="00EF6AF4">
        <w:t>.</w:t>
      </w:r>
      <w:r w:rsidRPr="00A10267">
        <w:t xml:space="preserve">  The extent of missing data and the impact of bias that could arise from the LOCF approach were not discussed in either the submission or the accompanying statistical report</w:t>
      </w:r>
      <w:r w:rsidRPr="00A10267" w:rsidDel="00DD2CB1">
        <w:t xml:space="preserve"> </w:t>
      </w:r>
      <w:r w:rsidRPr="00A10267">
        <w:t>(Attachment 7 to the main submission).</w:t>
      </w:r>
      <w:r w:rsidR="00D17121">
        <w:t xml:space="preserve"> </w:t>
      </w:r>
      <w:r w:rsidR="00D17121" w:rsidRPr="008E386A">
        <w:t>The PSCR acknowledged that use of LOCF is generally not recommended</w:t>
      </w:r>
      <w:r w:rsidR="00E65A7F" w:rsidRPr="008E386A">
        <w:t xml:space="preserve"> but claimed that “the sensitivity analysis based on the 8 week data was presented in the submission not only to examine whether shorter follow-up had any impact on estimated differences, but also to partially evaluate the potential impact of missing data at week 12 (given that the impact of missing data on outcome at week 8 is unlikely to be substantial).”</w:t>
      </w:r>
    </w:p>
    <w:p w:rsidR="00713488" w:rsidRPr="008E386A" w:rsidRDefault="00713488" w:rsidP="00713488">
      <w:pPr>
        <w:pStyle w:val="ListParagraph"/>
        <w:rPr>
          <w:szCs w:val="22"/>
        </w:rPr>
      </w:pPr>
    </w:p>
    <w:p w:rsidR="00713488" w:rsidRPr="00B2103B" w:rsidRDefault="00713488" w:rsidP="00713488">
      <w:pPr>
        <w:pStyle w:val="ListParagraph"/>
        <w:widowControl/>
        <w:numPr>
          <w:ilvl w:val="1"/>
          <w:numId w:val="10"/>
        </w:numPr>
        <w:rPr>
          <w:szCs w:val="22"/>
        </w:rPr>
      </w:pPr>
      <w:r>
        <w:t xml:space="preserve">The submission </w:t>
      </w:r>
      <w:r w:rsidR="00C425A4">
        <w:t>deriv</w:t>
      </w:r>
      <w:r w:rsidR="00415484">
        <w:t>ed</w:t>
      </w:r>
      <w:r w:rsidR="00415484" w:rsidRPr="00B919C6">
        <w:t xml:space="preserve"> </w:t>
      </w:r>
      <w:r>
        <w:t>the</w:t>
      </w:r>
      <w:r w:rsidRPr="00B919C6">
        <w:t xml:space="preserve"> non-inferiority margin for the indirect comparison between armodafinil versus modafinil </w:t>
      </w:r>
      <w:r w:rsidR="00082899">
        <w:t>from the</w:t>
      </w:r>
      <w:r>
        <w:t xml:space="preserve"> treatment effect</w:t>
      </w:r>
      <w:r w:rsidR="00082899">
        <w:t>,</w:t>
      </w:r>
      <w:r>
        <w:t xml:space="preserve"> relative to placebo</w:t>
      </w:r>
      <w:r w:rsidR="00082899">
        <w:t>,</w:t>
      </w:r>
      <w:r>
        <w:t xml:space="preserve"> </w:t>
      </w:r>
      <w:r w:rsidR="00082899">
        <w:t xml:space="preserve">that the included trials were powered to detect </w:t>
      </w:r>
      <w:r w:rsidRPr="0042799D">
        <w:t>in the sample size calculations</w:t>
      </w:r>
      <w:r w:rsidRPr="00EF6AF4">
        <w:t>.</w:t>
      </w:r>
      <w:r>
        <w:rPr>
          <w:i/>
        </w:rPr>
        <w:t xml:space="preserve"> </w:t>
      </w:r>
      <w:r w:rsidRPr="00A10267">
        <w:t xml:space="preserve">These margins were sourced directly from the armodafinil and modafinil placebo controlled trials and thus represent the entire anticipated treatment effect compared to placebo for power calculations. Thus the margins specified in the trials, versus placebo, may not </w:t>
      </w:r>
      <w:r w:rsidR="00082899">
        <w:t>inform the non-inferiority margin</w:t>
      </w:r>
      <w:r w:rsidRPr="00A10267">
        <w:t xml:space="preserve"> for the </w:t>
      </w:r>
      <w:r w:rsidR="00082899">
        <w:t xml:space="preserve">indirect </w:t>
      </w:r>
      <w:r w:rsidRPr="00A10267">
        <w:t xml:space="preserve">comparison between armodafinil </w:t>
      </w:r>
      <w:r w:rsidR="00082899">
        <w:t>and</w:t>
      </w:r>
      <w:r w:rsidRPr="00A10267">
        <w:t xml:space="preserve"> an active comparator </w:t>
      </w:r>
      <w:r w:rsidR="00082899">
        <w:t>(i.e.</w:t>
      </w:r>
      <w:r w:rsidRPr="00A10267">
        <w:t xml:space="preserve"> modafinil</w:t>
      </w:r>
      <w:r w:rsidR="00082899">
        <w:t>)</w:t>
      </w:r>
      <w:r w:rsidRPr="00A10267">
        <w:t xml:space="preserve">. </w:t>
      </w:r>
    </w:p>
    <w:p w:rsidR="00B2103B" w:rsidRPr="00B2103B" w:rsidRDefault="00B2103B" w:rsidP="00B2103B">
      <w:pPr>
        <w:pStyle w:val="ListParagraph"/>
        <w:rPr>
          <w:szCs w:val="22"/>
        </w:rPr>
      </w:pPr>
    </w:p>
    <w:p w:rsidR="00FA3365" w:rsidRPr="00E86C28" w:rsidRDefault="00B2103B" w:rsidP="00E86C28">
      <w:pPr>
        <w:pStyle w:val="ListParagraph"/>
        <w:widowControl/>
        <w:numPr>
          <w:ilvl w:val="1"/>
          <w:numId w:val="10"/>
        </w:numPr>
        <w:rPr>
          <w:szCs w:val="22"/>
        </w:rPr>
      </w:pPr>
      <w:r w:rsidRPr="008E386A">
        <w:rPr>
          <w:szCs w:val="22"/>
        </w:rPr>
        <w:t>The PSCR contend</w:t>
      </w:r>
      <w:r w:rsidR="008748C1" w:rsidRPr="008E386A">
        <w:rPr>
          <w:szCs w:val="22"/>
        </w:rPr>
        <w:t>ed</w:t>
      </w:r>
      <w:r w:rsidRPr="008E386A">
        <w:rPr>
          <w:szCs w:val="22"/>
        </w:rPr>
        <w:t xml:space="preserve"> that non-inferiority was determined with reference to superiority margins used in the trials, due to the absence of published non-inferiority margins. </w:t>
      </w:r>
      <w:r w:rsidR="00631993" w:rsidRPr="008E386A">
        <w:rPr>
          <w:szCs w:val="22"/>
        </w:rPr>
        <w:t>The ESC noted the follo</w:t>
      </w:r>
      <w:r w:rsidR="00D75FF5">
        <w:rPr>
          <w:szCs w:val="22"/>
        </w:rPr>
        <w:t>wing table provided in the PSCR.</w:t>
      </w:r>
    </w:p>
    <w:p w:rsidR="00713488" w:rsidRDefault="00713488" w:rsidP="00713488">
      <w:pPr>
        <w:rPr>
          <w:szCs w:val="22"/>
        </w:rPr>
      </w:pPr>
    </w:p>
    <w:p w:rsidR="00B2103B" w:rsidRPr="00F6507F" w:rsidRDefault="00B2103B" w:rsidP="00B2103B">
      <w:pPr>
        <w:ind w:firstLine="720"/>
        <w:rPr>
          <w:rFonts w:ascii="Arial Narrow" w:hAnsi="Arial Narrow"/>
          <w:b/>
          <w:sz w:val="20"/>
        </w:rPr>
      </w:pPr>
      <w:r w:rsidRPr="00F6507F">
        <w:rPr>
          <w:rFonts w:ascii="Arial Narrow" w:hAnsi="Arial Narrow"/>
          <w:b/>
          <w:sz w:val="20"/>
        </w:rPr>
        <w:t xml:space="preserve">Table </w:t>
      </w:r>
      <w:r w:rsidR="005C2F05">
        <w:rPr>
          <w:rFonts w:ascii="Arial Narrow" w:hAnsi="Arial Narrow"/>
          <w:b/>
          <w:sz w:val="20"/>
        </w:rPr>
        <w:t>3</w:t>
      </w:r>
      <w:r w:rsidRPr="00F6507F">
        <w:rPr>
          <w:rFonts w:ascii="Arial Narrow" w:hAnsi="Arial Narrow"/>
          <w:b/>
          <w:sz w:val="20"/>
        </w:rPr>
        <w:t>:  Assessment of data that can inform non-inferiority of armodafinil and modafinil</w:t>
      </w:r>
    </w:p>
    <w:tbl>
      <w:tblPr>
        <w:tblStyle w:val="TableGrid"/>
        <w:tblW w:w="4524" w:type="pct"/>
        <w:tblInd w:w="817" w:type="dxa"/>
        <w:tblLook w:val="04A0" w:firstRow="1" w:lastRow="0" w:firstColumn="1" w:lastColumn="0" w:noHBand="0" w:noVBand="1"/>
        <w:tblCaption w:val="Table 3"/>
        <w:tblDescription w:val="Assessment of clinical data armodafinil versus modafinil"/>
      </w:tblPr>
      <w:tblGrid>
        <w:gridCol w:w="959"/>
        <w:gridCol w:w="1112"/>
        <w:gridCol w:w="1902"/>
        <w:gridCol w:w="1417"/>
        <w:gridCol w:w="1336"/>
        <w:gridCol w:w="1637"/>
      </w:tblGrid>
      <w:tr w:rsidR="00B2103B" w:rsidRPr="00FA3365" w:rsidTr="003347C6">
        <w:trPr>
          <w:tblHeader/>
        </w:trPr>
        <w:tc>
          <w:tcPr>
            <w:tcW w:w="573" w:type="pct"/>
            <w:vMerge w:val="restart"/>
            <w:shd w:val="clear" w:color="auto" w:fill="auto"/>
          </w:tcPr>
          <w:p w:rsidR="00B2103B" w:rsidRPr="00FA3B36" w:rsidRDefault="00B2103B" w:rsidP="00AD4909">
            <w:pPr>
              <w:pStyle w:val="KMC-TableTxt"/>
              <w:spacing w:before="0" w:after="0"/>
              <w:rPr>
                <w:rFonts w:cs="Arial"/>
                <w:b/>
                <w:sz w:val="18"/>
                <w:szCs w:val="18"/>
              </w:rPr>
            </w:pPr>
            <w:r w:rsidRPr="00FA3B36">
              <w:rPr>
                <w:rFonts w:cs="Arial"/>
                <w:b/>
                <w:sz w:val="18"/>
                <w:szCs w:val="18"/>
              </w:rPr>
              <w:t>Outcome</w:t>
            </w:r>
          </w:p>
        </w:tc>
        <w:tc>
          <w:tcPr>
            <w:tcW w:w="665" w:type="pct"/>
            <w:vMerge w:val="restart"/>
            <w:shd w:val="clear" w:color="auto" w:fill="auto"/>
          </w:tcPr>
          <w:p w:rsidR="00B2103B" w:rsidRPr="00FA3B36" w:rsidRDefault="00B2103B" w:rsidP="00AD4909">
            <w:pPr>
              <w:pStyle w:val="KMC-TableTxt"/>
              <w:spacing w:before="0" w:after="0"/>
              <w:rPr>
                <w:rFonts w:cs="Arial"/>
                <w:b/>
                <w:sz w:val="18"/>
                <w:szCs w:val="18"/>
              </w:rPr>
            </w:pPr>
            <w:r w:rsidRPr="00FA3B36">
              <w:rPr>
                <w:rFonts w:cs="Arial"/>
                <w:b/>
                <w:sz w:val="18"/>
                <w:szCs w:val="18"/>
              </w:rPr>
              <w:t>Trial</w:t>
            </w:r>
          </w:p>
        </w:tc>
        <w:tc>
          <w:tcPr>
            <w:tcW w:w="1137" w:type="pct"/>
            <w:vMerge w:val="restart"/>
            <w:shd w:val="clear" w:color="auto" w:fill="auto"/>
          </w:tcPr>
          <w:p w:rsidR="00B2103B" w:rsidRPr="00FA3B36" w:rsidRDefault="00B2103B" w:rsidP="00AD4909">
            <w:pPr>
              <w:pStyle w:val="KMC-TableTxt"/>
              <w:spacing w:before="0" w:after="0"/>
              <w:rPr>
                <w:rFonts w:cs="Arial"/>
                <w:b/>
                <w:sz w:val="18"/>
                <w:szCs w:val="18"/>
              </w:rPr>
            </w:pPr>
            <w:r w:rsidRPr="00FA3B36">
              <w:rPr>
                <w:rFonts w:cs="Arial"/>
                <w:b/>
                <w:sz w:val="18"/>
                <w:szCs w:val="18"/>
              </w:rPr>
              <w:t xml:space="preserve">Pre-specified differences versus placebo in the individual trials </w:t>
            </w:r>
          </w:p>
        </w:tc>
        <w:tc>
          <w:tcPr>
            <w:tcW w:w="1645" w:type="pct"/>
            <w:gridSpan w:val="2"/>
            <w:shd w:val="clear" w:color="auto" w:fill="auto"/>
          </w:tcPr>
          <w:p w:rsidR="00B2103B" w:rsidRPr="00FA3B36" w:rsidRDefault="00B2103B" w:rsidP="00AD4909">
            <w:pPr>
              <w:pStyle w:val="KMC-TableTxt"/>
              <w:spacing w:before="0" w:after="0"/>
              <w:jc w:val="center"/>
              <w:rPr>
                <w:rFonts w:cs="Arial"/>
                <w:b/>
                <w:sz w:val="18"/>
                <w:szCs w:val="18"/>
              </w:rPr>
            </w:pPr>
            <w:r w:rsidRPr="00FA3B36">
              <w:rPr>
                <w:rFonts w:cs="Arial"/>
                <w:b/>
                <w:sz w:val="18"/>
                <w:szCs w:val="18"/>
              </w:rPr>
              <w:t>Indirect comparison</w:t>
            </w:r>
          </w:p>
        </w:tc>
        <w:tc>
          <w:tcPr>
            <w:tcW w:w="980" w:type="pct"/>
            <w:vMerge w:val="restart"/>
            <w:shd w:val="clear" w:color="auto" w:fill="auto"/>
          </w:tcPr>
          <w:p w:rsidR="00B2103B" w:rsidRPr="00FA3365" w:rsidRDefault="00B2103B" w:rsidP="00AD4909">
            <w:pPr>
              <w:pStyle w:val="KMC-TableTxt"/>
              <w:spacing w:before="0" w:after="0"/>
              <w:rPr>
                <w:rFonts w:cs="Arial"/>
                <w:b/>
                <w:sz w:val="18"/>
                <w:szCs w:val="18"/>
              </w:rPr>
            </w:pPr>
            <w:r w:rsidRPr="00FA3B36">
              <w:rPr>
                <w:rFonts w:cs="Arial"/>
                <w:b/>
                <w:sz w:val="18"/>
                <w:szCs w:val="18"/>
              </w:rPr>
              <w:t>Percent of superiority margin accounted for by 95% CI</w:t>
            </w:r>
          </w:p>
        </w:tc>
      </w:tr>
      <w:tr w:rsidR="00B2103B" w:rsidRPr="00FA3365" w:rsidTr="003347C6">
        <w:trPr>
          <w:tblHeader/>
        </w:trPr>
        <w:tc>
          <w:tcPr>
            <w:tcW w:w="573" w:type="pct"/>
            <w:vMerge/>
            <w:shd w:val="clear" w:color="auto" w:fill="FFFFFF" w:themeFill="background1"/>
          </w:tcPr>
          <w:p w:rsidR="00B2103B" w:rsidRPr="00FA3365" w:rsidRDefault="00B2103B" w:rsidP="00AD4909">
            <w:pPr>
              <w:pStyle w:val="KMC-TableTxt"/>
              <w:spacing w:before="0" w:after="0"/>
              <w:rPr>
                <w:rFonts w:cs="Arial"/>
                <w:b/>
                <w:sz w:val="18"/>
                <w:szCs w:val="18"/>
              </w:rPr>
            </w:pPr>
          </w:p>
        </w:tc>
        <w:tc>
          <w:tcPr>
            <w:tcW w:w="665" w:type="pct"/>
            <w:vMerge/>
            <w:shd w:val="clear" w:color="auto" w:fill="FFFFFF" w:themeFill="background1"/>
          </w:tcPr>
          <w:p w:rsidR="00B2103B" w:rsidRPr="00FA3365" w:rsidRDefault="00B2103B" w:rsidP="00AD4909">
            <w:pPr>
              <w:pStyle w:val="KMC-TableTxt"/>
              <w:spacing w:before="0" w:after="0"/>
              <w:rPr>
                <w:rFonts w:cs="Arial"/>
                <w:b/>
                <w:sz w:val="18"/>
                <w:szCs w:val="18"/>
              </w:rPr>
            </w:pPr>
          </w:p>
        </w:tc>
        <w:tc>
          <w:tcPr>
            <w:tcW w:w="1137" w:type="pct"/>
            <w:vMerge/>
            <w:shd w:val="clear" w:color="auto" w:fill="FFFFFF" w:themeFill="background1"/>
          </w:tcPr>
          <w:p w:rsidR="00B2103B" w:rsidRPr="00FA3365" w:rsidRDefault="00B2103B" w:rsidP="00AD4909">
            <w:pPr>
              <w:pStyle w:val="KMC-TableTxt"/>
              <w:spacing w:before="0" w:after="0"/>
              <w:rPr>
                <w:rFonts w:cs="Arial"/>
                <w:b/>
                <w:sz w:val="18"/>
                <w:szCs w:val="18"/>
              </w:rPr>
            </w:pPr>
          </w:p>
        </w:tc>
        <w:tc>
          <w:tcPr>
            <w:tcW w:w="847" w:type="pct"/>
            <w:shd w:val="clear" w:color="auto" w:fill="auto"/>
          </w:tcPr>
          <w:p w:rsidR="00B2103B" w:rsidRPr="00FA3365" w:rsidRDefault="00B2103B" w:rsidP="00AD4909">
            <w:pPr>
              <w:pStyle w:val="KMC-TableTxt"/>
              <w:spacing w:before="0" w:after="0"/>
              <w:rPr>
                <w:rFonts w:cs="Arial"/>
                <w:b/>
                <w:sz w:val="18"/>
                <w:szCs w:val="18"/>
              </w:rPr>
            </w:pPr>
            <w:r w:rsidRPr="00FA3365">
              <w:rPr>
                <w:rFonts w:cs="Arial"/>
                <w:b/>
                <w:sz w:val="18"/>
                <w:szCs w:val="18"/>
              </w:rPr>
              <w:t>Effect size (95% CIs)</w:t>
            </w:r>
          </w:p>
        </w:tc>
        <w:tc>
          <w:tcPr>
            <w:tcW w:w="799" w:type="pct"/>
            <w:shd w:val="clear" w:color="auto" w:fill="auto"/>
          </w:tcPr>
          <w:p w:rsidR="00B2103B" w:rsidRPr="00FA3365" w:rsidRDefault="00B2103B" w:rsidP="00AD4909">
            <w:pPr>
              <w:pStyle w:val="KMC-TableTxt"/>
              <w:spacing w:before="0" w:after="0"/>
              <w:rPr>
                <w:rFonts w:cs="Arial"/>
                <w:b/>
                <w:sz w:val="18"/>
                <w:szCs w:val="18"/>
              </w:rPr>
            </w:pPr>
            <w:r w:rsidRPr="00FA3365">
              <w:rPr>
                <w:rFonts w:cs="Arial"/>
                <w:b/>
                <w:sz w:val="18"/>
                <w:szCs w:val="18"/>
              </w:rPr>
              <w:t>95% CI for effect size in the indirect comparison</w:t>
            </w:r>
          </w:p>
        </w:tc>
        <w:tc>
          <w:tcPr>
            <w:tcW w:w="980" w:type="pct"/>
            <w:vMerge/>
            <w:shd w:val="clear" w:color="auto" w:fill="FFFFFF" w:themeFill="background1"/>
          </w:tcPr>
          <w:p w:rsidR="00B2103B" w:rsidRPr="00FA3365" w:rsidRDefault="00B2103B" w:rsidP="00AD4909">
            <w:pPr>
              <w:pStyle w:val="KMC-TableTxt"/>
              <w:spacing w:before="0" w:after="0"/>
              <w:rPr>
                <w:rFonts w:cs="Arial"/>
                <w:b/>
                <w:sz w:val="18"/>
                <w:szCs w:val="18"/>
              </w:rPr>
            </w:pPr>
          </w:p>
        </w:tc>
      </w:tr>
      <w:tr w:rsidR="00B2103B" w:rsidRPr="00FA3365" w:rsidTr="00BE332F">
        <w:tc>
          <w:tcPr>
            <w:tcW w:w="573" w:type="pct"/>
            <w:vMerge w:val="restart"/>
            <w:shd w:val="clear" w:color="auto" w:fill="auto"/>
          </w:tcPr>
          <w:p w:rsidR="00B2103B" w:rsidRPr="00FA3365" w:rsidRDefault="00B2103B" w:rsidP="00AD4909">
            <w:pPr>
              <w:pStyle w:val="KMC-TableTxt"/>
              <w:spacing w:before="0" w:after="0"/>
              <w:rPr>
                <w:rFonts w:cs="Arial"/>
                <w:sz w:val="18"/>
                <w:szCs w:val="18"/>
              </w:rPr>
            </w:pPr>
            <w:r w:rsidRPr="00FA3365">
              <w:rPr>
                <w:rFonts w:cs="Arial"/>
                <w:sz w:val="18"/>
                <w:szCs w:val="18"/>
              </w:rPr>
              <w:t>MWT</w:t>
            </w:r>
          </w:p>
        </w:tc>
        <w:tc>
          <w:tcPr>
            <w:tcW w:w="665" w:type="pct"/>
            <w:shd w:val="clear" w:color="auto" w:fill="auto"/>
          </w:tcPr>
          <w:p w:rsidR="00B2103B" w:rsidRPr="00FA3365" w:rsidRDefault="00B2103B" w:rsidP="00AD4909">
            <w:pPr>
              <w:pStyle w:val="KMC-TableTxt"/>
              <w:spacing w:before="0" w:after="0"/>
              <w:rPr>
                <w:rFonts w:cs="Arial"/>
                <w:sz w:val="18"/>
                <w:szCs w:val="18"/>
              </w:rPr>
            </w:pPr>
            <w:r w:rsidRPr="00FA3365">
              <w:rPr>
                <w:rFonts w:cs="Arial"/>
                <w:sz w:val="18"/>
                <w:szCs w:val="18"/>
              </w:rPr>
              <w:t>Study 3020</w:t>
            </w:r>
          </w:p>
        </w:tc>
        <w:tc>
          <w:tcPr>
            <w:tcW w:w="1137" w:type="pct"/>
            <w:shd w:val="clear" w:color="auto" w:fill="auto"/>
          </w:tcPr>
          <w:p w:rsidR="00B2103B" w:rsidRPr="00FA3365" w:rsidRDefault="00B2103B" w:rsidP="00AD4909">
            <w:pPr>
              <w:pStyle w:val="KMC-TableTxt"/>
              <w:spacing w:before="0" w:after="0"/>
              <w:jc w:val="center"/>
              <w:rPr>
                <w:rFonts w:cs="Arial"/>
                <w:sz w:val="18"/>
                <w:szCs w:val="18"/>
              </w:rPr>
            </w:pPr>
            <w:r w:rsidRPr="00FA3365">
              <w:rPr>
                <w:rFonts w:cs="Arial"/>
                <w:sz w:val="18"/>
                <w:szCs w:val="18"/>
              </w:rPr>
              <w:t>2.5 minute difference</w:t>
            </w:r>
          </w:p>
        </w:tc>
        <w:tc>
          <w:tcPr>
            <w:tcW w:w="847" w:type="pct"/>
            <w:vMerge w:val="restart"/>
            <w:shd w:val="clear" w:color="auto" w:fill="auto"/>
          </w:tcPr>
          <w:p w:rsidR="00B2103B" w:rsidRPr="00FA3365" w:rsidRDefault="00B2103B" w:rsidP="00AD4909">
            <w:pPr>
              <w:pStyle w:val="KMC-TableTxt"/>
              <w:spacing w:before="0" w:after="0"/>
              <w:rPr>
                <w:rFonts w:cs="Arial"/>
                <w:sz w:val="18"/>
                <w:szCs w:val="18"/>
              </w:rPr>
            </w:pPr>
            <w:r w:rsidRPr="00CA2C61">
              <w:rPr>
                <w:rFonts w:cs="Arial"/>
                <w:sz w:val="18"/>
                <w:szCs w:val="18"/>
              </w:rPr>
              <w:t>0.9 (-1.35, 3.16)</w:t>
            </w:r>
          </w:p>
        </w:tc>
        <w:tc>
          <w:tcPr>
            <w:tcW w:w="799" w:type="pct"/>
            <w:vMerge w:val="restart"/>
            <w:shd w:val="clear" w:color="auto" w:fill="auto"/>
          </w:tcPr>
          <w:p w:rsidR="00B2103B" w:rsidRPr="00FA3365" w:rsidRDefault="00B2103B" w:rsidP="00AD4909">
            <w:pPr>
              <w:pStyle w:val="KMC-TableTxt"/>
              <w:spacing w:before="0" w:after="0"/>
              <w:jc w:val="center"/>
              <w:rPr>
                <w:rFonts w:cs="Arial"/>
                <w:sz w:val="18"/>
                <w:szCs w:val="18"/>
              </w:rPr>
            </w:pPr>
            <w:r w:rsidRPr="00CA2C61">
              <w:rPr>
                <w:rFonts w:cs="Arial"/>
                <w:sz w:val="18"/>
                <w:szCs w:val="18"/>
              </w:rPr>
              <w:t>-1.35</w:t>
            </w:r>
          </w:p>
        </w:tc>
        <w:tc>
          <w:tcPr>
            <w:tcW w:w="980" w:type="pct"/>
            <w:shd w:val="clear" w:color="auto" w:fill="auto"/>
          </w:tcPr>
          <w:p w:rsidR="00B2103B" w:rsidRPr="00FA3365" w:rsidRDefault="00B2103B" w:rsidP="00AD4909">
            <w:pPr>
              <w:pStyle w:val="KMC-TableTxt"/>
              <w:spacing w:before="0" w:after="0"/>
              <w:jc w:val="center"/>
              <w:rPr>
                <w:rFonts w:cs="Arial"/>
                <w:sz w:val="18"/>
                <w:szCs w:val="18"/>
              </w:rPr>
            </w:pPr>
            <w:r w:rsidRPr="00CA2C61">
              <w:rPr>
                <w:rFonts w:cs="Arial"/>
                <w:sz w:val="18"/>
                <w:szCs w:val="18"/>
              </w:rPr>
              <w:t>1.35/2.5 = 54%</w:t>
            </w:r>
          </w:p>
        </w:tc>
      </w:tr>
      <w:tr w:rsidR="00B2103B" w:rsidRPr="00FA3365" w:rsidTr="00BE332F">
        <w:tc>
          <w:tcPr>
            <w:tcW w:w="573" w:type="pct"/>
            <w:vMerge/>
            <w:shd w:val="clear" w:color="auto" w:fill="auto"/>
          </w:tcPr>
          <w:p w:rsidR="00B2103B" w:rsidRPr="00FA3365" w:rsidRDefault="00B2103B" w:rsidP="00AD4909">
            <w:pPr>
              <w:pStyle w:val="KMC-TableTxt"/>
              <w:spacing w:before="0" w:after="0"/>
              <w:rPr>
                <w:rFonts w:cs="Arial"/>
                <w:sz w:val="18"/>
                <w:szCs w:val="18"/>
              </w:rPr>
            </w:pPr>
          </w:p>
        </w:tc>
        <w:tc>
          <w:tcPr>
            <w:tcW w:w="665" w:type="pct"/>
            <w:shd w:val="clear" w:color="auto" w:fill="auto"/>
          </w:tcPr>
          <w:p w:rsidR="00B2103B" w:rsidRPr="00FA3365" w:rsidRDefault="00B2103B" w:rsidP="00AD4909">
            <w:pPr>
              <w:pStyle w:val="KMC-TableTxt"/>
              <w:spacing w:before="0" w:after="0"/>
              <w:rPr>
                <w:rFonts w:cs="Arial"/>
                <w:sz w:val="18"/>
                <w:szCs w:val="18"/>
              </w:rPr>
            </w:pPr>
            <w:r w:rsidRPr="00FA3365">
              <w:rPr>
                <w:rFonts w:cs="Arial"/>
                <w:sz w:val="18"/>
                <w:szCs w:val="18"/>
              </w:rPr>
              <w:t>Fry 1998</w:t>
            </w:r>
          </w:p>
        </w:tc>
        <w:tc>
          <w:tcPr>
            <w:tcW w:w="1137" w:type="pct"/>
            <w:shd w:val="clear" w:color="auto" w:fill="auto"/>
          </w:tcPr>
          <w:p w:rsidR="00B2103B" w:rsidRPr="00FA3365" w:rsidRDefault="00B2103B" w:rsidP="00AD4909">
            <w:pPr>
              <w:pStyle w:val="KMC-TableTxt"/>
              <w:spacing w:before="0" w:after="0"/>
              <w:jc w:val="center"/>
              <w:rPr>
                <w:rFonts w:cs="Arial"/>
                <w:sz w:val="18"/>
                <w:szCs w:val="18"/>
              </w:rPr>
            </w:pPr>
            <w:r w:rsidRPr="00FA3365">
              <w:rPr>
                <w:rFonts w:cs="Arial"/>
                <w:sz w:val="18"/>
                <w:szCs w:val="18"/>
              </w:rPr>
              <w:t>4.0 minute difference</w:t>
            </w:r>
          </w:p>
        </w:tc>
        <w:tc>
          <w:tcPr>
            <w:tcW w:w="847" w:type="pct"/>
            <w:vMerge/>
            <w:shd w:val="clear" w:color="auto" w:fill="auto"/>
          </w:tcPr>
          <w:p w:rsidR="00B2103B" w:rsidRPr="00FA3365" w:rsidRDefault="00B2103B" w:rsidP="00AD4909">
            <w:pPr>
              <w:pStyle w:val="KMC-TableTxt"/>
              <w:spacing w:before="0" w:after="0"/>
              <w:rPr>
                <w:rFonts w:cs="Arial"/>
                <w:sz w:val="18"/>
                <w:szCs w:val="18"/>
              </w:rPr>
            </w:pPr>
          </w:p>
        </w:tc>
        <w:tc>
          <w:tcPr>
            <w:tcW w:w="799" w:type="pct"/>
            <w:vMerge/>
            <w:shd w:val="clear" w:color="auto" w:fill="auto"/>
          </w:tcPr>
          <w:p w:rsidR="00B2103B" w:rsidRPr="00FA3365" w:rsidRDefault="00B2103B" w:rsidP="00AD4909">
            <w:pPr>
              <w:pStyle w:val="KMC-TableTxt"/>
              <w:spacing w:before="0" w:after="0"/>
              <w:jc w:val="center"/>
              <w:rPr>
                <w:rFonts w:cs="Arial"/>
                <w:sz w:val="18"/>
                <w:szCs w:val="18"/>
              </w:rPr>
            </w:pPr>
          </w:p>
        </w:tc>
        <w:tc>
          <w:tcPr>
            <w:tcW w:w="980" w:type="pct"/>
            <w:vMerge w:val="restart"/>
            <w:shd w:val="clear" w:color="auto" w:fill="auto"/>
          </w:tcPr>
          <w:p w:rsidR="00B2103B" w:rsidRPr="00FA3365" w:rsidRDefault="00B2103B" w:rsidP="00AD4909">
            <w:pPr>
              <w:pStyle w:val="KMC-TableTxt"/>
              <w:spacing w:before="0" w:after="0"/>
              <w:jc w:val="center"/>
              <w:rPr>
                <w:rFonts w:cs="Arial"/>
                <w:sz w:val="18"/>
                <w:szCs w:val="18"/>
              </w:rPr>
            </w:pPr>
            <w:r w:rsidRPr="00CA2C61">
              <w:rPr>
                <w:rFonts w:cs="Arial"/>
                <w:sz w:val="18"/>
                <w:szCs w:val="18"/>
              </w:rPr>
              <w:t>1.35/4 = 34%</w:t>
            </w:r>
          </w:p>
        </w:tc>
      </w:tr>
      <w:tr w:rsidR="00B2103B" w:rsidRPr="00FA3365" w:rsidTr="00BE332F">
        <w:tc>
          <w:tcPr>
            <w:tcW w:w="573" w:type="pct"/>
            <w:vMerge/>
            <w:shd w:val="clear" w:color="auto" w:fill="D9D9D9" w:themeFill="background1" w:themeFillShade="D9"/>
          </w:tcPr>
          <w:p w:rsidR="00B2103B" w:rsidRPr="00FA3365" w:rsidRDefault="00B2103B" w:rsidP="00AD4909">
            <w:pPr>
              <w:pStyle w:val="KMC-TableTxt"/>
              <w:spacing w:before="0" w:after="0"/>
              <w:rPr>
                <w:rFonts w:cs="Arial"/>
                <w:sz w:val="18"/>
                <w:szCs w:val="18"/>
              </w:rPr>
            </w:pPr>
          </w:p>
        </w:tc>
        <w:tc>
          <w:tcPr>
            <w:tcW w:w="665" w:type="pct"/>
            <w:shd w:val="clear" w:color="auto" w:fill="auto"/>
          </w:tcPr>
          <w:p w:rsidR="00B2103B" w:rsidRPr="00FA3365" w:rsidRDefault="00B2103B" w:rsidP="00AD4909">
            <w:pPr>
              <w:pStyle w:val="KMC-TableTxt"/>
              <w:spacing w:before="0" w:after="0"/>
              <w:rPr>
                <w:rFonts w:cs="Arial"/>
                <w:sz w:val="18"/>
                <w:szCs w:val="18"/>
              </w:rPr>
            </w:pPr>
            <w:r w:rsidRPr="00FA3365">
              <w:rPr>
                <w:rFonts w:cs="Arial"/>
                <w:sz w:val="18"/>
                <w:szCs w:val="18"/>
              </w:rPr>
              <w:t>Gross 2000</w:t>
            </w:r>
          </w:p>
        </w:tc>
        <w:tc>
          <w:tcPr>
            <w:tcW w:w="1137" w:type="pct"/>
            <w:shd w:val="clear" w:color="auto" w:fill="auto"/>
          </w:tcPr>
          <w:p w:rsidR="00B2103B" w:rsidRPr="00FA3365" w:rsidRDefault="00B2103B" w:rsidP="00AD4909">
            <w:pPr>
              <w:pStyle w:val="KMC-TableTxt"/>
              <w:spacing w:before="0" w:after="0"/>
              <w:jc w:val="center"/>
              <w:rPr>
                <w:rFonts w:cs="Arial"/>
                <w:sz w:val="18"/>
                <w:szCs w:val="18"/>
              </w:rPr>
            </w:pPr>
            <w:r w:rsidRPr="00FA3365">
              <w:rPr>
                <w:rFonts w:cs="Arial"/>
                <w:sz w:val="18"/>
                <w:szCs w:val="18"/>
              </w:rPr>
              <w:t>4.0 minute difference</w:t>
            </w:r>
          </w:p>
        </w:tc>
        <w:tc>
          <w:tcPr>
            <w:tcW w:w="847" w:type="pct"/>
            <w:vMerge/>
            <w:shd w:val="clear" w:color="auto" w:fill="D9D9D9" w:themeFill="background1" w:themeFillShade="D9"/>
          </w:tcPr>
          <w:p w:rsidR="00B2103B" w:rsidRPr="00FA3365" w:rsidRDefault="00B2103B" w:rsidP="00AD4909">
            <w:pPr>
              <w:pStyle w:val="KMC-TableTxt"/>
              <w:spacing w:before="0" w:after="0"/>
              <w:rPr>
                <w:rFonts w:cs="Arial"/>
                <w:sz w:val="18"/>
                <w:szCs w:val="18"/>
              </w:rPr>
            </w:pPr>
          </w:p>
        </w:tc>
        <w:tc>
          <w:tcPr>
            <w:tcW w:w="799" w:type="pct"/>
            <w:vMerge/>
            <w:shd w:val="clear" w:color="auto" w:fill="D9D9D9" w:themeFill="background1" w:themeFillShade="D9"/>
          </w:tcPr>
          <w:p w:rsidR="00B2103B" w:rsidRPr="00FA3365" w:rsidRDefault="00B2103B" w:rsidP="00AD4909">
            <w:pPr>
              <w:pStyle w:val="KMC-TableTxt"/>
              <w:spacing w:before="0" w:after="0"/>
              <w:jc w:val="center"/>
              <w:rPr>
                <w:rFonts w:cs="Arial"/>
                <w:sz w:val="18"/>
                <w:szCs w:val="18"/>
              </w:rPr>
            </w:pPr>
          </w:p>
        </w:tc>
        <w:tc>
          <w:tcPr>
            <w:tcW w:w="980" w:type="pct"/>
            <w:vMerge/>
            <w:shd w:val="clear" w:color="auto" w:fill="D9D9D9" w:themeFill="background1" w:themeFillShade="D9"/>
          </w:tcPr>
          <w:p w:rsidR="00B2103B" w:rsidRPr="00FA3365" w:rsidRDefault="00B2103B" w:rsidP="00AD4909">
            <w:pPr>
              <w:pStyle w:val="KMC-TableTxt"/>
              <w:spacing w:before="0" w:after="0"/>
              <w:jc w:val="center"/>
              <w:rPr>
                <w:rFonts w:cs="Arial"/>
                <w:sz w:val="18"/>
                <w:szCs w:val="18"/>
              </w:rPr>
            </w:pPr>
          </w:p>
        </w:tc>
      </w:tr>
      <w:tr w:rsidR="00B2103B" w:rsidRPr="00FA3365" w:rsidTr="00B2103B">
        <w:tc>
          <w:tcPr>
            <w:tcW w:w="573" w:type="pct"/>
            <w:vMerge w:val="restart"/>
            <w:shd w:val="clear" w:color="auto" w:fill="FFFFFF" w:themeFill="background1"/>
          </w:tcPr>
          <w:p w:rsidR="00B2103B" w:rsidRPr="00FA3365" w:rsidRDefault="00B2103B" w:rsidP="00AD4909">
            <w:pPr>
              <w:pStyle w:val="KMC-TableTxt"/>
              <w:spacing w:before="0" w:after="0"/>
              <w:rPr>
                <w:rFonts w:cs="Arial"/>
                <w:sz w:val="18"/>
                <w:szCs w:val="18"/>
              </w:rPr>
            </w:pPr>
            <w:r w:rsidRPr="00FA3365">
              <w:rPr>
                <w:rFonts w:cs="Arial"/>
                <w:sz w:val="18"/>
                <w:szCs w:val="18"/>
              </w:rPr>
              <w:t>ESS</w:t>
            </w:r>
          </w:p>
        </w:tc>
        <w:tc>
          <w:tcPr>
            <w:tcW w:w="665" w:type="pct"/>
            <w:shd w:val="clear" w:color="auto" w:fill="FFFFFF" w:themeFill="background1"/>
          </w:tcPr>
          <w:p w:rsidR="00B2103B" w:rsidRPr="00FA3365" w:rsidRDefault="00B2103B" w:rsidP="00AD4909">
            <w:pPr>
              <w:pStyle w:val="KMC-TableTxt"/>
              <w:spacing w:before="0" w:after="0"/>
              <w:rPr>
                <w:rFonts w:cs="Arial"/>
                <w:sz w:val="18"/>
                <w:szCs w:val="18"/>
              </w:rPr>
            </w:pPr>
            <w:r w:rsidRPr="00FA3365">
              <w:rPr>
                <w:rFonts w:cs="Arial"/>
                <w:sz w:val="18"/>
                <w:szCs w:val="18"/>
              </w:rPr>
              <w:t>Study 3020</w:t>
            </w:r>
          </w:p>
        </w:tc>
        <w:tc>
          <w:tcPr>
            <w:tcW w:w="1137" w:type="pct"/>
            <w:shd w:val="clear" w:color="auto" w:fill="FFFFFF" w:themeFill="background1"/>
          </w:tcPr>
          <w:p w:rsidR="00B2103B" w:rsidRPr="00FA3365" w:rsidRDefault="00B2103B" w:rsidP="00AD4909">
            <w:pPr>
              <w:pStyle w:val="KMC-TableTxt"/>
              <w:spacing w:before="0" w:after="0"/>
              <w:jc w:val="center"/>
              <w:rPr>
                <w:rFonts w:cs="Arial"/>
                <w:sz w:val="18"/>
                <w:szCs w:val="18"/>
              </w:rPr>
            </w:pPr>
            <w:r w:rsidRPr="00FA3365">
              <w:rPr>
                <w:rFonts w:cs="Arial"/>
                <w:sz w:val="18"/>
                <w:szCs w:val="18"/>
              </w:rPr>
              <w:t>-</w:t>
            </w:r>
          </w:p>
        </w:tc>
        <w:tc>
          <w:tcPr>
            <w:tcW w:w="847" w:type="pct"/>
            <w:vMerge w:val="restart"/>
            <w:shd w:val="clear" w:color="auto" w:fill="FFFFFF" w:themeFill="background1"/>
          </w:tcPr>
          <w:p w:rsidR="00B2103B" w:rsidRPr="00FA3365" w:rsidRDefault="00B2103B" w:rsidP="00AD4909">
            <w:pPr>
              <w:pStyle w:val="KMC-TableTxt"/>
              <w:spacing w:before="0" w:after="0"/>
              <w:rPr>
                <w:rFonts w:cs="Arial"/>
                <w:sz w:val="18"/>
                <w:szCs w:val="18"/>
              </w:rPr>
            </w:pPr>
            <w:r w:rsidRPr="00CA2C61">
              <w:rPr>
                <w:rFonts w:cs="Arial"/>
                <w:sz w:val="18"/>
                <w:szCs w:val="18"/>
              </w:rPr>
              <w:t>0.91 (-0.63, 2.45)</w:t>
            </w:r>
          </w:p>
        </w:tc>
        <w:tc>
          <w:tcPr>
            <w:tcW w:w="799" w:type="pct"/>
            <w:vMerge w:val="restart"/>
            <w:shd w:val="clear" w:color="auto" w:fill="FFFFFF" w:themeFill="background1"/>
          </w:tcPr>
          <w:p w:rsidR="00B2103B" w:rsidRPr="00FA3365" w:rsidRDefault="00B2103B" w:rsidP="00AD4909">
            <w:pPr>
              <w:pStyle w:val="KMC-TableTxt"/>
              <w:spacing w:before="0" w:after="0"/>
              <w:jc w:val="center"/>
              <w:rPr>
                <w:rFonts w:cs="Arial"/>
                <w:sz w:val="18"/>
                <w:szCs w:val="18"/>
              </w:rPr>
            </w:pPr>
            <w:r w:rsidRPr="00CA2C61">
              <w:rPr>
                <w:rFonts w:cs="Arial"/>
                <w:sz w:val="18"/>
                <w:szCs w:val="18"/>
              </w:rPr>
              <w:t>2.45*</w:t>
            </w:r>
          </w:p>
        </w:tc>
        <w:tc>
          <w:tcPr>
            <w:tcW w:w="980" w:type="pct"/>
            <w:vMerge w:val="restart"/>
            <w:shd w:val="clear" w:color="auto" w:fill="FFFFFF" w:themeFill="background1"/>
          </w:tcPr>
          <w:p w:rsidR="00B2103B" w:rsidRPr="00FA3365" w:rsidRDefault="00B2103B" w:rsidP="00AD4909">
            <w:pPr>
              <w:pStyle w:val="KMC-TableTxt"/>
              <w:spacing w:before="0" w:after="0"/>
              <w:jc w:val="center"/>
              <w:rPr>
                <w:rFonts w:cs="Arial"/>
                <w:sz w:val="18"/>
                <w:szCs w:val="18"/>
              </w:rPr>
            </w:pPr>
            <w:r w:rsidRPr="00CA2C61">
              <w:rPr>
                <w:rFonts w:cs="Arial"/>
                <w:sz w:val="18"/>
                <w:szCs w:val="18"/>
              </w:rPr>
              <w:t>2.45/3 = 82%</w:t>
            </w:r>
          </w:p>
        </w:tc>
      </w:tr>
      <w:tr w:rsidR="00B2103B" w:rsidRPr="00FA3365" w:rsidTr="00B2103B">
        <w:tc>
          <w:tcPr>
            <w:tcW w:w="573" w:type="pct"/>
            <w:vMerge/>
            <w:shd w:val="clear" w:color="auto" w:fill="FFFFFF" w:themeFill="background1"/>
          </w:tcPr>
          <w:p w:rsidR="00B2103B" w:rsidRPr="00FA3365" w:rsidRDefault="00B2103B" w:rsidP="00AD4909">
            <w:pPr>
              <w:pStyle w:val="KMC-TableTxt"/>
              <w:spacing w:before="0" w:after="0"/>
              <w:rPr>
                <w:rFonts w:cs="Arial"/>
                <w:sz w:val="18"/>
                <w:szCs w:val="18"/>
              </w:rPr>
            </w:pPr>
          </w:p>
        </w:tc>
        <w:tc>
          <w:tcPr>
            <w:tcW w:w="665" w:type="pct"/>
            <w:shd w:val="clear" w:color="auto" w:fill="FFFFFF" w:themeFill="background1"/>
          </w:tcPr>
          <w:p w:rsidR="00B2103B" w:rsidRPr="00FA3365" w:rsidRDefault="00B2103B" w:rsidP="00AD4909">
            <w:pPr>
              <w:pStyle w:val="KMC-TableTxt"/>
              <w:spacing w:before="0" w:after="0"/>
              <w:rPr>
                <w:rFonts w:cs="Arial"/>
                <w:sz w:val="18"/>
                <w:szCs w:val="18"/>
              </w:rPr>
            </w:pPr>
            <w:r w:rsidRPr="00FA3365">
              <w:rPr>
                <w:rFonts w:cs="Arial"/>
                <w:sz w:val="18"/>
                <w:szCs w:val="18"/>
              </w:rPr>
              <w:t>Fry 1998</w:t>
            </w:r>
          </w:p>
        </w:tc>
        <w:tc>
          <w:tcPr>
            <w:tcW w:w="1137" w:type="pct"/>
            <w:shd w:val="clear" w:color="auto" w:fill="FFFFFF" w:themeFill="background1"/>
          </w:tcPr>
          <w:p w:rsidR="00B2103B" w:rsidRPr="00FA3365" w:rsidRDefault="00B2103B" w:rsidP="00AD4909">
            <w:pPr>
              <w:pStyle w:val="KMC-TableTxt"/>
              <w:spacing w:before="0" w:after="0"/>
              <w:jc w:val="center"/>
              <w:rPr>
                <w:rFonts w:cs="Arial"/>
                <w:sz w:val="18"/>
                <w:szCs w:val="18"/>
              </w:rPr>
            </w:pPr>
            <w:r w:rsidRPr="00FA3365">
              <w:rPr>
                <w:rFonts w:cs="Arial"/>
                <w:sz w:val="18"/>
                <w:szCs w:val="18"/>
              </w:rPr>
              <w:t>-</w:t>
            </w:r>
          </w:p>
        </w:tc>
        <w:tc>
          <w:tcPr>
            <w:tcW w:w="847" w:type="pct"/>
            <w:vMerge/>
            <w:shd w:val="clear" w:color="auto" w:fill="FFFFFF" w:themeFill="background1"/>
          </w:tcPr>
          <w:p w:rsidR="00B2103B" w:rsidRPr="00FA3365" w:rsidRDefault="00B2103B" w:rsidP="00AD4909">
            <w:pPr>
              <w:pStyle w:val="KMC-TableTxt"/>
              <w:spacing w:before="0" w:after="0"/>
              <w:rPr>
                <w:rFonts w:cs="Arial"/>
                <w:sz w:val="18"/>
                <w:szCs w:val="18"/>
              </w:rPr>
            </w:pPr>
          </w:p>
        </w:tc>
        <w:tc>
          <w:tcPr>
            <w:tcW w:w="799" w:type="pct"/>
            <w:vMerge/>
            <w:shd w:val="clear" w:color="auto" w:fill="FFFFFF" w:themeFill="background1"/>
          </w:tcPr>
          <w:p w:rsidR="00B2103B" w:rsidRPr="00FA3365" w:rsidRDefault="00B2103B" w:rsidP="00AD4909">
            <w:pPr>
              <w:pStyle w:val="KMC-TableTxt"/>
              <w:spacing w:before="0" w:after="0"/>
              <w:jc w:val="center"/>
              <w:rPr>
                <w:rFonts w:cs="Arial"/>
                <w:sz w:val="18"/>
                <w:szCs w:val="18"/>
              </w:rPr>
            </w:pPr>
          </w:p>
        </w:tc>
        <w:tc>
          <w:tcPr>
            <w:tcW w:w="980" w:type="pct"/>
            <w:vMerge/>
            <w:shd w:val="clear" w:color="auto" w:fill="FFFFFF" w:themeFill="background1"/>
          </w:tcPr>
          <w:p w:rsidR="00B2103B" w:rsidRPr="00FA3365" w:rsidRDefault="00B2103B" w:rsidP="00AD4909">
            <w:pPr>
              <w:pStyle w:val="KMC-TableTxt"/>
              <w:spacing w:before="0" w:after="0"/>
              <w:jc w:val="center"/>
              <w:rPr>
                <w:rFonts w:cs="Arial"/>
                <w:sz w:val="18"/>
                <w:szCs w:val="18"/>
              </w:rPr>
            </w:pPr>
          </w:p>
        </w:tc>
      </w:tr>
      <w:tr w:rsidR="00B2103B" w:rsidRPr="00FA3365" w:rsidTr="00B2103B">
        <w:tc>
          <w:tcPr>
            <w:tcW w:w="573" w:type="pct"/>
            <w:vMerge/>
            <w:shd w:val="clear" w:color="auto" w:fill="FFFFFF" w:themeFill="background1"/>
          </w:tcPr>
          <w:p w:rsidR="00B2103B" w:rsidRPr="00FA3365" w:rsidRDefault="00B2103B" w:rsidP="00AD4909">
            <w:pPr>
              <w:pStyle w:val="KMC-TableTxt"/>
              <w:spacing w:before="0" w:after="0"/>
              <w:rPr>
                <w:rFonts w:cs="Arial"/>
                <w:sz w:val="18"/>
                <w:szCs w:val="18"/>
              </w:rPr>
            </w:pPr>
          </w:p>
        </w:tc>
        <w:tc>
          <w:tcPr>
            <w:tcW w:w="665" w:type="pct"/>
            <w:shd w:val="clear" w:color="auto" w:fill="FFFFFF" w:themeFill="background1"/>
          </w:tcPr>
          <w:p w:rsidR="00B2103B" w:rsidRPr="00FA3365" w:rsidRDefault="00B2103B" w:rsidP="00AD4909">
            <w:pPr>
              <w:pStyle w:val="KMC-TableTxt"/>
              <w:spacing w:before="0" w:after="0"/>
              <w:rPr>
                <w:rFonts w:cs="Arial"/>
                <w:sz w:val="18"/>
                <w:szCs w:val="18"/>
              </w:rPr>
            </w:pPr>
            <w:r w:rsidRPr="00FA3365">
              <w:rPr>
                <w:rFonts w:cs="Arial"/>
                <w:sz w:val="18"/>
                <w:szCs w:val="18"/>
              </w:rPr>
              <w:t>Gross 2000</w:t>
            </w:r>
          </w:p>
        </w:tc>
        <w:tc>
          <w:tcPr>
            <w:tcW w:w="1137" w:type="pct"/>
            <w:shd w:val="clear" w:color="auto" w:fill="FFFFFF" w:themeFill="background1"/>
          </w:tcPr>
          <w:p w:rsidR="00B2103B" w:rsidRPr="00FA3365" w:rsidRDefault="00B2103B" w:rsidP="00AD4909">
            <w:pPr>
              <w:pStyle w:val="KMC-TableTxt"/>
              <w:spacing w:before="0" w:after="0"/>
              <w:jc w:val="center"/>
              <w:rPr>
                <w:rFonts w:cs="Arial"/>
                <w:sz w:val="18"/>
                <w:szCs w:val="18"/>
              </w:rPr>
            </w:pPr>
            <w:r w:rsidRPr="00FA3365">
              <w:rPr>
                <w:rFonts w:cs="Arial"/>
                <w:sz w:val="18"/>
                <w:szCs w:val="18"/>
              </w:rPr>
              <w:t>-</w:t>
            </w:r>
          </w:p>
        </w:tc>
        <w:tc>
          <w:tcPr>
            <w:tcW w:w="847" w:type="pct"/>
            <w:vMerge/>
            <w:shd w:val="clear" w:color="auto" w:fill="FFFFFF" w:themeFill="background1"/>
          </w:tcPr>
          <w:p w:rsidR="00B2103B" w:rsidRPr="00FA3365" w:rsidRDefault="00B2103B" w:rsidP="00AD4909">
            <w:pPr>
              <w:pStyle w:val="KMC-TableTxt"/>
              <w:spacing w:before="0" w:after="0"/>
              <w:rPr>
                <w:rFonts w:cs="Arial"/>
                <w:sz w:val="18"/>
                <w:szCs w:val="18"/>
              </w:rPr>
            </w:pPr>
          </w:p>
        </w:tc>
        <w:tc>
          <w:tcPr>
            <w:tcW w:w="799" w:type="pct"/>
            <w:vMerge/>
            <w:shd w:val="clear" w:color="auto" w:fill="FFFFFF" w:themeFill="background1"/>
          </w:tcPr>
          <w:p w:rsidR="00B2103B" w:rsidRPr="00FA3365" w:rsidRDefault="00B2103B" w:rsidP="00AD4909">
            <w:pPr>
              <w:pStyle w:val="KMC-TableTxt"/>
              <w:spacing w:before="0" w:after="0"/>
              <w:jc w:val="center"/>
              <w:rPr>
                <w:rFonts w:cs="Arial"/>
                <w:sz w:val="18"/>
                <w:szCs w:val="18"/>
              </w:rPr>
            </w:pPr>
          </w:p>
        </w:tc>
        <w:tc>
          <w:tcPr>
            <w:tcW w:w="980" w:type="pct"/>
            <w:vMerge/>
            <w:shd w:val="clear" w:color="auto" w:fill="FFFFFF" w:themeFill="background1"/>
          </w:tcPr>
          <w:p w:rsidR="00B2103B" w:rsidRPr="00FA3365" w:rsidRDefault="00B2103B" w:rsidP="00AD4909">
            <w:pPr>
              <w:pStyle w:val="KMC-TableTxt"/>
              <w:spacing w:before="0" w:after="0"/>
              <w:jc w:val="center"/>
              <w:rPr>
                <w:rFonts w:cs="Arial"/>
                <w:sz w:val="18"/>
                <w:szCs w:val="18"/>
              </w:rPr>
            </w:pPr>
          </w:p>
        </w:tc>
      </w:tr>
      <w:tr w:rsidR="00B2103B" w:rsidRPr="00FA3365" w:rsidTr="00B2103B">
        <w:tc>
          <w:tcPr>
            <w:tcW w:w="573" w:type="pct"/>
            <w:vMerge/>
            <w:shd w:val="clear" w:color="auto" w:fill="FFFFFF" w:themeFill="background1"/>
          </w:tcPr>
          <w:p w:rsidR="00B2103B" w:rsidRPr="00FA3365" w:rsidRDefault="00B2103B" w:rsidP="00AD4909">
            <w:pPr>
              <w:pStyle w:val="KMC-TableTxt"/>
              <w:spacing w:before="0" w:after="0"/>
              <w:rPr>
                <w:rFonts w:cs="Arial"/>
                <w:sz w:val="18"/>
                <w:szCs w:val="18"/>
              </w:rPr>
            </w:pPr>
          </w:p>
        </w:tc>
        <w:tc>
          <w:tcPr>
            <w:tcW w:w="665" w:type="pct"/>
            <w:shd w:val="clear" w:color="auto" w:fill="FFFFFF" w:themeFill="background1"/>
          </w:tcPr>
          <w:p w:rsidR="00B2103B" w:rsidRPr="00FA3365" w:rsidRDefault="00B2103B" w:rsidP="00AD4909">
            <w:pPr>
              <w:pStyle w:val="KMC-TableTxt"/>
              <w:spacing w:before="0" w:after="0"/>
              <w:rPr>
                <w:rFonts w:cs="Arial"/>
                <w:sz w:val="18"/>
                <w:szCs w:val="18"/>
              </w:rPr>
            </w:pPr>
            <w:r w:rsidRPr="00FA3365">
              <w:rPr>
                <w:rFonts w:cs="Arial"/>
                <w:sz w:val="18"/>
                <w:szCs w:val="18"/>
              </w:rPr>
              <w:t>Dauvilliers 2013</w:t>
            </w:r>
            <w:r w:rsidRPr="00FA3365">
              <w:rPr>
                <w:rFonts w:cs="Arial"/>
                <w:sz w:val="18"/>
                <w:szCs w:val="18"/>
                <w:vertAlign w:val="superscript"/>
              </w:rPr>
              <w:t>β</w:t>
            </w:r>
          </w:p>
        </w:tc>
        <w:tc>
          <w:tcPr>
            <w:tcW w:w="1137" w:type="pct"/>
            <w:shd w:val="clear" w:color="auto" w:fill="FFFFFF" w:themeFill="background1"/>
          </w:tcPr>
          <w:p w:rsidR="00B2103B" w:rsidRPr="00FA3365" w:rsidRDefault="00B2103B" w:rsidP="00AD4909">
            <w:pPr>
              <w:pStyle w:val="KMC-TableTxt"/>
              <w:spacing w:before="0" w:after="0"/>
              <w:jc w:val="center"/>
              <w:rPr>
                <w:rFonts w:cs="Arial"/>
                <w:sz w:val="18"/>
                <w:szCs w:val="18"/>
              </w:rPr>
            </w:pPr>
            <w:r w:rsidRPr="00FA3365">
              <w:rPr>
                <w:rFonts w:cs="Arial"/>
                <w:sz w:val="18"/>
                <w:szCs w:val="18"/>
              </w:rPr>
              <w:t>3 point difference</w:t>
            </w:r>
          </w:p>
        </w:tc>
        <w:tc>
          <w:tcPr>
            <w:tcW w:w="847" w:type="pct"/>
            <w:vMerge/>
            <w:shd w:val="clear" w:color="auto" w:fill="FFFFFF" w:themeFill="background1"/>
          </w:tcPr>
          <w:p w:rsidR="00B2103B" w:rsidRPr="00FA3365" w:rsidRDefault="00B2103B" w:rsidP="00AD4909">
            <w:pPr>
              <w:pStyle w:val="KMC-TableTxt"/>
              <w:spacing w:before="0" w:after="0"/>
              <w:rPr>
                <w:rFonts w:cs="Arial"/>
                <w:sz w:val="18"/>
                <w:szCs w:val="18"/>
              </w:rPr>
            </w:pPr>
          </w:p>
        </w:tc>
        <w:tc>
          <w:tcPr>
            <w:tcW w:w="799" w:type="pct"/>
            <w:vMerge/>
            <w:shd w:val="clear" w:color="auto" w:fill="FFFFFF" w:themeFill="background1"/>
          </w:tcPr>
          <w:p w:rsidR="00B2103B" w:rsidRPr="00FA3365" w:rsidRDefault="00B2103B" w:rsidP="00AD4909">
            <w:pPr>
              <w:pStyle w:val="KMC-TableTxt"/>
              <w:spacing w:before="0" w:after="0"/>
              <w:jc w:val="center"/>
              <w:rPr>
                <w:rFonts w:cs="Arial"/>
                <w:sz w:val="18"/>
                <w:szCs w:val="18"/>
              </w:rPr>
            </w:pPr>
          </w:p>
        </w:tc>
        <w:tc>
          <w:tcPr>
            <w:tcW w:w="980" w:type="pct"/>
            <w:vMerge/>
            <w:shd w:val="clear" w:color="auto" w:fill="FFFFFF" w:themeFill="background1"/>
          </w:tcPr>
          <w:p w:rsidR="00B2103B" w:rsidRPr="00FA3365" w:rsidRDefault="00B2103B" w:rsidP="00AD4909">
            <w:pPr>
              <w:pStyle w:val="KMC-TableTxt"/>
              <w:spacing w:before="0" w:after="0"/>
              <w:jc w:val="center"/>
              <w:rPr>
                <w:rFonts w:cs="Arial"/>
                <w:sz w:val="18"/>
                <w:szCs w:val="18"/>
              </w:rPr>
            </w:pPr>
          </w:p>
        </w:tc>
      </w:tr>
      <w:tr w:rsidR="00B2103B" w:rsidRPr="00FA3365" w:rsidTr="00B2103B">
        <w:tc>
          <w:tcPr>
            <w:tcW w:w="573" w:type="pct"/>
            <w:vMerge w:val="restart"/>
            <w:shd w:val="clear" w:color="auto" w:fill="FFFFFF" w:themeFill="background1"/>
          </w:tcPr>
          <w:p w:rsidR="00B2103B" w:rsidRPr="00FA3365" w:rsidRDefault="00B2103B" w:rsidP="00AD4909">
            <w:pPr>
              <w:pStyle w:val="KMC-TableTxt"/>
              <w:spacing w:before="0" w:after="0"/>
              <w:rPr>
                <w:rFonts w:cs="Arial"/>
                <w:sz w:val="18"/>
                <w:szCs w:val="18"/>
              </w:rPr>
            </w:pPr>
            <w:r w:rsidRPr="00FA3365">
              <w:rPr>
                <w:rFonts w:cs="Arial"/>
                <w:sz w:val="18"/>
                <w:szCs w:val="18"/>
              </w:rPr>
              <w:t>CGI-S</w:t>
            </w:r>
          </w:p>
        </w:tc>
        <w:tc>
          <w:tcPr>
            <w:tcW w:w="665" w:type="pct"/>
            <w:shd w:val="clear" w:color="auto" w:fill="FFFFFF" w:themeFill="background1"/>
          </w:tcPr>
          <w:p w:rsidR="00B2103B" w:rsidRPr="00FA3365" w:rsidRDefault="00B2103B" w:rsidP="00AD4909">
            <w:pPr>
              <w:pStyle w:val="KMC-TableTxt"/>
              <w:spacing w:before="0" w:after="0"/>
              <w:rPr>
                <w:rFonts w:cs="Arial"/>
                <w:sz w:val="18"/>
                <w:szCs w:val="18"/>
              </w:rPr>
            </w:pPr>
            <w:r w:rsidRPr="00FA3365">
              <w:rPr>
                <w:rFonts w:cs="Arial"/>
                <w:sz w:val="18"/>
                <w:szCs w:val="18"/>
              </w:rPr>
              <w:t>Study 3020</w:t>
            </w:r>
          </w:p>
        </w:tc>
        <w:tc>
          <w:tcPr>
            <w:tcW w:w="1137" w:type="pct"/>
            <w:shd w:val="clear" w:color="auto" w:fill="FFFFFF" w:themeFill="background1"/>
          </w:tcPr>
          <w:p w:rsidR="00B2103B" w:rsidRPr="00FA3365" w:rsidRDefault="00B2103B" w:rsidP="00AD4909">
            <w:pPr>
              <w:pStyle w:val="KMC-TableTxt"/>
              <w:spacing w:before="0" w:after="0"/>
              <w:jc w:val="center"/>
              <w:rPr>
                <w:rFonts w:cs="Arial"/>
                <w:sz w:val="18"/>
                <w:szCs w:val="18"/>
              </w:rPr>
            </w:pPr>
            <w:r w:rsidRPr="00FA3365">
              <w:rPr>
                <w:rFonts w:cs="Arial"/>
                <w:sz w:val="18"/>
                <w:szCs w:val="18"/>
              </w:rPr>
              <w:t>25% difference</w:t>
            </w:r>
          </w:p>
        </w:tc>
        <w:tc>
          <w:tcPr>
            <w:tcW w:w="847" w:type="pct"/>
            <w:shd w:val="clear" w:color="auto" w:fill="FFFFFF" w:themeFill="background1"/>
          </w:tcPr>
          <w:p w:rsidR="00B2103B" w:rsidRPr="00FA3365" w:rsidDel="006E74A7" w:rsidRDefault="00B2103B" w:rsidP="00AD4909">
            <w:pPr>
              <w:pStyle w:val="KMC-TableTxt"/>
              <w:spacing w:before="0" w:after="0"/>
              <w:rPr>
                <w:rFonts w:cs="Arial"/>
                <w:sz w:val="18"/>
                <w:szCs w:val="18"/>
              </w:rPr>
            </w:pPr>
            <w:r w:rsidRPr="00FA3365">
              <w:rPr>
                <w:rFonts w:cs="Arial"/>
                <w:sz w:val="18"/>
                <w:szCs w:val="18"/>
              </w:rPr>
              <w:t>-</w:t>
            </w:r>
          </w:p>
        </w:tc>
        <w:tc>
          <w:tcPr>
            <w:tcW w:w="799" w:type="pct"/>
            <w:shd w:val="clear" w:color="auto" w:fill="FFFFFF" w:themeFill="background1"/>
          </w:tcPr>
          <w:p w:rsidR="00B2103B" w:rsidRPr="00FA3365" w:rsidRDefault="00B2103B" w:rsidP="00AD4909">
            <w:pPr>
              <w:pStyle w:val="KMC-TableTxt"/>
              <w:spacing w:before="0" w:after="0"/>
              <w:jc w:val="center"/>
              <w:rPr>
                <w:rFonts w:cs="Arial"/>
                <w:sz w:val="18"/>
                <w:szCs w:val="18"/>
              </w:rPr>
            </w:pPr>
            <w:r w:rsidRPr="00FA3365">
              <w:rPr>
                <w:rFonts w:cs="Arial"/>
                <w:sz w:val="18"/>
                <w:szCs w:val="18"/>
              </w:rPr>
              <w:t>-</w:t>
            </w:r>
          </w:p>
        </w:tc>
        <w:tc>
          <w:tcPr>
            <w:tcW w:w="980" w:type="pct"/>
            <w:shd w:val="clear" w:color="auto" w:fill="FFFFFF" w:themeFill="background1"/>
          </w:tcPr>
          <w:p w:rsidR="00B2103B" w:rsidRPr="00FA3365" w:rsidRDefault="00B2103B" w:rsidP="00AD4909">
            <w:pPr>
              <w:pStyle w:val="KMC-TableTxt"/>
              <w:spacing w:before="0" w:after="0"/>
              <w:jc w:val="center"/>
              <w:rPr>
                <w:rFonts w:cs="Arial"/>
                <w:sz w:val="18"/>
                <w:szCs w:val="18"/>
              </w:rPr>
            </w:pPr>
            <w:r w:rsidRPr="00FA3365">
              <w:rPr>
                <w:rFonts w:cs="Arial"/>
                <w:sz w:val="18"/>
                <w:szCs w:val="18"/>
              </w:rPr>
              <w:t>-</w:t>
            </w:r>
          </w:p>
        </w:tc>
      </w:tr>
      <w:tr w:rsidR="00B2103B" w:rsidRPr="00FA3365" w:rsidTr="00B2103B">
        <w:tc>
          <w:tcPr>
            <w:tcW w:w="573" w:type="pct"/>
            <w:vMerge/>
            <w:shd w:val="clear" w:color="auto" w:fill="FFFFFF" w:themeFill="background1"/>
          </w:tcPr>
          <w:p w:rsidR="00B2103B" w:rsidRPr="00FA3365" w:rsidRDefault="00B2103B" w:rsidP="00AD4909">
            <w:pPr>
              <w:pStyle w:val="KMC-TableTxt"/>
              <w:spacing w:before="0" w:after="0"/>
              <w:rPr>
                <w:rFonts w:cs="Arial"/>
                <w:sz w:val="18"/>
                <w:szCs w:val="18"/>
              </w:rPr>
            </w:pPr>
          </w:p>
        </w:tc>
        <w:tc>
          <w:tcPr>
            <w:tcW w:w="665" w:type="pct"/>
            <w:shd w:val="clear" w:color="auto" w:fill="FFFFFF" w:themeFill="background1"/>
          </w:tcPr>
          <w:p w:rsidR="00B2103B" w:rsidRPr="00FA3365" w:rsidRDefault="00B2103B" w:rsidP="00AD4909">
            <w:pPr>
              <w:pStyle w:val="KMC-TableTxt"/>
              <w:spacing w:before="0" w:after="0"/>
              <w:rPr>
                <w:rFonts w:cs="Arial"/>
                <w:sz w:val="18"/>
                <w:szCs w:val="18"/>
              </w:rPr>
            </w:pPr>
            <w:r w:rsidRPr="00FA3365">
              <w:rPr>
                <w:rFonts w:cs="Arial"/>
                <w:sz w:val="18"/>
                <w:szCs w:val="18"/>
              </w:rPr>
              <w:t>Fry 1998</w:t>
            </w:r>
          </w:p>
        </w:tc>
        <w:tc>
          <w:tcPr>
            <w:tcW w:w="1137" w:type="pct"/>
            <w:shd w:val="clear" w:color="auto" w:fill="FFFFFF" w:themeFill="background1"/>
          </w:tcPr>
          <w:p w:rsidR="00B2103B" w:rsidRPr="00FA3365" w:rsidRDefault="00B2103B" w:rsidP="00AD4909">
            <w:pPr>
              <w:pStyle w:val="KMC-TableTxt"/>
              <w:spacing w:before="0" w:after="0"/>
              <w:jc w:val="center"/>
              <w:rPr>
                <w:rFonts w:cs="Arial"/>
                <w:sz w:val="18"/>
                <w:szCs w:val="18"/>
              </w:rPr>
            </w:pPr>
            <w:r w:rsidRPr="00FA3365">
              <w:rPr>
                <w:rFonts w:cs="Arial"/>
                <w:sz w:val="18"/>
                <w:szCs w:val="18"/>
              </w:rPr>
              <w:t>1 point difference</w:t>
            </w:r>
          </w:p>
        </w:tc>
        <w:tc>
          <w:tcPr>
            <w:tcW w:w="847" w:type="pct"/>
            <w:vMerge w:val="restart"/>
            <w:shd w:val="clear" w:color="auto" w:fill="FFFFFF" w:themeFill="background1"/>
          </w:tcPr>
          <w:p w:rsidR="00B2103B" w:rsidRPr="00FA3365" w:rsidRDefault="00B2103B" w:rsidP="00AD4909">
            <w:pPr>
              <w:pStyle w:val="KMC-TableTxt"/>
              <w:spacing w:before="0" w:after="0"/>
              <w:rPr>
                <w:rFonts w:cs="Arial"/>
                <w:sz w:val="18"/>
                <w:szCs w:val="18"/>
              </w:rPr>
            </w:pPr>
            <w:r w:rsidRPr="00CA2C61">
              <w:rPr>
                <w:rFonts w:cs="Arial"/>
                <w:sz w:val="18"/>
                <w:szCs w:val="18"/>
              </w:rPr>
              <w:t>MD: 0.11 (-0.05, 0.28)</w:t>
            </w:r>
          </w:p>
        </w:tc>
        <w:tc>
          <w:tcPr>
            <w:tcW w:w="799" w:type="pct"/>
            <w:vMerge w:val="restart"/>
            <w:shd w:val="clear" w:color="auto" w:fill="FFFFFF" w:themeFill="background1"/>
          </w:tcPr>
          <w:p w:rsidR="00B2103B" w:rsidRPr="00FA3365" w:rsidRDefault="00B2103B" w:rsidP="00AD4909">
            <w:pPr>
              <w:pStyle w:val="KMC-TableTxt"/>
              <w:spacing w:before="0" w:after="0"/>
              <w:jc w:val="center"/>
              <w:rPr>
                <w:rFonts w:cs="Arial"/>
                <w:sz w:val="18"/>
                <w:szCs w:val="18"/>
              </w:rPr>
            </w:pPr>
            <w:r w:rsidRPr="00CA2C61">
              <w:rPr>
                <w:rFonts w:cs="Arial"/>
                <w:sz w:val="18"/>
                <w:szCs w:val="18"/>
              </w:rPr>
              <w:t>-0.05</w:t>
            </w:r>
          </w:p>
        </w:tc>
        <w:tc>
          <w:tcPr>
            <w:tcW w:w="980" w:type="pct"/>
            <w:vMerge w:val="restart"/>
            <w:shd w:val="clear" w:color="auto" w:fill="FFFFFF" w:themeFill="background1"/>
          </w:tcPr>
          <w:p w:rsidR="00B2103B" w:rsidRPr="00FA3365" w:rsidRDefault="00B2103B" w:rsidP="00AD4909">
            <w:pPr>
              <w:pStyle w:val="KMC-TableTxt"/>
              <w:spacing w:before="0" w:after="0"/>
              <w:jc w:val="center"/>
              <w:rPr>
                <w:rFonts w:cs="Arial"/>
                <w:sz w:val="18"/>
                <w:szCs w:val="18"/>
              </w:rPr>
            </w:pPr>
            <w:r w:rsidRPr="00CA2C61">
              <w:rPr>
                <w:rFonts w:cs="Arial"/>
                <w:sz w:val="18"/>
                <w:szCs w:val="18"/>
              </w:rPr>
              <w:t>0.05/1 = 5%</w:t>
            </w:r>
          </w:p>
        </w:tc>
      </w:tr>
      <w:tr w:rsidR="00B2103B" w:rsidRPr="00FA3365" w:rsidTr="00B2103B">
        <w:tc>
          <w:tcPr>
            <w:tcW w:w="573" w:type="pct"/>
            <w:vMerge/>
            <w:shd w:val="clear" w:color="auto" w:fill="FFFFFF" w:themeFill="background1"/>
          </w:tcPr>
          <w:p w:rsidR="00B2103B" w:rsidRPr="00FA3365" w:rsidRDefault="00B2103B" w:rsidP="00AD4909">
            <w:pPr>
              <w:pStyle w:val="KMC-TableTxt"/>
              <w:spacing w:before="0" w:after="0"/>
            </w:pPr>
          </w:p>
        </w:tc>
        <w:tc>
          <w:tcPr>
            <w:tcW w:w="665" w:type="pct"/>
            <w:shd w:val="clear" w:color="auto" w:fill="FFFFFF" w:themeFill="background1"/>
          </w:tcPr>
          <w:p w:rsidR="00B2103B" w:rsidRPr="00FA3365" w:rsidRDefault="00B2103B" w:rsidP="00AD4909">
            <w:pPr>
              <w:pStyle w:val="KMC-TableTxt"/>
              <w:spacing w:before="0" w:after="0"/>
            </w:pPr>
            <w:r w:rsidRPr="00FA3365">
              <w:t>Gross 2000</w:t>
            </w:r>
          </w:p>
        </w:tc>
        <w:tc>
          <w:tcPr>
            <w:tcW w:w="1137" w:type="pct"/>
            <w:shd w:val="clear" w:color="auto" w:fill="FFFFFF" w:themeFill="background1"/>
          </w:tcPr>
          <w:p w:rsidR="00B2103B" w:rsidRPr="00FA3365" w:rsidRDefault="00B2103B" w:rsidP="00AD4909">
            <w:pPr>
              <w:pStyle w:val="KMC-TableTxt"/>
              <w:spacing w:before="0" w:after="0"/>
              <w:jc w:val="center"/>
            </w:pPr>
            <w:r w:rsidRPr="00FA3365">
              <w:t>1 point difference</w:t>
            </w:r>
          </w:p>
        </w:tc>
        <w:tc>
          <w:tcPr>
            <w:tcW w:w="847" w:type="pct"/>
            <w:vMerge/>
            <w:shd w:val="clear" w:color="auto" w:fill="FFFFFF" w:themeFill="background1"/>
          </w:tcPr>
          <w:p w:rsidR="00B2103B" w:rsidRPr="00FA3365" w:rsidRDefault="00B2103B" w:rsidP="00AD4909">
            <w:pPr>
              <w:pStyle w:val="KMC-TableTxt"/>
              <w:spacing w:before="0" w:after="0"/>
              <w:jc w:val="center"/>
            </w:pPr>
          </w:p>
        </w:tc>
        <w:tc>
          <w:tcPr>
            <w:tcW w:w="799" w:type="pct"/>
            <w:vMerge/>
            <w:shd w:val="clear" w:color="auto" w:fill="FFFFFF" w:themeFill="background1"/>
          </w:tcPr>
          <w:p w:rsidR="00B2103B" w:rsidRPr="00FA3365" w:rsidRDefault="00B2103B" w:rsidP="00AD4909">
            <w:pPr>
              <w:pStyle w:val="KMC-TableTxt"/>
              <w:spacing w:before="0" w:after="0"/>
              <w:jc w:val="center"/>
            </w:pPr>
          </w:p>
        </w:tc>
        <w:tc>
          <w:tcPr>
            <w:tcW w:w="980" w:type="pct"/>
            <w:vMerge/>
            <w:shd w:val="clear" w:color="auto" w:fill="FFFFFF" w:themeFill="background1"/>
          </w:tcPr>
          <w:p w:rsidR="00B2103B" w:rsidRPr="00FA3365" w:rsidRDefault="00B2103B" w:rsidP="00AD4909">
            <w:pPr>
              <w:pStyle w:val="KMC-TableTxt"/>
              <w:spacing w:before="0" w:after="0"/>
              <w:jc w:val="center"/>
            </w:pPr>
          </w:p>
        </w:tc>
      </w:tr>
    </w:tbl>
    <w:p w:rsidR="00B2103B" w:rsidRPr="00B2103B" w:rsidRDefault="00B2103B" w:rsidP="00B2103B">
      <w:pPr>
        <w:ind w:firstLine="720"/>
        <w:rPr>
          <w:rFonts w:ascii="Arial Narrow" w:hAnsi="Arial Narrow"/>
          <w:sz w:val="18"/>
          <w:szCs w:val="22"/>
        </w:rPr>
      </w:pPr>
      <w:r w:rsidRPr="00B2103B">
        <w:rPr>
          <w:rFonts w:ascii="Arial Narrow" w:hAnsi="Arial Narrow"/>
          <w:sz w:val="18"/>
          <w:szCs w:val="22"/>
        </w:rPr>
        <w:t>* a negative value shows a favourable response, therefore upper 95% CI is used to determine NI.</w:t>
      </w:r>
    </w:p>
    <w:p w:rsidR="00B2103B" w:rsidRDefault="00B2103B" w:rsidP="00B2103B">
      <w:pPr>
        <w:ind w:firstLine="720"/>
        <w:rPr>
          <w:rFonts w:ascii="Arial Narrow" w:hAnsi="Arial Narrow"/>
          <w:sz w:val="18"/>
          <w:szCs w:val="22"/>
        </w:rPr>
      </w:pPr>
      <w:r w:rsidRPr="00B2103B">
        <w:rPr>
          <w:rFonts w:ascii="Arial Narrow" w:hAnsi="Arial Narrow"/>
          <w:sz w:val="18"/>
          <w:szCs w:val="22"/>
        </w:rPr>
        <w:t>RR = relative risk, MD = mean difference.</w:t>
      </w:r>
    </w:p>
    <w:p w:rsidR="00B2103B" w:rsidRPr="00B2103B" w:rsidRDefault="00B2103B" w:rsidP="00B2103B">
      <w:pPr>
        <w:ind w:firstLine="720"/>
        <w:rPr>
          <w:rFonts w:ascii="Arial Narrow" w:hAnsi="Arial Narrow"/>
          <w:sz w:val="18"/>
          <w:szCs w:val="22"/>
        </w:rPr>
      </w:pPr>
      <w:r>
        <w:rPr>
          <w:rFonts w:ascii="Arial Narrow" w:hAnsi="Arial Narrow"/>
          <w:sz w:val="18"/>
          <w:szCs w:val="22"/>
        </w:rPr>
        <w:t>Source: PSCR,</w:t>
      </w:r>
      <w:r w:rsidR="00045AD5">
        <w:rPr>
          <w:rFonts w:ascii="Arial Narrow" w:hAnsi="Arial Narrow"/>
          <w:sz w:val="18"/>
          <w:szCs w:val="22"/>
        </w:rPr>
        <w:t xml:space="preserve"> Table 1</w:t>
      </w:r>
      <w:r>
        <w:rPr>
          <w:rFonts w:ascii="Arial Narrow" w:hAnsi="Arial Narrow"/>
          <w:sz w:val="18"/>
          <w:szCs w:val="22"/>
        </w:rPr>
        <w:t xml:space="preserve"> p.3</w:t>
      </w:r>
    </w:p>
    <w:p w:rsidR="00B2103B" w:rsidRPr="00882085" w:rsidRDefault="00B2103B" w:rsidP="00E86C28">
      <w:pPr>
        <w:spacing w:line="720" w:lineRule="auto"/>
        <w:rPr>
          <w:szCs w:val="22"/>
        </w:rPr>
      </w:pPr>
    </w:p>
    <w:p w:rsidR="00713488" w:rsidRPr="004675C9" w:rsidRDefault="00713488" w:rsidP="00713488">
      <w:pPr>
        <w:pStyle w:val="Heading2"/>
      </w:pPr>
      <w:bookmarkStart w:id="15" w:name="_Toc429660433"/>
      <w:r w:rsidRPr="004675C9">
        <w:lastRenderedPageBreak/>
        <w:t>Comparative effectiveness</w:t>
      </w:r>
      <w:bookmarkEnd w:id="15"/>
    </w:p>
    <w:p w:rsidR="00713488" w:rsidRPr="00882085" w:rsidRDefault="00713488" w:rsidP="00713488">
      <w:pPr>
        <w:rPr>
          <w:szCs w:val="22"/>
        </w:rPr>
      </w:pPr>
    </w:p>
    <w:p w:rsidR="00713488" w:rsidRPr="003906E1" w:rsidRDefault="00713488" w:rsidP="00713488">
      <w:pPr>
        <w:pStyle w:val="ListParagraph"/>
        <w:widowControl/>
        <w:numPr>
          <w:ilvl w:val="1"/>
          <w:numId w:val="10"/>
        </w:numPr>
        <w:rPr>
          <w:szCs w:val="22"/>
        </w:rPr>
      </w:pPr>
      <w:r w:rsidRPr="00006602">
        <w:t>The comparative</w:t>
      </w:r>
      <w:r>
        <w:t xml:space="preserve"> results for armodafinil/modafinil versus placebo and the indirect comparisons between armodafinil and modafinil (via placebo as the common reference) are summarised</w:t>
      </w:r>
      <w:r w:rsidRPr="008E3D45">
        <w:t xml:space="preserve"> </w:t>
      </w:r>
      <w:r>
        <w:t xml:space="preserve">below. </w:t>
      </w:r>
    </w:p>
    <w:p w:rsidR="00713488" w:rsidRDefault="00713488" w:rsidP="00713488">
      <w:pPr>
        <w:pStyle w:val="ListParagraph"/>
        <w:widowControl/>
      </w:pPr>
    </w:p>
    <w:p w:rsidR="00713488" w:rsidRDefault="00713488" w:rsidP="00713488">
      <w:pPr>
        <w:pStyle w:val="TableHeader"/>
        <w:ind w:left="720"/>
      </w:pPr>
      <w:r>
        <w:t xml:space="preserve">Table </w:t>
      </w:r>
      <w:r w:rsidR="005C2F05">
        <w:t>4</w:t>
      </w:r>
      <w:r>
        <w:t xml:space="preserve">: </w:t>
      </w:r>
      <w:r w:rsidRPr="00006602">
        <w:t>Comparative</w:t>
      </w:r>
      <w:r>
        <w:t xml:space="preserve"> benefit (MWT, ESS and CGI-C) versus placebo in the individual trials and indirect comparisons between armodafinil and modafinil</w:t>
      </w:r>
    </w:p>
    <w:tbl>
      <w:tblPr>
        <w:tblStyle w:val="TableGrid"/>
        <w:tblW w:w="4532" w:type="pct"/>
        <w:tblInd w:w="864" w:type="dxa"/>
        <w:tblLayout w:type="fixed"/>
        <w:tblLook w:val="04A0" w:firstRow="1" w:lastRow="0" w:firstColumn="1" w:lastColumn="0" w:noHBand="0" w:noVBand="1"/>
        <w:tblCaption w:val="Table 4"/>
        <w:tblDescription w:val="Comparative effectiveness of armodafinil/modafinil versus placebo and an indirect comparison of armodafinil versus placebo and modafinil versus placebo."/>
      </w:tblPr>
      <w:tblGrid>
        <w:gridCol w:w="938"/>
        <w:gridCol w:w="953"/>
        <w:gridCol w:w="2063"/>
        <w:gridCol w:w="2150"/>
        <w:gridCol w:w="1485"/>
        <w:gridCol w:w="789"/>
      </w:tblGrid>
      <w:tr w:rsidR="00713488" w:rsidRPr="006B6D3F" w:rsidTr="003347C6">
        <w:trPr>
          <w:trHeight w:val="309"/>
          <w:tblHeader/>
        </w:trPr>
        <w:tc>
          <w:tcPr>
            <w:tcW w:w="560" w:type="pct"/>
            <w:vMerge w:val="restart"/>
            <w:shd w:val="clear" w:color="auto" w:fill="auto"/>
          </w:tcPr>
          <w:p w:rsidR="00713488" w:rsidRPr="003906E1" w:rsidDel="009B1684" w:rsidRDefault="00713488" w:rsidP="008B4C07">
            <w:pPr>
              <w:widowControl/>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Outcome</w:t>
            </w:r>
          </w:p>
        </w:tc>
        <w:tc>
          <w:tcPr>
            <w:tcW w:w="569" w:type="pct"/>
            <w:vMerge w:val="restart"/>
            <w:shd w:val="clear" w:color="auto" w:fill="auto"/>
          </w:tcPr>
          <w:p w:rsidR="00713488" w:rsidRPr="003906E1" w:rsidDel="009B1684" w:rsidRDefault="00713488" w:rsidP="008B4C07">
            <w:pPr>
              <w:widowControl/>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Analysis method</w:t>
            </w:r>
          </w:p>
        </w:tc>
        <w:tc>
          <w:tcPr>
            <w:tcW w:w="1231" w:type="pct"/>
            <w:shd w:val="clear" w:color="auto" w:fill="auto"/>
            <w:noWrap/>
            <w:hideMark/>
          </w:tcPr>
          <w:p w:rsidR="00713488" w:rsidRPr="003906E1" w:rsidRDefault="00713488" w:rsidP="008B4C07">
            <w:pPr>
              <w:widowControl/>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Trial 3020</w:t>
            </w:r>
          </w:p>
          <w:p w:rsidR="00713488" w:rsidRPr="003906E1" w:rsidRDefault="00713488" w:rsidP="008B4C07">
            <w:pPr>
              <w:widowControl/>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(combined armodafinil 250mg and 150mg) vs. Placebo</w:t>
            </w:r>
          </w:p>
        </w:tc>
        <w:tc>
          <w:tcPr>
            <w:tcW w:w="1283" w:type="pct"/>
            <w:shd w:val="clear" w:color="auto" w:fill="auto"/>
            <w:noWrap/>
            <w:hideMark/>
          </w:tcPr>
          <w:p w:rsidR="00713488" w:rsidRPr="003906E1" w:rsidRDefault="00713488" w:rsidP="008B4C07">
            <w:pPr>
              <w:widowControl/>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Pooled Fry and Gross</w:t>
            </w:r>
          </w:p>
          <w:p w:rsidR="00713488" w:rsidRPr="003906E1" w:rsidRDefault="00713488" w:rsidP="008B4C07">
            <w:pPr>
              <w:widowControl/>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(combined modafinil 200mg and 400mg vs. Placebo)</w:t>
            </w:r>
          </w:p>
        </w:tc>
        <w:tc>
          <w:tcPr>
            <w:tcW w:w="1357" w:type="pct"/>
            <w:gridSpan w:val="2"/>
            <w:shd w:val="clear" w:color="auto" w:fill="auto"/>
            <w:noWrap/>
            <w:hideMark/>
          </w:tcPr>
          <w:p w:rsidR="00713488" w:rsidRPr="003906E1" w:rsidRDefault="00713488" w:rsidP="008B4C07">
            <w:pPr>
              <w:widowControl/>
              <w:jc w:val="center"/>
              <w:rPr>
                <w:rFonts w:ascii="Arial Narrow" w:hAnsi="Arial Narrow" w:cs="Times New Roman"/>
                <w:b/>
                <w:color w:val="000000"/>
                <w:sz w:val="20"/>
                <w:lang w:val="fr-FR" w:eastAsia="en-AU"/>
              </w:rPr>
            </w:pPr>
            <w:r w:rsidRPr="003906E1">
              <w:rPr>
                <w:rFonts w:ascii="Arial Narrow" w:hAnsi="Arial Narrow" w:cs="Times New Roman"/>
                <w:b/>
                <w:color w:val="000000"/>
                <w:sz w:val="20"/>
                <w:lang w:val="fr-FR" w:eastAsia="en-AU"/>
              </w:rPr>
              <w:t>Armodafinil vs Modafinil</w:t>
            </w:r>
          </w:p>
          <w:p w:rsidR="00713488" w:rsidRPr="003906E1" w:rsidRDefault="00713488" w:rsidP="008B4C07">
            <w:pPr>
              <w:widowControl/>
              <w:jc w:val="center"/>
              <w:rPr>
                <w:rFonts w:ascii="Arial Narrow" w:hAnsi="Arial Narrow" w:cs="Times New Roman"/>
                <w:b/>
                <w:color w:val="000000"/>
                <w:sz w:val="20"/>
                <w:lang w:val="fr-FR" w:eastAsia="en-AU"/>
              </w:rPr>
            </w:pPr>
            <w:r w:rsidRPr="003906E1">
              <w:rPr>
                <w:rFonts w:ascii="Arial Narrow" w:hAnsi="Arial Narrow" w:cs="Times New Roman"/>
                <w:b/>
                <w:color w:val="000000"/>
                <w:sz w:val="20"/>
                <w:lang w:val="fr-FR" w:eastAsia="en-AU"/>
              </w:rPr>
              <w:t xml:space="preserve">(indirect </w:t>
            </w:r>
            <w:r w:rsidRPr="00A23D14">
              <w:rPr>
                <w:rFonts w:ascii="Arial Narrow" w:hAnsi="Arial Narrow" w:cs="Times New Roman"/>
                <w:b/>
                <w:color w:val="000000"/>
                <w:sz w:val="20"/>
                <w:lang w:eastAsia="en-AU"/>
              </w:rPr>
              <w:t>comparison</w:t>
            </w:r>
            <w:r w:rsidRPr="003906E1">
              <w:rPr>
                <w:rFonts w:ascii="Arial Narrow" w:hAnsi="Arial Narrow" w:cs="Times New Roman"/>
                <w:b/>
                <w:color w:val="000000"/>
                <w:sz w:val="20"/>
                <w:lang w:val="fr-FR" w:eastAsia="en-AU"/>
              </w:rPr>
              <w:t>)</w:t>
            </w:r>
          </w:p>
        </w:tc>
      </w:tr>
      <w:tr w:rsidR="00713488" w:rsidRPr="003906E1" w:rsidTr="003347C6">
        <w:trPr>
          <w:trHeight w:val="309"/>
          <w:tblHeader/>
        </w:trPr>
        <w:tc>
          <w:tcPr>
            <w:tcW w:w="560" w:type="pct"/>
            <w:vMerge/>
            <w:shd w:val="clear" w:color="auto" w:fill="auto"/>
          </w:tcPr>
          <w:p w:rsidR="00713488" w:rsidRPr="003906E1" w:rsidDel="009B1684" w:rsidRDefault="00713488" w:rsidP="008B4C07">
            <w:pPr>
              <w:widowControl/>
              <w:jc w:val="center"/>
              <w:rPr>
                <w:rFonts w:ascii="Arial Narrow" w:hAnsi="Arial Narrow" w:cs="Times New Roman"/>
                <w:b/>
                <w:color w:val="000000"/>
                <w:sz w:val="20"/>
                <w:lang w:val="fr-FR" w:eastAsia="en-AU"/>
              </w:rPr>
            </w:pPr>
          </w:p>
        </w:tc>
        <w:tc>
          <w:tcPr>
            <w:tcW w:w="569" w:type="pct"/>
            <w:vMerge/>
            <w:shd w:val="clear" w:color="auto" w:fill="auto"/>
          </w:tcPr>
          <w:p w:rsidR="00713488" w:rsidRPr="003906E1" w:rsidDel="009B1684" w:rsidRDefault="00713488" w:rsidP="008B4C07">
            <w:pPr>
              <w:widowControl/>
              <w:jc w:val="center"/>
              <w:rPr>
                <w:rFonts w:ascii="Arial Narrow" w:hAnsi="Arial Narrow" w:cs="Times New Roman"/>
                <w:b/>
                <w:color w:val="000000"/>
                <w:sz w:val="20"/>
                <w:lang w:val="fr-FR" w:eastAsia="en-AU"/>
              </w:rPr>
            </w:pPr>
          </w:p>
        </w:tc>
        <w:tc>
          <w:tcPr>
            <w:tcW w:w="1231" w:type="pct"/>
            <w:shd w:val="clear" w:color="auto" w:fill="auto"/>
            <w:noWrap/>
            <w:hideMark/>
          </w:tcPr>
          <w:p w:rsidR="00713488" w:rsidRPr="003906E1" w:rsidRDefault="00713488" w:rsidP="008B4C07">
            <w:pPr>
              <w:keepNext/>
              <w:widowControl/>
              <w:tabs>
                <w:tab w:val="left" w:pos="216"/>
              </w:tabs>
              <w:jc w:val="center"/>
              <w:rPr>
                <w:rFonts w:ascii="Arial Narrow" w:hAnsi="Arial Narrow" w:cs="Times New Roman"/>
                <w:b/>
                <w:color w:val="000000"/>
                <w:sz w:val="20"/>
                <w:lang w:eastAsia="en-AU"/>
              </w:rPr>
            </w:pPr>
            <w:r>
              <w:rPr>
                <w:rFonts w:ascii="Arial Narrow" w:hAnsi="Arial Narrow" w:cs="Times New Roman"/>
                <w:b/>
                <w:color w:val="000000"/>
                <w:sz w:val="20"/>
                <w:lang w:eastAsia="en-AU"/>
              </w:rPr>
              <w:t>Effect size</w:t>
            </w:r>
            <w:r w:rsidRPr="003906E1">
              <w:rPr>
                <w:rFonts w:ascii="Arial Narrow" w:hAnsi="Arial Narrow" w:cs="Times New Roman"/>
                <w:b/>
                <w:color w:val="000000"/>
                <w:sz w:val="20"/>
                <w:lang w:eastAsia="en-AU"/>
              </w:rPr>
              <w:t xml:space="preserve"> (SE)</w:t>
            </w:r>
          </w:p>
          <w:p w:rsidR="00713488" w:rsidRPr="003906E1" w:rsidRDefault="00713488" w:rsidP="008B4C07">
            <w:pPr>
              <w:keepNext/>
              <w:widowControl/>
              <w:tabs>
                <w:tab w:val="left" w:pos="216"/>
              </w:tabs>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[95% CI]</w:t>
            </w:r>
          </w:p>
        </w:tc>
        <w:tc>
          <w:tcPr>
            <w:tcW w:w="1283" w:type="pct"/>
            <w:shd w:val="clear" w:color="auto" w:fill="auto"/>
            <w:noWrap/>
            <w:hideMark/>
          </w:tcPr>
          <w:p w:rsidR="00713488" w:rsidRPr="003906E1" w:rsidRDefault="00713488" w:rsidP="008B4C07">
            <w:pPr>
              <w:keepNext/>
              <w:widowControl/>
              <w:tabs>
                <w:tab w:val="left" w:pos="216"/>
              </w:tabs>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 xml:space="preserve">Pooled </w:t>
            </w:r>
            <w:r>
              <w:rPr>
                <w:rFonts w:ascii="Arial Narrow" w:hAnsi="Arial Narrow" w:cs="Times New Roman"/>
                <w:b/>
                <w:color w:val="000000"/>
                <w:sz w:val="20"/>
                <w:lang w:eastAsia="en-AU"/>
              </w:rPr>
              <w:t>effect</w:t>
            </w:r>
            <w:r w:rsidRPr="003906E1">
              <w:rPr>
                <w:rFonts w:ascii="Arial Narrow" w:hAnsi="Arial Narrow" w:cs="Times New Roman"/>
                <w:b/>
                <w:color w:val="000000"/>
                <w:sz w:val="20"/>
                <w:lang w:eastAsia="en-AU"/>
              </w:rPr>
              <w:t xml:space="preserve"> (SE)</w:t>
            </w:r>
          </w:p>
          <w:p w:rsidR="00713488" w:rsidRPr="003906E1" w:rsidRDefault="00713488" w:rsidP="008B4C07">
            <w:pPr>
              <w:widowControl/>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[95% CI]</w:t>
            </w:r>
          </w:p>
        </w:tc>
        <w:tc>
          <w:tcPr>
            <w:tcW w:w="886" w:type="pct"/>
            <w:shd w:val="clear" w:color="auto" w:fill="auto"/>
            <w:noWrap/>
            <w:hideMark/>
          </w:tcPr>
          <w:p w:rsidR="00713488" w:rsidRPr="003906E1" w:rsidRDefault="00713488" w:rsidP="008B4C07">
            <w:pPr>
              <w:widowControl/>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Effect Size (SE)</w:t>
            </w:r>
          </w:p>
          <w:p w:rsidR="00713488" w:rsidRPr="003906E1" w:rsidRDefault="00713488" w:rsidP="008B4C07">
            <w:pPr>
              <w:widowControl/>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[95% CI]</w:t>
            </w:r>
          </w:p>
        </w:tc>
        <w:tc>
          <w:tcPr>
            <w:tcW w:w="472" w:type="pct"/>
            <w:shd w:val="clear" w:color="auto" w:fill="auto"/>
            <w:noWrap/>
            <w:hideMark/>
          </w:tcPr>
          <w:p w:rsidR="00713488" w:rsidRPr="003906E1" w:rsidRDefault="00713488" w:rsidP="008B4C07">
            <w:pPr>
              <w:widowControl/>
              <w:jc w:val="center"/>
              <w:rPr>
                <w:rFonts w:ascii="Arial Narrow" w:hAnsi="Arial Narrow" w:cs="Times New Roman"/>
                <w:b/>
                <w:color w:val="000000"/>
                <w:sz w:val="20"/>
                <w:lang w:eastAsia="en-AU"/>
              </w:rPr>
            </w:pPr>
            <w:r w:rsidRPr="003906E1">
              <w:rPr>
                <w:rFonts w:ascii="Arial Narrow" w:hAnsi="Arial Narrow" w:cs="Times New Roman"/>
                <w:b/>
                <w:color w:val="000000"/>
                <w:sz w:val="20"/>
                <w:lang w:eastAsia="en-AU"/>
              </w:rPr>
              <w:t>p-value</w:t>
            </w:r>
          </w:p>
        </w:tc>
      </w:tr>
      <w:tr w:rsidR="00713488" w:rsidRPr="003906E1" w:rsidTr="008B4C07">
        <w:trPr>
          <w:trHeight w:val="353"/>
        </w:trPr>
        <w:tc>
          <w:tcPr>
            <w:tcW w:w="560" w:type="pct"/>
          </w:tcPr>
          <w:p w:rsidR="00713488" w:rsidRPr="003906E1" w:rsidRDefault="00713488" w:rsidP="008B4C07">
            <w:pPr>
              <w:widowControl/>
              <w:jc w:val="center"/>
              <w:rPr>
                <w:rFonts w:ascii="Arial Narrow" w:hAnsi="Arial Narrow" w:cs="Times New Roman"/>
                <w:sz w:val="20"/>
                <w:lang w:eastAsia="en-AU"/>
              </w:rPr>
            </w:pPr>
            <w:r w:rsidRPr="003906E1">
              <w:rPr>
                <w:rFonts w:ascii="Arial Narrow" w:hAnsi="Arial Narrow" w:cs="Times New Roman"/>
                <w:sz w:val="20"/>
                <w:lang w:eastAsia="en-AU"/>
              </w:rPr>
              <w:t>MWT</w:t>
            </w:r>
            <w:r w:rsidRPr="003906E1">
              <w:rPr>
                <w:rFonts w:ascii="Arial Narrow" w:hAnsi="Arial Narrow" w:cs="Times New Roman"/>
                <w:sz w:val="20"/>
                <w:vertAlign w:val="superscript"/>
                <w:lang w:eastAsia="en-AU"/>
              </w:rPr>
              <w:t>a</w:t>
            </w:r>
          </w:p>
        </w:tc>
        <w:tc>
          <w:tcPr>
            <w:tcW w:w="569" w:type="pct"/>
          </w:tcPr>
          <w:p w:rsidR="00713488" w:rsidRPr="003906E1" w:rsidRDefault="00713488" w:rsidP="008B4C07">
            <w:pPr>
              <w:widowControl/>
              <w:jc w:val="center"/>
              <w:rPr>
                <w:rFonts w:ascii="Arial Narrow" w:hAnsi="Arial Narrow" w:cs="Times New Roman"/>
                <w:sz w:val="20"/>
                <w:lang w:eastAsia="en-AU"/>
              </w:rPr>
            </w:pPr>
            <w:r w:rsidRPr="003906E1">
              <w:rPr>
                <w:rFonts w:ascii="Arial Narrow" w:hAnsi="Arial Narrow" w:cs="Times New Roman"/>
                <w:sz w:val="20"/>
                <w:lang w:eastAsia="en-AU"/>
              </w:rPr>
              <w:t>Primary</w:t>
            </w:r>
            <w:r w:rsidRPr="003906E1">
              <w:rPr>
                <w:rFonts w:ascii="Arial Narrow" w:hAnsi="Arial Narrow" w:cs="Times New Roman"/>
                <w:sz w:val="20"/>
                <w:vertAlign w:val="superscript"/>
                <w:lang w:eastAsia="en-AU"/>
              </w:rPr>
              <w:t>a</w:t>
            </w:r>
          </w:p>
          <w:p w:rsidR="00713488" w:rsidRPr="003906E1" w:rsidRDefault="00713488" w:rsidP="008B4C07">
            <w:pPr>
              <w:widowControl/>
              <w:jc w:val="center"/>
              <w:rPr>
                <w:rFonts w:ascii="Arial Narrow" w:hAnsi="Arial Narrow" w:cs="Times New Roman"/>
                <w:sz w:val="20"/>
                <w:lang w:eastAsia="en-AU"/>
              </w:rPr>
            </w:pPr>
            <w:r w:rsidRPr="003906E1">
              <w:rPr>
                <w:rFonts w:ascii="Arial Narrow" w:hAnsi="Arial Narrow" w:cs="Times New Roman"/>
                <w:sz w:val="20"/>
                <w:lang w:eastAsia="en-AU"/>
              </w:rPr>
              <w:t>Final visit, LOCF</w:t>
            </w:r>
          </w:p>
        </w:tc>
        <w:tc>
          <w:tcPr>
            <w:tcW w:w="1231" w:type="pct"/>
            <w:noWrap/>
          </w:tcPr>
          <w:p w:rsidR="00713488" w:rsidRPr="00CA2C61" w:rsidRDefault="00713488" w:rsidP="008B4C07">
            <w:pPr>
              <w:keepNext/>
              <w:widowControl/>
              <w:tabs>
                <w:tab w:val="left" w:pos="216"/>
              </w:tabs>
              <w:jc w:val="center"/>
              <w:rPr>
                <w:rFonts w:ascii="Arial Narrow" w:hAnsi="Arial Narrow" w:cs="Times New Roman"/>
                <w:sz w:val="20"/>
                <w:lang w:eastAsia="en-AU"/>
              </w:rPr>
            </w:pPr>
            <w:r w:rsidRPr="00CA2C61">
              <w:rPr>
                <w:rFonts w:ascii="Arial Narrow" w:hAnsi="Arial Narrow" w:cs="Times New Roman"/>
                <w:sz w:val="20"/>
                <w:lang w:eastAsia="en-AU"/>
              </w:rPr>
              <w:t>3.80 (1.07)</w:t>
            </w:r>
          </w:p>
          <w:p w:rsidR="00713488" w:rsidRPr="003906E1" w:rsidRDefault="00713488" w:rsidP="008B4C07">
            <w:pPr>
              <w:keepNext/>
              <w:widowControl/>
              <w:tabs>
                <w:tab w:val="left" w:pos="216"/>
              </w:tabs>
              <w:jc w:val="center"/>
              <w:rPr>
                <w:rFonts w:ascii="Arial Narrow" w:hAnsi="Arial Narrow" w:cs="Times New Roman"/>
                <w:sz w:val="20"/>
                <w:lang w:eastAsia="en-AU"/>
              </w:rPr>
            </w:pPr>
            <w:r w:rsidRPr="00CA2C61">
              <w:rPr>
                <w:rFonts w:ascii="Arial Narrow" w:hAnsi="Arial Narrow" w:cs="Times New Roman"/>
                <w:sz w:val="20"/>
                <w:lang w:eastAsia="en-AU"/>
              </w:rPr>
              <w:t>[1.70, 5.90]</w:t>
            </w:r>
          </w:p>
        </w:tc>
        <w:tc>
          <w:tcPr>
            <w:tcW w:w="1283" w:type="pct"/>
            <w:noWrap/>
          </w:tcPr>
          <w:p w:rsidR="00713488" w:rsidRPr="00CA2C61" w:rsidRDefault="00713488" w:rsidP="008B4C07">
            <w:pPr>
              <w:keepNext/>
              <w:widowControl/>
              <w:tabs>
                <w:tab w:val="left" w:pos="216"/>
              </w:tabs>
              <w:jc w:val="center"/>
              <w:rPr>
                <w:rFonts w:ascii="Arial Narrow" w:hAnsi="Arial Narrow" w:cs="Times New Roman"/>
                <w:sz w:val="20"/>
                <w:lang w:eastAsia="en-AU"/>
              </w:rPr>
            </w:pPr>
            <w:r w:rsidRPr="00CA2C61">
              <w:rPr>
                <w:rFonts w:ascii="Arial Narrow" w:hAnsi="Arial Narrow" w:cs="Times New Roman"/>
                <w:sz w:val="20"/>
                <w:lang w:eastAsia="en-AU"/>
              </w:rPr>
              <w:t>2.90 (0.41)</w:t>
            </w:r>
          </w:p>
          <w:p w:rsidR="00713488" w:rsidRPr="003906E1" w:rsidRDefault="00713488" w:rsidP="008B4C07">
            <w:pPr>
              <w:keepNext/>
              <w:widowControl/>
              <w:tabs>
                <w:tab w:val="left" w:pos="216"/>
              </w:tabs>
              <w:jc w:val="center"/>
              <w:rPr>
                <w:rFonts w:ascii="Arial Narrow" w:hAnsi="Arial Narrow" w:cs="Times New Roman"/>
                <w:sz w:val="20"/>
                <w:lang w:eastAsia="en-AU"/>
              </w:rPr>
            </w:pPr>
            <w:r w:rsidRPr="00CA2C61">
              <w:rPr>
                <w:rFonts w:ascii="Arial Narrow" w:hAnsi="Arial Narrow" w:cs="Times New Roman"/>
                <w:sz w:val="20"/>
                <w:lang w:eastAsia="en-AU"/>
              </w:rPr>
              <w:t>[2.09, 3.71]</w:t>
            </w:r>
          </w:p>
        </w:tc>
        <w:tc>
          <w:tcPr>
            <w:tcW w:w="886" w:type="pct"/>
            <w:noWrap/>
          </w:tcPr>
          <w:p w:rsidR="00713488" w:rsidRPr="00CA2C61" w:rsidRDefault="00713488" w:rsidP="008B4C07">
            <w:pPr>
              <w:keepNext/>
              <w:widowControl/>
              <w:tabs>
                <w:tab w:val="left" w:pos="216"/>
              </w:tabs>
              <w:jc w:val="center"/>
              <w:rPr>
                <w:rFonts w:ascii="Arial Narrow" w:hAnsi="Arial Narrow" w:cs="Times New Roman"/>
                <w:sz w:val="20"/>
                <w:lang w:eastAsia="en-AU"/>
              </w:rPr>
            </w:pPr>
            <w:r w:rsidRPr="00CA2C61">
              <w:rPr>
                <w:rFonts w:ascii="Arial Narrow" w:hAnsi="Arial Narrow" w:cs="Times New Roman"/>
                <w:sz w:val="20"/>
                <w:lang w:eastAsia="en-AU"/>
              </w:rPr>
              <w:t>0.90 (1.15)</w:t>
            </w:r>
          </w:p>
          <w:p w:rsidR="00713488" w:rsidRPr="003906E1" w:rsidRDefault="00713488" w:rsidP="008B4C07">
            <w:pPr>
              <w:keepNext/>
              <w:widowControl/>
              <w:tabs>
                <w:tab w:val="left" w:pos="216"/>
              </w:tabs>
              <w:jc w:val="center"/>
              <w:rPr>
                <w:rFonts w:ascii="Arial Narrow" w:hAnsi="Arial Narrow" w:cs="Times New Roman"/>
                <w:sz w:val="20"/>
                <w:lang w:eastAsia="en-AU"/>
              </w:rPr>
            </w:pPr>
            <w:r w:rsidRPr="00CA2C61">
              <w:rPr>
                <w:rFonts w:ascii="Arial Narrow" w:hAnsi="Arial Narrow" w:cs="Times New Roman"/>
                <w:sz w:val="20"/>
                <w:lang w:eastAsia="en-AU"/>
              </w:rPr>
              <w:t>[–1.35, 3.16]</w:t>
            </w:r>
          </w:p>
        </w:tc>
        <w:tc>
          <w:tcPr>
            <w:tcW w:w="472" w:type="pct"/>
            <w:noWrap/>
          </w:tcPr>
          <w:p w:rsidR="00713488" w:rsidRPr="003906E1" w:rsidRDefault="00713488" w:rsidP="008B4C07">
            <w:pPr>
              <w:keepNext/>
              <w:widowControl/>
              <w:tabs>
                <w:tab w:val="left" w:pos="216"/>
              </w:tabs>
              <w:jc w:val="center"/>
              <w:rPr>
                <w:rFonts w:ascii="Arial Narrow" w:hAnsi="Arial Narrow" w:cs="Times New Roman"/>
                <w:sz w:val="20"/>
                <w:lang w:eastAsia="en-AU"/>
              </w:rPr>
            </w:pPr>
            <w:r w:rsidRPr="00CA2C61">
              <w:rPr>
                <w:rFonts w:ascii="Arial Narrow" w:hAnsi="Arial Narrow" w:cs="Times New Roman"/>
                <w:sz w:val="20"/>
                <w:lang w:eastAsia="en-AU"/>
              </w:rPr>
              <w:t>0.4310</w:t>
            </w:r>
          </w:p>
        </w:tc>
      </w:tr>
      <w:tr w:rsidR="00713488" w:rsidRPr="003906E1" w:rsidTr="008B4C07">
        <w:trPr>
          <w:trHeight w:val="309"/>
        </w:trPr>
        <w:tc>
          <w:tcPr>
            <w:tcW w:w="560" w:type="pct"/>
          </w:tcPr>
          <w:p w:rsidR="00713488" w:rsidRPr="003906E1" w:rsidRDefault="00713488" w:rsidP="008B4C07">
            <w:pPr>
              <w:widowControl/>
              <w:jc w:val="center"/>
              <w:rPr>
                <w:rFonts w:ascii="Arial Narrow" w:hAnsi="Arial Narrow" w:cs="Times New Roman"/>
                <w:sz w:val="20"/>
                <w:lang w:eastAsia="en-AU"/>
              </w:rPr>
            </w:pPr>
            <w:r w:rsidRPr="003906E1">
              <w:rPr>
                <w:rFonts w:ascii="Arial Narrow" w:hAnsi="Arial Narrow" w:cs="Times New Roman"/>
                <w:sz w:val="20"/>
                <w:lang w:eastAsia="en-AU"/>
              </w:rPr>
              <w:t>ESS</w:t>
            </w:r>
            <w:r w:rsidRPr="003906E1">
              <w:rPr>
                <w:rFonts w:ascii="Arial Narrow" w:hAnsi="Arial Narrow" w:cs="Times New Roman"/>
                <w:sz w:val="20"/>
                <w:vertAlign w:val="superscript"/>
                <w:lang w:eastAsia="en-AU"/>
              </w:rPr>
              <w:t>a</w:t>
            </w:r>
          </w:p>
        </w:tc>
        <w:tc>
          <w:tcPr>
            <w:tcW w:w="569" w:type="pct"/>
          </w:tcPr>
          <w:p w:rsidR="00713488" w:rsidRPr="003906E1" w:rsidRDefault="00713488" w:rsidP="008B4C07">
            <w:pPr>
              <w:widowControl/>
              <w:jc w:val="center"/>
              <w:rPr>
                <w:rFonts w:ascii="Arial Narrow" w:hAnsi="Arial Narrow" w:cs="Times New Roman"/>
                <w:sz w:val="20"/>
                <w:lang w:eastAsia="en-AU"/>
              </w:rPr>
            </w:pPr>
            <w:r w:rsidRPr="003906E1">
              <w:rPr>
                <w:rFonts w:ascii="Arial Narrow" w:hAnsi="Arial Narrow" w:cs="Times New Roman"/>
                <w:sz w:val="20"/>
                <w:lang w:eastAsia="en-AU"/>
              </w:rPr>
              <w:t>Primary</w:t>
            </w:r>
            <w:r w:rsidRPr="003906E1">
              <w:rPr>
                <w:rFonts w:ascii="Arial Narrow" w:hAnsi="Arial Narrow" w:cs="Times New Roman"/>
                <w:sz w:val="20"/>
                <w:vertAlign w:val="superscript"/>
                <w:lang w:eastAsia="en-AU"/>
              </w:rPr>
              <w:t>a</w:t>
            </w:r>
          </w:p>
          <w:p w:rsidR="00713488" w:rsidRPr="003906E1" w:rsidRDefault="00713488" w:rsidP="008B4C07">
            <w:pPr>
              <w:widowControl/>
              <w:jc w:val="center"/>
              <w:rPr>
                <w:rFonts w:ascii="Arial Narrow" w:hAnsi="Arial Narrow" w:cs="Times New Roman"/>
                <w:sz w:val="20"/>
                <w:lang w:eastAsia="en-AU"/>
              </w:rPr>
            </w:pPr>
            <w:r w:rsidRPr="003906E1">
              <w:rPr>
                <w:rFonts w:ascii="Arial Narrow" w:hAnsi="Arial Narrow" w:cs="Times New Roman"/>
                <w:sz w:val="20"/>
                <w:lang w:eastAsia="en-AU"/>
              </w:rPr>
              <w:t>Final visit LOCF</w:t>
            </w:r>
          </w:p>
        </w:tc>
        <w:tc>
          <w:tcPr>
            <w:tcW w:w="1231" w:type="pct"/>
            <w:noWrap/>
          </w:tcPr>
          <w:p w:rsidR="00713488" w:rsidRPr="00CA2C6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–2.00 (0.68)</w:t>
            </w:r>
          </w:p>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[–3.34, –0.66]</w:t>
            </w:r>
          </w:p>
        </w:tc>
        <w:tc>
          <w:tcPr>
            <w:tcW w:w="1283" w:type="pct"/>
            <w:noWrap/>
          </w:tcPr>
          <w:p w:rsidR="00713488" w:rsidRPr="00CA2C6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–2.91 (0.38)</w:t>
            </w:r>
          </w:p>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[–3.66, –2.15]</w:t>
            </w:r>
          </w:p>
        </w:tc>
        <w:tc>
          <w:tcPr>
            <w:tcW w:w="886" w:type="pct"/>
            <w:noWrap/>
          </w:tcPr>
          <w:p w:rsidR="00713488" w:rsidRPr="00CA2C6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0.91 (0.78)</w:t>
            </w:r>
          </w:p>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[–0.63, 2.45]</w:t>
            </w:r>
          </w:p>
        </w:tc>
        <w:tc>
          <w:tcPr>
            <w:tcW w:w="472" w:type="pct"/>
            <w:noWrap/>
          </w:tcPr>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0.2463</w:t>
            </w:r>
          </w:p>
        </w:tc>
      </w:tr>
      <w:tr w:rsidR="00713488" w:rsidRPr="003906E1" w:rsidTr="008B4C07">
        <w:trPr>
          <w:trHeight w:val="257"/>
        </w:trPr>
        <w:tc>
          <w:tcPr>
            <w:tcW w:w="560" w:type="pct"/>
          </w:tcPr>
          <w:p w:rsidR="00713488" w:rsidRPr="003906E1" w:rsidRDefault="00713488" w:rsidP="008B4C07">
            <w:pPr>
              <w:widowControl/>
              <w:jc w:val="center"/>
              <w:rPr>
                <w:rFonts w:ascii="Arial Narrow" w:hAnsi="Arial Narrow" w:cs="Times New Roman"/>
                <w:sz w:val="20"/>
                <w:lang w:eastAsia="en-AU"/>
              </w:rPr>
            </w:pPr>
            <w:r w:rsidRPr="003906E1">
              <w:rPr>
                <w:rFonts w:ascii="Arial Narrow" w:hAnsi="Arial Narrow" w:cs="Times New Roman"/>
                <w:sz w:val="20"/>
                <w:lang w:eastAsia="en-AU"/>
              </w:rPr>
              <w:t>CGI-C</w:t>
            </w:r>
            <w:r w:rsidRPr="003906E1">
              <w:rPr>
                <w:rFonts w:ascii="Arial Narrow" w:hAnsi="Arial Narrow" w:cs="Times New Roman"/>
                <w:sz w:val="20"/>
                <w:vertAlign w:val="superscript"/>
                <w:lang w:eastAsia="en-AU"/>
              </w:rPr>
              <w:t>b</w:t>
            </w:r>
          </w:p>
        </w:tc>
        <w:tc>
          <w:tcPr>
            <w:tcW w:w="569" w:type="pct"/>
          </w:tcPr>
          <w:p w:rsidR="00713488" w:rsidRPr="003906E1" w:rsidRDefault="00713488" w:rsidP="008B4C07">
            <w:pPr>
              <w:widowControl/>
              <w:jc w:val="center"/>
              <w:rPr>
                <w:rFonts w:ascii="Arial Narrow" w:hAnsi="Arial Narrow" w:cs="Times New Roman"/>
                <w:sz w:val="20"/>
                <w:lang w:eastAsia="en-AU"/>
              </w:rPr>
            </w:pPr>
            <w:r>
              <w:rPr>
                <w:rFonts w:ascii="Arial Narrow" w:hAnsi="Arial Narrow" w:cs="Times New Roman"/>
                <w:sz w:val="20"/>
                <w:lang w:eastAsia="en-AU"/>
              </w:rPr>
              <w:t>RR</w:t>
            </w:r>
          </w:p>
        </w:tc>
        <w:tc>
          <w:tcPr>
            <w:tcW w:w="1231" w:type="pct"/>
            <w:noWrap/>
          </w:tcPr>
          <w:p w:rsidR="00713488" w:rsidRPr="00CA2C6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2.17 (0.20)</w:t>
            </w:r>
          </w:p>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[1.48, 3.20]</w:t>
            </w:r>
          </w:p>
        </w:tc>
        <w:tc>
          <w:tcPr>
            <w:tcW w:w="1283" w:type="pct"/>
            <w:noWrap/>
          </w:tcPr>
          <w:p w:rsidR="00713488" w:rsidRPr="00CA2C6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1.71 (0.10)</w:t>
            </w:r>
          </w:p>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[1.39, 2.10]</w:t>
            </w:r>
          </w:p>
        </w:tc>
        <w:tc>
          <w:tcPr>
            <w:tcW w:w="886" w:type="pct"/>
            <w:noWrap/>
          </w:tcPr>
          <w:p w:rsidR="00713488" w:rsidRPr="00CA2C6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1.27</w:t>
            </w:r>
            <w:r w:rsidRPr="00CA2C61">
              <w:rPr>
                <w:rFonts w:ascii="Arial Narrow" w:hAnsi="Arial Narrow" w:cs="Times New Roman"/>
                <w:sz w:val="20"/>
                <w:vertAlign w:val="superscript"/>
                <w:lang w:eastAsia="en-AU"/>
              </w:rPr>
              <w:t>c</w:t>
            </w:r>
            <w:r w:rsidRPr="00CA2C61">
              <w:rPr>
                <w:rFonts w:ascii="Arial Narrow" w:hAnsi="Arial Narrow" w:cs="Times New Roman"/>
                <w:sz w:val="20"/>
                <w:lang w:eastAsia="en-AU"/>
              </w:rPr>
              <w:t xml:space="preserve"> (0.23)</w:t>
            </w:r>
          </w:p>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[0.82, 1.98]</w:t>
            </w:r>
          </w:p>
        </w:tc>
        <w:tc>
          <w:tcPr>
            <w:tcW w:w="472" w:type="pct"/>
            <w:noWrap/>
          </w:tcPr>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0.2903</w:t>
            </w:r>
          </w:p>
        </w:tc>
      </w:tr>
      <w:tr w:rsidR="00713488" w:rsidRPr="003906E1" w:rsidTr="008B4C07">
        <w:trPr>
          <w:trHeight w:val="309"/>
        </w:trPr>
        <w:tc>
          <w:tcPr>
            <w:tcW w:w="560" w:type="pct"/>
          </w:tcPr>
          <w:p w:rsidR="00713488" w:rsidRPr="003906E1" w:rsidRDefault="00713488" w:rsidP="008B4C07">
            <w:pPr>
              <w:widowControl/>
              <w:jc w:val="center"/>
              <w:rPr>
                <w:rFonts w:ascii="Arial Narrow" w:hAnsi="Arial Narrow" w:cs="Times New Roman"/>
                <w:sz w:val="20"/>
                <w:lang w:eastAsia="en-AU"/>
              </w:rPr>
            </w:pPr>
            <w:r w:rsidRPr="003906E1">
              <w:rPr>
                <w:rFonts w:ascii="Arial Narrow" w:hAnsi="Arial Narrow" w:cs="Times New Roman"/>
                <w:sz w:val="20"/>
                <w:lang w:eastAsia="en-AU"/>
              </w:rPr>
              <w:t>CGI-C</w:t>
            </w:r>
            <w:r w:rsidRPr="003906E1">
              <w:rPr>
                <w:rFonts w:ascii="Arial Narrow" w:hAnsi="Arial Narrow" w:cs="Times New Roman"/>
                <w:sz w:val="20"/>
                <w:vertAlign w:val="superscript"/>
                <w:lang w:eastAsia="en-AU"/>
              </w:rPr>
              <w:t>b</w:t>
            </w:r>
          </w:p>
        </w:tc>
        <w:tc>
          <w:tcPr>
            <w:tcW w:w="569" w:type="pct"/>
          </w:tcPr>
          <w:p w:rsidR="00713488" w:rsidRPr="003906E1" w:rsidRDefault="00713488" w:rsidP="008B4C07">
            <w:pPr>
              <w:widowControl/>
              <w:jc w:val="center"/>
              <w:rPr>
                <w:rFonts w:ascii="Arial Narrow" w:hAnsi="Arial Narrow" w:cs="Times New Roman"/>
                <w:sz w:val="20"/>
                <w:lang w:eastAsia="en-AU"/>
              </w:rPr>
            </w:pPr>
            <w:r>
              <w:rPr>
                <w:rFonts w:ascii="Arial Narrow" w:hAnsi="Arial Narrow" w:cs="Times New Roman"/>
                <w:sz w:val="20"/>
                <w:lang w:eastAsia="en-AU"/>
              </w:rPr>
              <w:t>ARD</w:t>
            </w:r>
          </w:p>
        </w:tc>
        <w:tc>
          <w:tcPr>
            <w:tcW w:w="1231" w:type="pct"/>
            <w:noWrap/>
          </w:tcPr>
          <w:p w:rsidR="00713488" w:rsidRPr="00CA2C6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0.38 (0.07)</w:t>
            </w:r>
          </w:p>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[0.24, 0.53]</w:t>
            </w:r>
          </w:p>
        </w:tc>
        <w:tc>
          <w:tcPr>
            <w:tcW w:w="1283" w:type="pct"/>
            <w:noWrap/>
          </w:tcPr>
          <w:p w:rsidR="00713488" w:rsidRPr="00CA2C6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0.27 (0.05)</w:t>
            </w:r>
          </w:p>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[0.17, 0.36]</w:t>
            </w:r>
          </w:p>
        </w:tc>
        <w:tc>
          <w:tcPr>
            <w:tcW w:w="886" w:type="pct"/>
            <w:noWrap/>
          </w:tcPr>
          <w:p w:rsidR="00713488" w:rsidRPr="00CA2C6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0.11 (0.08)</w:t>
            </w:r>
          </w:p>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[–0.05, 0.28]</w:t>
            </w:r>
          </w:p>
        </w:tc>
        <w:tc>
          <w:tcPr>
            <w:tcW w:w="472" w:type="pct"/>
            <w:noWrap/>
          </w:tcPr>
          <w:p w:rsidR="00713488" w:rsidRPr="003906E1" w:rsidRDefault="00713488" w:rsidP="008B4C07">
            <w:pPr>
              <w:widowControl/>
              <w:jc w:val="center"/>
              <w:rPr>
                <w:rFonts w:ascii="Arial Narrow" w:hAnsi="Arial Narrow" w:cs="Times New Roman"/>
                <w:sz w:val="20"/>
                <w:lang w:eastAsia="en-AU"/>
              </w:rPr>
            </w:pPr>
            <w:r w:rsidRPr="00CA2C61">
              <w:rPr>
                <w:rFonts w:ascii="Arial Narrow" w:hAnsi="Arial Narrow" w:cs="Times New Roman"/>
                <w:sz w:val="20"/>
                <w:lang w:eastAsia="en-AU"/>
              </w:rPr>
              <w:t>0.1725</w:t>
            </w:r>
          </w:p>
        </w:tc>
      </w:tr>
    </w:tbl>
    <w:p w:rsidR="00713488" w:rsidRPr="003906E1" w:rsidRDefault="00713488" w:rsidP="00713488">
      <w:pPr>
        <w:keepNext/>
        <w:keepLines/>
        <w:autoSpaceDE w:val="0"/>
        <w:autoSpaceDN w:val="0"/>
        <w:adjustRightInd w:val="0"/>
        <w:ind w:left="720"/>
        <w:jc w:val="left"/>
        <w:rPr>
          <w:rFonts w:ascii="Arial Narrow" w:hAnsi="Arial Narrow" w:cs="Times New Roman"/>
          <w:snapToGrid/>
          <w:sz w:val="18"/>
          <w:szCs w:val="18"/>
          <w:lang w:eastAsia="en-AU"/>
        </w:rPr>
      </w:pPr>
      <w:r>
        <w:rPr>
          <w:rFonts w:ascii="Arial Narrow" w:hAnsi="Arial Narrow" w:cs="Times New Roman"/>
          <w:snapToGrid/>
          <w:sz w:val="18"/>
          <w:szCs w:val="18"/>
          <w:vertAlign w:val="superscript"/>
          <w:lang w:eastAsia="en-AU"/>
        </w:rPr>
        <w:t>a</w:t>
      </w:r>
      <w:r w:rsidRPr="003906E1">
        <w:rPr>
          <w:rFonts w:ascii="Arial Narrow" w:hAnsi="Arial Narrow" w:cs="Times New Roman"/>
          <w:snapToGrid/>
          <w:sz w:val="18"/>
          <w:szCs w:val="18"/>
          <w:vertAlign w:val="superscript"/>
          <w:lang w:eastAsia="en-AU"/>
        </w:rPr>
        <w:t xml:space="preserve"> </w:t>
      </w:r>
      <w:r w:rsidRPr="003906E1">
        <w:rPr>
          <w:rFonts w:ascii="Arial Narrow" w:hAnsi="Arial Narrow" w:cs="Times New Roman"/>
          <w:snapToGrid/>
          <w:sz w:val="18"/>
          <w:szCs w:val="18"/>
          <w:lang w:eastAsia="en-AU"/>
        </w:rPr>
        <w:t>Primary analysis for the submission. Final visit = week 12 (for trial 3020)/week 9 (Fry 1998 and Gross 2010) or last post-baseline visit.</w:t>
      </w:r>
      <w:r>
        <w:rPr>
          <w:rFonts w:ascii="Arial Narrow" w:hAnsi="Arial Narrow" w:cs="Times New Roman"/>
          <w:snapToGrid/>
          <w:sz w:val="18"/>
          <w:szCs w:val="18"/>
          <w:lang w:eastAsia="en-AU"/>
        </w:rPr>
        <w:t xml:space="preserve"> Both MWT and ESS were measured as the mean difference in change from baseline between treatment arms.</w:t>
      </w:r>
    </w:p>
    <w:p w:rsidR="00713488" w:rsidRPr="003906E1" w:rsidRDefault="00713488" w:rsidP="00713488">
      <w:pPr>
        <w:keepNext/>
        <w:keepLines/>
        <w:autoSpaceDE w:val="0"/>
        <w:autoSpaceDN w:val="0"/>
        <w:adjustRightInd w:val="0"/>
        <w:ind w:left="720"/>
        <w:jc w:val="left"/>
        <w:rPr>
          <w:rFonts w:ascii="Arial Narrow" w:hAnsi="Arial Narrow" w:cs="Times New Roman"/>
          <w:snapToGrid/>
          <w:sz w:val="18"/>
          <w:szCs w:val="18"/>
          <w:lang w:eastAsia="en-AU"/>
        </w:rPr>
      </w:pPr>
      <w:r w:rsidRPr="003906E1">
        <w:rPr>
          <w:rFonts w:ascii="Arial Narrow" w:hAnsi="Arial Narrow" w:cs="Times New Roman"/>
          <w:snapToGrid/>
          <w:sz w:val="18"/>
          <w:szCs w:val="18"/>
          <w:vertAlign w:val="superscript"/>
          <w:lang w:eastAsia="en-AU"/>
        </w:rPr>
        <w:t xml:space="preserve">b </w:t>
      </w:r>
      <w:r w:rsidRPr="003906E1">
        <w:rPr>
          <w:rFonts w:ascii="Arial Narrow" w:hAnsi="Arial Narrow" w:cs="Times New Roman"/>
          <w:snapToGrid/>
          <w:sz w:val="18"/>
          <w:szCs w:val="18"/>
          <w:lang w:eastAsia="en-AU"/>
        </w:rPr>
        <w:t xml:space="preserve">Measured as the proportion of patients with at least minimal improvement in the CGI-C rating at the final visit. The CGI-C represents a subjective measure of the patient’s global health (i.e., a clinician’s rating of disease severity as compared with a pre-treatment evaluation as assessed by the use of the CGI-S). The clinician assessed the change from baseline in the patient’s condition in response to treatment.  The CGI-C uses the following categories and scoring assignments: 1=Very much improved; 2=Much improved; 3=Minimally improved; 4=No change; 5=Minimally worse; 6=Much worse; and 7=Very much worse. </w:t>
      </w:r>
    </w:p>
    <w:p w:rsidR="00713488" w:rsidRPr="003906E1" w:rsidRDefault="00713488" w:rsidP="00713488">
      <w:pPr>
        <w:keepNext/>
        <w:keepLines/>
        <w:autoSpaceDE w:val="0"/>
        <w:autoSpaceDN w:val="0"/>
        <w:adjustRightInd w:val="0"/>
        <w:ind w:left="720"/>
        <w:jc w:val="left"/>
        <w:rPr>
          <w:rFonts w:ascii="Arial Narrow" w:hAnsi="Arial Narrow" w:cs="Times New Roman"/>
          <w:snapToGrid/>
          <w:sz w:val="18"/>
          <w:szCs w:val="18"/>
          <w:lang w:eastAsia="en-AU"/>
        </w:rPr>
      </w:pPr>
      <w:r w:rsidRPr="003906E1">
        <w:rPr>
          <w:rFonts w:ascii="Calibri" w:hAnsi="Calibri" w:cs="Times New Roman"/>
          <w:snapToGrid/>
          <w:sz w:val="16"/>
          <w:szCs w:val="18"/>
          <w:vertAlign w:val="superscript"/>
          <w:lang w:eastAsia="en-AU"/>
        </w:rPr>
        <w:t xml:space="preserve">c </w:t>
      </w:r>
      <w:r w:rsidRPr="003906E1">
        <w:rPr>
          <w:rFonts w:ascii="Arial Narrow" w:hAnsi="Arial Narrow" w:cs="Times New Roman"/>
          <w:snapToGrid/>
          <w:sz w:val="18"/>
          <w:szCs w:val="18"/>
          <w:lang w:eastAsia="en-AU"/>
        </w:rPr>
        <w:t xml:space="preserve">Derived from inversing the log of the difference between log </w:t>
      </w:r>
      <w:r w:rsidRPr="00CA2C61">
        <w:rPr>
          <w:rFonts w:ascii="Arial Narrow" w:hAnsi="Arial Narrow" w:cs="Times New Roman"/>
          <w:snapToGrid/>
          <w:sz w:val="18"/>
          <w:szCs w:val="18"/>
          <w:lang w:eastAsia="en-AU"/>
        </w:rPr>
        <w:t>2.17</w:t>
      </w:r>
      <w:r w:rsidRPr="003906E1">
        <w:rPr>
          <w:rFonts w:ascii="Arial Narrow" w:hAnsi="Arial Narrow" w:cs="Times New Roman"/>
          <w:snapToGrid/>
          <w:sz w:val="18"/>
          <w:szCs w:val="18"/>
          <w:lang w:eastAsia="en-AU"/>
        </w:rPr>
        <w:t xml:space="preserve"> and </w:t>
      </w:r>
      <w:r w:rsidRPr="00CA2C61">
        <w:rPr>
          <w:rFonts w:ascii="Arial Narrow" w:hAnsi="Arial Narrow" w:cs="Times New Roman"/>
          <w:snapToGrid/>
          <w:sz w:val="18"/>
          <w:szCs w:val="18"/>
          <w:lang w:eastAsia="en-AU"/>
        </w:rPr>
        <w:t>1.71</w:t>
      </w:r>
      <w:r w:rsidRPr="003906E1">
        <w:rPr>
          <w:rFonts w:ascii="Arial Narrow" w:hAnsi="Arial Narrow" w:cs="Times New Roman"/>
          <w:snapToGrid/>
          <w:sz w:val="18"/>
          <w:szCs w:val="18"/>
          <w:lang w:eastAsia="en-AU"/>
        </w:rPr>
        <w:t>.</w:t>
      </w:r>
    </w:p>
    <w:p w:rsidR="00713488" w:rsidRPr="003906E1" w:rsidRDefault="00713488" w:rsidP="00713488">
      <w:pPr>
        <w:keepNext/>
        <w:keepLines/>
        <w:autoSpaceDE w:val="0"/>
        <w:autoSpaceDN w:val="0"/>
        <w:adjustRightInd w:val="0"/>
        <w:ind w:left="720"/>
        <w:jc w:val="left"/>
        <w:rPr>
          <w:rFonts w:ascii="Arial Narrow" w:hAnsi="Arial Narrow" w:cs="Times New Roman"/>
          <w:snapToGrid/>
          <w:sz w:val="18"/>
          <w:szCs w:val="18"/>
          <w:lang w:eastAsia="en-AU"/>
        </w:rPr>
      </w:pPr>
      <w:r w:rsidRPr="003906E1">
        <w:rPr>
          <w:rFonts w:ascii="Arial Narrow" w:hAnsi="Arial Narrow" w:cs="Times New Roman"/>
          <w:snapToGrid/>
          <w:sz w:val="18"/>
          <w:szCs w:val="18"/>
          <w:lang w:eastAsia="en-AU"/>
        </w:rPr>
        <w:t xml:space="preserve">MWT = maintenance of wakefulness test; ESS = Epworth Sleepiness Scale; CGI-C = Clinical Global Impression of Change; LOCF = last observation carried forward; SE = standard error; CI = confidence interval; </w:t>
      </w:r>
      <w:r>
        <w:rPr>
          <w:rFonts w:ascii="Arial Narrow" w:hAnsi="Arial Narrow" w:cs="Times New Roman"/>
          <w:snapToGrid/>
          <w:sz w:val="18"/>
          <w:szCs w:val="18"/>
          <w:lang w:eastAsia="en-AU"/>
        </w:rPr>
        <w:t>RR = relative risk; ARD = absolute risk difference.</w:t>
      </w:r>
    </w:p>
    <w:p w:rsidR="00713488" w:rsidRPr="003906E1" w:rsidRDefault="00713488" w:rsidP="00713488">
      <w:pPr>
        <w:keepNext/>
        <w:keepLines/>
        <w:autoSpaceDE w:val="0"/>
        <w:autoSpaceDN w:val="0"/>
        <w:adjustRightInd w:val="0"/>
        <w:ind w:left="720"/>
        <w:jc w:val="left"/>
        <w:rPr>
          <w:rFonts w:ascii="Arial Narrow" w:hAnsi="Arial Narrow" w:cs="Times New Roman"/>
          <w:snapToGrid/>
          <w:sz w:val="18"/>
          <w:szCs w:val="18"/>
          <w:lang w:eastAsia="en-AU"/>
        </w:rPr>
      </w:pPr>
      <w:r w:rsidRPr="003906E1">
        <w:rPr>
          <w:rFonts w:ascii="Arial Narrow" w:hAnsi="Arial Narrow" w:cs="Times New Roman"/>
          <w:snapToGrid/>
          <w:sz w:val="18"/>
          <w:szCs w:val="18"/>
          <w:lang w:eastAsia="en-AU"/>
        </w:rPr>
        <w:t>Source: Modified from Table B.6.1, p74 of Section B of the submission</w:t>
      </w:r>
    </w:p>
    <w:p w:rsidR="00713488" w:rsidRDefault="00713488" w:rsidP="00713488">
      <w:pPr>
        <w:pStyle w:val="ListParagraph"/>
        <w:widowControl/>
      </w:pPr>
    </w:p>
    <w:p w:rsidR="00713488" w:rsidRPr="00781167" w:rsidRDefault="00713488" w:rsidP="00AA0B1A">
      <w:pPr>
        <w:pStyle w:val="ListParagraph"/>
        <w:widowControl/>
        <w:numPr>
          <w:ilvl w:val="1"/>
          <w:numId w:val="10"/>
        </w:numPr>
        <w:rPr>
          <w:szCs w:val="22"/>
        </w:rPr>
      </w:pPr>
      <w:r w:rsidRPr="00D630A3">
        <w:t xml:space="preserve">The results </w:t>
      </w:r>
      <w:r>
        <w:t>from Trial 3020 for armodafinil (both 250mg</w:t>
      </w:r>
      <w:r w:rsidR="00AA0B1A">
        <w:t>/day</w:t>
      </w:r>
      <w:r>
        <w:t xml:space="preserve"> and 150mg</w:t>
      </w:r>
      <w:r w:rsidR="00AA0B1A">
        <w:t>/day</w:t>
      </w:r>
      <w:r>
        <w:t xml:space="preserve"> armodafinil doses combined) and the </w:t>
      </w:r>
      <w:r w:rsidRPr="00D630A3">
        <w:t>pool</w:t>
      </w:r>
      <w:r>
        <w:t>ed</w:t>
      </w:r>
      <w:r w:rsidRPr="00D630A3">
        <w:t xml:space="preserve"> </w:t>
      </w:r>
      <w:r>
        <w:t>r</w:t>
      </w:r>
      <w:r w:rsidRPr="00D630A3">
        <w:t xml:space="preserve">esults </w:t>
      </w:r>
      <w:r>
        <w:t>for modafinil (both 200mg</w:t>
      </w:r>
      <w:r w:rsidR="00AA0B1A">
        <w:t>/day</w:t>
      </w:r>
      <w:r>
        <w:t xml:space="preserve"> and 400mg</w:t>
      </w:r>
      <w:r w:rsidR="00AA0B1A">
        <w:t>/day</w:t>
      </w:r>
      <w:r>
        <w:t xml:space="preserve"> doses of modafinil combined) from the Fry and Gross trials were compared</w:t>
      </w:r>
      <w:r w:rsidRPr="00D630A3">
        <w:t>.</w:t>
      </w:r>
      <w:r>
        <w:t xml:space="preserve"> The lower 95% confidence limit of the point estimate of the indirect treatment effect, for all three endpoints (MWT, ESS and CGI-C), satisfied the respective “non-inferiority margins” chosen in the submission. The submission noted that sensitivity analyses of the indirect comparisons were consistent with results from the primary indirect comparison.</w:t>
      </w:r>
    </w:p>
    <w:p w:rsidR="006E712E" w:rsidRPr="005C2F05" w:rsidRDefault="006E712E" w:rsidP="005C2F05">
      <w:pPr>
        <w:widowControl/>
        <w:rPr>
          <w:szCs w:val="22"/>
        </w:rPr>
      </w:pPr>
    </w:p>
    <w:p w:rsidR="00021062" w:rsidRPr="00E86C28" w:rsidRDefault="00AA0B1A" w:rsidP="00E86C28">
      <w:pPr>
        <w:pStyle w:val="ListParagraph"/>
        <w:widowControl/>
        <w:numPr>
          <w:ilvl w:val="1"/>
          <w:numId w:val="10"/>
        </w:numPr>
      </w:pPr>
      <w:r w:rsidRPr="00A10267">
        <w:t xml:space="preserve">For the outcome of MWT, the baseline values and change from baseline in the placebo arms varied across the armodafinil and modafinil trials. The placebo arm decreased </w:t>
      </w:r>
      <w:r w:rsidR="003F2DC3">
        <w:t xml:space="preserve">wakefulness (MWT) </w:t>
      </w:r>
      <w:r w:rsidRPr="00A10267">
        <w:t xml:space="preserve">from baseline by approximately 2 minutes in the armodafinil 3020 trial and by only 0.7 minutes in either of the modafinil Fry or Gross trials. The baseline point-estimate of the MWT in the placebo arm was also higher in the armodafinil trial (12.5 minutes) compared to the modafinil trials (6 minutes). This </w:t>
      </w:r>
      <w:r w:rsidRPr="00A10267">
        <w:lastRenderedPageBreak/>
        <w:t xml:space="preserve">casts doubt </w:t>
      </w:r>
      <w:r w:rsidR="003F2DC3">
        <w:t>o</w:t>
      </w:r>
      <w:r w:rsidRPr="00A10267">
        <w:t>n the exchangeability of the trials and thus the validity of the indirect comparison</w:t>
      </w:r>
      <w:r w:rsidRPr="00B3295B">
        <w:t>.</w:t>
      </w:r>
      <w:r w:rsidR="005C2F05" w:rsidRPr="00B3295B">
        <w:t xml:space="preserve">  The PSCR argued that in undertaking this indirect analysis, the best available data </w:t>
      </w:r>
      <w:r w:rsidR="003F2DC3">
        <w:t>were</w:t>
      </w:r>
      <w:r w:rsidR="005C2F05" w:rsidRPr="00B3295B">
        <w:t xml:space="preserve"> utilised, and that with respect to variation in baseline MWT values between the trials, “the MWT deterioration seen in the placebo groups was consistent when considered as % deterioration/baseline, being 15% in the armodafinil study and 12% in the modafinil studies. Considering the improvement/deterioration in the context of the baseline measured in the study provides a more reasonable method to compare the results in the placebo arms across the different studies than looking at the absolute values.  </w:t>
      </w:r>
    </w:p>
    <w:p w:rsidR="00713488" w:rsidRPr="005C2F05" w:rsidRDefault="00713488" w:rsidP="00B3295B">
      <w:pPr>
        <w:ind w:left="720"/>
        <w:rPr>
          <w:szCs w:val="22"/>
        </w:rPr>
      </w:pPr>
    </w:p>
    <w:p w:rsidR="006E712E" w:rsidRPr="00D36E65" w:rsidRDefault="006E712E" w:rsidP="006E712E">
      <w:pPr>
        <w:pStyle w:val="Caption"/>
        <w:ind w:left="720"/>
        <w:rPr>
          <w:szCs w:val="20"/>
        </w:rPr>
      </w:pPr>
      <w:r w:rsidRPr="00006602">
        <w:rPr>
          <w:szCs w:val="20"/>
        </w:rPr>
        <w:t xml:space="preserve">Table </w:t>
      </w:r>
      <w:r w:rsidR="005C2F05">
        <w:rPr>
          <w:szCs w:val="20"/>
        </w:rPr>
        <w:t>5</w:t>
      </w:r>
      <w:r>
        <w:rPr>
          <w:szCs w:val="20"/>
        </w:rPr>
        <w:t xml:space="preserve">: </w:t>
      </w:r>
      <w:r w:rsidRPr="00006602">
        <w:rPr>
          <w:szCs w:val="20"/>
        </w:rPr>
        <w:t>Change from baseline</w:t>
      </w:r>
      <w:r>
        <w:rPr>
          <w:szCs w:val="20"/>
        </w:rPr>
        <w:t xml:space="preserve"> in </w:t>
      </w:r>
      <w:r w:rsidRPr="00D36E65">
        <w:rPr>
          <w:szCs w:val="20"/>
        </w:rPr>
        <w:t xml:space="preserve">MWT </w:t>
      </w:r>
      <w:r>
        <w:rPr>
          <w:szCs w:val="20"/>
        </w:rPr>
        <w:t>(</w:t>
      </w:r>
      <w:r w:rsidRPr="00D36E65">
        <w:rPr>
          <w:szCs w:val="20"/>
        </w:rPr>
        <w:t>20 minutes</w:t>
      </w:r>
      <w:r w:rsidRPr="0019318D">
        <w:rPr>
          <w:szCs w:val="20"/>
          <w:vertAlign w:val="superscript"/>
        </w:rPr>
        <w:t>§</w:t>
      </w:r>
      <w:r>
        <w:rPr>
          <w:szCs w:val="20"/>
        </w:rPr>
        <w:t>)</w:t>
      </w:r>
      <w:r w:rsidRPr="0019318D">
        <w:rPr>
          <w:szCs w:val="20"/>
          <w:vertAlign w:val="superscript"/>
        </w:rPr>
        <w:t xml:space="preserve"> </w:t>
      </w:r>
      <w:r>
        <w:rPr>
          <w:szCs w:val="20"/>
        </w:rPr>
        <w:t>in the randomised arms of the individual armodafinil and modafinil trials</w:t>
      </w:r>
    </w:p>
    <w:tbl>
      <w:tblPr>
        <w:tblStyle w:val="TableGrid"/>
        <w:tblW w:w="4558" w:type="pct"/>
        <w:tblInd w:w="817" w:type="dxa"/>
        <w:tblLayout w:type="fixed"/>
        <w:tblLook w:val="04A0" w:firstRow="1" w:lastRow="0" w:firstColumn="1" w:lastColumn="0" w:noHBand="0" w:noVBand="1"/>
        <w:tblCaption w:val="Table 5"/>
        <w:tblDescription w:val="Comparative effectiveness data published for Study 3020, Fry 1998 and Gross 2000."/>
      </w:tblPr>
      <w:tblGrid>
        <w:gridCol w:w="1277"/>
        <w:gridCol w:w="713"/>
        <w:gridCol w:w="849"/>
        <w:gridCol w:w="851"/>
        <w:gridCol w:w="708"/>
        <w:gridCol w:w="709"/>
        <w:gridCol w:w="851"/>
        <w:gridCol w:w="570"/>
        <w:gridCol w:w="709"/>
        <w:gridCol w:w="709"/>
        <w:gridCol w:w="480"/>
      </w:tblGrid>
      <w:tr w:rsidR="006E712E" w:rsidRPr="006E712E" w:rsidTr="003347C6">
        <w:trPr>
          <w:tblHeader/>
        </w:trPr>
        <w:tc>
          <w:tcPr>
            <w:tcW w:w="757" w:type="pct"/>
            <w:shd w:val="clear" w:color="auto" w:fill="auto"/>
          </w:tcPr>
          <w:p w:rsidR="006E712E" w:rsidRPr="006E712E" w:rsidRDefault="006E712E" w:rsidP="00BE332F">
            <w:pPr>
              <w:pStyle w:val="KMC-TableTxt"/>
              <w:spacing w:before="0" w:after="0"/>
              <w:rPr>
                <w:b/>
                <w:sz w:val="18"/>
                <w:szCs w:val="18"/>
              </w:rPr>
            </w:pPr>
          </w:p>
        </w:tc>
        <w:tc>
          <w:tcPr>
            <w:tcW w:w="1851" w:type="pct"/>
            <w:gridSpan w:val="4"/>
            <w:shd w:val="clear" w:color="auto" w:fill="auto"/>
          </w:tcPr>
          <w:p w:rsidR="006E712E" w:rsidRPr="006E712E" w:rsidRDefault="006E712E" w:rsidP="00BE332F">
            <w:pPr>
              <w:pStyle w:val="KMC-TableTxt"/>
              <w:spacing w:before="0" w:after="0"/>
              <w:jc w:val="center"/>
              <w:rPr>
                <w:b/>
                <w:sz w:val="18"/>
                <w:szCs w:val="18"/>
              </w:rPr>
            </w:pPr>
            <w:r w:rsidRPr="006E712E">
              <w:rPr>
                <w:b/>
                <w:sz w:val="18"/>
                <w:szCs w:val="18"/>
              </w:rPr>
              <w:t>Study 3020</w:t>
            </w:r>
          </w:p>
        </w:tc>
        <w:tc>
          <w:tcPr>
            <w:tcW w:w="1264" w:type="pct"/>
            <w:gridSpan w:val="3"/>
            <w:shd w:val="clear" w:color="auto" w:fill="auto"/>
          </w:tcPr>
          <w:p w:rsidR="006E712E" w:rsidRPr="006E712E" w:rsidRDefault="006E712E" w:rsidP="00BE332F">
            <w:pPr>
              <w:pStyle w:val="KMC-TableTxt"/>
              <w:spacing w:before="0" w:after="0"/>
              <w:jc w:val="center"/>
              <w:rPr>
                <w:b/>
                <w:sz w:val="18"/>
                <w:szCs w:val="18"/>
              </w:rPr>
            </w:pPr>
            <w:r w:rsidRPr="006E712E">
              <w:rPr>
                <w:b/>
                <w:sz w:val="18"/>
                <w:szCs w:val="18"/>
              </w:rPr>
              <w:t>Fry 1998</w:t>
            </w:r>
          </w:p>
        </w:tc>
        <w:tc>
          <w:tcPr>
            <w:tcW w:w="1127" w:type="pct"/>
            <w:gridSpan w:val="3"/>
            <w:shd w:val="clear" w:color="auto" w:fill="auto"/>
          </w:tcPr>
          <w:p w:rsidR="006E712E" w:rsidRPr="006E712E" w:rsidRDefault="006E712E" w:rsidP="00BE332F">
            <w:pPr>
              <w:pStyle w:val="KMC-TableTxt"/>
              <w:spacing w:before="0" w:after="0"/>
              <w:jc w:val="center"/>
              <w:rPr>
                <w:b/>
                <w:sz w:val="18"/>
                <w:szCs w:val="18"/>
              </w:rPr>
            </w:pPr>
            <w:r w:rsidRPr="006E712E">
              <w:rPr>
                <w:b/>
                <w:sz w:val="18"/>
                <w:szCs w:val="18"/>
              </w:rPr>
              <w:t>Gross 2000</w:t>
            </w:r>
          </w:p>
        </w:tc>
      </w:tr>
      <w:tr w:rsidR="006E712E" w:rsidRPr="006E712E" w:rsidTr="00FA3B36">
        <w:tc>
          <w:tcPr>
            <w:tcW w:w="757" w:type="pct"/>
            <w:shd w:val="clear" w:color="auto" w:fill="auto"/>
          </w:tcPr>
          <w:p w:rsidR="006E712E" w:rsidRPr="006E712E" w:rsidRDefault="006E712E" w:rsidP="00BE332F">
            <w:pPr>
              <w:pStyle w:val="TableBodyText"/>
              <w:spacing w:line="240" w:lineRule="auto"/>
              <w:jc w:val="center"/>
              <w:rPr>
                <w:rFonts w:ascii="Arial Narrow" w:hAnsi="Arial Narrow"/>
                <w:b/>
                <w:sz w:val="18"/>
                <w:szCs w:val="18"/>
              </w:rPr>
            </w:pPr>
          </w:p>
        </w:tc>
        <w:tc>
          <w:tcPr>
            <w:tcW w:w="423" w:type="pct"/>
            <w:shd w:val="clear" w:color="auto" w:fill="auto"/>
          </w:tcPr>
          <w:p w:rsidR="006E712E" w:rsidRPr="006E712E" w:rsidRDefault="006E712E" w:rsidP="00BE332F">
            <w:pPr>
              <w:pStyle w:val="TableBodyText"/>
              <w:spacing w:line="240" w:lineRule="auto"/>
              <w:jc w:val="center"/>
              <w:rPr>
                <w:rFonts w:ascii="Arial Narrow" w:hAnsi="Arial Narrow"/>
                <w:b/>
                <w:sz w:val="18"/>
                <w:szCs w:val="18"/>
              </w:rPr>
            </w:pPr>
            <w:r w:rsidRPr="006E712E">
              <w:rPr>
                <w:rFonts w:ascii="Arial Narrow" w:hAnsi="Arial Narrow"/>
                <w:b/>
                <w:sz w:val="18"/>
                <w:szCs w:val="18"/>
              </w:rPr>
              <w:t>Armodafinil</w:t>
            </w:r>
          </w:p>
          <w:p w:rsidR="006E712E" w:rsidRPr="006E712E" w:rsidRDefault="006E712E" w:rsidP="00BE332F">
            <w:pPr>
              <w:pStyle w:val="TableBodyText"/>
              <w:spacing w:line="240" w:lineRule="auto"/>
              <w:jc w:val="center"/>
              <w:rPr>
                <w:rFonts w:ascii="Arial Narrow" w:hAnsi="Arial Narrow"/>
                <w:b/>
                <w:sz w:val="18"/>
                <w:szCs w:val="18"/>
              </w:rPr>
            </w:pPr>
            <w:r w:rsidRPr="006E712E">
              <w:rPr>
                <w:rFonts w:ascii="Arial Narrow" w:hAnsi="Arial Narrow"/>
                <w:b/>
                <w:sz w:val="18"/>
                <w:szCs w:val="18"/>
              </w:rPr>
              <w:t>250 mg</w:t>
            </w:r>
          </w:p>
        </w:tc>
        <w:tc>
          <w:tcPr>
            <w:tcW w:w="504" w:type="pct"/>
            <w:shd w:val="clear" w:color="auto" w:fill="auto"/>
          </w:tcPr>
          <w:p w:rsidR="006E712E" w:rsidRPr="006E712E" w:rsidRDefault="006E712E" w:rsidP="00BE332F">
            <w:pPr>
              <w:pStyle w:val="TableBodyText"/>
              <w:spacing w:line="240" w:lineRule="auto"/>
              <w:jc w:val="center"/>
              <w:rPr>
                <w:rFonts w:ascii="Arial Narrow" w:hAnsi="Arial Narrow" w:cs="CourierNew,Regular"/>
                <w:b/>
                <w:sz w:val="18"/>
                <w:szCs w:val="18"/>
              </w:rPr>
            </w:pPr>
            <w:r w:rsidRPr="006E712E">
              <w:rPr>
                <w:rFonts w:ascii="Arial Narrow" w:hAnsi="Arial Narrow" w:cs="CourierNew,Regular"/>
                <w:b/>
                <w:sz w:val="18"/>
                <w:szCs w:val="18"/>
              </w:rPr>
              <w:t>Armodafinil</w:t>
            </w:r>
          </w:p>
          <w:p w:rsidR="006E712E" w:rsidRPr="006E712E" w:rsidRDefault="006E712E" w:rsidP="00BE332F">
            <w:pPr>
              <w:pStyle w:val="TableBodyText"/>
              <w:spacing w:line="240" w:lineRule="auto"/>
              <w:jc w:val="center"/>
              <w:rPr>
                <w:rFonts w:ascii="Arial Narrow" w:hAnsi="Arial Narrow" w:cs="CourierNew,Regular"/>
                <w:b/>
                <w:sz w:val="18"/>
                <w:szCs w:val="18"/>
              </w:rPr>
            </w:pPr>
            <w:r w:rsidRPr="006E712E">
              <w:rPr>
                <w:rFonts w:ascii="Arial Narrow" w:hAnsi="Arial Narrow" w:cs="CourierNew,Regular"/>
                <w:b/>
                <w:sz w:val="18"/>
                <w:szCs w:val="18"/>
              </w:rPr>
              <w:t>150 mg</w:t>
            </w:r>
          </w:p>
        </w:tc>
        <w:tc>
          <w:tcPr>
            <w:tcW w:w="505" w:type="pct"/>
            <w:shd w:val="clear" w:color="auto" w:fill="auto"/>
          </w:tcPr>
          <w:p w:rsidR="006E712E" w:rsidRPr="006E712E" w:rsidRDefault="006E712E" w:rsidP="00BE332F">
            <w:pPr>
              <w:pStyle w:val="KMC-TableTxt"/>
              <w:spacing w:before="0" w:after="0"/>
              <w:jc w:val="center"/>
              <w:rPr>
                <w:b/>
                <w:sz w:val="18"/>
                <w:szCs w:val="18"/>
              </w:rPr>
            </w:pPr>
            <w:r w:rsidRPr="006E712E">
              <w:rPr>
                <w:b/>
                <w:sz w:val="18"/>
                <w:szCs w:val="18"/>
              </w:rPr>
              <w:t>Armodafinil</w:t>
            </w:r>
          </w:p>
          <w:p w:rsidR="006E712E" w:rsidRPr="006E712E" w:rsidRDefault="006E712E" w:rsidP="00BE332F">
            <w:pPr>
              <w:pStyle w:val="KMC-TableTxt"/>
              <w:spacing w:before="0" w:after="0"/>
              <w:jc w:val="center"/>
              <w:rPr>
                <w:b/>
                <w:sz w:val="18"/>
                <w:szCs w:val="18"/>
              </w:rPr>
            </w:pPr>
            <w:r w:rsidRPr="006E712E">
              <w:rPr>
                <w:b/>
                <w:sz w:val="18"/>
                <w:szCs w:val="18"/>
              </w:rPr>
              <w:t>(both doses combined)</w:t>
            </w:r>
          </w:p>
        </w:tc>
        <w:tc>
          <w:tcPr>
            <w:tcW w:w="420" w:type="pct"/>
            <w:shd w:val="clear" w:color="auto" w:fill="auto"/>
          </w:tcPr>
          <w:p w:rsidR="006E712E" w:rsidRPr="006E712E" w:rsidRDefault="006E712E" w:rsidP="00BE332F">
            <w:pPr>
              <w:pStyle w:val="KMC-TableTxt"/>
              <w:spacing w:before="0" w:after="0"/>
              <w:jc w:val="center"/>
              <w:rPr>
                <w:b/>
                <w:sz w:val="18"/>
                <w:szCs w:val="18"/>
              </w:rPr>
            </w:pPr>
            <w:r w:rsidRPr="006E712E">
              <w:rPr>
                <w:b/>
                <w:sz w:val="18"/>
                <w:szCs w:val="18"/>
              </w:rPr>
              <w:t>Placebo</w:t>
            </w:r>
          </w:p>
        </w:tc>
        <w:tc>
          <w:tcPr>
            <w:tcW w:w="421" w:type="pct"/>
            <w:shd w:val="clear" w:color="auto" w:fill="auto"/>
          </w:tcPr>
          <w:p w:rsidR="006E712E" w:rsidRPr="006E712E" w:rsidRDefault="006E712E" w:rsidP="00BE332F">
            <w:pPr>
              <w:pStyle w:val="KMC-TableTxt"/>
              <w:spacing w:before="0" w:after="0"/>
              <w:jc w:val="center"/>
              <w:rPr>
                <w:b/>
                <w:sz w:val="18"/>
                <w:szCs w:val="18"/>
              </w:rPr>
            </w:pPr>
            <w:r w:rsidRPr="006E712E">
              <w:rPr>
                <w:b/>
                <w:sz w:val="18"/>
                <w:szCs w:val="18"/>
              </w:rPr>
              <w:t>Modafinil</w:t>
            </w:r>
          </w:p>
          <w:p w:rsidR="006E712E" w:rsidRPr="006E712E" w:rsidRDefault="006E712E" w:rsidP="00BE332F">
            <w:pPr>
              <w:pStyle w:val="KMC-TableTxt"/>
              <w:spacing w:before="0" w:after="0"/>
              <w:jc w:val="center"/>
              <w:rPr>
                <w:b/>
                <w:sz w:val="18"/>
                <w:szCs w:val="18"/>
              </w:rPr>
            </w:pPr>
            <w:r w:rsidRPr="006E712E">
              <w:rPr>
                <w:b/>
                <w:sz w:val="18"/>
                <w:szCs w:val="18"/>
              </w:rPr>
              <w:t>400 mg</w:t>
            </w:r>
          </w:p>
        </w:tc>
        <w:tc>
          <w:tcPr>
            <w:tcW w:w="505" w:type="pct"/>
            <w:shd w:val="clear" w:color="auto" w:fill="auto"/>
          </w:tcPr>
          <w:p w:rsidR="006E712E" w:rsidRPr="006E712E" w:rsidRDefault="006E712E" w:rsidP="00BE332F">
            <w:pPr>
              <w:pStyle w:val="KMC-TableTxt"/>
              <w:spacing w:before="0" w:after="0"/>
              <w:jc w:val="center"/>
              <w:rPr>
                <w:b/>
                <w:sz w:val="18"/>
                <w:szCs w:val="18"/>
              </w:rPr>
            </w:pPr>
            <w:r w:rsidRPr="006E712E">
              <w:rPr>
                <w:b/>
                <w:sz w:val="18"/>
                <w:szCs w:val="18"/>
              </w:rPr>
              <w:t>Modafinil</w:t>
            </w:r>
          </w:p>
          <w:p w:rsidR="006E712E" w:rsidRPr="006E712E" w:rsidRDefault="006E712E" w:rsidP="00BE332F">
            <w:pPr>
              <w:pStyle w:val="KMC-TableTxt"/>
              <w:spacing w:before="0" w:after="0"/>
              <w:jc w:val="center"/>
              <w:rPr>
                <w:b/>
                <w:sz w:val="18"/>
                <w:szCs w:val="18"/>
              </w:rPr>
            </w:pPr>
            <w:r w:rsidRPr="006E712E">
              <w:rPr>
                <w:b/>
                <w:sz w:val="18"/>
                <w:szCs w:val="18"/>
              </w:rPr>
              <w:t>200 mg</w:t>
            </w:r>
          </w:p>
        </w:tc>
        <w:tc>
          <w:tcPr>
            <w:tcW w:w="338" w:type="pct"/>
            <w:shd w:val="clear" w:color="auto" w:fill="auto"/>
          </w:tcPr>
          <w:p w:rsidR="006E712E" w:rsidRPr="006E712E" w:rsidRDefault="006E712E" w:rsidP="00BE332F">
            <w:pPr>
              <w:pStyle w:val="KMC-TableTxt"/>
              <w:spacing w:before="0" w:after="0"/>
              <w:jc w:val="center"/>
              <w:rPr>
                <w:b/>
                <w:sz w:val="18"/>
                <w:szCs w:val="18"/>
              </w:rPr>
            </w:pPr>
            <w:r w:rsidRPr="006E712E">
              <w:rPr>
                <w:b/>
                <w:sz w:val="18"/>
                <w:szCs w:val="18"/>
              </w:rPr>
              <w:t>Placebo</w:t>
            </w:r>
          </w:p>
        </w:tc>
        <w:tc>
          <w:tcPr>
            <w:tcW w:w="421" w:type="pct"/>
            <w:shd w:val="clear" w:color="auto" w:fill="auto"/>
          </w:tcPr>
          <w:p w:rsidR="006E712E" w:rsidRPr="006E712E" w:rsidRDefault="006E712E" w:rsidP="00BE332F">
            <w:pPr>
              <w:pStyle w:val="KMC-TableTxt"/>
              <w:spacing w:before="0" w:after="0"/>
              <w:jc w:val="center"/>
              <w:rPr>
                <w:b/>
                <w:sz w:val="18"/>
                <w:szCs w:val="18"/>
              </w:rPr>
            </w:pPr>
            <w:r w:rsidRPr="006E712E">
              <w:rPr>
                <w:b/>
                <w:sz w:val="18"/>
                <w:szCs w:val="18"/>
              </w:rPr>
              <w:t>Modafinil</w:t>
            </w:r>
          </w:p>
          <w:p w:rsidR="006E712E" w:rsidRPr="006E712E" w:rsidRDefault="006E712E" w:rsidP="00BE332F">
            <w:pPr>
              <w:pStyle w:val="KMC-TableTxt"/>
              <w:spacing w:before="0" w:after="0"/>
              <w:jc w:val="center"/>
              <w:rPr>
                <w:b/>
                <w:sz w:val="18"/>
                <w:szCs w:val="18"/>
              </w:rPr>
            </w:pPr>
            <w:r w:rsidRPr="006E712E">
              <w:rPr>
                <w:b/>
                <w:sz w:val="18"/>
                <w:szCs w:val="18"/>
              </w:rPr>
              <w:t>400 mg</w:t>
            </w:r>
          </w:p>
        </w:tc>
        <w:tc>
          <w:tcPr>
            <w:tcW w:w="421" w:type="pct"/>
            <w:shd w:val="clear" w:color="auto" w:fill="auto"/>
          </w:tcPr>
          <w:p w:rsidR="006E712E" w:rsidRPr="006E712E" w:rsidRDefault="006E712E" w:rsidP="00BE332F">
            <w:pPr>
              <w:pStyle w:val="KMC-TableTxt"/>
              <w:spacing w:before="0" w:after="0"/>
              <w:jc w:val="center"/>
              <w:rPr>
                <w:b/>
                <w:sz w:val="18"/>
                <w:szCs w:val="18"/>
              </w:rPr>
            </w:pPr>
            <w:r w:rsidRPr="006E712E">
              <w:rPr>
                <w:b/>
                <w:sz w:val="18"/>
                <w:szCs w:val="18"/>
              </w:rPr>
              <w:t>Modafinil</w:t>
            </w:r>
          </w:p>
          <w:p w:rsidR="006E712E" w:rsidRPr="006E712E" w:rsidRDefault="006E712E" w:rsidP="00BE332F">
            <w:pPr>
              <w:pStyle w:val="KMC-TableTxt"/>
              <w:spacing w:before="0" w:after="0"/>
              <w:jc w:val="center"/>
              <w:rPr>
                <w:b/>
                <w:sz w:val="18"/>
                <w:szCs w:val="18"/>
              </w:rPr>
            </w:pPr>
            <w:r w:rsidRPr="006E712E">
              <w:rPr>
                <w:b/>
                <w:sz w:val="18"/>
                <w:szCs w:val="18"/>
              </w:rPr>
              <w:t>200 mg</w:t>
            </w:r>
          </w:p>
        </w:tc>
        <w:tc>
          <w:tcPr>
            <w:tcW w:w="286" w:type="pct"/>
            <w:shd w:val="clear" w:color="auto" w:fill="auto"/>
          </w:tcPr>
          <w:p w:rsidR="006E712E" w:rsidRPr="006E712E" w:rsidRDefault="006E712E" w:rsidP="00BE332F">
            <w:pPr>
              <w:pStyle w:val="KMC-TableTxt"/>
              <w:spacing w:before="0" w:after="0"/>
              <w:jc w:val="center"/>
              <w:rPr>
                <w:b/>
                <w:sz w:val="18"/>
                <w:szCs w:val="18"/>
              </w:rPr>
            </w:pPr>
            <w:r w:rsidRPr="006E712E">
              <w:rPr>
                <w:b/>
                <w:sz w:val="18"/>
                <w:szCs w:val="18"/>
              </w:rPr>
              <w:t>Placebo</w:t>
            </w:r>
          </w:p>
        </w:tc>
      </w:tr>
      <w:tr w:rsidR="006E712E" w:rsidRPr="006E712E" w:rsidTr="006E712E">
        <w:tc>
          <w:tcPr>
            <w:tcW w:w="757" w:type="pct"/>
          </w:tcPr>
          <w:p w:rsidR="006E712E" w:rsidRPr="006E712E" w:rsidRDefault="006E712E" w:rsidP="00BE332F">
            <w:pPr>
              <w:pStyle w:val="TableBodyText"/>
              <w:spacing w:line="240" w:lineRule="auto"/>
              <w:rPr>
                <w:rFonts w:ascii="Arial Narrow" w:hAnsi="Arial Narrow"/>
                <w:sz w:val="18"/>
                <w:szCs w:val="18"/>
              </w:rPr>
            </w:pPr>
            <w:r w:rsidRPr="006E712E">
              <w:rPr>
                <w:rFonts w:ascii="Arial Narrow" w:hAnsi="Arial Narrow"/>
                <w:sz w:val="18"/>
                <w:szCs w:val="18"/>
              </w:rPr>
              <w:t>N</w:t>
            </w:r>
          </w:p>
        </w:tc>
        <w:tc>
          <w:tcPr>
            <w:tcW w:w="423" w:type="pct"/>
            <w:shd w:val="clear" w:color="auto" w:fill="auto"/>
          </w:tcPr>
          <w:p w:rsidR="006E712E" w:rsidRPr="006E712E" w:rsidRDefault="006E712E" w:rsidP="00BE332F">
            <w:pPr>
              <w:pStyle w:val="TableBodyText"/>
              <w:spacing w:line="240" w:lineRule="auto"/>
              <w:jc w:val="center"/>
              <w:rPr>
                <w:rFonts w:ascii="Arial Narrow" w:hAnsi="Arial Narrow"/>
                <w:sz w:val="18"/>
                <w:szCs w:val="18"/>
              </w:rPr>
            </w:pPr>
            <w:r w:rsidRPr="006E712E">
              <w:rPr>
                <w:rFonts w:ascii="Arial Narrow" w:hAnsi="Arial Narrow"/>
                <w:sz w:val="18"/>
                <w:szCs w:val="18"/>
              </w:rPr>
              <w:t>60</w:t>
            </w:r>
          </w:p>
        </w:tc>
        <w:tc>
          <w:tcPr>
            <w:tcW w:w="504" w:type="pct"/>
            <w:shd w:val="clear" w:color="auto" w:fill="auto"/>
          </w:tcPr>
          <w:p w:rsidR="006E712E" w:rsidRPr="006E712E" w:rsidRDefault="006E712E" w:rsidP="00BE332F">
            <w:pPr>
              <w:pStyle w:val="TableBodyText"/>
              <w:spacing w:line="240" w:lineRule="auto"/>
              <w:jc w:val="center"/>
              <w:rPr>
                <w:rFonts w:ascii="Arial Narrow" w:hAnsi="Arial Narrow" w:cs="CourierNew,Regular"/>
                <w:sz w:val="18"/>
                <w:szCs w:val="18"/>
              </w:rPr>
            </w:pPr>
            <w:r w:rsidRPr="006E712E">
              <w:rPr>
                <w:rFonts w:ascii="Arial Narrow" w:hAnsi="Arial Narrow" w:cs="CourierNew,Regular"/>
                <w:sz w:val="18"/>
                <w:szCs w:val="18"/>
              </w:rPr>
              <w:t>58</w:t>
            </w:r>
          </w:p>
        </w:tc>
        <w:tc>
          <w:tcPr>
            <w:tcW w:w="505" w:type="pct"/>
            <w:shd w:val="clear" w:color="auto" w:fill="auto"/>
          </w:tcPr>
          <w:p w:rsidR="006E712E" w:rsidRPr="006E712E" w:rsidRDefault="006E712E" w:rsidP="00BE332F">
            <w:pPr>
              <w:pStyle w:val="KMC-TableTxt"/>
              <w:spacing w:before="0" w:after="0"/>
              <w:jc w:val="center"/>
              <w:rPr>
                <w:sz w:val="18"/>
                <w:szCs w:val="18"/>
              </w:rPr>
            </w:pPr>
            <w:r w:rsidRPr="002E52F4">
              <w:rPr>
                <w:sz w:val="18"/>
                <w:szCs w:val="18"/>
              </w:rPr>
              <w:t>118</w:t>
            </w:r>
          </w:p>
        </w:tc>
        <w:tc>
          <w:tcPr>
            <w:tcW w:w="420" w:type="pct"/>
            <w:shd w:val="clear" w:color="auto" w:fill="auto"/>
          </w:tcPr>
          <w:p w:rsidR="006E712E" w:rsidRPr="006E712E" w:rsidRDefault="006E712E" w:rsidP="00BE332F">
            <w:pPr>
              <w:pStyle w:val="KMC-TableTxt"/>
              <w:spacing w:before="0" w:after="0"/>
              <w:jc w:val="center"/>
              <w:rPr>
                <w:sz w:val="18"/>
                <w:szCs w:val="18"/>
              </w:rPr>
            </w:pPr>
            <w:r w:rsidRPr="006E712E">
              <w:rPr>
                <w:sz w:val="18"/>
                <w:szCs w:val="18"/>
              </w:rPr>
              <w:t>58</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86</w:t>
            </w:r>
          </w:p>
        </w:tc>
        <w:tc>
          <w:tcPr>
            <w:tcW w:w="505" w:type="pct"/>
          </w:tcPr>
          <w:p w:rsidR="006E712E" w:rsidRPr="006E712E" w:rsidRDefault="006E712E" w:rsidP="00BE332F">
            <w:pPr>
              <w:pStyle w:val="KMC-TableTxt"/>
              <w:spacing w:before="0" w:after="0"/>
              <w:jc w:val="center"/>
              <w:rPr>
                <w:sz w:val="18"/>
                <w:szCs w:val="18"/>
              </w:rPr>
            </w:pPr>
            <w:r w:rsidRPr="006E712E">
              <w:rPr>
                <w:sz w:val="18"/>
                <w:szCs w:val="18"/>
              </w:rPr>
              <w:t>95</w:t>
            </w:r>
          </w:p>
        </w:tc>
        <w:tc>
          <w:tcPr>
            <w:tcW w:w="338" w:type="pct"/>
          </w:tcPr>
          <w:p w:rsidR="006E712E" w:rsidRPr="006E712E" w:rsidRDefault="006E712E" w:rsidP="00BE332F">
            <w:pPr>
              <w:pStyle w:val="KMC-TableTxt"/>
              <w:spacing w:before="0" w:after="0"/>
              <w:jc w:val="center"/>
              <w:rPr>
                <w:sz w:val="18"/>
                <w:szCs w:val="18"/>
              </w:rPr>
            </w:pPr>
            <w:r w:rsidRPr="006E712E">
              <w:rPr>
                <w:sz w:val="18"/>
                <w:szCs w:val="18"/>
              </w:rPr>
              <w:t>92</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86</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83</w:t>
            </w:r>
          </w:p>
        </w:tc>
        <w:tc>
          <w:tcPr>
            <w:tcW w:w="286" w:type="pct"/>
          </w:tcPr>
          <w:p w:rsidR="006E712E" w:rsidRPr="006E712E" w:rsidRDefault="006E712E" w:rsidP="00BE332F">
            <w:pPr>
              <w:pStyle w:val="KMC-TableTxt"/>
              <w:spacing w:before="0" w:after="0"/>
              <w:jc w:val="center"/>
              <w:rPr>
                <w:sz w:val="18"/>
                <w:szCs w:val="18"/>
              </w:rPr>
            </w:pPr>
            <w:r w:rsidRPr="006E712E">
              <w:rPr>
                <w:sz w:val="18"/>
                <w:szCs w:val="18"/>
              </w:rPr>
              <w:t>88</w:t>
            </w:r>
          </w:p>
        </w:tc>
      </w:tr>
      <w:tr w:rsidR="006E712E" w:rsidRPr="006E712E" w:rsidTr="006E712E">
        <w:tc>
          <w:tcPr>
            <w:tcW w:w="757" w:type="pct"/>
          </w:tcPr>
          <w:p w:rsidR="006E712E" w:rsidRPr="006E712E" w:rsidRDefault="006E712E" w:rsidP="00BE332F">
            <w:pPr>
              <w:pStyle w:val="TableBodyText"/>
              <w:spacing w:line="240" w:lineRule="auto"/>
              <w:rPr>
                <w:rFonts w:ascii="Arial Narrow" w:hAnsi="Arial Narrow"/>
                <w:sz w:val="18"/>
                <w:szCs w:val="18"/>
              </w:rPr>
            </w:pPr>
            <w:r w:rsidRPr="006E712E">
              <w:rPr>
                <w:rFonts w:ascii="Arial Narrow" w:hAnsi="Arial Narrow"/>
                <w:sz w:val="18"/>
                <w:szCs w:val="18"/>
              </w:rPr>
              <w:t>Baseline MWT, mean (SD), mins</w:t>
            </w:r>
          </w:p>
        </w:tc>
        <w:tc>
          <w:tcPr>
            <w:tcW w:w="423" w:type="pct"/>
            <w:shd w:val="clear" w:color="auto" w:fill="auto"/>
          </w:tcPr>
          <w:p w:rsidR="006E712E" w:rsidRPr="006E712E" w:rsidRDefault="006E712E" w:rsidP="00BE332F">
            <w:pPr>
              <w:pStyle w:val="KMC-TableTxt"/>
              <w:spacing w:before="0" w:after="0"/>
              <w:jc w:val="center"/>
              <w:rPr>
                <w:sz w:val="18"/>
                <w:szCs w:val="18"/>
              </w:rPr>
            </w:pPr>
            <w:r w:rsidRPr="006E712E">
              <w:rPr>
                <w:sz w:val="18"/>
                <w:szCs w:val="18"/>
              </w:rPr>
              <w:t>9.5 (6.1)</w:t>
            </w:r>
          </w:p>
        </w:tc>
        <w:tc>
          <w:tcPr>
            <w:tcW w:w="504" w:type="pct"/>
            <w:shd w:val="clear" w:color="auto" w:fill="auto"/>
          </w:tcPr>
          <w:p w:rsidR="006E712E" w:rsidRPr="006E712E" w:rsidRDefault="006E712E" w:rsidP="00BE332F">
            <w:pPr>
              <w:pStyle w:val="KMC-TableTxt"/>
              <w:spacing w:before="0" w:after="0"/>
              <w:jc w:val="center"/>
              <w:rPr>
                <w:sz w:val="18"/>
                <w:szCs w:val="18"/>
              </w:rPr>
            </w:pPr>
            <w:r w:rsidRPr="006E712E">
              <w:rPr>
                <w:sz w:val="18"/>
                <w:szCs w:val="18"/>
              </w:rPr>
              <w:t>12.1 (6.6)</w:t>
            </w:r>
          </w:p>
        </w:tc>
        <w:tc>
          <w:tcPr>
            <w:tcW w:w="505" w:type="pct"/>
            <w:shd w:val="clear" w:color="auto" w:fill="auto"/>
          </w:tcPr>
          <w:p w:rsidR="006E712E" w:rsidRPr="006E712E" w:rsidRDefault="006E712E" w:rsidP="00BE332F">
            <w:pPr>
              <w:pStyle w:val="KMC-TableTxt"/>
              <w:spacing w:before="0" w:after="0"/>
              <w:jc w:val="center"/>
              <w:rPr>
                <w:sz w:val="18"/>
                <w:szCs w:val="18"/>
              </w:rPr>
            </w:pPr>
            <w:r w:rsidRPr="002E52F4">
              <w:rPr>
                <w:sz w:val="18"/>
                <w:szCs w:val="18"/>
              </w:rPr>
              <w:t>10.8 (6.4)</w:t>
            </w:r>
          </w:p>
        </w:tc>
        <w:tc>
          <w:tcPr>
            <w:tcW w:w="420" w:type="pct"/>
            <w:shd w:val="clear" w:color="auto" w:fill="auto"/>
          </w:tcPr>
          <w:p w:rsidR="006E712E" w:rsidRPr="006E712E" w:rsidRDefault="006E712E" w:rsidP="00BE332F">
            <w:pPr>
              <w:pStyle w:val="KMC-TableTxt"/>
              <w:spacing w:before="0" w:after="0"/>
              <w:jc w:val="center"/>
              <w:rPr>
                <w:sz w:val="18"/>
                <w:szCs w:val="18"/>
              </w:rPr>
            </w:pPr>
            <w:r w:rsidRPr="006E712E">
              <w:rPr>
                <w:sz w:val="18"/>
                <w:szCs w:val="18"/>
              </w:rPr>
              <w:t>12.5 (6.6)</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6.6 (5.2)</w:t>
            </w:r>
          </w:p>
        </w:tc>
        <w:tc>
          <w:tcPr>
            <w:tcW w:w="505" w:type="pct"/>
          </w:tcPr>
          <w:p w:rsidR="006E712E" w:rsidRPr="006E712E" w:rsidRDefault="006E712E" w:rsidP="00BE332F">
            <w:pPr>
              <w:pStyle w:val="KMC-TableTxt"/>
              <w:spacing w:before="0" w:after="0"/>
              <w:jc w:val="center"/>
              <w:rPr>
                <w:sz w:val="18"/>
                <w:szCs w:val="18"/>
              </w:rPr>
            </w:pPr>
            <w:r w:rsidRPr="006E712E">
              <w:rPr>
                <w:sz w:val="18"/>
                <w:szCs w:val="18"/>
              </w:rPr>
              <w:t>5.8 (5.0)</w:t>
            </w:r>
          </w:p>
        </w:tc>
        <w:tc>
          <w:tcPr>
            <w:tcW w:w="338" w:type="pct"/>
          </w:tcPr>
          <w:p w:rsidR="006E712E" w:rsidRPr="006E712E" w:rsidRDefault="006E712E" w:rsidP="00BE332F">
            <w:pPr>
              <w:pStyle w:val="KMC-TableTxt"/>
              <w:spacing w:before="0" w:after="0"/>
              <w:jc w:val="center"/>
              <w:rPr>
                <w:sz w:val="18"/>
                <w:szCs w:val="18"/>
              </w:rPr>
            </w:pPr>
            <w:r w:rsidRPr="006E712E">
              <w:rPr>
                <w:sz w:val="18"/>
                <w:szCs w:val="18"/>
              </w:rPr>
              <w:t>5.8 (4.7)</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5.9 (4.4)</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6.1 (4.9)</w:t>
            </w:r>
          </w:p>
        </w:tc>
        <w:tc>
          <w:tcPr>
            <w:tcW w:w="286" w:type="pct"/>
          </w:tcPr>
          <w:p w:rsidR="006E712E" w:rsidRPr="006E712E" w:rsidRDefault="006E712E" w:rsidP="00BE332F">
            <w:pPr>
              <w:pStyle w:val="KMC-TableTxt"/>
              <w:spacing w:before="0" w:after="0"/>
              <w:jc w:val="center"/>
              <w:rPr>
                <w:sz w:val="18"/>
                <w:szCs w:val="18"/>
              </w:rPr>
            </w:pPr>
            <w:r w:rsidRPr="006E712E">
              <w:rPr>
                <w:sz w:val="18"/>
                <w:szCs w:val="18"/>
              </w:rPr>
              <w:t>6.0 (5.0)</w:t>
            </w:r>
          </w:p>
        </w:tc>
      </w:tr>
      <w:tr w:rsidR="006E712E" w:rsidRPr="006E712E" w:rsidTr="006E712E">
        <w:tc>
          <w:tcPr>
            <w:tcW w:w="757" w:type="pct"/>
          </w:tcPr>
          <w:p w:rsidR="006E712E" w:rsidRPr="006E712E" w:rsidRDefault="006E712E" w:rsidP="00BE332F">
            <w:pPr>
              <w:pStyle w:val="TableBodyText"/>
              <w:spacing w:line="240" w:lineRule="auto"/>
              <w:rPr>
                <w:rFonts w:ascii="Arial Narrow" w:hAnsi="Arial Narrow"/>
                <w:sz w:val="18"/>
                <w:szCs w:val="18"/>
              </w:rPr>
            </w:pPr>
            <w:r w:rsidRPr="006E712E">
              <w:rPr>
                <w:rFonts w:ascii="Arial Narrow" w:hAnsi="Arial Narrow"/>
                <w:sz w:val="18"/>
                <w:szCs w:val="18"/>
              </w:rPr>
              <w:t>Endpoint MWT,</w:t>
            </w:r>
          </w:p>
          <w:p w:rsidR="006E712E" w:rsidRPr="006E712E" w:rsidRDefault="006E712E" w:rsidP="00BE332F">
            <w:pPr>
              <w:pStyle w:val="TableBodyText"/>
              <w:spacing w:line="240" w:lineRule="auto"/>
              <w:rPr>
                <w:rFonts w:ascii="Arial Narrow" w:hAnsi="Arial Narrow"/>
                <w:sz w:val="18"/>
                <w:szCs w:val="18"/>
              </w:rPr>
            </w:pPr>
            <w:r w:rsidRPr="006E712E">
              <w:rPr>
                <w:rFonts w:ascii="Arial Narrow" w:hAnsi="Arial Narrow"/>
                <w:sz w:val="18"/>
                <w:szCs w:val="18"/>
              </w:rPr>
              <w:t>mean (SD), mins</w:t>
            </w:r>
          </w:p>
        </w:tc>
        <w:tc>
          <w:tcPr>
            <w:tcW w:w="423" w:type="pct"/>
          </w:tcPr>
          <w:p w:rsidR="006E712E" w:rsidRPr="006E712E" w:rsidRDefault="006E712E" w:rsidP="00BE332F">
            <w:pPr>
              <w:pStyle w:val="KMC-TableTxt"/>
              <w:spacing w:before="0" w:after="0"/>
              <w:jc w:val="center"/>
              <w:rPr>
                <w:sz w:val="18"/>
                <w:szCs w:val="18"/>
              </w:rPr>
            </w:pPr>
            <w:r w:rsidRPr="006E712E">
              <w:rPr>
                <w:sz w:val="18"/>
                <w:szCs w:val="18"/>
              </w:rPr>
              <w:t>12.1 (6.3)</w:t>
            </w:r>
          </w:p>
        </w:tc>
        <w:tc>
          <w:tcPr>
            <w:tcW w:w="504" w:type="pct"/>
            <w:shd w:val="clear" w:color="auto" w:fill="auto"/>
          </w:tcPr>
          <w:p w:rsidR="006E712E" w:rsidRPr="006E712E" w:rsidRDefault="006E712E" w:rsidP="00BE332F">
            <w:pPr>
              <w:pStyle w:val="KMC-TableTxt"/>
              <w:spacing w:before="0" w:after="0"/>
              <w:jc w:val="center"/>
              <w:rPr>
                <w:sz w:val="18"/>
                <w:szCs w:val="18"/>
              </w:rPr>
            </w:pPr>
            <w:r w:rsidRPr="006E712E">
              <w:rPr>
                <w:sz w:val="18"/>
                <w:szCs w:val="18"/>
              </w:rPr>
              <w:t>13.3 (6.3)</w:t>
            </w:r>
          </w:p>
        </w:tc>
        <w:tc>
          <w:tcPr>
            <w:tcW w:w="505" w:type="pct"/>
            <w:shd w:val="clear" w:color="auto" w:fill="auto"/>
          </w:tcPr>
          <w:p w:rsidR="006E712E" w:rsidRPr="006E712E" w:rsidRDefault="006E712E" w:rsidP="00BE332F">
            <w:pPr>
              <w:pStyle w:val="KMC-TableTxt"/>
              <w:spacing w:before="0" w:after="0"/>
              <w:jc w:val="center"/>
              <w:rPr>
                <w:sz w:val="18"/>
                <w:szCs w:val="18"/>
              </w:rPr>
            </w:pPr>
            <w:r w:rsidRPr="002E52F4">
              <w:rPr>
                <w:sz w:val="18"/>
                <w:szCs w:val="18"/>
              </w:rPr>
              <w:t>12.7 (6.3)</w:t>
            </w:r>
          </w:p>
        </w:tc>
        <w:tc>
          <w:tcPr>
            <w:tcW w:w="420" w:type="pct"/>
            <w:shd w:val="clear" w:color="auto" w:fill="auto"/>
          </w:tcPr>
          <w:p w:rsidR="006E712E" w:rsidRPr="006E712E" w:rsidRDefault="006E712E" w:rsidP="00BE332F">
            <w:pPr>
              <w:pStyle w:val="KMC-TableTxt"/>
              <w:spacing w:before="0" w:after="0"/>
              <w:jc w:val="center"/>
              <w:rPr>
                <w:sz w:val="18"/>
                <w:szCs w:val="18"/>
              </w:rPr>
            </w:pPr>
            <w:r w:rsidRPr="006E712E">
              <w:rPr>
                <w:sz w:val="18"/>
                <w:szCs w:val="18"/>
              </w:rPr>
              <w:t>10.7 (6.6)</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8.9 (6.3)</w:t>
            </w:r>
          </w:p>
        </w:tc>
        <w:tc>
          <w:tcPr>
            <w:tcW w:w="505" w:type="pct"/>
          </w:tcPr>
          <w:p w:rsidR="006E712E" w:rsidRPr="006E712E" w:rsidRDefault="006E712E" w:rsidP="00BE332F">
            <w:pPr>
              <w:pStyle w:val="KMC-TableTxt"/>
              <w:spacing w:before="0" w:after="0"/>
              <w:jc w:val="center"/>
              <w:rPr>
                <w:sz w:val="18"/>
                <w:szCs w:val="18"/>
              </w:rPr>
            </w:pPr>
            <w:r w:rsidRPr="006E712E">
              <w:rPr>
                <w:sz w:val="18"/>
                <w:szCs w:val="18"/>
              </w:rPr>
              <w:t>8.2 (6.2)</w:t>
            </w:r>
          </w:p>
        </w:tc>
        <w:tc>
          <w:tcPr>
            <w:tcW w:w="338" w:type="pct"/>
          </w:tcPr>
          <w:p w:rsidR="006E712E" w:rsidRPr="006E712E" w:rsidRDefault="006E712E" w:rsidP="00BE332F">
            <w:pPr>
              <w:pStyle w:val="KMC-TableTxt"/>
              <w:spacing w:before="0" w:after="0"/>
              <w:jc w:val="center"/>
              <w:rPr>
                <w:sz w:val="18"/>
                <w:szCs w:val="18"/>
              </w:rPr>
            </w:pPr>
            <w:r w:rsidRPr="006E712E">
              <w:rPr>
                <w:sz w:val="18"/>
                <w:szCs w:val="18"/>
              </w:rPr>
              <w:t>5.1 (4.7)</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7.9 (5.3)</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8.3 (5.9)</w:t>
            </w:r>
          </w:p>
        </w:tc>
        <w:tc>
          <w:tcPr>
            <w:tcW w:w="286" w:type="pct"/>
          </w:tcPr>
          <w:p w:rsidR="006E712E" w:rsidRPr="006E712E" w:rsidRDefault="006E712E" w:rsidP="00BE332F">
            <w:pPr>
              <w:pStyle w:val="KMC-TableTxt"/>
              <w:spacing w:before="0" w:after="0"/>
              <w:jc w:val="center"/>
              <w:rPr>
                <w:sz w:val="18"/>
                <w:szCs w:val="18"/>
              </w:rPr>
            </w:pPr>
            <w:r w:rsidRPr="006E712E">
              <w:rPr>
                <w:sz w:val="18"/>
                <w:szCs w:val="18"/>
              </w:rPr>
              <w:t>5.3 (4.5)</w:t>
            </w:r>
          </w:p>
        </w:tc>
      </w:tr>
      <w:tr w:rsidR="006E712E" w:rsidRPr="006E712E" w:rsidTr="006E712E">
        <w:tc>
          <w:tcPr>
            <w:tcW w:w="757" w:type="pct"/>
          </w:tcPr>
          <w:p w:rsidR="006E712E" w:rsidRPr="006E712E" w:rsidRDefault="006E712E" w:rsidP="00BE332F">
            <w:pPr>
              <w:pStyle w:val="TableBodyText"/>
              <w:spacing w:line="240" w:lineRule="auto"/>
              <w:rPr>
                <w:rFonts w:ascii="Arial Narrow" w:hAnsi="Arial Narrow"/>
                <w:sz w:val="18"/>
                <w:szCs w:val="18"/>
              </w:rPr>
            </w:pPr>
            <w:r w:rsidRPr="006E712E">
              <w:rPr>
                <w:rFonts w:ascii="Arial Narrow" w:hAnsi="Arial Narrow"/>
                <w:sz w:val="18"/>
                <w:szCs w:val="18"/>
              </w:rPr>
              <w:t xml:space="preserve">Change from baseline to endpoint, </w:t>
            </w:r>
          </w:p>
          <w:p w:rsidR="006E712E" w:rsidRPr="006E712E" w:rsidRDefault="006E712E" w:rsidP="00BE332F">
            <w:pPr>
              <w:pStyle w:val="TableBodyText"/>
              <w:spacing w:line="240" w:lineRule="auto"/>
              <w:rPr>
                <w:rFonts w:ascii="Arial Narrow" w:hAnsi="Arial Narrow"/>
                <w:sz w:val="18"/>
                <w:szCs w:val="18"/>
              </w:rPr>
            </w:pPr>
            <w:r w:rsidRPr="006E712E">
              <w:rPr>
                <w:rFonts w:ascii="Arial Narrow" w:hAnsi="Arial Narrow"/>
                <w:sz w:val="18"/>
                <w:szCs w:val="18"/>
              </w:rPr>
              <w:t>mean (SD), mins</w:t>
            </w:r>
          </w:p>
        </w:tc>
        <w:tc>
          <w:tcPr>
            <w:tcW w:w="423" w:type="pct"/>
          </w:tcPr>
          <w:p w:rsidR="006E712E" w:rsidRPr="006E712E" w:rsidRDefault="006E712E" w:rsidP="00BE332F">
            <w:pPr>
              <w:pStyle w:val="KMC-TableTxt"/>
              <w:spacing w:before="0" w:after="0"/>
              <w:jc w:val="center"/>
              <w:rPr>
                <w:sz w:val="18"/>
                <w:szCs w:val="18"/>
              </w:rPr>
            </w:pPr>
            <w:r w:rsidRPr="006E712E">
              <w:rPr>
                <w:sz w:val="18"/>
                <w:szCs w:val="18"/>
              </w:rPr>
              <w:t>2.6 (6.2)</w:t>
            </w:r>
          </w:p>
        </w:tc>
        <w:tc>
          <w:tcPr>
            <w:tcW w:w="504" w:type="pct"/>
            <w:shd w:val="clear" w:color="auto" w:fill="auto"/>
          </w:tcPr>
          <w:p w:rsidR="006E712E" w:rsidRPr="006E712E" w:rsidRDefault="006E712E" w:rsidP="00BE332F">
            <w:pPr>
              <w:pStyle w:val="KMC-TableTxt"/>
              <w:spacing w:before="0" w:after="0"/>
              <w:jc w:val="center"/>
              <w:rPr>
                <w:sz w:val="18"/>
                <w:szCs w:val="18"/>
              </w:rPr>
            </w:pPr>
            <w:r w:rsidRPr="006E712E">
              <w:rPr>
                <w:sz w:val="18"/>
                <w:szCs w:val="18"/>
              </w:rPr>
              <w:t>1.3 (6.3)</w:t>
            </w:r>
          </w:p>
        </w:tc>
        <w:tc>
          <w:tcPr>
            <w:tcW w:w="505" w:type="pct"/>
            <w:shd w:val="clear" w:color="auto" w:fill="auto"/>
          </w:tcPr>
          <w:p w:rsidR="006E712E" w:rsidRPr="006E712E" w:rsidRDefault="006E712E" w:rsidP="00BE332F">
            <w:pPr>
              <w:pStyle w:val="KMC-TableTxt"/>
              <w:spacing w:before="0" w:after="0"/>
              <w:jc w:val="center"/>
              <w:rPr>
                <w:sz w:val="18"/>
                <w:szCs w:val="18"/>
              </w:rPr>
            </w:pPr>
            <w:r w:rsidRPr="002E52F4">
              <w:rPr>
                <w:sz w:val="18"/>
                <w:szCs w:val="18"/>
              </w:rPr>
              <w:t>1.9 (6.28)</w:t>
            </w:r>
          </w:p>
        </w:tc>
        <w:tc>
          <w:tcPr>
            <w:tcW w:w="420" w:type="pct"/>
            <w:shd w:val="clear" w:color="auto" w:fill="auto"/>
          </w:tcPr>
          <w:p w:rsidR="006E712E" w:rsidRPr="006E712E" w:rsidRDefault="006E712E" w:rsidP="00BE332F">
            <w:pPr>
              <w:pStyle w:val="KMC-TableTxt"/>
              <w:spacing w:before="0" w:after="0"/>
              <w:jc w:val="center"/>
              <w:rPr>
                <w:sz w:val="18"/>
                <w:szCs w:val="18"/>
              </w:rPr>
            </w:pPr>
            <w:r w:rsidRPr="006E712E">
              <w:rPr>
                <w:sz w:val="18"/>
                <w:szCs w:val="18"/>
              </w:rPr>
              <w:t>–1.9 (6.9)</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2.3 (4.9)</w:t>
            </w:r>
          </w:p>
        </w:tc>
        <w:tc>
          <w:tcPr>
            <w:tcW w:w="505" w:type="pct"/>
          </w:tcPr>
          <w:p w:rsidR="006E712E" w:rsidRPr="006E712E" w:rsidRDefault="006E712E" w:rsidP="00BE332F">
            <w:pPr>
              <w:pStyle w:val="KMC-TableTxt"/>
              <w:spacing w:before="0" w:after="0"/>
              <w:jc w:val="center"/>
              <w:rPr>
                <w:sz w:val="18"/>
                <w:szCs w:val="18"/>
              </w:rPr>
            </w:pPr>
            <w:r w:rsidRPr="006E712E">
              <w:rPr>
                <w:sz w:val="18"/>
                <w:szCs w:val="18"/>
              </w:rPr>
              <w:t>2.3 (4.7)</w:t>
            </w:r>
          </w:p>
        </w:tc>
        <w:tc>
          <w:tcPr>
            <w:tcW w:w="338" w:type="pct"/>
          </w:tcPr>
          <w:p w:rsidR="006E712E" w:rsidRPr="006E712E" w:rsidRDefault="006E712E" w:rsidP="00BE332F">
            <w:pPr>
              <w:pStyle w:val="KMC-TableTxt"/>
              <w:spacing w:before="0" w:after="0"/>
              <w:jc w:val="center"/>
              <w:rPr>
                <w:sz w:val="18"/>
                <w:szCs w:val="18"/>
              </w:rPr>
            </w:pPr>
            <w:r w:rsidRPr="006E712E">
              <w:rPr>
                <w:sz w:val="18"/>
                <w:szCs w:val="18"/>
              </w:rPr>
              <w:t>–0.7 (4.6)</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2.0 (4.8)</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2.2 (4.5)</w:t>
            </w:r>
          </w:p>
        </w:tc>
        <w:tc>
          <w:tcPr>
            <w:tcW w:w="286" w:type="pct"/>
          </w:tcPr>
          <w:p w:rsidR="006E712E" w:rsidRPr="006E712E" w:rsidRDefault="006E712E" w:rsidP="00BE332F">
            <w:pPr>
              <w:pStyle w:val="KMC-TableTxt"/>
              <w:spacing w:before="0" w:after="0"/>
              <w:jc w:val="center"/>
              <w:rPr>
                <w:sz w:val="18"/>
                <w:szCs w:val="18"/>
              </w:rPr>
            </w:pPr>
            <w:r w:rsidRPr="006E712E">
              <w:rPr>
                <w:sz w:val="18"/>
                <w:szCs w:val="18"/>
              </w:rPr>
              <w:t>–0.7 (4.2)</w:t>
            </w:r>
          </w:p>
        </w:tc>
      </w:tr>
      <w:tr w:rsidR="006E712E" w:rsidRPr="006E712E" w:rsidTr="006E712E">
        <w:tc>
          <w:tcPr>
            <w:tcW w:w="757" w:type="pct"/>
          </w:tcPr>
          <w:p w:rsidR="006E712E" w:rsidRPr="006E712E" w:rsidRDefault="006E712E" w:rsidP="00BE332F">
            <w:pPr>
              <w:pStyle w:val="TableBodyText"/>
              <w:spacing w:line="240" w:lineRule="auto"/>
              <w:rPr>
                <w:rFonts w:ascii="Arial Narrow" w:hAnsi="Arial Narrow"/>
                <w:sz w:val="18"/>
                <w:szCs w:val="18"/>
              </w:rPr>
            </w:pPr>
            <w:r w:rsidRPr="006E712E">
              <w:rPr>
                <w:rFonts w:ascii="Arial Narrow" w:hAnsi="Arial Narrow"/>
                <w:sz w:val="18"/>
                <w:szCs w:val="18"/>
              </w:rPr>
              <w:t>p-value vs. placebo</w:t>
            </w:r>
          </w:p>
        </w:tc>
        <w:tc>
          <w:tcPr>
            <w:tcW w:w="423" w:type="pct"/>
          </w:tcPr>
          <w:p w:rsidR="006E712E" w:rsidRPr="006E712E" w:rsidRDefault="006E712E" w:rsidP="00BE332F">
            <w:pPr>
              <w:pStyle w:val="KMC-TableTxt"/>
              <w:spacing w:before="0" w:after="0"/>
              <w:jc w:val="center"/>
              <w:rPr>
                <w:sz w:val="18"/>
                <w:szCs w:val="18"/>
              </w:rPr>
            </w:pPr>
            <w:r w:rsidRPr="006E712E">
              <w:rPr>
                <w:sz w:val="18"/>
                <w:szCs w:val="18"/>
              </w:rPr>
              <w:t>0.0099</w:t>
            </w:r>
          </w:p>
        </w:tc>
        <w:tc>
          <w:tcPr>
            <w:tcW w:w="504" w:type="pct"/>
            <w:shd w:val="clear" w:color="auto" w:fill="auto"/>
          </w:tcPr>
          <w:p w:rsidR="006E712E" w:rsidRPr="006E712E" w:rsidRDefault="006E712E" w:rsidP="00BE332F">
            <w:pPr>
              <w:pStyle w:val="KMC-TableTxt"/>
              <w:spacing w:before="0" w:after="0"/>
              <w:jc w:val="center"/>
              <w:rPr>
                <w:sz w:val="18"/>
                <w:szCs w:val="18"/>
              </w:rPr>
            </w:pPr>
            <w:r w:rsidRPr="006E712E">
              <w:rPr>
                <w:sz w:val="18"/>
                <w:szCs w:val="18"/>
              </w:rPr>
              <w:t>0.0068</w:t>
            </w:r>
          </w:p>
        </w:tc>
        <w:tc>
          <w:tcPr>
            <w:tcW w:w="505" w:type="pct"/>
            <w:shd w:val="clear" w:color="auto" w:fill="auto"/>
          </w:tcPr>
          <w:p w:rsidR="006E712E" w:rsidRPr="006E712E" w:rsidRDefault="006E712E" w:rsidP="00BE332F">
            <w:pPr>
              <w:pStyle w:val="KMC-TableTxt"/>
              <w:spacing w:before="0" w:after="0"/>
              <w:jc w:val="center"/>
              <w:rPr>
                <w:sz w:val="18"/>
                <w:szCs w:val="18"/>
              </w:rPr>
            </w:pPr>
            <w:r w:rsidRPr="002E52F4">
              <w:rPr>
                <w:sz w:val="18"/>
                <w:szCs w:val="18"/>
              </w:rPr>
              <w:t>0.0024</w:t>
            </w:r>
          </w:p>
        </w:tc>
        <w:tc>
          <w:tcPr>
            <w:tcW w:w="420" w:type="pct"/>
            <w:shd w:val="clear" w:color="auto" w:fill="auto"/>
          </w:tcPr>
          <w:p w:rsidR="006E712E" w:rsidRPr="006E712E" w:rsidRDefault="006E712E" w:rsidP="00BE332F">
            <w:pPr>
              <w:pStyle w:val="KMC-TableTxt"/>
              <w:spacing w:before="0" w:after="0"/>
              <w:jc w:val="center"/>
              <w:rPr>
                <w:sz w:val="18"/>
                <w:szCs w:val="18"/>
              </w:rPr>
            </w:pP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&lt;0.001</w:t>
            </w:r>
          </w:p>
        </w:tc>
        <w:tc>
          <w:tcPr>
            <w:tcW w:w="505" w:type="pct"/>
          </w:tcPr>
          <w:p w:rsidR="006E712E" w:rsidRPr="006E712E" w:rsidRDefault="006E712E" w:rsidP="00BE332F">
            <w:pPr>
              <w:pStyle w:val="KMC-TableTxt"/>
              <w:spacing w:before="0" w:after="0"/>
              <w:jc w:val="center"/>
              <w:rPr>
                <w:sz w:val="18"/>
                <w:szCs w:val="18"/>
              </w:rPr>
            </w:pPr>
            <w:r w:rsidRPr="006E712E">
              <w:rPr>
                <w:sz w:val="18"/>
                <w:szCs w:val="18"/>
              </w:rPr>
              <w:t>&lt;0.001</w:t>
            </w:r>
          </w:p>
        </w:tc>
        <w:tc>
          <w:tcPr>
            <w:tcW w:w="338" w:type="pct"/>
          </w:tcPr>
          <w:p w:rsidR="006E712E" w:rsidRPr="006E712E" w:rsidRDefault="006E712E" w:rsidP="00BE332F">
            <w:pPr>
              <w:pStyle w:val="KMC-TableTxt"/>
              <w:spacing w:before="0" w:after="0"/>
              <w:jc w:val="center"/>
              <w:rPr>
                <w:sz w:val="18"/>
                <w:szCs w:val="18"/>
              </w:rPr>
            </w:pP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&lt;0.001</w:t>
            </w:r>
          </w:p>
        </w:tc>
        <w:tc>
          <w:tcPr>
            <w:tcW w:w="421" w:type="pct"/>
          </w:tcPr>
          <w:p w:rsidR="006E712E" w:rsidRPr="006E712E" w:rsidRDefault="006E712E" w:rsidP="00BE332F">
            <w:pPr>
              <w:pStyle w:val="KMC-TableTxt"/>
              <w:spacing w:before="0" w:after="0"/>
              <w:jc w:val="center"/>
              <w:rPr>
                <w:sz w:val="18"/>
                <w:szCs w:val="18"/>
              </w:rPr>
            </w:pPr>
            <w:r w:rsidRPr="006E712E">
              <w:rPr>
                <w:sz w:val="18"/>
                <w:szCs w:val="18"/>
              </w:rPr>
              <w:t>&lt;0.001</w:t>
            </w:r>
          </w:p>
        </w:tc>
        <w:tc>
          <w:tcPr>
            <w:tcW w:w="286" w:type="pct"/>
          </w:tcPr>
          <w:p w:rsidR="006E712E" w:rsidRPr="006E712E" w:rsidRDefault="006E712E" w:rsidP="00BE332F">
            <w:pPr>
              <w:pStyle w:val="KMC-TableTxt"/>
              <w:spacing w:before="0" w:after="0"/>
              <w:jc w:val="center"/>
              <w:rPr>
                <w:sz w:val="18"/>
                <w:szCs w:val="18"/>
              </w:rPr>
            </w:pPr>
          </w:p>
        </w:tc>
      </w:tr>
    </w:tbl>
    <w:p w:rsidR="006E712E" w:rsidRPr="006E712E" w:rsidRDefault="006E712E" w:rsidP="006E712E">
      <w:pPr>
        <w:pStyle w:val="KMC-Tablefootnote"/>
        <w:spacing w:before="0" w:after="0"/>
        <w:ind w:left="720"/>
        <w:rPr>
          <w:rFonts w:ascii="Arial Narrow" w:hAnsi="Arial Narrow"/>
          <w:sz w:val="18"/>
        </w:rPr>
      </w:pPr>
      <w:r w:rsidRPr="006E712E">
        <w:rPr>
          <w:sz w:val="18"/>
          <w:vertAlign w:val="superscript"/>
        </w:rPr>
        <w:t xml:space="preserve">§ </w:t>
      </w:r>
      <w:r w:rsidRPr="006E712E">
        <w:rPr>
          <w:rFonts w:ascii="Arial Narrow" w:hAnsi="Arial Narrow"/>
          <w:sz w:val="18"/>
        </w:rPr>
        <w:t>Armodafinil - average of 4 naps at 09:00, 11:00, 13:00 and 15:00.  Modafinil – average of 4 naps at 08.00, 10.00, 12.00, 14.00. MWT = maintenance of wakefulness test; mins = minutes; SD = standard deviation</w:t>
      </w:r>
    </w:p>
    <w:p w:rsidR="006E712E" w:rsidRPr="006E712E" w:rsidRDefault="006E712E" w:rsidP="006E712E">
      <w:pPr>
        <w:pStyle w:val="KMC-Tablefootnote"/>
        <w:spacing w:before="0" w:after="0"/>
        <w:ind w:firstLine="720"/>
        <w:rPr>
          <w:rFonts w:ascii="Arial Narrow" w:hAnsi="Arial Narrow"/>
          <w:sz w:val="18"/>
        </w:rPr>
      </w:pPr>
      <w:r w:rsidRPr="006E712E">
        <w:rPr>
          <w:rFonts w:ascii="Arial Narrow" w:hAnsi="Arial Narrow"/>
          <w:sz w:val="18"/>
        </w:rPr>
        <w:t>Source: Table B.6.2, p77 of Section B of the submission.</w:t>
      </w:r>
    </w:p>
    <w:p w:rsidR="005C2F05" w:rsidRPr="006E712E" w:rsidRDefault="005C2F05" w:rsidP="006E712E">
      <w:pPr>
        <w:rPr>
          <w:szCs w:val="22"/>
        </w:rPr>
      </w:pPr>
    </w:p>
    <w:p w:rsidR="00713488" w:rsidRPr="00A10267" w:rsidRDefault="00713488" w:rsidP="00713488">
      <w:pPr>
        <w:pStyle w:val="ListParagraph"/>
        <w:widowControl/>
        <w:numPr>
          <w:ilvl w:val="1"/>
          <w:numId w:val="10"/>
        </w:numPr>
        <w:rPr>
          <w:szCs w:val="22"/>
        </w:rPr>
      </w:pPr>
      <w:r w:rsidRPr="00A10267">
        <w:t>As noted earlier, there is uncertainty regarding the clinical meaningfulness of the “non-inferiority margins” used in the submission in the context of</w:t>
      </w:r>
      <w:r w:rsidR="003F2DC3">
        <w:t xml:space="preserve"> the</w:t>
      </w:r>
      <w:r w:rsidRPr="00A10267">
        <w:t xml:space="preserve"> indirect comparison. </w:t>
      </w:r>
    </w:p>
    <w:p w:rsidR="00713488" w:rsidRPr="00913E3A" w:rsidRDefault="00713488" w:rsidP="00713488">
      <w:pPr>
        <w:pStyle w:val="ListParagraph"/>
        <w:widowControl/>
        <w:rPr>
          <w:szCs w:val="22"/>
        </w:rPr>
      </w:pPr>
    </w:p>
    <w:p w:rsidR="00713488" w:rsidRPr="00A10267" w:rsidRDefault="00713488" w:rsidP="00713488">
      <w:pPr>
        <w:pStyle w:val="ListParagraph"/>
        <w:widowControl/>
        <w:numPr>
          <w:ilvl w:val="1"/>
          <w:numId w:val="10"/>
        </w:numPr>
        <w:rPr>
          <w:szCs w:val="22"/>
        </w:rPr>
      </w:pPr>
      <w:r w:rsidRPr="00A10267">
        <w:t>There were concerns regarding the applicability of the indirect comparisons and their interpretation:</w:t>
      </w:r>
    </w:p>
    <w:p w:rsidR="00713488" w:rsidRPr="00A10267" w:rsidRDefault="00713488" w:rsidP="00713488">
      <w:pPr>
        <w:pStyle w:val="ListParagraph"/>
        <w:widowControl/>
        <w:numPr>
          <w:ilvl w:val="0"/>
          <w:numId w:val="42"/>
        </w:numPr>
      </w:pPr>
      <w:r w:rsidRPr="00A10267">
        <w:t>The indirect comparisons were conducted for the combined strengths of armodafinil and modafinil, which made the results difficult to apply to the individual dose strengths; and;</w:t>
      </w:r>
    </w:p>
    <w:p w:rsidR="00713488" w:rsidRPr="00A10267" w:rsidRDefault="00713488" w:rsidP="00713488">
      <w:pPr>
        <w:pStyle w:val="ListParagraph"/>
        <w:widowControl/>
        <w:numPr>
          <w:ilvl w:val="0"/>
          <w:numId w:val="42"/>
        </w:numPr>
      </w:pPr>
      <w:r w:rsidRPr="00A10267">
        <w:t>The modafinil trials assessed a potentially suboptimal dosing regimen of OD</w:t>
      </w:r>
      <w:r w:rsidR="005100E9" w:rsidRPr="00A10267">
        <w:t xml:space="preserve"> rather than split dosing.</w:t>
      </w:r>
      <w:r w:rsidRPr="00A10267">
        <w:t xml:space="preserve"> As noted earlier, split dosing is expected to result in longer wakefulness during the latter parts of the day.</w:t>
      </w:r>
    </w:p>
    <w:p w:rsidR="002206D8" w:rsidRDefault="002206D8" w:rsidP="00713488">
      <w:pPr>
        <w:rPr>
          <w:szCs w:val="22"/>
        </w:rPr>
      </w:pPr>
    </w:p>
    <w:p w:rsidR="00713488" w:rsidRPr="004675C9" w:rsidRDefault="00713488" w:rsidP="00713488">
      <w:pPr>
        <w:pStyle w:val="Heading2"/>
      </w:pPr>
      <w:bookmarkStart w:id="16" w:name="_Toc429660434"/>
      <w:r w:rsidRPr="004675C9">
        <w:t>Comparative harms</w:t>
      </w:r>
      <w:bookmarkEnd w:id="16"/>
    </w:p>
    <w:p w:rsidR="00713488" w:rsidRPr="00882085" w:rsidRDefault="00713488" w:rsidP="00713488">
      <w:pPr>
        <w:ind w:left="720" w:hanging="720"/>
        <w:rPr>
          <w:szCs w:val="22"/>
        </w:rPr>
      </w:pPr>
    </w:p>
    <w:p w:rsidR="00713488" w:rsidRPr="00A10267" w:rsidRDefault="00713488" w:rsidP="00713488">
      <w:pPr>
        <w:pStyle w:val="ListParagraph"/>
        <w:widowControl/>
        <w:numPr>
          <w:ilvl w:val="1"/>
          <w:numId w:val="10"/>
        </w:numPr>
        <w:rPr>
          <w:szCs w:val="22"/>
        </w:rPr>
      </w:pPr>
      <w:r w:rsidRPr="00A10267">
        <w:t xml:space="preserve">The submission conducted indirect statistical comparisons for each adverse event (AE).  For the majority of these AEs, these analyses lacked adequate statistical </w:t>
      </w:r>
      <w:r w:rsidRPr="00A10267">
        <w:lastRenderedPageBreak/>
        <w:t xml:space="preserve">power with very wide 95% confidence intervals, which limited </w:t>
      </w:r>
      <w:r w:rsidR="003F2DC3">
        <w:t>meaningful conclusions</w:t>
      </w:r>
      <w:r w:rsidRPr="00A10267">
        <w:t xml:space="preserve">. The indirect comparison of safety between armodafinil and modafinil is presented below.  There was a </w:t>
      </w:r>
      <w:r w:rsidR="00770D3D">
        <w:rPr>
          <w:noProof/>
          <w:color w:val="000000"/>
          <w:highlight w:val="black"/>
        </w:rPr>
        <w:t>''''''</w:t>
      </w:r>
      <w:r w:rsidRPr="00A10267">
        <w:t>% increased risk of at least one AE in the armodafinil treatment arms compared with the modafinil treatment arms, which was statistically significant.  These AEs were not necessarily treatment related.  All</w:t>
      </w:r>
      <w:r>
        <w:rPr>
          <w:i/>
        </w:rPr>
        <w:t xml:space="preserve"> </w:t>
      </w:r>
      <w:r w:rsidRPr="00A10267">
        <w:t>other results lacked precision and are difficult to interpret.  These results should be viewed with caution given the indirect nature of the comparisons across trials of unconvincing exchangeability.</w:t>
      </w:r>
    </w:p>
    <w:p w:rsidR="00713488" w:rsidRDefault="00713488" w:rsidP="00713488">
      <w:pPr>
        <w:pStyle w:val="ListParagraph"/>
        <w:widowControl/>
        <w:rPr>
          <w:i/>
        </w:rPr>
      </w:pPr>
    </w:p>
    <w:p w:rsidR="00713488" w:rsidRPr="004F3A11" w:rsidRDefault="00713488" w:rsidP="00713488">
      <w:pPr>
        <w:pStyle w:val="KMC-Tablefootnote"/>
        <w:spacing w:before="0" w:after="0"/>
        <w:ind w:firstLine="720"/>
        <w:rPr>
          <w:rFonts w:ascii="Arial Narrow" w:hAnsi="Arial Narrow"/>
          <w:b/>
          <w:sz w:val="20"/>
          <w:szCs w:val="20"/>
        </w:rPr>
      </w:pPr>
      <w:r w:rsidRPr="00006602">
        <w:rPr>
          <w:rFonts w:ascii="Arial Narrow" w:hAnsi="Arial Narrow"/>
          <w:b/>
          <w:sz w:val="20"/>
          <w:szCs w:val="20"/>
        </w:rPr>
        <w:t xml:space="preserve">Table </w:t>
      </w:r>
      <w:r w:rsidR="00071CFE">
        <w:rPr>
          <w:rFonts w:ascii="Arial Narrow" w:hAnsi="Arial Narrow"/>
          <w:b/>
          <w:sz w:val="20"/>
          <w:szCs w:val="20"/>
        </w:rPr>
        <w:t>6</w:t>
      </w:r>
      <w:r w:rsidRPr="00006602">
        <w:rPr>
          <w:rFonts w:ascii="Arial Narrow" w:hAnsi="Arial Narrow"/>
          <w:b/>
          <w:sz w:val="20"/>
          <w:szCs w:val="20"/>
        </w:rPr>
        <w:t>: Overall adverse events</w:t>
      </w:r>
      <w:r w:rsidRPr="004F3A11">
        <w:rPr>
          <w:rFonts w:ascii="Arial Narrow" w:hAnsi="Arial Narrow"/>
          <w:b/>
          <w:sz w:val="20"/>
          <w:szCs w:val="20"/>
        </w:rPr>
        <w:t xml:space="preserve"> in the individual trials and results from the indirect comparison</w:t>
      </w:r>
    </w:p>
    <w:tbl>
      <w:tblPr>
        <w:tblStyle w:val="TableGrid"/>
        <w:tblW w:w="4540" w:type="pct"/>
        <w:tblInd w:w="850" w:type="dxa"/>
        <w:tblLayout w:type="fixed"/>
        <w:tblLook w:val="04A0" w:firstRow="1" w:lastRow="0" w:firstColumn="1" w:lastColumn="0" w:noHBand="0" w:noVBand="1"/>
        <w:tblCaption w:val="Table 6"/>
        <w:tblDescription w:val="Comparative safety data of armodafinil and modafinil versus placebo and indirect comparison of armodafinil and modafinil. "/>
      </w:tblPr>
      <w:tblGrid>
        <w:gridCol w:w="1136"/>
        <w:gridCol w:w="1215"/>
        <w:gridCol w:w="1192"/>
        <w:gridCol w:w="1413"/>
        <w:gridCol w:w="1246"/>
        <w:gridCol w:w="1066"/>
        <w:gridCol w:w="1125"/>
      </w:tblGrid>
      <w:tr w:rsidR="00713488" w:rsidRPr="006B6D3F" w:rsidTr="003347C6">
        <w:trPr>
          <w:tblHeader/>
        </w:trPr>
        <w:tc>
          <w:tcPr>
            <w:tcW w:w="677" w:type="pct"/>
            <w:vMerge w:val="restart"/>
            <w:noWrap/>
            <w:hideMark/>
          </w:tcPr>
          <w:p w:rsidR="00713488" w:rsidRPr="00E7052B" w:rsidRDefault="00713488" w:rsidP="00BD6327">
            <w:pPr>
              <w:pStyle w:val="KMC-TableTxt"/>
              <w:spacing w:before="0" w:after="0"/>
              <w:jc w:val="center"/>
              <w:rPr>
                <w:b/>
              </w:rPr>
            </w:pPr>
            <w:r w:rsidRPr="00E7052B">
              <w:rPr>
                <w:b/>
              </w:rPr>
              <w:t>Outcome</w:t>
            </w:r>
          </w:p>
        </w:tc>
        <w:tc>
          <w:tcPr>
            <w:tcW w:w="1434" w:type="pct"/>
            <w:gridSpan w:val="2"/>
            <w:noWrap/>
            <w:hideMark/>
          </w:tcPr>
          <w:p w:rsidR="00713488" w:rsidRDefault="00713488" w:rsidP="00BD6327">
            <w:pPr>
              <w:pStyle w:val="KMC-TableTxt"/>
              <w:spacing w:before="0" w:after="0"/>
              <w:jc w:val="center"/>
              <w:rPr>
                <w:b/>
              </w:rPr>
            </w:pPr>
            <w:r>
              <w:rPr>
                <w:b/>
              </w:rPr>
              <w:t>Armodafinil</w:t>
            </w:r>
          </w:p>
          <w:p w:rsidR="00713488" w:rsidRPr="00E7052B" w:rsidRDefault="00713488" w:rsidP="00BD6327">
            <w:pPr>
              <w:pStyle w:val="KMC-TableTxt"/>
              <w:spacing w:before="0" w:after="0"/>
              <w:jc w:val="center"/>
              <w:rPr>
                <w:b/>
              </w:rPr>
            </w:pPr>
            <w:r>
              <w:rPr>
                <w:b/>
              </w:rPr>
              <w:t xml:space="preserve">(both 150mg and 250mg) </w:t>
            </w:r>
            <w:r w:rsidRPr="00E7052B">
              <w:rPr>
                <w:b/>
              </w:rPr>
              <w:t>vs. Placebo</w:t>
            </w:r>
          </w:p>
        </w:tc>
        <w:tc>
          <w:tcPr>
            <w:tcW w:w="1584" w:type="pct"/>
            <w:gridSpan w:val="2"/>
            <w:noWrap/>
            <w:hideMark/>
          </w:tcPr>
          <w:p w:rsidR="00713488" w:rsidRDefault="00713488" w:rsidP="00BD6327">
            <w:pPr>
              <w:pStyle w:val="KMC-TableTxt"/>
              <w:spacing w:before="0" w:after="0"/>
              <w:jc w:val="center"/>
              <w:rPr>
                <w:b/>
              </w:rPr>
            </w:pPr>
            <w:r>
              <w:rPr>
                <w:b/>
              </w:rPr>
              <w:t>Modafinil</w:t>
            </w:r>
            <w:r w:rsidRPr="00E7052B">
              <w:rPr>
                <w:b/>
              </w:rPr>
              <w:t xml:space="preserve"> </w:t>
            </w:r>
            <w:r>
              <w:rPr>
                <w:b/>
              </w:rPr>
              <w:t xml:space="preserve">(both 200mg and 400mg OD doses combined) </w:t>
            </w:r>
            <w:r w:rsidRPr="00E7052B">
              <w:rPr>
                <w:b/>
              </w:rPr>
              <w:t>vs. Placebo</w:t>
            </w:r>
            <w:r>
              <w:rPr>
                <w:b/>
              </w:rPr>
              <w:t xml:space="preserve"> </w:t>
            </w:r>
          </w:p>
          <w:p w:rsidR="00713488" w:rsidRPr="00E7052B" w:rsidRDefault="00713488" w:rsidP="00BD6327">
            <w:pPr>
              <w:pStyle w:val="KMC-TableTxt"/>
              <w:spacing w:before="0" w:after="0"/>
              <w:jc w:val="center"/>
              <w:rPr>
                <w:b/>
              </w:rPr>
            </w:pPr>
            <w:r>
              <w:rPr>
                <w:b/>
              </w:rPr>
              <w:t>Pooled across Fry and Gross</w:t>
            </w:r>
          </w:p>
        </w:tc>
        <w:tc>
          <w:tcPr>
            <w:tcW w:w="1305" w:type="pct"/>
            <w:gridSpan w:val="2"/>
            <w:noWrap/>
            <w:hideMark/>
          </w:tcPr>
          <w:p w:rsidR="00713488" w:rsidRPr="000C76F9" w:rsidRDefault="00713488" w:rsidP="00BD6327">
            <w:pPr>
              <w:pStyle w:val="KMC-TableTxt"/>
              <w:spacing w:before="0" w:after="0"/>
              <w:jc w:val="center"/>
              <w:rPr>
                <w:b/>
                <w:lang w:val="fr-FR"/>
              </w:rPr>
            </w:pPr>
            <w:r w:rsidRPr="000C76F9">
              <w:rPr>
                <w:b/>
                <w:lang w:val="fr-FR"/>
              </w:rPr>
              <w:t>Armodafinil. vs Modafinil (</w:t>
            </w:r>
            <w:r w:rsidRPr="00A23D14">
              <w:rPr>
                <w:b/>
              </w:rPr>
              <w:t>Indirect comparison</w:t>
            </w:r>
            <w:r w:rsidRPr="000C76F9">
              <w:rPr>
                <w:b/>
                <w:lang w:val="fr-FR"/>
              </w:rPr>
              <w:t>)</w:t>
            </w:r>
          </w:p>
        </w:tc>
      </w:tr>
      <w:tr w:rsidR="00713488" w:rsidRPr="00E7052B" w:rsidTr="003347C6">
        <w:trPr>
          <w:tblHeader/>
        </w:trPr>
        <w:tc>
          <w:tcPr>
            <w:tcW w:w="677" w:type="pct"/>
            <w:vMerge/>
            <w:noWrap/>
            <w:hideMark/>
          </w:tcPr>
          <w:p w:rsidR="00713488" w:rsidRPr="000C76F9" w:rsidRDefault="00713488" w:rsidP="00BD6327">
            <w:pPr>
              <w:pStyle w:val="KMC-TableTxt"/>
              <w:spacing w:before="0" w:after="0"/>
              <w:jc w:val="center"/>
              <w:rPr>
                <w:b/>
                <w:lang w:val="fr-FR"/>
              </w:rPr>
            </w:pPr>
          </w:p>
        </w:tc>
        <w:tc>
          <w:tcPr>
            <w:tcW w:w="724" w:type="pct"/>
            <w:noWrap/>
            <w:hideMark/>
          </w:tcPr>
          <w:p w:rsidR="00713488" w:rsidRDefault="00713488" w:rsidP="00BD6327">
            <w:pPr>
              <w:pStyle w:val="KMC-TableTxt"/>
              <w:spacing w:before="0" w:after="0"/>
              <w:jc w:val="center"/>
              <w:rPr>
                <w:b/>
              </w:rPr>
            </w:pPr>
            <w:r>
              <w:rPr>
                <w:b/>
              </w:rPr>
              <w:t>RR</w:t>
            </w:r>
          </w:p>
          <w:p w:rsidR="00713488" w:rsidRPr="00E7052B" w:rsidRDefault="00713488" w:rsidP="00BD6327">
            <w:pPr>
              <w:pStyle w:val="KMC-TableTxt"/>
              <w:spacing w:before="0" w:after="0"/>
              <w:jc w:val="center"/>
              <w:rPr>
                <w:b/>
              </w:rPr>
            </w:pPr>
            <w:r>
              <w:rPr>
                <w:b/>
              </w:rPr>
              <w:t>(95% CI)</w:t>
            </w:r>
          </w:p>
        </w:tc>
        <w:tc>
          <w:tcPr>
            <w:tcW w:w="710" w:type="pct"/>
            <w:noWrap/>
            <w:hideMark/>
          </w:tcPr>
          <w:p w:rsidR="00713488" w:rsidRDefault="00713488" w:rsidP="00BD6327">
            <w:pPr>
              <w:pStyle w:val="KMC-TableTxt"/>
              <w:spacing w:before="0" w:after="0"/>
              <w:jc w:val="center"/>
              <w:rPr>
                <w:b/>
              </w:rPr>
            </w:pPr>
            <w:r>
              <w:rPr>
                <w:b/>
              </w:rPr>
              <w:t>ARD</w:t>
            </w:r>
          </w:p>
          <w:p w:rsidR="00713488" w:rsidRPr="00E7052B" w:rsidRDefault="00713488" w:rsidP="00BD6327">
            <w:pPr>
              <w:pStyle w:val="KMC-TableTxt"/>
              <w:spacing w:before="0" w:after="0"/>
              <w:jc w:val="center"/>
              <w:rPr>
                <w:b/>
              </w:rPr>
            </w:pPr>
            <w:r>
              <w:rPr>
                <w:b/>
              </w:rPr>
              <w:t>(95% CI)</w:t>
            </w:r>
          </w:p>
        </w:tc>
        <w:tc>
          <w:tcPr>
            <w:tcW w:w="842" w:type="pct"/>
            <w:noWrap/>
            <w:hideMark/>
          </w:tcPr>
          <w:p w:rsidR="00713488" w:rsidRDefault="00713488" w:rsidP="00BD6327">
            <w:pPr>
              <w:pStyle w:val="KMC-TableTxt"/>
              <w:spacing w:before="0" w:after="0"/>
              <w:jc w:val="center"/>
              <w:rPr>
                <w:b/>
              </w:rPr>
            </w:pPr>
            <w:r>
              <w:rPr>
                <w:b/>
              </w:rPr>
              <w:t>RR</w:t>
            </w:r>
          </w:p>
          <w:p w:rsidR="00713488" w:rsidRPr="00E7052B" w:rsidRDefault="00713488" w:rsidP="00BD6327">
            <w:pPr>
              <w:pStyle w:val="KMC-TableTxt"/>
              <w:spacing w:before="0" w:after="0"/>
              <w:jc w:val="center"/>
              <w:rPr>
                <w:b/>
              </w:rPr>
            </w:pPr>
            <w:r>
              <w:rPr>
                <w:b/>
              </w:rPr>
              <w:t>(95% CI)</w:t>
            </w:r>
          </w:p>
        </w:tc>
        <w:tc>
          <w:tcPr>
            <w:tcW w:w="742" w:type="pct"/>
            <w:noWrap/>
            <w:hideMark/>
          </w:tcPr>
          <w:p w:rsidR="00713488" w:rsidRDefault="00713488" w:rsidP="00BD6327">
            <w:pPr>
              <w:pStyle w:val="KMC-TableTxt"/>
              <w:spacing w:before="0" w:after="0"/>
              <w:jc w:val="center"/>
              <w:rPr>
                <w:b/>
              </w:rPr>
            </w:pPr>
            <w:r>
              <w:rPr>
                <w:b/>
              </w:rPr>
              <w:t>ARD</w:t>
            </w:r>
          </w:p>
          <w:p w:rsidR="00713488" w:rsidRPr="00E7052B" w:rsidRDefault="00713488" w:rsidP="00BD6327">
            <w:pPr>
              <w:pStyle w:val="KMC-TableTxt"/>
              <w:spacing w:before="0" w:after="0"/>
              <w:jc w:val="center"/>
              <w:rPr>
                <w:b/>
              </w:rPr>
            </w:pPr>
            <w:r>
              <w:rPr>
                <w:b/>
              </w:rPr>
              <w:t>(95% CI)</w:t>
            </w:r>
          </w:p>
        </w:tc>
        <w:tc>
          <w:tcPr>
            <w:tcW w:w="635" w:type="pct"/>
            <w:noWrap/>
            <w:hideMark/>
          </w:tcPr>
          <w:p w:rsidR="00713488" w:rsidRDefault="00713488" w:rsidP="00A23D14">
            <w:pPr>
              <w:pStyle w:val="KMC-TableTxt"/>
              <w:spacing w:before="0" w:after="0"/>
              <w:ind w:left="-57" w:right="-57"/>
              <w:jc w:val="center"/>
              <w:rPr>
                <w:b/>
              </w:rPr>
            </w:pPr>
            <w:r>
              <w:rPr>
                <w:b/>
              </w:rPr>
              <w:t>RR</w:t>
            </w:r>
          </w:p>
          <w:p w:rsidR="00713488" w:rsidRPr="00E7052B" w:rsidRDefault="00713488" w:rsidP="00A23D14">
            <w:pPr>
              <w:pStyle w:val="KMC-TableTxt"/>
              <w:spacing w:before="0" w:after="0"/>
              <w:ind w:left="-57" w:right="-57"/>
              <w:jc w:val="center"/>
              <w:rPr>
                <w:b/>
              </w:rPr>
            </w:pPr>
            <w:r>
              <w:rPr>
                <w:b/>
              </w:rPr>
              <w:t>(95% CI)</w:t>
            </w:r>
          </w:p>
        </w:tc>
        <w:tc>
          <w:tcPr>
            <w:tcW w:w="670" w:type="pct"/>
            <w:noWrap/>
            <w:hideMark/>
          </w:tcPr>
          <w:p w:rsidR="00713488" w:rsidRDefault="00713488" w:rsidP="00BD6327">
            <w:pPr>
              <w:pStyle w:val="KMC-TableTxt"/>
              <w:spacing w:before="0" w:after="0"/>
              <w:jc w:val="center"/>
              <w:rPr>
                <w:b/>
              </w:rPr>
            </w:pPr>
            <w:r>
              <w:rPr>
                <w:b/>
              </w:rPr>
              <w:t>ARD</w:t>
            </w:r>
          </w:p>
          <w:p w:rsidR="00713488" w:rsidRPr="00E7052B" w:rsidRDefault="00713488" w:rsidP="00BD6327">
            <w:pPr>
              <w:pStyle w:val="KMC-TableTxt"/>
              <w:spacing w:before="0" w:after="0"/>
              <w:jc w:val="center"/>
              <w:rPr>
                <w:b/>
                <w:i/>
              </w:rPr>
            </w:pPr>
            <w:r>
              <w:rPr>
                <w:b/>
              </w:rPr>
              <w:t>(95% CI)</w:t>
            </w:r>
          </w:p>
        </w:tc>
      </w:tr>
      <w:tr w:rsidR="00713488" w:rsidRPr="006F2CA4" w:rsidTr="00BD6327">
        <w:tc>
          <w:tcPr>
            <w:tcW w:w="677" w:type="pct"/>
            <w:noWrap/>
          </w:tcPr>
          <w:p w:rsidR="00713488" w:rsidRPr="00E7052B" w:rsidRDefault="00713488" w:rsidP="00BD6327">
            <w:pPr>
              <w:pStyle w:val="KMC-TableTxt"/>
              <w:spacing w:before="0" w:after="0"/>
            </w:pPr>
            <w:r>
              <w:t>≥ 1 AE</w:t>
            </w:r>
          </w:p>
        </w:tc>
        <w:tc>
          <w:tcPr>
            <w:tcW w:w="724" w:type="pct"/>
            <w:noWrap/>
          </w:tcPr>
          <w:p w:rsidR="00713488" w:rsidRPr="002E52F4" w:rsidRDefault="00713488" w:rsidP="00BD6327">
            <w:pPr>
              <w:pStyle w:val="KMC-TableTxt"/>
              <w:spacing w:before="0" w:after="0"/>
              <w:jc w:val="center"/>
            </w:pPr>
            <w:r w:rsidRPr="002E52F4">
              <w:t>1.49</w:t>
            </w:r>
          </w:p>
          <w:p w:rsidR="00713488" w:rsidRPr="00E7052B" w:rsidRDefault="00713488" w:rsidP="00BD6327">
            <w:pPr>
              <w:pStyle w:val="KMC-TableTxt"/>
              <w:spacing w:before="0" w:after="0"/>
              <w:jc w:val="center"/>
            </w:pPr>
            <w:r w:rsidRPr="002E52F4">
              <w:t>(1.12, 2.00)</w:t>
            </w:r>
          </w:p>
        </w:tc>
        <w:tc>
          <w:tcPr>
            <w:tcW w:w="710" w:type="pct"/>
            <w:noWrap/>
          </w:tcPr>
          <w:p w:rsidR="00713488" w:rsidRPr="002E52F4" w:rsidRDefault="00713488" w:rsidP="00BD6327">
            <w:pPr>
              <w:pStyle w:val="KMC-TableTxt"/>
              <w:spacing w:before="0" w:after="0"/>
              <w:jc w:val="center"/>
            </w:pPr>
            <w:r w:rsidRPr="002E52F4">
              <w:t>0.23</w:t>
            </w:r>
          </w:p>
          <w:p w:rsidR="00713488" w:rsidRPr="00E7052B" w:rsidRDefault="00713488" w:rsidP="00BD6327">
            <w:pPr>
              <w:pStyle w:val="KMC-TableTxt"/>
              <w:spacing w:before="0" w:after="0"/>
              <w:jc w:val="center"/>
            </w:pPr>
            <w:r w:rsidRPr="002E52F4">
              <w:t>(0.08, 0.37)</w:t>
            </w:r>
          </w:p>
        </w:tc>
        <w:tc>
          <w:tcPr>
            <w:tcW w:w="842" w:type="pct"/>
            <w:noWrap/>
          </w:tcPr>
          <w:p w:rsidR="00713488" w:rsidRPr="002E52F4" w:rsidRDefault="00713488" w:rsidP="00BD6327">
            <w:pPr>
              <w:pStyle w:val="KMC-TableTxt"/>
              <w:spacing w:before="0" w:after="0"/>
              <w:jc w:val="center"/>
            </w:pPr>
            <w:r w:rsidRPr="002E52F4">
              <w:t>1.06</w:t>
            </w:r>
          </w:p>
          <w:p w:rsidR="00713488" w:rsidRPr="00E7052B" w:rsidRDefault="00713488" w:rsidP="00BD6327">
            <w:pPr>
              <w:pStyle w:val="KMC-TableTxt"/>
              <w:spacing w:before="0" w:after="0"/>
              <w:jc w:val="center"/>
            </w:pPr>
            <w:r w:rsidRPr="002E52F4">
              <w:t>(0.98, 1.14)</w:t>
            </w:r>
          </w:p>
        </w:tc>
        <w:tc>
          <w:tcPr>
            <w:tcW w:w="742" w:type="pct"/>
            <w:noWrap/>
          </w:tcPr>
          <w:p w:rsidR="00713488" w:rsidRPr="002E52F4" w:rsidRDefault="00713488" w:rsidP="00BD6327">
            <w:pPr>
              <w:pStyle w:val="KMC-TableTxt"/>
              <w:spacing w:before="0" w:after="0"/>
              <w:jc w:val="center"/>
            </w:pPr>
            <w:r w:rsidRPr="002E52F4">
              <w:t>0.05</w:t>
            </w:r>
          </w:p>
          <w:p w:rsidR="00713488" w:rsidRPr="00E7052B" w:rsidRDefault="00713488" w:rsidP="00BD6327">
            <w:pPr>
              <w:pStyle w:val="KMC-TableTxt"/>
              <w:spacing w:before="0" w:after="0"/>
              <w:jc w:val="center"/>
            </w:pPr>
            <w:r w:rsidRPr="002E52F4">
              <w:t>(-0.02, 0.11)</w:t>
            </w:r>
          </w:p>
        </w:tc>
        <w:tc>
          <w:tcPr>
            <w:tcW w:w="635" w:type="pct"/>
            <w:noWrap/>
          </w:tcPr>
          <w:p w:rsidR="00713488" w:rsidRPr="002E52F4" w:rsidRDefault="00713488" w:rsidP="00A23D14">
            <w:pPr>
              <w:pStyle w:val="KMC-TableTxt"/>
              <w:spacing w:before="0" w:after="0"/>
              <w:ind w:left="-57" w:right="-57"/>
              <w:jc w:val="center"/>
            </w:pPr>
            <w:r w:rsidRPr="002E52F4">
              <w:t>1.41</w:t>
            </w:r>
          </w:p>
          <w:p w:rsidR="00713488" w:rsidRPr="006F2CA4" w:rsidRDefault="00713488" w:rsidP="00A23D14">
            <w:pPr>
              <w:pStyle w:val="KMC-TableTxt"/>
              <w:spacing w:before="0" w:after="0"/>
              <w:ind w:left="-57" w:right="-57"/>
              <w:jc w:val="center"/>
              <w:rPr>
                <w:b/>
              </w:rPr>
            </w:pPr>
            <w:r w:rsidRPr="002E52F4">
              <w:t>(1.04, 1.91</w:t>
            </w:r>
            <w:r w:rsidRPr="002E52F4">
              <w:rPr>
                <w:b/>
              </w:rPr>
              <w:t>)</w:t>
            </w:r>
          </w:p>
        </w:tc>
        <w:tc>
          <w:tcPr>
            <w:tcW w:w="670" w:type="pct"/>
            <w:noWrap/>
          </w:tcPr>
          <w:p w:rsidR="00713488" w:rsidRPr="002E52F4" w:rsidRDefault="00713488" w:rsidP="00BD6327">
            <w:pPr>
              <w:pStyle w:val="KMC-TableTxt"/>
              <w:spacing w:before="0" w:after="0"/>
              <w:jc w:val="center"/>
            </w:pPr>
            <w:r w:rsidRPr="002E52F4">
              <w:t>0.18</w:t>
            </w:r>
          </w:p>
          <w:p w:rsidR="00713488" w:rsidRPr="00164406" w:rsidRDefault="00713488" w:rsidP="00BD6327">
            <w:pPr>
              <w:pStyle w:val="KMC-TableTxt"/>
              <w:spacing w:before="0" w:after="0"/>
              <w:jc w:val="center"/>
            </w:pPr>
            <w:r w:rsidRPr="002E52F4">
              <w:t>(0.03, 0.33)</w:t>
            </w:r>
          </w:p>
        </w:tc>
      </w:tr>
      <w:tr w:rsidR="00713488" w:rsidRPr="00E7052B" w:rsidTr="00BD6327">
        <w:tc>
          <w:tcPr>
            <w:tcW w:w="677" w:type="pct"/>
            <w:noWrap/>
          </w:tcPr>
          <w:p w:rsidR="00713488" w:rsidRPr="00E7052B" w:rsidRDefault="00713488" w:rsidP="00BD6327">
            <w:pPr>
              <w:pStyle w:val="KMC-TableTxt"/>
              <w:spacing w:before="0" w:after="0"/>
            </w:pPr>
            <w:r>
              <w:t>≥ 1 treatment related AE</w:t>
            </w:r>
          </w:p>
        </w:tc>
        <w:tc>
          <w:tcPr>
            <w:tcW w:w="724" w:type="pct"/>
            <w:noWrap/>
          </w:tcPr>
          <w:p w:rsidR="00713488" w:rsidRPr="002E52F4" w:rsidRDefault="00713488" w:rsidP="00BD6327">
            <w:pPr>
              <w:pStyle w:val="KMC-TableTxt"/>
              <w:spacing w:before="0" w:after="0"/>
              <w:jc w:val="center"/>
            </w:pPr>
            <w:r w:rsidRPr="002E52F4">
              <w:t>1.75</w:t>
            </w:r>
          </w:p>
          <w:p w:rsidR="00713488" w:rsidRPr="00E7052B" w:rsidRDefault="00713488" w:rsidP="00BD6327">
            <w:pPr>
              <w:pStyle w:val="KMC-TableTxt"/>
              <w:spacing w:before="0" w:after="0"/>
              <w:jc w:val="center"/>
            </w:pPr>
            <w:r w:rsidRPr="002E52F4">
              <w:t>(1.05, 2.92)</w:t>
            </w:r>
          </w:p>
        </w:tc>
        <w:tc>
          <w:tcPr>
            <w:tcW w:w="710" w:type="pct"/>
            <w:noWrap/>
          </w:tcPr>
          <w:p w:rsidR="00713488" w:rsidRPr="002E52F4" w:rsidRDefault="00713488" w:rsidP="00BD6327">
            <w:pPr>
              <w:pStyle w:val="KMC-TableTxt"/>
              <w:spacing w:before="0" w:after="0"/>
              <w:jc w:val="center"/>
            </w:pPr>
            <w:r w:rsidRPr="002E52F4">
              <w:t>0.17</w:t>
            </w:r>
          </w:p>
          <w:p w:rsidR="00713488" w:rsidRPr="00E7052B" w:rsidRDefault="00713488" w:rsidP="00BD6327">
            <w:pPr>
              <w:pStyle w:val="KMC-TableTxt"/>
              <w:spacing w:before="0" w:after="0"/>
              <w:jc w:val="center"/>
            </w:pPr>
            <w:r w:rsidRPr="002E52F4">
              <w:t>(0.03, 0.30)</w:t>
            </w:r>
          </w:p>
        </w:tc>
        <w:tc>
          <w:tcPr>
            <w:tcW w:w="842" w:type="pct"/>
            <w:noWrap/>
          </w:tcPr>
          <w:p w:rsidR="00713488" w:rsidRPr="002E52F4" w:rsidRDefault="00713488" w:rsidP="00BD6327">
            <w:pPr>
              <w:pStyle w:val="KMC-TableTxt"/>
              <w:spacing w:before="0" w:after="0"/>
              <w:jc w:val="center"/>
            </w:pPr>
            <w:r w:rsidRPr="002E52F4">
              <w:t>2.85</w:t>
            </w:r>
          </w:p>
          <w:p w:rsidR="00713488" w:rsidRPr="00E7052B" w:rsidRDefault="00713488" w:rsidP="00BD6327">
            <w:pPr>
              <w:pStyle w:val="KMC-TableTxt"/>
              <w:spacing w:before="0" w:after="0"/>
              <w:jc w:val="center"/>
            </w:pPr>
            <w:r w:rsidRPr="002E52F4">
              <w:t>(1.37, 5.90)</w:t>
            </w:r>
          </w:p>
        </w:tc>
        <w:tc>
          <w:tcPr>
            <w:tcW w:w="742" w:type="pct"/>
            <w:noWrap/>
          </w:tcPr>
          <w:p w:rsidR="00713488" w:rsidRPr="002E52F4" w:rsidRDefault="00713488" w:rsidP="00BD6327">
            <w:pPr>
              <w:pStyle w:val="KMC-TableTxt"/>
              <w:spacing w:before="0" w:after="0"/>
              <w:jc w:val="center"/>
            </w:pPr>
            <w:r w:rsidRPr="002E52F4">
              <w:t>0.08</w:t>
            </w:r>
          </w:p>
          <w:p w:rsidR="00713488" w:rsidRPr="00E7052B" w:rsidRDefault="00713488" w:rsidP="00BD6327">
            <w:pPr>
              <w:pStyle w:val="KMC-TableTxt"/>
              <w:spacing w:before="0" w:after="0"/>
              <w:jc w:val="center"/>
            </w:pPr>
            <w:r w:rsidRPr="002E52F4">
              <w:t>(0.02, 0.13)</w:t>
            </w:r>
          </w:p>
        </w:tc>
        <w:tc>
          <w:tcPr>
            <w:tcW w:w="635" w:type="pct"/>
            <w:noWrap/>
          </w:tcPr>
          <w:p w:rsidR="00713488" w:rsidRPr="002E52F4" w:rsidRDefault="00713488" w:rsidP="00A23D14">
            <w:pPr>
              <w:pStyle w:val="KMC-TableTxt"/>
              <w:spacing w:before="0" w:after="0"/>
              <w:ind w:left="-57" w:right="-57"/>
              <w:jc w:val="center"/>
            </w:pPr>
            <w:r w:rsidRPr="002E52F4">
              <w:t>0.61</w:t>
            </w:r>
          </w:p>
          <w:p w:rsidR="00713488" w:rsidRPr="00E7052B" w:rsidRDefault="00713488" w:rsidP="00A23D14">
            <w:pPr>
              <w:pStyle w:val="KMC-TableTxt"/>
              <w:spacing w:before="0" w:after="0"/>
              <w:ind w:left="-57" w:right="-57"/>
              <w:jc w:val="center"/>
            </w:pPr>
            <w:r w:rsidRPr="002E52F4">
              <w:t>(0.25, 1.50)</w:t>
            </w:r>
          </w:p>
        </w:tc>
        <w:tc>
          <w:tcPr>
            <w:tcW w:w="670" w:type="pct"/>
            <w:noWrap/>
          </w:tcPr>
          <w:p w:rsidR="00713488" w:rsidRPr="002E52F4" w:rsidRDefault="00713488" w:rsidP="00BD6327">
            <w:pPr>
              <w:pStyle w:val="KMC-TableTxt"/>
              <w:spacing w:before="0" w:after="0"/>
              <w:jc w:val="center"/>
            </w:pPr>
            <w:r w:rsidRPr="002E52F4">
              <w:t>0.09</w:t>
            </w:r>
          </w:p>
          <w:p w:rsidR="00713488" w:rsidRPr="00164406" w:rsidRDefault="00713488" w:rsidP="00BD6327">
            <w:pPr>
              <w:pStyle w:val="KMC-TableTxt"/>
              <w:spacing w:before="0" w:after="0"/>
              <w:jc w:val="center"/>
            </w:pPr>
            <w:r w:rsidRPr="002E52F4">
              <w:t>(-0.05, 0.24)</w:t>
            </w:r>
          </w:p>
        </w:tc>
      </w:tr>
      <w:tr w:rsidR="00713488" w:rsidRPr="000B5EAD" w:rsidTr="00BD6327">
        <w:tc>
          <w:tcPr>
            <w:tcW w:w="677" w:type="pct"/>
            <w:noWrap/>
          </w:tcPr>
          <w:p w:rsidR="00713488" w:rsidRPr="00E7052B" w:rsidRDefault="00713488" w:rsidP="00BD6327">
            <w:pPr>
              <w:pStyle w:val="KMC-TableTxt"/>
              <w:spacing w:before="0" w:after="0"/>
            </w:pPr>
            <w:r>
              <w:t>≥ 1 SAE</w:t>
            </w:r>
          </w:p>
        </w:tc>
        <w:tc>
          <w:tcPr>
            <w:tcW w:w="724" w:type="pct"/>
            <w:noWrap/>
          </w:tcPr>
          <w:p w:rsidR="00713488" w:rsidRPr="002E52F4" w:rsidRDefault="00713488" w:rsidP="00BD6327">
            <w:pPr>
              <w:pStyle w:val="KMC-TableTxt"/>
              <w:spacing w:before="0" w:after="0"/>
              <w:jc w:val="center"/>
            </w:pPr>
            <w:r w:rsidRPr="002E52F4">
              <w:t>1.45</w:t>
            </w:r>
          </w:p>
          <w:p w:rsidR="00713488" w:rsidRPr="00E7052B" w:rsidRDefault="00713488" w:rsidP="00BD6327">
            <w:pPr>
              <w:pStyle w:val="KMC-TableTxt"/>
              <w:spacing w:before="0" w:after="0"/>
              <w:jc w:val="center"/>
            </w:pPr>
            <w:r w:rsidRPr="002E52F4">
              <w:t>(0.06, 35.21)</w:t>
            </w:r>
          </w:p>
        </w:tc>
        <w:tc>
          <w:tcPr>
            <w:tcW w:w="710" w:type="pct"/>
            <w:noWrap/>
          </w:tcPr>
          <w:p w:rsidR="00713488" w:rsidRPr="002E52F4" w:rsidRDefault="00713488" w:rsidP="00BD6327">
            <w:pPr>
              <w:pStyle w:val="KMC-TableTxt"/>
              <w:spacing w:before="0" w:after="0"/>
              <w:jc w:val="center"/>
            </w:pPr>
            <w:r w:rsidRPr="002E52F4">
              <w:t>0.01</w:t>
            </w:r>
          </w:p>
          <w:p w:rsidR="00713488" w:rsidRPr="00E7052B" w:rsidRDefault="00713488" w:rsidP="00BD6327">
            <w:pPr>
              <w:pStyle w:val="KMC-TableTxt"/>
              <w:spacing w:before="0" w:after="0"/>
              <w:jc w:val="center"/>
            </w:pPr>
            <w:r w:rsidRPr="002E52F4">
              <w:t>(-0.02, 0.04)</w:t>
            </w:r>
          </w:p>
        </w:tc>
        <w:tc>
          <w:tcPr>
            <w:tcW w:w="842" w:type="pct"/>
            <w:noWrap/>
          </w:tcPr>
          <w:p w:rsidR="00713488" w:rsidRPr="002E52F4" w:rsidRDefault="00713488" w:rsidP="00BD6327">
            <w:pPr>
              <w:pStyle w:val="KMC-TableTxt"/>
              <w:spacing w:before="0" w:after="0"/>
              <w:jc w:val="center"/>
            </w:pPr>
            <w:r w:rsidRPr="002E52F4">
              <w:t>0.91</w:t>
            </w:r>
          </w:p>
          <w:p w:rsidR="00713488" w:rsidRPr="00E7052B" w:rsidRDefault="00713488" w:rsidP="00BD6327">
            <w:pPr>
              <w:pStyle w:val="KMC-TableTxt"/>
              <w:spacing w:before="0" w:after="0"/>
              <w:jc w:val="center"/>
            </w:pPr>
            <w:r w:rsidRPr="002E52F4">
              <w:t>(0.31, 2.68)</w:t>
            </w:r>
          </w:p>
        </w:tc>
        <w:tc>
          <w:tcPr>
            <w:tcW w:w="742" w:type="pct"/>
            <w:noWrap/>
          </w:tcPr>
          <w:p w:rsidR="00713488" w:rsidRPr="002E52F4" w:rsidRDefault="00713488" w:rsidP="00BD6327">
            <w:pPr>
              <w:pStyle w:val="KMC-TableTxt"/>
              <w:spacing w:before="0" w:after="0"/>
              <w:jc w:val="center"/>
            </w:pPr>
            <w:r w:rsidRPr="002E52F4">
              <w:t>0.00</w:t>
            </w:r>
          </w:p>
          <w:p w:rsidR="00713488" w:rsidRPr="00E7052B" w:rsidRDefault="00713488" w:rsidP="00BD6327">
            <w:pPr>
              <w:pStyle w:val="KMC-TableTxt"/>
              <w:spacing w:before="0" w:after="0"/>
              <w:jc w:val="center"/>
            </w:pPr>
            <w:r w:rsidRPr="002E52F4">
              <w:t>(-0.03, 0.02)</w:t>
            </w:r>
          </w:p>
        </w:tc>
        <w:tc>
          <w:tcPr>
            <w:tcW w:w="635" w:type="pct"/>
            <w:noWrap/>
          </w:tcPr>
          <w:p w:rsidR="00713488" w:rsidRPr="002E52F4" w:rsidRDefault="00713488" w:rsidP="00A23D14">
            <w:pPr>
              <w:pStyle w:val="KMC-TableTxt"/>
              <w:spacing w:before="0" w:after="0"/>
              <w:ind w:left="-57" w:right="-57"/>
              <w:jc w:val="center"/>
            </w:pPr>
            <w:r w:rsidRPr="002E52F4">
              <w:t>1.59</w:t>
            </w:r>
          </w:p>
          <w:p w:rsidR="00713488" w:rsidRPr="00E7052B" w:rsidRDefault="00713488" w:rsidP="00A23D14">
            <w:pPr>
              <w:pStyle w:val="KMC-TableTxt"/>
              <w:spacing w:before="0" w:after="0"/>
              <w:ind w:left="-57" w:right="-57"/>
              <w:jc w:val="center"/>
            </w:pPr>
            <w:r w:rsidRPr="002E52F4">
              <w:t>(0.05, 46.40)</w:t>
            </w:r>
          </w:p>
        </w:tc>
        <w:tc>
          <w:tcPr>
            <w:tcW w:w="670" w:type="pct"/>
            <w:noWrap/>
          </w:tcPr>
          <w:p w:rsidR="00713488" w:rsidRPr="002E52F4" w:rsidRDefault="00713488" w:rsidP="00BD6327">
            <w:pPr>
              <w:pStyle w:val="KMC-TableTxt"/>
              <w:spacing w:before="0" w:after="0"/>
              <w:jc w:val="center"/>
            </w:pPr>
            <w:r w:rsidRPr="002E52F4">
              <w:t>0.01</w:t>
            </w:r>
          </w:p>
          <w:p w:rsidR="00713488" w:rsidRPr="00164406" w:rsidRDefault="00713488" w:rsidP="00BD6327">
            <w:pPr>
              <w:pStyle w:val="KMC-TableTxt"/>
              <w:spacing w:before="0" w:after="0"/>
              <w:jc w:val="center"/>
            </w:pPr>
            <w:r w:rsidRPr="002E52F4">
              <w:t>(-0.02, 0.05)</w:t>
            </w:r>
          </w:p>
        </w:tc>
      </w:tr>
      <w:tr w:rsidR="00713488" w:rsidRPr="000B5EAD" w:rsidTr="00BD6327">
        <w:tc>
          <w:tcPr>
            <w:tcW w:w="677" w:type="pct"/>
            <w:noWrap/>
          </w:tcPr>
          <w:p w:rsidR="00713488" w:rsidRPr="00E7052B" w:rsidRDefault="00713488" w:rsidP="00BD6327">
            <w:pPr>
              <w:pStyle w:val="KMC-TableTxt"/>
              <w:spacing w:before="0" w:after="0"/>
            </w:pPr>
            <w:r>
              <w:t>Treatment withdrawals</w:t>
            </w:r>
          </w:p>
        </w:tc>
        <w:tc>
          <w:tcPr>
            <w:tcW w:w="724" w:type="pct"/>
            <w:noWrap/>
          </w:tcPr>
          <w:p w:rsidR="00713488" w:rsidRPr="002E52F4" w:rsidRDefault="00713488" w:rsidP="00BD6327">
            <w:pPr>
              <w:pStyle w:val="KMC-TableTxt"/>
              <w:spacing w:before="0" w:after="0"/>
              <w:jc w:val="center"/>
            </w:pPr>
            <w:r w:rsidRPr="002E52F4">
              <w:t>3.37</w:t>
            </w:r>
          </w:p>
          <w:p w:rsidR="00713488" w:rsidRPr="00E7052B" w:rsidRDefault="00713488" w:rsidP="00BD6327">
            <w:pPr>
              <w:pStyle w:val="KMC-TableTxt"/>
              <w:spacing w:before="0" w:after="0"/>
              <w:jc w:val="center"/>
            </w:pPr>
            <w:r w:rsidRPr="002E52F4">
              <w:t>(0.42, 26.78)</w:t>
            </w:r>
          </w:p>
        </w:tc>
        <w:tc>
          <w:tcPr>
            <w:tcW w:w="710" w:type="pct"/>
            <w:noWrap/>
          </w:tcPr>
          <w:p w:rsidR="00713488" w:rsidRPr="002E52F4" w:rsidRDefault="00713488" w:rsidP="00BD6327">
            <w:pPr>
              <w:pStyle w:val="KMC-TableTxt"/>
              <w:spacing w:before="0" w:after="0"/>
              <w:jc w:val="center"/>
            </w:pPr>
            <w:r w:rsidRPr="002E52F4">
              <w:t>0.0</w:t>
            </w:r>
            <w:bookmarkStart w:id="17" w:name="_GoBack"/>
            <w:bookmarkEnd w:id="17"/>
            <w:r w:rsidRPr="002E52F4">
              <w:t>4</w:t>
            </w:r>
          </w:p>
          <w:p w:rsidR="00713488" w:rsidRPr="00E7052B" w:rsidRDefault="00713488" w:rsidP="00BD6327">
            <w:pPr>
              <w:pStyle w:val="KMC-TableTxt"/>
              <w:spacing w:before="0" w:after="0"/>
              <w:jc w:val="center"/>
            </w:pPr>
            <w:r w:rsidRPr="002E52F4">
              <w:t>(-0.01, 0.09)</w:t>
            </w:r>
          </w:p>
        </w:tc>
        <w:tc>
          <w:tcPr>
            <w:tcW w:w="842" w:type="pct"/>
            <w:noWrap/>
          </w:tcPr>
          <w:p w:rsidR="00713488" w:rsidRPr="002E52F4" w:rsidRDefault="00713488" w:rsidP="00BD6327">
            <w:pPr>
              <w:pStyle w:val="KMC-TableTxt"/>
              <w:spacing w:before="0" w:after="0"/>
              <w:jc w:val="center"/>
            </w:pPr>
            <w:r w:rsidRPr="002E52F4">
              <w:t>2.89</w:t>
            </w:r>
          </w:p>
          <w:p w:rsidR="00713488" w:rsidRPr="00E7052B" w:rsidRDefault="00713488" w:rsidP="00BD6327">
            <w:pPr>
              <w:pStyle w:val="KMC-TableTxt"/>
              <w:spacing w:before="0" w:after="0"/>
              <w:jc w:val="center"/>
            </w:pPr>
            <w:r w:rsidRPr="002E52F4">
              <w:t>(0.26, 32.05)</w:t>
            </w:r>
          </w:p>
        </w:tc>
        <w:tc>
          <w:tcPr>
            <w:tcW w:w="742" w:type="pct"/>
            <w:noWrap/>
          </w:tcPr>
          <w:p w:rsidR="00713488" w:rsidRPr="002E52F4" w:rsidRDefault="00713488" w:rsidP="00BD6327">
            <w:pPr>
              <w:pStyle w:val="KMC-TableTxt"/>
              <w:spacing w:before="0" w:after="0"/>
              <w:jc w:val="center"/>
            </w:pPr>
            <w:r w:rsidRPr="002E52F4">
              <w:t>0.04</w:t>
            </w:r>
          </w:p>
          <w:p w:rsidR="00713488" w:rsidRPr="00E7052B" w:rsidRDefault="00713488" w:rsidP="00BD6327">
            <w:pPr>
              <w:pStyle w:val="KMC-TableTxt"/>
              <w:spacing w:before="0" w:after="0"/>
              <w:jc w:val="center"/>
            </w:pPr>
            <w:r w:rsidRPr="002E52F4">
              <w:t>(-0.02, 0.09)</w:t>
            </w:r>
          </w:p>
        </w:tc>
        <w:tc>
          <w:tcPr>
            <w:tcW w:w="635" w:type="pct"/>
            <w:noWrap/>
          </w:tcPr>
          <w:p w:rsidR="00713488" w:rsidRPr="002E52F4" w:rsidRDefault="00713488" w:rsidP="00A23D14">
            <w:pPr>
              <w:pStyle w:val="KMC-TableTxt"/>
              <w:spacing w:before="0" w:after="0"/>
              <w:ind w:left="-57" w:right="-57"/>
              <w:jc w:val="center"/>
            </w:pPr>
            <w:r w:rsidRPr="002E52F4">
              <w:t>1.17</w:t>
            </w:r>
          </w:p>
          <w:p w:rsidR="00713488" w:rsidRPr="00E7052B" w:rsidRDefault="00713488" w:rsidP="00A23D14">
            <w:pPr>
              <w:pStyle w:val="KMC-TableTxt"/>
              <w:spacing w:before="0" w:after="0"/>
              <w:ind w:left="-57" w:right="-57"/>
              <w:jc w:val="center"/>
            </w:pPr>
            <w:r w:rsidRPr="002E52F4">
              <w:t>(0.05, 28.08)</w:t>
            </w:r>
          </w:p>
        </w:tc>
        <w:tc>
          <w:tcPr>
            <w:tcW w:w="670" w:type="pct"/>
            <w:noWrap/>
          </w:tcPr>
          <w:p w:rsidR="00713488" w:rsidRPr="002E52F4" w:rsidRDefault="00713488" w:rsidP="00BD6327">
            <w:pPr>
              <w:pStyle w:val="KMC-TableTxt"/>
              <w:spacing w:before="0" w:after="0"/>
              <w:jc w:val="center"/>
            </w:pPr>
            <w:r w:rsidRPr="002E52F4">
              <w:t>0.00</w:t>
            </w:r>
          </w:p>
          <w:p w:rsidR="00713488" w:rsidRPr="00164406" w:rsidRDefault="00713488" w:rsidP="00BD6327">
            <w:pPr>
              <w:pStyle w:val="KMC-TableTxt"/>
              <w:spacing w:before="0" w:after="0"/>
              <w:jc w:val="center"/>
            </w:pPr>
            <w:r w:rsidRPr="002E52F4">
              <w:t>(-0.08, 0.08)</w:t>
            </w:r>
          </w:p>
        </w:tc>
      </w:tr>
    </w:tbl>
    <w:p w:rsidR="00713488" w:rsidRPr="00C821E8" w:rsidRDefault="00713488" w:rsidP="00713488">
      <w:pPr>
        <w:pStyle w:val="TableFooter"/>
        <w:ind w:left="720"/>
      </w:pPr>
      <w:r w:rsidRPr="00C821E8">
        <w:t>RR = relative risk; ARD = absolute risk difference; CI = confidence interval; AE = adverse event; SAE = serious adverse event</w:t>
      </w:r>
      <w:r>
        <w:t>.</w:t>
      </w:r>
    </w:p>
    <w:p w:rsidR="00713488" w:rsidRPr="001741F4" w:rsidRDefault="00713488" w:rsidP="00713488">
      <w:pPr>
        <w:pStyle w:val="TableFooter"/>
        <w:ind w:left="720"/>
        <w:rPr>
          <w:szCs w:val="22"/>
        </w:rPr>
      </w:pPr>
      <w:r w:rsidRPr="00C821E8">
        <w:t>Source: Tables 3 and 4, statistical report for armodafinil (7 July 2015) accompanying the main submission.</w:t>
      </w:r>
    </w:p>
    <w:p w:rsidR="006F5534" w:rsidRDefault="006F5534" w:rsidP="00713488">
      <w:pPr>
        <w:pStyle w:val="ListParagraph"/>
        <w:ind w:left="0"/>
        <w:rPr>
          <w:szCs w:val="22"/>
        </w:rPr>
      </w:pPr>
    </w:p>
    <w:p w:rsidR="00713488" w:rsidRPr="004675C9" w:rsidRDefault="00713488" w:rsidP="00713488">
      <w:pPr>
        <w:pStyle w:val="Heading2"/>
      </w:pPr>
      <w:bookmarkStart w:id="18" w:name="_Toc429660435"/>
      <w:r w:rsidRPr="004675C9">
        <w:t>Clinical claim</w:t>
      </w:r>
      <w:bookmarkEnd w:id="18"/>
    </w:p>
    <w:p w:rsidR="00713488" w:rsidRPr="00882085" w:rsidRDefault="00713488" w:rsidP="00713488">
      <w:pPr>
        <w:ind w:left="720" w:hanging="720"/>
        <w:rPr>
          <w:szCs w:val="22"/>
        </w:rPr>
      </w:pPr>
    </w:p>
    <w:p w:rsidR="00713488" w:rsidRPr="0073551B" w:rsidRDefault="00713488" w:rsidP="00713488">
      <w:pPr>
        <w:pStyle w:val="ListParagraph"/>
        <w:widowControl/>
        <w:numPr>
          <w:ilvl w:val="1"/>
          <w:numId w:val="10"/>
        </w:numPr>
        <w:rPr>
          <w:szCs w:val="22"/>
        </w:rPr>
      </w:pPr>
      <w:r w:rsidRPr="00D13A3E">
        <w:t>The submission describe</w:t>
      </w:r>
      <w:r>
        <w:t>d</w:t>
      </w:r>
      <w:r w:rsidRPr="00D13A3E">
        <w:t xml:space="preserve"> </w:t>
      </w:r>
      <w:r>
        <w:t xml:space="preserve">armodafinil </w:t>
      </w:r>
      <w:r w:rsidRPr="00D13A3E">
        <w:t xml:space="preserve">as non-inferior </w:t>
      </w:r>
      <w:r>
        <w:t>to</w:t>
      </w:r>
      <w:r w:rsidRPr="00D13A3E">
        <w:t xml:space="preserve"> </w:t>
      </w:r>
      <w:r>
        <w:t>modafinil</w:t>
      </w:r>
      <w:r w:rsidRPr="00D13A3E">
        <w:t xml:space="preserve"> in terms of comparative </w:t>
      </w:r>
      <w:r>
        <w:t>efficacy and safety.</w:t>
      </w:r>
    </w:p>
    <w:p w:rsidR="00713488" w:rsidRPr="0073551B" w:rsidRDefault="00713488" w:rsidP="00713488">
      <w:pPr>
        <w:pStyle w:val="ListParagraph"/>
        <w:widowControl/>
        <w:rPr>
          <w:szCs w:val="22"/>
        </w:rPr>
      </w:pPr>
    </w:p>
    <w:p w:rsidR="00713488" w:rsidRPr="002206D8" w:rsidRDefault="003C2C23" w:rsidP="003C2C23">
      <w:pPr>
        <w:pStyle w:val="ListParagraph"/>
        <w:widowControl/>
        <w:numPr>
          <w:ilvl w:val="1"/>
          <w:numId w:val="10"/>
        </w:numPr>
        <w:rPr>
          <w:szCs w:val="22"/>
        </w:rPr>
      </w:pPr>
      <w:r w:rsidRPr="00A10267">
        <w:t xml:space="preserve">The indirect comparison in the submission was conducted using trials that were not convincingly exchangeable with uncertainties regarding choice of the non-inferiority margins. Furthermore, the evidence for modafinil was limited to OD dosing. However, the TGA Clinical Evaluator </w:t>
      </w:r>
      <w:r w:rsidR="008D7F68" w:rsidRPr="00A10267">
        <w:t xml:space="preserve">has </w:t>
      </w:r>
      <w:r w:rsidRPr="00A10267">
        <w:t>concluded that the benefits of armodafinil treatment are similar to those of modafinil (Request for ACPM advice).</w:t>
      </w:r>
    </w:p>
    <w:p w:rsidR="00B3295B" w:rsidRDefault="00B3295B" w:rsidP="00B3295B">
      <w:pPr>
        <w:rPr>
          <w:szCs w:val="22"/>
        </w:rPr>
      </w:pPr>
    </w:p>
    <w:p w:rsidR="00B3295B" w:rsidRPr="00EE6608" w:rsidRDefault="00B3295B" w:rsidP="00B3295B">
      <w:pPr>
        <w:pStyle w:val="ListParagraph"/>
        <w:widowControl/>
        <w:numPr>
          <w:ilvl w:val="1"/>
          <w:numId w:val="10"/>
        </w:numPr>
        <w:rPr>
          <w:szCs w:val="22"/>
        </w:rPr>
      </w:pPr>
      <w:r w:rsidRPr="008E386A">
        <w:t xml:space="preserve">The ESC noted the exchangeability issues raised in the commentary </w:t>
      </w:r>
      <w:r w:rsidR="00765732" w:rsidRPr="008E386A">
        <w:t xml:space="preserve">but </w:t>
      </w:r>
      <w:r w:rsidRPr="008E386A">
        <w:t>considered that Trial 3020, Fry (1998) and Gross (2000) studies showed acceptable efficacy across sleep latency, ESS and CGI-C outcome measures.</w:t>
      </w:r>
    </w:p>
    <w:p w:rsidR="00EE6608" w:rsidRPr="00EE6608" w:rsidRDefault="00EE6608" w:rsidP="00EE6608">
      <w:pPr>
        <w:pStyle w:val="ListParagraph"/>
        <w:rPr>
          <w:szCs w:val="22"/>
        </w:rPr>
      </w:pPr>
    </w:p>
    <w:p w:rsidR="00EE6608" w:rsidRPr="00EA44F3" w:rsidRDefault="00EE6608" w:rsidP="00B3295B">
      <w:pPr>
        <w:pStyle w:val="ListParagraph"/>
        <w:widowControl/>
        <w:numPr>
          <w:ilvl w:val="1"/>
          <w:numId w:val="10"/>
        </w:numPr>
        <w:rPr>
          <w:szCs w:val="22"/>
        </w:rPr>
      </w:pPr>
      <w:r w:rsidRPr="00EA44F3">
        <w:rPr>
          <w:szCs w:val="22"/>
        </w:rPr>
        <w:t xml:space="preserve">The PBAC considered that the data presented in the submission suggested that armodafinil </w:t>
      </w:r>
      <w:r w:rsidR="003F2DC3" w:rsidRPr="00EA44F3">
        <w:rPr>
          <w:szCs w:val="22"/>
        </w:rPr>
        <w:t>may be</w:t>
      </w:r>
      <w:r w:rsidRPr="00EA44F3">
        <w:rPr>
          <w:szCs w:val="22"/>
        </w:rPr>
        <w:t xml:space="preserve"> non-inferior to modafinil in terms of comparative efficacy and safety, however the estimated equi-effective doses </w:t>
      </w:r>
      <w:r w:rsidR="003F2DC3" w:rsidRPr="00EA44F3">
        <w:rPr>
          <w:szCs w:val="22"/>
        </w:rPr>
        <w:t xml:space="preserve">remained </w:t>
      </w:r>
      <w:r w:rsidR="00E56DF3" w:rsidRPr="00EA44F3">
        <w:rPr>
          <w:szCs w:val="22"/>
        </w:rPr>
        <w:t xml:space="preserve">relatively </w:t>
      </w:r>
      <w:r w:rsidR="003F2DC3" w:rsidRPr="00EA44F3">
        <w:rPr>
          <w:szCs w:val="22"/>
        </w:rPr>
        <w:t>uncertain</w:t>
      </w:r>
      <w:r w:rsidRPr="00EA44F3">
        <w:rPr>
          <w:szCs w:val="22"/>
        </w:rPr>
        <w:t>.</w:t>
      </w:r>
    </w:p>
    <w:p w:rsidR="00B3295B" w:rsidRPr="008E386A" w:rsidRDefault="00B3295B" w:rsidP="002206D8">
      <w:pPr>
        <w:widowControl/>
        <w:rPr>
          <w:szCs w:val="22"/>
        </w:rPr>
      </w:pPr>
    </w:p>
    <w:p w:rsidR="00713488" w:rsidRPr="004675C9" w:rsidRDefault="00713488" w:rsidP="00713488">
      <w:pPr>
        <w:pStyle w:val="Heading2"/>
      </w:pPr>
      <w:bookmarkStart w:id="19" w:name="_Toc429660436"/>
      <w:r w:rsidRPr="004675C9">
        <w:t>Economic analysis</w:t>
      </w:r>
      <w:bookmarkEnd w:id="19"/>
      <w:r w:rsidRPr="004675C9">
        <w:t xml:space="preserve"> </w:t>
      </w:r>
    </w:p>
    <w:p w:rsidR="00713488" w:rsidRPr="00882085" w:rsidRDefault="00713488" w:rsidP="00713488">
      <w:pPr>
        <w:ind w:left="720" w:hanging="720"/>
        <w:rPr>
          <w:szCs w:val="22"/>
        </w:rPr>
      </w:pPr>
    </w:p>
    <w:p w:rsidR="00713488" w:rsidRPr="00365A09" w:rsidRDefault="00713488" w:rsidP="00713488">
      <w:pPr>
        <w:pStyle w:val="ListParagraph"/>
        <w:widowControl/>
        <w:numPr>
          <w:ilvl w:val="1"/>
          <w:numId w:val="10"/>
        </w:numPr>
        <w:rPr>
          <w:szCs w:val="22"/>
        </w:rPr>
      </w:pPr>
      <w:r>
        <w:t xml:space="preserve">The submission argued that the randomised trials which were included for the indirect comparison of armodafinil with modafinil to inform the clinical claim were </w:t>
      </w:r>
      <w:r>
        <w:lastRenderedPageBreak/>
        <w:t xml:space="preserve">fixed dose trials and could not reflect the use of the armodafinil and modafinil in Australian clinical practice, where the doses of the two drugs would be adjusted at the discretion of clinicians. The draft armodafinil PI </w:t>
      </w:r>
      <w:r w:rsidRPr="009569F0">
        <w:t>recommend</w:t>
      </w:r>
      <w:r>
        <w:t>s</w:t>
      </w:r>
      <w:r w:rsidRPr="009569F0">
        <w:t xml:space="preserve"> </w:t>
      </w:r>
      <w:r w:rsidR="003F2DC3">
        <w:t xml:space="preserve">an </w:t>
      </w:r>
      <w:r>
        <w:t>armodafinil dose of 150</w:t>
      </w:r>
      <w:r w:rsidR="004240AA">
        <w:t> </w:t>
      </w:r>
      <w:r w:rsidRPr="009569F0">
        <w:t>mg or 250 mg</w:t>
      </w:r>
      <w:r>
        <w:t xml:space="preserve"> OD; whereas the modafinil PI indicates that the recommended dose of modafinil is 200</w:t>
      </w:r>
      <w:r w:rsidR="004240AA">
        <w:t> </w:t>
      </w:r>
      <w:r>
        <w:t xml:space="preserve">mg/day </w:t>
      </w:r>
      <w:r w:rsidR="00000FAD">
        <w:t>(as a single dose or as two divided doses)</w:t>
      </w:r>
      <w:r>
        <w:t xml:space="preserve"> and that, for patients who require more than 200</w:t>
      </w:r>
      <w:r w:rsidR="004240AA">
        <w:t> </w:t>
      </w:r>
      <w:r>
        <w:t>mg/day, the dose should be increased, to a maximum of 400</w:t>
      </w:r>
      <w:r w:rsidR="004240AA">
        <w:t> </w:t>
      </w:r>
      <w:r>
        <w:t>mg/day, in increments of 100 mg as needed and tolerated.</w:t>
      </w:r>
    </w:p>
    <w:p w:rsidR="00713488" w:rsidRPr="00365A09" w:rsidRDefault="00713488" w:rsidP="00713488">
      <w:pPr>
        <w:pStyle w:val="ListParagraph"/>
        <w:widowControl/>
        <w:rPr>
          <w:szCs w:val="22"/>
        </w:rPr>
      </w:pPr>
    </w:p>
    <w:p w:rsidR="00713488" w:rsidRPr="00253C61" w:rsidRDefault="00713488" w:rsidP="00713488">
      <w:pPr>
        <w:pStyle w:val="ListParagraph"/>
        <w:widowControl/>
        <w:numPr>
          <w:ilvl w:val="1"/>
          <w:numId w:val="10"/>
        </w:numPr>
        <w:rPr>
          <w:szCs w:val="22"/>
        </w:rPr>
      </w:pPr>
      <w:r>
        <w:t xml:space="preserve">The submission determined the dose relativity between armodafinil and modafinil on the basis of three armodafinil and two modafinil single-arm studies. </w:t>
      </w:r>
    </w:p>
    <w:p w:rsidR="00713488" w:rsidRPr="00253C61" w:rsidRDefault="00713488" w:rsidP="00713488">
      <w:pPr>
        <w:pStyle w:val="ListParagraph"/>
        <w:widowControl/>
        <w:numPr>
          <w:ilvl w:val="0"/>
          <w:numId w:val="42"/>
        </w:numPr>
      </w:pPr>
      <w:r w:rsidRPr="00253C61">
        <w:t>Study 3023</w:t>
      </w:r>
      <w:r>
        <w:t xml:space="preserve"> (armodafinil)</w:t>
      </w:r>
      <w:r w:rsidRPr="00253C61">
        <w:t>: a 12-month open-label, flexible-dosage study, followed by an open-ended extension period in patients with excessive sleepiness associated with narcolepsy, obstructive sleep apnoea/hypopnoea syndrome or shift work sleep disorder. Armodafinil was titrated from an initial dose of 100</w:t>
      </w:r>
      <w:r w:rsidR="00F86598">
        <w:t> </w:t>
      </w:r>
      <w:r w:rsidRPr="00253C61">
        <w:t>mg/day to 150</w:t>
      </w:r>
      <w:r w:rsidR="00F86598">
        <w:t> </w:t>
      </w:r>
      <w:r w:rsidRPr="00253C61">
        <w:t>mg/day on Day 4. Increments of 50</w:t>
      </w:r>
      <w:r w:rsidR="00F86598">
        <w:t> </w:t>
      </w:r>
      <w:r w:rsidRPr="00253C61">
        <w:t>mg could be made every third day to a maximum dose of 250</w:t>
      </w:r>
      <w:r w:rsidR="00F86598">
        <w:t> </w:t>
      </w:r>
      <w:r w:rsidRPr="00253C61">
        <w:t xml:space="preserve">mg/day, based on tolerability. </w:t>
      </w:r>
      <w:r>
        <w:t>T</w:t>
      </w:r>
      <w:r w:rsidRPr="00253C61">
        <w:t>he dosage could be decreased to a minimum of 100</w:t>
      </w:r>
      <w:r w:rsidR="00F86598">
        <w:t> </w:t>
      </w:r>
      <w:r w:rsidRPr="00253C61">
        <w:t xml:space="preserve">mg/day; </w:t>
      </w:r>
    </w:p>
    <w:p w:rsidR="00713488" w:rsidRPr="00253C61" w:rsidRDefault="00713488" w:rsidP="00713488">
      <w:pPr>
        <w:pStyle w:val="ListParagraph"/>
        <w:widowControl/>
        <w:numPr>
          <w:ilvl w:val="0"/>
          <w:numId w:val="42"/>
        </w:numPr>
      </w:pPr>
      <w:r w:rsidRPr="00253C61">
        <w:t>Study 3024</w:t>
      </w:r>
      <w:r>
        <w:t xml:space="preserve"> (armodafinil)</w:t>
      </w:r>
      <w:r w:rsidRPr="00253C61">
        <w:t>: a 12-month, open-label, flexible-dosage extension study which included patients who completed Trial 3020 (patients with narcolepsy), Trial 3022 (patients with shift work sleep disorders) or Trial 3025 (patients with obstructive sleep apnoea/hypopnoea syndrome). Armodafinil was titrated from a starting dose of 100</w:t>
      </w:r>
      <w:r w:rsidR="004240AA">
        <w:t> </w:t>
      </w:r>
      <w:r w:rsidRPr="00253C61">
        <w:t>mg/day to 150 mg/day on Day 4. Incre</w:t>
      </w:r>
      <w:r w:rsidR="00CB39E5">
        <w:t>ments</w:t>
      </w:r>
      <w:r w:rsidRPr="00253C61">
        <w:t xml:space="preserve"> </w:t>
      </w:r>
      <w:r w:rsidR="003F2DC3">
        <w:t>of</w:t>
      </w:r>
      <w:r w:rsidRPr="00253C61">
        <w:t xml:space="preserve"> 50</w:t>
      </w:r>
      <w:r w:rsidR="00F86598">
        <w:t> </w:t>
      </w:r>
      <w:r w:rsidRPr="00253C61">
        <w:t>mg could be made every third day to a maximum dosage of 250</w:t>
      </w:r>
      <w:r w:rsidR="004240AA">
        <w:t> </w:t>
      </w:r>
      <w:r w:rsidRPr="00253C61">
        <w:t xml:space="preserve">mg/day, based on tolerability. </w:t>
      </w:r>
      <w:r>
        <w:t>T</w:t>
      </w:r>
      <w:r w:rsidRPr="00253C61">
        <w:t>he dosage may b</w:t>
      </w:r>
      <w:r w:rsidR="00F86598">
        <w:t>e decreased to a minimum of 100 </w:t>
      </w:r>
      <w:r w:rsidRPr="00253C61">
        <w:t xml:space="preserve">mg/day; </w:t>
      </w:r>
    </w:p>
    <w:p w:rsidR="00713488" w:rsidRPr="00253C61" w:rsidRDefault="00713488" w:rsidP="00713488">
      <w:pPr>
        <w:pStyle w:val="ListParagraph"/>
        <w:widowControl/>
        <w:numPr>
          <w:ilvl w:val="0"/>
          <w:numId w:val="42"/>
        </w:numPr>
      </w:pPr>
      <w:r w:rsidRPr="00253C61">
        <w:t>Study 3046:</w:t>
      </w:r>
      <w:r>
        <w:t xml:space="preserve"> (armodafinil):</w:t>
      </w:r>
      <w:r w:rsidRPr="00253C61">
        <w:t xml:space="preserve"> an 8-week, open-label study, followed by a long-term evaluation in patients with excessive sleepiness associated with narcolepsy or obstructive sleep apnoea/hypopnoea syndrome. Armodafinil was titrated from a starting dose of 50</w:t>
      </w:r>
      <w:r w:rsidR="004240AA">
        <w:t> </w:t>
      </w:r>
      <w:r w:rsidRPr="00253C61">
        <w:t>mg/day to 150</w:t>
      </w:r>
      <w:r w:rsidR="004240AA">
        <w:t> </w:t>
      </w:r>
      <w:r w:rsidRPr="00253C61">
        <w:t>mg/day on Day 4. The dose could be increase</w:t>
      </w:r>
      <w:r w:rsidR="00CB39E5">
        <w:t>d</w:t>
      </w:r>
      <w:r w:rsidRPr="00253C61">
        <w:t xml:space="preserve"> at a 50</w:t>
      </w:r>
      <w:r w:rsidR="004240AA">
        <w:t> </w:t>
      </w:r>
      <w:r w:rsidRPr="00253C61">
        <w:t>mg increment every third day to a maximum dosage of 250</w:t>
      </w:r>
      <w:r w:rsidR="004240AA">
        <w:t> </w:t>
      </w:r>
      <w:r w:rsidRPr="00253C61">
        <w:t>mg/day during an 8-week short-term evaluation period, based on tolerability. In the long-term evaluation period, patients continued treatment with armodafinil at the optimal dose determined in the short-term evaluation period. If a patient was unable to tolerate the current dosage due to recurrent or persistent AEs, the dose of armodafinil could be decreased by one dosage level</w:t>
      </w:r>
      <w:r w:rsidR="00000FAD">
        <w:t>,</w:t>
      </w:r>
      <w:r w:rsidRPr="00253C61">
        <w:t xml:space="preserve"> to a minimum of 100</w:t>
      </w:r>
      <w:r w:rsidR="004240AA">
        <w:t> </w:t>
      </w:r>
      <w:r w:rsidRPr="00253C61">
        <w:t xml:space="preserve">mg/day; </w:t>
      </w:r>
    </w:p>
    <w:p w:rsidR="00713488" w:rsidRPr="00253C61" w:rsidRDefault="00713488" w:rsidP="00713488">
      <w:pPr>
        <w:pStyle w:val="ListParagraph"/>
        <w:widowControl/>
        <w:numPr>
          <w:ilvl w:val="0"/>
          <w:numId w:val="42"/>
        </w:numPr>
      </w:pPr>
      <w:r w:rsidRPr="00253C61">
        <w:t>Hirshkowitz 2001</w:t>
      </w:r>
      <w:r>
        <w:t xml:space="preserve"> (modafinil)</w:t>
      </w:r>
      <w:r w:rsidRPr="00253C61">
        <w:t xml:space="preserve">: a long-term, open-label, extension study of two randomised controlled trials assessing the safety and efficacy of modafinil for treatment of excessive daytime sleepiness in patients with narcolepsy. </w:t>
      </w:r>
      <w:r w:rsidR="00DD224E">
        <w:t>During the extension period, patients from one trial</w:t>
      </w:r>
      <w:r w:rsidRPr="00253C61">
        <w:t xml:space="preserve"> received modafinil at a dose of 200</w:t>
      </w:r>
      <w:r w:rsidR="004240AA">
        <w:t> </w:t>
      </w:r>
      <w:r w:rsidRPr="00253C61">
        <w:t>mg/day. Thereafter, the daily dose of modafinil could be increased or decreased in 100</w:t>
      </w:r>
      <w:r w:rsidR="004240AA">
        <w:t> </w:t>
      </w:r>
      <w:r w:rsidRPr="00253C61">
        <w:t xml:space="preserve">mg </w:t>
      </w:r>
      <w:r w:rsidR="003F2DC3">
        <w:t xml:space="preserve">increments </w:t>
      </w:r>
      <w:r w:rsidRPr="00253C61">
        <w:t>at the discretion of the investigator, depending on efficacy and tolerability. The range of daily doses permitted was 200 to 400</w:t>
      </w:r>
      <w:r w:rsidR="004240AA">
        <w:t> </w:t>
      </w:r>
      <w:r w:rsidRPr="00253C61">
        <w:t>mg. Other patients in this extension study were assigned to treatment with modafinil at a dose of 200</w:t>
      </w:r>
      <w:r w:rsidR="004240AA">
        <w:t> </w:t>
      </w:r>
      <w:r w:rsidRPr="00253C61">
        <w:t>mg for 1 week, followed by treatment with modafinil 400</w:t>
      </w:r>
      <w:r w:rsidR="004240AA">
        <w:t> </w:t>
      </w:r>
      <w:r w:rsidRPr="00253C61">
        <w:t>mg daily for 1 week. At the end of the 2-week treatment period, the study investigator determined the optimum dose of modafinil (i</w:t>
      </w:r>
      <w:r w:rsidR="004240AA">
        <w:t>.</w:t>
      </w:r>
      <w:r w:rsidRPr="00253C61">
        <w:t>e</w:t>
      </w:r>
      <w:r w:rsidR="004240AA">
        <w:t>.</w:t>
      </w:r>
      <w:r w:rsidRPr="00253C61">
        <w:t xml:space="preserve"> 200 or 400</w:t>
      </w:r>
      <w:r w:rsidR="004240AA">
        <w:t> </w:t>
      </w:r>
      <w:r w:rsidRPr="00253C61">
        <w:t xml:space="preserve">mg) based on efficacy and tolerability and assigned the patient to receive the optimum dose thereafter; and </w:t>
      </w:r>
    </w:p>
    <w:p w:rsidR="00713488" w:rsidRPr="00253C61" w:rsidRDefault="00713488" w:rsidP="00713488">
      <w:pPr>
        <w:pStyle w:val="ListParagraph"/>
        <w:widowControl/>
        <w:numPr>
          <w:ilvl w:val="0"/>
          <w:numId w:val="42"/>
        </w:numPr>
      </w:pPr>
      <w:r w:rsidRPr="00253C61">
        <w:lastRenderedPageBreak/>
        <w:t>Becker 2004</w:t>
      </w:r>
      <w:r>
        <w:t xml:space="preserve"> (modafinil)</w:t>
      </w:r>
      <w:r w:rsidRPr="00253C61">
        <w:t>: a 6-week, open-label, flexible-dosage study in patients with narcolepsy. During the first week of treatment, all patients received 200</w:t>
      </w:r>
      <w:r w:rsidR="004240AA">
        <w:t> </w:t>
      </w:r>
      <w:r w:rsidRPr="00253C61">
        <w:t>mg modafinil OD. At the end of Week 1, the dose of modafinil could be increased to 400</w:t>
      </w:r>
      <w:r w:rsidR="004240AA">
        <w:t> </w:t>
      </w:r>
      <w:r w:rsidRPr="00253C61">
        <w:t xml:space="preserve">mg at the discretion of the investigator, depending on efficacy and tolerability. At the end of the second week of treatment, the investigator determined the optimal daily dose of modafinil (either 200 or 400 mg), which was </w:t>
      </w:r>
      <w:r w:rsidR="00CB39E5">
        <w:t>given</w:t>
      </w:r>
      <w:r w:rsidRPr="00253C61">
        <w:t xml:space="preserve"> for the remainder of the study.</w:t>
      </w:r>
    </w:p>
    <w:p w:rsidR="00713488" w:rsidRPr="00365A09" w:rsidRDefault="00713488" w:rsidP="00713488">
      <w:pPr>
        <w:pStyle w:val="ListParagraph"/>
        <w:widowControl/>
        <w:rPr>
          <w:szCs w:val="22"/>
        </w:rPr>
      </w:pPr>
    </w:p>
    <w:p w:rsidR="00713488" w:rsidRPr="002B3CC5" w:rsidRDefault="00713488" w:rsidP="00713488">
      <w:pPr>
        <w:pStyle w:val="ListParagraph"/>
        <w:widowControl/>
        <w:numPr>
          <w:ilvl w:val="1"/>
          <w:numId w:val="10"/>
        </w:numPr>
        <w:rPr>
          <w:szCs w:val="22"/>
        </w:rPr>
      </w:pPr>
      <w:r>
        <w:t xml:space="preserve">The dose relativity was calculated </w:t>
      </w:r>
      <w:r w:rsidR="004F22A4">
        <w:t xml:space="preserve">based </w:t>
      </w:r>
      <w:r>
        <w:t xml:space="preserve">on the </w:t>
      </w:r>
      <w:r w:rsidRPr="00CD6801">
        <w:t>proportion of pat</w:t>
      </w:r>
      <w:r>
        <w:t xml:space="preserve">ients </w:t>
      </w:r>
      <w:r w:rsidR="008E12B4">
        <w:t xml:space="preserve">with narcolepsy </w:t>
      </w:r>
      <w:r w:rsidR="00CB39E5">
        <w:t xml:space="preserve">who have been </w:t>
      </w:r>
      <w:r>
        <w:t xml:space="preserve">stabilised on each dose of armodafinil or modafinil in Studies 3023, 3024, Hirshkowitz 2001 and Becker 2004 and the mean dose reported in Study 3046 (dose distribution not reported in this study). </w:t>
      </w:r>
      <w:r w:rsidRPr="001222FC">
        <w:t xml:space="preserve">The equi-effective doses </w:t>
      </w:r>
      <w:r w:rsidR="007460CB">
        <w:t>were</w:t>
      </w:r>
      <w:r w:rsidRPr="001222FC">
        <w:t xml:space="preserve"> estimated as </w:t>
      </w:r>
      <w:r>
        <w:t xml:space="preserve">armodafinil </w:t>
      </w:r>
      <w:r w:rsidR="00770D3D">
        <w:rPr>
          <w:noProof/>
          <w:color w:val="000000"/>
          <w:highlight w:val="black"/>
        </w:rPr>
        <w:t>''''''''''''''''</w:t>
      </w:r>
      <w:r w:rsidR="004F22A4">
        <w:t> </w:t>
      </w:r>
      <w:r>
        <w:t xml:space="preserve">mg </w:t>
      </w:r>
      <w:r w:rsidRPr="001222FC">
        <w:t xml:space="preserve">and </w:t>
      </w:r>
      <w:r>
        <w:t xml:space="preserve">modafinil </w:t>
      </w:r>
      <w:r w:rsidR="00770D3D">
        <w:rPr>
          <w:noProof/>
          <w:color w:val="000000"/>
          <w:highlight w:val="black"/>
        </w:rPr>
        <w:t>'''''''''''''''</w:t>
      </w:r>
      <w:r w:rsidR="004F22A4">
        <w:t> </w:t>
      </w:r>
      <w:r>
        <w:t xml:space="preserve">mg. The </w:t>
      </w:r>
      <w:r w:rsidRPr="006F6839">
        <w:t xml:space="preserve">ex-manufacturer </w:t>
      </w:r>
      <w:r>
        <w:t>price</w:t>
      </w:r>
      <w:r w:rsidRPr="006F6839">
        <w:t>/</w:t>
      </w:r>
      <w:r>
        <w:t xml:space="preserve">mg for modafinil and the dose relativity of </w:t>
      </w:r>
      <w:r w:rsidR="00770D3D">
        <w:rPr>
          <w:noProof/>
          <w:color w:val="000000"/>
          <w:highlight w:val="black"/>
        </w:rPr>
        <w:t>''''''''</w:t>
      </w:r>
      <w:r>
        <w:t xml:space="preserve"> (armodafinil </w:t>
      </w:r>
      <w:r>
        <w:rPr>
          <w:i/>
        </w:rPr>
        <w:t xml:space="preserve">vs </w:t>
      </w:r>
      <w:r>
        <w:t xml:space="preserve">modafinil) </w:t>
      </w:r>
      <w:r w:rsidR="003F2DC3">
        <w:t>were</w:t>
      </w:r>
      <w:r>
        <w:t xml:space="preserve"> used to determine the requested price for armodafinil.</w:t>
      </w:r>
    </w:p>
    <w:p w:rsidR="00713488" w:rsidRPr="00365A09" w:rsidRDefault="00713488" w:rsidP="00713488">
      <w:pPr>
        <w:pStyle w:val="ListParagraph"/>
        <w:widowControl/>
        <w:rPr>
          <w:szCs w:val="22"/>
        </w:rPr>
      </w:pPr>
    </w:p>
    <w:p w:rsidR="00713488" w:rsidRPr="00A10267" w:rsidRDefault="00713488" w:rsidP="00713488">
      <w:pPr>
        <w:pStyle w:val="ListParagraph"/>
        <w:widowControl/>
        <w:numPr>
          <w:ilvl w:val="1"/>
          <w:numId w:val="10"/>
        </w:numPr>
      </w:pPr>
      <w:r w:rsidRPr="00A10267">
        <w:t xml:space="preserve">The submission’s approach to determining the dose relativity between armodafinil and modafinil </w:t>
      </w:r>
      <w:r w:rsidR="003F2DC3">
        <w:t>wa</w:t>
      </w:r>
      <w:r w:rsidRPr="00A10267">
        <w:t xml:space="preserve">s not </w:t>
      </w:r>
      <w:r w:rsidR="003F2DC3">
        <w:t xml:space="preserve">considered to be </w:t>
      </w:r>
      <w:r w:rsidRPr="00A10267">
        <w:t>re</w:t>
      </w:r>
      <w:r w:rsidR="00343C19" w:rsidRPr="00A10267">
        <w:t>lia</w:t>
      </w:r>
      <w:r w:rsidRPr="00A10267">
        <w:t>ble on a number of grounds:</w:t>
      </w:r>
    </w:p>
    <w:p w:rsidR="00713488" w:rsidRPr="00A10267" w:rsidRDefault="00713488" w:rsidP="00713488">
      <w:pPr>
        <w:pStyle w:val="ListParagraph"/>
        <w:widowControl/>
        <w:numPr>
          <w:ilvl w:val="0"/>
          <w:numId w:val="42"/>
        </w:numPr>
      </w:pPr>
      <w:r w:rsidRPr="00795AD9">
        <w:t>The dose relativity was determined without considering health outcomes to form the basis of a judgement about equi-effectiveness.</w:t>
      </w:r>
      <w:r w:rsidRPr="00A10267">
        <w:t xml:space="preserve"> A meaningful indirect comparison </w:t>
      </w:r>
      <w:r w:rsidR="007A2E85" w:rsidRPr="00A10267">
        <w:t xml:space="preserve">between armodafinil and modafinil </w:t>
      </w:r>
      <w:r w:rsidRPr="00A10267">
        <w:t>cannot be con</w:t>
      </w:r>
      <w:r w:rsidR="007A2E85">
        <w:t>struc</w:t>
      </w:r>
      <w:r w:rsidRPr="00A10267">
        <w:t xml:space="preserve">ted from these long term observational </w:t>
      </w:r>
      <w:r w:rsidR="007A2E85">
        <w:t>data</w:t>
      </w:r>
      <w:r w:rsidRPr="00A10267">
        <w:t>, because: 1) limited data on patient baseline characteristics are available for Studies 3023, 3024 and Hirshkowitz 2001; 2) all three studies were single-arm studies</w:t>
      </w:r>
      <w:r w:rsidR="007A2E85">
        <w:t xml:space="preserve"> (t</w:t>
      </w:r>
      <w:r w:rsidRPr="00A10267">
        <w:t xml:space="preserve">he lack of </w:t>
      </w:r>
      <w:r w:rsidR="00372CB8" w:rsidRPr="00A10267">
        <w:t xml:space="preserve">a </w:t>
      </w:r>
      <w:r w:rsidRPr="00A10267">
        <w:t>common reference group makes it impossible to assess exchangeability assumption</w:t>
      </w:r>
      <w:r w:rsidR="000C0911">
        <w:t>,</w:t>
      </w:r>
      <w:r w:rsidRPr="00A10267">
        <w:t xml:space="preserve"> or conduct a common reference-based</w:t>
      </w:r>
      <w:r w:rsidR="000C0911">
        <w:t xml:space="preserve"> [</w:t>
      </w:r>
      <w:r w:rsidRPr="00A10267">
        <w:t>adjusted</w:t>
      </w:r>
      <w:r w:rsidR="000C0911">
        <w:t>]</w:t>
      </w:r>
      <w:r w:rsidRPr="00A10267">
        <w:t xml:space="preserve"> indirect comparison</w:t>
      </w:r>
      <w:r w:rsidR="000C0911">
        <w:t>)</w:t>
      </w:r>
      <w:r w:rsidRPr="00A10267">
        <w:t xml:space="preserve">; 3) the published paper on study Hirshkowitz 2001 only presented the mean ESS scores at different time points during the study, without reporting </w:t>
      </w:r>
      <w:r w:rsidR="000C0911">
        <w:t>results of variability measures (t</w:t>
      </w:r>
      <w:r w:rsidRPr="00A10267">
        <w:t>herefore, 95% confidence intervals of the indirect point estimates cannot be calculated for non-inferiority testing</w:t>
      </w:r>
      <w:r w:rsidR="000C0911">
        <w:t>)</w:t>
      </w:r>
      <w:r w:rsidRPr="00A10267">
        <w:t xml:space="preserve">; </w:t>
      </w:r>
    </w:p>
    <w:p w:rsidR="00713488" w:rsidRPr="00A10267" w:rsidRDefault="00713488" w:rsidP="00713488">
      <w:pPr>
        <w:pStyle w:val="ListParagraph"/>
        <w:widowControl/>
        <w:numPr>
          <w:ilvl w:val="0"/>
          <w:numId w:val="42"/>
        </w:numPr>
      </w:pPr>
      <w:r w:rsidRPr="00A10267">
        <w:t>It is unclear whether the dose distribution of modafinil, i</w:t>
      </w:r>
      <w:r w:rsidR="004F22A4">
        <w:t>.</w:t>
      </w:r>
      <w:r w:rsidRPr="00A10267">
        <w:t>e</w:t>
      </w:r>
      <w:r w:rsidR="004F22A4">
        <w:t>.</w:t>
      </w:r>
      <w:r w:rsidRPr="00A10267">
        <w:t xml:space="preserve"> a vast majority of patients receiving a higher dose of 400</w:t>
      </w:r>
      <w:r w:rsidR="00D76099">
        <w:t> </w:t>
      </w:r>
      <w:r w:rsidRPr="00A10267">
        <w:t>mg, as observed in the two modafinil studies (Hirshkowitz 2001 and Becker 2004), reflect Australian clinical practice. Although a maximum dose of 400</w:t>
      </w:r>
      <w:r w:rsidR="00D76099">
        <w:t> </w:t>
      </w:r>
      <w:r w:rsidRPr="00A10267">
        <w:t>mg daily is recommended, both the Australian Medicines Handbook and the modafinil PI suggest that “there is no statistically significant evidence that doses of 400</w:t>
      </w:r>
      <w:r w:rsidR="00D76099">
        <w:t> </w:t>
      </w:r>
      <w:r w:rsidRPr="00A10267">
        <w:t>mg daily give greater benefit than 200</w:t>
      </w:r>
      <w:r w:rsidR="00D76099">
        <w:t> </w:t>
      </w:r>
      <w:r w:rsidRPr="00A10267">
        <w:t>mg daily”; and</w:t>
      </w:r>
    </w:p>
    <w:p w:rsidR="00713488" w:rsidRPr="00A10267" w:rsidRDefault="00713488" w:rsidP="00713488">
      <w:pPr>
        <w:pStyle w:val="ListParagraph"/>
        <w:widowControl/>
        <w:numPr>
          <w:ilvl w:val="0"/>
          <w:numId w:val="42"/>
        </w:numPr>
      </w:pPr>
      <w:r w:rsidRPr="00A10267">
        <w:t xml:space="preserve">The submission did not consider alternative modafinil </w:t>
      </w:r>
      <w:r w:rsidR="00343C19" w:rsidRPr="00A10267">
        <w:t xml:space="preserve">dosing </w:t>
      </w:r>
      <w:r w:rsidRPr="00A10267">
        <w:t>regimen</w:t>
      </w:r>
      <w:r w:rsidR="00343C19" w:rsidRPr="00A10267">
        <w:t>s</w:t>
      </w:r>
      <w:r w:rsidRPr="00A10267">
        <w:t xml:space="preserve">. The BD dosing was not used in the two modafinil studies. As noted earlier, a split dose of modafinil improves wakefulness in the later afternoon or evening </w:t>
      </w:r>
      <w:r w:rsidR="00681201">
        <w:t>compared to a</w:t>
      </w:r>
      <w:r w:rsidRPr="00A10267">
        <w:t xml:space="preserve"> single dose;</w:t>
      </w:r>
    </w:p>
    <w:p w:rsidR="00713488" w:rsidRPr="00A10267" w:rsidRDefault="00713488" w:rsidP="00D260F5">
      <w:pPr>
        <w:pStyle w:val="ListParagraph"/>
        <w:widowControl/>
        <w:numPr>
          <w:ilvl w:val="0"/>
          <w:numId w:val="42"/>
        </w:numPr>
      </w:pPr>
      <w:r w:rsidRPr="00A10267">
        <w:t xml:space="preserve">The </w:t>
      </w:r>
      <w:r w:rsidR="00D260F5" w:rsidRPr="00A10267">
        <w:t>dose of</w:t>
      </w:r>
      <w:r w:rsidRPr="00A10267">
        <w:t xml:space="preserve"> armodafinil was </w:t>
      </w:r>
      <w:r w:rsidR="00D260F5" w:rsidRPr="00A10267">
        <w:t xml:space="preserve">titrated </w:t>
      </w:r>
      <w:r w:rsidR="00681201">
        <w:t>according to</w:t>
      </w:r>
      <w:r w:rsidRPr="00A10267">
        <w:t xml:space="preserve"> tolerability in all three armodafinil studies</w:t>
      </w:r>
      <w:r w:rsidR="00AA50A3" w:rsidRPr="00A10267">
        <w:t>, at an increment or decrement of 50</w:t>
      </w:r>
      <w:r w:rsidR="00D76099">
        <w:t> </w:t>
      </w:r>
      <w:r w:rsidR="00AA50A3" w:rsidRPr="00A10267">
        <w:t>mg</w:t>
      </w:r>
      <w:r w:rsidRPr="00A10267">
        <w:t>. It is uncertain whether the dose distribution of armodafinil following this manner of titration would best reflect th</w:t>
      </w:r>
      <w:r w:rsidR="00681201">
        <w:t>os</w:t>
      </w:r>
      <w:r w:rsidRPr="00A10267">
        <w:t>e</w:t>
      </w:r>
      <w:r w:rsidR="00681201">
        <w:t xml:space="preserve"> in</w:t>
      </w:r>
      <w:r w:rsidRPr="00A10267">
        <w:t xml:space="preserve"> clinical practice</w:t>
      </w:r>
      <w:r w:rsidR="00D260F5" w:rsidRPr="00A10267">
        <w:t>. The proposed armodafinil PI recommends a dosage regimen of either 150</w:t>
      </w:r>
      <w:r w:rsidR="00D76099">
        <w:t> </w:t>
      </w:r>
      <w:r w:rsidR="00D260F5" w:rsidRPr="00A10267">
        <w:t>mg or 250</w:t>
      </w:r>
      <w:r w:rsidR="00D76099">
        <w:t> </w:t>
      </w:r>
      <w:r w:rsidR="00D260F5" w:rsidRPr="00A10267">
        <w:t>mg OD</w:t>
      </w:r>
      <w:r w:rsidR="00E27F43" w:rsidRPr="00A10267">
        <w:t xml:space="preserve">; and </w:t>
      </w:r>
    </w:p>
    <w:p w:rsidR="00E27F43" w:rsidRPr="00A10267" w:rsidRDefault="00E27F43" w:rsidP="00E27F43">
      <w:pPr>
        <w:pStyle w:val="ListParagraph"/>
        <w:widowControl/>
        <w:numPr>
          <w:ilvl w:val="0"/>
          <w:numId w:val="42"/>
        </w:numPr>
      </w:pPr>
      <w:r w:rsidRPr="00A10267">
        <w:t>Some dose regimens in the five studies</w:t>
      </w:r>
      <w:r w:rsidR="00C31BA5" w:rsidRPr="00A10267">
        <w:t xml:space="preserve"> used to estimate the dose relativity</w:t>
      </w:r>
      <w:r w:rsidRPr="00A10267">
        <w:t xml:space="preserve"> are not recommended by PI documents, e</w:t>
      </w:r>
      <w:r w:rsidR="004F22A4">
        <w:t>.</w:t>
      </w:r>
      <w:r w:rsidRPr="00A10267">
        <w:t>g</w:t>
      </w:r>
      <w:r w:rsidR="004F22A4">
        <w:t>.</w:t>
      </w:r>
      <w:r w:rsidRPr="00A10267">
        <w:t xml:space="preserve"> modafinil 800</w:t>
      </w:r>
      <w:r w:rsidR="004F22A4">
        <w:t> </w:t>
      </w:r>
      <w:r w:rsidRPr="00A10267">
        <w:t>mg, armodafinil 50</w:t>
      </w:r>
      <w:r w:rsidR="004F22A4">
        <w:t> </w:t>
      </w:r>
      <w:r w:rsidRPr="00A10267">
        <w:t>mg, 100</w:t>
      </w:r>
      <w:r w:rsidR="004F22A4">
        <w:t> </w:t>
      </w:r>
      <w:r w:rsidRPr="00A10267">
        <w:t>mg and 200</w:t>
      </w:r>
      <w:r w:rsidR="004F22A4">
        <w:t> </w:t>
      </w:r>
      <w:r w:rsidRPr="00A10267">
        <w:t>mg.</w:t>
      </w:r>
    </w:p>
    <w:p w:rsidR="00713488" w:rsidRDefault="00713488" w:rsidP="00713488">
      <w:pPr>
        <w:pStyle w:val="ListParagraph"/>
        <w:widowControl/>
        <w:rPr>
          <w:szCs w:val="22"/>
        </w:rPr>
      </w:pPr>
    </w:p>
    <w:p w:rsidR="00AD19E7" w:rsidRPr="00AD19E7" w:rsidRDefault="00AD19E7" w:rsidP="00AD19E7">
      <w:pPr>
        <w:pStyle w:val="ListParagraph"/>
        <w:widowControl/>
        <w:numPr>
          <w:ilvl w:val="1"/>
          <w:numId w:val="10"/>
        </w:numPr>
        <w:rPr>
          <w:szCs w:val="22"/>
        </w:rPr>
      </w:pPr>
      <w:r w:rsidRPr="00AD19E7">
        <w:t xml:space="preserve">The ESC noted that similar effects were observed between modafinil 200 mg and 400 mg vs armodafinil 150 mg and 250 mg, however no dose response data was provided.  </w:t>
      </w:r>
    </w:p>
    <w:p w:rsidR="00AD19E7" w:rsidRPr="00A10267" w:rsidRDefault="00AD19E7" w:rsidP="00AD19E7">
      <w:pPr>
        <w:pStyle w:val="ListParagraph"/>
        <w:widowControl/>
        <w:rPr>
          <w:szCs w:val="22"/>
        </w:rPr>
      </w:pPr>
    </w:p>
    <w:p w:rsidR="00713488" w:rsidRPr="00A10267" w:rsidRDefault="00713488" w:rsidP="00713488">
      <w:pPr>
        <w:pStyle w:val="ListParagraph"/>
        <w:widowControl/>
        <w:numPr>
          <w:ilvl w:val="1"/>
          <w:numId w:val="10"/>
        </w:numPr>
        <w:rPr>
          <w:szCs w:val="22"/>
        </w:rPr>
      </w:pPr>
      <w:r w:rsidRPr="00A10267">
        <w:t xml:space="preserve">The comparative costs of armodafinil and modafinil treatment per day were calculated during the evaluation and presented below. The daily dose distributions for armodafinil and modafinil were based on a weighted average of the strength distributions from Studies 3024 and 3023 and on the strength distribution from Study Hirshkowitz 2001, as the proportion of </w:t>
      </w:r>
      <w:r w:rsidR="00372CB8" w:rsidRPr="00A10267">
        <w:t>narcolep</w:t>
      </w:r>
      <w:r w:rsidR="005100E9" w:rsidRPr="00A10267">
        <w:t>tic</w:t>
      </w:r>
      <w:r w:rsidR="00372CB8" w:rsidRPr="00A10267">
        <w:t xml:space="preserve"> </w:t>
      </w:r>
      <w:r w:rsidRPr="00A10267">
        <w:t xml:space="preserve">patients receiving each dose of armodafinil was not reported in Study 3046 and </w:t>
      </w:r>
      <w:r w:rsidR="00E27F43" w:rsidRPr="00A10267">
        <w:t xml:space="preserve">some </w:t>
      </w:r>
      <w:r w:rsidRPr="00A10267">
        <w:t xml:space="preserve">patients in Becker 2004 were treated with </w:t>
      </w:r>
      <w:r w:rsidR="00681201">
        <w:t xml:space="preserve">a </w:t>
      </w:r>
      <w:r w:rsidRPr="00A10267">
        <w:t xml:space="preserve">modafinil dose which </w:t>
      </w:r>
      <w:r w:rsidR="00E27F43" w:rsidRPr="00A10267">
        <w:t>is not recommended, i</w:t>
      </w:r>
      <w:r w:rsidR="00D76099">
        <w:t>.</w:t>
      </w:r>
      <w:r w:rsidR="00E27F43" w:rsidRPr="00A10267">
        <w:t>e</w:t>
      </w:r>
      <w:r w:rsidR="00D76099">
        <w:t>.</w:t>
      </w:r>
      <w:r w:rsidR="00E27F43" w:rsidRPr="00A10267">
        <w:t xml:space="preserve"> </w:t>
      </w:r>
      <w:r w:rsidRPr="00A10267">
        <w:t>800</w:t>
      </w:r>
      <w:r w:rsidR="004F22A4">
        <w:t> </w:t>
      </w:r>
      <w:r w:rsidRPr="00A10267">
        <w:t>mg</w:t>
      </w:r>
      <w:r w:rsidR="00681201">
        <w:t>. H</w:t>
      </w:r>
      <w:r w:rsidR="00C31BA5" w:rsidRPr="00A10267">
        <w:t>owever, the dose of 800</w:t>
      </w:r>
      <w:r w:rsidR="004F22A4">
        <w:t> </w:t>
      </w:r>
      <w:r w:rsidR="00AA50A3" w:rsidRPr="00A10267">
        <w:t>mg</w:t>
      </w:r>
      <w:r w:rsidR="00C31BA5" w:rsidRPr="00A10267">
        <w:t>/day in Becker 2004 was used in the submission’s calculation of the dose relativity between armodafinil and modafinil</w:t>
      </w:r>
      <w:r w:rsidRPr="00A10267">
        <w:t>.</w:t>
      </w:r>
    </w:p>
    <w:p w:rsidR="00713488" w:rsidRPr="00A10267" w:rsidRDefault="00713488" w:rsidP="00713488">
      <w:pPr>
        <w:pStyle w:val="ListParagraph"/>
        <w:widowControl/>
        <w:rPr>
          <w:szCs w:val="22"/>
        </w:rPr>
      </w:pPr>
    </w:p>
    <w:p w:rsidR="00713488" w:rsidRPr="00A10267" w:rsidRDefault="00713488" w:rsidP="00713488">
      <w:pPr>
        <w:pStyle w:val="Tablename0"/>
        <w:ind w:firstLine="720"/>
      </w:pPr>
      <w:r w:rsidRPr="00A10267">
        <w:t xml:space="preserve">Table </w:t>
      </w:r>
      <w:r w:rsidR="00071CFE">
        <w:t>7</w:t>
      </w:r>
      <w:r w:rsidRPr="00A10267">
        <w:t>: Costs for armodafinil and modafinil per day</w:t>
      </w:r>
    </w:p>
    <w:tbl>
      <w:tblPr>
        <w:tblStyle w:val="TableGrid"/>
        <w:tblW w:w="8514" w:type="dxa"/>
        <w:tblInd w:w="808" w:type="dxa"/>
        <w:tblLook w:val="04A0" w:firstRow="1" w:lastRow="0" w:firstColumn="1" w:lastColumn="0" w:noHBand="0" w:noVBand="1"/>
        <w:tblCaption w:val="Table 7"/>
        <w:tblDescription w:val="Inputs for economic analysis relating to costs per day for armodafinil and modafinil. "/>
      </w:tblPr>
      <w:tblGrid>
        <w:gridCol w:w="718"/>
        <w:gridCol w:w="1276"/>
        <w:gridCol w:w="2835"/>
        <w:gridCol w:w="1905"/>
        <w:gridCol w:w="1780"/>
      </w:tblGrid>
      <w:tr w:rsidR="00713488" w:rsidRPr="00A10267" w:rsidTr="003347C6">
        <w:trPr>
          <w:tblHeader/>
        </w:trPr>
        <w:tc>
          <w:tcPr>
            <w:tcW w:w="718" w:type="dxa"/>
          </w:tcPr>
          <w:p w:rsidR="00713488" w:rsidRPr="00A10267" w:rsidRDefault="00713488" w:rsidP="008B4C07">
            <w:pPr>
              <w:jc w:val="center"/>
              <w:rPr>
                <w:rFonts w:ascii="Arial Narrow" w:hAnsi="Arial Narrow"/>
                <w:b/>
                <w:sz w:val="20"/>
              </w:rPr>
            </w:pPr>
          </w:p>
        </w:tc>
        <w:tc>
          <w:tcPr>
            <w:tcW w:w="1276" w:type="dxa"/>
          </w:tcPr>
          <w:p w:rsidR="00713488" w:rsidRPr="00A10267" w:rsidRDefault="00713488" w:rsidP="008B4C07">
            <w:pPr>
              <w:jc w:val="center"/>
              <w:rPr>
                <w:rFonts w:ascii="Arial Narrow" w:hAnsi="Arial Narrow"/>
                <w:b/>
                <w:sz w:val="20"/>
              </w:rPr>
            </w:pPr>
            <w:r w:rsidRPr="00A10267">
              <w:rPr>
                <w:rFonts w:ascii="Arial Narrow" w:hAnsi="Arial Narrow"/>
                <w:b/>
                <w:sz w:val="20"/>
              </w:rPr>
              <w:t>Dose distribution</w:t>
            </w:r>
          </w:p>
        </w:tc>
        <w:tc>
          <w:tcPr>
            <w:tcW w:w="2835" w:type="dxa"/>
          </w:tcPr>
          <w:p w:rsidR="00713488" w:rsidRPr="00A10267" w:rsidRDefault="00D047B1" w:rsidP="00D047B1">
            <w:pPr>
              <w:jc w:val="center"/>
              <w:rPr>
                <w:rFonts w:ascii="Arial Narrow" w:hAnsi="Arial Narrow"/>
                <w:b/>
                <w:sz w:val="20"/>
              </w:rPr>
            </w:pPr>
            <w:r w:rsidRPr="00A10267">
              <w:rPr>
                <w:rFonts w:ascii="Arial Narrow" w:hAnsi="Arial Narrow"/>
                <w:b/>
                <w:sz w:val="20"/>
              </w:rPr>
              <w:t>Number of tablets/</w:t>
            </w:r>
            <w:r w:rsidR="00713488" w:rsidRPr="00A10267">
              <w:rPr>
                <w:rFonts w:ascii="Arial Narrow" w:hAnsi="Arial Narrow"/>
                <w:b/>
                <w:sz w:val="20"/>
              </w:rPr>
              <w:t>day</w:t>
            </w:r>
          </w:p>
        </w:tc>
        <w:tc>
          <w:tcPr>
            <w:tcW w:w="1905" w:type="dxa"/>
          </w:tcPr>
          <w:p w:rsidR="00713488" w:rsidRPr="00A10267" w:rsidRDefault="00D047B1" w:rsidP="00D047B1">
            <w:pPr>
              <w:jc w:val="center"/>
              <w:rPr>
                <w:rFonts w:ascii="Arial Narrow" w:hAnsi="Arial Narrow"/>
                <w:b/>
                <w:sz w:val="20"/>
              </w:rPr>
            </w:pPr>
            <w:r w:rsidRPr="00A10267">
              <w:rPr>
                <w:rFonts w:ascii="Arial Narrow" w:hAnsi="Arial Narrow"/>
                <w:b/>
                <w:sz w:val="20"/>
              </w:rPr>
              <w:t>Dispensed price/</w:t>
            </w:r>
            <w:r w:rsidR="00713488" w:rsidRPr="00A10267">
              <w:rPr>
                <w:rFonts w:ascii="Arial Narrow" w:hAnsi="Arial Narrow"/>
                <w:b/>
                <w:sz w:val="20"/>
              </w:rPr>
              <w:t>day</w:t>
            </w:r>
          </w:p>
        </w:tc>
        <w:tc>
          <w:tcPr>
            <w:tcW w:w="1780" w:type="dxa"/>
          </w:tcPr>
          <w:p w:rsidR="00713488" w:rsidRPr="00A10267" w:rsidRDefault="00D047B1" w:rsidP="00D047B1">
            <w:pPr>
              <w:ind w:left="-57" w:right="-57"/>
              <w:jc w:val="center"/>
              <w:rPr>
                <w:rFonts w:ascii="Arial Narrow" w:hAnsi="Arial Narrow"/>
                <w:b/>
                <w:sz w:val="20"/>
              </w:rPr>
            </w:pPr>
            <w:r w:rsidRPr="00A10267">
              <w:rPr>
                <w:rFonts w:ascii="Arial Narrow" w:hAnsi="Arial Narrow"/>
                <w:b/>
                <w:sz w:val="20"/>
              </w:rPr>
              <w:t>Weighted dispensed price/</w:t>
            </w:r>
            <w:r w:rsidR="00713488" w:rsidRPr="00A10267">
              <w:rPr>
                <w:rFonts w:ascii="Arial Narrow" w:hAnsi="Arial Narrow"/>
                <w:b/>
                <w:sz w:val="20"/>
              </w:rPr>
              <w:t>day</w:t>
            </w:r>
          </w:p>
        </w:tc>
      </w:tr>
      <w:tr w:rsidR="00713488" w:rsidRPr="00A10267" w:rsidTr="00D047B1">
        <w:tc>
          <w:tcPr>
            <w:tcW w:w="8514" w:type="dxa"/>
            <w:gridSpan w:val="5"/>
          </w:tcPr>
          <w:p w:rsidR="00713488" w:rsidRPr="00A10267" w:rsidRDefault="00713488" w:rsidP="008B4C07">
            <w:pPr>
              <w:rPr>
                <w:rFonts w:ascii="Arial Narrow" w:hAnsi="Arial Narrow"/>
                <w:b/>
                <w:sz w:val="20"/>
              </w:rPr>
            </w:pPr>
            <w:r w:rsidRPr="00A10267">
              <w:rPr>
                <w:rFonts w:ascii="Arial Narrow" w:hAnsi="Arial Narrow"/>
                <w:b/>
                <w:sz w:val="20"/>
              </w:rPr>
              <w:t>Armodafinil</w:t>
            </w:r>
          </w:p>
        </w:tc>
      </w:tr>
      <w:tr w:rsidR="00713488" w:rsidRPr="00A10267" w:rsidTr="00D047B1">
        <w:tc>
          <w:tcPr>
            <w:tcW w:w="718" w:type="dxa"/>
          </w:tcPr>
          <w:p w:rsidR="00713488" w:rsidRPr="00A10267" w:rsidRDefault="00713488" w:rsidP="008B4C07">
            <w:pPr>
              <w:rPr>
                <w:rFonts w:ascii="Arial Narrow" w:hAnsi="Arial Narrow"/>
                <w:sz w:val="20"/>
              </w:rPr>
            </w:pPr>
            <w:r w:rsidRPr="00A10267">
              <w:rPr>
                <w:rFonts w:ascii="Arial Narrow" w:hAnsi="Arial Narrow"/>
                <w:sz w:val="20"/>
              </w:rPr>
              <w:t>250mg</w:t>
            </w:r>
          </w:p>
        </w:tc>
        <w:tc>
          <w:tcPr>
            <w:tcW w:w="1276" w:type="dxa"/>
            <w:vAlign w:val="bottom"/>
          </w:tcPr>
          <w:p w:rsidR="00713488" w:rsidRPr="00A10267" w:rsidRDefault="008D02C9" w:rsidP="008B4C07">
            <w:pPr>
              <w:jc w:val="center"/>
              <w:rPr>
                <w:rFonts w:ascii="Arial Narrow" w:hAnsi="Arial Narrow"/>
                <w:sz w:val="20"/>
              </w:rPr>
            </w:pPr>
            <w:r w:rsidRPr="00A10267">
              <w:rPr>
                <w:rFonts w:ascii="Arial Narrow" w:hAnsi="Arial Narrow"/>
                <w:color w:val="000000"/>
                <w:sz w:val="20"/>
              </w:rPr>
              <w:t>66.1</w:t>
            </w:r>
            <w:r w:rsidR="00713488" w:rsidRPr="00A10267">
              <w:rPr>
                <w:rFonts w:ascii="Arial Narrow" w:hAnsi="Arial Narrow"/>
                <w:color w:val="000000"/>
                <w:sz w:val="20"/>
              </w:rPr>
              <w:t>%</w:t>
            </w:r>
          </w:p>
        </w:tc>
        <w:tc>
          <w:tcPr>
            <w:tcW w:w="2835" w:type="dxa"/>
          </w:tcPr>
          <w:p w:rsidR="00713488" w:rsidRPr="00A10267" w:rsidRDefault="00713488" w:rsidP="008B4C07">
            <w:pPr>
              <w:rPr>
                <w:rFonts w:ascii="Arial Narrow" w:hAnsi="Arial Narrow"/>
                <w:sz w:val="20"/>
              </w:rPr>
            </w:pPr>
            <w:r w:rsidRPr="00A10267">
              <w:rPr>
                <w:rFonts w:ascii="Arial Narrow" w:hAnsi="Arial Narrow"/>
                <w:sz w:val="20"/>
              </w:rPr>
              <w:t>1 x 250mg tablet</w:t>
            </w:r>
          </w:p>
        </w:tc>
        <w:tc>
          <w:tcPr>
            <w:tcW w:w="1905" w:type="dxa"/>
            <w:vAlign w:val="bottom"/>
          </w:tcPr>
          <w:p w:rsidR="00713488" w:rsidRPr="00A10267" w:rsidRDefault="00713488" w:rsidP="008B4C07">
            <w:pPr>
              <w:jc w:val="right"/>
              <w:rPr>
                <w:rFonts w:ascii="Arial Narrow" w:hAnsi="Arial Narrow"/>
                <w:sz w:val="20"/>
              </w:rPr>
            </w:pPr>
            <w:r w:rsidRPr="00A10267">
              <w:rPr>
                <w:rFonts w:ascii="Arial Narrow" w:hAnsi="Arial Narrow"/>
                <w:color w:val="000000"/>
                <w:sz w:val="20"/>
              </w:rPr>
              <w:t>$</w:t>
            </w:r>
            <w:r w:rsidR="00770D3D">
              <w:rPr>
                <w:rFonts w:ascii="Arial Narrow" w:hAnsi="Arial Narrow"/>
                <w:noProof/>
                <w:color w:val="000000"/>
                <w:sz w:val="20"/>
                <w:highlight w:val="black"/>
              </w:rPr>
              <w:t>''''''''''''''</w:t>
            </w:r>
          </w:p>
        </w:tc>
        <w:tc>
          <w:tcPr>
            <w:tcW w:w="1780" w:type="dxa"/>
            <w:vMerge w:val="restart"/>
            <w:vAlign w:val="center"/>
          </w:tcPr>
          <w:p w:rsidR="00713488" w:rsidRPr="00A10267" w:rsidRDefault="00713488" w:rsidP="008D02C9">
            <w:pPr>
              <w:jc w:val="right"/>
              <w:rPr>
                <w:rFonts w:ascii="Arial Narrow" w:hAnsi="Arial Narrow"/>
                <w:b/>
                <w:color w:val="000000"/>
                <w:sz w:val="20"/>
              </w:rPr>
            </w:pPr>
            <w:r w:rsidRPr="00A10267">
              <w:rPr>
                <w:rFonts w:ascii="Arial Narrow" w:hAnsi="Arial Narrow"/>
                <w:b/>
                <w:color w:val="000000"/>
                <w:sz w:val="20"/>
              </w:rPr>
              <w:t>$</w:t>
            </w:r>
            <w:r w:rsidR="00770D3D">
              <w:rPr>
                <w:rFonts w:ascii="Arial Narrow" w:hAnsi="Arial Narrow"/>
                <w:b/>
                <w:noProof/>
                <w:color w:val="000000"/>
                <w:sz w:val="20"/>
                <w:highlight w:val="black"/>
              </w:rPr>
              <w:t>'''''''''</w:t>
            </w:r>
          </w:p>
        </w:tc>
      </w:tr>
      <w:tr w:rsidR="00713488" w:rsidRPr="00A10267" w:rsidTr="00D047B1">
        <w:tc>
          <w:tcPr>
            <w:tcW w:w="718" w:type="dxa"/>
          </w:tcPr>
          <w:p w:rsidR="00713488" w:rsidRPr="00A10267" w:rsidRDefault="00713488" w:rsidP="008B4C07">
            <w:pPr>
              <w:rPr>
                <w:rFonts w:ascii="Arial Narrow" w:hAnsi="Arial Narrow"/>
                <w:sz w:val="20"/>
              </w:rPr>
            </w:pPr>
            <w:r w:rsidRPr="00A10267">
              <w:rPr>
                <w:rFonts w:ascii="Arial Narrow" w:hAnsi="Arial Narrow"/>
                <w:sz w:val="20"/>
              </w:rPr>
              <w:t>200mg</w:t>
            </w:r>
          </w:p>
        </w:tc>
        <w:tc>
          <w:tcPr>
            <w:tcW w:w="1276" w:type="dxa"/>
            <w:vAlign w:val="bottom"/>
          </w:tcPr>
          <w:p w:rsidR="00713488" w:rsidRPr="00A10267" w:rsidRDefault="008D02C9" w:rsidP="008B4C07">
            <w:pPr>
              <w:jc w:val="center"/>
              <w:rPr>
                <w:rFonts w:ascii="Arial Narrow" w:hAnsi="Arial Narrow"/>
                <w:sz w:val="20"/>
              </w:rPr>
            </w:pPr>
            <w:r w:rsidRPr="00A10267">
              <w:rPr>
                <w:rFonts w:ascii="Arial Narrow" w:hAnsi="Arial Narrow"/>
                <w:color w:val="000000"/>
                <w:sz w:val="20"/>
              </w:rPr>
              <w:t>10.5</w:t>
            </w:r>
            <w:r w:rsidR="00713488" w:rsidRPr="00A10267">
              <w:rPr>
                <w:rFonts w:ascii="Arial Narrow" w:hAnsi="Arial Narrow"/>
                <w:color w:val="000000"/>
                <w:sz w:val="20"/>
              </w:rPr>
              <w:t>%</w:t>
            </w:r>
          </w:p>
        </w:tc>
        <w:tc>
          <w:tcPr>
            <w:tcW w:w="2835" w:type="dxa"/>
          </w:tcPr>
          <w:p w:rsidR="00713488" w:rsidRPr="00A10267" w:rsidRDefault="00713488" w:rsidP="008B4C07">
            <w:pPr>
              <w:rPr>
                <w:rFonts w:ascii="Arial Narrow" w:hAnsi="Arial Narrow"/>
                <w:sz w:val="20"/>
              </w:rPr>
            </w:pPr>
            <w:r w:rsidRPr="00A10267">
              <w:rPr>
                <w:rFonts w:ascii="Arial Narrow" w:hAnsi="Arial Narrow"/>
                <w:sz w:val="20"/>
              </w:rPr>
              <w:t>1 x 150mg tablet + 1 x 50mg tablet</w:t>
            </w:r>
          </w:p>
        </w:tc>
        <w:tc>
          <w:tcPr>
            <w:tcW w:w="1905" w:type="dxa"/>
            <w:vAlign w:val="bottom"/>
          </w:tcPr>
          <w:p w:rsidR="00713488" w:rsidRPr="00A10267" w:rsidRDefault="00713488" w:rsidP="008B4C07">
            <w:pPr>
              <w:jc w:val="right"/>
              <w:rPr>
                <w:rFonts w:ascii="Arial Narrow" w:hAnsi="Arial Narrow"/>
                <w:sz w:val="20"/>
              </w:rPr>
            </w:pPr>
            <w:r w:rsidRPr="00A10267">
              <w:rPr>
                <w:rFonts w:ascii="Arial Narrow" w:hAnsi="Arial Narrow"/>
                <w:color w:val="000000"/>
                <w:sz w:val="20"/>
              </w:rPr>
              <w:t>$</w:t>
            </w:r>
            <w:r w:rsidR="00770D3D">
              <w:rPr>
                <w:rFonts w:ascii="Arial Narrow" w:hAnsi="Arial Narrow"/>
                <w:noProof/>
                <w:color w:val="000000"/>
                <w:sz w:val="20"/>
                <w:highlight w:val="black"/>
              </w:rPr>
              <w:t>''''''''''</w:t>
            </w:r>
          </w:p>
        </w:tc>
        <w:tc>
          <w:tcPr>
            <w:tcW w:w="1780" w:type="dxa"/>
            <w:vMerge/>
          </w:tcPr>
          <w:p w:rsidR="00713488" w:rsidRPr="00A10267" w:rsidRDefault="00713488" w:rsidP="008B4C07">
            <w:pPr>
              <w:rPr>
                <w:rFonts w:ascii="Arial Narrow" w:hAnsi="Arial Narrow"/>
                <w:color w:val="000000"/>
                <w:sz w:val="20"/>
              </w:rPr>
            </w:pPr>
          </w:p>
        </w:tc>
      </w:tr>
      <w:tr w:rsidR="00713488" w:rsidRPr="00A10267" w:rsidTr="00D047B1">
        <w:tc>
          <w:tcPr>
            <w:tcW w:w="718" w:type="dxa"/>
          </w:tcPr>
          <w:p w:rsidR="00713488" w:rsidRPr="00A10267" w:rsidRDefault="00713488" w:rsidP="008B4C07">
            <w:pPr>
              <w:rPr>
                <w:rFonts w:ascii="Arial Narrow" w:hAnsi="Arial Narrow"/>
                <w:sz w:val="20"/>
              </w:rPr>
            </w:pPr>
            <w:r w:rsidRPr="00A10267">
              <w:rPr>
                <w:rFonts w:ascii="Arial Narrow" w:hAnsi="Arial Narrow"/>
                <w:sz w:val="20"/>
              </w:rPr>
              <w:t>150mg</w:t>
            </w:r>
          </w:p>
        </w:tc>
        <w:tc>
          <w:tcPr>
            <w:tcW w:w="1276" w:type="dxa"/>
            <w:vAlign w:val="bottom"/>
          </w:tcPr>
          <w:p w:rsidR="00713488" w:rsidRPr="00A10267" w:rsidRDefault="008D02C9" w:rsidP="008B4C07">
            <w:pPr>
              <w:jc w:val="center"/>
              <w:rPr>
                <w:rFonts w:ascii="Arial Narrow" w:hAnsi="Arial Narrow"/>
                <w:sz w:val="20"/>
              </w:rPr>
            </w:pPr>
            <w:r w:rsidRPr="00A10267">
              <w:rPr>
                <w:rFonts w:ascii="Arial Narrow" w:hAnsi="Arial Narrow"/>
                <w:color w:val="000000"/>
                <w:sz w:val="20"/>
              </w:rPr>
              <w:t>14.6</w:t>
            </w:r>
            <w:r w:rsidR="00713488" w:rsidRPr="00A10267">
              <w:rPr>
                <w:rFonts w:ascii="Arial Narrow" w:hAnsi="Arial Narrow"/>
                <w:color w:val="000000"/>
                <w:sz w:val="20"/>
              </w:rPr>
              <w:t>%</w:t>
            </w:r>
          </w:p>
        </w:tc>
        <w:tc>
          <w:tcPr>
            <w:tcW w:w="2835" w:type="dxa"/>
          </w:tcPr>
          <w:p w:rsidR="00713488" w:rsidRPr="00A10267" w:rsidRDefault="00713488" w:rsidP="008B4C07">
            <w:pPr>
              <w:rPr>
                <w:rFonts w:ascii="Arial Narrow" w:hAnsi="Arial Narrow"/>
                <w:sz w:val="20"/>
              </w:rPr>
            </w:pPr>
            <w:r w:rsidRPr="00A10267">
              <w:rPr>
                <w:rFonts w:ascii="Arial Narrow" w:hAnsi="Arial Narrow"/>
                <w:sz w:val="20"/>
              </w:rPr>
              <w:t>1 x 150mg tablet</w:t>
            </w:r>
          </w:p>
        </w:tc>
        <w:tc>
          <w:tcPr>
            <w:tcW w:w="1905" w:type="dxa"/>
            <w:vAlign w:val="bottom"/>
          </w:tcPr>
          <w:p w:rsidR="00713488" w:rsidRPr="00A10267" w:rsidRDefault="00713488" w:rsidP="008B4C07">
            <w:pPr>
              <w:jc w:val="right"/>
              <w:rPr>
                <w:rFonts w:ascii="Arial Narrow" w:hAnsi="Arial Narrow"/>
                <w:sz w:val="20"/>
              </w:rPr>
            </w:pPr>
            <w:r w:rsidRPr="00A10267">
              <w:rPr>
                <w:rFonts w:ascii="Arial Narrow" w:hAnsi="Arial Narrow"/>
                <w:color w:val="000000"/>
                <w:sz w:val="20"/>
              </w:rPr>
              <w:t>$</w:t>
            </w:r>
            <w:r w:rsidR="00770D3D">
              <w:rPr>
                <w:rFonts w:ascii="Arial Narrow" w:hAnsi="Arial Narrow"/>
                <w:noProof/>
                <w:color w:val="000000"/>
                <w:sz w:val="20"/>
                <w:highlight w:val="black"/>
              </w:rPr>
              <w:t>'''''''''''</w:t>
            </w:r>
          </w:p>
        </w:tc>
        <w:tc>
          <w:tcPr>
            <w:tcW w:w="1780" w:type="dxa"/>
            <w:vMerge/>
          </w:tcPr>
          <w:p w:rsidR="00713488" w:rsidRPr="00A10267" w:rsidRDefault="00713488" w:rsidP="008B4C07">
            <w:pPr>
              <w:rPr>
                <w:rFonts w:ascii="Arial Narrow" w:hAnsi="Arial Narrow"/>
                <w:color w:val="000000"/>
                <w:sz w:val="20"/>
              </w:rPr>
            </w:pPr>
          </w:p>
        </w:tc>
      </w:tr>
      <w:tr w:rsidR="00713488" w:rsidRPr="00A10267" w:rsidTr="00D047B1">
        <w:tc>
          <w:tcPr>
            <w:tcW w:w="718" w:type="dxa"/>
          </w:tcPr>
          <w:p w:rsidR="00713488" w:rsidRPr="00A10267" w:rsidRDefault="00713488" w:rsidP="008B4C07">
            <w:pPr>
              <w:rPr>
                <w:rFonts w:ascii="Arial Narrow" w:hAnsi="Arial Narrow"/>
                <w:sz w:val="20"/>
              </w:rPr>
            </w:pPr>
            <w:r w:rsidRPr="00A10267">
              <w:rPr>
                <w:rFonts w:ascii="Arial Narrow" w:hAnsi="Arial Narrow"/>
                <w:sz w:val="20"/>
              </w:rPr>
              <w:t>100mg</w:t>
            </w:r>
          </w:p>
        </w:tc>
        <w:tc>
          <w:tcPr>
            <w:tcW w:w="1276" w:type="dxa"/>
            <w:vAlign w:val="bottom"/>
          </w:tcPr>
          <w:p w:rsidR="00713488" w:rsidRPr="00A10267" w:rsidRDefault="008D02C9" w:rsidP="008B4C07">
            <w:pPr>
              <w:jc w:val="center"/>
              <w:rPr>
                <w:rFonts w:ascii="Arial Narrow" w:hAnsi="Arial Narrow"/>
                <w:sz w:val="20"/>
              </w:rPr>
            </w:pPr>
            <w:r w:rsidRPr="00A10267">
              <w:rPr>
                <w:rFonts w:ascii="Arial Narrow" w:hAnsi="Arial Narrow"/>
                <w:color w:val="000000"/>
                <w:sz w:val="20"/>
              </w:rPr>
              <w:t>7.5</w:t>
            </w:r>
            <w:r w:rsidR="00713488" w:rsidRPr="00A10267">
              <w:rPr>
                <w:rFonts w:ascii="Arial Narrow" w:hAnsi="Arial Narrow"/>
                <w:color w:val="000000"/>
                <w:sz w:val="20"/>
              </w:rPr>
              <w:t>%</w:t>
            </w:r>
          </w:p>
        </w:tc>
        <w:tc>
          <w:tcPr>
            <w:tcW w:w="2835" w:type="dxa"/>
          </w:tcPr>
          <w:p w:rsidR="00713488" w:rsidRPr="00A10267" w:rsidRDefault="00713488" w:rsidP="008B4C07">
            <w:pPr>
              <w:rPr>
                <w:rFonts w:ascii="Arial Narrow" w:hAnsi="Arial Narrow"/>
                <w:sz w:val="20"/>
              </w:rPr>
            </w:pPr>
            <w:r w:rsidRPr="00A10267">
              <w:rPr>
                <w:rFonts w:ascii="Arial Narrow" w:hAnsi="Arial Narrow"/>
                <w:sz w:val="20"/>
              </w:rPr>
              <w:t>2 x 50mg tablets</w:t>
            </w:r>
          </w:p>
        </w:tc>
        <w:tc>
          <w:tcPr>
            <w:tcW w:w="1905" w:type="dxa"/>
            <w:vAlign w:val="bottom"/>
          </w:tcPr>
          <w:p w:rsidR="00713488" w:rsidRPr="00A10267" w:rsidRDefault="00713488" w:rsidP="008B4C07">
            <w:pPr>
              <w:jc w:val="right"/>
              <w:rPr>
                <w:rFonts w:ascii="Arial Narrow" w:hAnsi="Arial Narrow"/>
                <w:sz w:val="20"/>
              </w:rPr>
            </w:pPr>
            <w:r w:rsidRPr="00A10267">
              <w:rPr>
                <w:rFonts w:ascii="Arial Narrow" w:hAnsi="Arial Narrow"/>
                <w:color w:val="000000"/>
                <w:sz w:val="20"/>
              </w:rPr>
              <w:t>$</w:t>
            </w:r>
            <w:r w:rsidR="00770D3D">
              <w:rPr>
                <w:rFonts w:ascii="Arial Narrow" w:hAnsi="Arial Narrow"/>
                <w:noProof/>
                <w:color w:val="000000"/>
                <w:sz w:val="20"/>
                <w:highlight w:val="black"/>
              </w:rPr>
              <w:t>''''''''''</w:t>
            </w:r>
          </w:p>
        </w:tc>
        <w:tc>
          <w:tcPr>
            <w:tcW w:w="1780" w:type="dxa"/>
            <w:vMerge/>
          </w:tcPr>
          <w:p w:rsidR="00713488" w:rsidRPr="00A10267" w:rsidRDefault="00713488" w:rsidP="008B4C07">
            <w:pPr>
              <w:rPr>
                <w:rFonts w:ascii="Arial Narrow" w:hAnsi="Arial Narrow"/>
                <w:color w:val="000000"/>
                <w:sz w:val="20"/>
              </w:rPr>
            </w:pPr>
          </w:p>
        </w:tc>
      </w:tr>
      <w:tr w:rsidR="00713488" w:rsidRPr="00A10267" w:rsidTr="00D047B1">
        <w:tc>
          <w:tcPr>
            <w:tcW w:w="718" w:type="dxa"/>
          </w:tcPr>
          <w:p w:rsidR="00713488" w:rsidRPr="00A10267" w:rsidRDefault="00713488" w:rsidP="008B4C07">
            <w:pPr>
              <w:rPr>
                <w:rFonts w:ascii="Arial Narrow" w:hAnsi="Arial Narrow"/>
                <w:sz w:val="20"/>
              </w:rPr>
            </w:pPr>
            <w:r w:rsidRPr="00A10267">
              <w:rPr>
                <w:rFonts w:ascii="Arial Narrow" w:hAnsi="Arial Narrow"/>
                <w:sz w:val="20"/>
              </w:rPr>
              <w:t>50mg</w:t>
            </w:r>
          </w:p>
        </w:tc>
        <w:tc>
          <w:tcPr>
            <w:tcW w:w="1276" w:type="dxa"/>
            <w:vAlign w:val="bottom"/>
          </w:tcPr>
          <w:p w:rsidR="00713488" w:rsidRPr="00A10267" w:rsidRDefault="00713488" w:rsidP="008D02C9">
            <w:pPr>
              <w:jc w:val="center"/>
              <w:rPr>
                <w:rFonts w:ascii="Arial Narrow" w:hAnsi="Arial Narrow"/>
                <w:sz w:val="20"/>
              </w:rPr>
            </w:pPr>
            <w:r w:rsidRPr="00A10267">
              <w:rPr>
                <w:rFonts w:ascii="Arial Narrow" w:hAnsi="Arial Narrow"/>
                <w:color w:val="000000"/>
                <w:sz w:val="20"/>
              </w:rPr>
              <w:t>1.</w:t>
            </w:r>
            <w:r w:rsidR="008D02C9" w:rsidRPr="00A10267">
              <w:rPr>
                <w:rFonts w:ascii="Arial Narrow" w:hAnsi="Arial Narrow"/>
                <w:color w:val="000000"/>
                <w:sz w:val="20"/>
              </w:rPr>
              <w:t>3</w:t>
            </w:r>
            <w:r w:rsidRPr="00A10267">
              <w:rPr>
                <w:rFonts w:ascii="Arial Narrow" w:hAnsi="Arial Narrow"/>
                <w:color w:val="000000"/>
                <w:sz w:val="20"/>
              </w:rPr>
              <w:t>%</w:t>
            </w:r>
          </w:p>
        </w:tc>
        <w:tc>
          <w:tcPr>
            <w:tcW w:w="2835" w:type="dxa"/>
          </w:tcPr>
          <w:p w:rsidR="00713488" w:rsidRPr="00A10267" w:rsidRDefault="00713488" w:rsidP="008B4C07">
            <w:pPr>
              <w:rPr>
                <w:rFonts w:ascii="Arial Narrow" w:hAnsi="Arial Narrow"/>
                <w:sz w:val="20"/>
              </w:rPr>
            </w:pPr>
            <w:r w:rsidRPr="00A10267">
              <w:rPr>
                <w:rFonts w:ascii="Arial Narrow" w:hAnsi="Arial Narrow"/>
                <w:sz w:val="20"/>
              </w:rPr>
              <w:t>2 x 50mg tablets</w:t>
            </w:r>
          </w:p>
        </w:tc>
        <w:tc>
          <w:tcPr>
            <w:tcW w:w="1905" w:type="dxa"/>
            <w:vAlign w:val="bottom"/>
          </w:tcPr>
          <w:p w:rsidR="00713488" w:rsidRPr="00A10267" w:rsidRDefault="00713488" w:rsidP="008B4C07">
            <w:pPr>
              <w:jc w:val="right"/>
              <w:rPr>
                <w:rFonts w:ascii="Arial Narrow" w:hAnsi="Arial Narrow"/>
                <w:sz w:val="20"/>
              </w:rPr>
            </w:pPr>
            <w:r w:rsidRPr="00A10267">
              <w:rPr>
                <w:rFonts w:ascii="Arial Narrow" w:hAnsi="Arial Narrow"/>
                <w:color w:val="000000"/>
                <w:sz w:val="20"/>
              </w:rPr>
              <w:t>$</w:t>
            </w:r>
            <w:r w:rsidR="00770D3D">
              <w:rPr>
                <w:rFonts w:ascii="Arial Narrow" w:hAnsi="Arial Narrow"/>
                <w:noProof/>
                <w:color w:val="000000"/>
                <w:sz w:val="20"/>
                <w:highlight w:val="black"/>
              </w:rPr>
              <w:t>''''''''''</w:t>
            </w:r>
          </w:p>
        </w:tc>
        <w:tc>
          <w:tcPr>
            <w:tcW w:w="1780" w:type="dxa"/>
            <w:vMerge/>
          </w:tcPr>
          <w:p w:rsidR="00713488" w:rsidRPr="00A10267" w:rsidRDefault="00713488" w:rsidP="008B4C07">
            <w:pPr>
              <w:rPr>
                <w:rFonts w:ascii="Arial Narrow" w:hAnsi="Arial Narrow"/>
                <w:color w:val="000000"/>
                <w:sz w:val="20"/>
              </w:rPr>
            </w:pPr>
          </w:p>
        </w:tc>
      </w:tr>
      <w:tr w:rsidR="00713488" w:rsidRPr="00A10267" w:rsidTr="00D047B1">
        <w:tc>
          <w:tcPr>
            <w:tcW w:w="8514" w:type="dxa"/>
            <w:gridSpan w:val="5"/>
          </w:tcPr>
          <w:p w:rsidR="00713488" w:rsidRPr="00A10267" w:rsidRDefault="00713488" w:rsidP="008B4C07">
            <w:pPr>
              <w:rPr>
                <w:rFonts w:ascii="Arial Narrow" w:hAnsi="Arial Narrow"/>
                <w:b/>
                <w:sz w:val="20"/>
              </w:rPr>
            </w:pPr>
            <w:r w:rsidRPr="00A10267">
              <w:rPr>
                <w:rFonts w:ascii="Arial Narrow" w:hAnsi="Arial Narrow"/>
                <w:b/>
                <w:sz w:val="20"/>
              </w:rPr>
              <w:t>Modafinil</w:t>
            </w:r>
          </w:p>
        </w:tc>
      </w:tr>
      <w:tr w:rsidR="00713488" w:rsidRPr="00A10267" w:rsidTr="00D047B1">
        <w:tc>
          <w:tcPr>
            <w:tcW w:w="718" w:type="dxa"/>
          </w:tcPr>
          <w:p w:rsidR="00713488" w:rsidRPr="00A10267" w:rsidRDefault="00713488" w:rsidP="008B4C07">
            <w:pPr>
              <w:rPr>
                <w:rFonts w:ascii="Arial Narrow" w:hAnsi="Arial Narrow"/>
                <w:sz w:val="20"/>
              </w:rPr>
            </w:pPr>
            <w:r w:rsidRPr="00A10267">
              <w:rPr>
                <w:rFonts w:ascii="Arial Narrow" w:hAnsi="Arial Narrow"/>
                <w:sz w:val="20"/>
              </w:rPr>
              <w:t>400mg</w:t>
            </w:r>
          </w:p>
        </w:tc>
        <w:tc>
          <w:tcPr>
            <w:tcW w:w="1276" w:type="dxa"/>
            <w:vAlign w:val="bottom"/>
          </w:tcPr>
          <w:p w:rsidR="00713488" w:rsidRPr="00A10267" w:rsidRDefault="00713488" w:rsidP="008B4C07">
            <w:pPr>
              <w:jc w:val="center"/>
              <w:rPr>
                <w:rFonts w:ascii="Arial Narrow" w:hAnsi="Arial Narrow"/>
                <w:sz w:val="20"/>
              </w:rPr>
            </w:pPr>
            <w:r w:rsidRPr="00A10267">
              <w:rPr>
                <w:rFonts w:ascii="Arial Narrow" w:hAnsi="Arial Narrow"/>
                <w:sz w:val="20"/>
              </w:rPr>
              <w:t>74.0%</w:t>
            </w:r>
          </w:p>
        </w:tc>
        <w:tc>
          <w:tcPr>
            <w:tcW w:w="2835" w:type="dxa"/>
          </w:tcPr>
          <w:p w:rsidR="00713488" w:rsidRPr="00A10267" w:rsidRDefault="00713488" w:rsidP="008B4C07">
            <w:pPr>
              <w:rPr>
                <w:rFonts w:ascii="Arial Narrow" w:hAnsi="Arial Narrow"/>
                <w:sz w:val="20"/>
              </w:rPr>
            </w:pPr>
            <w:r w:rsidRPr="00A10267">
              <w:rPr>
                <w:rFonts w:ascii="Arial Narrow" w:hAnsi="Arial Narrow"/>
                <w:sz w:val="20"/>
              </w:rPr>
              <w:t>4 x 100mg tablets</w:t>
            </w:r>
          </w:p>
        </w:tc>
        <w:tc>
          <w:tcPr>
            <w:tcW w:w="1905" w:type="dxa"/>
            <w:vAlign w:val="bottom"/>
          </w:tcPr>
          <w:p w:rsidR="00713488" w:rsidRPr="00A10267" w:rsidRDefault="00713488" w:rsidP="008B4C07">
            <w:pPr>
              <w:jc w:val="right"/>
              <w:rPr>
                <w:rFonts w:ascii="Arial Narrow" w:hAnsi="Arial Narrow"/>
                <w:sz w:val="20"/>
              </w:rPr>
            </w:pPr>
            <w:r w:rsidRPr="00A10267">
              <w:rPr>
                <w:rFonts w:ascii="Arial Narrow" w:hAnsi="Arial Narrow"/>
                <w:color w:val="000000"/>
                <w:sz w:val="20"/>
              </w:rPr>
              <w:t>$11.27</w:t>
            </w:r>
          </w:p>
        </w:tc>
        <w:tc>
          <w:tcPr>
            <w:tcW w:w="1780" w:type="dxa"/>
            <w:vMerge w:val="restart"/>
            <w:vAlign w:val="center"/>
          </w:tcPr>
          <w:p w:rsidR="00713488" w:rsidRPr="00A10267" w:rsidRDefault="00713488" w:rsidP="008B4C07">
            <w:pPr>
              <w:jc w:val="right"/>
              <w:rPr>
                <w:rFonts w:ascii="Arial Narrow" w:hAnsi="Arial Narrow"/>
                <w:b/>
                <w:color w:val="000000"/>
                <w:sz w:val="20"/>
              </w:rPr>
            </w:pPr>
            <w:r w:rsidRPr="00A10267">
              <w:rPr>
                <w:rFonts w:ascii="Arial Narrow" w:hAnsi="Arial Narrow"/>
                <w:b/>
                <w:color w:val="000000"/>
                <w:sz w:val="20"/>
              </w:rPr>
              <w:t>$9.80</w:t>
            </w:r>
          </w:p>
        </w:tc>
      </w:tr>
      <w:tr w:rsidR="00713488" w:rsidRPr="00A10267" w:rsidTr="00D047B1">
        <w:tc>
          <w:tcPr>
            <w:tcW w:w="718" w:type="dxa"/>
          </w:tcPr>
          <w:p w:rsidR="00713488" w:rsidRPr="00A10267" w:rsidRDefault="00713488" w:rsidP="008B4C07">
            <w:pPr>
              <w:rPr>
                <w:rFonts w:ascii="Arial Narrow" w:hAnsi="Arial Narrow"/>
                <w:sz w:val="20"/>
              </w:rPr>
            </w:pPr>
            <w:r w:rsidRPr="00A10267">
              <w:rPr>
                <w:rFonts w:ascii="Arial Narrow" w:hAnsi="Arial Narrow"/>
                <w:sz w:val="20"/>
              </w:rPr>
              <w:t>200mg</w:t>
            </w:r>
          </w:p>
        </w:tc>
        <w:tc>
          <w:tcPr>
            <w:tcW w:w="1276" w:type="dxa"/>
            <w:vAlign w:val="bottom"/>
          </w:tcPr>
          <w:p w:rsidR="00713488" w:rsidRPr="00A10267" w:rsidRDefault="00713488" w:rsidP="008B4C07">
            <w:pPr>
              <w:jc w:val="center"/>
              <w:rPr>
                <w:rFonts w:ascii="Arial Narrow" w:hAnsi="Arial Narrow"/>
                <w:sz w:val="20"/>
              </w:rPr>
            </w:pPr>
            <w:r w:rsidRPr="00A10267">
              <w:rPr>
                <w:rFonts w:ascii="Arial Narrow" w:hAnsi="Arial Narrow"/>
                <w:sz w:val="20"/>
              </w:rPr>
              <w:t>26.0%</w:t>
            </w:r>
          </w:p>
        </w:tc>
        <w:tc>
          <w:tcPr>
            <w:tcW w:w="2835" w:type="dxa"/>
          </w:tcPr>
          <w:p w:rsidR="00713488" w:rsidRPr="00A10267" w:rsidRDefault="00713488" w:rsidP="008B4C07">
            <w:pPr>
              <w:rPr>
                <w:rFonts w:ascii="Arial Narrow" w:hAnsi="Arial Narrow"/>
                <w:sz w:val="20"/>
              </w:rPr>
            </w:pPr>
            <w:r w:rsidRPr="00A10267">
              <w:rPr>
                <w:rFonts w:ascii="Arial Narrow" w:hAnsi="Arial Narrow"/>
                <w:sz w:val="20"/>
              </w:rPr>
              <w:t>2 x 100mg tablets</w:t>
            </w:r>
          </w:p>
        </w:tc>
        <w:tc>
          <w:tcPr>
            <w:tcW w:w="1905" w:type="dxa"/>
            <w:vAlign w:val="bottom"/>
          </w:tcPr>
          <w:p w:rsidR="00713488" w:rsidRPr="00A10267" w:rsidRDefault="00713488" w:rsidP="008B4C07">
            <w:pPr>
              <w:jc w:val="right"/>
              <w:rPr>
                <w:rFonts w:ascii="Arial Narrow" w:hAnsi="Arial Narrow"/>
                <w:sz w:val="20"/>
              </w:rPr>
            </w:pPr>
            <w:r w:rsidRPr="00A10267">
              <w:rPr>
                <w:rFonts w:ascii="Arial Narrow" w:hAnsi="Arial Narrow"/>
                <w:color w:val="000000"/>
                <w:sz w:val="20"/>
              </w:rPr>
              <w:t>$5.63</w:t>
            </w:r>
          </w:p>
        </w:tc>
        <w:tc>
          <w:tcPr>
            <w:tcW w:w="1780" w:type="dxa"/>
            <w:vMerge/>
            <w:vAlign w:val="bottom"/>
          </w:tcPr>
          <w:p w:rsidR="00713488" w:rsidRPr="00A10267" w:rsidRDefault="00713488" w:rsidP="008B4C07">
            <w:pPr>
              <w:jc w:val="right"/>
              <w:rPr>
                <w:rFonts w:ascii="Arial Narrow" w:hAnsi="Arial Narrow"/>
                <w:color w:val="000000"/>
                <w:sz w:val="20"/>
              </w:rPr>
            </w:pPr>
          </w:p>
        </w:tc>
      </w:tr>
    </w:tbl>
    <w:p w:rsidR="00713488" w:rsidRPr="00A10267" w:rsidRDefault="00713488" w:rsidP="00713488">
      <w:pPr>
        <w:pStyle w:val="TableFooter"/>
        <w:ind w:firstLine="720"/>
      </w:pPr>
      <w:r w:rsidRPr="00A10267">
        <w:t>Source: Analysis performed during the evaluation</w:t>
      </w:r>
    </w:p>
    <w:p w:rsidR="00713488" w:rsidRPr="00D019DA" w:rsidRDefault="00713488" w:rsidP="00713488">
      <w:pPr>
        <w:pStyle w:val="ListParagraph"/>
        <w:widowControl/>
        <w:rPr>
          <w:szCs w:val="22"/>
        </w:rPr>
      </w:pPr>
    </w:p>
    <w:p w:rsidR="00713488" w:rsidRPr="008E386A" w:rsidRDefault="00713488" w:rsidP="00713488">
      <w:pPr>
        <w:pStyle w:val="ListParagraph"/>
        <w:widowControl/>
        <w:numPr>
          <w:ilvl w:val="1"/>
          <w:numId w:val="10"/>
        </w:numPr>
        <w:rPr>
          <w:szCs w:val="22"/>
        </w:rPr>
      </w:pPr>
      <w:r w:rsidRPr="00A10267">
        <w:t xml:space="preserve">Armodafinil, at its requested PBS price, is cost-minimising relative to modafinil </w:t>
      </w:r>
      <w:r w:rsidRPr="00233AD8">
        <w:t>only if</w:t>
      </w:r>
      <w:r w:rsidRPr="00A10267">
        <w:t xml:space="preserve"> the PBAC accepts the equi-effective doses proposed in the submission (</w:t>
      </w:r>
      <w:r w:rsidR="00770D3D">
        <w:rPr>
          <w:noProof/>
          <w:color w:val="000000"/>
          <w:highlight w:val="black"/>
        </w:rPr>
        <w:t>'''</w:t>
      </w:r>
      <w:r w:rsidR="00233AD8">
        <w:t> </w:t>
      </w:r>
      <w:r w:rsidRPr="00A10267">
        <w:t xml:space="preserve">mg armodafinil vs </w:t>
      </w:r>
      <w:r w:rsidR="00770D3D">
        <w:rPr>
          <w:noProof/>
          <w:color w:val="000000"/>
          <w:highlight w:val="black"/>
        </w:rPr>
        <w:t>'''</w:t>
      </w:r>
      <w:r w:rsidR="00233AD8">
        <w:t> </w:t>
      </w:r>
      <w:r w:rsidRPr="00A10267">
        <w:t xml:space="preserve">mg modafinil) and the claim of non-inferiority in terms of safety. The dose relativity between armodafinil and modafinil was determined without consideration of equi-effectiveness. </w:t>
      </w:r>
      <w:r w:rsidR="00546311" w:rsidRPr="008E386A">
        <w:t>The ESC</w:t>
      </w:r>
      <w:r w:rsidR="003F05B6" w:rsidRPr="008E386A">
        <w:t xml:space="preserve"> considered that it</w:t>
      </w:r>
      <w:r w:rsidR="00546311" w:rsidRPr="008E386A">
        <w:t xml:space="preserve"> could not be confident about the equi-effective doses in the absence of good quality direct dose response comparison studies.</w:t>
      </w:r>
      <w:r w:rsidR="00AD19E7">
        <w:t xml:space="preserve"> </w:t>
      </w:r>
    </w:p>
    <w:p w:rsidR="00713488" w:rsidRPr="008E386A" w:rsidRDefault="00713488" w:rsidP="00713488">
      <w:pPr>
        <w:pStyle w:val="ListParagraph"/>
        <w:widowControl/>
        <w:rPr>
          <w:szCs w:val="22"/>
        </w:rPr>
      </w:pPr>
    </w:p>
    <w:p w:rsidR="00713488" w:rsidRPr="00E92488" w:rsidRDefault="00713488" w:rsidP="00713488">
      <w:pPr>
        <w:pStyle w:val="ListParagraph"/>
        <w:widowControl/>
        <w:numPr>
          <w:ilvl w:val="1"/>
          <w:numId w:val="10"/>
        </w:numPr>
        <w:rPr>
          <w:szCs w:val="22"/>
        </w:rPr>
      </w:pPr>
      <w:r w:rsidRPr="00A10267">
        <w:t xml:space="preserve">It </w:t>
      </w:r>
      <w:r w:rsidR="0061683A">
        <w:t>wa</w:t>
      </w:r>
      <w:r w:rsidRPr="00A10267">
        <w:t>s note</w:t>
      </w:r>
      <w:r w:rsidR="00AA50A3" w:rsidRPr="00A10267">
        <w:t>d</w:t>
      </w:r>
      <w:r w:rsidRPr="00A10267">
        <w:t xml:space="preserve"> that the US Patent No. RE37516 which covers pharmaceutical compositions and methods of treatment with the form of modafinil contained in Provigil</w:t>
      </w:r>
      <w:r w:rsidRPr="00A10267">
        <w:rPr>
          <w:vertAlign w:val="superscript"/>
        </w:rPr>
        <w:t>®</w:t>
      </w:r>
      <w:r w:rsidRPr="00A10267">
        <w:t xml:space="preserve"> (brand name of modafinil in the US) expired on 6</w:t>
      </w:r>
      <w:r w:rsidRPr="00A10267">
        <w:rPr>
          <w:vertAlign w:val="superscript"/>
        </w:rPr>
        <w:t>th</w:t>
      </w:r>
      <w:r w:rsidRPr="00A10267">
        <w:t xml:space="preserve"> October 2014 (with paediatric exclusivity, this patent expired on 6</w:t>
      </w:r>
      <w:r w:rsidRPr="00A10267">
        <w:rPr>
          <w:vertAlign w:val="superscript"/>
        </w:rPr>
        <w:t>th</w:t>
      </w:r>
      <w:r w:rsidRPr="00A10267">
        <w:t xml:space="preserve"> April 2015) and a generic version of modafinil has been approved by the US Food and Drug Administration (FDA). </w:t>
      </w:r>
      <w:r w:rsidR="00AA50A3" w:rsidRPr="00A10267">
        <w:t xml:space="preserve">If generic modafinil </w:t>
      </w:r>
      <w:r w:rsidR="0061683A">
        <w:t>was</w:t>
      </w:r>
      <w:r w:rsidR="00AA50A3" w:rsidRPr="00A10267">
        <w:t xml:space="preserve"> available at a lower price in Australia, this </w:t>
      </w:r>
      <w:r w:rsidR="0061683A">
        <w:t>would</w:t>
      </w:r>
      <w:r w:rsidR="00AA50A3" w:rsidRPr="00A10267">
        <w:t xml:space="preserve"> have implications for the relative price/outcome or cost-minimisation claim for armodafinil.</w:t>
      </w:r>
    </w:p>
    <w:p w:rsidR="00E92488" w:rsidRPr="00E92488" w:rsidRDefault="00E92488" w:rsidP="00E92488">
      <w:pPr>
        <w:pStyle w:val="ListParagraph"/>
        <w:rPr>
          <w:szCs w:val="22"/>
        </w:rPr>
      </w:pPr>
    </w:p>
    <w:p w:rsidR="00E92488" w:rsidRPr="00A10267" w:rsidRDefault="00E92488" w:rsidP="00713488">
      <w:pPr>
        <w:pStyle w:val="ListParagraph"/>
        <w:widowControl/>
        <w:numPr>
          <w:ilvl w:val="1"/>
          <w:numId w:val="10"/>
        </w:numPr>
        <w:rPr>
          <w:szCs w:val="22"/>
        </w:rPr>
      </w:pPr>
      <w:r>
        <w:rPr>
          <w:szCs w:val="22"/>
        </w:rPr>
        <w:t xml:space="preserve">The Pre-PBAC Response proposed that the price of armodafinil be reduced by </w:t>
      </w:r>
      <w:r w:rsidR="00770D3D">
        <w:rPr>
          <w:noProof/>
          <w:color w:val="000000"/>
          <w:szCs w:val="22"/>
          <w:highlight w:val="black"/>
        </w:rPr>
        <w:t>'''''''</w:t>
      </w:r>
      <w:r>
        <w:rPr>
          <w:szCs w:val="22"/>
        </w:rPr>
        <w:t>% upon the generic entry of modafinil.</w:t>
      </w:r>
    </w:p>
    <w:p w:rsidR="005075FE" w:rsidRDefault="005075FE">
      <w:pPr>
        <w:widowControl/>
        <w:jc w:val="left"/>
        <w:rPr>
          <w:szCs w:val="22"/>
        </w:rPr>
      </w:pPr>
    </w:p>
    <w:p w:rsidR="00795AD9" w:rsidRDefault="00795AD9">
      <w:pPr>
        <w:widowControl/>
        <w:jc w:val="left"/>
        <w:rPr>
          <w:b/>
          <w:i/>
        </w:rPr>
      </w:pPr>
      <w:bookmarkStart w:id="20" w:name="_Toc429660437"/>
      <w:r>
        <w:rPr>
          <w:i/>
        </w:rPr>
        <w:br w:type="page"/>
      </w:r>
    </w:p>
    <w:p w:rsidR="00713488" w:rsidRPr="004675C9" w:rsidRDefault="00713488" w:rsidP="00713488">
      <w:pPr>
        <w:pStyle w:val="Heading2"/>
        <w:rPr>
          <w:szCs w:val="22"/>
        </w:rPr>
      </w:pPr>
      <w:r w:rsidRPr="004675C9">
        <w:lastRenderedPageBreak/>
        <w:t>Drug cost/patient/month</w:t>
      </w:r>
      <w:bookmarkEnd w:id="20"/>
    </w:p>
    <w:p w:rsidR="00713488" w:rsidRPr="00C25D9C" w:rsidRDefault="00713488" w:rsidP="00713488">
      <w:pPr>
        <w:widowControl/>
        <w:rPr>
          <w:szCs w:val="22"/>
        </w:rPr>
      </w:pPr>
    </w:p>
    <w:p w:rsidR="00713488" w:rsidRPr="00A10267" w:rsidRDefault="008525BA" w:rsidP="00E27F43">
      <w:pPr>
        <w:pStyle w:val="ListParagraph"/>
        <w:widowControl/>
        <w:numPr>
          <w:ilvl w:val="1"/>
          <w:numId w:val="10"/>
        </w:numPr>
        <w:rPr>
          <w:szCs w:val="22"/>
        </w:rPr>
      </w:pPr>
      <w:r w:rsidRPr="00A10267">
        <w:t>$</w:t>
      </w:r>
      <w:r w:rsidR="00770D3D">
        <w:rPr>
          <w:noProof/>
          <w:color w:val="000000"/>
          <w:highlight w:val="black"/>
        </w:rPr>
        <w:t>'''''''''</w:t>
      </w:r>
      <w:r w:rsidR="00713488" w:rsidRPr="00A10267">
        <w:t>/pa</w:t>
      </w:r>
      <w:r w:rsidR="004C6DEB" w:rsidRPr="00A10267">
        <w:t>tient/month at 150</w:t>
      </w:r>
      <w:r w:rsidR="00233AD8">
        <w:t> </w:t>
      </w:r>
      <w:r w:rsidR="004C6DEB" w:rsidRPr="00A10267">
        <w:t>mg/day or $</w:t>
      </w:r>
      <w:r w:rsidR="00770D3D">
        <w:rPr>
          <w:noProof/>
          <w:color w:val="000000"/>
          <w:highlight w:val="black"/>
        </w:rPr>
        <w:t>''''''''''</w:t>
      </w:r>
      <w:r w:rsidR="00713488" w:rsidRPr="00A10267">
        <w:t>/patient/</w:t>
      </w:r>
      <w:r w:rsidR="00CB2217" w:rsidRPr="00A10267">
        <w:t>month</w:t>
      </w:r>
      <w:r w:rsidR="00713488" w:rsidRPr="00A10267">
        <w:t xml:space="preserve"> at 250</w:t>
      </w:r>
      <w:r w:rsidR="00233AD8">
        <w:t> </w:t>
      </w:r>
      <w:r w:rsidR="00713488" w:rsidRPr="00A10267">
        <w:t xml:space="preserve">mg/day. </w:t>
      </w:r>
      <w:r w:rsidR="00713488" w:rsidRPr="00A10267">
        <w:rPr>
          <w:szCs w:val="22"/>
        </w:rPr>
        <w:t>This is compared to modafinil of $1</w:t>
      </w:r>
      <w:r w:rsidRPr="00A10267">
        <w:rPr>
          <w:szCs w:val="22"/>
        </w:rPr>
        <w:t>71</w:t>
      </w:r>
      <w:r w:rsidR="00713488" w:rsidRPr="00A10267">
        <w:rPr>
          <w:szCs w:val="22"/>
        </w:rPr>
        <w:t>/patient/month at 200</w:t>
      </w:r>
      <w:r w:rsidR="00233AD8">
        <w:rPr>
          <w:szCs w:val="22"/>
        </w:rPr>
        <w:t> </w:t>
      </w:r>
      <w:r w:rsidR="00713488" w:rsidRPr="00A10267">
        <w:rPr>
          <w:szCs w:val="22"/>
        </w:rPr>
        <w:t>mg/day or $3</w:t>
      </w:r>
      <w:r w:rsidRPr="00A10267">
        <w:rPr>
          <w:szCs w:val="22"/>
        </w:rPr>
        <w:t>43</w:t>
      </w:r>
      <w:r w:rsidR="00713488" w:rsidRPr="00A10267">
        <w:rPr>
          <w:szCs w:val="22"/>
        </w:rPr>
        <w:t>/patient/month at 400</w:t>
      </w:r>
      <w:r w:rsidR="00233AD8">
        <w:rPr>
          <w:szCs w:val="22"/>
        </w:rPr>
        <w:t> </w:t>
      </w:r>
      <w:r w:rsidR="00713488" w:rsidRPr="00A10267">
        <w:rPr>
          <w:szCs w:val="22"/>
        </w:rPr>
        <w:t>mg/day, based on the updated Dispensed Price for Maximum Quantity (DPMQ) for each drug. The treatment should be ongoing.</w:t>
      </w:r>
    </w:p>
    <w:p w:rsidR="00713488" w:rsidRPr="001E2B1E" w:rsidRDefault="00713488" w:rsidP="00713488">
      <w:pPr>
        <w:rPr>
          <w:szCs w:val="22"/>
        </w:rPr>
      </w:pPr>
    </w:p>
    <w:p w:rsidR="00713488" w:rsidRPr="004675C9" w:rsidRDefault="00713488" w:rsidP="00713488">
      <w:pPr>
        <w:pStyle w:val="Heading2"/>
      </w:pPr>
      <w:bookmarkStart w:id="21" w:name="_Toc429660438"/>
      <w:r w:rsidRPr="004675C9">
        <w:t>Estimated PBS usage &amp; financial implications</w:t>
      </w:r>
      <w:bookmarkEnd w:id="21"/>
    </w:p>
    <w:p w:rsidR="00713488" w:rsidRPr="00882085" w:rsidRDefault="00713488" w:rsidP="00713488">
      <w:pPr>
        <w:ind w:left="720" w:hanging="720"/>
        <w:rPr>
          <w:b/>
          <w:i/>
          <w:szCs w:val="22"/>
        </w:rPr>
      </w:pPr>
    </w:p>
    <w:p w:rsidR="00713488" w:rsidRPr="00FB72C2" w:rsidRDefault="00A7692B" w:rsidP="00713488">
      <w:pPr>
        <w:pStyle w:val="ListParagraph"/>
        <w:widowControl/>
        <w:numPr>
          <w:ilvl w:val="1"/>
          <w:numId w:val="10"/>
        </w:numPr>
        <w:rPr>
          <w:szCs w:val="22"/>
        </w:rPr>
      </w:pPr>
      <w:r>
        <w:t>This submission was</w:t>
      </w:r>
      <w:r w:rsidR="00713488">
        <w:t xml:space="preserve"> not considered by DUSC</w:t>
      </w:r>
      <w:r w:rsidR="00713488" w:rsidRPr="00696B9D">
        <w:t xml:space="preserve">.  </w:t>
      </w:r>
      <w:r w:rsidR="00713488">
        <w:t>The submission used a market-share approach to estimate the use and costs of listing armodafinil on the PBS. The average dose that is expected to be prescribed to patients was based on a weighted average of the strength</w:t>
      </w:r>
      <w:r w:rsidR="00681201">
        <w:t>s</w:t>
      </w:r>
      <w:r w:rsidR="00713488">
        <w:t xml:space="preserve"> </w:t>
      </w:r>
      <w:r w:rsidR="00681201">
        <w:t>used by participants in</w:t>
      </w:r>
      <w:r w:rsidR="00713488">
        <w:t xml:space="preserve"> Studies 3024 and 3023. </w:t>
      </w:r>
      <w:r w:rsidR="00713488" w:rsidRPr="00A10267">
        <w:t xml:space="preserve">This was inappropriate and introduced substantial uncertainty, given that the equi-effectiveness of armodafinil </w:t>
      </w:r>
      <w:r w:rsidR="008B18F7" w:rsidRPr="00A10267">
        <w:t>to</w:t>
      </w:r>
      <w:r w:rsidR="00713488" w:rsidRPr="00A10267">
        <w:t xml:space="preserve"> modafinil has not been established from these studies.</w:t>
      </w:r>
      <w:r w:rsidR="00713488">
        <w:rPr>
          <w:i/>
        </w:rPr>
        <w:t xml:space="preserve"> </w:t>
      </w:r>
    </w:p>
    <w:p w:rsidR="00713488" w:rsidRPr="00696B9D" w:rsidRDefault="00713488" w:rsidP="00713488">
      <w:pPr>
        <w:pStyle w:val="ListParagraph"/>
        <w:widowControl/>
        <w:rPr>
          <w:szCs w:val="22"/>
        </w:rPr>
      </w:pPr>
    </w:p>
    <w:p w:rsidR="00977EAB" w:rsidRPr="00192012" w:rsidRDefault="00713488" w:rsidP="00192012">
      <w:pPr>
        <w:pStyle w:val="ListParagraph"/>
        <w:widowControl/>
        <w:numPr>
          <w:ilvl w:val="1"/>
          <w:numId w:val="10"/>
        </w:numPr>
        <w:rPr>
          <w:szCs w:val="22"/>
        </w:rPr>
      </w:pPr>
      <w:r w:rsidRPr="00A10267">
        <w:t>Given the submission’s claim of non-inferiority of armodafinil to modafinil and the cost-minimisation approach taken, cost-neutral</w:t>
      </w:r>
      <w:r w:rsidR="00BF6D23" w:rsidRPr="00A10267">
        <w:t>ity</w:t>
      </w:r>
      <w:r w:rsidRPr="00A10267">
        <w:t xml:space="preserve"> to government health budget should be achieved from the listing of armodafinil. The submission’s estimates of financial implications from listing of armodafinil are summarised below.</w:t>
      </w:r>
    </w:p>
    <w:p w:rsidR="00021062" w:rsidRDefault="00021062">
      <w:pPr>
        <w:widowControl/>
        <w:jc w:val="left"/>
        <w:rPr>
          <w:rFonts w:ascii="Arial Narrow" w:hAnsi="Arial Narrow"/>
          <w:b/>
          <w:sz w:val="20"/>
        </w:rPr>
      </w:pPr>
    </w:p>
    <w:p w:rsidR="00713488" w:rsidRDefault="00713488" w:rsidP="00713488">
      <w:pPr>
        <w:pStyle w:val="TableHeader"/>
        <w:ind w:firstLine="720"/>
      </w:pPr>
      <w:r w:rsidRPr="005C7F65">
        <w:t xml:space="preserve">Table </w:t>
      </w:r>
      <w:r w:rsidR="00071CFE">
        <w:t>8</w:t>
      </w:r>
      <w:r w:rsidRPr="005C7F65">
        <w:t>: Estimated use and financial implications</w:t>
      </w:r>
    </w:p>
    <w:tbl>
      <w:tblPr>
        <w:tblStyle w:val="StandardTable"/>
        <w:tblW w:w="4594" w:type="pct"/>
        <w:tblInd w:w="742" w:type="dxa"/>
        <w:tblLayout w:type="fixed"/>
        <w:tblLook w:val="04A0" w:firstRow="1" w:lastRow="0" w:firstColumn="1" w:lastColumn="0" w:noHBand="0" w:noVBand="1"/>
        <w:tblCaption w:val="Table 8"/>
        <w:tblDescription w:val="Estimated use and financial implications for first 5 years of listing from 2016 to 2020."/>
      </w:tblPr>
      <w:tblGrid>
        <w:gridCol w:w="2463"/>
        <w:gridCol w:w="1361"/>
        <w:gridCol w:w="1122"/>
        <w:gridCol w:w="12"/>
        <w:gridCol w:w="1125"/>
        <w:gridCol w:w="8"/>
        <w:gridCol w:w="1147"/>
        <w:gridCol w:w="1161"/>
      </w:tblGrid>
      <w:tr w:rsidR="00713488" w:rsidRPr="00A7735F" w:rsidTr="003347C6">
        <w:trPr>
          <w:tblHeader/>
        </w:trPr>
        <w:tc>
          <w:tcPr>
            <w:tcW w:w="1466" w:type="pct"/>
            <w:noWrap/>
            <w:hideMark/>
          </w:tcPr>
          <w:p w:rsidR="00713488" w:rsidRPr="002C47D0" w:rsidRDefault="00713488" w:rsidP="00BD6327">
            <w:pPr>
              <w:pStyle w:val="Tabletext"/>
              <w:rPr>
                <w:b/>
              </w:rPr>
            </w:pPr>
          </w:p>
        </w:tc>
        <w:tc>
          <w:tcPr>
            <w:tcW w:w="810" w:type="pct"/>
            <w:noWrap/>
            <w:hideMark/>
          </w:tcPr>
          <w:p w:rsidR="00713488" w:rsidRPr="002C47D0" w:rsidRDefault="00713488" w:rsidP="00BD6327">
            <w:pPr>
              <w:pStyle w:val="Tabletext"/>
              <w:jc w:val="center"/>
              <w:rPr>
                <w:b/>
              </w:rPr>
            </w:pPr>
            <w:r w:rsidRPr="002C47D0">
              <w:rPr>
                <w:b/>
              </w:rPr>
              <w:t>2016</w:t>
            </w:r>
          </w:p>
        </w:tc>
        <w:tc>
          <w:tcPr>
            <w:tcW w:w="675" w:type="pct"/>
            <w:gridSpan w:val="2"/>
            <w:noWrap/>
            <w:hideMark/>
          </w:tcPr>
          <w:p w:rsidR="00713488" w:rsidRPr="002C47D0" w:rsidRDefault="00713488" w:rsidP="00BD6327">
            <w:pPr>
              <w:pStyle w:val="Tabletext"/>
              <w:jc w:val="center"/>
              <w:rPr>
                <w:b/>
              </w:rPr>
            </w:pPr>
            <w:r w:rsidRPr="002C47D0">
              <w:rPr>
                <w:b/>
              </w:rPr>
              <w:t>2017</w:t>
            </w:r>
          </w:p>
        </w:tc>
        <w:tc>
          <w:tcPr>
            <w:tcW w:w="670" w:type="pct"/>
            <w:noWrap/>
            <w:hideMark/>
          </w:tcPr>
          <w:p w:rsidR="00713488" w:rsidRPr="002C47D0" w:rsidRDefault="00713488" w:rsidP="00BD6327">
            <w:pPr>
              <w:pStyle w:val="Tabletext"/>
              <w:jc w:val="center"/>
              <w:rPr>
                <w:b/>
              </w:rPr>
            </w:pPr>
            <w:r w:rsidRPr="002C47D0">
              <w:rPr>
                <w:b/>
              </w:rPr>
              <w:t>2018</w:t>
            </w:r>
          </w:p>
        </w:tc>
        <w:tc>
          <w:tcPr>
            <w:tcW w:w="688" w:type="pct"/>
            <w:gridSpan w:val="2"/>
            <w:noWrap/>
            <w:hideMark/>
          </w:tcPr>
          <w:p w:rsidR="00713488" w:rsidRPr="002C47D0" w:rsidRDefault="00713488" w:rsidP="00BD6327">
            <w:pPr>
              <w:pStyle w:val="Tabletext"/>
              <w:jc w:val="center"/>
              <w:rPr>
                <w:b/>
              </w:rPr>
            </w:pPr>
            <w:r w:rsidRPr="002C47D0">
              <w:rPr>
                <w:b/>
              </w:rPr>
              <w:t>2019</w:t>
            </w:r>
          </w:p>
        </w:tc>
        <w:tc>
          <w:tcPr>
            <w:tcW w:w="691" w:type="pct"/>
            <w:noWrap/>
            <w:hideMark/>
          </w:tcPr>
          <w:p w:rsidR="00713488" w:rsidRPr="002C47D0" w:rsidRDefault="00713488" w:rsidP="00BD6327">
            <w:pPr>
              <w:pStyle w:val="Tabletext"/>
              <w:jc w:val="center"/>
              <w:rPr>
                <w:b/>
              </w:rPr>
            </w:pPr>
            <w:r w:rsidRPr="002C47D0">
              <w:rPr>
                <w:b/>
              </w:rPr>
              <w:t>2020</w:t>
            </w:r>
          </w:p>
        </w:tc>
      </w:tr>
      <w:tr w:rsidR="00713488" w:rsidRPr="00A7735F" w:rsidTr="008B4C07">
        <w:tc>
          <w:tcPr>
            <w:tcW w:w="5000" w:type="pct"/>
            <w:gridSpan w:val="8"/>
            <w:tcBorders>
              <w:bottom w:val="single" w:sz="6" w:space="0" w:color="auto"/>
            </w:tcBorders>
            <w:noWrap/>
          </w:tcPr>
          <w:p w:rsidR="00713488" w:rsidRPr="00A7735F" w:rsidRDefault="00713488" w:rsidP="00BD6327">
            <w:pPr>
              <w:pStyle w:val="Tabletext"/>
              <w:rPr>
                <w:b/>
                <w:lang w:eastAsia="en-AU"/>
              </w:rPr>
            </w:pPr>
            <w:r w:rsidRPr="00A7735F">
              <w:rPr>
                <w:b/>
                <w:lang w:eastAsia="en-AU"/>
              </w:rPr>
              <w:t xml:space="preserve">the </w:t>
            </w:r>
            <w:r>
              <w:rPr>
                <w:b/>
                <w:lang w:eastAsia="en-AU"/>
              </w:rPr>
              <w:t xml:space="preserve">extent of </w:t>
            </w:r>
            <w:r w:rsidRPr="00A7735F">
              <w:rPr>
                <w:b/>
                <w:lang w:eastAsia="en-AU"/>
              </w:rPr>
              <w:t>use of armodafinil</w:t>
            </w:r>
          </w:p>
        </w:tc>
      </w:tr>
      <w:tr w:rsidR="00713488" w:rsidRPr="004B0998" w:rsidTr="008B4C07">
        <w:tc>
          <w:tcPr>
            <w:tcW w:w="1466" w:type="pct"/>
            <w:tcBorders>
              <w:top w:val="single" w:sz="6" w:space="0" w:color="auto"/>
              <w:bottom w:val="nil"/>
            </w:tcBorders>
            <w:noWrap/>
          </w:tcPr>
          <w:p w:rsidR="00713488" w:rsidRPr="00B30321" w:rsidRDefault="00713488" w:rsidP="00BD6327">
            <w:pPr>
              <w:pStyle w:val="Tabletext"/>
              <w:rPr>
                <w:color w:val="000000"/>
                <w:lang w:eastAsia="en-AU"/>
              </w:rPr>
            </w:pPr>
            <w:r>
              <w:rPr>
                <w:color w:val="000000"/>
                <w:lang w:eastAsia="en-AU"/>
              </w:rPr>
              <w:t>Total patients eligible for treatment</w:t>
            </w:r>
          </w:p>
        </w:tc>
        <w:tc>
          <w:tcPr>
            <w:tcW w:w="810" w:type="pct"/>
            <w:tcBorders>
              <w:top w:val="single" w:sz="6" w:space="0" w:color="auto"/>
              <w:bottom w:val="nil"/>
            </w:tcBorders>
            <w:noWrap/>
          </w:tcPr>
          <w:p w:rsidR="00713488" w:rsidRPr="00770D3D" w:rsidRDefault="00770D3D" w:rsidP="00BD6327">
            <w:pPr>
              <w:pStyle w:val="Tabletext"/>
              <w:jc w:val="center"/>
              <w:rPr>
                <w:color w:val="000000"/>
                <w:highlight w:val="black"/>
                <w:lang w:eastAsia="en-AU"/>
              </w:rPr>
            </w:pPr>
            <w:r>
              <w:rPr>
                <w:noProof/>
                <w:color w:val="000000"/>
                <w:highlight w:val="black"/>
                <w:lang w:eastAsia="en-AU"/>
              </w:rPr>
              <w:t>'''''''''''''</w:t>
            </w:r>
          </w:p>
        </w:tc>
        <w:tc>
          <w:tcPr>
            <w:tcW w:w="668" w:type="pct"/>
            <w:tcBorders>
              <w:top w:val="single" w:sz="6" w:space="0" w:color="auto"/>
              <w:bottom w:val="nil"/>
            </w:tcBorders>
            <w:noWrap/>
          </w:tcPr>
          <w:p w:rsidR="00713488" w:rsidRPr="00770D3D" w:rsidRDefault="00770D3D" w:rsidP="00BD6327">
            <w:pPr>
              <w:pStyle w:val="Tabletext"/>
              <w:jc w:val="center"/>
              <w:rPr>
                <w:color w:val="000000"/>
                <w:highlight w:val="black"/>
                <w:lang w:eastAsia="en-AU"/>
              </w:rPr>
            </w:pPr>
            <w:r>
              <w:rPr>
                <w:noProof/>
                <w:color w:val="000000"/>
                <w:highlight w:val="black"/>
                <w:lang w:eastAsia="en-AU"/>
              </w:rPr>
              <w:t>'''''''''''''</w:t>
            </w:r>
          </w:p>
        </w:tc>
        <w:tc>
          <w:tcPr>
            <w:tcW w:w="682" w:type="pct"/>
            <w:gridSpan w:val="3"/>
            <w:tcBorders>
              <w:top w:val="single" w:sz="6" w:space="0" w:color="auto"/>
              <w:bottom w:val="nil"/>
            </w:tcBorders>
            <w:noWrap/>
          </w:tcPr>
          <w:p w:rsidR="00713488" w:rsidRPr="00770D3D" w:rsidRDefault="00770D3D" w:rsidP="00BD6327">
            <w:pPr>
              <w:pStyle w:val="Tabletext"/>
              <w:jc w:val="center"/>
              <w:rPr>
                <w:color w:val="000000"/>
                <w:highlight w:val="black"/>
                <w:lang w:eastAsia="en-AU"/>
              </w:rPr>
            </w:pPr>
            <w:r>
              <w:rPr>
                <w:noProof/>
                <w:color w:val="000000"/>
                <w:highlight w:val="black"/>
                <w:lang w:eastAsia="en-AU"/>
              </w:rPr>
              <w:t>'''''''''''''''</w:t>
            </w:r>
          </w:p>
        </w:tc>
        <w:tc>
          <w:tcPr>
            <w:tcW w:w="683" w:type="pct"/>
            <w:tcBorders>
              <w:top w:val="single" w:sz="6" w:space="0" w:color="auto"/>
              <w:bottom w:val="nil"/>
            </w:tcBorders>
            <w:noWrap/>
          </w:tcPr>
          <w:p w:rsidR="00713488" w:rsidRPr="00770D3D" w:rsidRDefault="00770D3D" w:rsidP="00BD6327">
            <w:pPr>
              <w:pStyle w:val="Tabletext"/>
              <w:jc w:val="center"/>
              <w:rPr>
                <w:color w:val="000000"/>
                <w:highlight w:val="black"/>
                <w:lang w:eastAsia="en-AU"/>
              </w:rPr>
            </w:pPr>
            <w:r>
              <w:rPr>
                <w:noProof/>
                <w:color w:val="000000"/>
                <w:highlight w:val="black"/>
                <w:lang w:eastAsia="en-AU"/>
              </w:rPr>
              <w:t>'''''''''''''''</w:t>
            </w:r>
          </w:p>
        </w:tc>
        <w:tc>
          <w:tcPr>
            <w:tcW w:w="691" w:type="pct"/>
            <w:tcBorders>
              <w:top w:val="single" w:sz="6" w:space="0" w:color="auto"/>
              <w:bottom w:val="nil"/>
            </w:tcBorders>
            <w:noWrap/>
          </w:tcPr>
          <w:p w:rsidR="00713488" w:rsidRPr="00770D3D" w:rsidRDefault="00770D3D" w:rsidP="00BD6327">
            <w:pPr>
              <w:pStyle w:val="Tabletext"/>
              <w:jc w:val="center"/>
              <w:rPr>
                <w:color w:val="000000"/>
                <w:highlight w:val="black"/>
                <w:lang w:eastAsia="en-AU"/>
              </w:rPr>
            </w:pPr>
            <w:r>
              <w:rPr>
                <w:noProof/>
                <w:color w:val="000000"/>
                <w:highlight w:val="black"/>
                <w:lang w:eastAsia="en-AU"/>
              </w:rPr>
              <w:t>'''''''''''''</w:t>
            </w:r>
          </w:p>
        </w:tc>
      </w:tr>
      <w:tr w:rsidR="00713488" w:rsidRPr="004B0998" w:rsidTr="008B4C07">
        <w:tc>
          <w:tcPr>
            <w:tcW w:w="1466" w:type="pct"/>
            <w:tcBorders>
              <w:top w:val="single" w:sz="6" w:space="0" w:color="auto"/>
            </w:tcBorders>
            <w:noWrap/>
          </w:tcPr>
          <w:p w:rsidR="00713488" w:rsidRPr="00B30321" w:rsidRDefault="00713488" w:rsidP="00BD6327">
            <w:pPr>
              <w:pStyle w:val="Tabletext"/>
              <w:rPr>
                <w:color w:val="000000"/>
                <w:lang w:eastAsia="en-AU"/>
              </w:rPr>
            </w:pPr>
            <w:r>
              <w:rPr>
                <w:color w:val="000000"/>
                <w:lang w:eastAsia="en-AU"/>
              </w:rPr>
              <w:t>% uptake armodafinil</w:t>
            </w:r>
          </w:p>
        </w:tc>
        <w:tc>
          <w:tcPr>
            <w:tcW w:w="810" w:type="pct"/>
            <w:tcBorders>
              <w:top w:val="single" w:sz="6" w:space="0" w:color="auto"/>
            </w:tcBorders>
            <w:noWrap/>
          </w:tcPr>
          <w:p w:rsidR="00713488" w:rsidRPr="00770D3D" w:rsidRDefault="00770D3D" w:rsidP="00BD6327">
            <w:pPr>
              <w:pStyle w:val="Tabletext"/>
              <w:jc w:val="center"/>
              <w:rPr>
                <w:color w:val="000000"/>
                <w:highlight w:val="black"/>
                <w:lang w:eastAsia="en-AU"/>
              </w:rPr>
            </w:pPr>
            <w:r>
              <w:rPr>
                <w:noProof/>
                <w:color w:val="000000"/>
                <w:highlight w:val="black"/>
                <w:lang w:eastAsia="en-AU"/>
              </w:rPr>
              <w:t>''''''''</w:t>
            </w:r>
          </w:p>
        </w:tc>
        <w:tc>
          <w:tcPr>
            <w:tcW w:w="668" w:type="pct"/>
            <w:tcBorders>
              <w:top w:val="single" w:sz="6" w:space="0" w:color="auto"/>
            </w:tcBorders>
            <w:noWrap/>
          </w:tcPr>
          <w:p w:rsidR="00713488" w:rsidRPr="00770D3D" w:rsidRDefault="00770D3D" w:rsidP="00BD6327">
            <w:pPr>
              <w:pStyle w:val="Tabletext"/>
              <w:jc w:val="center"/>
              <w:rPr>
                <w:color w:val="000000"/>
                <w:highlight w:val="black"/>
                <w:lang w:eastAsia="en-AU"/>
              </w:rPr>
            </w:pPr>
            <w:r>
              <w:rPr>
                <w:noProof/>
                <w:color w:val="000000"/>
                <w:highlight w:val="black"/>
                <w:lang w:eastAsia="en-AU"/>
              </w:rPr>
              <w:t>'''''''''''</w:t>
            </w:r>
          </w:p>
        </w:tc>
        <w:tc>
          <w:tcPr>
            <w:tcW w:w="682" w:type="pct"/>
            <w:gridSpan w:val="3"/>
            <w:tcBorders>
              <w:top w:val="single" w:sz="6" w:space="0" w:color="auto"/>
            </w:tcBorders>
            <w:noWrap/>
          </w:tcPr>
          <w:p w:rsidR="00713488" w:rsidRPr="00770D3D" w:rsidRDefault="00770D3D" w:rsidP="00BD6327">
            <w:pPr>
              <w:pStyle w:val="Tabletext"/>
              <w:jc w:val="center"/>
              <w:rPr>
                <w:color w:val="000000"/>
                <w:highlight w:val="black"/>
                <w:lang w:eastAsia="en-AU"/>
              </w:rPr>
            </w:pPr>
            <w:r>
              <w:rPr>
                <w:noProof/>
                <w:color w:val="000000"/>
                <w:highlight w:val="black"/>
                <w:lang w:eastAsia="en-AU"/>
              </w:rPr>
              <w:t>''''''''''</w:t>
            </w:r>
          </w:p>
        </w:tc>
        <w:tc>
          <w:tcPr>
            <w:tcW w:w="683" w:type="pct"/>
            <w:tcBorders>
              <w:top w:val="single" w:sz="6" w:space="0" w:color="auto"/>
            </w:tcBorders>
            <w:noWrap/>
          </w:tcPr>
          <w:p w:rsidR="00713488" w:rsidRPr="00770D3D" w:rsidRDefault="00770D3D" w:rsidP="00BD6327">
            <w:pPr>
              <w:pStyle w:val="Tabletext"/>
              <w:jc w:val="center"/>
              <w:rPr>
                <w:color w:val="000000"/>
                <w:highlight w:val="black"/>
                <w:lang w:eastAsia="en-AU"/>
              </w:rPr>
            </w:pPr>
            <w:r>
              <w:rPr>
                <w:noProof/>
                <w:color w:val="000000"/>
                <w:highlight w:val="black"/>
                <w:lang w:eastAsia="en-AU"/>
              </w:rPr>
              <w:t>''''''''''''</w:t>
            </w:r>
          </w:p>
        </w:tc>
        <w:tc>
          <w:tcPr>
            <w:tcW w:w="691" w:type="pct"/>
            <w:tcBorders>
              <w:top w:val="single" w:sz="6" w:space="0" w:color="auto"/>
            </w:tcBorders>
            <w:noWrap/>
          </w:tcPr>
          <w:p w:rsidR="00713488" w:rsidRPr="00770D3D" w:rsidRDefault="00770D3D" w:rsidP="00BD6327">
            <w:pPr>
              <w:pStyle w:val="Tabletext"/>
              <w:jc w:val="center"/>
              <w:rPr>
                <w:color w:val="000000"/>
                <w:highlight w:val="black"/>
                <w:lang w:eastAsia="en-AU"/>
              </w:rPr>
            </w:pPr>
            <w:r>
              <w:rPr>
                <w:noProof/>
                <w:color w:val="000000"/>
                <w:highlight w:val="black"/>
                <w:lang w:eastAsia="en-AU"/>
              </w:rPr>
              <w:t>''''''''''</w:t>
            </w:r>
          </w:p>
        </w:tc>
      </w:tr>
      <w:tr w:rsidR="00713488" w:rsidRPr="00A7735F" w:rsidTr="008B4C07">
        <w:tc>
          <w:tcPr>
            <w:tcW w:w="1466" w:type="pct"/>
            <w:tcBorders>
              <w:top w:val="single" w:sz="6" w:space="0" w:color="auto"/>
              <w:bottom w:val="nil"/>
            </w:tcBorders>
            <w:noWrap/>
          </w:tcPr>
          <w:p w:rsidR="00713488" w:rsidRDefault="00713488" w:rsidP="00BD6327">
            <w:pPr>
              <w:pStyle w:val="Tabletext"/>
              <w:rPr>
                <w:lang w:eastAsia="en-AU"/>
              </w:rPr>
            </w:pPr>
            <w:r>
              <w:rPr>
                <w:color w:val="000000"/>
                <w:lang w:eastAsia="en-AU"/>
              </w:rPr>
              <w:t>Total patients treated with armodafinil</w:t>
            </w:r>
          </w:p>
        </w:tc>
        <w:tc>
          <w:tcPr>
            <w:tcW w:w="810" w:type="pct"/>
            <w:tcBorders>
              <w:top w:val="single" w:sz="6" w:space="0" w:color="auto"/>
              <w:bottom w:val="nil"/>
            </w:tcBorders>
            <w:noWrap/>
            <w:vAlign w:val="top"/>
          </w:tcPr>
          <w:p w:rsidR="00713488" w:rsidRPr="00770D3D" w:rsidRDefault="00770D3D" w:rsidP="00BD6327">
            <w:pPr>
              <w:pStyle w:val="Tabletext"/>
              <w:jc w:val="center"/>
              <w:rPr>
                <w:highlight w:val="black"/>
                <w:lang w:eastAsia="en-AU"/>
              </w:rPr>
            </w:pPr>
            <w:r>
              <w:rPr>
                <w:rFonts w:cs="Arial"/>
                <w:noProof/>
                <w:color w:val="000000"/>
                <w:highlight w:val="black"/>
              </w:rPr>
              <w:t>''''''</w:t>
            </w:r>
          </w:p>
        </w:tc>
        <w:tc>
          <w:tcPr>
            <w:tcW w:w="675" w:type="pct"/>
            <w:gridSpan w:val="2"/>
            <w:tcBorders>
              <w:top w:val="single" w:sz="6" w:space="0" w:color="auto"/>
              <w:bottom w:val="nil"/>
            </w:tcBorders>
            <w:noWrap/>
            <w:vAlign w:val="top"/>
          </w:tcPr>
          <w:p w:rsidR="00713488" w:rsidRPr="00770D3D" w:rsidRDefault="00770D3D" w:rsidP="00BD6327">
            <w:pPr>
              <w:pStyle w:val="Tabletext"/>
              <w:jc w:val="center"/>
              <w:rPr>
                <w:highlight w:val="black"/>
                <w:lang w:eastAsia="en-AU"/>
              </w:rPr>
            </w:pPr>
            <w:r>
              <w:rPr>
                <w:rFonts w:cs="Arial"/>
                <w:noProof/>
                <w:color w:val="000000"/>
                <w:highlight w:val="black"/>
              </w:rPr>
              <w:t>''''''''''</w:t>
            </w:r>
          </w:p>
        </w:tc>
        <w:tc>
          <w:tcPr>
            <w:tcW w:w="670" w:type="pct"/>
            <w:tcBorders>
              <w:top w:val="single" w:sz="6" w:space="0" w:color="auto"/>
              <w:bottom w:val="nil"/>
            </w:tcBorders>
            <w:noWrap/>
            <w:vAlign w:val="top"/>
          </w:tcPr>
          <w:p w:rsidR="00713488" w:rsidRPr="00770D3D" w:rsidRDefault="00770D3D" w:rsidP="00BD6327">
            <w:pPr>
              <w:pStyle w:val="Tabletext"/>
              <w:jc w:val="center"/>
              <w:rPr>
                <w:highlight w:val="black"/>
                <w:lang w:eastAsia="en-AU"/>
              </w:rPr>
            </w:pPr>
            <w:r>
              <w:rPr>
                <w:rFonts w:cs="Arial"/>
                <w:noProof/>
                <w:color w:val="000000"/>
                <w:highlight w:val="black"/>
              </w:rPr>
              <w:t>''''''''''</w:t>
            </w:r>
          </w:p>
        </w:tc>
        <w:tc>
          <w:tcPr>
            <w:tcW w:w="688" w:type="pct"/>
            <w:gridSpan w:val="2"/>
            <w:tcBorders>
              <w:top w:val="single" w:sz="6" w:space="0" w:color="auto"/>
              <w:bottom w:val="nil"/>
            </w:tcBorders>
            <w:noWrap/>
            <w:vAlign w:val="top"/>
          </w:tcPr>
          <w:p w:rsidR="00713488" w:rsidRPr="00770D3D" w:rsidRDefault="00770D3D" w:rsidP="00BD6327">
            <w:pPr>
              <w:pStyle w:val="Tabletext"/>
              <w:jc w:val="center"/>
              <w:rPr>
                <w:highlight w:val="black"/>
                <w:lang w:eastAsia="en-AU"/>
              </w:rPr>
            </w:pPr>
            <w:r>
              <w:rPr>
                <w:rFonts w:cs="Arial"/>
                <w:noProof/>
                <w:color w:val="000000"/>
                <w:highlight w:val="black"/>
              </w:rPr>
              <w:t>'''''''''</w:t>
            </w:r>
          </w:p>
        </w:tc>
        <w:tc>
          <w:tcPr>
            <w:tcW w:w="691" w:type="pct"/>
            <w:tcBorders>
              <w:top w:val="single" w:sz="6" w:space="0" w:color="auto"/>
              <w:bottom w:val="nil"/>
            </w:tcBorders>
            <w:noWrap/>
            <w:vAlign w:val="top"/>
          </w:tcPr>
          <w:p w:rsidR="00713488" w:rsidRPr="00770D3D" w:rsidRDefault="00770D3D" w:rsidP="00BD6327">
            <w:pPr>
              <w:pStyle w:val="Tabletext"/>
              <w:jc w:val="center"/>
              <w:rPr>
                <w:highlight w:val="black"/>
                <w:lang w:eastAsia="en-AU"/>
              </w:rPr>
            </w:pPr>
            <w:r>
              <w:rPr>
                <w:rFonts w:cs="Arial"/>
                <w:noProof/>
                <w:color w:val="000000"/>
                <w:highlight w:val="black"/>
              </w:rPr>
              <w:t>'''''''''</w:t>
            </w:r>
          </w:p>
        </w:tc>
      </w:tr>
      <w:tr w:rsidR="00713488" w:rsidRPr="00A7735F" w:rsidTr="008B4C07">
        <w:tc>
          <w:tcPr>
            <w:tcW w:w="1466" w:type="pct"/>
            <w:tcBorders>
              <w:top w:val="single" w:sz="6" w:space="0" w:color="auto"/>
              <w:bottom w:val="nil"/>
            </w:tcBorders>
            <w:noWrap/>
            <w:hideMark/>
          </w:tcPr>
          <w:p w:rsidR="00713488" w:rsidRPr="00A7735F" w:rsidRDefault="00713488" w:rsidP="00BD6327">
            <w:pPr>
              <w:pStyle w:val="Tabletext"/>
              <w:rPr>
                <w:lang w:eastAsia="en-AU"/>
              </w:rPr>
            </w:pPr>
            <w:r>
              <w:rPr>
                <w:lang w:eastAsia="en-AU"/>
              </w:rPr>
              <w:t>Total cost of armodafinil</w:t>
            </w:r>
          </w:p>
        </w:tc>
        <w:tc>
          <w:tcPr>
            <w:tcW w:w="810" w:type="pct"/>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75" w:type="pct"/>
            <w:gridSpan w:val="2"/>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70" w:type="pct"/>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88" w:type="pct"/>
            <w:gridSpan w:val="2"/>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91" w:type="pct"/>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r>
      <w:tr w:rsidR="00713488" w:rsidRPr="00A7735F" w:rsidTr="008B4C07">
        <w:tc>
          <w:tcPr>
            <w:tcW w:w="1466" w:type="pct"/>
            <w:tcBorders>
              <w:top w:val="single" w:sz="6" w:space="0" w:color="auto"/>
              <w:bottom w:val="nil"/>
            </w:tcBorders>
            <w:noWrap/>
            <w:hideMark/>
          </w:tcPr>
          <w:p w:rsidR="00713488" w:rsidRPr="00A7735F" w:rsidRDefault="00713488" w:rsidP="00BD6327">
            <w:pPr>
              <w:pStyle w:val="Tabletext"/>
              <w:rPr>
                <w:lang w:eastAsia="en-AU"/>
              </w:rPr>
            </w:pPr>
            <w:r w:rsidRPr="00A7735F">
              <w:rPr>
                <w:lang w:eastAsia="en-AU"/>
              </w:rPr>
              <w:t>Less patient contributions</w:t>
            </w:r>
          </w:p>
        </w:tc>
        <w:tc>
          <w:tcPr>
            <w:tcW w:w="810" w:type="pct"/>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75" w:type="pct"/>
            <w:gridSpan w:val="2"/>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70" w:type="pct"/>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88" w:type="pct"/>
            <w:gridSpan w:val="2"/>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91" w:type="pct"/>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r>
      <w:tr w:rsidR="00713488" w:rsidRPr="00A7735F" w:rsidTr="008B4C07">
        <w:tc>
          <w:tcPr>
            <w:tcW w:w="1466" w:type="pct"/>
            <w:tcBorders>
              <w:top w:val="single" w:sz="6" w:space="0" w:color="auto"/>
              <w:bottom w:val="nil"/>
            </w:tcBorders>
            <w:noWrap/>
            <w:hideMark/>
          </w:tcPr>
          <w:p w:rsidR="00713488" w:rsidRPr="00A7735F" w:rsidRDefault="00713488" w:rsidP="00BD6327">
            <w:pPr>
              <w:pStyle w:val="Tabletext"/>
              <w:rPr>
                <w:lang w:eastAsia="en-AU"/>
              </w:rPr>
            </w:pPr>
            <w:r w:rsidRPr="00A7735F">
              <w:rPr>
                <w:lang w:eastAsia="en-AU"/>
              </w:rPr>
              <w:t xml:space="preserve">Net cost for </w:t>
            </w:r>
            <w:r>
              <w:rPr>
                <w:lang w:eastAsia="en-AU"/>
              </w:rPr>
              <w:t>ar</w:t>
            </w:r>
            <w:r w:rsidRPr="00A7735F">
              <w:rPr>
                <w:lang w:eastAsia="en-AU"/>
              </w:rPr>
              <w:t>modafinil</w:t>
            </w:r>
          </w:p>
        </w:tc>
        <w:tc>
          <w:tcPr>
            <w:tcW w:w="810" w:type="pct"/>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75" w:type="pct"/>
            <w:gridSpan w:val="2"/>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70" w:type="pct"/>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88" w:type="pct"/>
            <w:gridSpan w:val="2"/>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c>
          <w:tcPr>
            <w:tcW w:w="691" w:type="pct"/>
            <w:tcBorders>
              <w:top w:val="single" w:sz="6" w:space="0" w:color="auto"/>
              <w:bottom w:val="nil"/>
            </w:tcBorders>
            <w:noWrap/>
            <w:hideMark/>
          </w:tcPr>
          <w:p w:rsidR="00713488" w:rsidRPr="00A7735F" w:rsidRDefault="00713488" w:rsidP="00BD6327">
            <w:pPr>
              <w:pStyle w:val="Tabletext"/>
              <w:jc w:val="right"/>
              <w:rPr>
                <w:lang w:eastAsia="en-AU"/>
              </w:rPr>
            </w:pPr>
            <w:r w:rsidRPr="00A7735F">
              <w:rPr>
                <w:lang w:eastAsia="en-AU"/>
              </w:rPr>
              <w:t>$</w:t>
            </w:r>
            <w:r w:rsidR="00770D3D">
              <w:rPr>
                <w:noProof/>
                <w:color w:val="000000"/>
                <w:highlight w:val="black"/>
                <w:lang w:eastAsia="en-AU"/>
              </w:rPr>
              <w:t>'''''''''''''''''''''''''</w:t>
            </w:r>
          </w:p>
        </w:tc>
      </w:tr>
      <w:tr w:rsidR="00713488" w:rsidRPr="00A7735F" w:rsidTr="008B4C07">
        <w:tc>
          <w:tcPr>
            <w:tcW w:w="5000" w:type="pct"/>
            <w:gridSpan w:val="8"/>
            <w:tcBorders>
              <w:top w:val="single" w:sz="6" w:space="0" w:color="auto"/>
              <w:bottom w:val="single" w:sz="6" w:space="0" w:color="auto"/>
            </w:tcBorders>
            <w:noWrap/>
            <w:hideMark/>
          </w:tcPr>
          <w:p w:rsidR="00713488" w:rsidRPr="00A7735F" w:rsidRDefault="00713488" w:rsidP="00BD6327">
            <w:pPr>
              <w:pStyle w:val="Tabletext"/>
              <w:rPr>
                <w:b/>
                <w:lang w:eastAsia="en-AU"/>
              </w:rPr>
            </w:pPr>
            <w:r w:rsidRPr="00A7735F">
              <w:rPr>
                <w:b/>
                <w:lang w:eastAsia="en-AU"/>
              </w:rPr>
              <w:t>Reduction in use of modafinil</w:t>
            </w:r>
          </w:p>
        </w:tc>
      </w:tr>
      <w:tr w:rsidR="00713488" w:rsidRPr="00A7735F" w:rsidTr="008B4C07">
        <w:tc>
          <w:tcPr>
            <w:tcW w:w="1466" w:type="pct"/>
            <w:tcBorders>
              <w:top w:val="single" w:sz="6" w:space="0" w:color="auto"/>
              <w:bottom w:val="nil"/>
            </w:tcBorders>
            <w:noWrap/>
            <w:hideMark/>
          </w:tcPr>
          <w:p w:rsidR="00713488" w:rsidRPr="00A7735F" w:rsidRDefault="00713488" w:rsidP="00BD6327">
            <w:pPr>
              <w:pStyle w:val="Tabletext"/>
              <w:rPr>
                <w:color w:val="808080"/>
                <w:lang w:eastAsia="en-AU"/>
              </w:rPr>
            </w:pPr>
            <w:r w:rsidRPr="002C47D0">
              <w:rPr>
                <w:lang w:eastAsia="en-AU"/>
              </w:rPr>
              <w:t>Total cost of modafinil</w:t>
            </w:r>
          </w:p>
        </w:tc>
        <w:tc>
          <w:tcPr>
            <w:tcW w:w="810" w:type="pct"/>
            <w:tcBorders>
              <w:top w:val="single" w:sz="6" w:space="0" w:color="auto"/>
              <w:bottom w:val="nil"/>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75" w:type="pct"/>
            <w:gridSpan w:val="2"/>
            <w:tcBorders>
              <w:top w:val="single" w:sz="6" w:space="0" w:color="auto"/>
              <w:bottom w:val="nil"/>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70" w:type="pct"/>
            <w:tcBorders>
              <w:top w:val="single" w:sz="6" w:space="0" w:color="auto"/>
              <w:bottom w:val="nil"/>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88" w:type="pct"/>
            <w:gridSpan w:val="2"/>
            <w:tcBorders>
              <w:top w:val="single" w:sz="6" w:space="0" w:color="auto"/>
              <w:bottom w:val="nil"/>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91" w:type="pct"/>
            <w:tcBorders>
              <w:top w:val="single" w:sz="6" w:space="0" w:color="auto"/>
              <w:bottom w:val="nil"/>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r>
      <w:tr w:rsidR="00713488" w:rsidRPr="00A7735F" w:rsidTr="008B4C07">
        <w:tc>
          <w:tcPr>
            <w:tcW w:w="1466" w:type="pct"/>
            <w:tcBorders>
              <w:top w:val="single" w:sz="6" w:space="0" w:color="auto"/>
              <w:bottom w:val="nil"/>
            </w:tcBorders>
            <w:noWrap/>
            <w:hideMark/>
          </w:tcPr>
          <w:p w:rsidR="00713488" w:rsidRPr="00A7735F" w:rsidRDefault="00713488" w:rsidP="00BD6327">
            <w:pPr>
              <w:pStyle w:val="Tabletext"/>
              <w:rPr>
                <w:lang w:eastAsia="en-AU"/>
              </w:rPr>
            </w:pPr>
            <w:r w:rsidRPr="00A7735F">
              <w:rPr>
                <w:lang w:eastAsia="en-AU"/>
              </w:rPr>
              <w:t>Less patient contributions</w:t>
            </w:r>
          </w:p>
        </w:tc>
        <w:tc>
          <w:tcPr>
            <w:tcW w:w="810" w:type="pct"/>
            <w:tcBorders>
              <w:top w:val="single" w:sz="6" w:space="0" w:color="auto"/>
              <w:bottom w:val="nil"/>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75" w:type="pct"/>
            <w:gridSpan w:val="2"/>
            <w:tcBorders>
              <w:top w:val="single" w:sz="6" w:space="0" w:color="auto"/>
              <w:bottom w:val="nil"/>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70" w:type="pct"/>
            <w:tcBorders>
              <w:top w:val="single" w:sz="6" w:space="0" w:color="auto"/>
              <w:bottom w:val="nil"/>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88" w:type="pct"/>
            <w:gridSpan w:val="2"/>
            <w:tcBorders>
              <w:top w:val="single" w:sz="6" w:space="0" w:color="auto"/>
              <w:bottom w:val="nil"/>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91" w:type="pct"/>
            <w:tcBorders>
              <w:top w:val="single" w:sz="6" w:space="0" w:color="auto"/>
              <w:bottom w:val="nil"/>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r>
      <w:tr w:rsidR="00713488" w:rsidRPr="00A7735F" w:rsidTr="008525BA">
        <w:tc>
          <w:tcPr>
            <w:tcW w:w="1466" w:type="pct"/>
            <w:tcBorders>
              <w:top w:val="single" w:sz="6" w:space="0" w:color="auto"/>
              <w:bottom w:val="single" w:sz="4" w:space="0" w:color="auto"/>
            </w:tcBorders>
            <w:noWrap/>
            <w:hideMark/>
          </w:tcPr>
          <w:p w:rsidR="00713488" w:rsidRPr="00A7735F" w:rsidRDefault="00713488" w:rsidP="00BD6327">
            <w:pPr>
              <w:pStyle w:val="Tabletext"/>
              <w:rPr>
                <w:lang w:eastAsia="en-AU"/>
              </w:rPr>
            </w:pPr>
            <w:r w:rsidRPr="00A7735F">
              <w:rPr>
                <w:lang w:eastAsia="en-AU"/>
              </w:rPr>
              <w:t>Net cost of modafinil</w:t>
            </w:r>
          </w:p>
        </w:tc>
        <w:tc>
          <w:tcPr>
            <w:tcW w:w="810" w:type="pct"/>
            <w:tcBorders>
              <w:top w:val="single" w:sz="6" w:space="0" w:color="auto"/>
              <w:bottom w:val="single" w:sz="4" w:space="0" w:color="auto"/>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75" w:type="pct"/>
            <w:gridSpan w:val="2"/>
            <w:tcBorders>
              <w:top w:val="single" w:sz="6" w:space="0" w:color="auto"/>
              <w:bottom w:val="single" w:sz="4" w:space="0" w:color="auto"/>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70" w:type="pct"/>
            <w:tcBorders>
              <w:top w:val="single" w:sz="6" w:space="0" w:color="auto"/>
              <w:bottom w:val="single" w:sz="4" w:space="0" w:color="auto"/>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88" w:type="pct"/>
            <w:gridSpan w:val="2"/>
            <w:tcBorders>
              <w:top w:val="single" w:sz="6" w:space="0" w:color="auto"/>
              <w:bottom w:val="single" w:sz="4" w:space="0" w:color="auto"/>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c>
          <w:tcPr>
            <w:tcW w:w="691" w:type="pct"/>
            <w:tcBorders>
              <w:top w:val="single" w:sz="6" w:space="0" w:color="auto"/>
              <w:bottom w:val="single" w:sz="4" w:space="0" w:color="auto"/>
            </w:tcBorders>
            <w:noWrap/>
            <w:hideMark/>
          </w:tcPr>
          <w:p w:rsidR="00713488" w:rsidRPr="00A7735F" w:rsidRDefault="00713488" w:rsidP="00BD6327">
            <w:pPr>
              <w:pStyle w:val="Tabletext"/>
              <w:jc w:val="right"/>
              <w:rPr>
                <w:lang w:eastAsia="en-AU"/>
              </w:rPr>
            </w:pPr>
            <w:r w:rsidRPr="005F50A8">
              <w:rPr>
                <w:lang w:eastAsia="en-AU"/>
              </w:rPr>
              <w:t>-$</w:t>
            </w:r>
            <w:r w:rsidR="00770D3D">
              <w:rPr>
                <w:noProof/>
                <w:color w:val="000000"/>
                <w:highlight w:val="black"/>
                <w:lang w:eastAsia="en-AU"/>
              </w:rPr>
              <w:t>'''''''''''''''''''''</w:t>
            </w:r>
          </w:p>
        </w:tc>
      </w:tr>
      <w:tr w:rsidR="00713488" w:rsidRPr="00A7735F" w:rsidTr="008525BA">
        <w:tc>
          <w:tcPr>
            <w:tcW w:w="1466" w:type="pct"/>
            <w:tcBorders>
              <w:top w:val="single" w:sz="4" w:space="0" w:color="auto"/>
              <w:bottom w:val="single" w:sz="4" w:space="0" w:color="auto"/>
            </w:tcBorders>
            <w:noWrap/>
            <w:hideMark/>
          </w:tcPr>
          <w:p w:rsidR="00713488" w:rsidRPr="004E085E" w:rsidRDefault="00713488" w:rsidP="00BD6327">
            <w:pPr>
              <w:pStyle w:val="Tabletext"/>
              <w:rPr>
                <w:b/>
                <w:lang w:eastAsia="en-AU"/>
              </w:rPr>
            </w:pPr>
            <w:r w:rsidRPr="004E085E">
              <w:rPr>
                <w:b/>
                <w:lang w:eastAsia="en-AU"/>
              </w:rPr>
              <w:t>Net cost to the PBS/RPBS</w:t>
            </w:r>
          </w:p>
        </w:tc>
        <w:tc>
          <w:tcPr>
            <w:tcW w:w="810" w:type="pct"/>
            <w:tcBorders>
              <w:top w:val="single" w:sz="4" w:space="0" w:color="auto"/>
              <w:bottom w:val="single" w:sz="4" w:space="0" w:color="auto"/>
            </w:tcBorders>
            <w:noWrap/>
            <w:hideMark/>
          </w:tcPr>
          <w:p w:rsidR="00713488" w:rsidRPr="004E085E" w:rsidRDefault="00713488" w:rsidP="00BD6327">
            <w:pPr>
              <w:pStyle w:val="Tabletext"/>
              <w:jc w:val="right"/>
              <w:rPr>
                <w:b/>
                <w:lang w:eastAsia="en-AU"/>
              </w:rPr>
            </w:pPr>
            <w:r w:rsidRPr="004E085E">
              <w:rPr>
                <w:b/>
                <w:lang w:eastAsia="en-AU"/>
              </w:rPr>
              <w:t>$</w:t>
            </w:r>
            <w:r w:rsidR="00770D3D">
              <w:rPr>
                <w:b/>
                <w:noProof/>
                <w:color w:val="000000"/>
                <w:highlight w:val="black"/>
                <w:lang w:eastAsia="en-AU"/>
              </w:rPr>
              <w:t>'''''''''''''</w:t>
            </w:r>
          </w:p>
        </w:tc>
        <w:tc>
          <w:tcPr>
            <w:tcW w:w="675" w:type="pct"/>
            <w:gridSpan w:val="2"/>
            <w:tcBorders>
              <w:top w:val="single" w:sz="4" w:space="0" w:color="auto"/>
              <w:bottom w:val="single" w:sz="4" w:space="0" w:color="auto"/>
            </w:tcBorders>
            <w:noWrap/>
            <w:hideMark/>
          </w:tcPr>
          <w:p w:rsidR="00713488" w:rsidRPr="004E085E" w:rsidRDefault="00713488" w:rsidP="00BD6327">
            <w:pPr>
              <w:pStyle w:val="Tabletext"/>
              <w:jc w:val="right"/>
              <w:rPr>
                <w:b/>
                <w:lang w:eastAsia="en-AU"/>
              </w:rPr>
            </w:pPr>
            <w:r w:rsidRPr="004E085E">
              <w:rPr>
                <w:b/>
                <w:lang w:eastAsia="en-AU"/>
              </w:rPr>
              <w:t>$</w:t>
            </w:r>
            <w:r w:rsidR="00770D3D">
              <w:rPr>
                <w:b/>
                <w:noProof/>
                <w:color w:val="000000"/>
                <w:highlight w:val="black"/>
                <w:lang w:eastAsia="en-AU"/>
              </w:rPr>
              <w:t>'''''''''''''</w:t>
            </w:r>
          </w:p>
        </w:tc>
        <w:tc>
          <w:tcPr>
            <w:tcW w:w="670" w:type="pct"/>
            <w:tcBorders>
              <w:top w:val="single" w:sz="4" w:space="0" w:color="auto"/>
              <w:bottom w:val="single" w:sz="4" w:space="0" w:color="auto"/>
            </w:tcBorders>
            <w:noWrap/>
            <w:hideMark/>
          </w:tcPr>
          <w:p w:rsidR="00713488" w:rsidRPr="004E085E" w:rsidRDefault="00713488" w:rsidP="00BD6327">
            <w:pPr>
              <w:pStyle w:val="Tabletext"/>
              <w:jc w:val="right"/>
              <w:rPr>
                <w:b/>
                <w:lang w:eastAsia="en-AU"/>
              </w:rPr>
            </w:pPr>
            <w:r w:rsidRPr="004E085E">
              <w:rPr>
                <w:b/>
                <w:lang w:eastAsia="en-AU"/>
              </w:rPr>
              <w:t>$</w:t>
            </w:r>
            <w:r w:rsidR="00770D3D">
              <w:rPr>
                <w:b/>
                <w:noProof/>
                <w:color w:val="000000"/>
                <w:highlight w:val="black"/>
                <w:lang w:eastAsia="en-AU"/>
              </w:rPr>
              <w:t>'''''''''''''</w:t>
            </w:r>
          </w:p>
        </w:tc>
        <w:tc>
          <w:tcPr>
            <w:tcW w:w="688" w:type="pct"/>
            <w:gridSpan w:val="2"/>
            <w:tcBorders>
              <w:top w:val="single" w:sz="4" w:space="0" w:color="auto"/>
              <w:bottom w:val="single" w:sz="4" w:space="0" w:color="auto"/>
            </w:tcBorders>
            <w:noWrap/>
            <w:hideMark/>
          </w:tcPr>
          <w:p w:rsidR="00713488" w:rsidRPr="004E085E" w:rsidRDefault="00713488" w:rsidP="00BD6327">
            <w:pPr>
              <w:pStyle w:val="Tabletext"/>
              <w:jc w:val="right"/>
              <w:rPr>
                <w:b/>
                <w:lang w:eastAsia="en-AU"/>
              </w:rPr>
            </w:pPr>
            <w:r w:rsidRPr="004E085E">
              <w:rPr>
                <w:b/>
                <w:lang w:eastAsia="en-AU"/>
              </w:rPr>
              <w:t>$</w:t>
            </w:r>
            <w:r w:rsidR="00770D3D">
              <w:rPr>
                <w:b/>
                <w:noProof/>
                <w:color w:val="000000"/>
                <w:highlight w:val="black"/>
                <w:lang w:eastAsia="en-AU"/>
              </w:rPr>
              <w:t>''''''''''''''''''</w:t>
            </w:r>
          </w:p>
        </w:tc>
        <w:tc>
          <w:tcPr>
            <w:tcW w:w="691" w:type="pct"/>
            <w:tcBorders>
              <w:top w:val="single" w:sz="4" w:space="0" w:color="auto"/>
              <w:bottom w:val="single" w:sz="4" w:space="0" w:color="auto"/>
            </w:tcBorders>
            <w:noWrap/>
            <w:hideMark/>
          </w:tcPr>
          <w:p w:rsidR="00713488" w:rsidRPr="004E085E" w:rsidRDefault="00713488" w:rsidP="00BD6327">
            <w:pPr>
              <w:pStyle w:val="Tabletext"/>
              <w:jc w:val="right"/>
              <w:rPr>
                <w:b/>
                <w:lang w:eastAsia="en-AU"/>
              </w:rPr>
            </w:pPr>
            <w:r w:rsidRPr="004E085E">
              <w:rPr>
                <w:b/>
                <w:lang w:eastAsia="en-AU"/>
              </w:rPr>
              <w:t>$</w:t>
            </w:r>
            <w:r w:rsidR="00770D3D">
              <w:rPr>
                <w:b/>
                <w:noProof/>
                <w:color w:val="000000"/>
                <w:highlight w:val="black"/>
                <w:lang w:eastAsia="en-AU"/>
              </w:rPr>
              <w:t>'''''''''''''''''</w:t>
            </w:r>
          </w:p>
        </w:tc>
      </w:tr>
    </w:tbl>
    <w:p w:rsidR="00713488" w:rsidRDefault="00713488" w:rsidP="00713488">
      <w:pPr>
        <w:pStyle w:val="TableFooter"/>
        <w:ind w:firstLine="720"/>
        <w:rPr>
          <w:szCs w:val="22"/>
        </w:rPr>
      </w:pPr>
      <w:r w:rsidRPr="001222FC">
        <w:rPr>
          <w:sz w:val="16"/>
        </w:rPr>
        <w:t xml:space="preserve">Source: </w:t>
      </w:r>
      <w:r w:rsidRPr="00CD2994">
        <w:t>compiled during the evaluation, based on information presented in ‘Nuvigil Section E Final</w:t>
      </w:r>
      <w:r>
        <w:t>’</w:t>
      </w:r>
    </w:p>
    <w:p w:rsidR="00713488" w:rsidRDefault="00713488" w:rsidP="00713488">
      <w:pPr>
        <w:widowControl/>
        <w:rPr>
          <w:szCs w:val="22"/>
        </w:rPr>
      </w:pPr>
    </w:p>
    <w:p w:rsidR="00A444B3" w:rsidRPr="00A444B3" w:rsidRDefault="00A444B3" w:rsidP="00A444B3">
      <w:pPr>
        <w:widowControl/>
        <w:ind w:left="720"/>
        <w:rPr>
          <w:i/>
          <w:szCs w:val="22"/>
        </w:rPr>
      </w:pPr>
      <w:r>
        <w:rPr>
          <w:i/>
          <w:szCs w:val="22"/>
        </w:rPr>
        <w:t xml:space="preserve">The redacted table above shows that the number of patients treated with armodafinil is estimated to be less than 10,000 per year at a net cost to PBS of less than $10 million per year. </w:t>
      </w:r>
    </w:p>
    <w:p w:rsidR="00A444B3" w:rsidRPr="00C25D9C" w:rsidRDefault="00A444B3" w:rsidP="00713488">
      <w:pPr>
        <w:widowControl/>
        <w:rPr>
          <w:szCs w:val="22"/>
        </w:rPr>
      </w:pPr>
    </w:p>
    <w:p w:rsidR="00713488" w:rsidRPr="004675C9" w:rsidRDefault="00713488" w:rsidP="00713488">
      <w:pPr>
        <w:pStyle w:val="Heading2"/>
      </w:pPr>
      <w:bookmarkStart w:id="22" w:name="_Toc429660439"/>
      <w:r w:rsidRPr="004675C9">
        <w:t>Quality Use of Medicines</w:t>
      </w:r>
      <w:bookmarkEnd w:id="22"/>
    </w:p>
    <w:p w:rsidR="00713488" w:rsidRPr="00576972" w:rsidRDefault="00713488" w:rsidP="00713488">
      <w:pPr>
        <w:widowControl/>
        <w:rPr>
          <w:szCs w:val="22"/>
        </w:rPr>
      </w:pPr>
    </w:p>
    <w:p w:rsidR="00713488" w:rsidRPr="00A10267" w:rsidRDefault="00941790" w:rsidP="00941790">
      <w:pPr>
        <w:pStyle w:val="ListParagraph"/>
        <w:widowControl/>
        <w:numPr>
          <w:ilvl w:val="1"/>
          <w:numId w:val="10"/>
        </w:numPr>
        <w:rPr>
          <w:szCs w:val="22"/>
        </w:rPr>
      </w:pPr>
      <w:r w:rsidRPr="00A10267">
        <w:t>Modafinil is associated with significant ‘off-label’ use and this presents some safety concerns</w:t>
      </w:r>
      <w:r w:rsidRPr="00A10267">
        <w:rPr>
          <w:rStyle w:val="FootnoteReference"/>
        </w:rPr>
        <w:footnoteReference w:id="5"/>
      </w:r>
      <w:r w:rsidRPr="00A10267">
        <w:t xml:space="preserve">. The potential for similar use and the associated concerns are likely to apply to armodafinil as well.  </w:t>
      </w:r>
    </w:p>
    <w:p w:rsidR="005075FE" w:rsidRDefault="005075FE" w:rsidP="00B1226F">
      <w:pPr>
        <w:widowControl/>
        <w:jc w:val="left"/>
        <w:rPr>
          <w:szCs w:val="22"/>
        </w:rPr>
      </w:pPr>
    </w:p>
    <w:p w:rsidR="0027684D" w:rsidRDefault="0027684D" w:rsidP="00795AD9">
      <w:pPr>
        <w:pStyle w:val="ListParagraph"/>
        <w:ind w:left="709"/>
        <w:rPr>
          <w:i/>
          <w:szCs w:val="22"/>
        </w:rPr>
      </w:pPr>
      <w:r w:rsidRPr="00B1226F">
        <w:rPr>
          <w:i/>
          <w:szCs w:val="22"/>
        </w:rPr>
        <w:t>For more detail on PBAC’s view, see section 7 “PBAC outcome”</w:t>
      </w:r>
    </w:p>
    <w:p w:rsidR="00E86C28" w:rsidRPr="00B1226F" w:rsidRDefault="00E86C28" w:rsidP="00795AD9">
      <w:pPr>
        <w:pStyle w:val="ListParagraph"/>
        <w:ind w:left="709"/>
      </w:pPr>
    </w:p>
    <w:p w:rsidR="0027684D" w:rsidRPr="00B1226F" w:rsidRDefault="0027684D" w:rsidP="00B1226F">
      <w:pPr>
        <w:numPr>
          <w:ilvl w:val="0"/>
          <w:numId w:val="10"/>
        </w:numPr>
        <w:rPr>
          <w:b/>
          <w:bCs/>
          <w:szCs w:val="22"/>
        </w:rPr>
      </w:pPr>
      <w:r w:rsidRPr="00B1226F">
        <w:rPr>
          <w:b/>
          <w:bCs/>
          <w:szCs w:val="22"/>
        </w:rPr>
        <w:t>PBAC Outcome</w:t>
      </w:r>
    </w:p>
    <w:p w:rsidR="0027684D" w:rsidRPr="00B1226F" w:rsidRDefault="0027684D" w:rsidP="00B1226F">
      <w:pPr>
        <w:contextualSpacing/>
        <w:rPr>
          <w:bCs/>
          <w:szCs w:val="22"/>
          <w:lang w:val="en-GB"/>
        </w:rPr>
      </w:pPr>
    </w:p>
    <w:p w:rsidR="00FA7A9F" w:rsidRDefault="007E2B83" w:rsidP="00292C4E">
      <w:pPr>
        <w:numPr>
          <w:ilvl w:val="1"/>
          <w:numId w:val="10"/>
        </w:numPr>
        <w:contextualSpacing/>
        <w:rPr>
          <w:bCs/>
          <w:szCs w:val="22"/>
          <w:lang w:val="en-GB"/>
        </w:rPr>
      </w:pPr>
      <w:r>
        <w:rPr>
          <w:bCs/>
          <w:szCs w:val="22"/>
          <w:lang w:val="en-GB"/>
        </w:rPr>
        <w:t>The PBAC decided not to recommend the listing of armodafinil on the PBS for excessive daytime sleepiness associated with narcolepsy.</w:t>
      </w:r>
      <w:r w:rsidR="00B735DF">
        <w:rPr>
          <w:bCs/>
          <w:szCs w:val="22"/>
          <w:lang w:val="en-GB"/>
        </w:rPr>
        <w:t xml:space="preserve"> In making its recommendation, the PBAC considered that there was </w:t>
      </w:r>
      <w:r w:rsidR="00E56DF3">
        <w:rPr>
          <w:bCs/>
          <w:szCs w:val="22"/>
          <w:lang w:val="en-GB"/>
        </w:rPr>
        <w:t>no apparent</w:t>
      </w:r>
      <w:r w:rsidR="00292C4E" w:rsidRPr="00292C4E">
        <w:rPr>
          <w:bCs/>
          <w:szCs w:val="22"/>
          <w:lang w:val="en-GB"/>
        </w:rPr>
        <w:t xml:space="preserve"> unmet clinical need </w:t>
      </w:r>
      <w:r w:rsidR="00E56DF3">
        <w:rPr>
          <w:bCs/>
          <w:szCs w:val="22"/>
          <w:lang w:val="en-GB"/>
        </w:rPr>
        <w:t>for</w:t>
      </w:r>
      <w:r w:rsidR="00292C4E" w:rsidRPr="00292C4E">
        <w:rPr>
          <w:bCs/>
          <w:szCs w:val="22"/>
          <w:lang w:val="en-GB"/>
        </w:rPr>
        <w:t xml:space="preserve"> armodafinil and the estimation of the equi-effective doses remained uncertain in the cost-minimisation analysis.</w:t>
      </w:r>
    </w:p>
    <w:p w:rsidR="00F97699" w:rsidRDefault="00F97699" w:rsidP="00F97699">
      <w:pPr>
        <w:ind w:left="720"/>
        <w:contextualSpacing/>
        <w:rPr>
          <w:bCs/>
          <w:szCs w:val="22"/>
          <w:lang w:val="en-GB"/>
        </w:rPr>
      </w:pPr>
    </w:p>
    <w:p w:rsidR="00F97699" w:rsidRDefault="00F97699" w:rsidP="00B1226F">
      <w:pPr>
        <w:numPr>
          <w:ilvl w:val="1"/>
          <w:numId w:val="10"/>
        </w:numPr>
        <w:contextualSpacing/>
        <w:rPr>
          <w:bCs/>
          <w:szCs w:val="22"/>
          <w:lang w:val="en-GB"/>
        </w:rPr>
      </w:pPr>
      <w:r>
        <w:rPr>
          <w:bCs/>
          <w:szCs w:val="22"/>
          <w:lang w:val="en-GB"/>
        </w:rPr>
        <w:t>The PBAC</w:t>
      </w:r>
      <w:r w:rsidR="00637303">
        <w:rPr>
          <w:bCs/>
          <w:szCs w:val="22"/>
          <w:lang w:val="en-GB"/>
        </w:rPr>
        <w:t xml:space="preserve"> </w:t>
      </w:r>
      <w:r w:rsidR="00924B5B">
        <w:rPr>
          <w:bCs/>
          <w:szCs w:val="22"/>
          <w:lang w:val="en-GB"/>
        </w:rPr>
        <w:t xml:space="preserve">considered that </w:t>
      </w:r>
      <w:r w:rsidR="005666FC">
        <w:rPr>
          <w:bCs/>
          <w:szCs w:val="22"/>
          <w:lang w:val="en-GB"/>
        </w:rPr>
        <w:t>while the pharmacokinetic properties of armodafinil differed from modafinil, i.e. armodafinil has a greater half-life than modafinil</w:t>
      </w:r>
      <w:r w:rsidR="00A4475E">
        <w:rPr>
          <w:bCs/>
          <w:szCs w:val="22"/>
          <w:lang w:val="en-GB"/>
        </w:rPr>
        <w:t xml:space="preserve">, </w:t>
      </w:r>
      <w:r w:rsidR="00292C4E">
        <w:rPr>
          <w:bCs/>
          <w:szCs w:val="22"/>
          <w:lang w:val="en-GB"/>
        </w:rPr>
        <w:t>the pharmacodynamic</w:t>
      </w:r>
      <w:r w:rsidR="00B53949">
        <w:rPr>
          <w:bCs/>
          <w:szCs w:val="22"/>
          <w:lang w:val="en-GB"/>
        </w:rPr>
        <w:t xml:space="preserve"> effects of the drug were likely similar, and </w:t>
      </w:r>
      <w:r w:rsidR="00A4475E">
        <w:rPr>
          <w:bCs/>
          <w:szCs w:val="22"/>
          <w:lang w:val="en-GB"/>
        </w:rPr>
        <w:t>it</w:t>
      </w:r>
      <w:r w:rsidR="000E0FFF">
        <w:rPr>
          <w:bCs/>
          <w:szCs w:val="22"/>
          <w:lang w:val="en-GB"/>
        </w:rPr>
        <w:t xml:space="preserve"> </w:t>
      </w:r>
      <w:r w:rsidR="00884A99">
        <w:rPr>
          <w:bCs/>
          <w:szCs w:val="22"/>
          <w:lang w:val="en-GB"/>
        </w:rPr>
        <w:t xml:space="preserve">was not </w:t>
      </w:r>
      <w:r w:rsidR="003F2DC3">
        <w:rPr>
          <w:bCs/>
          <w:szCs w:val="22"/>
          <w:lang w:val="en-GB"/>
        </w:rPr>
        <w:t xml:space="preserve">necessarily </w:t>
      </w:r>
      <w:r w:rsidR="00884A99">
        <w:rPr>
          <w:bCs/>
          <w:szCs w:val="22"/>
          <w:lang w:val="en-GB"/>
        </w:rPr>
        <w:t>expected</w:t>
      </w:r>
      <w:r w:rsidR="00A4475E">
        <w:rPr>
          <w:bCs/>
          <w:szCs w:val="22"/>
          <w:lang w:val="en-GB"/>
        </w:rPr>
        <w:t xml:space="preserve"> that armodafinil would offer </w:t>
      </w:r>
      <w:r w:rsidR="00E56DF3">
        <w:rPr>
          <w:bCs/>
          <w:szCs w:val="22"/>
          <w:lang w:val="en-GB"/>
        </w:rPr>
        <w:t>any appreciable</w:t>
      </w:r>
      <w:r w:rsidR="000E0FFF">
        <w:rPr>
          <w:bCs/>
          <w:szCs w:val="22"/>
          <w:lang w:val="en-GB"/>
        </w:rPr>
        <w:t xml:space="preserve"> clinical advantage</w:t>
      </w:r>
      <w:r w:rsidR="00B53949">
        <w:rPr>
          <w:bCs/>
          <w:szCs w:val="22"/>
          <w:lang w:val="en-GB"/>
        </w:rPr>
        <w:t xml:space="preserve"> over modafinil</w:t>
      </w:r>
      <w:r w:rsidR="00A4475E">
        <w:rPr>
          <w:bCs/>
          <w:szCs w:val="22"/>
          <w:lang w:val="en-GB"/>
        </w:rPr>
        <w:t>.</w:t>
      </w:r>
    </w:p>
    <w:p w:rsidR="00FA7A9F" w:rsidRDefault="00FA7A9F" w:rsidP="00FA7A9F">
      <w:pPr>
        <w:ind w:left="720"/>
        <w:contextualSpacing/>
        <w:rPr>
          <w:bCs/>
          <w:szCs w:val="22"/>
          <w:lang w:val="en-GB"/>
        </w:rPr>
      </w:pPr>
    </w:p>
    <w:p w:rsidR="006A0F08" w:rsidRDefault="00321188" w:rsidP="00B1226F">
      <w:pPr>
        <w:numPr>
          <w:ilvl w:val="1"/>
          <w:numId w:val="10"/>
        </w:numPr>
        <w:contextualSpacing/>
        <w:rPr>
          <w:bCs/>
          <w:szCs w:val="22"/>
          <w:lang w:val="en-GB"/>
        </w:rPr>
      </w:pPr>
      <w:r>
        <w:rPr>
          <w:bCs/>
          <w:szCs w:val="22"/>
          <w:lang w:val="en-GB"/>
        </w:rPr>
        <w:t xml:space="preserve">The </w:t>
      </w:r>
      <w:r w:rsidR="00EC7B04">
        <w:rPr>
          <w:bCs/>
          <w:szCs w:val="22"/>
          <w:lang w:val="en-GB"/>
        </w:rPr>
        <w:t xml:space="preserve">PBAC noted the </w:t>
      </w:r>
      <w:r>
        <w:rPr>
          <w:bCs/>
          <w:szCs w:val="22"/>
          <w:lang w:val="en-GB"/>
        </w:rPr>
        <w:t>submission had estimated the equi-effective doses based on mean doses used in five single-arm studies</w:t>
      </w:r>
      <w:r w:rsidR="004E3449">
        <w:rPr>
          <w:bCs/>
          <w:szCs w:val="22"/>
          <w:lang w:val="en-GB"/>
        </w:rPr>
        <w:t>. The PBAC considered that the basis for calculating the equi-effective doses was unreliable and that the</w:t>
      </w:r>
      <w:r w:rsidR="003F2DC3">
        <w:rPr>
          <w:bCs/>
          <w:szCs w:val="22"/>
          <w:lang w:val="en-GB"/>
        </w:rPr>
        <w:t xml:space="preserve"> equi-effective dose</w:t>
      </w:r>
      <w:r w:rsidR="004E3449">
        <w:rPr>
          <w:bCs/>
          <w:szCs w:val="22"/>
          <w:lang w:val="en-GB"/>
        </w:rPr>
        <w:t xml:space="preserve"> had not been adequately established </w:t>
      </w:r>
      <w:r w:rsidR="003F2DC3">
        <w:rPr>
          <w:bCs/>
          <w:szCs w:val="22"/>
          <w:lang w:val="en-GB"/>
        </w:rPr>
        <w:t>in</w:t>
      </w:r>
      <w:r w:rsidR="004E3449">
        <w:rPr>
          <w:bCs/>
          <w:szCs w:val="22"/>
          <w:lang w:val="en-GB"/>
        </w:rPr>
        <w:t xml:space="preserve"> the submission. </w:t>
      </w:r>
      <w:r w:rsidR="005C16A9">
        <w:rPr>
          <w:bCs/>
          <w:szCs w:val="22"/>
          <w:lang w:val="en-GB"/>
        </w:rPr>
        <w:t xml:space="preserve"> </w:t>
      </w:r>
    </w:p>
    <w:p w:rsidR="006A0F08" w:rsidRDefault="006A0F08" w:rsidP="006A0F08">
      <w:pPr>
        <w:pStyle w:val="ListParagraph"/>
        <w:rPr>
          <w:bCs/>
          <w:szCs w:val="22"/>
          <w:lang w:val="en-GB"/>
        </w:rPr>
      </w:pPr>
    </w:p>
    <w:p w:rsidR="0027684D" w:rsidRDefault="000E3539" w:rsidP="00B1226F">
      <w:pPr>
        <w:numPr>
          <w:ilvl w:val="1"/>
          <w:numId w:val="10"/>
        </w:numPr>
        <w:contextualSpacing/>
        <w:rPr>
          <w:bCs/>
          <w:szCs w:val="22"/>
          <w:lang w:val="en-GB"/>
        </w:rPr>
      </w:pPr>
      <w:r>
        <w:rPr>
          <w:bCs/>
          <w:szCs w:val="22"/>
          <w:lang w:val="en-GB"/>
        </w:rPr>
        <w:t>The PBAC agreed that modafinil</w:t>
      </w:r>
      <w:r w:rsidR="004E3449">
        <w:rPr>
          <w:bCs/>
          <w:szCs w:val="22"/>
          <w:lang w:val="en-GB"/>
        </w:rPr>
        <w:t xml:space="preserve"> was the appropriate comparator, but considered that a</w:t>
      </w:r>
      <w:r w:rsidR="00D035D2">
        <w:rPr>
          <w:bCs/>
          <w:szCs w:val="22"/>
          <w:lang w:val="en-GB"/>
        </w:rPr>
        <w:t xml:space="preserve"> comparison against the</w:t>
      </w:r>
      <w:r w:rsidR="004E3449">
        <w:rPr>
          <w:bCs/>
          <w:szCs w:val="22"/>
          <w:lang w:val="en-GB"/>
        </w:rPr>
        <w:t xml:space="preserve"> split dose regimen of modafinil was also </w:t>
      </w:r>
      <w:r w:rsidR="00D035D2">
        <w:rPr>
          <w:bCs/>
          <w:szCs w:val="22"/>
          <w:lang w:val="en-GB"/>
        </w:rPr>
        <w:t>relevant</w:t>
      </w:r>
      <w:r w:rsidR="004E3449">
        <w:rPr>
          <w:bCs/>
          <w:szCs w:val="22"/>
          <w:lang w:val="en-GB"/>
        </w:rPr>
        <w:t xml:space="preserve">. </w:t>
      </w:r>
    </w:p>
    <w:p w:rsidR="003E7590" w:rsidRDefault="003E7590" w:rsidP="003E7590">
      <w:pPr>
        <w:pStyle w:val="ListParagraph"/>
        <w:rPr>
          <w:bCs/>
          <w:szCs w:val="22"/>
          <w:lang w:val="en-GB"/>
        </w:rPr>
      </w:pPr>
    </w:p>
    <w:p w:rsidR="00487828" w:rsidRDefault="00D035D2" w:rsidP="00B1226F">
      <w:pPr>
        <w:numPr>
          <w:ilvl w:val="1"/>
          <w:numId w:val="10"/>
        </w:numPr>
        <w:contextualSpacing/>
        <w:rPr>
          <w:bCs/>
          <w:szCs w:val="22"/>
          <w:lang w:val="en-GB"/>
        </w:rPr>
      </w:pPr>
      <w:r w:rsidRPr="00E51270">
        <w:rPr>
          <w:bCs/>
          <w:szCs w:val="22"/>
          <w:lang w:val="en-GB"/>
        </w:rPr>
        <w:t>The PBAC noted the ESC’s concerns regarding the comparability of the trials,</w:t>
      </w:r>
      <w:r w:rsidR="008D7B28" w:rsidRPr="00E51270">
        <w:rPr>
          <w:bCs/>
          <w:szCs w:val="22"/>
          <w:lang w:val="en-GB"/>
        </w:rPr>
        <w:t xml:space="preserve"> risk of bias, the clinical importance of the trial outcomes, and the basis of the inferiority margin for the indirect comparison. The PBAC acknowledged these issues </w:t>
      </w:r>
      <w:r w:rsidR="003E7590" w:rsidRPr="00E51270">
        <w:rPr>
          <w:bCs/>
          <w:szCs w:val="22"/>
          <w:lang w:val="en-GB"/>
        </w:rPr>
        <w:t>but</w:t>
      </w:r>
      <w:r w:rsidR="008D7B28" w:rsidRPr="00E51270">
        <w:rPr>
          <w:bCs/>
          <w:szCs w:val="22"/>
          <w:lang w:val="en-GB"/>
        </w:rPr>
        <w:t xml:space="preserve"> </w:t>
      </w:r>
      <w:r w:rsidR="00EC7B04">
        <w:rPr>
          <w:bCs/>
          <w:szCs w:val="22"/>
          <w:lang w:val="en-GB"/>
        </w:rPr>
        <w:t>considered</w:t>
      </w:r>
      <w:r w:rsidR="00EC7B04" w:rsidRPr="00E51270">
        <w:rPr>
          <w:bCs/>
          <w:szCs w:val="22"/>
          <w:lang w:val="en-GB"/>
        </w:rPr>
        <w:t xml:space="preserve"> </w:t>
      </w:r>
      <w:r w:rsidR="008D7B28" w:rsidRPr="00E51270">
        <w:rPr>
          <w:bCs/>
          <w:szCs w:val="22"/>
          <w:lang w:val="en-GB"/>
        </w:rPr>
        <w:t>that</w:t>
      </w:r>
      <w:r w:rsidR="00525517" w:rsidRPr="00E51270">
        <w:rPr>
          <w:bCs/>
          <w:szCs w:val="22"/>
          <w:lang w:val="en-GB"/>
        </w:rPr>
        <w:t xml:space="preserve"> the data</w:t>
      </w:r>
      <w:r w:rsidR="003E7590" w:rsidRPr="00E51270">
        <w:rPr>
          <w:bCs/>
          <w:szCs w:val="22"/>
          <w:lang w:val="en-GB"/>
        </w:rPr>
        <w:t xml:space="preserve"> </w:t>
      </w:r>
      <w:r w:rsidR="00487828" w:rsidRPr="00E51270">
        <w:rPr>
          <w:bCs/>
          <w:szCs w:val="22"/>
          <w:lang w:val="en-GB"/>
        </w:rPr>
        <w:t xml:space="preserve">presented in the submission, and the fact that armodafinil is the R-enantiomer of modafinil, suggested that armodafinil is </w:t>
      </w:r>
      <w:r w:rsidR="003F2DC3">
        <w:rPr>
          <w:bCs/>
          <w:szCs w:val="22"/>
          <w:lang w:val="en-GB"/>
        </w:rPr>
        <w:t xml:space="preserve">very likely to be </w:t>
      </w:r>
      <w:r w:rsidR="00487828" w:rsidRPr="00E51270">
        <w:rPr>
          <w:bCs/>
          <w:szCs w:val="22"/>
          <w:lang w:val="en-GB"/>
        </w:rPr>
        <w:t xml:space="preserve">non-inferior in terms of comparative effectiveness and safety compared to modafinil. </w:t>
      </w:r>
    </w:p>
    <w:p w:rsidR="00352434" w:rsidRDefault="00352434" w:rsidP="00352434">
      <w:pPr>
        <w:pStyle w:val="ListParagraph"/>
        <w:rPr>
          <w:bCs/>
          <w:szCs w:val="22"/>
          <w:lang w:val="en-GB"/>
        </w:rPr>
      </w:pPr>
    </w:p>
    <w:p w:rsidR="00352434" w:rsidRPr="00E51270" w:rsidRDefault="00352434" w:rsidP="00B1226F">
      <w:pPr>
        <w:numPr>
          <w:ilvl w:val="1"/>
          <w:numId w:val="10"/>
        </w:numPr>
        <w:contextualSpacing/>
        <w:rPr>
          <w:bCs/>
          <w:szCs w:val="22"/>
          <w:lang w:val="en-GB"/>
        </w:rPr>
      </w:pPr>
      <w:r>
        <w:t>The PBAC noted that</w:t>
      </w:r>
      <w:r w:rsidRPr="00A10267">
        <w:t xml:space="preserve"> </w:t>
      </w:r>
      <w:r>
        <w:t xml:space="preserve">the submission estimated a net cost to the PBS from the listing of armodafinil. Considering the </w:t>
      </w:r>
      <w:r w:rsidRPr="00A10267">
        <w:t xml:space="preserve">submission’s claim of non-inferiority of armodafinil to modafinil and the cost-minimisation approach taken, </w:t>
      </w:r>
      <w:r>
        <w:t xml:space="preserve">the PBAC considered that the listing </w:t>
      </w:r>
      <w:r w:rsidRPr="00A10267">
        <w:t xml:space="preserve">of armodafinil </w:t>
      </w:r>
      <w:r>
        <w:t xml:space="preserve">should be </w:t>
      </w:r>
      <w:r w:rsidRPr="00A10267">
        <w:t>cost-neutral.</w:t>
      </w:r>
    </w:p>
    <w:p w:rsidR="00F54D49" w:rsidRDefault="00F54D49" w:rsidP="00F54D49">
      <w:pPr>
        <w:pStyle w:val="ListParagraph"/>
        <w:rPr>
          <w:bCs/>
          <w:szCs w:val="22"/>
          <w:lang w:val="en-GB"/>
        </w:rPr>
      </w:pPr>
    </w:p>
    <w:p w:rsidR="00F54D49" w:rsidRDefault="00F54D49" w:rsidP="00F54D49">
      <w:pPr>
        <w:numPr>
          <w:ilvl w:val="1"/>
          <w:numId w:val="10"/>
        </w:numPr>
        <w:contextualSpacing/>
        <w:rPr>
          <w:bCs/>
          <w:szCs w:val="22"/>
          <w:lang w:val="en-GB"/>
        </w:rPr>
      </w:pPr>
      <w:r>
        <w:rPr>
          <w:bCs/>
          <w:szCs w:val="22"/>
          <w:lang w:val="en-GB"/>
        </w:rPr>
        <w:t>The PBAC considered that while the issue of the equi-effective doses may be adjusted to address the PBAC’s concerns, the overall question of the clinical need for patients would not be resolved by greater confidence in the equi-effective doses.</w:t>
      </w:r>
    </w:p>
    <w:p w:rsidR="00C321B5" w:rsidRDefault="00C321B5" w:rsidP="000A095F">
      <w:pPr>
        <w:ind w:left="720"/>
        <w:contextualSpacing/>
        <w:rPr>
          <w:bCs/>
          <w:szCs w:val="22"/>
          <w:lang w:val="en-GB"/>
        </w:rPr>
      </w:pPr>
    </w:p>
    <w:p w:rsidR="00C321B5" w:rsidRPr="00B1226F" w:rsidRDefault="000A095F" w:rsidP="000A095F">
      <w:pPr>
        <w:numPr>
          <w:ilvl w:val="1"/>
          <w:numId w:val="10"/>
        </w:numPr>
        <w:contextualSpacing/>
        <w:rPr>
          <w:bCs/>
          <w:szCs w:val="22"/>
          <w:lang w:val="en-GB"/>
        </w:rPr>
      </w:pPr>
      <w:r w:rsidRPr="000A095F">
        <w:rPr>
          <w:bCs/>
          <w:szCs w:val="22"/>
          <w:lang w:val="en-GB"/>
        </w:rPr>
        <w:t>The PBAC noted that this submission is eligible for an Independent Review.</w:t>
      </w:r>
    </w:p>
    <w:p w:rsidR="0027684D" w:rsidRPr="00B1226F" w:rsidRDefault="0027684D" w:rsidP="00B1226F">
      <w:pPr>
        <w:rPr>
          <w:szCs w:val="22"/>
          <w:lang w:val="en-GB"/>
        </w:rPr>
      </w:pPr>
    </w:p>
    <w:p w:rsidR="0027684D" w:rsidRPr="00B1226F" w:rsidRDefault="0027684D" w:rsidP="00B1226F">
      <w:pPr>
        <w:rPr>
          <w:bCs/>
          <w:szCs w:val="22"/>
          <w:lang w:val="en-GB"/>
        </w:rPr>
      </w:pPr>
    </w:p>
    <w:p w:rsidR="0027684D" w:rsidRPr="00B1226F" w:rsidRDefault="0027684D" w:rsidP="00B1226F">
      <w:pPr>
        <w:rPr>
          <w:b/>
          <w:bCs/>
          <w:szCs w:val="22"/>
          <w:lang w:val="en-GB"/>
        </w:rPr>
      </w:pPr>
      <w:r w:rsidRPr="00B1226F">
        <w:rPr>
          <w:b/>
          <w:bCs/>
          <w:szCs w:val="22"/>
          <w:lang w:val="en-GB"/>
        </w:rPr>
        <w:t>Outcome:</w:t>
      </w:r>
    </w:p>
    <w:p w:rsidR="0027684D" w:rsidRPr="00B1226F" w:rsidRDefault="0027684D" w:rsidP="00B1226F">
      <w:pPr>
        <w:rPr>
          <w:bCs/>
          <w:szCs w:val="22"/>
          <w:lang w:val="en-GB"/>
        </w:rPr>
      </w:pPr>
      <w:r w:rsidRPr="00B1226F">
        <w:rPr>
          <w:bCs/>
          <w:szCs w:val="22"/>
          <w:lang w:val="en-GB"/>
        </w:rPr>
        <w:t>Rejected</w:t>
      </w:r>
    </w:p>
    <w:p w:rsidR="0027684D" w:rsidRDefault="0027684D" w:rsidP="00B1226F">
      <w:pPr>
        <w:rPr>
          <w:bCs/>
          <w:szCs w:val="22"/>
          <w:highlight w:val="yellow"/>
          <w:lang w:val="en-GB"/>
        </w:rPr>
      </w:pPr>
    </w:p>
    <w:bookmarkEnd w:id="1"/>
    <w:bookmarkEnd w:id="2"/>
    <w:bookmarkEnd w:id="3"/>
    <w:bookmarkEnd w:id="4"/>
    <w:bookmarkEnd w:id="5"/>
    <w:p w:rsidR="00E86C28" w:rsidRPr="006D54A5" w:rsidRDefault="00E86C28" w:rsidP="00E86C28">
      <w:pPr>
        <w:widowControl/>
        <w:jc w:val="left"/>
        <w:rPr>
          <w:bCs/>
          <w:szCs w:val="22"/>
        </w:rPr>
      </w:pPr>
    </w:p>
    <w:p w:rsidR="00E86C28" w:rsidRPr="002A5741" w:rsidRDefault="00E86C28" w:rsidP="00E86C28">
      <w:pPr>
        <w:pStyle w:val="PBACHeading1"/>
        <w:rPr>
          <w:rFonts w:eastAsia="SimSun"/>
        </w:rPr>
      </w:pPr>
      <w:r w:rsidRPr="002A5741">
        <w:rPr>
          <w:rFonts w:eastAsia="SimSun"/>
        </w:rPr>
        <w:lastRenderedPageBreak/>
        <w:t>Context for Decision</w:t>
      </w:r>
    </w:p>
    <w:p w:rsidR="00E86C28" w:rsidRDefault="00E86C28" w:rsidP="00E86C28">
      <w:pPr>
        <w:ind w:left="720"/>
        <w:contextualSpacing/>
        <w:rPr>
          <w:rFonts w:ascii="Times New Roman" w:hAnsi="Times New Roman" w:cs="Times New Roman"/>
          <w:b/>
          <w:sz w:val="24"/>
          <w:szCs w:val="24"/>
          <w:lang w:eastAsia="en-AU"/>
        </w:rPr>
      </w:pPr>
    </w:p>
    <w:p w:rsidR="00E86C28" w:rsidRDefault="00E86C28" w:rsidP="00E86C28">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86C28" w:rsidRDefault="00E86C28" w:rsidP="00E86C28">
      <w:pPr>
        <w:rPr>
          <w:rFonts w:ascii="Times New Roman" w:hAnsi="Times New Roman" w:cs="Times New Roman"/>
          <w:snapToGrid/>
          <w:sz w:val="24"/>
          <w:szCs w:val="24"/>
        </w:rPr>
      </w:pPr>
    </w:p>
    <w:p w:rsidR="00E86C28" w:rsidRPr="002A5741" w:rsidRDefault="00E86C28" w:rsidP="00E86C28">
      <w:pPr>
        <w:pStyle w:val="PBACHeading1"/>
        <w:rPr>
          <w:rFonts w:eastAsia="SimSun"/>
        </w:rPr>
      </w:pPr>
      <w:r w:rsidRPr="002A5741">
        <w:rPr>
          <w:rFonts w:eastAsia="SimSun"/>
        </w:rPr>
        <w:t>Sponsor’s Comment</w:t>
      </w:r>
    </w:p>
    <w:p w:rsidR="0027684D" w:rsidRDefault="0027684D" w:rsidP="00B1226F">
      <w:pPr>
        <w:rPr>
          <w:b/>
          <w:bCs/>
          <w:szCs w:val="22"/>
          <w:highlight w:val="yellow"/>
        </w:rPr>
      </w:pPr>
    </w:p>
    <w:p w:rsidR="005F50A8" w:rsidRPr="00BA14A6" w:rsidRDefault="005F50A8" w:rsidP="005F50A8">
      <w:pPr>
        <w:ind w:firstLine="720"/>
        <w:rPr>
          <w:bCs/>
          <w:szCs w:val="22"/>
          <w:highlight w:val="yellow"/>
        </w:rPr>
      </w:pPr>
      <w:r w:rsidRPr="00BA14A6">
        <w:rPr>
          <w:bCs/>
          <w:szCs w:val="22"/>
        </w:rPr>
        <w:t>T</w:t>
      </w:r>
      <w:r>
        <w:rPr>
          <w:bCs/>
          <w:szCs w:val="22"/>
        </w:rPr>
        <w:t>EVA</w:t>
      </w:r>
      <w:r w:rsidRPr="00BA14A6">
        <w:rPr>
          <w:bCs/>
          <w:szCs w:val="22"/>
        </w:rPr>
        <w:t xml:space="preserve"> will work to resolve the concerns raised by the PBAC.   </w:t>
      </w:r>
    </w:p>
    <w:p w:rsidR="005F50A8" w:rsidRDefault="005F50A8" w:rsidP="005F50A8">
      <w:pPr>
        <w:ind w:left="720"/>
        <w:rPr>
          <w:b/>
          <w:bCs/>
          <w:szCs w:val="22"/>
          <w:highlight w:val="yellow"/>
        </w:rPr>
      </w:pPr>
    </w:p>
    <w:sectPr w:rsidR="005F50A8" w:rsidSect="00A7692B">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A7F6EE" w15:done="0"/>
  <w15:commentEx w15:paraId="0BC704D3" w15:paraIdParent="33A7F6EE" w15:done="0"/>
  <w15:commentEx w15:paraId="3FE19674" w15:done="0"/>
  <w15:commentEx w15:paraId="27413A68" w15:paraIdParent="3FE19674" w15:done="0"/>
  <w15:commentEx w15:paraId="559A7400" w15:done="0"/>
  <w15:commentEx w15:paraId="53B11CD2" w15:paraIdParent="559A7400" w15:done="0"/>
  <w15:commentEx w15:paraId="2029BD1D" w15:done="0"/>
  <w15:commentEx w15:paraId="3C3C4ECC" w15:paraIdParent="2029BD1D" w15:done="0"/>
  <w15:commentEx w15:paraId="2A931AFE" w15:done="0"/>
  <w15:commentEx w15:paraId="52480182" w15:paraIdParent="2A931AFE" w15:done="0"/>
  <w15:commentEx w15:paraId="43FC1774" w15:done="0"/>
  <w15:commentEx w15:paraId="65220F19" w15:paraIdParent="43FC1774" w15:done="0"/>
  <w15:commentEx w15:paraId="4FBFD16C" w15:done="0"/>
  <w15:commentEx w15:paraId="596264FD" w15:paraIdParent="4FBFD16C" w15:done="0"/>
  <w15:commentEx w15:paraId="4BCE5D7B" w15:done="0"/>
  <w15:commentEx w15:paraId="641A1E02" w15:paraIdParent="4BCE5D7B" w15:done="0"/>
  <w15:commentEx w15:paraId="72E2011A" w15:done="0"/>
  <w15:commentEx w15:paraId="0B9B95C4" w15:paraIdParent="72E2011A" w15:done="0"/>
  <w15:commentEx w15:paraId="1E2B28EA" w15:done="0"/>
  <w15:commentEx w15:paraId="1AECADE6" w15:paraIdParent="1E2B28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513" w:rsidRDefault="00452513" w:rsidP="00124A51">
      <w:r>
        <w:separator/>
      </w:r>
    </w:p>
  </w:endnote>
  <w:endnote w:type="continuationSeparator" w:id="0">
    <w:p w:rsidR="00452513" w:rsidRDefault="0045251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New,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3" w:rsidRDefault="004525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37243"/>
      <w:docPartObj>
        <w:docPartGallery w:val="Page Numbers (Bottom of Page)"/>
        <w:docPartUnique/>
      </w:docPartObj>
    </w:sdtPr>
    <w:sdtEndPr>
      <w:rPr>
        <w:noProof/>
      </w:rPr>
    </w:sdtEndPr>
    <w:sdtContent>
      <w:p w:rsidR="00452513" w:rsidRDefault="00452513">
        <w:pPr>
          <w:pStyle w:val="Footer"/>
          <w:jc w:val="center"/>
        </w:pPr>
      </w:p>
      <w:p w:rsidR="00452513" w:rsidRDefault="00452513">
        <w:pPr>
          <w:pStyle w:val="Footer"/>
          <w:jc w:val="center"/>
        </w:pPr>
        <w:r>
          <w:fldChar w:fldCharType="begin"/>
        </w:r>
        <w:r>
          <w:instrText xml:space="preserve"> PAGE   \* MERGEFORMAT </w:instrText>
        </w:r>
        <w:r>
          <w:fldChar w:fldCharType="separate"/>
        </w:r>
        <w:r w:rsidR="00C91EEB">
          <w:rPr>
            <w:noProof/>
          </w:rPr>
          <w:t>18</w:t>
        </w:r>
        <w:r>
          <w:rPr>
            <w:noProof/>
          </w:rPr>
          <w:fldChar w:fldCharType="end"/>
        </w:r>
      </w:p>
    </w:sdtContent>
  </w:sdt>
  <w:p w:rsidR="00452513" w:rsidRDefault="004525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3" w:rsidRDefault="00452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513" w:rsidRDefault="00452513" w:rsidP="00124A51">
      <w:r>
        <w:separator/>
      </w:r>
    </w:p>
  </w:footnote>
  <w:footnote w:type="continuationSeparator" w:id="0">
    <w:p w:rsidR="00452513" w:rsidRDefault="00452513" w:rsidP="00124A51">
      <w:r>
        <w:continuationSeparator/>
      </w:r>
    </w:p>
  </w:footnote>
  <w:footnote w:id="1">
    <w:p w:rsidR="00452513" w:rsidRPr="00FF4802" w:rsidRDefault="00452513" w:rsidP="00713488">
      <w:pPr>
        <w:pStyle w:val="FootnoteText"/>
        <w:rPr>
          <w:sz w:val="18"/>
          <w:szCs w:val="18"/>
        </w:rPr>
      </w:pPr>
      <w:r w:rsidRPr="00FF4802">
        <w:rPr>
          <w:rStyle w:val="FootnoteReference"/>
          <w:sz w:val="18"/>
          <w:szCs w:val="18"/>
        </w:rPr>
        <w:footnoteRef/>
      </w:r>
      <w:r w:rsidRPr="00FF4802">
        <w:rPr>
          <w:sz w:val="18"/>
          <w:szCs w:val="18"/>
        </w:rPr>
        <w:t xml:space="preserve"> Billiard M. Diagnosis of narcolepsy and idiopathic hypersomnia. An update based on the International classification of sleep disorders, 2nd edition. Sleep medicine reviews. 2007 Oct;11(5):377-88.</w:t>
      </w:r>
    </w:p>
  </w:footnote>
  <w:footnote w:id="2">
    <w:p w:rsidR="00452513" w:rsidRPr="00FF4802" w:rsidRDefault="00452513" w:rsidP="00713488">
      <w:pPr>
        <w:pStyle w:val="FootnoteText"/>
        <w:rPr>
          <w:sz w:val="18"/>
          <w:szCs w:val="18"/>
        </w:rPr>
      </w:pPr>
      <w:r w:rsidRPr="00FF4802">
        <w:rPr>
          <w:rStyle w:val="FootnoteReference"/>
          <w:sz w:val="18"/>
          <w:szCs w:val="18"/>
        </w:rPr>
        <w:footnoteRef/>
      </w:r>
      <w:r w:rsidRPr="00FF4802">
        <w:rPr>
          <w:sz w:val="18"/>
          <w:szCs w:val="18"/>
        </w:rPr>
        <w:t xml:space="preserve"> For example, the removal of the need for a multiple sleep latency test in patients with cataplexy and the omission of the requirement of the number of sleep onset rapid movement periods in patients without cataplexy. </w:t>
      </w:r>
    </w:p>
  </w:footnote>
  <w:footnote w:id="3">
    <w:p w:rsidR="00452513" w:rsidRDefault="00452513" w:rsidP="00713488">
      <w:pPr>
        <w:pStyle w:val="FootnoteText"/>
      </w:pPr>
      <w:r w:rsidRPr="00FF4802">
        <w:rPr>
          <w:rStyle w:val="FootnoteReference"/>
          <w:sz w:val="18"/>
          <w:szCs w:val="18"/>
        </w:rPr>
        <w:footnoteRef/>
      </w:r>
      <w:r w:rsidRPr="00FF4802">
        <w:rPr>
          <w:sz w:val="18"/>
          <w:szCs w:val="18"/>
        </w:rPr>
        <w:t xml:space="preserve"> American Academy of Sleep Medicine. International Classification of Sleep Disorders - Third Edition (ICSD-3): American Academy of Sleep Medicine. 2014.</w:t>
      </w:r>
    </w:p>
  </w:footnote>
  <w:footnote w:id="4">
    <w:p w:rsidR="00452513" w:rsidRPr="003E2A64" w:rsidRDefault="00452513" w:rsidP="00BE332F">
      <w:pPr>
        <w:pStyle w:val="FootnoteText"/>
        <w:ind w:firstLine="720"/>
        <w:rPr>
          <w:sz w:val="18"/>
          <w:szCs w:val="18"/>
        </w:rPr>
      </w:pPr>
      <w:r w:rsidRPr="003E2A64">
        <w:rPr>
          <w:rStyle w:val="FootnoteReference"/>
          <w:sz w:val="18"/>
          <w:szCs w:val="18"/>
        </w:rPr>
        <w:footnoteRef/>
      </w:r>
      <w:r w:rsidRPr="008D02C9">
        <w:rPr>
          <w:sz w:val="18"/>
          <w:szCs w:val="18"/>
          <w:lang w:val="fr-FR"/>
        </w:rPr>
        <w:t xml:space="preserve"> Little RJ, D'Agostino R, et al. </w:t>
      </w:r>
      <w:r w:rsidRPr="003E2A64">
        <w:rPr>
          <w:sz w:val="18"/>
          <w:szCs w:val="18"/>
        </w:rPr>
        <w:t>The prevention and treatment of missing data in clinical trials. New</w:t>
      </w:r>
      <w:r>
        <w:rPr>
          <w:sz w:val="18"/>
          <w:szCs w:val="18"/>
        </w:rPr>
        <w:tab/>
      </w:r>
      <w:r>
        <w:rPr>
          <w:sz w:val="18"/>
          <w:szCs w:val="18"/>
        </w:rPr>
        <w:tab/>
      </w:r>
      <w:r w:rsidRPr="003E2A64">
        <w:rPr>
          <w:sz w:val="18"/>
          <w:szCs w:val="18"/>
        </w:rPr>
        <w:t xml:space="preserve"> England Journal of Medicine. 2012;367(14):1355-60.</w:t>
      </w:r>
    </w:p>
  </w:footnote>
  <w:footnote w:id="5">
    <w:p w:rsidR="00452513" w:rsidRPr="00FD68D2" w:rsidRDefault="00452513" w:rsidP="009D57AD">
      <w:pPr>
        <w:pStyle w:val="FootnoteText"/>
        <w:rPr>
          <w:sz w:val="18"/>
          <w:szCs w:val="18"/>
        </w:rPr>
      </w:pPr>
      <w:r w:rsidRPr="00FD68D2">
        <w:rPr>
          <w:rStyle w:val="FootnoteReference"/>
          <w:sz w:val="18"/>
          <w:szCs w:val="18"/>
        </w:rPr>
        <w:footnoteRef/>
      </w:r>
      <w:r w:rsidRPr="00FD68D2">
        <w:rPr>
          <w:sz w:val="18"/>
          <w:szCs w:val="18"/>
        </w:rPr>
        <w:t xml:space="preserve"> Peñaloza RA, et al. Trends in on-label and off-label modafinil use in a nationally representative sample. JAMA internal medicine. 2013;173(8):704-6.</w:t>
      </w:r>
    </w:p>
    <w:p w:rsidR="00452513" w:rsidRPr="00941790" w:rsidRDefault="00452513">
      <w:pPr>
        <w:pStyle w:val="FootnoteText"/>
        <w:rPr>
          <w:i/>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3" w:rsidRDefault="004525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3" w:rsidRPr="00450015" w:rsidRDefault="00452513" w:rsidP="00E86C28">
    <w:pPr>
      <w:pStyle w:val="Header"/>
      <w:jc w:val="center"/>
    </w:pPr>
    <w:r w:rsidRPr="00C666B2">
      <w:rPr>
        <w:i/>
        <w:color w:val="808080"/>
      </w:rPr>
      <w:t>Public Summary Document – November 2015 PBAC Meeting</w:t>
    </w:r>
  </w:p>
  <w:p w:rsidR="00452513" w:rsidRDefault="004525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13" w:rsidRDefault="00452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0C4"/>
    <w:multiLevelType w:val="hybridMultilevel"/>
    <w:tmpl w:val="CCDCCB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313F7"/>
    <w:multiLevelType w:val="hybridMultilevel"/>
    <w:tmpl w:val="20D60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342597"/>
    <w:multiLevelType w:val="hybridMultilevel"/>
    <w:tmpl w:val="9984FD4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334AD4"/>
    <w:multiLevelType w:val="hybridMultilevel"/>
    <w:tmpl w:val="E2A68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3A194D"/>
    <w:multiLevelType w:val="hybridMultilevel"/>
    <w:tmpl w:val="AB3A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537311"/>
    <w:multiLevelType w:val="hybridMultilevel"/>
    <w:tmpl w:val="32ECDD3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096B7795"/>
    <w:multiLevelType w:val="hybridMultilevel"/>
    <w:tmpl w:val="BF862D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5502CB"/>
    <w:multiLevelType w:val="hybridMultilevel"/>
    <w:tmpl w:val="CD84D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71062B"/>
    <w:multiLevelType w:val="hybridMultilevel"/>
    <w:tmpl w:val="AA503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5D66FB7"/>
    <w:multiLevelType w:val="hybridMultilevel"/>
    <w:tmpl w:val="2B6EA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4514F6"/>
    <w:multiLevelType w:val="hybridMultilevel"/>
    <w:tmpl w:val="A152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8A31EC"/>
    <w:multiLevelType w:val="hybridMultilevel"/>
    <w:tmpl w:val="F1AC16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83B3FC6"/>
    <w:multiLevelType w:val="hybridMultilevel"/>
    <w:tmpl w:val="C5CCC436"/>
    <w:lvl w:ilvl="0" w:tplc="ECF88CD6">
      <w:start w:val="1"/>
      <w:numFmt w:val="bullet"/>
      <w:pStyle w:val="List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89E283F"/>
    <w:multiLevelType w:val="hybridMultilevel"/>
    <w:tmpl w:val="410CFDEA"/>
    <w:lvl w:ilvl="0" w:tplc="0C090003">
      <w:start w:val="1"/>
      <w:numFmt w:val="bullet"/>
      <w:lvlText w:val="o"/>
      <w:lvlJc w:val="left"/>
      <w:pPr>
        <w:ind w:left="720" w:hanging="360"/>
      </w:pPr>
      <w:rPr>
        <w:rFonts w:ascii="Courier New" w:hAnsi="Courier New"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D4E6CCB"/>
    <w:multiLevelType w:val="hybridMultilevel"/>
    <w:tmpl w:val="35AEE6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9">
    <w:nsid w:val="27BC1114"/>
    <w:multiLevelType w:val="hybridMultilevel"/>
    <w:tmpl w:val="E7A2DA70"/>
    <w:lvl w:ilvl="0" w:tplc="08EEE9C0">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AB4688C"/>
    <w:multiLevelType w:val="hybridMultilevel"/>
    <w:tmpl w:val="6BF2A76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B7C34E2"/>
    <w:multiLevelType w:val="hybridMultilevel"/>
    <w:tmpl w:val="3014EC8E"/>
    <w:lvl w:ilvl="0" w:tplc="0C090001">
      <w:start w:val="1"/>
      <w:numFmt w:val="bullet"/>
      <w:lvlText w:val=""/>
      <w:lvlJc w:val="left"/>
      <w:pPr>
        <w:ind w:left="720" w:hanging="360"/>
      </w:pPr>
      <w:rPr>
        <w:rFonts w:ascii="Symbol" w:hAnsi="Symbol" w:hint="default"/>
      </w:rPr>
    </w:lvl>
    <w:lvl w:ilvl="1" w:tplc="8CCC0BB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3">
    <w:nsid w:val="3E115D38"/>
    <w:multiLevelType w:val="hybridMultilevel"/>
    <w:tmpl w:val="430A25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5F45A87"/>
    <w:multiLevelType w:val="hybridMultilevel"/>
    <w:tmpl w:val="71FC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112BB9"/>
    <w:multiLevelType w:val="hybridMultilevel"/>
    <w:tmpl w:val="032635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6F73ACD"/>
    <w:multiLevelType w:val="hybridMultilevel"/>
    <w:tmpl w:val="E22E967C"/>
    <w:lvl w:ilvl="0" w:tplc="B67090B6">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7361D39"/>
    <w:multiLevelType w:val="hybridMultilevel"/>
    <w:tmpl w:val="A7029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87538A"/>
    <w:multiLevelType w:val="hybridMultilevel"/>
    <w:tmpl w:val="3918A024"/>
    <w:lvl w:ilvl="0" w:tplc="0CD00420">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4366CB7"/>
    <w:multiLevelType w:val="hybridMultilevel"/>
    <w:tmpl w:val="D0ACF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4D47CB"/>
    <w:multiLevelType w:val="hybridMultilevel"/>
    <w:tmpl w:val="3366585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48E03C2"/>
    <w:multiLevelType w:val="hybridMultilevel"/>
    <w:tmpl w:val="A3A80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C7512C"/>
    <w:multiLevelType w:val="hybridMultilevel"/>
    <w:tmpl w:val="ADA0718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BA34D5F"/>
    <w:multiLevelType w:val="hybridMultilevel"/>
    <w:tmpl w:val="FF1A3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244D46"/>
    <w:multiLevelType w:val="hybridMultilevel"/>
    <w:tmpl w:val="0EC6181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061DFC"/>
    <w:multiLevelType w:val="hybridMultilevel"/>
    <w:tmpl w:val="765AB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A2E37DB"/>
    <w:multiLevelType w:val="hybridMultilevel"/>
    <w:tmpl w:val="DDF0D740"/>
    <w:lvl w:ilvl="0" w:tplc="0C09000F">
      <w:start w:val="1"/>
      <w:numFmt w:val="decimal"/>
      <w:lvlText w:val="%1."/>
      <w:lvlJc w:val="left"/>
      <w:pPr>
        <w:tabs>
          <w:tab w:val="num" w:pos="1844"/>
        </w:tabs>
        <w:ind w:left="1844" w:hanging="720"/>
      </w:pPr>
      <w:rPr>
        <w:rFonts w:hint="default"/>
      </w:rPr>
    </w:lvl>
    <w:lvl w:ilvl="1" w:tplc="0C090019" w:tentative="1">
      <w:start w:val="1"/>
      <w:numFmt w:val="lowerLetter"/>
      <w:lvlText w:val="%2."/>
      <w:lvlJc w:val="left"/>
      <w:pPr>
        <w:ind w:left="2204" w:hanging="360"/>
      </w:pPr>
    </w:lvl>
    <w:lvl w:ilvl="2" w:tplc="0C09001B" w:tentative="1">
      <w:start w:val="1"/>
      <w:numFmt w:val="lowerRoman"/>
      <w:lvlText w:val="%3."/>
      <w:lvlJc w:val="right"/>
      <w:pPr>
        <w:ind w:left="2924" w:hanging="180"/>
      </w:pPr>
    </w:lvl>
    <w:lvl w:ilvl="3" w:tplc="0C09000F" w:tentative="1">
      <w:start w:val="1"/>
      <w:numFmt w:val="decimal"/>
      <w:lvlText w:val="%4."/>
      <w:lvlJc w:val="left"/>
      <w:pPr>
        <w:ind w:left="3644" w:hanging="360"/>
      </w:pPr>
    </w:lvl>
    <w:lvl w:ilvl="4" w:tplc="0C090019" w:tentative="1">
      <w:start w:val="1"/>
      <w:numFmt w:val="lowerLetter"/>
      <w:lvlText w:val="%5."/>
      <w:lvlJc w:val="left"/>
      <w:pPr>
        <w:ind w:left="4364" w:hanging="360"/>
      </w:pPr>
    </w:lvl>
    <w:lvl w:ilvl="5" w:tplc="0C09001B" w:tentative="1">
      <w:start w:val="1"/>
      <w:numFmt w:val="lowerRoman"/>
      <w:lvlText w:val="%6."/>
      <w:lvlJc w:val="right"/>
      <w:pPr>
        <w:ind w:left="5084" w:hanging="180"/>
      </w:pPr>
    </w:lvl>
    <w:lvl w:ilvl="6" w:tplc="0C09000F" w:tentative="1">
      <w:start w:val="1"/>
      <w:numFmt w:val="decimal"/>
      <w:lvlText w:val="%7."/>
      <w:lvlJc w:val="left"/>
      <w:pPr>
        <w:ind w:left="5804" w:hanging="360"/>
      </w:pPr>
    </w:lvl>
    <w:lvl w:ilvl="7" w:tplc="0C090019" w:tentative="1">
      <w:start w:val="1"/>
      <w:numFmt w:val="lowerLetter"/>
      <w:lvlText w:val="%8."/>
      <w:lvlJc w:val="left"/>
      <w:pPr>
        <w:ind w:left="6524" w:hanging="360"/>
      </w:pPr>
    </w:lvl>
    <w:lvl w:ilvl="8" w:tplc="0C09001B" w:tentative="1">
      <w:start w:val="1"/>
      <w:numFmt w:val="lowerRoman"/>
      <w:lvlText w:val="%9."/>
      <w:lvlJc w:val="right"/>
      <w:pPr>
        <w:ind w:left="7244" w:hanging="180"/>
      </w:pPr>
    </w:lvl>
  </w:abstractNum>
  <w:abstractNum w:abstractNumId="38">
    <w:nsid w:val="6A325334"/>
    <w:multiLevelType w:val="hybridMultilevel"/>
    <w:tmpl w:val="85268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9029DB"/>
    <w:multiLevelType w:val="hybridMultilevel"/>
    <w:tmpl w:val="B036AFCE"/>
    <w:lvl w:ilvl="0" w:tplc="ED9CF97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84D033C"/>
    <w:multiLevelType w:val="multilevel"/>
    <w:tmpl w:val="4C46A85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993A3A"/>
    <w:multiLevelType w:val="hybridMultilevel"/>
    <w:tmpl w:val="E0DC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AA44339"/>
    <w:multiLevelType w:val="hybridMultilevel"/>
    <w:tmpl w:val="5AC0C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94394C"/>
    <w:multiLevelType w:val="hybridMultilevel"/>
    <w:tmpl w:val="815ADB7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FE82B68"/>
    <w:multiLevelType w:val="hybridMultilevel"/>
    <w:tmpl w:val="EFCE3B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35"/>
  </w:num>
  <w:num w:numId="4">
    <w:abstractNumId w:val="22"/>
  </w:num>
  <w:num w:numId="5">
    <w:abstractNumId w:val="18"/>
  </w:num>
  <w:num w:numId="6">
    <w:abstractNumId w:val="10"/>
  </w:num>
  <w:num w:numId="7">
    <w:abstractNumId w:val="44"/>
  </w:num>
  <w:num w:numId="8">
    <w:abstractNumId w:val="21"/>
  </w:num>
  <w:num w:numId="9">
    <w:abstractNumId w:val="1"/>
  </w:num>
  <w:num w:numId="10">
    <w:abstractNumId w:val="4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9"/>
  </w:num>
  <w:num w:numId="14">
    <w:abstractNumId w:val="37"/>
  </w:num>
  <w:num w:numId="15">
    <w:abstractNumId w:val="31"/>
  </w:num>
  <w:num w:numId="16">
    <w:abstractNumId w:val="33"/>
  </w:num>
  <w:num w:numId="17">
    <w:abstractNumId w:val="2"/>
  </w:num>
  <w:num w:numId="18">
    <w:abstractNumId w:val="15"/>
  </w:num>
  <w:num w:numId="19">
    <w:abstractNumId w:val="28"/>
  </w:num>
  <w:num w:numId="20">
    <w:abstractNumId w:val="6"/>
  </w:num>
  <w:num w:numId="21">
    <w:abstractNumId w:val="13"/>
  </w:num>
  <w:num w:numId="22">
    <w:abstractNumId w:val="12"/>
  </w:num>
  <w:num w:numId="23">
    <w:abstractNumId w:val="42"/>
  </w:num>
  <w:num w:numId="24">
    <w:abstractNumId w:val="36"/>
  </w:num>
  <w:num w:numId="25">
    <w:abstractNumId w:val="32"/>
  </w:num>
  <w:num w:numId="26">
    <w:abstractNumId w:val="19"/>
  </w:num>
  <w:num w:numId="27">
    <w:abstractNumId w:val="43"/>
  </w:num>
  <w:num w:numId="28">
    <w:abstractNumId w:val="4"/>
  </w:num>
  <w:num w:numId="29">
    <w:abstractNumId w:val="24"/>
  </w:num>
  <w:num w:numId="30">
    <w:abstractNumId w:val="7"/>
  </w:num>
  <w:num w:numId="31">
    <w:abstractNumId w:val="16"/>
  </w:num>
  <w:num w:numId="32">
    <w:abstractNumId w:val="5"/>
  </w:num>
  <w:num w:numId="33">
    <w:abstractNumId w:val="0"/>
  </w:num>
  <w:num w:numId="34">
    <w:abstractNumId w:val="3"/>
  </w:num>
  <w:num w:numId="35">
    <w:abstractNumId w:val="23"/>
  </w:num>
  <w:num w:numId="36">
    <w:abstractNumId w:val="17"/>
  </w:num>
  <w:num w:numId="37">
    <w:abstractNumId w:val="30"/>
  </w:num>
  <w:num w:numId="38">
    <w:abstractNumId w:val="20"/>
  </w:num>
  <w:num w:numId="39">
    <w:abstractNumId w:val="34"/>
  </w:num>
  <w:num w:numId="40">
    <w:abstractNumId w:val="41"/>
  </w:num>
  <w:num w:numId="41">
    <w:abstractNumId w:val="14"/>
  </w:num>
  <w:num w:numId="42">
    <w:abstractNumId w:val="25"/>
  </w:num>
  <w:num w:numId="43">
    <w:abstractNumId w:val="8"/>
  </w:num>
  <w:num w:numId="44">
    <w:abstractNumId w:val="27"/>
  </w:num>
  <w:num w:numId="45">
    <w:abstractNumId w:val="9"/>
  </w:num>
  <w:num w:numId="46">
    <w:abstractNumId w:val="45"/>
  </w:num>
  <w:num w:numId="47">
    <w:abstractNumId w:val="3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ly">
    <w15:presenceInfo w15:providerId="None" w15:userId="Ke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Arial Bold&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xzxveee5pv0fnepeftvxzeyz9rwfzppexte&quot;&gt;Narcolepsy&lt;record-ids&gt;&lt;item&gt;1&lt;/item&gt;&lt;item&gt;2&lt;/item&gt;&lt;item&gt;3&lt;/item&gt;&lt;item&gt;4&lt;/item&gt;&lt;item&gt;5&lt;/item&gt;&lt;item&gt;6&lt;/item&gt;&lt;item&gt;8&lt;/item&gt;&lt;item&gt;12&lt;/item&gt;&lt;item&gt;13&lt;/item&gt;&lt;item&gt;15&lt;/item&gt;&lt;item&gt;16&lt;/item&gt;&lt;item&gt;17&lt;/item&gt;&lt;item&gt;18&lt;/item&gt;&lt;item&gt;19&lt;/item&gt;&lt;item&gt;20&lt;/item&gt;&lt;item&gt;22&lt;/item&gt;&lt;item&gt;23&lt;/item&gt;&lt;item&gt;26&lt;/item&gt;&lt;item&gt;27&lt;/item&gt;&lt;item&gt;29&lt;/item&gt;&lt;item&gt;30&lt;/item&gt;&lt;item&gt;31&lt;/item&gt;&lt;/record-ids&gt;&lt;/item&gt;&lt;/Libraries&gt;"/>
  </w:docVars>
  <w:rsids>
    <w:rsidRoot w:val="00E65E79"/>
    <w:rsid w:val="00000790"/>
    <w:rsid w:val="00000FAD"/>
    <w:rsid w:val="0000110B"/>
    <w:rsid w:val="00001600"/>
    <w:rsid w:val="00002CB7"/>
    <w:rsid w:val="00003499"/>
    <w:rsid w:val="00004E92"/>
    <w:rsid w:val="00006602"/>
    <w:rsid w:val="00013247"/>
    <w:rsid w:val="00013AE3"/>
    <w:rsid w:val="00014109"/>
    <w:rsid w:val="00015886"/>
    <w:rsid w:val="00016080"/>
    <w:rsid w:val="000162EF"/>
    <w:rsid w:val="0001708C"/>
    <w:rsid w:val="00017DE4"/>
    <w:rsid w:val="00021062"/>
    <w:rsid w:val="000215CD"/>
    <w:rsid w:val="0002225F"/>
    <w:rsid w:val="00023763"/>
    <w:rsid w:val="00031133"/>
    <w:rsid w:val="00035750"/>
    <w:rsid w:val="000374F1"/>
    <w:rsid w:val="0003798B"/>
    <w:rsid w:val="00040895"/>
    <w:rsid w:val="00040E13"/>
    <w:rsid w:val="00043C37"/>
    <w:rsid w:val="00045AD5"/>
    <w:rsid w:val="00047322"/>
    <w:rsid w:val="00051C81"/>
    <w:rsid w:val="00051C82"/>
    <w:rsid w:val="000546D7"/>
    <w:rsid w:val="00054FFE"/>
    <w:rsid w:val="00056037"/>
    <w:rsid w:val="000664F1"/>
    <w:rsid w:val="00071248"/>
    <w:rsid w:val="0007199C"/>
    <w:rsid w:val="00071CFE"/>
    <w:rsid w:val="000720B9"/>
    <w:rsid w:val="0007238A"/>
    <w:rsid w:val="000740EF"/>
    <w:rsid w:val="000812CA"/>
    <w:rsid w:val="00082899"/>
    <w:rsid w:val="000836E7"/>
    <w:rsid w:val="000846E3"/>
    <w:rsid w:val="000877F4"/>
    <w:rsid w:val="00090C7E"/>
    <w:rsid w:val="000914B4"/>
    <w:rsid w:val="0009529E"/>
    <w:rsid w:val="00096EA5"/>
    <w:rsid w:val="000A095F"/>
    <w:rsid w:val="000A457B"/>
    <w:rsid w:val="000A4608"/>
    <w:rsid w:val="000B1CC9"/>
    <w:rsid w:val="000B2AB4"/>
    <w:rsid w:val="000C0911"/>
    <w:rsid w:val="000C5C3E"/>
    <w:rsid w:val="000C7595"/>
    <w:rsid w:val="000C76F9"/>
    <w:rsid w:val="000D18FB"/>
    <w:rsid w:val="000D1BFC"/>
    <w:rsid w:val="000D22A5"/>
    <w:rsid w:val="000D2F0F"/>
    <w:rsid w:val="000D50BC"/>
    <w:rsid w:val="000D51A6"/>
    <w:rsid w:val="000D77CA"/>
    <w:rsid w:val="000E0FFF"/>
    <w:rsid w:val="000E217F"/>
    <w:rsid w:val="000E2841"/>
    <w:rsid w:val="000E3539"/>
    <w:rsid w:val="000E372A"/>
    <w:rsid w:val="000E569F"/>
    <w:rsid w:val="000F166D"/>
    <w:rsid w:val="000F33F1"/>
    <w:rsid w:val="000F4BB8"/>
    <w:rsid w:val="000F7127"/>
    <w:rsid w:val="000F73B8"/>
    <w:rsid w:val="00100F8A"/>
    <w:rsid w:val="001038B5"/>
    <w:rsid w:val="00106F12"/>
    <w:rsid w:val="0011032E"/>
    <w:rsid w:val="00110561"/>
    <w:rsid w:val="001116E5"/>
    <w:rsid w:val="00112AF8"/>
    <w:rsid w:val="0011348B"/>
    <w:rsid w:val="00113FA1"/>
    <w:rsid w:val="00121799"/>
    <w:rsid w:val="001222FC"/>
    <w:rsid w:val="001232F0"/>
    <w:rsid w:val="00124A51"/>
    <w:rsid w:val="00126621"/>
    <w:rsid w:val="001301E9"/>
    <w:rsid w:val="00130D4E"/>
    <w:rsid w:val="00131C1A"/>
    <w:rsid w:val="001330D1"/>
    <w:rsid w:val="00136280"/>
    <w:rsid w:val="00137645"/>
    <w:rsid w:val="0014015A"/>
    <w:rsid w:val="00140E99"/>
    <w:rsid w:val="001415BB"/>
    <w:rsid w:val="00141A59"/>
    <w:rsid w:val="00141B75"/>
    <w:rsid w:val="0014232C"/>
    <w:rsid w:val="0014319A"/>
    <w:rsid w:val="00145540"/>
    <w:rsid w:val="001456B0"/>
    <w:rsid w:val="00145CC6"/>
    <w:rsid w:val="001464F6"/>
    <w:rsid w:val="00146578"/>
    <w:rsid w:val="001506EE"/>
    <w:rsid w:val="00150D64"/>
    <w:rsid w:val="00150E37"/>
    <w:rsid w:val="00153A80"/>
    <w:rsid w:val="001554BB"/>
    <w:rsid w:val="00157130"/>
    <w:rsid w:val="00157BD6"/>
    <w:rsid w:val="001628F6"/>
    <w:rsid w:val="00162913"/>
    <w:rsid w:val="00162F9C"/>
    <w:rsid w:val="00163975"/>
    <w:rsid w:val="00163EFF"/>
    <w:rsid w:val="001661FB"/>
    <w:rsid w:val="00174233"/>
    <w:rsid w:val="001808C7"/>
    <w:rsid w:val="00181827"/>
    <w:rsid w:val="0018360F"/>
    <w:rsid w:val="00186833"/>
    <w:rsid w:val="0018752F"/>
    <w:rsid w:val="00192012"/>
    <w:rsid w:val="001928BD"/>
    <w:rsid w:val="0019318D"/>
    <w:rsid w:val="0019390C"/>
    <w:rsid w:val="00195222"/>
    <w:rsid w:val="001975D8"/>
    <w:rsid w:val="001A2FFA"/>
    <w:rsid w:val="001A3703"/>
    <w:rsid w:val="001A78A4"/>
    <w:rsid w:val="001B0396"/>
    <w:rsid w:val="001B2CA8"/>
    <w:rsid w:val="001B3443"/>
    <w:rsid w:val="001C0CA0"/>
    <w:rsid w:val="001C1F99"/>
    <w:rsid w:val="001C205C"/>
    <w:rsid w:val="001C4AAB"/>
    <w:rsid w:val="001C5379"/>
    <w:rsid w:val="001C6E66"/>
    <w:rsid w:val="001C7EA4"/>
    <w:rsid w:val="001E1E00"/>
    <w:rsid w:val="001E238E"/>
    <w:rsid w:val="001E2B1E"/>
    <w:rsid w:val="001E3D08"/>
    <w:rsid w:val="001E3E82"/>
    <w:rsid w:val="001E4B9A"/>
    <w:rsid w:val="001E52EB"/>
    <w:rsid w:val="001E740C"/>
    <w:rsid w:val="001F1235"/>
    <w:rsid w:val="001F1CB3"/>
    <w:rsid w:val="001F23FB"/>
    <w:rsid w:val="001F3DC8"/>
    <w:rsid w:val="001F715F"/>
    <w:rsid w:val="001F7361"/>
    <w:rsid w:val="002016B3"/>
    <w:rsid w:val="0020385F"/>
    <w:rsid w:val="002048DC"/>
    <w:rsid w:val="00204EA4"/>
    <w:rsid w:val="002067C1"/>
    <w:rsid w:val="00206BA7"/>
    <w:rsid w:val="00207021"/>
    <w:rsid w:val="00207312"/>
    <w:rsid w:val="00207799"/>
    <w:rsid w:val="00207D00"/>
    <w:rsid w:val="00210587"/>
    <w:rsid w:val="002105C1"/>
    <w:rsid w:val="002112A5"/>
    <w:rsid w:val="002206D8"/>
    <w:rsid w:val="00220798"/>
    <w:rsid w:val="00220E3B"/>
    <w:rsid w:val="00221A2B"/>
    <w:rsid w:val="002229B6"/>
    <w:rsid w:val="00223B49"/>
    <w:rsid w:val="00224B4D"/>
    <w:rsid w:val="00224DD4"/>
    <w:rsid w:val="002259ED"/>
    <w:rsid w:val="00225A78"/>
    <w:rsid w:val="00227296"/>
    <w:rsid w:val="002309CC"/>
    <w:rsid w:val="00233AD8"/>
    <w:rsid w:val="002369C5"/>
    <w:rsid w:val="00236EE2"/>
    <w:rsid w:val="00241B75"/>
    <w:rsid w:val="0024327A"/>
    <w:rsid w:val="00245D89"/>
    <w:rsid w:val="00245F59"/>
    <w:rsid w:val="00246BA2"/>
    <w:rsid w:val="00247FCC"/>
    <w:rsid w:val="002518EF"/>
    <w:rsid w:val="00252578"/>
    <w:rsid w:val="00254159"/>
    <w:rsid w:val="00254339"/>
    <w:rsid w:val="00254BA0"/>
    <w:rsid w:val="00254DCF"/>
    <w:rsid w:val="0025534B"/>
    <w:rsid w:val="00255BB7"/>
    <w:rsid w:val="002610D5"/>
    <w:rsid w:val="00262A87"/>
    <w:rsid w:val="00264C17"/>
    <w:rsid w:val="00266D75"/>
    <w:rsid w:val="002670BB"/>
    <w:rsid w:val="00267A5F"/>
    <w:rsid w:val="00273A56"/>
    <w:rsid w:val="00273CDD"/>
    <w:rsid w:val="002747CD"/>
    <w:rsid w:val="00275C5A"/>
    <w:rsid w:val="0027684D"/>
    <w:rsid w:val="002773DC"/>
    <w:rsid w:val="0027771F"/>
    <w:rsid w:val="00281014"/>
    <w:rsid w:val="0028101B"/>
    <w:rsid w:val="00281D98"/>
    <w:rsid w:val="00287527"/>
    <w:rsid w:val="00290C08"/>
    <w:rsid w:val="00292C4E"/>
    <w:rsid w:val="002940A0"/>
    <w:rsid w:val="00294C23"/>
    <w:rsid w:val="002A14AB"/>
    <w:rsid w:val="002A1F04"/>
    <w:rsid w:val="002A384D"/>
    <w:rsid w:val="002A4506"/>
    <w:rsid w:val="002A4A17"/>
    <w:rsid w:val="002A6C9E"/>
    <w:rsid w:val="002B0924"/>
    <w:rsid w:val="002B1C1F"/>
    <w:rsid w:val="002B432F"/>
    <w:rsid w:val="002B434B"/>
    <w:rsid w:val="002B6CCE"/>
    <w:rsid w:val="002C0D45"/>
    <w:rsid w:val="002C1FCB"/>
    <w:rsid w:val="002C2775"/>
    <w:rsid w:val="002C27C1"/>
    <w:rsid w:val="002D0CB0"/>
    <w:rsid w:val="002D14FA"/>
    <w:rsid w:val="002D157A"/>
    <w:rsid w:val="002D3731"/>
    <w:rsid w:val="002D3C03"/>
    <w:rsid w:val="002E05B6"/>
    <w:rsid w:val="002E169C"/>
    <w:rsid w:val="002E52F4"/>
    <w:rsid w:val="002E68F4"/>
    <w:rsid w:val="002E7F50"/>
    <w:rsid w:val="002F4B8C"/>
    <w:rsid w:val="002F763B"/>
    <w:rsid w:val="00301017"/>
    <w:rsid w:val="00303481"/>
    <w:rsid w:val="0030786C"/>
    <w:rsid w:val="0031031A"/>
    <w:rsid w:val="00310981"/>
    <w:rsid w:val="00310BF5"/>
    <w:rsid w:val="00312387"/>
    <w:rsid w:val="00313563"/>
    <w:rsid w:val="00313E52"/>
    <w:rsid w:val="00315498"/>
    <w:rsid w:val="00316525"/>
    <w:rsid w:val="00321188"/>
    <w:rsid w:val="0032207A"/>
    <w:rsid w:val="0032361C"/>
    <w:rsid w:val="00331BFF"/>
    <w:rsid w:val="003347C6"/>
    <w:rsid w:val="003359F3"/>
    <w:rsid w:val="003366C9"/>
    <w:rsid w:val="003371B0"/>
    <w:rsid w:val="00337AEE"/>
    <w:rsid w:val="00337DB5"/>
    <w:rsid w:val="00343C19"/>
    <w:rsid w:val="00344504"/>
    <w:rsid w:val="00352434"/>
    <w:rsid w:val="003527E7"/>
    <w:rsid w:val="0035620E"/>
    <w:rsid w:val="00356A1B"/>
    <w:rsid w:val="003611FD"/>
    <w:rsid w:val="00361268"/>
    <w:rsid w:val="0036337E"/>
    <w:rsid w:val="0036399F"/>
    <w:rsid w:val="00367529"/>
    <w:rsid w:val="00372CB8"/>
    <w:rsid w:val="00377516"/>
    <w:rsid w:val="00380E9A"/>
    <w:rsid w:val="00382C01"/>
    <w:rsid w:val="0038365C"/>
    <w:rsid w:val="00383DD8"/>
    <w:rsid w:val="00384BCA"/>
    <w:rsid w:val="00394552"/>
    <w:rsid w:val="00394C3F"/>
    <w:rsid w:val="00396FD0"/>
    <w:rsid w:val="00397A58"/>
    <w:rsid w:val="003A09A9"/>
    <w:rsid w:val="003A1A7A"/>
    <w:rsid w:val="003A4FF7"/>
    <w:rsid w:val="003B18DD"/>
    <w:rsid w:val="003B2D9F"/>
    <w:rsid w:val="003B5367"/>
    <w:rsid w:val="003C200A"/>
    <w:rsid w:val="003C2C23"/>
    <w:rsid w:val="003D1828"/>
    <w:rsid w:val="003D1A50"/>
    <w:rsid w:val="003D23A9"/>
    <w:rsid w:val="003D2422"/>
    <w:rsid w:val="003D2C28"/>
    <w:rsid w:val="003D6CB3"/>
    <w:rsid w:val="003E01EC"/>
    <w:rsid w:val="003E240B"/>
    <w:rsid w:val="003E2A64"/>
    <w:rsid w:val="003E4FF9"/>
    <w:rsid w:val="003E7590"/>
    <w:rsid w:val="003E7C7C"/>
    <w:rsid w:val="003F05B6"/>
    <w:rsid w:val="003F2DC3"/>
    <w:rsid w:val="003F4156"/>
    <w:rsid w:val="00401C08"/>
    <w:rsid w:val="00410708"/>
    <w:rsid w:val="00410EC7"/>
    <w:rsid w:val="00412962"/>
    <w:rsid w:val="00414476"/>
    <w:rsid w:val="00415484"/>
    <w:rsid w:val="00415621"/>
    <w:rsid w:val="00415C6A"/>
    <w:rsid w:val="00420B9F"/>
    <w:rsid w:val="00423B31"/>
    <w:rsid w:val="004240AA"/>
    <w:rsid w:val="0042799D"/>
    <w:rsid w:val="00431325"/>
    <w:rsid w:val="004319F8"/>
    <w:rsid w:val="00431D6A"/>
    <w:rsid w:val="00433044"/>
    <w:rsid w:val="00433496"/>
    <w:rsid w:val="00434408"/>
    <w:rsid w:val="004443A7"/>
    <w:rsid w:val="004464EB"/>
    <w:rsid w:val="00447017"/>
    <w:rsid w:val="00452513"/>
    <w:rsid w:val="00452C7C"/>
    <w:rsid w:val="00455D45"/>
    <w:rsid w:val="00457760"/>
    <w:rsid w:val="00462E1D"/>
    <w:rsid w:val="00462EB7"/>
    <w:rsid w:val="00463DDD"/>
    <w:rsid w:val="00464595"/>
    <w:rsid w:val="004670F2"/>
    <w:rsid w:val="004675C9"/>
    <w:rsid w:val="00472207"/>
    <w:rsid w:val="00473C5C"/>
    <w:rsid w:val="00473E76"/>
    <w:rsid w:val="0047402A"/>
    <w:rsid w:val="00476D02"/>
    <w:rsid w:val="00484904"/>
    <w:rsid w:val="004856A9"/>
    <w:rsid w:val="004867E2"/>
    <w:rsid w:val="00486B72"/>
    <w:rsid w:val="0048720D"/>
    <w:rsid w:val="00487828"/>
    <w:rsid w:val="004914A6"/>
    <w:rsid w:val="00491B3A"/>
    <w:rsid w:val="00492CFD"/>
    <w:rsid w:val="0049399C"/>
    <w:rsid w:val="004962D2"/>
    <w:rsid w:val="004A07A6"/>
    <w:rsid w:val="004A0DA1"/>
    <w:rsid w:val="004A25E7"/>
    <w:rsid w:val="004A4E32"/>
    <w:rsid w:val="004A6597"/>
    <w:rsid w:val="004B1107"/>
    <w:rsid w:val="004B1CB4"/>
    <w:rsid w:val="004B1E0F"/>
    <w:rsid w:val="004B1F1E"/>
    <w:rsid w:val="004B2F18"/>
    <w:rsid w:val="004B3D46"/>
    <w:rsid w:val="004B3DDB"/>
    <w:rsid w:val="004B44FD"/>
    <w:rsid w:val="004B5CFC"/>
    <w:rsid w:val="004C120F"/>
    <w:rsid w:val="004C28F2"/>
    <w:rsid w:val="004C2F08"/>
    <w:rsid w:val="004C4AED"/>
    <w:rsid w:val="004C6DEB"/>
    <w:rsid w:val="004D5F0F"/>
    <w:rsid w:val="004E0EB8"/>
    <w:rsid w:val="004E2ADC"/>
    <w:rsid w:val="004E3449"/>
    <w:rsid w:val="004E43B2"/>
    <w:rsid w:val="004E5568"/>
    <w:rsid w:val="004F1D02"/>
    <w:rsid w:val="004F22A4"/>
    <w:rsid w:val="004F2679"/>
    <w:rsid w:val="004F3A11"/>
    <w:rsid w:val="004F565D"/>
    <w:rsid w:val="004F5687"/>
    <w:rsid w:val="004F5959"/>
    <w:rsid w:val="004F7865"/>
    <w:rsid w:val="00506928"/>
    <w:rsid w:val="00506DCB"/>
    <w:rsid w:val="005075FE"/>
    <w:rsid w:val="00507C00"/>
    <w:rsid w:val="005100E9"/>
    <w:rsid w:val="00510507"/>
    <w:rsid w:val="00515162"/>
    <w:rsid w:val="005152B5"/>
    <w:rsid w:val="00515EE6"/>
    <w:rsid w:val="00517646"/>
    <w:rsid w:val="00521319"/>
    <w:rsid w:val="00523C28"/>
    <w:rsid w:val="00525517"/>
    <w:rsid w:val="005311F9"/>
    <w:rsid w:val="0053173F"/>
    <w:rsid w:val="00531C10"/>
    <w:rsid w:val="00533433"/>
    <w:rsid w:val="005436E7"/>
    <w:rsid w:val="0054377A"/>
    <w:rsid w:val="00543DD6"/>
    <w:rsid w:val="00546311"/>
    <w:rsid w:val="00547187"/>
    <w:rsid w:val="00547428"/>
    <w:rsid w:val="00551478"/>
    <w:rsid w:val="00552BD3"/>
    <w:rsid w:val="00553225"/>
    <w:rsid w:val="00555109"/>
    <w:rsid w:val="00561724"/>
    <w:rsid w:val="00561E71"/>
    <w:rsid w:val="005641E7"/>
    <w:rsid w:val="005655D6"/>
    <w:rsid w:val="005666FC"/>
    <w:rsid w:val="0056696F"/>
    <w:rsid w:val="00572362"/>
    <w:rsid w:val="00574EED"/>
    <w:rsid w:val="00575D8D"/>
    <w:rsid w:val="005765F9"/>
    <w:rsid w:val="00576972"/>
    <w:rsid w:val="00577288"/>
    <w:rsid w:val="00583699"/>
    <w:rsid w:val="00584AB1"/>
    <w:rsid w:val="00587FDE"/>
    <w:rsid w:val="00594B3E"/>
    <w:rsid w:val="00597864"/>
    <w:rsid w:val="00597C0E"/>
    <w:rsid w:val="005A0E26"/>
    <w:rsid w:val="005A1017"/>
    <w:rsid w:val="005A22FE"/>
    <w:rsid w:val="005A330B"/>
    <w:rsid w:val="005A47EC"/>
    <w:rsid w:val="005A5B16"/>
    <w:rsid w:val="005A5B51"/>
    <w:rsid w:val="005A798C"/>
    <w:rsid w:val="005B2B55"/>
    <w:rsid w:val="005B43BC"/>
    <w:rsid w:val="005B5563"/>
    <w:rsid w:val="005B5857"/>
    <w:rsid w:val="005B7442"/>
    <w:rsid w:val="005C00AA"/>
    <w:rsid w:val="005C16A9"/>
    <w:rsid w:val="005C1B83"/>
    <w:rsid w:val="005C1D01"/>
    <w:rsid w:val="005C2F05"/>
    <w:rsid w:val="005C346B"/>
    <w:rsid w:val="005C41FD"/>
    <w:rsid w:val="005C5B44"/>
    <w:rsid w:val="005C7F65"/>
    <w:rsid w:val="005D044D"/>
    <w:rsid w:val="005D0EB8"/>
    <w:rsid w:val="005D1013"/>
    <w:rsid w:val="005D18AD"/>
    <w:rsid w:val="005D1A46"/>
    <w:rsid w:val="005D5C51"/>
    <w:rsid w:val="005E0579"/>
    <w:rsid w:val="005E0759"/>
    <w:rsid w:val="005E19CA"/>
    <w:rsid w:val="005E4F74"/>
    <w:rsid w:val="005E73C0"/>
    <w:rsid w:val="005F2706"/>
    <w:rsid w:val="005F28FA"/>
    <w:rsid w:val="005F2C7A"/>
    <w:rsid w:val="005F50A8"/>
    <w:rsid w:val="005F6247"/>
    <w:rsid w:val="005F6A8F"/>
    <w:rsid w:val="00601804"/>
    <w:rsid w:val="0060257F"/>
    <w:rsid w:val="006036CA"/>
    <w:rsid w:val="00604651"/>
    <w:rsid w:val="00605122"/>
    <w:rsid w:val="00605B28"/>
    <w:rsid w:val="00606366"/>
    <w:rsid w:val="00607669"/>
    <w:rsid w:val="006107A4"/>
    <w:rsid w:val="00612F97"/>
    <w:rsid w:val="00614921"/>
    <w:rsid w:val="00616802"/>
    <w:rsid w:val="0061683A"/>
    <w:rsid w:val="00617861"/>
    <w:rsid w:val="006179D2"/>
    <w:rsid w:val="00617E12"/>
    <w:rsid w:val="00621477"/>
    <w:rsid w:val="00622892"/>
    <w:rsid w:val="00623521"/>
    <w:rsid w:val="00625194"/>
    <w:rsid w:val="006251B0"/>
    <w:rsid w:val="00625266"/>
    <w:rsid w:val="00625F3F"/>
    <w:rsid w:val="00626AC0"/>
    <w:rsid w:val="0062752B"/>
    <w:rsid w:val="00630CD3"/>
    <w:rsid w:val="00631993"/>
    <w:rsid w:val="00631D6B"/>
    <w:rsid w:val="0063479F"/>
    <w:rsid w:val="006364A1"/>
    <w:rsid w:val="00637303"/>
    <w:rsid w:val="00637BFD"/>
    <w:rsid w:val="006434CD"/>
    <w:rsid w:val="00643F35"/>
    <w:rsid w:val="006444DC"/>
    <w:rsid w:val="00644AB6"/>
    <w:rsid w:val="00645C15"/>
    <w:rsid w:val="00645CF1"/>
    <w:rsid w:val="006471CC"/>
    <w:rsid w:val="0065079F"/>
    <w:rsid w:val="00650B33"/>
    <w:rsid w:val="00654F61"/>
    <w:rsid w:val="00656D39"/>
    <w:rsid w:val="00657CA5"/>
    <w:rsid w:val="0066427F"/>
    <w:rsid w:val="00664A32"/>
    <w:rsid w:val="0067179F"/>
    <w:rsid w:val="00671C43"/>
    <w:rsid w:val="00674561"/>
    <w:rsid w:val="00674E42"/>
    <w:rsid w:val="00681201"/>
    <w:rsid w:val="00682112"/>
    <w:rsid w:val="006848DD"/>
    <w:rsid w:val="006872BA"/>
    <w:rsid w:val="00687B0E"/>
    <w:rsid w:val="006917D7"/>
    <w:rsid w:val="00694F44"/>
    <w:rsid w:val="006A0F08"/>
    <w:rsid w:val="006A2713"/>
    <w:rsid w:val="006A6F21"/>
    <w:rsid w:val="006A6F60"/>
    <w:rsid w:val="006B0290"/>
    <w:rsid w:val="006B15AA"/>
    <w:rsid w:val="006B6D3F"/>
    <w:rsid w:val="006C2A8E"/>
    <w:rsid w:val="006C2E22"/>
    <w:rsid w:val="006C44F5"/>
    <w:rsid w:val="006C7FC1"/>
    <w:rsid w:val="006D1E51"/>
    <w:rsid w:val="006D3C7D"/>
    <w:rsid w:val="006D5677"/>
    <w:rsid w:val="006D5D5F"/>
    <w:rsid w:val="006D7753"/>
    <w:rsid w:val="006E26D1"/>
    <w:rsid w:val="006E487B"/>
    <w:rsid w:val="006E67BB"/>
    <w:rsid w:val="006E6CB1"/>
    <w:rsid w:val="006E712E"/>
    <w:rsid w:val="006F1B4A"/>
    <w:rsid w:val="006F2404"/>
    <w:rsid w:val="006F2BCF"/>
    <w:rsid w:val="006F307F"/>
    <w:rsid w:val="006F3109"/>
    <w:rsid w:val="006F48AD"/>
    <w:rsid w:val="006F52E9"/>
    <w:rsid w:val="006F5534"/>
    <w:rsid w:val="006F63A5"/>
    <w:rsid w:val="006F6839"/>
    <w:rsid w:val="00700FA5"/>
    <w:rsid w:val="0070276E"/>
    <w:rsid w:val="00702F8F"/>
    <w:rsid w:val="00705B85"/>
    <w:rsid w:val="00707592"/>
    <w:rsid w:val="007117D6"/>
    <w:rsid w:val="00711A36"/>
    <w:rsid w:val="00713488"/>
    <w:rsid w:val="0071475C"/>
    <w:rsid w:val="007172AD"/>
    <w:rsid w:val="00722451"/>
    <w:rsid w:val="00723367"/>
    <w:rsid w:val="0072416F"/>
    <w:rsid w:val="0072609E"/>
    <w:rsid w:val="00731331"/>
    <w:rsid w:val="00731DEA"/>
    <w:rsid w:val="00735328"/>
    <w:rsid w:val="0073634D"/>
    <w:rsid w:val="0073685B"/>
    <w:rsid w:val="00737EE9"/>
    <w:rsid w:val="007402D0"/>
    <w:rsid w:val="00741199"/>
    <w:rsid w:val="0074210F"/>
    <w:rsid w:val="00743557"/>
    <w:rsid w:val="00744282"/>
    <w:rsid w:val="00745A19"/>
    <w:rsid w:val="007460CB"/>
    <w:rsid w:val="0075035E"/>
    <w:rsid w:val="007563B1"/>
    <w:rsid w:val="00757701"/>
    <w:rsid w:val="00760064"/>
    <w:rsid w:val="007605AD"/>
    <w:rsid w:val="00763326"/>
    <w:rsid w:val="00764047"/>
    <w:rsid w:val="00765217"/>
    <w:rsid w:val="00765311"/>
    <w:rsid w:val="00765732"/>
    <w:rsid w:val="00766D53"/>
    <w:rsid w:val="00770D3D"/>
    <w:rsid w:val="00772234"/>
    <w:rsid w:val="00772B67"/>
    <w:rsid w:val="00777CD3"/>
    <w:rsid w:val="007805DB"/>
    <w:rsid w:val="0078712E"/>
    <w:rsid w:val="00792C00"/>
    <w:rsid w:val="00793EE8"/>
    <w:rsid w:val="00794131"/>
    <w:rsid w:val="00795AD9"/>
    <w:rsid w:val="00796387"/>
    <w:rsid w:val="00796A98"/>
    <w:rsid w:val="007A0A12"/>
    <w:rsid w:val="007A0AA9"/>
    <w:rsid w:val="007A19FB"/>
    <w:rsid w:val="007A2E85"/>
    <w:rsid w:val="007B0C2E"/>
    <w:rsid w:val="007B1B6C"/>
    <w:rsid w:val="007B251D"/>
    <w:rsid w:val="007B4E0E"/>
    <w:rsid w:val="007B77D1"/>
    <w:rsid w:val="007C29A6"/>
    <w:rsid w:val="007C361D"/>
    <w:rsid w:val="007C5E21"/>
    <w:rsid w:val="007C765E"/>
    <w:rsid w:val="007D06AB"/>
    <w:rsid w:val="007D0B38"/>
    <w:rsid w:val="007D3D24"/>
    <w:rsid w:val="007D756F"/>
    <w:rsid w:val="007D7F64"/>
    <w:rsid w:val="007E06F3"/>
    <w:rsid w:val="007E244E"/>
    <w:rsid w:val="007E2B83"/>
    <w:rsid w:val="007E55FA"/>
    <w:rsid w:val="007F1017"/>
    <w:rsid w:val="007F4A3F"/>
    <w:rsid w:val="0080274E"/>
    <w:rsid w:val="00805142"/>
    <w:rsid w:val="00805E63"/>
    <w:rsid w:val="00806012"/>
    <w:rsid w:val="0080737A"/>
    <w:rsid w:val="00807A8B"/>
    <w:rsid w:val="00812149"/>
    <w:rsid w:val="008166EF"/>
    <w:rsid w:val="00816E50"/>
    <w:rsid w:val="00821057"/>
    <w:rsid w:val="00823032"/>
    <w:rsid w:val="008264EB"/>
    <w:rsid w:val="008272FD"/>
    <w:rsid w:val="00832832"/>
    <w:rsid w:val="00833B05"/>
    <w:rsid w:val="00836686"/>
    <w:rsid w:val="00836F37"/>
    <w:rsid w:val="008406AD"/>
    <w:rsid w:val="00840BC4"/>
    <w:rsid w:val="00840CA2"/>
    <w:rsid w:val="00840CE2"/>
    <w:rsid w:val="008432ED"/>
    <w:rsid w:val="00843971"/>
    <w:rsid w:val="00846981"/>
    <w:rsid w:val="00846FC6"/>
    <w:rsid w:val="00851A0E"/>
    <w:rsid w:val="008525BA"/>
    <w:rsid w:val="00853272"/>
    <w:rsid w:val="0085341E"/>
    <w:rsid w:val="00856E9A"/>
    <w:rsid w:val="008570F0"/>
    <w:rsid w:val="0086085A"/>
    <w:rsid w:val="00860C87"/>
    <w:rsid w:val="00862502"/>
    <w:rsid w:val="0086653C"/>
    <w:rsid w:val="00872A1E"/>
    <w:rsid w:val="00873D2C"/>
    <w:rsid w:val="008748C1"/>
    <w:rsid w:val="0087784E"/>
    <w:rsid w:val="00882874"/>
    <w:rsid w:val="00883700"/>
    <w:rsid w:val="00883787"/>
    <w:rsid w:val="008849E5"/>
    <w:rsid w:val="00884A99"/>
    <w:rsid w:val="00885F77"/>
    <w:rsid w:val="0088640D"/>
    <w:rsid w:val="008872B3"/>
    <w:rsid w:val="008879BE"/>
    <w:rsid w:val="00890781"/>
    <w:rsid w:val="0089234C"/>
    <w:rsid w:val="0089269C"/>
    <w:rsid w:val="00894489"/>
    <w:rsid w:val="008963A5"/>
    <w:rsid w:val="00896D15"/>
    <w:rsid w:val="0089756C"/>
    <w:rsid w:val="00897DD9"/>
    <w:rsid w:val="008A02BA"/>
    <w:rsid w:val="008A0A33"/>
    <w:rsid w:val="008A3C3E"/>
    <w:rsid w:val="008A6A64"/>
    <w:rsid w:val="008A79DE"/>
    <w:rsid w:val="008B18F7"/>
    <w:rsid w:val="008B3FF8"/>
    <w:rsid w:val="008B4ACF"/>
    <w:rsid w:val="008B4C07"/>
    <w:rsid w:val="008B7D7E"/>
    <w:rsid w:val="008C13BF"/>
    <w:rsid w:val="008C4DB5"/>
    <w:rsid w:val="008C5DCE"/>
    <w:rsid w:val="008C5F93"/>
    <w:rsid w:val="008C7EB0"/>
    <w:rsid w:val="008C7ECB"/>
    <w:rsid w:val="008D02C9"/>
    <w:rsid w:val="008D5C4A"/>
    <w:rsid w:val="008D7B28"/>
    <w:rsid w:val="008D7F68"/>
    <w:rsid w:val="008E12B4"/>
    <w:rsid w:val="008E1B9E"/>
    <w:rsid w:val="008E386A"/>
    <w:rsid w:val="008E4301"/>
    <w:rsid w:val="008E5C39"/>
    <w:rsid w:val="008E6C97"/>
    <w:rsid w:val="008E7105"/>
    <w:rsid w:val="008F120A"/>
    <w:rsid w:val="008F1B6F"/>
    <w:rsid w:val="008F24A6"/>
    <w:rsid w:val="008F48EB"/>
    <w:rsid w:val="008F4F0B"/>
    <w:rsid w:val="00900073"/>
    <w:rsid w:val="00900F85"/>
    <w:rsid w:val="0090171B"/>
    <w:rsid w:val="00904655"/>
    <w:rsid w:val="009062A5"/>
    <w:rsid w:val="00910600"/>
    <w:rsid w:val="00911272"/>
    <w:rsid w:val="0091346A"/>
    <w:rsid w:val="00924477"/>
    <w:rsid w:val="00924B5B"/>
    <w:rsid w:val="009264D5"/>
    <w:rsid w:val="00927D9A"/>
    <w:rsid w:val="0093129C"/>
    <w:rsid w:val="00936629"/>
    <w:rsid w:val="00936723"/>
    <w:rsid w:val="00936B71"/>
    <w:rsid w:val="00936F91"/>
    <w:rsid w:val="009405F4"/>
    <w:rsid w:val="00941790"/>
    <w:rsid w:val="0094235F"/>
    <w:rsid w:val="00953D11"/>
    <w:rsid w:val="00955298"/>
    <w:rsid w:val="0095552B"/>
    <w:rsid w:val="009569F0"/>
    <w:rsid w:val="00960932"/>
    <w:rsid w:val="00962CB9"/>
    <w:rsid w:val="00964312"/>
    <w:rsid w:val="00964B4D"/>
    <w:rsid w:val="009660B5"/>
    <w:rsid w:val="00970914"/>
    <w:rsid w:val="00970C5D"/>
    <w:rsid w:val="00971E7E"/>
    <w:rsid w:val="009732EA"/>
    <w:rsid w:val="00977EAB"/>
    <w:rsid w:val="00983E57"/>
    <w:rsid w:val="00985CED"/>
    <w:rsid w:val="0098768C"/>
    <w:rsid w:val="009932F4"/>
    <w:rsid w:val="009943FF"/>
    <w:rsid w:val="00996B1A"/>
    <w:rsid w:val="009A1491"/>
    <w:rsid w:val="009A1ECF"/>
    <w:rsid w:val="009A213D"/>
    <w:rsid w:val="009B1E11"/>
    <w:rsid w:val="009B1ED5"/>
    <w:rsid w:val="009B3E26"/>
    <w:rsid w:val="009B3EE5"/>
    <w:rsid w:val="009B6F9A"/>
    <w:rsid w:val="009C401C"/>
    <w:rsid w:val="009C66B5"/>
    <w:rsid w:val="009C7B5F"/>
    <w:rsid w:val="009D1967"/>
    <w:rsid w:val="009D1A43"/>
    <w:rsid w:val="009D23C3"/>
    <w:rsid w:val="009D2B92"/>
    <w:rsid w:val="009D3E4F"/>
    <w:rsid w:val="009D4AE8"/>
    <w:rsid w:val="009D4DC0"/>
    <w:rsid w:val="009D57AD"/>
    <w:rsid w:val="009D5B91"/>
    <w:rsid w:val="009D780C"/>
    <w:rsid w:val="009E4C07"/>
    <w:rsid w:val="009E5AC0"/>
    <w:rsid w:val="009E678E"/>
    <w:rsid w:val="009E7F6B"/>
    <w:rsid w:val="009F22ED"/>
    <w:rsid w:val="009F4FDB"/>
    <w:rsid w:val="009F5E4A"/>
    <w:rsid w:val="009F693A"/>
    <w:rsid w:val="009F72E8"/>
    <w:rsid w:val="00A01D34"/>
    <w:rsid w:val="00A03D43"/>
    <w:rsid w:val="00A04380"/>
    <w:rsid w:val="00A054DF"/>
    <w:rsid w:val="00A074E0"/>
    <w:rsid w:val="00A075B3"/>
    <w:rsid w:val="00A10267"/>
    <w:rsid w:val="00A13948"/>
    <w:rsid w:val="00A20013"/>
    <w:rsid w:val="00A20C95"/>
    <w:rsid w:val="00A23D14"/>
    <w:rsid w:val="00A26FE1"/>
    <w:rsid w:val="00A27AEC"/>
    <w:rsid w:val="00A35D16"/>
    <w:rsid w:val="00A361AE"/>
    <w:rsid w:val="00A37118"/>
    <w:rsid w:val="00A37174"/>
    <w:rsid w:val="00A37189"/>
    <w:rsid w:val="00A43C59"/>
    <w:rsid w:val="00A444B3"/>
    <w:rsid w:val="00A4475E"/>
    <w:rsid w:val="00A45811"/>
    <w:rsid w:val="00A46606"/>
    <w:rsid w:val="00A50ECD"/>
    <w:rsid w:val="00A52729"/>
    <w:rsid w:val="00A533F2"/>
    <w:rsid w:val="00A53675"/>
    <w:rsid w:val="00A56B6A"/>
    <w:rsid w:val="00A56CF9"/>
    <w:rsid w:val="00A578DC"/>
    <w:rsid w:val="00A638A9"/>
    <w:rsid w:val="00A648D2"/>
    <w:rsid w:val="00A6725B"/>
    <w:rsid w:val="00A7062B"/>
    <w:rsid w:val="00A72C2D"/>
    <w:rsid w:val="00A7497A"/>
    <w:rsid w:val="00A7692B"/>
    <w:rsid w:val="00A77788"/>
    <w:rsid w:val="00A82352"/>
    <w:rsid w:val="00A82DCB"/>
    <w:rsid w:val="00A842D8"/>
    <w:rsid w:val="00A851CE"/>
    <w:rsid w:val="00A856BC"/>
    <w:rsid w:val="00A86E8B"/>
    <w:rsid w:val="00A90034"/>
    <w:rsid w:val="00A93072"/>
    <w:rsid w:val="00A9533A"/>
    <w:rsid w:val="00A959D8"/>
    <w:rsid w:val="00AA0B1A"/>
    <w:rsid w:val="00AA3097"/>
    <w:rsid w:val="00AA50A3"/>
    <w:rsid w:val="00AA6D84"/>
    <w:rsid w:val="00AA73E1"/>
    <w:rsid w:val="00AB042A"/>
    <w:rsid w:val="00AB0600"/>
    <w:rsid w:val="00AB0F9F"/>
    <w:rsid w:val="00AB27EA"/>
    <w:rsid w:val="00AB2D34"/>
    <w:rsid w:val="00AB3430"/>
    <w:rsid w:val="00AB4843"/>
    <w:rsid w:val="00AB7686"/>
    <w:rsid w:val="00AB7CFA"/>
    <w:rsid w:val="00AC095E"/>
    <w:rsid w:val="00AC2100"/>
    <w:rsid w:val="00AC37E3"/>
    <w:rsid w:val="00AC38F5"/>
    <w:rsid w:val="00AC3E53"/>
    <w:rsid w:val="00AC762E"/>
    <w:rsid w:val="00AD17C7"/>
    <w:rsid w:val="00AD19E7"/>
    <w:rsid w:val="00AD2CFB"/>
    <w:rsid w:val="00AD4909"/>
    <w:rsid w:val="00AD6FDA"/>
    <w:rsid w:val="00AD76C7"/>
    <w:rsid w:val="00AE158C"/>
    <w:rsid w:val="00AE4C2A"/>
    <w:rsid w:val="00AE70F0"/>
    <w:rsid w:val="00AF38AD"/>
    <w:rsid w:val="00B02204"/>
    <w:rsid w:val="00B062A0"/>
    <w:rsid w:val="00B11F1B"/>
    <w:rsid w:val="00B1226F"/>
    <w:rsid w:val="00B15D3D"/>
    <w:rsid w:val="00B2103B"/>
    <w:rsid w:val="00B24B20"/>
    <w:rsid w:val="00B24F7C"/>
    <w:rsid w:val="00B25841"/>
    <w:rsid w:val="00B3295B"/>
    <w:rsid w:val="00B33A48"/>
    <w:rsid w:val="00B371AF"/>
    <w:rsid w:val="00B40852"/>
    <w:rsid w:val="00B42851"/>
    <w:rsid w:val="00B44F48"/>
    <w:rsid w:val="00B47C70"/>
    <w:rsid w:val="00B50634"/>
    <w:rsid w:val="00B50DB8"/>
    <w:rsid w:val="00B51537"/>
    <w:rsid w:val="00B51868"/>
    <w:rsid w:val="00B53905"/>
    <w:rsid w:val="00B53949"/>
    <w:rsid w:val="00B54B5B"/>
    <w:rsid w:val="00B5562E"/>
    <w:rsid w:val="00B56384"/>
    <w:rsid w:val="00B56478"/>
    <w:rsid w:val="00B56F41"/>
    <w:rsid w:val="00B57000"/>
    <w:rsid w:val="00B60939"/>
    <w:rsid w:val="00B60AFD"/>
    <w:rsid w:val="00B62715"/>
    <w:rsid w:val="00B63674"/>
    <w:rsid w:val="00B63734"/>
    <w:rsid w:val="00B65270"/>
    <w:rsid w:val="00B71D6B"/>
    <w:rsid w:val="00B735DF"/>
    <w:rsid w:val="00B7497E"/>
    <w:rsid w:val="00B818A4"/>
    <w:rsid w:val="00B850A8"/>
    <w:rsid w:val="00B8649C"/>
    <w:rsid w:val="00B91016"/>
    <w:rsid w:val="00B92D0B"/>
    <w:rsid w:val="00B94945"/>
    <w:rsid w:val="00B94DEA"/>
    <w:rsid w:val="00BA081D"/>
    <w:rsid w:val="00BA4344"/>
    <w:rsid w:val="00BB0C1E"/>
    <w:rsid w:val="00BB24F5"/>
    <w:rsid w:val="00BB2724"/>
    <w:rsid w:val="00BB5E0E"/>
    <w:rsid w:val="00BB7181"/>
    <w:rsid w:val="00BB7405"/>
    <w:rsid w:val="00BC1118"/>
    <w:rsid w:val="00BC4BC5"/>
    <w:rsid w:val="00BC6B79"/>
    <w:rsid w:val="00BC7174"/>
    <w:rsid w:val="00BD4305"/>
    <w:rsid w:val="00BD6327"/>
    <w:rsid w:val="00BD6CF3"/>
    <w:rsid w:val="00BD7FC5"/>
    <w:rsid w:val="00BE2180"/>
    <w:rsid w:val="00BE332F"/>
    <w:rsid w:val="00BE4275"/>
    <w:rsid w:val="00BE6A91"/>
    <w:rsid w:val="00BE6FD3"/>
    <w:rsid w:val="00BF2433"/>
    <w:rsid w:val="00BF2F21"/>
    <w:rsid w:val="00BF61C9"/>
    <w:rsid w:val="00BF6D23"/>
    <w:rsid w:val="00BF6E53"/>
    <w:rsid w:val="00C01054"/>
    <w:rsid w:val="00C0197D"/>
    <w:rsid w:val="00C02830"/>
    <w:rsid w:val="00C036C0"/>
    <w:rsid w:val="00C03BF8"/>
    <w:rsid w:val="00C04007"/>
    <w:rsid w:val="00C10B59"/>
    <w:rsid w:val="00C11FF8"/>
    <w:rsid w:val="00C132A9"/>
    <w:rsid w:val="00C13489"/>
    <w:rsid w:val="00C17A58"/>
    <w:rsid w:val="00C2082D"/>
    <w:rsid w:val="00C21B72"/>
    <w:rsid w:val="00C22A07"/>
    <w:rsid w:val="00C22C69"/>
    <w:rsid w:val="00C24D5E"/>
    <w:rsid w:val="00C24E7F"/>
    <w:rsid w:val="00C25418"/>
    <w:rsid w:val="00C25D9C"/>
    <w:rsid w:val="00C26BBB"/>
    <w:rsid w:val="00C26D47"/>
    <w:rsid w:val="00C315B2"/>
    <w:rsid w:val="00C31649"/>
    <w:rsid w:val="00C31BA5"/>
    <w:rsid w:val="00C31ECD"/>
    <w:rsid w:val="00C321B5"/>
    <w:rsid w:val="00C354B2"/>
    <w:rsid w:val="00C3561D"/>
    <w:rsid w:val="00C40385"/>
    <w:rsid w:val="00C412F2"/>
    <w:rsid w:val="00C41A0C"/>
    <w:rsid w:val="00C425A4"/>
    <w:rsid w:val="00C42A71"/>
    <w:rsid w:val="00C43C74"/>
    <w:rsid w:val="00C44CA8"/>
    <w:rsid w:val="00C4620C"/>
    <w:rsid w:val="00C46AF6"/>
    <w:rsid w:val="00C4754F"/>
    <w:rsid w:val="00C5103B"/>
    <w:rsid w:val="00C52370"/>
    <w:rsid w:val="00C532B1"/>
    <w:rsid w:val="00C54052"/>
    <w:rsid w:val="00C54417"/>
    <w:rsid w:val="00C57D45"/>
    <w:rsid w:val="00C61DA3"/>
    <w:rsid w:val="00C62256"/>
    <w:rsid w:val="00C64302"/>
    <w:rsid w:val="00C6535E"/>
    <w:rsid w:val="00C65576"/>
    <w:rsid w:val="00C66165"/>
    <w:rsid w:val="00C71AEB"/>
    <w:rsid w:val="00C750C8"/>
    <w:rsid w:val="00C764CF"/>
    <w:rsid w:val="00C803CD"/>
    <w:rsid w:val="00C8213F"/>
    <w:rsid w:val="00C856ED"/>
    <w:rsid w:val="00C86318"/>
    <w:rsid w:val="00C875D6"/>
    <w:rsid w:val="00C8797A"/>
    <w:rsid w:val="00C90B83"/>
    <w:rsid w:val="00C91EEB"/>
    <w:rsid w:val="00C938CF"/>
    <w:rsid w:val="00C9464F"/>
    <w:rsid w:val="00C94A6E"/>
    <w:rsid w:val="00C95179"/>
    <w:rsid w:val="00C96E57"/>
    <w:rsid w:val="00C972E3"/>
    <w:rsid w:val="00CA0266"/>
    <w:rsid w:val="00CA1AE2"/>
    <w:rsid w:val="00CA2367"/>
    <w:rsid w:val="00CA2581"/>
    <w:rsid w:val="00CA2C61"/>
    <w:rsid w:val="00CA3149"/>
    <w:rsid w:val="00CA3670"/>
    <w:rsid w:val="00CA3D5B"/>
    <w:rsid w:val="00CA40C4"/>
    <w:rsid w:val="00CA5245"/>
    <w:rsid w:val="00CA7B09"/>
    <w:rsid w:val="00CB0486"/>
    <w:rsid w:val="00CB05A1"/>
    <w:rsid w:val="00CB0C0E"/>
    <w:rsid w:val="00CB2217"/>
    <w:rsid w:val="00CB2C8B"/>
    <w:rsid w:val="00CB39E5"/>
    <w:rsid w:val="00CB5B1A"/>
    <w:rsid w:val="00CC0B8E"/>
    <w:rsid w:val="00CC1901"/>
    <w:rsid w:val="00CC1A68"/>
    <w:rsid w:val="00CC259C"/>
    <w:rsid w:val="00CC3224"/>
    <w:rsid w:val="00CC7C93"/>
    <w:rsid w:val="00CD1B22"/>
    <w:rsid w:val="00CD56A0"/>
    <w:rsid w:val="00CD6801"/>
    <w:rsid w:val="00CD6ADC"/>
    <w:rsid w:val="00CE131F"/>
    <w:rsid w:val="00CE4739"/>
    <w:rsid w:val="00CE6274"/>
    <w:rsid w:val="00CE62F6"/>
    <w:rsid w:val="00CE6BDC"/>
    <w:rsid w:val="00CE75E9"/>
    <w:rsid w:val="00CF0F48"/>
    <w:rsid w:val="00CF3B90"/>
    <w:rsid w:val="00CF3C43"/>
    <w:rsid w:val="00CF456B"/>
    <w:rsid w:val="00CF4F06"/>
    <w:rsid w:val="00CF5A22"/>
    <w:rsid w:val="00CF7ADE"/>
    <w:rsid w:val="00D0262E"/>
    <w:rsid w:val="00D035D2"/>
    <w:rsid w:val="00D03A15"/>
    <w:rsid w:val="00D0454C"/>
    <w:rsid w:val="00D047B1"/>
    <w:rsid w:val="00D067FE"/>
    <w:rsid w:val="00D110BD"/>
    <w:rsid w:val="00D142FB"/>
    <w:rsid w:val="00D14843"/>
    <w:rsid w:val="00D17121"/>
    <w:rsid w:val="00D17D6C"/>
    <w:rsid w:val="00D22D95"/>
    <w:rsid w:val="00D260F5"/>
    <w:rsid w:val="00D274FB"/>
    <w:rsid w:val="00D31A22"/>
    <w:rsid w:val="00D357FF"/>
    <w:rsid w:val="00D43F0C"/>
    <w:rsid w:val="00D45D55"/>
    <w:rsid w:val="00D465D2"/>
    <w:rsid w:val="00D468CB"/>
    <w:rsid w:val="00D52569"/>
    <w:rsid w:val="00D630A3"/>
    <w:rsid w:val="00D63E57"/>
    <w:rsid w:val="00D64D38"/>
    <w:rsid w:val="00D668EF"/>
    <w:rsid w:val="00D71E8E"/>
    <w:rsid w:val="00D75C77"/>
    <w:rsid w:val="00D75FF5"/>
    <w:rsid w:val="00D76099"/>
    <w:rsid w:val="00D76A44"/>
    <w:rsid w:val="00D77A59"/>
    <w:rsid w:val="00D81F87"/>
    <w:rsid w:val="00D84683"/>
    <w:rsid w:val="00D850CE"/>
    <w:rsid w:val="00D85CEE"/>
    <w:rsid w:val="00D90C3A"/>
    <w:rsid w:val="00D91520"/>
    <w:rsid w:val="00D9284C"/>
    <w:rsid w:val="00D928F9"/>
    <w:rsid w:val="00D93753"/>
    <w:rsid w:val="00D94EE3"/>
    <w:rsid w:val="00D97E30"/>
    <w:rsid w:val="00DA1B37"/>
    <w:rsid w:val="00DA4E83"/>
    <w:rsid w:val="00DA6B9F"/>
    <w:rsid w:val="00DA77A5"/>
    <w:rsid w:val="00DA7DF1"/>
    <w:rsid w:val="00DB09C1"/>
    <w:rsid w:val="00DB154A"/>
    <w:rsid w:val="00DB5965"/>
    <w:rsid w:val="00DB6620"/>
    <w:rsid w:val="00DB7BB9"/>
    <w:rsid w:val="00DB7C1C"/>
    <w:rsid w:val="00DC3099"/>
    <w:rsid w:val="00DC5501"/>
    <w:rsid w:val="00DC7881"/>
    <w:rsid w:val="00DD157C"/>
    <w:rsid w:val="00DD1DE6"/>
    <w:rsid w:val="00DD224E"/>
    <w:rsid w:val="00DD3B9B"/>
    <w:rsid w:val="00DD3F28"/>
    <w:rsid w:val="00DD4537"/>
    <w:rsid w:val="00DD49AF"/>
    <w:rsid w:val="00DD4E15"/>
    <w:rsid w:val="00DE2535"/>
    <w:rsid w:val="00DE43AA"/>
    <w:rsid w:val="00DE4FCB"/>
    <w:rsid w:val="00DF0021"/>
    <w:rsid w:val="00DF02E0"/>
    <w:rsid w:val="00DF0373"/>
    <w:rsid w:val="00DF1B8A"/>
    <w:rsid w:val="00DF1D40"/>
    <w:rsid w:val="00DF2842"/>
    <w:rsid w:val="00DF3ACF"/>
    <w:rsid w:val="00DF5D2B"/>
    <w:rsid w:val="00E016AA"/>
    <w:rsid w:val="00E07553"/>
    <w:rsid w:val="00E10149"/>
    <w:rsid w:val="00E10FB4"/>
    <w:rsid w:val="00E13BAE"/>
    <w:rsid w:val="00E16372"/>
    <w:rsid w:val="00E20ED6"/>
    <w:rsid w:val="00E21358"/>
    <w:rsid w:val="00E2249B"/>
    <w:rsid w:val="00E224F3"/>
    <w:rsid w:val="00E22A0D"/>
    <w:rsid w:val="00E23575"/>
    <w:rsid w:val="00E26BAA"/>
    <w:rsid w:val="00E2771E"/>
    <w:rsid w:val="00E27C69"/>
    <w:rsid w:val="00E27F43"/>
    <w:rsid w:val="00E3022D"/>
    <w:rsid w:val="00E345CB"/>
    <w:rsid w:val="00E37569"/>
    <w:rsid w:val="00E41E30"/>
    <w:rsid w:val="00E43242"/>
    <w:rsid w:val="00E43D70"/>
    <w:rsid w:val="00E45F25"/>
    <w:rsid w:val="00E46ECB"/>
    <w:rsid w:val="00E47B2C"/>
    <w:rsid w:val="00E51270"/>
    <w:rsid w:val="00E51560"/>
    <w:rsid w:val="00E5231E"/>
    <w:rsid w:val="00E55424"/>
    <w:rsid w:val="00E55BB5"/>
    <w:rsid w:val="00E56DF3"/>
    <w:rsid w:val="00E61A91"/>
    <w:rsid w:val="00E6389D"/>
    <w:rsid w:val="00E65A7F"/>
    <w:rsid w:val="00E65E79"/>
    <w:rsid w:val="00E67416"/>
    <w:rsid w:val="00E718B6"/>
    <w:rsid w:val="00E7336D"/>
    <w:rsid w:val="00E734ED"/>
    <w:rsid w:val="00E73581"/>
    <w:rsid w:val="00E77894"/>
    <w:rsid w:val="00E81B76"/>
    <w:rsid w:val="00E82F11"/>
    <w:rsid w:val="00E83BDF"/>
    <w:rsid w:val="00E86C28"/>
    <w:rsid w:val="00E91F5A"/>
    <w:rsid w:val="00E92488"/>
    <w:rsid w:val="00E92A8A"/>
    <w:rsid w:val="00E93666"/>
    <w:rsid w:val="00E93D3E"/>
    <w:rsid w:val="00E9515B"/>
    <w:rsid w:val="00E95395"/>
    <w:rsid w:val="00EA3864"/>
    <w:rsid w:val="00EA44F3"/>
    <w:rsid w:val="00EA726F"/>
    <w:rsid w:val="00EB15B6"/>
    <w:rsid w:val="00EB2868"/>
    <w:rsid w:val="00EB4916"/>
    <w:rsid w:val="00EB5539"/>
    <w:rsid w:val="00EB5847"/>
    <w:rsid w:val="00EC0096"/>
    <w:rsid w:val="00EC00C9"/>
    <w:rsid w:val="00EC273B"/>
    <w:rsid w:val="00EC2DEC"/>
    <w:rsid w:val="00EC7B04"/>
    <w:rsid w:val="00ED2D4D"/>
    <w:rsid w:val="00ED73AB"/>
    <w:rsid w:val="00ED79F7"/>
    <w:rsid w:val="00ED7FA9"/>
    <w:rsid w:val="00EE07D3"/>
    <w:rsid w:val="00EE0A82"/>
    <w:rsid w:val="00EE3768"/>
    <w:rsid w:val="00EE3964"/>
    <w:rsid w:val="00EE6608"/>
    <w:rsid w:val="00EE77D1"/>
    <w:rsid w:val="00EE7FAA"/>
    <w:rsid w:val="00EF02EA"/>
    <w:rsid w:val="00EF15EB"/>
    <w:rsid w:val="00EF24D3"/>
    <w:rsid w:val="00EF283B"/>
    <w:rsid w:val="00EF48F0"/>
    <w:rsid w:val="00EF569E"/>
    <w:rsid w:val="00EF6AF4"/>
    <w:rsid w:val="00F03791"/>
    <w:rsid w:val="00F067A2"/>
    <w:rsid w:val="00F07816"/>
    <w:rsid w:val="00F11119"/>
    <w:rsid w:val="00F1434F"/>
    <w:rsid w:val="00F15DFE"/>
    <w:rsid w:val="00F17986"/>
    <w:rsid w:val="00F2004B"/>
    <w:rsid w:val="00F22649"/>
    <w:rsid w:val="00F24837"/>
    <w:rsid w:val="00F24A69"/>
    <w:rsid w:val="00F2575F"/>
    <w:rsid w:val="00F26C59"/>
    <w:rsid w:val="00F26CDD"/>
    <w:rsid w:val="00F33DE9"/>
    <w:rsid w:val="00F3619A"/>
    <w:rsid w:val="00F3767F"/>
    <w:rsid w:val="00F37D4F"/>
    <w:rsid w:val="00F445E1"/>
    <w:rsid w:val="00F44DD9"/>
    <w:rsid w:val="00F45E6D"/>
    <w:rsid w:val="00F46CB6"/>
    <w:rsid w:val="00F519C8"/>
    <w:rsid w:val="00F51F13"/>
    <w:rsid w:val="00F54129"/>
    <w:rsid w:val="00F54A9D"/>
    <w:rsid w:val="00F54D49"/>
    <w:rsid w:val="00F55E73"/>
    <w:rsid w:val="00F60092"/>
    <w:rsid w:val="00F618E0"/>
    <w:rsid w:val="00F63BD4"/>
    <w:rsid w:val="00F66546"/>
    <w:rsid w:val="00F669CC"/>
    <w:rsid w:val="00F71FB7"/>
    <w:rsid w:val="00F7695A"/>
    <w:rsid w:val="00F76EF1"/>
    <w:rsid w:val="00F80E5D"/>
    <w:rsid w:val="00F851CE"/>
    <w:rsid w:val="00F85311"/>
    <w:rsid w:val="00F86598"/>
    <w:rsid w:val="00F90FD7"/>
    <w:rsid w:val="00F9164B"/>
    <w:rsid w:val="00F97699"/>
    <w:rsid w:val="00F97A78"/>
    <w:rsid w:val="00FA0666"/>
    <w:rsid w:val="00FA24E7"/>
    <w:rsid w:val="00FA3365"/>
    <w:rsid w:val="00FA3A25"/>
    <w:rsid w:val="00FA3B36"/>
    <w:rsid w:val="00FA43EE"/>
    <w:rsid w:val="00FA5E39"/>
    <w:rsid w:val="00FA6BA3"/>
    <w:rsid w:val="00FA7A9F"/>
    <w:rsid w:val="00FB0422"/>
    <w:rsid w:val="00FB2B26"/>
    <w:rsid w:val="00FB2FCB"/>
    <w:rsid w:val="00FB482E"/>
    <w:rsid w:val="00FB5F28"/>
    <w:rsid w:val="00FC1074"/>
    <w:rsid w:val="00FC1884"/>
    <w:rsid w:val="00FD2100"/>
    <w:rsid w:val="00FD446D"/>
    <w:rsid w:val="00FD489E"/>
    <w:rsid w:val="00FD48AE"/>
    <w:rsid w:val="00FD68D2"/>
    <w:rsid w:val="00FD76CC"/>
    <w:rsid w:val="00FE4487"/>
    <w:rsid w:val="00FE5068"/>
    <w:rsid w:val="00FE528E"/>
    <w:rsid w:val="00FE55A6"/>
    <w:rsid w:val="00FE6068"/>
    <w:rsid w:val="00FF3DCF"/>
    <w:rsid w:val="00FF4802"/>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uiPriority="35" w:qFormat="1"/>
    <w:lsdException w:name="annotation reference" w:uiPriority="99" w:qFormat="1"/>
    <w:lsdException w:name="List Bullet" w:uiPriority="4"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9"/>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E92A8A"/>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har,Caption-FUSA,Bayer Caption Char Char Char Char,Bayer Caption Char,Bayer Caption Char Char Char,Bayer Caption Char Char,Bayer Caption,CSR Caption"/>
    <w:basedOn w:val="Normal"/>
    <w:next w:val="TableHeader"/>
    <w:link w:val="CaptionChar"/>
    <w:uiPriority w:val="35"/>
    <w:unhideWhenUsed/>
    <w:qFormat/>
    <w:rsid w:val="005C7F65"/>
    <w:rPr>
      <w:rFonts w:ascii="Arial Narrow" w:hAnsi="Arial Narrow"/>
      <w:b/>
      <w:bCs/>
      <w:sz w:val="20"/>
      <w:szCs w:val="18"/>
    </w:rPr>
  </w:style>
  <w:style w:type="character" w:customStyle="1" w:styleId="CaptionChar">
    <w:name w:val="Caption Char"/>
    <w:aliases w:val="Char Char,Caption-FUSA Char,Bayer Caption Char Char Char Char Char,Bayer Caption Char Char1,Bayer Caption Char Char Char Char1,Bayer Caption Char Char Char1,Bayer Caption Char1,CSR Caption Char"/>
    <w:link w:val="Caption"/>
    <w:uiPriority w:val="35"/>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E5231E"/>
    <w:pPr>
      <w:tabs>
        <w:tab w:val="left" w:pos="66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1708C"/>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unhideWhenUsed/>
    <w:rsid w:val="00DD49AF"/>
    <w:rPr>
      <w:sz w:val="20"/>
    </w:rPr>
  </w:style>
  <w:style w:type="character" w:customStyle="1" w:styleId="FootnoteTextChar">
    <w:name w:val="Footnote Text Char"/>
    <w:basedOn w:val="DefaultParagraphFont"/>
    <w:link w:val="FootnoteText"/>
    <w:rsid w:val="00DD49AF"/>
    <w:rPr>
      <w:rFonts w:ascii="Arial" w:hAnsi="Arial" w:cs="Arial"/>
      <w:snapToGrid w:val="0"/>
      <w:lang w:eastAsia="en-US"/>
    </w:rPr>
  </w:style>
  <w:style w:type="character" w:styleId="FootnoteReference">
    <w:name w:val="footnote reference"/>
    <w:basedOn w:val="DefaultParagraphFont"/>
    <w:unhideWhenUsed/>
    <w:rsid w:val="00DD49AF"/>
    <w:rPr>
      <w:vertAlign w:val="superscript"/>
    </w:rPr>
  </w:style>
  <w:style w:type="paragraph" w:customStyle="1" w:styleId="EndNoteBibliographyTitle">
    <w:name w:val="EndNote Bibliography Title"/>
    <w:basedOn w:val="Normal"/>
    <w:link w:val="EndNoteBibliographyTitleChar"/>
    <w:rsid w:val="00DD49AF"/>
    <w:pPr>
      <w:jc w:val="center"/>
    </w:pPr>
    <w:rPr>
      <w:rFonts w:ascii="Arial Bold" w:hAnsi="Arial Bold"/>
      <w:noProof/>
      <w:lang w:val="en-US"/>
    </w:rPr>
  </w:style>
  <w:style w:type="character" w:customStyle="1" w:styleId="EndNoteBibliographyTitleChar">
    <w:name w:val="EndNote Bibliography Title Char"/>
    <w:basedOn w:val="DefaultParagraphFont"/>
    <w:link w:val="EndNoteBibliographyTitle"/>
    <w:rsid w:val="00DD49AF"/>
    <w:rPr>
      <w:rFonts w:ascii="Arial Bold" w:hAnsi="Arial Bold" w:cs="Arial"/>
      <w:noProof/>
      <w:snapToGrid w:val="0"/>
      <w:sz w:val="22"/>
      <w:lang w:val="en-US" w:eastAsia="en-US"/>
    </w:rPr>
  </w:style>
  <w:style w:type="paragraph" w:customStyle="1" w:styleId="EndNoteBibliography">
    <w:name w:val="EndNote Bibliography"/>
    <w:basedOn w:val="Normal"/>
    <w:link w:val="EndNoteBibliographyChar"/>
    <w:rsid w:val="00DD49AF"/>
    <w:pPr>
      <w:jc w:val="right"/>
    </w:pPr>
    <w:rPr>
      <w:rFonts w:ascii="Arial Bold" w:hAnsi="Arial Bold"/>
      <w:noProof/>
      <w:lang w:val="en-US"/>
    </w:rPr>
  </w:style>
  <w:style w:type="character" w:customStyle="1" w:styleId="EndNoteBibliographyChar">
    <w:name w:val="EndNote Bibliography Char"/>
    <w:basedOn w:val="DefaultParagraphFont"/>
    <w:link w:val="EndNoteBibliography"/>
    <w:rsid w:val="00DD49AF"/>
    <w:rPr>
      <w:rFonts w:ascii="Arial Bold" w:hAnsi="Arial Bold" w:cs="Arial"/>
      <w:noProof/>
      <w:snapToGrid w:val="0"/>
      <w:sz w:val="22"/>
      <w:lang w:val="en-US" w:eastAsia="en-US"/>
    </w:rPr>
  </w:style>
  <w:style w:type="character" w:styleId="Emphasis">
    <w:name w:val="Emphasis"/>
    <w:basedOn w:val="DefaultParagraphFont"/>
    <w:uiPriority w:val="20"/>
    <w:qFormat/>
    <w:rsid w:val="00547187"/>
    <w:rPr>
      <w:i/>
      <w:iCs/>
    </w:rPr>
  </w:style>
  <w:style w:type="paragraph" w:customStyle="1" w:styleId="p">
    <w:name w:val="p"/>
    <w:basedOn w:val="Normal"/>
    <w:rsid w:val="00547187"/>
    <w:pPr>
      <w:widowControl/>
      <w:spacing w:before="100" w:beforeAutospacing="1" w:after="100" w:afterAutospacing="1"/>
      <w:jc w:val="left"/>
    </w:pPr>
    <w:rPr>
      <w:rFonts w:ascii="Times New Roman" w:hAnsi="Times New Roman" w:cs="Times New Roman"/>
      <w:snapToGrid/>
      <w:sz w:val="24"/>
      <w:szCs w:val="24"/>
      <w:lang w:eastAsia="en-AU"/>
    </w:rPr>
  </w:style>
  <w:style w:type="character" w:styleId="Strong">
    <w:name w:val="Strong"/>
    <w:basedOn w:val="DefaultParagraphFont"/>
    <w:uiPriority w:val="22"/>
    <w:qFormat/>
    <w:rsid w:val="00547187"/>
    <w:rPr>
      <w:b/>
      <w:bCs/>
    </w:rPr>
  </w:style>
  <w:style w:type="paragraph" w:customStyle="1" w:styleId="KMC-Tablecontent">
    <w:name w:val="KMC-Table content"/>
    <w:basedOn w:val="Normal"/>
    <w:link w:val="KMC-TablecontentChar"/>
    <w:qFormat/>
    <w:rsid w:val="00C26D47"/>
    <w:pPr>
      <w:widowControl/>
      <w:spacing w:before="40" w:after="40"/>
      <w:jc w:val="left"/>
    </w:pPr>
    <w:rPr>
      <w:rFonts w:ascii="Arial Narrow" w:hAnsi="Arial Narrow"/>
      <w:snapToGrid/>
      <w:color w:val="000000"/>
      <w:sz w:val="20"/>
      <w:szCs w:val="22"/>
      <w:lang w:val="en-GB"/>
    </w:rPr>
  </w:style>
  <w:style w:type="character" w:customStyle="1" w:styleId="KMC-TablecontentChar">
    <w:name w:val="KMC-Table content Char"/>
    <w:basedOn w:val="DefaultParagraphFont"/>
    <w:link w:val="KMC-Tablecontent"/>
    <w:rsid w:val="00C26D47"/>
    <w:rPr>
      <w:rFonts w:ascii="Arial Narrow" w:hAnsi="Arial Narrow" w:cs="Arial"/>
      <w:color w:val="000000"/>
      <w:szCs w:val="22"/>
      <w:lang w:val="en-GB" w:eastAsia="en-US"/>
    </w:rPr>
  </w:style>
  <w:style w:type="paragraph" w:customStyle="1" w:styleId="KMC-TFNotes">
    <w:name w:val="KMC - TF Notes"/>
    <w:basedOn w:val="Normal"/>
    <w:qFormat/>
    <w:rsid w:val="00A56CF9"/>
    <w:pPr>
      <w:keepNext/>
      <w:keepLines/>
      <w:spacing w:before="45" w:after="240"/>
      <w:contextualSpacing/>
    </w:pPr>
    <w:rPr>
      <w:rFonts w:ascii="Calibri" w:eastAsiaTheme="minorHAnsi" w:hAnsi="Calibri" w:cstheme="minorBidi"/>
      <w:snapToGrid/>
      <w:color w:val="000000" w:themeColor="text1"/>
      <w:sz w:val="16"/>
      <w:szCs w:val="22"/>
    </w:rPr>
  </w:style>
  <w:style w:type="table" w:customStyle="1" w:styleId="StandardTable">
    <w:name w:val="Standard Table"/>
    <w:basedOn w:val="TableNormal"/>
    <w:rsid w:val="00A56CF9"/>
    <w:rPr>
      <w:rFonts w:ascii="Arial" w:hAnsi="Arial"/>
    </w:rPr>
    <w:tblPr>
      <w:tblInd w:w="8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tcMar>
        <w:left w:w="57" w:type="dxa"/>
        <w:right w:w="57" w:type="dxa"/>
      </w:tcMar>
      <w:vAlign w:val="center"/>
    </w:tcPr>
  </w:style>
  <w:style w:type="character" w:customStyle="1" w:styleId="TableHeadingChar">
    <w:name w:val="Table Heading Char"/>
    <w:basedOn w:val="DefaultParagraphFont"/>
    <w:rsid w:val="00836686"/>
    <w:rPr>
      <w:rFonts w:ascii="Arial" w:hAnsi="Arial"/>
      <w:b/>
      <w:noProof w:val="0"/>
      <w:sz w:val="20"/>
      <w:lang w:val="en-AU" w:eastAsia="en-AU" w:bidi="ar-SA"/>
    </w:rPr>
  </w:style>
  <w:style w:type="paragraph" w:customStyle="1" w:styleId="KMC-Tablefootnotes">
    <w:name w:val="KMC - Table footnotes"/>
    <w:basedOn w:val="Normal"/>
    <w:link w:val="KMC-TablefootnotesChar"/>
    <w:rsid w:val="00836686"/>
    <w:pPr>
      <w:widowControl/>
      <w:spacing w:before="40" w:after="40"/>
    </w:pPr>
    <w:rPr>
      <w:rFonts w:ascii="Calibri" w:hAnsi="Calibri" w:cs="TimesNewRomanPSMT"/>
      <w:snapToGrid/>
      <w:sz w:val="16"/>
      <w:szCs w:val="18"/>
    </w:rPr>
  </w:style>
  <w:style w:type="character" w:customStyle="1" w:styleId="KMC-TablefootnotesChar">
    <w:name w:val="KMC - Table footnotes Char"/>
    <w:basedOn w:val="DefaultParagraphFont"/>
    <w:link w:val="KMC-Tablefootnotes"/>
    <w:rsid w:val="00836686"/>
    <w:rPr>
      <w:rFonts w:ascii="Calibri" w:hAnsi="Calibri" w:cs="TimesNewRomanPSMT"/>
      <w:sz w:val="16"/>
      <w:szCs w:val="18"/>
      <w:lang w:eastAsia="en-US"/>
    </w:rPr>
  </w:style>
  <w:style w:type="paragraph" w:customStyle="1" w:styleId="KMC-TableTxt">
    <w:name w:val="KMC-Table Txt"/>
    <w:basedOn w:val="Normal"/>
    <w:link w:val="KMC-TableTxtChar"/>
    <w:qFormat/>
    <w:rsid w:val="00836686"/>
    <w:pPr>
      <w:widowControl/>
      <w:spacing w:before="40" w:after="40"/>
      <w:jc w:val="left"/>
    </w:pPr>
    <w:rPr>
      <w:rFonts w:ascii="Arial Narrow" w:hAnsi="Arial Narrow" w:cs="Times New Roman"/>
      <w:snapToGrid/>
      <w:color w:val="000000"/>
      <w:sz w:val="20"/>
      <w:lang w:eastAsia="en-AU"/>
    </w:rPr>
  </w:style>
  <w:style w:type="character" w:customStyle="1" w:styleId="KMC-TableTxtChar">
    <w:name w:val="KMC-Table Txt Char"/>
    <w:basedOn w:val="DefaultParagraphFont"/>
    <w:link w:val="KMC-TableTxt"/>
    <w:rsid w:val="00836686"/>
    <w:rPr>
      <w:rFonts w:ascii="Arial Narrow" w:hAnsi="Arial Narrow"/>
      <w:color w:val="000000"/>
    </w:rPr>
  </w:style>
  <w:style w:type="paragraph" w:customStyle="1" w:styleId="KMC-Caption">
    <w:name w:val="KMC - Caption"/>
    <w:basedOn w:val="Caption"/>
    <w:link w:val="KMC-CaptionChar"/>
    <w:qFormat/>
    <w:rsid w:val="00836686"/>
    <w:pPr>
      <w:keepNext/>
      <w:widowControl/>
      <w:tabs>
        <w:tab w:val="left" w:pos="567"/>
      </w:tabs>
      <w:spacing w:before="240" w:after="120" w:line="276" w:lineRule="auto"/>
      <w:ind w:left="1191" w:hanging="1191"/>
      <w:contextualSpacing/>
      <w:jc w:val="left"/>
    </w:pPr>
    <w:rPr>
      <w:rFonts w:ascii="Arial Bold" w:hAnsi="Arial Bold" w:cs="Times New Roman"/>
      <w:b w:val="0"/>
      <w:bCs w:val="0"/>
      <w:noProof/>
      <w:snapToGrid/>
      <w:color w:val="000000"/>
      <w:szCs w:val="20"/>
      <w:lang w:eastAsia="en-AU"/>
    </w:rPr>
  </w:style>
  <w:style w:type="character" w:customStyle="1" w:styleId="KMC-CaptionChar">
    <w:name w:val="KMC - Caption Char"/>
    <w:basedOn w:val="DefaultParagraphFont"/>
    <w:link w:val="KMC-Caption"/>
    <w:rsid w:val="00836686"/>
    <w:rPr>
      <w:rFonts w:ascii="Arial Bold" w:hAnsi="Arial Bold"/>
      <w:noProof/>
      <w:color w:val="000000"/>
    </w:rPr>
  </w:style>
  <w:style w:type="character" w:customStyle="1" w:styleId="TableTextChar0">
    <w:name w:val="TableText Char"/>
    <w:basedOn w:val="DefaultParagraphFont"/>
    <w:link w:val="TableText0"/>
    <w:rsid w:val="00047322"/>
    <w:rPr>
      <w:rFonts w:ascii="Arial Narrow" w:hAnsi="Arial Narrow" w:cs="Arial Narrow"/>
      <w:lang w:eastAsia="en-US"/>
    </w:rPr>
  </w:style>
  <w:style w:type="paragraph" w:customStyle="1" w:styleId="KMC-Tablefootnote">
    <w:name w:val="KMC-Table footnote"/>
    <w:basedOn w:val="Normal"/>
    <w:link w:val="KMC-TablefootnoteChar"/>
    <w:qFormat/>
    <w:rsid w:val="00047322"/>
    <w:pPr>
      <w:keepNext/>
      <w:keepLines/>
      <w:autoSpaceDE w:val="0"/>
      <w:autoSpaceDN w:val="0"/>
      <w:adjustRightInd w:val="0"/>
      <w:spacing w:before="40" w:after="40"/>
      <w:jc w:val="left"/>
    </w:pPr>
    <w:rPr>
      <w:rFonts w:ascii="Calibri" w:hAnsi="Calibri" w:cs="Times New Roman"/>
      <w:snapToGrid/>
      <w:sz w:val="16"/>
      <w:szCs w:val="18"/>
      <w:lang w:eastAsia="en-AU"/>
    </w:rPr>
  </w:style>
  <w:style w:type="character" w:customStyle="1" w:styleId="KMC-TablefootnoteChar">
    <w:name w:val="KMC-Table footnote Char"/>
    <w:basedOn w:val="DefaultParagraphFont"/>
    <w:link w:val="KMC-Tablefootnote"/>
    <w:rsid w:val="00047322"/>
    <w:rPr>
      <w:rFonts w:ascii="Calibri" w:hAnsi="Calibri"/>
      <w:sz w:val="16"/>
      <w:szCs w:val="18"/>
    </w:rPr>
  </w:style>
  <w:style w:type="paragraph" w:customStyle="1" w:styleId="KMC-text">
    <w:name w:val="KMC- text"/>
    <w:basedOn w:val="Normal"/>
    <w:link w:val="KMC-textChar"/>
    <w:qFormat/>
    <w:rsid w:val="00577288"/>
    <w:pPr>
      <w:spacing w:before="120" w:after="240" w:line="360" w:lineRule="auto"/>
    </w:pPr>
    <w:rPr>
      <w:rFonts w:cs="Times New Roman"/>
      <w:snapToGrid/>
      <w:color w:val="000000"/>
      <w:szCs w:val="24"/>
      <w:lang w:val="en-GB"/>
    </w:rPr>
  </w:style>
  <w:style w:type="character" w:customStyle="1" w:styleId="KMC-textChar">
    <w:name w:val="KMC- text Char"/>
    <w:basedOn w:val="DefaultParagraphFont"/>
    <w:link w:val="KMC-text"/>
    <w:rsid w:val="00577288"/>
    <w:rPr>
      <w:rFonts w:ascii="Arial" w:hAnsi="Arial"/>
      <w:color w:val="000000"/>
      <w:sz w:val="22"/>
      <w:szCs w:val="24"/>
      <w:lang w:val="en-GB" w:eastAsia="en-US"/>
    </w:rPr>
  </w:style>
  <w:style w:type="paragraph" w:customStyle="1" w:styleId="PBSnormal">
    <w:name w:val="PBS normal"/>
    <w:basedOn w:val="Normal"/>
    <w:link w:val="PBSnormalChar"/>
    <w:qFormat/>
    <w:rsid w:val="00577288"/>
    <w:pPr>
      <w:widowControl/>
      <w:spacing w:before="120" w:after="240" w:line="360" w:lineRule="auto"/>
    </w:pPr>
    <w:rPr>
      <w:snapToGrid/>
      <w:lang w:eastAsia="en-AU"/>
    </w:rPr>
  </w:style>
  <w:style w:type="character" w:customStyle="1" w:styleId="PBSnormalChar">
    <w:name w:val="PBS normal Char"/>
    <w:basedOn w:val="DefaultParagraphFont"/>
    <w:link w:val="PBSnormal"/>
    <w:rsid w:val="00577288"/>
    <w:rPr>
      <w:rFonts w:ascii="Arial" w:hAnsi="Arial" w:cs="Arial"/>
      <w:sz w:val="22"/>
    </w:rPr>
  </w:style>
  <w:style w:type="paragraph" w:customStyle="1" w:styleId="PBSNormal0">
    <w:name w:val="PBS Normal"/>
    <w:basedOn w:val="Normal"/>
    <w:link w:val="PBSNormalChar1"/>
    <w:rsid w:val="00606366"/>
    <w:pPr>
      <w:widowControl/>
      <w:spacing w:before="120" w:after="120" w:line="360" w:lineRule="auto"/>
    </w:pPr>
    <w:rPr>
      <w:rFonts w:cs="Times New Roman"/>
      <w:snapToGrid/>
      <w:color w:val="000000"/>
      <w:lang w:eastAsia="en-AU"/>
    </w:rPr>
  </w:style>
  <w:style w:type="character" w:customStyle="1" w:styleId="PBSNormalChar1">
    <w:name w:val="PBS Normal Char1"/>
    <w:basedOn w:val="DefaultParagraphFont"/>
    <w:link w:val="PBSNormal0"/>
    <w:rsid w:val="00606366"/>
    <w:rPr>
      <w:rFonts w:ascii="Arial" w:hAnsi="Arial"/>
      <w:color w:val="000000"/>
      <w:sz w:val="22"/>
    </w:rPr>
  </w:style>
  <w:style w:type="paragraph" w:customStyle="1" w:styleId="TableBodyText">
    <w:name w:val="Table Body Text"/>
    <w:basedOn w:val="BodyText"/>
    <w:link w:val="TableBodyTextChar"/>
    <w:qFormat/>
    <w:rsid w:val="00D630A3"/>
    <w:pPr>
      <w:spacing w:line="360" w:lineRule="auto"/>
    </w:pPr>
    <w:rPr>
      <w:rFonts w:ascii="Tahoma" w:hAnsi="Tahoma"/>
      <w:snapToGrid/>
      <w:color w:val="000000"/>
      <w:sz w:val="16"/>
      <w:lang w:val="en-GB"/>
    </w:rPr>
  </w:style>
  <w:style w:type="character" w:customStyle="1" w:styleId="TableBodyTextChar">
    <w:name w:val="Table Body Text Char"/>
    <w:basedOn w:val="BodyTextChar"/>
    <w:link w:val="TableBodyText"/>
    <w:rsid w:val="00D630A3"/>
    <w:rPr>
      <w:rFonts w:ascii="Tahoma" w:hAnsi="Tahoma" w:cs="Arial"/>
      <w:snapToGrid/>
      <w:color w:val="000000"/>
      <w:sz w:val="16"/>
      <w:lang w:val="en-GB" w:eastAsia="en-US"/>
    </w:rPr>
  </w:style>
  <w:style w:type="character" w:customStyle="1" w:styleId="StyleArial11pt">
    <w:name w:val="Style Arial 11 pt"/>
    <w:basedOn w:val="DefaultParagraphFont"/>
    <w:rsid w:val="00910600"/>
    <w:rPr>
      <w:rFonts w:ascii="Arial" w:hAnsi="Arial"/>
      <w:sz w:val="22"/>
    </w:rPr>
  </w:style>
  <w:style w:type="paragraph" w:styleId="ListBullet">
    <w:name w:val="List Bullet"/>
    <w:basedOn w:val="Normal"/>
    <w:uiPriority w:val="4"/>
    <w:qFormat/>
    <w:rsid w:val="00910600"/>
    <w:pPr>
      <w:widowControl/>
      <w:numPr>
        <w:numId w:val="18"/>
      </w:numPr>
      <w:spacing w:after="240" w:line="288" w:lineRule="auto"/>
      <w:contextualSpacing/>
    </w:pPr>
    <w:rPr>
      <w:rFonts w:ascii="Calibri" w:eastAsiaTheme="minorEastAsia" w:hAnsi="Calibri" w:cstheme="minorBidi"/>
      <w:snapToGrid/>
      <w:szCs w:val="22"/>
      <w:lang w:val="en-US" w:eastAsia="zh-CN"/>
    </w:rPr>
  </w:style>
  <w:style w:type="paragraph" w:customStyle="1" w:styleId="Tablename0">
    <w:name w:val="Table name"/>
    <w:basedOn w:val="Normal"/>
    <w:link w:val="TablenameChar"/>
    <w:qFormat/>
    <w:rsid w:val="0047402A"/>
    <w:pPr>
      <w:keepNext/>
    </w:pPr>
    <w:rPr>
      <w:rFonts w:ascii="Arial Narrow" w:hAnsi="Arial Narrow"/>
      <w:b/>
      <w:sz w:val="20"/>
    </w:rPr>
  </w:style>
  <w:style w:type="character" w:customStyle="1" w:styleId="TablenameChar">
    <w:name w:val="Table name Char"/>
    <w:basedOn w:val="DefaultParagraphFont"/>
    <w:link w:val="Tablename0"/>
    <w:rsid w:val="0047402A"/>
    <w:rPr>
      <w:rFonts w:ascii="Arial Narrow" w:hAnsi="Arial Narrow" w:cs="Arial"/>
      <w:b/>
      <w:snapToGrid w:val="0"/>
      <w:lang w:eastAsia="en-US"/>
    </w:rPr>
  </w:style>
  <w:style w:type="character" w:customStyle="1" w:styleId="st">
    <w:name w:val="st"/>
    <w:basedOn w:val="DefaultParagraphFont"/>
    <w:rsid w:val="009D4AE8"/>
  </w:style>
  <w:style w:type="character" w:customStyle="1" w:styleId="ListParagraphChar">
    <w:name w:val="List Paragraph Char"/>
    <w:link w:val="ListParagraph"/>
    <w:uiPriority w:val="72"/>
    <w:rsid w:val="00840BC4"/>
    <w:rPr>
      <w:rFonts w:ascii="Arial" w:hAnsi="Arial" w:cs="Arial"/>
      <w:snapToGrid w:val="0"/>
      <w:sz w:val="22"/>
      <w:lang w:eastAsia="en-US"/>
    </w:rPr>
  </w:style>
  <w:style w:type="paragraph" w:styleId="EndnoteText">
    <w:name w:val="endnote text"/>
    <w:basedOn w:val="Normal"/>
    <w:link w:val="EndnoteTextChar"/>
    <w:semiHidden/>
    <w:unhideWhenUsed/>
    <w:rsid w:val="00F07816"/>
    <w:rPr>
      <w:sz w:val="20"/>
    </w:rPr>
  </w:style>
  <w:style w:type="character" w:customStyle="1" w:styleId="EndnoteTextChar">
    <w:name w:val="Endnote Text Char"/>
    <w:basedOn w:val="DefaultParagraphFont"/>
    <w:link w:val="EndnoteText"/>
    <w:semiHidden/>
    <w:rsid w:val="00F07816"/>
    <w:rPr>
      <w:rFonts w:ascii="Arial" w:hAnsi="Arial" w:cs="Arial"/>
      <w:snapToGrid w:val="0"/>
      <w:lang w:eastAsia="en-US"/>
    </w:rPr>
  </w:style>
  <w:style w:type="character" w:styleId="EndnoteReference">
    <w:name w:val="endnote reference"/>
    <w:basedOn w:val="DefaultParagraphFont"/>
    <w:semiHidden/>
    <w:unhideWhenUsed/>
    <w:rsid w:val="00F07816"/>
    <w:rPr>
      <w:vertAlign w:val="superscript"/>
    </w:rPr>
  </w:style>
  <w:style w:type="character" w:styleId="IntenseReference">
    <w:name w:val="Intense Reference"/>
    <w:basedOn w:val="DefaultParagraphFont"/>
    <w:uiPriority w:val="32"/>
    <w:qFormat/>
    <w:rsid w:val="00486B72"/>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header" w:uiPriority="99"/>
    <w:lsdException w:name="footer" w:uiPriority="99"/>
    <w:lsdException w:name="caption" w:uiPriority="35" w:qFormat="1"/>
    <w:lsdException w:name="annotation reference" w:uiPriority="99" w:qFormat="1"/>
    <w:lsdException w:name="List Bullet" w:uiPriority="4"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9"/>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semiHidden="0" w:uiPriority="3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E92A8A"/>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har,Caption-FUSA,Bayer Caption Char Char Char Char,Bayer Caption Char,Bayer Caption Char Char Char,Bayer Caption Char Char,Bayer Caption,CSR Caption"/>
    <w:basedOn w:val="Normal"/>
    <w:next w:val="TableHeader"/>
    <w:link w:val="CaptionChar"/>
    <w:uiPriority w:val="35"/>
    <w:unhideWhenUsed/>
    <w:qFormat/>
    <w:rsid w:val="005C7F65"/>
    <w:rPr>
      <w:rFonts w:ascii="Arial Narrow" w:hAnsi="Arial Narrow"/>
      <w:b/>
      <w:bCs/>
      <w:sz w:val="20"/>
      <w:szCs w:val="18"/>
    </w:rPr>
  </w:style>
  <w:style w:type="character" w:customStyle="1" w:styleId="CaptionChar">
    <w:name w:val="Caption Char"/>
    <w:aliases w:val="Char Char,Caption-FUSA Char,Bayer Caption Char Char Char Char Char,Bayer Caption Char Char1,Bayer Caption Char Char Char Char1,Bayer Caption Char Char Char1,Bayer Caption Char1,CSR Caption Char"/>
    <w:link w:val="Caption"/>
    <w:uiPriority w:val="35"/>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E5231E"/>
    <w:pPr>
      <w:tabs>
        <w:tab w:val="left" w:pos="660"/>
        <w:tab w:val="right" w:leader="dot" w:pos="9016"/>
      </w:tabs>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0"/>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1708C"/>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unhideWhenUsed/>
    <w:rsid w:val="00DD49AF"/>
    <w:rPr>
      <w:sz w:val="20"/>
    </w:rPr>
  </w:style>
  <w:style w:type="character" w:customStyle="1" w:styleId="FootnoteTextChar">
    <w:name w:val="Footnote Text Char"/>
    <w:basedOn w:val="DefaultParagraphFont"/>
    <w:link w:val="FootnoteText"/>
    <w:rsid w:val="00DD49AF"/>
    <w:rPr>
      <w:rFonts w:ascii="Arial" w:hAnsi="Arial" w:cs="Arial"/>
      <w:snapToGrid w:val="0"/>
      <w:lang w:eastAsia="en-US"/>
    </w:rPr>
  </w:style>
  <w:style w:type="character" w:styleId="FootnoteReference">
    <w:name w:val="footnote reference"/>
    <w:basedOn w:val="DefaultParagraphFont"/>
    <w:unhideWhenUsed/>
    <w:rsid w:val="00DD49AF"/>
    <w:rPr>
      <w:vertAlign w:val="superscript"/>
    </w:rPr>
  </w:style>
  <w:style w:type="paragraph" w:customStyle="1" w:styleId="EndNoteBibliographyTitle">
    <w:name w:val="EndNote Bibliography Title"/>
    <w:basedOn w:val="Normal"/>
    <w:link w:val="EndNoteBibliographyTitleChar"/>
    <w:rsid w:val="00DD49AF"/>
    <w:pPr>
      <w:jc w:val="center"/>
    </w:pPr>
    <w:rPr>
      <w:rFonts w:ascii="Arial Bold" w:hAnsi="Arial Bold"/>
      <w:noProof/>
      <w:lang w:val="en-US"/>
    </w:rPr>
  </w:style>
  <w:style w:type="character" w:customStyle="1" w:styleId="EndNoteBibliographyTitleChar">
    <w:name w:val="EndNote Bibliography Title Char"/>
    <w:basedOn w:val="DefaultParagraphFont"/>
    <w:link w:val="EndNoteBibliographyTitle"/>
    <w:rsid w:val="00DD49AF"/>
    <w:rPr>
      <w:rFonts w:ascii="Arial Bold" w:hAnsi="Arial Bold" w:cs="Arial"/>
      <w:noProof/>
      <w:snapToGrid w:val="0"/>
      <w:sz w:val="22"/>
      <w:lang w:val="en-US" w:eastAsia="en-US"/>
    </w:rPr>
  </w:style>
  <w:style w:type="paragraph" w:customStyle="1" w:styleId="EndNoteBibliography">
    <w:name w:val="EndNote Bibliography"/>
    <w:basedOn w:val="Normal"/>
    <w:link w:val="EndNoteBibliographyChar"/>
    <w:rsid w:val="00DD49AF"/>
    <w:pPr>
      <w:jc w:val="right"/>
    </w:pPr>
    <w:rPr>
      <w:rFonts w:ascii="Arial Bold" w:hAnsi="Arial Bold"/>
      <w:noProof/>
      <w:lang w:val="en-US"/>
    </w:rPr>
  </w:style>
  <w:style w:type="character" w:customStyle="1" w:styleId="EndNoteBibliographyChar">
    <w:name w:val="EndNote Bibliography Char"/>
    <w:basedOn w:val="DefaultParagraphFont"/>
    <w:link w:val="EndNoteBibliography"/>
    <w:rsid w:val="00DD49AF"/>
    <w:rPr>
      <w:rFonts w:ascii="Arial Bold" w:hAnsi="Arial Bold" w:cs="Arial"/>
      <w:noProof/>
      <w:snapToGrid w:val="0"/>
      <w:sz w:val="22"/>
      <w:lang w:val="en-US" w:eastAsia="en-US"/>
    </w:rPr>
  </w:style>
  <w:style w:type="character" w:styleId="Emphasis">
    <w:name w:val="Emphasis"/>
    <w:basedOn w:val="DefaultParagraphFont"/>
    <w:uiPriority w:val="20"/>
    <w:qFormat/>
    <w:rsid w:val="00547187"/>
    <w:rPr>
      <w:i/>
      <w:iCs/>
    </w:rPr>
  </w:style>
  <w:style w:type="paragraph" w:customStyle="1" w:styleId="p">
    <w:name w:val="p"/>
    <w:basedOn w:val="Normal"/>
    <w:rsid w:val="00547187"/>
    <w:pPr>
      <w:widowControl/>
      <w:spacing w:before="100" w:beforeAutospacing="1" w:after="100" w:afterAutospacing="1"/>
      <w:jc w:val="left"/>
    </w:pPr>
    <w:rPr>
      <w:rFonts w:ascii="Times New Roman" w:hAnsi="Times New Roman" w:cs="Times New Roman"/>
      <w:snapToGrid/>
      <w:sz w:val="24"/>
      <w:szCs w:val="24"/>
      <w:lang w:eastAsia="en-AU"/>
    </w:rPr>
  </w:style>
  <w:style w:type="character" w:styleId="Strong">
    <w:name w:val="Strong"/>
    <w:basedOn w:val="DefaultParagraphFont"/>
    <w:uiPriority w:val="22"/>
    <w:qFormat/>
    <w:rsid w:val="00547187"/>
    <w:rPr>
      <w:b/>
      <w:bCs/>
    </w:rPr>
  </w:style>
  <w:style w:type="paragraph" w:customStyle="1" w:styleId="KMC-Tablecontent">
    <w:name w:val="KMC-Table content"/>
    <w:basedOn w:val="Normal"/>
    <w:link w:val="KMC-TablecontentChar"/>
    <w:qFormat/>
    <w:rsid w:val="00C26D47"/>
    <w:pPr>
      <w:widowControl/>
      <w:spacing w:before="40" w:after="40"/>
      <w:jc w:val="left"/>
    </w:pPr>
    <w:rPr>
      <w:rFonts w:ascii="Arial Narrow" w:hAnsi="Arial Narrow"/>
      <w:snapToGrid/>
      <w:color w:val="000000"/>
      <w:sz w:val="20"/>
      <w:szCs w:val="22"/>
      <w:lang w:val="en-GB"/>
    </w:rPr>
  </w:style>
  <w:style w:type="character" w:customStyle="1" w:styleId="KMC-TablecontentChar">
    <w:name w:val="KMC-Table content Char"/>
    <w:basedOn w:val="DefaultParagraphFont"/>
    <w:link w:val="KMC-Tablecontent"/>
    <w:rsid w:val="00C26D47"/>
    <w:rPr>
      <w:rFonts w:ascii="Arial Narrow" w:hAnsi="Arial Narrow" w:cs="Arial"/>
      <w:color w:val="000000"/>
      <w:szCs w:val="22"/>
      <w:lang w:val="en-GB" w:eastAsia="en-US"/>
    </w:rPr>
  </w:style>
  <w:style w:type="paragraph" w:customStyle="1" w:styleId="KMC-TFNotes">
    <w:name w:val="KMC - TF Notes"/>
    <w:basedOn w:val="Normal"/>
    <w:qFormat/>
    <w:rsid w:val="00A56CF9"/>
    <w:pPr>
      <w:keepNext/>
      <w:keepLines/>
      <w:spacing w:before="45" w:after="240"/>
      <w:contextualSpacing/>
    </w:pPr>
    <w:rPr>
      <w:rFonts w:ascii="Calibri" w:eastAsiaTheme="minorHAnsi" w:hAnsi="Calibri" w:cstheme="minorBidi"/>
      <w:snapToGrid/>
      <w:color w:val="000000" w:themeColor="text1"/>
      <w:sz w:val="16"/>
      <w:szCs w:val="22"/>
    </w:rPr>
  </w:style>
  <w:style w:type="table" w:customStyle="1" w:styleId="StandardTable">
    <w:name w:val="Standard Table"/>
    <w:basedOn w:val="TableNormal"/>
    <w:rsid w:val="00A56CF9"/>
    <w:rPr>
      <w:rFonts w:ascii="Arial" w:hAnsi="Arial"/>
    </w:rPr>
    <w:tblPr>
      <w:tblInd w:w="8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tcMar>
        <w:left w:w="57" w:type="dxa"/>
        <w:right w:w="57" w:type="dxa"/>
      </w:tcMar>
      <w:vAlign w:val="center"/>
    </w:tcPr>
  </w:style>
  <w:style w:type="character" w:customStyle="1" w:styleId="TableHeadingChar">
    <w:name w:val="Table Heading Char"/>
    <w:basedOn w:val="DefaultParagraphFont"/>
    <w:rsid w:val="00836686"/>
    <w:rPr>
      <w:rFonts w:ascii="Arial" w:hAnsi="Arial"/>
      <w:b/>
      <w:noProof w:val="0"/>
      <w:sz w:val="20"/>
      <w:lang w:val="en-AU" w:eastAsia="en-AU" w:bidi="ar-SA"/>
    </w:rPr>
  </w:style>
  <w:style w:type="paragraph" w:customStyle="1" w:styleId="KMC-Tablefootnotes">
    <w:name w:val="KMC - Table footnotes"/>
    <w:basedOn w:val="Normal"/>
    <w:link w:val="KMC-TablefootnotesChar"/>
    <w:rsid w:val="00836686"/>
    <w:pPr>
      <w:widowControl/>
      <w:spacing w:before="40" w:after="40"/>
    </w:pPr>
    <w:rPr>
      <w:rFonts w:ascii="Calibri" w:hAnsi="Calibri" w:cs="TimesNewRomanPSMT"/>
      <w:snapToGrid/>
      <w:sz w:val="16"/>
      <w:szCs w:val="18"/>
    </w:rPr>
  </w:style>
  <w:style w:type="character" w:customStyle="1" w:styleId="KMC-TablefootnotesChar">
    <w:name w:val="KMC - Table footnotes Char"/>
    <w:basedOn w:val="DefaultParagraphFont"/>
    <w:link w:val="KMC-Tablefootnotes"/>
    <w:rsid w:val="00836686"/>
    <w:rPr>
      <w:rFonts w:ascii="Calibri" w:hAnsi="Calibri" w:cs="TimesNewRomanPSMT"/>
      <w:sz w:val="16"/>
      <w:szCs w:val="18"/>
      <w:lang w:eastAsia="en-US"/>
    </w:rPr>
  </w:style>
  <w:style w:type="paragraph" w:customStyle="1" w:styleId="KMC-TableTxt">
    <w:name w:val="KMC-Table Txt"/>
    <w:basedOn w:val="Normal"/>
    <w:link w:val="KMC-TableTxtChar"/>
    <w:qFormat/>
    <w:rsid w:val="00836686"/>
    <w:pPr>
      <w:widowControl/>
      <w:spacing w:before="40" w:after="40"/>
      <w:jc w:val="left"/>
    </w:pPr>
    <w:rPr>
      <w:rFonts w:ascii="Arial Narrow" w:hAnsi="Arial Narrow" w:cs="Times New Roman"/>
      <w:snapToGrid/>
      <w:color w:val="000000"/>
      <w:sz w:val="20"/>
      <w:lang w:eastAsia="en-AU"/>
    </w:rPr>
  </w:style>
  <w:style w:type="character" w:customStyle="1" w:styleId="KMC-TableTxtChar">
    <w:name w:val="KMC-Table Txt Char"/>
    <w:basedOn w:val="DefaultParagraphFont"/>
    <w:link w:val="KMC-TableTxt"/>
    <w:rsid w:val="00836686"/>
    <w:rPr>
      <w:rFonts w:ascii="Arial Narrow" w:hAnsi="Arial Narrow"/>
      <w:color w:val="000000"/>
    </w:rPr>
  </w:style>
  <w:style w:type="paragraph" w:customStyle="1" w:styleId="KMC-Caption">
    <w:name w:val="KMC - Caption"/>
    <w:basedOn w:val="Caption"/>
    <w:link w:val="KMC-CaptionChar"/>
    <w:qFormat/>
    <w:rsid w:val="00836686"/>
    <w:pPr>
      <w:keepNext/>
      <w:widowControl/>
      <w:tabs>
        <w:tab w:val="left" w:pos="567"/>
      </w:tabs>
      <w:spacing w:before="240" w:after="120" w:line="276" w:lineRule="auto"/>
      <w:ind w:left="1191" w:hanging="1191"/>
      <w:contextualSpacing/>
      <w:jc w:val="left"/>
    </w:pPr>
    <w:rPr>
      <w:rFonts w:ascii="Arial Bold" w:hAnsi="Arial Bold" w:cs="Times New Roman"/>
      <w:b w:val="0"/>
      <w:bCs w:val="0"/>
      <w:noProof/>
      <w:snapToGrid/>
      <w:color w:val="000000"/>
      <w:szCs w:val="20"/>
      <w:lang w:eastAsia="en-AU"/>
    </w:rPr>
  </w:style>
  <w:style w:type="character" w:customStyle="1" w:styleId="KMC-CaptionChar">
    <w:name w:val="KMC - Caption Char"/>
    <w:basedOn w:val="DefaultParagraphFont"/>
    <w:link w:val="KMC-Caption"/>
    <w:rsid w:val="00836686"/>
    <w:rPr>
      <w:rFonts w:ascii="Arial Bold" w:hAnsi="Arial Bold"/>
      <w:noProof/>
      <w:color w:val="000000"/>
    </w:rPr>
  </w:style>
  <w:style w:type="character" w:customStyle="1" w:styleId="TableTextChar0">
    <w:name w:val="TableText Char"/>
    <w:basedOn w:val="DefaultParagraphFont"/>
    <w:link w:val="TableText0"/>
    <w:rsid w:val="00047322"/>
    <w:rPr>
      <w:rFonts w:ascii="Arial Narrow" w:hAnsi="Arial Narrow" w:cs="Arial Narrow"/>
      <w:lang w:eastAsia="en-US"/>
    </w:rPr>
  </w:style>
  <w:style w:type="paragraph" w:customStyle="1" w:styleId="KMC-Tablefootnote">
    <w:name w:val="KMC-Table footnote"/>
    <w:basedOn w:val="Normal"/>
    <w:link w:val="KMC-TablefootnoteChar"/>
    <w:qFormat/>
    <w:rsid w:val="00047322"/>
    <w:pPr>
      <w:keepNext/>
      <w:keepLines/>
      <w:autoSpaceDE w:val="0"/>
      <w:autoSpaceDN w:val="0"/>
      <w:adjustRightInd w:val="0"/>
      <w:spacing w:before="40" w:after="40"/>
      <w:jc w:val="left"/>
    </w:pPr>
    <w:rPr>
      <w:rFonts w:ascii="Calibri" w:hAnsi="Calibri" w:cs="Times New Roman"/>
      <w:snapToGrid/>
      <w:sz w:val="16"/>
      <w:szCs w:val="18"/>
      <w:lang w:eastAsia="en-AU"/>
    </w:rPr>
  </w:style>
  <w:style w:type="character" w:customStyle="1" w:styleId="KMC-TablefootnoteChar">
    <w:name w:val="KMC-Table footnote Char"/>
    <w:basedOn w:val="DefaultParagraphFont"/>
    <w:link w:val="KMC-Tablefootnote"/>
    <w:rsid w:val="00047322"/>
    <w:rPr>
      <w:rFonts w:ascii="Calibri" w:hAnsi="Calibri"/>
      <w:sz w:val="16"/>
      <w:szCs w:val="18"/>
    </w:rPr>
  </w:style>
  <w:style w:type="paragraph" w:customStyle="1" w:styleId="KMC-text">
    <w:name w:val="KMC- text"/>
    <w:basedOn w:val="Normal"/>
    <w:link w:val="KMC-textChar"/>
    <w:qFormat/>
    <w:rsid w:val="00577288"/>
    <w:pPr>
      <w:spacing w:before="120" w:after="240" w:line="360" w:lineRule="auto"/>
    </w:pPr>
    <w:rPr>
      <w:rFonts w:cs="Times New Roman"/>
      <w:snapToGrid/>
      <w:color w:val="000000"/>
      <w:szCs w:val="24"/>
      <w:lang w:val="en-GB"/>
    </w:rPr>
  </w:style>
  <w:style w:type="character" w:customStyle="1" w:styleId="KMC-textChar">
    <w:name w:val="KMC- text Char"/>
    <w:basedOn w:val="DefaultParagraphFont"/>
    <w:link w:val="KMC-text"/>
    <w:rsid w:val="00577288"/>
    <w:rPr>
      <w:rFonts w:ascii="Arial" w:hAnsi="Arial"/>
      <w:color w:val="000000"/>
      <w:sz w:val="22"/>
      <w:szCs w:val="24"/>
      <w:lang w:val="en-GB" w:eastAsia="en-US"/>
    </w:rPr>
  </w:style>
  <w:style w:type="paragraph" w:customStyle="1" w:styleId="PBSnormal">
    <w:name w:val="PBS normal"/>
    <w:basedOn w:val="Normal"/>
    <w:link w:val="PBSnormalChar"/>
    <w:qFormat/>
    <w:rsid w:val="00577288"/>
    <w:pPr>
      <w:widowControl/>
      <w:spacing w:before="120" w:after="240" w:line="360" w:lineRule="auto"/>
    </w:pPr>
    <w:rPr>
      <w:snapToGrid/>
      <w:lang w:eastAsia="en-AU"/>
    </w:rPr>
  </w:style>
  <w:style w:type="character" w:customStyle="1" w:styleId="PBSnormalChar">
    <w:name w:val="PBS normal Char"/>
    <w:basedOn w:val="DefaultParagraphFont"/>
    <w:link w:val="PBSnormal"/>
    <w:rsid w:val="00577288"/>
    <w:rPr>
      <w:rFonts w:ascii="Arial" w:hAnsi="Arial" w:cs="Arial"/>
      <w:sz w:val="22"/>
    </w:rPr>
  </w:style>
  <w:style w:type="paragraph" w:customStyle="1" w:styleId="PBSNormal0">
    <w:name w:val="PBS Normal"/>
    <w:basedOn w:val="Normal"/>
    <w:link w:val="PBSNormalChar1"/>
    <w:rsid w:val="00606366"/>
    <w:pPr>
      <w:widowControl/>
      <w:spacing w:before="120" w:after="120" w:line="360" w:lineRule="auto"/>
    </w:pPr>
    <w:rPr>
      <w:rFonts w:cs="Times New Roman"/>
      <w:snapToGrid/>
      <w:color w:val="000000"/>
      <w:lang w:eastAsia="en-AU"/>
    </w:rPr>
  </w:style>
  <w:style w:type="character" w:customStyle="1" w:styleId="PBSNormalChar1">
    <w:name w:val="PBS Normal Char1"/>
    <w:basedOn w:val="DefaultParagraphFont"/>
    <w:link w:val="PBSNormal0"/>
    <w:rsid w:val="00606366"/>
    <w:rPr>
      <w:rFonts w:ascii="Arial" w:hAnsi="Arial"/>
      <w:color w:val="000000"/>
      <w:sz w:val="22"/>
    </w:rPr>
  </w:style>
  <w:style w:type="paragraph" w:customStyle="1" w:styleId="TableBodyText">
    <w:name w:val="Table Body Text"/>
    <w:basedOn w:val="BodyText"/>
    <w:link w:val="TableBodyTextChar"/>
    <w:qFormat/>
    <w:rsid w:val="00D630A3"/>
    <w:pPr>
      <w:spacing w:line="360" w:lineRule="auto"/>
    </w:pPr>
    <w:rPr>
      <w:rFonts w:ascii="Tahoma" w:hAnsi="Tahoma"/>
      <w:snapToGrid/>
      <w:color w:val="000000"/>
      <w:sz w:val="16"/>
      <w:lang w:val="en-GB"/>
    </w:rPr>
  </w:style>
  <w:style w:type="character" w:customStyle="1" w:styleId="TableBodyTextChar">
    <w:name w:val="Table Body Text Char"/>
    <w:basedOn w:val="BodyTextChar"/>
    <w:link w:val="TableBodyText"/>
    <w:rsid w:val="00D630A3"/>
    <w:rPr>
      <w:rFonts w:ascii="Tahoma" w:hAnsi="Tahoma" w:cs="Arial"/>
      <w:snapToGrid/>
      <w:color w:val="000000"/>
      <w:sz w:val="16"/>
      <w:lang w:val="en-GB" w:eastAsia="en-US"/>
    </w:rPr>
  </w:style>
  <w:style w:type="character" w:customStyle="1" w:styleId="StyleArial11pt">
    <w:name w:val="Style Arial 11 pt"/>
    <w:basedOn w:val="DefaultParagraphFont"/>
    <w:rsid w:val="00910600"/>
    <w:rPr>
      <w:rFonts w:ascii="Arial" w:hAnsi="Arial"/>
      <w:sz w:val="22"/>
    </w:rPr>
  </w:style>
  <w:style w:type="paragraph" w:styleId="ListBullet">
    <w:name w:val="List Bullet"/>
    <w:basedOn w:val="Normal"/>
    <w:uiPriority w:val="4"/>
    <w:qFormat/>
    <w:rsid w:val="00910600"/>
    <w:pPr>
      <w:widowControl/>
      <w:numPr>
        <w:numId w:val="18"/>
      </w:numPr>
      <w:spacing w:after="240" w:line="288" w:lineRule="auto"/>
      <w:contextualSpacing/>
    </w:pPr>
    <w:rPr>
      <w:rFonts w:ascii="Calibri" w:eastAsiaTheme="minorEastAsia" w:hAnsi="Calibri" w:cstheme="minorBidi"/>
      <w:snapToGrid/>
      <w:szCs w:val="22"/>
      <w:lang w:val="en-US" w:eastAsia="zh-CN"/>
    </w:rPr>
  </w:style>
  <w:style w:type="paragraph" w:customStyle="1" w:styleId="Tablename0">
    <w:name w:val="Table name"/>
    <w:basedOn w:val="Normal"/>
    <w:link w:val="TablenameChar"/>
    <w:qFormat/>
    <w:rsid w:val="0047402A"/>
    <w:pPr>
      <w:keepNext/>
    </w:pPr>
    <w:rPr>
      <w:rFonts w:ascii="Arial Narrow" w:hAnsi="Arial Narrow"/>
      <w:b/>
      <w:sz w:val="20"/>
    </w:rPr>
  </w:style>
  <w:style w:type="character" w:customStyle="1" w:styleId="TablenameChar">
    <w:name w:val="Table name Char"/>
    <w:basedOn w:val="DefaultParagraphFont"/>
    <w:link w:val="Tablename0"/>
    <w:rsid w:val="0047402A"/>
    <w:rPr>
      <w:rFonts w:ascii="Arial Narrow" w:hAnsi="Arial Narrow" w:cs="Arial"/>
      <w:b/>
      <w:snapToGrid w:val="0"/>
      <w:lang w:eastAsia="en-US"/>
    </w:rPr>
  </w:style>
  <w:style w:type="character" w:customStyle="1" w:styleId="st">
    <w:name w:val="st"/>
    <w:basedOn w:val="DefaultParagraphFont"/>
    <w:rsid w:val="009D4AE8"/>
  </w:style>
  <w:style w:type="character" w:customStyle="1" w:styleId="ListParagraphChar">
    <w:name w:val="List Paragraph Char"/>
    <w:link w:val="ListParagraph"/>
    <w:uiPriority w:val="72"/>
    <w:rsid w:val="00840BC4"/>
    <w:rPr>
      <w:rFonts w:ascii="Arial" w:hAnsi="Arial" w:cs="Arial"/>
      <w:snapToGrid w:val="0"/>
      <w:sz w:val="22"/>
      <w:lang w:eastAsia="en-US"/>
    </w:rPr>
  </w:style>
  <w:style w:type="paragraph" w:styleId="EndnoteText">
    <w:name w:val="endnote text"/>
    <w:basedOn w:val="Normal"/>
    <w:link w:val="EndnoteTextChar"/>
    <w:semiHidden/>
    <w:unhideWhenUsed/>
    <w:rsid w:val="00F07816"/>
    <w:rPr>
      <w:sz w:val="20"/>
    </w:rPr>
  </w:style>
  <w:style w:type="character" w:customStyle="1" w:styleId="EndnoteTextChar">
    <w:name w:val="Endnote Text Char"/>
    <w:basedOn w:val="DefaultParagraphFont"/>
    <w:link w:val="EndnoteText"/>
    <w:semiHidden/>
    <w:rsid w:val="00F07816"/>
    <w:rPr>
      <w:rFonts w:ascii="Arial" w:hAnsi="Arial" w:cs="Arial"/>
      <w:snapToGrid w:val="0"/>
      <w:lang w:eastAsia="en-US"/>
    </w:rPr>
  </w:style>
  <w:style w:type="character" w:styleId="EndnoteReference">
    <w:name w:val="endnote reference"/>
    <w:basedOn w:val="DefaultParagraphFont"/>
    <w:semiHidden/>
    <w:unhideWhenUsed/>
    <w:rsid w:val="00F07816"/>
    <w:rPr>
      <w:vertAlign w:val="superscript"/>
    </w:rPr>
  </w:style>
  <w:style w:type="character" w:styleId="IntenseReference">
    <w:name w:val="Intense Reference"/>
    <w:basedOn w:val="DefaultParagraphFont"/>
    <w:uiPriority w:val="32"/>
    <w:qFormat/>
    <w:rsid w:val="00486B72"/>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58557">
      <w:bodyDiv w:val="1"/>
      <w:marLeft w:val="0"/>
      <w:marRight w:val="0"/>
      <w:marTop w:val="0"/>
      <w:marBottom w:val="0"/>
      <w:divBdr>
        <w:top w:val="none" w:sz="0" w:space="0" w:color="auto"/>
        <w:left w:val="none" w:sz="0" w:space="0" w:color="auto"/>
        <w:bottom w:val="none" w:sz="0" w:space="0" w:color="auto"/>
        <w:right w:val="none" w:sz="0" w:space="0" w:color="auto"/>
      </w:divBdr>
    </w:div>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662612180">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796681456">
      <w:bodyDiv w:val="1"/>
      <w:marLeft w:val="0"/>
      <w:marRight w:val="0"/>
      <w:marTop w:val="0"/>
      <w:marBottom w:val="0"/>
      <w:divBdr>
        <w:top w:val="none" w:sz="0" w:space="0" w:color="auto"/>
        <w:left w:val="none" w:sz="0" w:space="0" w:color="auto"/>
        <w:bottom w:val="none" w:sz="0" w:space="0" w:color="auto"/>
        <w:right w:val="none" w:sz="0" w:space="0" w:color="auto"/>
      </w:divBdr>
    </w:div>
    <w:div w:id="2074813718">
      <w:bodyDiv w:val="1"/>
      <w:marLeft w:val="0"/>
      <w:marRight w:val="0"/>
      <w:marTop w:val="0"/>
      <w:marBottom w:val="0"/>
      <w:divBdr>
        <w:top w:val="none" w:sz="0" w:space="0" w:color="auto"/>
        <w:left w:val="none" w:sz="0" w:space="0" w:color="auto"/>
        <w:bottom w:val="none" w:sz="0" w:space="0" w:color="auto"/>
        <w:right w:val="none" w:sz="0" w:space="0" w:color="auto"/>
      </w:divBdr>
      <w:divsChild>
        <w:div w:id="404684849">
          <w:marLeft w:val="0"/>
          <w:marRight w:val="0"/>
          <w:marTop w:val="0"/>
          <w:marBottom w:val="0"/>
          <w:divBdr>
            <w:top w:val="none" w:sz="0" w:space="0" w:color="auto"/>
            <w:left w:val="none" w:sz="0" w:space="0" w:color="auto"/>
            <w:bottom w:val="none" w:sz="0" w:space="0" w:color="auto"/>
            <w:right w:val="none" w:sz="0" w:space="0" w:color="auto"/>
          </w:divBdr>
        </w:div>
        <w:div w:id="395518367">
          <w:marLeft w:val="0"/>
          <w:marRight w:val="0"/>
          <w:marTop w:val="0"/>
          <w:marBottom w:val="0"/>
          <w:divBdr>
            <w:top w:val="none" w:sz="0" w:space="0" w:color="auto"/>
            <w:left w:val="none" w:sz="0" w:space="0" w:color="auto"/>
            <w:bottom w:val="none" w:sz="0" w:space="0" w:color="auto"/>
            <w:right w:val="none" w:sz="0" w:space="0" w:color="auto"/>
          </w:divBdr>
        </w:div>
        <w:div w:id="1428579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7040</Words>
  <Characters>40483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2016-04-13T04:43:00Z</dcterms:created>
  <dcterms:modified xsi:type="dcterms:W3CDTF">2016-04-13T05:48:00Z</dcterms:modified>
</cp:coreProperties>
</file>