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48F9" w:rsidRPr="008E0299" w:rsidRDefault="00C97348" w:rsidP="008E0299">
      <w:pPr>
        <w:pStyle w:val="Title"/>
        <w:spacing w:before="0" w:after="0"/>
        <w:contextualSpacing/>
        <w:jc w:val="left"/>
        <w:rPr>
          <w:rFonts w:ascii="Arial" w:hAnsi="Arial"/>
          <w:caps/>
          <w:sz w:val="28"/>
          <w:szCs w:val="28"/>
        </w:rPr>
      </w:pPr>
      <w:bookmarkStart w:id="0" w:name="_Toc430012257"/>
      <w:r w:rsidRPr="008E0299">
        <w:rPr>
          <w:rFonts w:ascii="Arial" w:hAnsi="Arial"/>
          <w:caps/>
          <w:sz w:val="28"/>
          <w:szCs w:val="28"/>
        </w:rPr>
        <w:t>5.02</w:t>
      </w:r>
      <w:r w:rsidR="004064B4" w:rsidRPr="008E0299">
        <w:rPr>
          <w:rFonts w:ascii="Arial" w:hAnsi="Arial"/>
          <w:caps/>
          <w:sz w:val="28"/>
          <w:szCs w:val="28"/>
        </w:rPr>
        <w:tab/>
        <w:t>Atazanavir/cobicistat</w:t>
      </w:r>
      <w:r w:rsidR="00DB21DD" w:rsidRPr="008E0299">
        <w:rPr>
          <w:rFonts w:ascii="Arial" w:hAnsi="Arial"/>
          <w:caps/>
          <w:sz w:val="28"/>
          <w:szCs w:val="28"/>
        </w:rPr>
        <w:t xml:space="preserve"> </w:t>
      </w:r>
    </w:p>
    <w:p w:rsidR="00F11D6C" w:rsidRPr="008E0299" w:rsidRDefault="00D47A7E" w:rsidP="008E0299">
      <w:pPr>
        <w:pStyle w:val="Title"/>
        <w:spacing w:before="0" w:after="0"/>
        <w:ind w:left="720"/>
        <w:contextualSpacing/>
        <w:jc w:val="left"/>
        <w:rPr>
          <w:rFonts w:ascii="Arial" w:hAnsi="Arial"/>
          <w:sz w:val="28"/>
          <w:szCs w:val="28"/>
        </w:rPr>
      </w:pPr>
      <w:proofErr w:type="gramStart"/>
      <w:r w:rsidRPr="008E0299">
        <w:rPr>
          <w:rFonts w:ascii="Arial" w:hAnsi="Arial"/>
          <w:sz w:val="28"/>
          <w:szCs w:val="28"/>
        </w:rPr>
        <w:t>fixed</w:t>
      </w:r>
      <w:proofErr w:type="gramEnd"/>
      <w:r w:rsidRPr="008E0299">
        <w:rPr>
          <w:rFonts w:ascii="Arial" w:hAnsi="Arial"/>
          <w:sz w:val="28"/>
          <w:szCs w:val="28"/>
        </w:rPr>
        <w:t xml:space="preserve"> dose</w:t>
      </w:r>
      <w:r w:rsidR="004064B4" w:rsidRPr="008E0299">
        <w:rPr>
          <w:rFonts w:ascii="Arial" w:hAnsi="Arial"/>
          <w:sz w:val="28"/>
          <w:szCs w:val="28"/>
        </w:rPr>
        <w:t xml:space="preserve"> </w:t>
      </w:r>
      <w:r w:rsidRPr="008E0299">
        <w:rPr>
          <w:rFonts w:ascii="Arial" w:hAnsi="Arial"/>
          <w:sz w:val="28"/>
          <w:szCs w:val="28"/>
        </w:rPr>
        <w:t xml:space="preserve">combination </w:t>
      </w:r>
      <w:r w:rsidR="004064B4" w:rsidRPr="008E0299">
        <w:rPr>
          <w:rFonts w:ascii="Arial" w:hAnsi="Arial"/>
          <w:sz w:val="28"/>
          <w:szCs w:val="28"/>
        </w:rPr>
        <w:t>tablet</w:t>
      </w:r>
      <w:r w:rsidR="00042CFE" w:rsidRPr="008E0299">
        <w:rPr>
          <w:rFonts w:ascii="Arial" w:hAnsi="Arial"/>
          <w:sz w:val="28"/>
          <w:szCs w:val="28"/>
        </w:rPr>
        <w:t>s</w:t>
      </w:r>
      <w:r w:rsidR="00682128" w:rsidRPr="008E0299">
        <w:rPr>
          <w:rFonts w:ascii="Arial" w:hAnsi="Arial"/>
          <w:sz w:val="28"/>
          <w:szCs w:val="28"/>
        </w:rPr>
        <w:t>,</w:t>
      </w:r>
      <w:r w:rsidR="00496F7E" w:rsidRPr="008E0299">
        <w:rPr>
          <w:rFonts w:ascii="Arial" w:hAnsi="Arial"/>
          <w:sz w:val="28"/>
          <w:szCs w:val="28"/>
        </w:rPr>
        <w:t xml:space="preserve"> </w:t>
      </w:r>
      <w:r w:rsidR="004064B4" w:rsidRPr="008E0299">
        <w:rPr>
          <w:rFonts w:ascii="Arial" w:hAnsi="Arial"/>
          <w:sz w:val="28"/>
          <w:szCs w:val="28"/>
        </w:rPr>
        <w:t>atazanavir 300 mg + cobicistat 150 mg</w:t>
      </w:r>
    </w:p>
    <w:p w:rsidR="004064B4" w:rsidRPr="008E0299" w:rsidRDefault="004064B4" w:rsidP="008E0299">
      <w:pPr>
        <w:pStyle w:val="Title"/>
        <w:spacing w:before="0" w:after="0"/>
        <w:ind w:firstLine="720"/>
        <w:contextualSpacing/>
        <w:jc w:val="left"/>
        <w:rPr>
          <w:rFonts w:ascii="Arial" w:hAnsi="Arial"/>
          <w:sz w:val="28"/>
          <w:szCs w:val="28"/>
        </w:rPr>
      </w:pPr>
      <w:proofErr w:type="gramStart"/>
      <w:r w:rsidRPr="008E0299">
        <w:rPr>
          <w:rFonts w:ascii="Arial" w:hAnsi="Arial"/>
          <w:sz w:val="28"/>
          <w:szCs w:val="28"/>
        </w:rPr>
        <w:t>Evotaz ®, Bristol Myers Squibb Pty Ltd</w:t>
      </w:r>
      <w:r w:rsidR="00042CFE" w:rsidRPr="008E0299">
        <w:rPr>
          <w:rFonts w:ascii="Arial" w:hAnsi="Arial"/>
          <w:sz w:val="28"/>
          <w:szCs w:val="28"/>
        </w:rPr>
        <w:t>.</w:t>
      </w:r>
      <w:bookmarkEnd w:id="0"/>
      <w:proofErr w:type="gramEnd"/>
    </w:p>
    <w:p w:rsidR="0050744D" w:rsidRPr="008E0299" w:rsidRDefault="0050744D" w:rsidP="008E0299">
      <w:bookmarkStart w:id="1" w:name="_Toc430012259"/>
    </w:p>
    <w:p w:rsidR="004064B4" w:rsidRPr="00F93681" w:rsidRDefault="004064B4" w:rsidP="0050744D">
      <w:pPr>
        <w:pStyle w:val="PBACHeading1"/>
      </w:pPr>
      <w:r w:rsidRPr="0067024F">
        <w:t>Purpose of Application</w:t>
      </w:r>
      <w:bookmarkEnd w:id="1"/>
    </w:p>
    <w:p w:rsidR="004064B4" w:rsidRPr="00F93681" w:rsidRDefault="004064B4" w:rsidP="004064B4">
      <w:pPr>
        <w:rPr>
          <w:szCs w:val="22"/>
        </w:rPr>
      </w:pPr>
    </w:p>
    <w:p w:rsidR="004064B4" w:rsidRPr="00F93681" w:rsidRDefault="004064B4" w:rsidP="009F088A">
      <w:pPr>
        <w:pStyle w:val="ListParagraph"/>
        <w:widowControl/>
        <w:numPr>
          <w:ilvl w:val="1"/>
          <w:numId w:val="5"/>
        </w:numPr>
        <w:rPr>
          <w:szCs w:val="22"/>
        </w:rPr>
      </w:pPr>
      <w:r w:rsidRPr="00F93681">
        <w:t xml:space="preserve">Section 100, Authority </w:t>
      </w:r>
      <w:r w:rsidR="00005FE7" w:rsidRPr="00F93681">
        <w:t>r</w:t>
      </w:r>
      <w:r w:rsidRPr="00F93681">
        <w:t xml:space="preserve">equired listing for atazanavir/cobicistat </w:t>
      </w:r>
      <w:r w:rsidR="00896B08" w:rsidRPr="00F93681">
        <w:t>fixed-dose combination (</w:t>
      </w:r>
      <w:r w:rsidRPr="00F93681">
        <w:t>FDC</w:t>
      </w:r>
      <w:r w:rsidR="00896B08" w:rsidRPr="00F93681">
        <w:t>)</w:t>
      </w:r>
      <w:r w:rsidRPr="00F93681">
        <w:t xml:space="preserve"> for the treatment of </w:t>
      </w:r>
      <w:r w:rsidR="00896B08" w:rsidRPr="00F93681">
        <w:t>human immunodeficiency virus, type 1 (</w:t>
      </w:r>
      <w:r w:rsidRPr="00F93681">
        <w:t>HIV-1</w:t>
      </w:r>
      <w:r w:rsidR="00896B08" w:rsidRPr="00F93681">
        <w:t>)</w:t>
      </w:r>
      <w:r w:rsidRPr="00F93681">
        <w:t xml:space="preserve"> infection.</w:t>
      </w:r>
    </w:p>
    <w:p w:rsidR="004064B4" w:rsidRPr="00F93681" w:rsidRDefault="004064B4" w:rsidP="004064B4"/>
    <w:p w:rsidR="00496F7E" w:rsidRPr="00F93681" w:rsidRDefault="00496F7E" w:rsidP="004064B4"/>
    <w:p w:rsidR="004064B4" w:rsidRPr="00F93681" w:rsidRDefault="004064B4" w:rsidP="004064B4">
      <w:pPr>
        <w:pStyle w:val="PBACHeading1"/>
      </w:pPr>
      <w:bookmarkStart w:id="2" w:name="_Toc430012260"/>
      <w:r w:rsidRPr="00F93681">
        <w:t>Requested listing</w:t>
      </w:r>
      <w:bookmarkEnd w:id="2"/>
    </w:p>
    <w:p w:rsidR="004064B4" w:rsidRPr="00F93681" w:rsidRDefault="004064B4" w:rsidP="004064B4"/>
    <w:p w:rsidR="004064B4" w:rsidRPr="00F93681" w:rsidRDefault="004E1419" w:rsidP="009F088A">
      <w:pPr>
        <w:pStyle w:val="ListParagraph"/>
        <w:widowControl/>
        <w:numPr>
          <w:ilvl w:val="1"/>
          <w:numId w:val="5"/>
        </w:numPr>
        <w:rPr>
          <w:szCs w:val="22"/>
        </w:rPr>
      </w:pPr>
      <w:r w:rsidRPr="00F93681">
        <w:rPr>
          <w:szCs w:val="22"/>
        </w:rPr>
        <w:t xml:space="preserve">The wording of </w:t>
      </w:r>
      <w:r w:rsidR="00622F97" w:rsidRPr="00F93681">
        <w:rPr>
          <w:szCs w:val="22"/>
        </w:rPr>
        <w:t xml:space="preserve">clinical criteria in the </w:t>
      </w:r>
      <w:r w:rsidRPr="00F93681">
        <w:rPr>
          <w:szCs w:val="22"/>
        </w:rPr>
        <w:t xml:space="preserve">requested listing was the same as </w:t>
      </w:r>
      <w:r w:rsidR="00936C18" w:rsidRPr="00F93681">
        <w:rPr>
          <w:szCs w:val="22"/>
        </w:rPr>
        <w:t>in the PBS listing of</w:t>
      </w:r>
      <w:r w:rsidR="00E975E1" w:rsidRPr="00F93681">
        <w:rPr>
          <w:szCs w:val="22"/>
        </w:rPr>
        <w:t xml:space="preserve"> atazanavir 300 </w:t>
      </w:r>
      <w:r w:rsidRPr="00F93681">
        <w:rPr>
          <w:szCs w:val="22"/>
        </w:rPr>
        <w:t>mg.</w:t>
      </w:r>
    </w:p>
    <w:p w:rsidR="00F538B6" w:rsidRDefault="00F538B6">
      <w:pPr>
        <w:widowControl/>
        <w:jc w:val="left"/>
      </w:pPr>
    </w:p>
    <w:tbl>
      <w:tblPr>
        <w:tblW w:w="4604" w:type="pct"/>
        <w:tblInd w:w="737" w:type="dxa"/>
        <w:tblCellMar>
          <w:left w:w="28" w:type="dxa"/>
          <w:right w:w="28" w:type="dxa"/>
        </w:tblCellMar>
        <w:tblLook w:val="0000" w:firstRow="0" w:lastRow="0" w:firstColumn="0" w:lastColumn="0" w:noHBand="0" w:noVBand="0"/>
        <w:tblCaption w:val="Requested PBS restriction"/>
      </w:tblPr>
      <w:tblGrid>
        <w:gridCol w:w="1995"/>
        <w:gridCol w:w="1040"/>
        <w:gridCol w:w="621"/>
        <w:gridCol w:w="845"/>
        <w:gridCol w:w="1765"/>
        <w:gridCol w:w="679"/>
        <w:gridCol w:w="1418"/>
      </w:tblGrid>
      <w:tr w:rsidR="004064B4" w:rsidRPr="00F93681" w:rsidTr="00F538B6">
        <w:trPr>
          <w:cantSplit/>
          <w:trHeight w:val="463"/>
        </w:trPr>
        <w:tc>
          <w:tcPr>
            <w:tcW w:w="1815" w:type="pct"/>
            <w:gridSpan w:val="2"/>
            <w:tcBorders>
              <w:bottom w:val="single" w:sz="4" w:space="0" w:color="auto"/>
            </w:tcBorders>
            <w:vAlign w:val="center"/>
          </w:tcPr>
          <w:p w:rsidR="004064B4" w:rsidRPr="00F93681" w:rsidRDefault="004064B4" w:rsidP="0071685F">
            <w:pPr>
              <w:keepNext/>
              <w:jc w:val="left"/>
              <w:rPr>
                <w:rFonts w:ascii="Arial Narrow" w:hAnsi="Arial Narrow"/>
                <w:sz w:val="20"/>
              </w:rPr>
            </w:pPr>
            <w:r w:rsidRPr="00F93681">
              <w:rPr>
                <w:rFonts w:ascii="Arial Narrow" w:hAnsi="Arial Narrow"/>
                <w:sz w:val="20"/>
              </w:rPr>
              <w:t>Name, Restriction,</w:t>
            </w:r>
          </w:p>
          <w:p w:rsidR="004064B4" w:rsidRPr="00F93681" w:rsidRDefault="004064B4" w:rsidP="0071685F">
            <w:pPr>
              <w:keepNext/>
              <w:jc w:val="left"/>
              <w:rPr>
                <w:rFonts w:ascii="Arial Narrow" w:hAnsi="Arial Narrow"/>
                <w:sz w:val="20"/>
              </w:rPr>
            </w:pPr>
            <w:r w:rsidRPr="00F93681">
              <w:rPr>
                <w:rFonts w:ascii="Arial Narrow" w:hAnsi="Arial Narrow"/>
                <w:sz w:val="20"/>
              </w:rPr>
              <w:t>Manner of administration and form</w:t>
            </w:r>
          </w:p>
        </w:tc>
        <w:tc>
          <w:tcPr>
            <w:tcW w:w="371" w:type="pct"/>
            <w:tcBorders>
              <w:bottom w:val="single" w:sz="4" w:space="0" w:color="auto"/>
            </w:tcBorders>
            <w:vAlign w:val="center"/>
          </w:tcPr>
          <w:p w:rsidR="004064B4" w:rsidRPr="00F93681" w:rsidRDefault="004064B4" w:rsidP="0071685F">
            <w:pPr>
              <w:keepNext/>
              <w:jc w:val="center"/>
              <w:rPr>
                <w:rFonts w:ascii="Arial Narrow" w:hAnsi="Arial Narrow"/>
                <w:sz w:val="20"/>
              </w:rPr>
            </w:pPr>
            <w:r w:rsidRPr="00F93681">
              <w:rPr>
                <w:rFonts w:ascii="Arial Narrow" w:hAnsi="Arial Narrow"/>
                <w:sz w:val="20"/>
              </w:rPr>
              <w:t>Max.</w:t>
            </w:r>
          </w:p>
          <w:p w:rsidR="004064B4" w:rsidRPr="00F93681" w:rsidRDefault="004064B4" w:rsidP="0071685F">
            <w:pPr>
              <w:keepNext/>
              <w:jc w:val="center"/>
              <w:rPr>
                <w:rFonts w:ascii="Arial Narrow" w:hAnsi="Arial Narrow"/>
                <w:sz w:val="20"/>
              </w:rPr>
            </w:pPr>
            <w:proofErr w:type="spellStart"/>
            <w:r w:rsidRPr="00F93681">
              <w:rPr>
                <w:rFonts w:ascii="Arial Narrow" w:hAnsi="Arial Narrow"/>
                <w:sz w:val="20"/>
              </w:rPr>
              <w:t>Qty</w:t>
            </w:r>
            <w:proofErr w:type="spellEnd"/>
          </w:p>
        </w:tc>
        <w:tc>
          <w:tcPr>
            <w:tcW w:w="505" w:type="pct"/>
            <w:tcBorders>
              <w:bottom w:val="single" w:sz="4" w:space="0" w:color="auto"/>
            </w:tcBorders>
            <w:vAlign w:val="center"/>
          </w:tcPr>
          <w:p w:rsidR="004064B4" w:rsidRPr="00F93681" w:rsidRDefault="004064B4" w:rsidP="0071685F">
            <w:pPr>
              <w:keepNext/>
              <w:jc w:val="center"/>
              <w:rPr>
                <w:rFonts w:ascii="Arial Narrow" w:hAnsi="Arial Narrow"/>
                <w:sz w:val="20"/>
              </w:rPr>
            </w:pPr>
            <w:r w:rsidRPr="00F93681">
              <w:rPr>
                <w:rFonts w:ascii="Arial Narrow" w:hAnsi="Arial Narrow"/>
                <w:sz w:val="20"/>
              </w:rPr>
              <w:t>№.of</w:t>
            </w:r>
          </w:p>
          <w:p w:rsidR="004064B4" w:rsidRPr="00F93681" w:rsidRDefault="004064B4" w:rsidP="0071685F">
            <w:pPr>
              <w:keepNext/>
              <w:jc w:val="center"/>
              <w:rPr>
                <w:rFonts w:ascii="Arial Narrow" w:hAnsi="Arial Narrow"/>
                <w:sz w:val="20"/>
              </w:rPr>
            </w:pPr>
            <w:r w:rsidRPr="00F93681">
              <w:rPr>
                <w:rFonts w:ascii="Arial Narrow" w:hAnsi="Arial Narrow"/>
                <w:sz w:val="20"/>
              </w:rPr>
              <w:t>Rpts</w:t>
            </w:r>
          </w:p>
        </w:tc>
        <w:tc>
          <w:tcPr>
            <w:tcW w:w="1055" w:type="pct"/>
            <w:tcBorders>
              <w:bottom w:val="single" w:sz="4" w:space="0" w:color="auto"/>
            </w:tcBorders>
            <w:vAlign w:val="center"/>
          </w:tcPr>
          <w:p w:rsidR="004064B4" w:rsidRPr="00F93681" w:rsidRDefault="004064B4" w:rsidP="0071685F">
            <w:pPr>
              <w:keepNext/>
              <w:jc w:val="center"/>
              <w:rPr>
                <w:rFonts w:ascii="Arial Narrow" w:hAnsi="Arial Narrow"/>
                <w:sz w:val="20"/>
              </w:rPr>
            </w:pPr>
            <w:r w:rsidRPr="00F93681">
              <w:rPr>
                <w:rFonts w:ascii="Arial Narrow" w:hAnsi="Arial Narrow"/>
                <w:sz w:val="20"/>
              </w:rPr>
              <w:t xml:space="preserve">Dispensed Price for Max. </w:t>
            </w:r>
            <w:proofErr w:type="spellStart"/>
            <w:r w:rsidRPr="00F93681">
              <w:rPr>
                <w:rFonts w:ascii="Arial Narrow" w:hAnsi="Arial Narrow"/>
                <w:sz w:val="20"/>
              </w:rPr>
              <w:t>Qty</w:t>
            </w:r>
            <w:proofErr w:type="spellEnd"/>
          </w:p>
        </w:tc>
        <w:tc>
          <w:tcPr>
            <w:tcW w:w="1256" w:type="pct"/>
            <w:gridSpan w:val="2"/>
            <w:tcBorders>
              <w:bottom w:val="single" w:sz="4" w:space="0" w:color="auto"/>
            </w:tcBorders>
            <w:vAlign w:val="center"/>
          </w:tcPr>
          <w:p w:rsidR="004064B4" w:rsidRPr="00F93681" w:rsidRDefault="004064B4" w:rsidP="0071685F">
            <w:pPr>
              <w:keepNext/>
              <w:jc w:val="center"/>
              <w:rPr>
                <w:rFonts w:ascii="Arial Narrow" w:hAnsi="Arial Narrow"/>
                <w:sz w:val="20"/>
              </w:rPr>
            </w:pPr>
            <w:r w:rsidRPr="00F93681">
              <w:rPr>
                <w:rFonts w:ascii="Arial Narrow" w:hAnsi="Arial Narrow"/>
                <w:sz w:val="20"/>
              </w:rPr>
              <w:t>Proprietary Name and Manufacturer</w:t>
            </w:r>
          </w:p>
        </w:tc>
      </w:tr>
      <w:tr w:rsidR="004064B4" w:rsidRPr="00F93681" w:rsidTr="00F538B6">
        <w:trPr>
          <w:cantSplit/>
          <w:trHeight w:val="567"/>
        </w:trPr>
        <w:tc>
          <w:tcPr>
            <w:tcW w:w="1815" w:type="pct"/>
            <w:gridSpan w:val="2"/>
          </w:tcPr>
          <w:p w:rsidR="004064B4" w:rsidRPr="00F93681" w:rsidRDefault="004064B4" w:rsidP="00AE4A64">
            <w:pPr>
              <w:keepNext/>
              <w:jc w:val="left"/>
              <w:rPr>
                <w:rFonts w:ascii="Arial Narrow" w:hAnsi="Arial Narrow"/>
                <w:sz w:val="20"/>
              </w:rPr>
            </w:pPr>
            <w:r w:rsidRPr="0067024F">
              <w:rPr>
                <w:rFonts w:ascii="Arial Narrow" w:hAnsi="Arial Narrow"/>
                <w:smallCaps/>
                <w:sz w:val="20"/>
              </w:rPr>
              <w:t>ATAZANAVIR 300 MG/ COBICISTAT 150 MG FIXED DOSE COMBINATION</w:t>
            </w:r>
          </w:p>
          <w:p w:rsidR="004064B4" w:rsidRPr="00F93681" w:rsidRDefault="004064B4" w:rsidP="00AE4A64">
            <w:pPr>
              <w:keepNext/>
              <w:jc w:val="left"/>
              <w:rPr>
                <w:rFonts w:ascii="Arial Narrow" w:hAnsi="Arial Narrow"/>
                <w:sz w:val="20"/>
              </w:rPr>
            </w:pPr>
            <w:r w:rsidRPr="00F93681">
              <w:rPr>
                <w:rFonts w:ascii="Arial Narrow" w:hAnsi="Arial Narrow"/>
                <w:sz w:val="20"/>
              </w:rPr>
              <w:t>Oral tablet (30)</w:t>
            </w:r>
          </w:p>
        </w:tc>
        <w:tc>
          <w:tcPr>
            <w:tcW w:w="371" w:type="pct"/>
            <w:vAlign w:val="center"/>
          </w:tcPr>
          <w:p w:rsidR="004064B4" w:rsidRPr="00F93681" w:rsidRDefault="004064B4" w:rsidP="00E75AB6">
            <w:pPr>
              <w:keepNext/>
              <w:jc w:val="center"/>
              <w:rPr>
                <w:rFonts w:ascii="Arial Narrow" w:hAnsi="Arial Narrow"/>
                <w:sz w:val="20"/>
              </w:rPr>
            </w:pPr>
            <w:r w:rsidRPr="00F93681">
              <w:rPr>
                <w:rFonts w:ascii="Arial Narrow" w:hAnsi="Arial Narrow"/>
                <w:sz w:val="20"/>
              </w:rPr>
              <w:t>2</w:t>
            </w:r>
          </w:p>
        </w:tc>
        <w:tc>
          <w:tcPr>
            <w:tcW w:w="505" w:type="pct"/>
            <w:vAlign w:val="center"/>
          </w:tcPr>
          <w:p w:rsidR="004064B4" w:rsidRPr="00F93681" w:rsidRDefault="00D979B7" w:rsidP="00E75AB6">
            <w:pPr>
              <w:keepNext/>
              <w:jc w:val="center"/>
              <w:rPr>
                <w:rFonts w:ascii="Arial Narrow" w:hAnsi="Arial Narrow"/>
                <w:i/>
                <w:sz w:val="20"/>
              </w:rPr>
            </w:pPr>
            <w:r w:rsidRPr="00F93681">
              <w:rPr>
                <w:rFonts w:ascii="Arial Narrow" w:hAnsi="Arial Narrow"/>
                <w:i/>
                <w:sz w:val="20"/>
              </w:rPr>
              <w:t>Not specified</w:t>
            </w:r>
          </w:p>
        </w:tc>
        <w:tc>
          <w:tcPr>
            <w:tcW w:w="1055" w:type="pct"/>
            <w:vAlign w:val="center"/>
          </w:tcPr>
          <w:p w:rsidR="00E75AB6" w:rsidRPr="00F93681" w:rsidRDefault="004064B4" w:rsidP="00E75AB6">
            <w:pPr>
              <w:keepNext/>
              <w:jc w:val="center"/>
              <w:rPr>
                <w:rFonts w:ascii="Arial Narrow" w:hAnsi="Arial Narrow"/>
                <w:sz w:val="20"/>
              </w:rPr>
            </w:pPr>
            <w:r w:rsidRPr="00F93681">
              <w:rPr>
                <w:rFonts w:ascii="Arial Narrow" w:hAnsi="Arial Narrow"/>
                <w:i/>
                <w:sz w:val="20"/>
              </w:rPr>
              <w:t>$</w:t>
            </w:r>
            <w:r w:rsidR="007E060C">
              <w:rPr>
                <w:rFonts w:ascii="Arial Narrow" w:hAnsi="Arial Narrow"/>
                <w:i/>
                <w:noProof/>
                <w:color w:val="000000"/>
                <w:sz w:val="20"/>
                <w:highlight w:val="black"/>
              </w:rPr>
              <w:t>''''''''''''''''''''</w:t>
            </w:r>
          </w:p>
          <w:p w:rsidR="004064B4" w:rsidRPr="00F93681" w:rsidRDefault="004064B4" w:rsidP="00E75AB6">
            <w:pPr>
              <w:keepNext/>
              <w:jc w:val="center"/>
              <w:rPr>
                <w:rFonts w:ascii="Arial Narrow" w:hAnsi="Arial Narrow"/>
                <w:sz w:val="20"/>
              </w:rPr>
            </w:pPr>
            <w:r w:rsidRPr="00F93681">
              <w:rPr>
                <w:rFonts w:ascii="Arial Narrow" w:hAnsi="Arial Narrow"/>
                <w:sz w:val="20"/>
              </w:rPr>
              <w:t>(</w:t>
            </w:r>
            <w:r w:rsidR="002279A0" w:rsidRPr="00F93681">
              <w:rPr>
                <w:rFonts w:ascii="Arial Narrow" w:hAnsi="Arial Narrow"/>
                <w:i/>
                <w:sz w:val="20"/>
              </w:rPr>
              <w:t>Community</w:t>
            </w:r>
            <w:r w:rsidR="00426697" w:rsidRPr="00F93681">
              <w:rPr>
                <w:rFonts w:ascii="Arial Narrow" w:hAnsi="Arial Narrow"/>
                <w:i/>
                <w:sz w:val="20"/>
              </w:rPr>
              <w:t xml:space="preserve"> Access</w:t>
            </w:r>
            <w:r w:rsidRPr="00F93681">
              <w:rPr>
                <w:rFonts w:ascii="Arial Narrow" w:hAnsi="Arial Narrow"/>
                <w:sz w:val="20"/>
              </w:rPr>
              <w:t>)</w:t>
            </w:r>
          </w:p>
        </w:tc>
        <w:tc>
          <w:tcPr>
            <w:tcW w:w="406" w:type="pct"/>
            <w:vAlign w:val="center"/>
          </w:tcPr>
          <w:p w:rsidR="004064B4" w:rsidRPr="00F93681" w:rsidRDefault="00E75AB6" w:rsidP="00E75AB6">
            <w:pPr>
              <w:keepNext/>
              <w:jc w:val="center"/>
              <w:rPr>
                <w:rFonts w:ascii="Arial Narrow" w:hAnsi="Arial Narrow"/>
                <w:sz w:val="20"/>
              </w:rPr>
            </w:pPr>
            <w:r w:rsidRPr="00F93681">
              <w:rPr>
                <w:rFonts w:ascii="Arial Narrow" w:hAnsi="Arial Narrow"/>
                <w:sz w:val="20"/>
              </w:rPr>
              <w:t>Evotaz®</w:t>
            </w:r>
          </w:p>
        </w:tc>
        <w:tc>
          <w:tcPr>
            <w:tcW w:w="850" w:type="pct"/>
            <w:vAlign w:val="center"/>
          </w:tcPr>
          <w:p w:rsidR="004064B4" w:rsidRPr="00F93681" w:rsidRDefault="004064B4" w:rsidP="00E75AB6">
            <w:pPr>
              <w:keepNext/>
              <w:jc w:val="center"/>
              <w:rPr>
                <w:rFonts w:ascii="Arial Narrow" w:hAnsi="Arial Narrow"/>
                <w:sz w:val="20"/>
              </w:rPr>
            </w:pPr>
            <w:r w:rsidRPr="00F93681">
              <w:rPr>
                <w:rFonts w:ascii="Arial Narrow" w:hAnsi="Arial Narrow"/>
                <w:sz w:val="20"/>
              </w:rPr>
              <w:t>Bristol Myers Squibb Pty Ltd</w:t>
            </w:r>
          </w:p>
        </w:tc>
      </w:tr>
      <w:tr w:rsidR="00AE4A64" w:rsidRPr="00F93681" w:rsidTr="00F538B6">
        <w:trPr>
          <w:cantSplit/>
          <w:trHeight w:val="113"/>
        </w:trPr>
        <w:tc>
          <w:tcPr>
            <w:tcW w:w="1193" w:type="pct"/>
            <w:tcBorders>
              <w:right w:val="single" w:sz="4" w:space="0" w:color="auto"/>
            </w:tcBorders>
            <w:vAlign w:val="center"/>
          </w:tcPr>
          <w:p w:rsidR="00AE4A64" w:rsidRPr="00F93681" w:rsidRDefault="00AE4A64" w:rsidP="00AE4A64">
            <w:pPr>
              <w:jc w:val="left"/>
              <w:rPr>
                <w:rFonts w:ascii="Arial Narrow" w:hAnsi="Arial Narrow"/>
                <w:sz w:val="20"/>
              </w:rPr>
            </w:pPr>
            <w:r w:rsidRPr="00F93681">
              <w:rPr>
                <w:rFonts w:ascii="Arial Narrow" w:hAnsi="Arial Narrow"/>
                <w:sz w:val="20"/>
              </w:rPr>
              <w:t>Restriction type</w:t>
            </w:r>
          </w:p>
        </w:tc>
        <w:tc>
          <w:tcPr>
            <w:tcW w:w="3807" w:type="pct"/>
            <w:gridSpan w:val="6"/>
            <w:tcBorders>
              <w:left w:val="single" w:sz="4" w:space="0" w:color="auto"/>
            </w:tcBorders>
          </w:tcPr>
          <w:p w:rsidR="00042CFE" w:rsidRPr="00F93681" w:rsidRDefault="00042CFE" w:rsidP="00AE4A64">
            <w:pPr>
              <w:rPr>
                <w:rFonts w:ascii="Arial Narrow" w:hAnsi="Arial Narrow"/>
                <w:sz w:val="20"/>
              </w:rPr>
            </w:pPr>
          </w:p>
          <w:p w:rsidR="00AE4A64" w:rsidRPr="00F93681" w:rsidRDefault="00AE4A64" w:rsidP="00AE4A64">
            <w:pPr>
              <w:rPr>
                <w:rFonts w:ascii="Arial Narrow" w:hAnsi="Arial Narrow"/>
                <w:sz w:val="20"/>
              </w:rPr>
            </w:pPr>
            <w:r w:rsidRPr="00F93681">
              <w:rPr>
                <w:rFonts w:ascii="Arial Narrow" w:hAnsi="Arial Narrow"/>
                <w:sz w:val="20"/>
              </w:rPr>
              <w:t xml:space="preserve">S100 HSD Public: Authority Required (STREAMLINED) </w:t>
            </w:r>
          </w:p>
          <w:p w:rsidR="00AE4A64" w:rsidRPr="00F93681" w:rsidRDefault="00AE4A64" w:rsidP="00AE4A64">
            <w:pPr>
              <w:rPr>
                <w:rFonts w:ascii="Arial Narrow" w:hAnsi="Arial Narrow"/>
                <w:sz w:val="20"/>
              </w:rPr>
            </w:pPr>
            <w:r w:rsidRPr="00F93681">
              <w:rPr>
                <w:rFonts w:ascii="Arial Narrow" w:hAnsi="Arial Narrow"/>
                <w:sz w:val="20"/>
              </w:rPr>
              <w:t>S100 HSD Private: Authority Required  (STREAMLINED)</w:t>
            </w:r>
          </w:p>
          <w:p w:rsidR="00E75AB6" w:rsidRPr="00F93681" w:rsidRDefault="00E75AB6" w:rsidP="00AE4A64">
            <w:pPr>
              <w:rPr>
                <w:rFonts w:ascii="Arial Narrow" w:hAnsi="Arial Narrow"/>
                <w:sz w:val="20"/>
              </w:rPr>
            </w:pPr>
            <w:r w:rsidRPr="00F93681">
              <w:rPr>
                <w:rFonts w:ascii="Arial Narrow" w:hAnsi="Arial Narrow"/>
                <w:i/>
                <w:sz w:val="20"/>
              </w:rPr>
              <w:t>S100 HSD Community Access, Authority Required (STREAMLINED)</w:t>
            </w:r>
          </w:p>
        </w:tc>
      </w:tr>
      <w:tr w:rsidR="00AE4A64" w:rsidRPr="00F93681" w:rsidTr="00F538B6">
        <w:trPr>
          <w:cantSplit/>
          <w:trHeight w:val="113"/>
        </w:trPr>
        <w:tc>
          <w:tcPr>
            <w:tcW w:w="1193" w:type="pct"/>
            <w:tcBorders>
              <w:right w:val="single" w:sz="4" w:space="0" w:color="auto"/>
            </w:tcBorders>
            <w:vAlign w:val="center"/>
          </w:tcPr>
          <w:p w:rsidR="004C0C31" w:rsidRPr="00F93681" w:rsidRDefault="004C0C31" w:rsidP="00AE4A64">
            <w:pPr>
              <w:jc w:val="left"/>
              <w:rPr>
                <w:rFonts w:ascii="Arial Narrow" w:hAnsi="Arial Narrow"/>
                <w:sz w:val="20"/>
              </w:rPr>
            </w:pPr>
          </w:p>
          <w:p w:rsidR="00AE4A64" w:rsidRPr="00F93681" w:rsidRDefault="00AE4A64" w:rsidP="00AE4A64">
            <w:pPr>
              <w:jc w:val="left"/>
              <w:rPr>
                <w:rFonts w:ascii="Arial Narrow" w:hAnsi="Arial Narrow"/>
                <w:sz w:val="20"/>
              </w:rPr>
            </w:pPr>
            <w:r w:rsidRPr="00F93681">
              <w:rPr>
                <w:rFonts w:ascii="Arial Narrow" w:hAnsi="Arial Narrow"/>
                <w:sz w:val="20"/>
              </w:rPr>
              <w:t>Condition/indication</w:t>
            </w:r>
          </w:p>
        </w:tc>
        <w:tc>
          <w:tcPr>
            <w:tcW w:w="3807" w:type="pct"/>
            <w:gridSpan w:val="6"/>
            <w:tcBorders>
              <w:left w:val="single" w:sz="4" w:space="0" w:color="auto"/>
            </w:tcBorders>
          </w:tcPr>
          <w:p w:rsidR="004C0C31" w:rsidRPr="00F93681" w:rsidRDefault="004C0C31" w:rsidP="00AE4A64">
            <w:pPr>
              <w:rPr>
                <w:rFonts w:ascii="Arial Narrow" w:hAnsi="Arial Narrow"/>
                <w:sz w:val="20"/>
              </w:rPr>
            </w:pPr>
          </w:p>
          <w:p w:rsidR="00AE4A64" w:rsidRPr="00F93681" w:rsidRDefault="00AE4A64" w:rsidP="00AE4A64">
            <w:pPr>
              <w:rPr>
                <w:rFonts w:ascii="Arial Narrow" w:hAnsi="Arial Narrow"/>
                <w:sz w:val="20"/>
              </w:rPr>
            </w:pPr>
            <w:r w:rsidRPr="00F93681">
              <w:rPr>
                <w:rFonts w:ascii="Arial Narrow" w:hAnsi="Arial Narrow"/>
                <w:sz w:val="20"/>
              </w:rPr>
              <w:t>HIV infection</w:t>
            </w:r>
          </w:p>
        </w:tc>
      </w:tr>
      <w:tr w:rsidR="00AE4A64" w:rsidRPr="00F93681" w:rsidTr="00F538B6">
        <w:trPr>
          <w:cantSplit/>
          <w:trHeight w:val="113"/>
        </w:trPr>
        <w:tc>
          <w:tcPr>
            <w:tcW w:w="1193" w:type="pct"/>
            <w:tcBorders>
              <w:right w:val="single" w:sz="4" w:space="0" w:color="auto"/>
            </w:tcBorders>
            <w:vAlign w:val="center"/>
          </w:tcPr>
          <w:p w:rsidR="004C0C31" w:rsidRPr="00F93681" w:rsidRDefault="004C0C31" w:rsidP="00AE4A64">
            <w:pPr>
              <w:jc w:val="left"/>
              <w:rPr>
                <w:rFonts w:ascii="Arial Narrow" w:hAnsi="Arial Narrow"/>
                <w:sz w:val="20"/>
              </w:rPr>
            </w:pPr>
          </w:p>
          <w:p w:rsidR="00AE4A64" w:rsidRPr="00F93681" w:rsidRDefault="00AE4A64" w:rsidP="00AE4A64">
            <w:pPr>
              <w:jc w:val="left"/>
              <w:rPr>
                <w:rFonts w:ascii="Arial Narrow" w:hAnsi="Arial Narrow"/>
                <w:sz w:val="20"/>
              </w:rPr>
            </w:pPr>
            <w:r w:rsidRPr="00F93681">
              <w:rPr>
                <w:rFonts w:ascii="Arial Narrow" w:hAnsi="Arial Narrow"/>
                <w:sz w:val="20"/>
              </w:rPr>
              <w:t>Treatment phase</w:t>
            </w:r>
          </w:p>
        </w:tc>
        <w:tc>
          <w:tcPr>
            <w:tcW w:w="3807" w:type="pct"/>
            <w:gridSpan w:val="6"/>
            <w:tcBorders>
              <w:left w:val="single" w:sz="4" w:space="0" w:color="auto"/>
            </w:tcBorders>
          </w:tcPr>
          <w:p w:rsidR="004C0C31" w:rsidRPr="00F93681" w:rsidRDefault="004C0C31" w:rsidP="00AE4A64">
            <w:pPr>
              <w:rPr>
                <w:rFonts w:ascii="Arial Narrow" w:hAnsi="Arial Narrow"/>
                <w:sz w:val="20"/>
              </w:rPr>
            </w:pPr>
          </w:p>
          <w:p w:rsidR="00AE4A64" w:rsidRPr="00F93681" w:rsidRDefault="00AE4A64" w:rsidP="00AE4A64">
            <w:pPr>
              <w:rPr>
                <w:rFonts w:ascii="Arial Narrow" w:hAnsi="Arial Narrow"/>
                <w:sz w:val="20"/>
              </w:rPr>
            </w:pPr>
            <w:r w:rsidRPr="00F93681">
              <w:rPr>
                <w:rFonts w:ascii="Arial Narrow" w:hAnsi="Arial Narrow"/>
                <w:sz w:val="20"/>
              </w:rPr>
              <w:t>Initial</w:t>
            </w:r>
          </w:p>
        </w:tc>
      </w:tr>
      <w:tr w:rsidR="00AE4A64" w:rsidRPr="00F93681" w:rsidTr="00F538B6">
        <w:trPr>
          <w:cantSplit/>
          <w:trHeight w:val="113"/>
        </w:trPr>
        <w:tc>
          <w:tcPr>
            <w:tcW w:w="1193" w:type="pct"/>
            <w:tcBorders>
              <w:right w:val="single" w:sz="4" w:space="0" w:color="auto"/>
            </w:tcBorders>
            <w:vAlign w:val="center"/>
          </w:tcPr>
          <w:p w:rsidR="00AE4A64" w:rsidRPr="00F93681" w:rsidRDefault="00AE4A64" w:rsidP="00AE4A64">
            <w:pPr>
              <w:jc w:val="left"/>
              <w:rPr>
                <w:rFonts w:ascii="Arial Narrow" w:hAnsi="Arial Narrow"/>
                <w:sz w:val="20"/>
              </w:rPr>
            </w:pPr>
            <w:r w:rsidRPr="00F93681">
              <w:rPr>
                <w:rFonts w:ascii="Arial Narrow" w:hAnsi="Arial Narrow"/>
                <w:sz w:val="20"/>
              </w:rPr>
              <w:t xml:space="preserve">Clinical criteria </w:t>
            </w:r>
          </w:p>
        </w:tc>
        <w:tc>
          <w:tcPr>
            <w:tcW w:w="3807" w:type="pct"/>
            <w:gridSpan w:val="6"/>
            <w:tcBorders>
              <w:left w:val="single" w:sz="4" w:space="0" w:color="auto"/>
            </w:tcBorders>
          </w:tcPr>
          <w:p w:rsidR="004C0C31" w:rsidRPr="00F93681" w:rsidRDefault="004C0C31" w:rsidP="00AE4A64">
            <w:pPr>
              <w:pStyle w:val="StyleTableTextLeftBefore0ptAfter0pt"/>
              <w:spacing w:before="0" w:after="0"/>
              <w:rPr>
                <w:rFonts w:ascii="Arial Narrow" w:hAnsi="Arial Narrow"/>
              </w:rPr>
            </w:pPr>
          </w:p>
          <w:p w:rsidR="00AE4A64" w:rsidRPr="00F93681" w:rsidRDefault="00AE4A64" w:rsidP="00AE4A64">
            <w:pPr>
              <w:pStyle w:val="StyleTableTextLeftBefore0ptAfter0pt"/>
              <w:spacing w:before="0" w:after="0"/>
              <w:rPr>
                <w:rFonts w:ascii="Arial Narrow" w:hAnsi="Arial Narrow"/>
              </w:rPr>
            </w:pPr>
            <w:r w:rsidRPr="00F93681">
              <w:rPr>
                <w:rFonts w:ascii="Arial Narrow" w:hAnsi="Arial Narrow"/>
              </w:rPr>
              <w:t>Patient must be antiretroviral treatment naive,</w:t>
            </w:r>
          </w:p>
          <w:p w:rsidR="00AE4A64" w:rsidRPr="00F93681" w:rsidRDefault="00AE4A64" w:rsidP="00AE4A64">
            <w:pPr>
              <w:pStyle w:val="StyleTableTextLeftBefore0ptAfter0pt"/>
              <w:spacing w:before="0" w:after="0"/>
              <w:rPr>
                <w:rFonts w:ascii="Arial Narrow" w:hAnsi="Arial Narrow"/>
              </w:rPr>
            </w:pPr>
          </w:p>
          <w:p w:rsidR="00AE4A64" w:rsidRPr="00F93681" w:rsidRDefault="00AE4A64" w:rsidP="00AE4A64">
            <w:pPr>
              <w:pStyle w:val="StyleTableTextLeftBefore0ptAfter0pt"/>
              <w:spacing w:before="0" w:after="0"/>
              <w:rPr>
                <w:rFonts w:ascii="Arial Narrow" w:hAnsi="Arial Narrow"/>
              </w:rPr>
            </w:pPr>
            <w:r w:rsidRPr="00F93681">
              <w:rPr>
                <w:rFonts w:ascii="Arial Narrow" w:hAnsi="Arial Narrow"/>
              </w:rPr>
              <w:t>AND</w:t>
            </w:r>
          </w:p>
          <w:p w:rsidR="00AE4A64" w:rsidRPr="00F93681" w:rsidRDefault="00AE4A64" w:rsidP="00AE4A64">
            <w:pPr>
              <w:rPr>
                <w:rFonts w:ascii="Arial Narrow" w:hAnsi="Arial Narrow"/>
                <w:sz w:val="20"/>
              </w:rPr>
            </w:pPr>
          </w:p>
          <w:p w:rsidR="00AE4A64" w:rsidRPr="00F93681" w:rsidRDefault="00AE4A64" w:rsidP="00AE4A64">
            <w:pPr>
              <w:rPr>
                <w:rFonts w:ascii="Arial Narrow" w:hAnsi="Arial Narrow"/>
                <w:sz w:val="20"/>
              </w:rPr>
            </w:pPr>
            <w:r w:rsidRPr="00F93681">
              <w:rPr>
                <w:rFonts w:ascii="Arial Narrow" w:hAnsi="Arial Narrow"/>
                <w:sz w:val="20"/>
              </w:rPr>
              <w:t>The treatment must be in combination with other antiretroviral agents.</w:t>
            </w:r>
          </w:p>
        </w:tc>
      </w:tr>
      <w:tr w:rsidR="00AE4A64" w:rsidRPr="00F93681" w:rsidTr="00F538B6">
        <w:trPr>
          <w:cantSplit/>
          <w:trHeight w:val="113"/>
        </w:trPr>
        <w:tc>
          <w:tcPr>
            <w:tcW w:w="1193" w:type="pct"/>
            <w:tcBorders>
              <w:right w:val="single" w:sz="4" w:space="0" w:color="auto"/>
            </w:tcBorders>
            <w:vAlign w:val="center"/>
          </w:tcPr>
          <w:p w:rsidR="004C0C31" w:rsidRPr="00F93681" w:rsidRDefault="004C0C31" w:rsidP="00AE4A64">
            <w:pPr>
              <w:pStyle w:val="TableHeadingCentred"/>
              <w:keepNext w:val="0"/>
              <w:spacing w:before="0" w:after="0"/>
              <w:jc w:val="left"/>
              <w:rPr>
                <w:rFonts w:ascii="Arial Narrow" w:hAnsi="Arial Narrow"/>
                <w:b w:val="0"/>
                <w:szCs w:val="20"/>
              </w:rPr>
            </w:pPr>
          </w:p>
          <w:p w:rsidR="00AE4A64" w:rsidRPr="00F93681" w:rsidRDefault="00AE4A64" w:rsidP="00AE4A64">
            <w:pPr>
              <w:pStyle w:val="TableHeadingCentred"/>
              <w:keepNext w:val="0"/>
              <w:spacing w:before="0" w:after="0"/>
              <w:jc w:val="left"/>
              <w:rPr>
                <w:rFonts w:ascii="Arial Narrow" w:hAnsi="Arial Narrow"/>
                <w:b w:val="0"/>
                <w:szCs w:val="20"/>
              </w:rPr>
            </w:pPr>
            <w:r w:rsidRPr="00F93681">
              <w:rPr>
                <w:rFonts w:ascii="Arial Narrow" w:hAnsi="Arial Narrow"/>
                <w:b w:val="0"/>
                <w:szCs w:val="20"/>
              </w:rPr>
              <w:t>Treatment phase</w:t>
            </w:r>
          </w:p>
        </w:tc>
        <w:tc>
          <w:tcPr>
            <w:tcW w:w="3807" w:type="pct"/>
            <w:gridSpan w:val="6"/>
            <w:tcBorders>
              <w:left w:val="single" w:sz="4" w:space="0" w:color="auto"/>
            </w:tcBorders>
          </w:tcPr>
          <w:p w:rsidR="004C0C31" w:rsidRPr="00F93681" w:rsidRDefault="004C0C31" w:rsidP="00AE4A64">
            <w:pPr>
              <w:pStyle w:val="StyleTableTextLeftBefore0ptAfter0pt"/>
              <w:spacing w:before="0" w:after="0"/>
              <w:rPr>
                <w:rFonts w:ascii="Arial Narrow" w:hAnsi="Arial Narrow"/>
              </w:rPr>
            </w:pPr>
          </w:p>
          <w:p w:rsidR="00AE4A64" w:rsidRPr="00F93681" w:rsidRDefault="00AE4A64" w:rsidP="00AE4A64">
            <w:pPr>
              <w:pStyle w:val="StyleTableTextLeftBefore0ptAfter0pt"/>
              <w:spacing w:before="0" w:after="0"/>
              <w:rPr>
                <w:rFonts w:ascii="Arial Narrow" w:hAnsi="Arial Narrow"/>
              </w:rPr>
            </w:pPr>
            <w:r w:rsidRPr="00F93681">
              <w:rPr>
                <w:rFonts w:ascii="Arial Narrow" w:hAnsi="Arial Narrow"/>
              </w:rPr>
              <w:t>Continuing</w:t>
            </w:r>
          </w:p>
        </w:tc>
      </w:tr>
      <w:tr w:rsidR="00AE4A64" w:rsidRPr="00F93681" w:rsidTr="00F538B6">
        <w:trPr>
          <w:cantSplit/>
          <w:trHeight w:val="113"/>
        </w:trPr>
        <w:tc>
          <w:tcPr>
            <w:tcW w:w="1193" w:type="pct"/>
            <w:tcBorders>
              <w:right w:val="single" w:sz="4" w:space="0" w:color="auto"/>
            </w:tcBorders>
            <w:vAlign w:val="center"/>
          </w:tcPr>
          <w:p w:rsidR="00AE4A64" w:rsidRPr="00F93681" w:rsidRDefault="00AE4A64" w:rsidP="00AE4A64">
            <w:pPr>
              <w:pStyle w:val="TableHeadingCentred"/>
              <w:keepNext w:val="0"/>
              <w:spacing w:before="0" w:after="0"/>
              <w:jc w:val="left"/>
              <w:rPr>
                <w:rFonts w:ascii="Arial Narrow" w:hAnsi="Arial Narrow"/>
                <w:b w:val="0"/>
                <w:szCs w:val="20"/>
              </w:rPr>
            </w:pPr>
            <w:r w:rsidRPr="00F93681">
              <w:rPr>
                <w:rFonts w:ascii="Arial Narrow" w:hAnsi="Arial Narrow"/>
                <w:b w:val="0"/>
                <w:szCs w:val="20"/>
              </w:rPr>
              <w:t>Clinical criteria (2)</w:t>
            </w:r>
          </w:p>
        </w:tc>
        <w:tc>
          <w:tcPr>
            <w:tcW w:w="3807" w:type="pct"/>
            <w:gridSpan w:val="6"/>
            <w:tcBorders>
              <w:left w:val="single" w:sz="4" w:space="0" w:color="auto"/>
            </w:tcBorders>
          </w:tcPr>
          <w:p w:rsidR="004C0C31" w:rsidRPr="00F93681" w:rsidRDefault="004C0C31" w:rsidP="00AE4A64">
            <w:pPr>
              <w:pStyle w:val="StyleTableTextLeftBefore0ptAfter0pt"/>
              <w:spacing w:before="0" w:after="0"/>
              <w:rPr>
                <w:rFonts w:ascii="Arial Narrow" w:hAnsi="Arial Narrow"/>
              </w:rPr>
            </w:pPr>
          </w:p>
          <w:p w:rsidR="00AE4A64" w:rsidRPr="00F93681" w:rsidRDefault="00AE4A64" w:rsidP="00AE4A64">
            <w:pPr>
              <w:pStyle w:val="StyleTableTextLeftBefore0ptAfter0pt"/>
              <w:spacing w:before="0" w:after="0"/>
              <w:rPr>
                <w:rFonts w:ascii="Arial Narrow" w:hAnsi="Arial Narrow"/>
              </w:rPr>
            </w:pPr>
            <w:r w:rsidRPr="00F93681">
              <w:rPr>
                <w:rFonts w:ascii="Arial Narrow" w:hAnsi="Arial Narrow"/>
              </w:rPr>
              <w:t>Patient must have previously received PBS-subsidised therapy for HIV infection,</w:t>
            </w:r>
          </w:p>
          <w:p w:rsidR="00AE4A64" w:rsidRPr="00F93681" w:rsidRDefault="00AE4A64" w:rsidP="00AE4A64">
            <w:pPr>
              <w:pStyle w:val="StyleTableTextLeftBefore0ptAfter0pt"/>
              <w:spacing w:before="0" w:after="0"/>
              <w:rPr>
                <w:rFonts w:ascii="Arial Narrow" w:hAnsi="Arial Narrow"/>
              </w:rPr>
            </w:pPr>
          </w:p>
          <w:p w:rsidR="00AE4A64" w:rsidRPr="00F93681" w:rsidRDefault="00AE4A64" w:rsidP="00AE4A64">
            <w:pPr>
              <w:pStyle w:val="StyleTableTextLeftBefore0ptAfter0pt"/>
              <w:spacing w:before="0" w:after="0"/>
              <w:rPr>
                <w:rFonts w:ascii="Arial Narrow" w:hAnsi="Arial Narrow"/>
              </w:rPr>
            </w:pPr>
            <w:r w:rsidRPr="00F93681">
              <w:rPr>
                <w:rFonts w:ascii="Arial Narrow" w:hAnsi="Arial Narrow"/>
              </w:rPr>
              <w:t>AND</w:t>
            </w:r>
          </w:p>
          <w:p w:rsidR="00AE4A64" w:rsidRPr="00F93681" w:rsidRDefault="00AE4A64" w:rsidP="00AE4A64">
            <w:pPr>
              <w:pStyle w:val="StyleTableTextLeftBefore0ptAfter0pt"/>
              <w:spacing w:before="0" w:after="0"/>
              <w:rPr>
                <w:rFonts w:ascii="Arial Narrow" w:hAnsi="Arial Narrow"/>
              </w:rPr>
            </w:pPr>
          </w:p>
          <w:p w:rsidR="00AE4A64" w:rsidRPr="00F93681" w:rsidRDefault="00AE4A64" w:rsidP="00AE4A64">
            <w:pPr>
              <w:pStyle w:val="StyleTableTextLeftBefore0ptAfter0pt"/>
              <w:spacing w:before="0" w:after="0"/>
              <w:rPr>
                <w:rFonts w:ascii="Arial Narrow" w:hAnsi="Arial Narrow"/>
              </w:rPr>
            </w:pPr>
            <w:r w:rsidRPr="00F93681">
              <w:rPr>
                <w:rFonts w:ascii="Arial Narrow" w:hAnsi="Arial Narrow"/>
              </w:rPr>
              <w:t>The treatment must be in combination with other antiretroviral agents.</w:t>
            </w:r>
          </w:p>
        </w:tc>
      </w:tr>
    </w:tbl>
    <w:p w:rsidR="004064B4" w:rsidRPr="00F93681" w:rsidRDefault="004064B4" w:rsidP="004064B4"/>
    <w:p w:rsidR="004064B4" w:rsidRPr="00F93681" w:rsidRDefault="004064B4" w:rsidP="009F088A">
      <w:pPr>
        <w:pStyle w:val="ListParagraph"/>
        <w:widowControl/>
        <w:numPr>
          <w:ilvl w:val="1"/>
          <w:numId w:val="5"/>
        </w:numPr>
        <w:rPr>
          <w:szCs w:val="22"/>
        </w:rPr>
      </w:pPr>
      <w:r w:rsidRPr="00F93681">
        <w:rPr>
          <w:szCs w:val="22"/>
        </w:rPr>
        <w:t>The requested listing was based on a cost-minimisation analysis against the comparator atazanavir plus ritonavir</w:t>
      </w:r>
      <w:r w:rsidR="00426697" w:rsidRPr="00F93681">
        <w:rPr>
          <w:szCs w:val="22"/>
        </w:rPr>
        <w:t xml:space="preserve"> provided </w:t>
      </w:r>
      <w:r w:rsidR="00DD1326" w:rsidRPr="00F93681">
        <w:rPr>
          <w:szCs w:val="22"/>
        </w:rPr>
        <w:t>concomitantly</w:t>
      </w:r>
      <w:r w:rsidRPr="00F93681">
        <w:rPr>
          <w:szCs w:val="22"/>
        </w:rPr>
        <w:t xml:space="preserve">. </w:t>
      </w:r>
    </w:p>
    <w:p w:rsidR="004064B4" w:rsidRPr="00F93681" w:rsidRDefault="004064B4" w:rsidP="004064B4"/>
    <w:p w:rsidR="00DE4C23" w:rsidRPr="00F93681" w:rsidRDefault="00DE4C23" w:rsidP="0050744D">
      <w:pPr>
        <w:ind w:left="709"/>
        <w:rPr>
          <w:i/>
        </w:rPr>
      </w:pPr>
      <w:r w:rsidRPr="00F93681">
        <w:rPr>
          <w:i/>
        </w:rPr>
        <w:t>For more detail on PBAC’s view, see section 7 “PBAC outcome”.</w:t>
      </w:r>
    </w:p>
    <w:p w:rsidR="00DE4C23" w:rsidRPr="00F93681" w:rsidRDefault="00DE4C23" w:rsidP="00122B6B">
      <w:pPr>
        <w:spacing w:line="480" w:lineRule="auto"/>
      </w:pPr>
    </w:p>
    <w:p w:rsidR="00490B24" w:rsidRPr="00F93681" w:rsidRDefault="00490B24" w:rsidP="00FB16FB">
      <w:pPr>
        <w:spacing w:line="480" w:lineRule="auto"/>
      </w:pPr>
    </w:p>
    <w:p w:rsidR="004064B4" w:rsidRDefault="004064B4" w:rsidP="004064B4">
      <w:pPr>
        <w:pStyle w:val="PBACHeading1"/>
      </w:pPr>
      <w:bookmarkStart w:id="3" w:name="_Toc430012261"/>
      <w:r w:rsidRPr="00F93681">
        <w:lastRenderedPageBreak/>
        <w:t>Background</w:t>
      </w:r>
      <w:bookmarkEnd w:id="3"/>
    </w:p>
    <w:p w:rsidR="008E0299" w:rsidRPr="008E0299" w:rsidRDefault="008E0299" w:rsidP="008E0299"/>
    <w:p w:rsidR="004064B4" w:rsidRPr="00F93681" w:rsidRDefault="004064B4" w:rsidP="009F088A">
      <w:pPr>
        <w:pStyle w:val="ListParagraph"/>
        <w:widowControl/>
        <w:numPr>
          <w:ilvl w:val="1"/>
          <w:numId w:val="5"/>
        </w:numPr>
      </w:pPr>
      <w:r w:rsidRPr="00F93681">
        <w:t xml:space="preserve">The submission was made under </w:t>
      </w:r>
      <w:r w:rsidR="00426697" w:rsidRPr="00F93681">
        <w:t xml:space="preserve">the </w:t>
      </w:r>
      <w:r w:rsidRPr="00F93681">
        <w:t xml:space="preserve">TGA/PBAC Parallel Process. At the time of evaluation the draft Product Information was available. </w:t>
      </w:r>
      <w:r w:rsidR="00137947" w:rsidRPr="00F93681">
        <w:t xml:space="preserve">The ESC noted that </w:t>
      </w:r>
      <w:r w:rsidR="00094658" w:rsidRPr="00F93681">
        <w:t>atazanavir/cobicistat FDC</w:t>
      </w:r>
      <w:r w:rsidR="00137947" w:rsidRPr="00F93681">
        <w:t xml:space="preserve"> received TGA approval and was </w:t>
      </w:r>
      <w:r w:rsidR="00094658" w:rsidRPr="00F93681">
        <w:t xml:space="preserve">registered on the </w:t>
      </w:r>
      <w:r w:rsidR="00137947" w:rsidRPr="00F93681">
        <w:t>ARTG on 23 September 2015</w:t>
      </w:r>
      <w:r w:rsidR="005C5CDB" w:rsidRPr="00F93681">
        <w:t xml:space="preserve"> for the following indication:</w:t>
      </w:r>
      <w:r w:rsidR="00620BB1">
        <w:t xml:space="preserve"> </w:t>
      </w:r>
    </w:p>
    <w:p w:rsidR="005C5CDB" w:rsidRPr="00F93681" w:rsidRDefault="005C5CDB" w:rsidP="004064B4">
      <w:pPr>
        <w:pStyle w:val="ListParagraph"/>
        <w:rPr>
          <w:szCs w:val="22"/>
        </w:rPr>
      </w:pPr>
    </w:p>
    <w:p w:rsidR="004064B4" w:rsidRPr="00F93681" w:rsidRDefault="005C5CDB" w:rsidP="004064B4">
      <w:pPr>
        <w:pStyle w:val="ListParagraph"/>
        <w:rPr>
          <w:szCs w:val="22"/>
        </w:rPr>
      </w:pPr>
      <w:r w:rsidRPr="00F93681">
        <w:rPr>
          <w:szCs w:val="22"/>
        </w:rPr>
        <w:t xml:space="preserve">“EVOTAZ is indicated in combination with other antiretroviral agents for the treatment </w:t>
      </w:r>
      <w:r w:rsidR="005D734E">
        <w:rPr>
          <w:szCs w:val="22"/>
        </w:rPr>
        <w:t>o</w:t>
      </w:r>
      <w:r w:rsidRPr="00F93681">
        <w:rPr>
          <w:szCs w:val="22"/>
        </w:rPr>
        <w:t>f HIV-1 infection in adults”.</w:t>
      </w:r>
    </w:p>
    <w:p w:rsidR="005C5CDB" w:rsidRPr="00F93681" w:rsidRDefault="005C5CDB" w:rsidP="004064B4">
      <w:pPr>
        <w:pStyle w:val="ListParagraph"/>
        <w:rPr>
          <w:szCs w:val="22"/>
        </w:rPr>
      </w:pPr>
    </w:p>
    <w:p w:rsidR="004064B4" w:rsidRPr="00F93681" w:rsidRDefault="004064B4" w:rsidP="009F088A">
      <w:pPr>
        <w:pStyle w:val="ListParagraph"/>
        <w:widowControl/>
        <w:numPr>
          <w:ilvl w:val="1"/>
          <w:numId w:val="5"/>
        </w:numPr>
        <w:rPr>
          <w:szCs w:val="22"/>
        </w:rPr>
      </w:pPr>
      <w:r w:rsidRPr="00F93681">
        <w:rPr>
          <w:szCs w:val="22"/>
        </w:rPr>
        <w:t>Atazanavir/cobicistat FDC ha</w:t>
      </w:r>
      <w:r w:rsidR="003149DD" w:rsidRPr="00F93681">
        <w:rPr>
          <w:szCs w:val="22"/>
        </w:rPr>
        <w:t>d</w:t>
      </w:r>
      <w:r w:rsidRPr="00F93681">
        <w:rPr>
          <w:szCs w:val="22"/>
        </w:rPr>
        <w:t xml:space="preserve"> not been previously considered by the PBAC.</w:t>
      </w:r>
    </w:p>
    <w:p w:rsidR="004064B4" w:rsidRPr="00F93681" w:rsidRDefault="004064B4" w:rsidP="004064B4"/>
    <w:p w:rsidR="00DE4C23" w:rsidRPr="00F93681" w:rsidRDefault="00DE4C23" w:rsidP="00DE4C23">
      <w:pPr>
        <w:ind w:left="709"/>
        <w:rPr>
          <w:i/>
        </w:rPr>
      </w:pPr>
      <w:r w:rsidRPr="00F93681">
        <w:rPr>
          <w:i/>
        </w:rPr>
        <w:t>For more detail on PBAC’s view, see section 7 “PBAC outcome”.</w:t>
      </w:r>
    </w:p>
    <w:p w:rsidR="00DE4C23" w:rsidRPr="00F93681" w:rsidRDefault="00DE4C23" w:rsidP="004064B4"/>
    <w:p w:rsidR="00490B24" w:rsidRPr="00F93681" w:rsidRDefault="00490B24" w:rsidP="004064B4"/>
    <w:p w:rsidR="004064B4" w:rsidRPr="00F93681" w:rsidRDefault="004064B4" w:rsidP="004064B4">
      <w:pPr>
        <w:pStyle w:val="PBACHeading1"/>
      </w:pPr>
      <w:bookmarkStart w:id="4" w:name="_Toc430012262"/>
      <w:r w:rsidRPr="00F93681">
        <w:t>Clinical place for the proposed therapy</w:t>
      </w:r>
      <w:bookmarkEnd w:id="4"/>
    </w:p>
    <w:p w:rsidR="004064B4" w:rsidRPr="00F93681" w:rsidRDefault="004064B4" w:rsidP="004064B4">
      <w:pPr>
        <w:rPr>
          <w:szCs w:val="22"/>
        </w:rPr>
      </w:pPr>
    </w:p>
    <w:p w:rsidR="004064B4" w:rsidRPr="00F93681" w:rsidRDefault="004064B4" w:rsidP="009F088A">
      <w:pPr>
        <w:pStyle w:val="ListParagraph"/>
        <w:widowControl/>
        <w:numPr>
          <w:ilvl w:val="1"/>
          <w:numId w:val="5"/>
        </w:numPr>
        <w:rPr>
          <w:szCs w:val="22"/>
        </w:rPr>
      </w:pPr>
      <w:r w:rsidRPr="00F93681">
        <w:t>Atazanavir/cobicistat FDC was proposed for the treatment of HIV-1 infection in treatment-naïve and treatment-experienced patients.</w:t>
      </w:r>
    </w:p>
    <w:p w:rsidR="004064B4" w:rsidRPr="00F93681" w:rsidRDefault="004064B4" w:rsidP="004064B4">
      <w:pPr>
        <w:widowControl/>
        <w:rPr>
          <w:szCs w:val="22"/>
        </w:rPr>
      </w:pPr>
    </w:p>
    <w:p w:rsidR="00C54A07" w:rsidRPr="00F93681" w:rsidRDefault="004064B4" w:rsidP="00476965">
      <w:pPr>
        <w:pStyle w:val="ListParagraph"/>
        <w:widowControl/>
        <w:numPr>
          <w:ilvl w:val="1"/>
          <w:numId w:val="5"/>
        </w:numPr>
        <w:rPr>
          <w:szCs w:val="22"/>
        </w:rPr>
      </w:pPr>
      <w:r w:rsidRPr="00F93681">
        <w:t>The place in therapy for atazanavir/cobicistat FDC was suggested to be the same as that of its comparator atazanavir plus ritonavir</w:t>
      </w:r>
      <w:r w:rsidR="00DD1326" w:rsidRPr="00F93681">
        <w:t xml:space="preserve"> taken concomitantly</w:t>
      </w:r>
      <w:r w:rsidRPr="00F93681">
        <w:t>.</w:t>
      </w:r>
      <w:r w:rsidR="007116CC" w:rsidRPr="00F93681">
        <w:t xml:space="preserve"> The</w:t>
      </w:r>
      <w:r w:rsidR="005A0A19" w:rsidRPr="00F93681">
        <w:t xml:space="preserve"> 2015</w:t>
      </w:r>
      <w:r w:rsidR="007116CC" w:rsidRPr="00F93681">
        <w:t xml:space="preserve"> Australian Commentary to the U.S. guidelines</w:t>
      </w:r>
      <w:r w:rsidR="001B3022" w:rsidRPr="00F93681">
        <w:t xml:space="preserve"> (Australian Commentary to the US Department of Health and Human Services Guidelines for the use of Antiretroviral Agents in HIV-1-Infected Adults and Adolescents)</w:t>
      </w:r>
      <w:r w:rsidR="007116CC" w:rsidRPr="00F93681">
        <w:t xml:space="preserve"> recommended that atazanavir plus ritonavir </w:t>
      </w:r>
      <w:r w:rsidR="005A0A19" w:rsidRPr="00F93681">
        <w:t>should be used as</w:t>
      </w:r>
      <w:r w:rsidR="00FC1CAE" w:rsidRPr="00F93681">
        <w:t xml:space="preserve"> an alternative treatment</w:t>
      </w:r>
      <w:r w:rsidR="007116CC" w:rsidRPr="00F93681">
        <w:t xml:space="preserve"> and not in the first-line due to the toxicity profile of atazanavir.</w:t>
      </w:r>
      <w:r w:rsidR="00476965" w:rsidRPr="00F93681">
        <w:t xml:space="preserve"> </w:t>
      </w:r>
      <w:r w:rsidR="00C54A07" w:rsidRPr="00F93681">
        <w:t xml:space="preserve">The ESC noted that the Australian </w:t>
      </w:r>
      <w:r w:rsidR="00E566EE" w:rsidRPr="00F93681">
        <w:t>C</w:t>
      </w:r>
      <w:r w:rsidR="00C54A07" w:rsidRPr="00F93681">
        <w:t>ommentary lists atazanavir plus ritonavir as an acceptable alternative to darunavir plus ritonavir as protease inhibitor-based therapy in naïve patients in the context of the current PBS restriction of darunavir plus ritonavir to treatment experienced patients only.</w:t>
      </w:r>
    </w:p>
    <w:p w:rsidR="00490B24" w:rsidRPr="00F93681" w:rsidRDefault="00490B24" w:rsidP="004064B4">
      <w:pPr>
        <w:pStyle w:val="Header"/>
        <w:rPr>
          <w:szCs w:val="22"/>
        </w:rPr>
      </w:pPr>
    </w:p>
    <w:p w:rsidR="00DE4C23" w:rsidRPr="00F93681" w:rsidRDefault="00DE4C23" w:rsidP="00DE4C23">
      <w:pPr>
        <w:ind w:left="709"/>
        <w:rPr>
          <w:i/>
        </w:rPr>
      </w:pPr>
      <w:r w:rsidRPr="00F93681">
        <w:rPr>
          <w:i/>
        </w:rPr>
        <w:t>For more detail on PBAC’s view, see section 7 “PBAC outcome”.</w:t>
      </w:r>
    </w:p>
    <w:p w:rsidR="00DE4C23" w:rsidRPr="00F93681" w:rsidRDefault="00DE4C23" w:rsidP="004064B4">
      <w:pPr>
        <w:pStyle w:val="Header"/>
        <w:rPr>
          <w:szCs w:val="22"/>
        </w:rPr>
      </w:pPr>
    </w:p>
    <w:p w:rsidR="00D15766" w:rsidRPr="00F93681" w:rsidRDefault="00BA2F70" w:rsidP="00BA2F70">
      <w:pPr>
        <w:widowControl/>
        <w:jc w:val="left"/>
        <w:rPr>
          <w:szCs w:val="22"/>
        </w:rPr>
      </w:pPr>
      <w:r w:rsidRPr="00F93681">
        <w:rPr>
          <w:szCs w:val="22"/>
        </w:rPr>
        <w:br w:type="page"/>
      </w:r>
    </w:p>
    <w:p w:rsidR="004064B4" w:rsidRPr="00F93681" w:rsidRDefault="004064B4" w:rsidP="00DB21DD">
      <w:pPr>
        <w:pStyle w:val="PBACHeading1"/>
        <w:rPr>
          <w:b w:val="0"/>
        </w:rPr>
      </w:pPr>
      <w:bookmarkStart w:id="5" w:name="_Toc430012263"/>
      <w:r w:rsidRPr="00F93681">
        <w:lastRenderedPageBreak/>
        <w:t>Comparator</w:t>
      </w:r>
      <w:bookmarkEnd w:id="5"/>
    </w:p>
    <w:p w:rsidR="004064B4" w:rsidRPr="00F93681" w:rsidRDefault="004064B4" w:rsidP="004064B4"/>
    <w:p w:rsidR="004064B4" w:rsidRPr="00F93681" w:rsidRDefault="004064B4" w:rsidP="009F088A">
      <w:pPr>
        <w:pStyle w:val="ListParagraph"/>
        <w:widowControl/>
        <w:numPr>
          <w:ilvl w:val="1"/>
          <w:numId w:val="5"/>
        </w:numPr>
        <w:rPr>
          <w:szCs w:val="22"/>
        </w:rPr>
      </w:pPr>
      <w:r w:rsidRPr="00F93681">
        <w:t>Atazanavir plus ritonavir</w:t>
      </w:r>
      <w:r w:rsidR="00DD1326" w:rsidRPr="00F93681">
        <w:t xml:space="preserve"> taken concomitantly</w:t>
      </w:r>
      <w:r w:rsidRPr="00F93681">
        <w:t xml:space="preserve"> was nominated as a comparator. </w:t>
      </w:r>
      <w:r w:rsidR="008A15BE" w:rsidRPr="00F93681">
        <w:t>This</w:t>
      </w:r>
      <w:r w:rsidR="00476965" w:rsidRPr="00F93681">
        <w:t xml:space="preserve"> </w:t>
      </w:r>
      <w:r w:rsidRPr="00F93681">
        <w:t xml:space="preserve">was appropriate. </w:t>
      </w:r>
    </w:p>
    <w:p w:rsidR="00490B24" w:rsidRPr="00F93681" w:rsidRDefault="00490B24" w:rsidP="004064B4">
      <w:pPr>
        <w:rPr>
          <w:szCs w:val="22"/>
        </w:rPr>
      </w:pPr>
    </w:p>
    <w:p w:rsidR="00DE4C23" w:rsidRPr="00F93681" w:rsidRDefault="00DE4C23" w:rsidP="00DE4C23">
      <w:pPr>
        <w:ind w:left="709"/>
        <w:rPr>
          <w:i/>
        </w:rPr>
      </w:pPr>
      <w:r w:rsidRPr="00F93681">
        <w:rPr>
          <w:i/>
        </w:rPr>
        <w:t>For more detail on PBAC’s view, see section 7 “PBAC outcome”.</w:t>
      </w:r>
    </w:p>
    <w:p w:rsidR="00DE4C23" w:rsidRPr="00F93681" w:rsidRDefault="00DE4C23" w:rsidP="0050744D">
      <w:pPr>
        <w:ind w:left="709"/>
        <w:rPr>
          <w:szCs w:val="22"/>
        </w:rPr>
      </w:pPr>
    </w:p>
    <w:p w:rsidR="00D15766" w:rsidRPr="00F93681" w:rsidRDefault="00D15766" w:rsidP="004064B4">
      <w:pPr>
        <w:rPr>
          <w:szCs w:val="22"/>
        </w:rPr>
      </w:pPr>
    </w:p>
    <w:p w:rsidR="004064B4" w:rsidRPr="00F93681" w:rsidRDefault="00F11D6C" w:rsidP="004064B4">
      <w:pPr>
        <w:pStyle w:val="PBACHeading1"/>
      </w:pPr>
      <w:bookmarkStart w:id="6" w:name="_Toc430012264"/>
      <w:r>
        <w:t>PB</w:t>
      </w:r>
      <w:r w:rsidR="00FB16FB">
        <w:t>A</w:t>
      </w:r>
      <w:r>
        <w:t>C c</w:t>
      </w:r>
      <w:r w:rsidR="004064B4" w:rsidRPr="00F93681">
        <w:t>onsideration of the evidence</w:t>
      </w:r>
      <w:bookmarkEnd w:id="6"/>
    </w:p>
    <w:p w:rsidR="004064B4" w:rsidRPr="00F93681" w:rsidRDefault="004064B4" w:rsidP="004064B4"/>
    <w:p w:rsidR="00527EBA" w:rsidRPr="00F538B6" w:rsidRDefault="00527EBA" w:rsidP="00E648F9">
      <w:pPr>
        <w:pStyle w:val="Heading2"/>
      </w:pPr>
      <w:r w:rsidRPr="00F538B6">
        <w:t>Sponsor hearing</w:t>
      </w:r>
    </w:p>
    <w:p w:rsidR="00527EBA" w:rsidRPr="00F93681" w:rsidRDefault="00527EBA" w:rsidP="004064B4"/>
    <w:p w:rsidR="001B3022" w:rsidRPr="00F93681" w:rsidRDefault="001B3022" w:rsidP="001B3022">
      <w:pPr>
        <w:pStyle w:val="ListParagraph"/>
        <w:widowControl/>
        <w:numPr>
          <w:ilvl w:val="1"/>
          <w:numId w:val="5"/>
        </w:numPr>
      </w:pPr>
      <w:r w:rsidRPr="00F93681">
        <w:t>There was no hearing for this item.</w:t>
      </w:r>
    </w:p>
    <w:p w:rsidR="001B3022" w:rsidRPr="00F93681" w:rsidRDefault="001B3022" w:rsidP="001B3022">
      <w:pPr>
        <w:pStyle w:val="ListParagraph"/>
        <w:widowControl/>
      </w:pPr>
    </w:p>
    <w:p w:rsidR="001B3022" w:rsidRPr="00F538B6" w:rsidRDefault="001B3022" w:rsidP="00E648F9">
      <w:pPr>
        <w:pStyle w:val="Heading2"/>
      </w:pPr>
      <w:r w:rsidRPr="00F538B6">
        <w:t>Consumer comments</w:t>
      </w:r>
    </w:p>
    <w:p w:rsidR="001B3022" w:rsidRPr="00F93681" w:rsidRDefault="001B3022" w:rsidP="001B3022">
      <w:pPr>
        <w:widowControl/>
      </w:pPr>
    </w:p>
    <w:p w:rsidR="001B3022" w:rsidRPr="00F93681" w:rsidRDefault="001B3022" w:rsidP="001B3022">
      <w:pPr>
        <w:pStyle w:val="ListParagraph"/>
        <w:widowControl/>
        <w:numPr>
          <w:ilvl w:val="1"/>
          <w:numId w:val="5"/>
        </w:numPr>
      </w:pPr>
      <w:r w:rsidRPr="00F93681">
        <w:t>The PBAC noted that no consumer comments were received for this item.</w:t>
      </w:r>
    </w:p>
    <w:p w:rsidR="001B3022" w:rsidRPr="00F93681" w:rsidRDefault="001B3022" w:rsidP="004064B4"/>
    <w:p w:rsidR="004064B4" w:rsidRPr="00E648F9" w:rsidRDefault="004064B4" w:rsidP="00E648F9">
      <w:pPr>
        <w:pStyle w:val="Heading2"/>
      </w:pPr>
      <w:bookmarkStart w:id="7" w:name="_Toc430012265"/>
      <w:r w:rsidRPr="00E648F9">
        <w:t>Clinical trials</w:t>
      </w:r>
      <w:bookmarkEnd w:id="7"/>
    </w:p>
    <w:p w:rsidR="004064B4" w:rsidRPr="00F93681" w:rsidRDefault="004064B4" w:rsidP="004064B4">
      <w:pPr>
        <w:rPr>
          <w:szCs w:val="22"/>
        </w:rPr>
      </w:pPr>
    </w:p>
    <w:p w:rsidR="002E5A16" w:rsidRPr="00F93681" w:rsidRDefault="002E5A16" w:rsidP="009F088A">
      <w:pPr>
        <w:pStyle w:val="ListParagraph"/>
        <w:widowControl/>
        <w:numPr>
          <w:ilvl w:val="1"/>
          <w:numId w:val="5"/>
        </w:numPr>
        <w:rPr>
          <w:szCs w:val="22"/>
        </w:rPr>
      </w:pPr>
      <w:r w:rsidRPr="00F93681">
        <w:t xml:space="preserve">The submission presented evidence of bioequivalence from a crossover study </w:t>
      </w:r>
      <w:r w:rsidR="00C356CE" w:rsidRPr="00F93681">
        <w:t xml:space="preserve">in healthy volunteers </w:t>
      </w:r>
      <w:r w:rsidRPr="00F93681">
        <w:t xml:space="preserve">where atazanavir/cobicistat FDC was compared to atazanavir plus cobicistat taken concomitantly (Study 511, n=64). </w:t>
      </w:r>
    </w:p>
    <w:p w:rsidR="00475C32" w:rsidRPr="00F93681" w:rsidRDefault="00475C32" w:rsidP="002E5A16">
      <w:pPr>
        <w:pStyle w:val="ListParagraph"/>
        <w:widowControl/>
      </w:pPr>
    </w:p>
    <w:p w:rsidR="004064B4" w:rsidRPr="00F93681" w:rsidRDefault="004064B4" w:rsidP="00356278">
      <w:pPr>
        <w:pStyle w:val="ListParagraph"/>
        <w:widowControl/>
        <w:numPr>
          <w:ilvl w:val="1"/>
          <w:numId w:val="5"/>
        </w:numPr>
      </w:pPr>
      <w:r w:rsidRPr="00F93681">
        <w:t xml:space="preserve">The submission </w:t>
      </w:r>
      <w:r w:rsidR="002E5A16" w:rsidRPr="00F93681">
        <w:t>also presented</w:t>
      </w:r>
      <w:r w:rsidRPr="00F93681">
        <w:t xml:space="preserve"> two head-to-head trials comparing atazanavir plus cobicistat</w:t>
      </w:r>
      <w:r w:rsidR="00DD1326" w:rsidRPr="00F93681">
        <w:t xml:space="preserve"> taken concomitantly</w:t>
      </w:r>
      <w:r w:rsidRPr="00F93681">
        <w:t xml:space="preserve"> to atazanavir plus ritonavir</w:t>
      </w:r>
      <w:r w:rsidR="00DD1326" w:rsidRPr="00F93681">
        <w:t xml:space="preserve"> taken concomitantly</w:t>
      </w:r>
      <w:r w:rsidRPr="00F93681">
        <w:t xml:space="preserve"> (</w:t>
      </w:r>
      <w:r w:rsidR="004D521A" w:rsidRPr="00F93681">
        <w:t>Study</w:t>
      </w:r>
      <w:r w:rsidR="00C356CE" w:rsidRPr="00F93681">
        <w:t> </w:t>
      </w:r>
      <w:r w:rsidR="004D521A" w:rsidRPr="00F93681">
        <w:t>114</w:t>
      </w:r>
      <w:r w:rsidRPr="00F93681">
        <w:t xml:space="preserve">, n=698; </w:t>
      </w:r>
      <w:r w:rsidR="004D521A" w:rsidRPr="00F93681">
        <w:t>Study 105</w:t>
      </w:r>
      <w:r w:rsidRPr="00F93681">
        <w:t xml:space="preserve">, n=85). </w:t>
      </w:r>
    </w:p>
    <w:p w:rsidR="002E5A16" w:rsidRPr="00F93681" w:rsidRDefault="002E5A16" w:rsidP="002E5A16">
      <w:pPr>
        <w:pStyle w:val="ListParagraph"/>
        <w:widowControl/>
      </w:pPr>
    </w:p>
    <w:p w:rsidR="002E5A16" w:rsidRPr="00F93681" w:rsidRDefault="002E5A16" w:rsidP="00356278">
      <w:pPr>
        <w:pStyle w:val="ListParagraph"/>
        <w:widowControl/>
        <w:numPr>
          <w:ilvl w:val="1"/>
          <w:numId w:val="5"/>
        </w:numPr>
        <w:rPr>
          <w:szCs w:val="22"/>
        </w:rPr>
      </w:pPr>
      <w:r w:rsidRPr="00F93681">
        <w:t xml:space="preserve">The evidence of bioequivalence was used to establish a link between atazanavir plus cobicistat taken concomitantly used in </w:t>
      </w:r>
      <w:r w:rsidR="00421064" w:rsidRPr="00F93681">
        <w:t xml:space="preserve">the </w:t>
      </w:r>
      <w:r w:rsidRPr="00F93681">
        <w:t>clinical trials and atazanavir/cobicistat FDC for which the listing was requested.</w:t>
      </w:r>
    </w:p>
    <w:p w:rsidR="002E5A16" w:rsidRPr="00F93681" w:rsidRDefault="002E5A16" w:rsidP="002E5A16">
      <w:pPr>
        <w:pStyle w:val="ListParagraph"/>
        <w:widowControl/>
        <w:rPr>
          <w:szCs w:val="22"/>
        </w:rPr>
      </w:pPr>
    </w:p>
    <w:p w:rsidR="004064B4" w:rsidRPr="00F93681" w:rsidRDefault="004064B4" w:rsidP="009F088A">
      <w:pPr>
        <w:pStyle w:val="ListParagraph"/>
        <w:widowControl/>
        <w:numPr>
          <w:ilvl w:val="1"/>
          <w:numId w:val="5"/>
        </w:numPr>
        <w:rPr>
          <w:szCs w:val="22"/>
        </w:rPr>
      </w:pPr>
      <w:r w:rsidRPr="00F93681">
        <w:rPr>
          <w:szCs w:val="22"/>
        </w:rPr>
        <w:t xml:space="preserve">Details of the trials presented in the submission are provided in the table below. </w:t>
      </w:r>
    </w:p>
    <w:p w:rsidR="00BA2F70" w:rsidRPr="00F93681" w:rsidRDefault="00BA2F70">
      <w:pPr>
        <w:widowControl/>
        <w:jc w:val="left"/>
        <w:rPr>
          <w:szCs w:val="22"/>
        </w:rPr>
      </w:pPr>
      <w:r w:rsidRPr="00F93681">
        <w:rPr>
          <w:szCs w:val="22"/>
        </w:rPr>
        <w:br w:type="page"/>
      </w:r>
    </w:p>
    <w:p w:rsidR="004064B4" w:rsidRPr="00F93681" w:rsidRDefault="004064B4" w:rsidP="004064B4">
      <w:pPr>
        <w:widowControl/>
        <w:rPr>
          <w:szCs w:val="22"/>
        </w:rPr>
      </w:pPr>
    </w:p>
    <w:p w:rsidR="004064B4" w:rsidRPr="00F93681" w:rsidRDefault="004064B4" w:rsidP="00D15766">
      <w:pPr>
        <w:widowControl/>
        <w:ind w:firstLine="720"/>
        <w:jc w:val="left"/>
        <w:rPr>
          <w:rStyle w:val="CommentReference"/>
        </w:rPr>
      </w:pPr>
      <w:r w:rsidRPr="00F93681">
        <w:rPr>
          <w:rStyle w:val="CommentReference"/>
        </w:rPr>
        <w:t>Table 1: Trials and associated reports presented in the submission</w:t>
      </w:r>
    </w:p>
    <w:tbl>
      <w:tblPr>
        <w:tblW w:w="467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Summary of clinical trials"/>
      </w:tblPr>
      <w:tblGrid>
        <w:gridCol w:w="852"/>
        <w:gridCol w:w="5952"/>
        <w:gridCol w:w="1682"/>
      </w:tblGrid>
      <w:tr w:rsidR="004064B4" w:rsidRPr="00F93681" w:rsidTr="0095449E">
        <w:trPr>
          <w:tblHeader/>
        </w:trPr>
        <w:tc>
          <w:tcPr>
            <w:tcW w:w="502" w:type="pct"/>
          </w:tcPr>
          <w:p w:rsidR="004064B4" w:rsidRPr="00F93681" w:rsidRDefault="004064B4" w:rsidP="0095449E">
            <w:pPr>
              <w:keepLines/>
              <w:jc w:val="left"/>
              <w:rPr>
                <w:rFonts w:ascii="Arial Narrow" w:hAnsi="Arial Narrow"/>
                <w:b/>
                <w:sz w:val="20"/>
              </w:rPr>
            </w:pPr>
            <w:r w:rsidRPr="00F93681">
              <w:rPr>
                <w:rFonts w:ascii="Arial Narrow" w:hAnsi="Arial Narrow"/>
                <w:b/>
                <w:sz w:val="20"/>
              </w:rPr>
              <w:t>Trial ID/First Author</w:t>
            </w:r>
          </w:p>
        </w:tc>
        <w:tc>
          <w:tcPr>
            <w:tcW w:w="3507" w:type="pct"/>
          </w:tcPr>
          <w:p w:rsidR="004064B4" w:rsidRPr="00F93681" w:rsidRDefault="004064B4" w:rsidP="0095449E">
            <w:pPr>
              <w:keepLines/>
              <w:jc w:val="center"/>
              <w:rPr>
                <w:rFonts w:ascii="Arial Narrow" w:hAnsi="Arial Narrow"/>
                <w:b/>
                <w:sz w:val="20"/>
              </w:rPr>
            </w:pPr>
            <w:r w:rsidRPr="00F93681">
              <w:rPr>
                <w:rFonts w:ascii="Arial Narrow" w:hAnsi="Arial Narrow"/>
                <w:b/>
                <w:sz w:val="20"/>
              </w:rPr>
              <w:t>Protocol title/ Publication title</w:t>
            </w:r>
          </w:p>
        </w:tc>
        <w:tc>
          <w:tcPr>
            <w:tcW w:w="991" w:type="pct"/>
          </w:tcPr>
          <w:p w:rsidR="004064B4" w:rsidRPr="00F93681" w:rsidRDefault="004064B4" w:rsidP="0095449E">
            <w:pPr>
              <w:keepLines/>
              <w:jc w:val="center"/>
              <w:rPr>
                <w:rFonts w:ascii="Arial Narrow" w:hAnsi="Arial Narrow"/>
                <w:b/>
                <w:sz w:val="20"/>
              </w:rPr>
            </w:pPr>
            <w:r w:rsidRPr="00F93681">
              <w:rPr>
                <w:rFonts w:ascii="Arial Narrow" w:hAnsi="Arial Narrow"/>
                <w:b/>
                <w:sz w:val="20"/>
              </w:rPr>
              <w:t>Publication citation</w:t>
            </w:r>
          </w:p>
        </w:tc>
      </w:tr>
      <w:tr w:rsidR="007116CC" w:rsidRPr="00F93681" w:rsidTr="00AE4A64">
        <w:trPr>
          <w:tblHeader/>
        </w:trPr>
        <w:tc>
          <w:tcPr>
            <w:tcW w:w="5000" w:type="pct"/>
            <w:gridSpan w:val="3"/>
          </w:tcPr>
          <w:p w:rsidR="007116CC" w:rsidRPr="00F93681" w:rsidRDefault="002E5A16" w:rsidP="00AE4A64">
            <w:pPr>
              <w:keepNext/>
              <w:keepLines/>
              <w:jc w:val="left"/>
              <w:rPr>
                <w:rFonts w:ascii="Arial Narrow" w:hAnsi="Arial Narrow"/>
                <w:b/>
                <w:sz w:val="20"/>
              </w:rPr>
            </w:pPr>
            <w:r w:rsidRPr="00F93681">
              <w:rPr>
                <w:rFonts w:ascii="Arial Narrow" w:hAnsi="Arial Narrow"/>
                <w:b/>
                <w:sz w:val="20"/>
              </w:rPr>
              <w:t>Bioequivalence study</w:t>
            </w:r>
          </w:p>
        </w:tc>
      </w:tr>
      <w:tr w:rsidR="007116CC" w:rsidRPr="00F93681" w:rsidTr="00AE4A64">
        <w:trPr>
          <w:tblHeader/>
        </w:trPr>
        <w:tc>
          <w:tcPr>
            <w:tcW w:w="502" w:type="pct"/>
          </w:tcPr>
          <w:p w:rsidR="007116CC" w:rsidRPr="00F93681" w:rsidRDefault="007116CC" w:rsidP="00AE4A64">
            <w:pPr>
              <w:keepNext/>
              <w:keepLines/>
              <w:jc w:val="left"/>
              <w:rPr>
                <w:rFonts w:ascii="Arial Narrow" w:hAnsi="Arial Narrow"/>
                <w:sz w:val="20"/>
              </w:rPr>
            </w:pPr>
            <w:r w:rsidRPr="00F93681">
              <w:rPr>
                <w:rFonts w:ascii="Arial Narrow" w:hAnsi="Arial Narrow"/>
                <w:sz w:val="20"/>
              </w:rPr>
              <w:t>Study 511</w:t>
            </w:r>
          </w:p>
        </w:tc>
        <w:tc>
          <w:tcPr>
            <w:tcW w:w="3507" w:type="pct"/>
          </w:tcPr>
          <w:p w:rsidR="007116CC" w:rsidRPr="00F93681" w:rsidRDefault="00405C8C" w:rsidP="00AE4A64">
            <w:pPr>
              <w:keepNext/>
              <w:keepLines/>
              <w:jc w:val="left"/>
              <w:rPr>
                <w:rFonts w:ascii="Arial Narrow" w:hAnsi="Arial Narrow"/>
                <w:sz w:val="20"/>
              </w:rPr>
            </w:pPr>
            <w:r w:rsidRPr="00F93681">
              <w:rPr>
                <w:rFonts w:ascii="Arial Narrow" w:hAnsi="Arial Narrow"/>
                <w:sz w:val="20"/>
              </w:rPr>
              <w:t>A randomized, 5-period, crossover study in healthy subjects to assess the bioequivalence of atazanavir when co-administered with cobicistat as a fixed dose combination relative to the single agents following a light meal, the relative bioavailability of atazanavir when co-administered with cobicistat as a fixed dose combination relative to the single agents under fasted conditions, and the effect of food on the bioavailability of atazanavir in the fixed dose combination</w:t>
            </w:r>
            <w:r w:rsidR="007116CC" w:rsidRPr="00F93681">
              <w:rPr>
                <w:rFonts w:ascii="Arial Narrow" w:hAnsi="Arial Narrow"/>
                <w:sz w:val="20"/>
              </w:rPr>
              <w:t xml:space="preserve">. Clinical Study Report: AI424511. </w:t>
            </w:r>
          </w:p>
          <w:p w:rsidR="007116CC" w:rsidRPr="00F93681" w:rsidRDefault="007116CC" w:rsidP="00AE4A64">
            <w:pPr>
              <w:keepNext/>
              <w:keepLines/>
              <w:jc w:val="left"/>
              <w:rPr>
                <w:rFonts w:ascii="Arial Narrow" w:hAnsi="Arial Narrow"/>
                <w:sz w:val="20"/>
              </w:rPr>
            </w:pPr>
            <w:r w:rsidRPr="00F93681">
              <w:rPr>
                <w:rFonts w:ascii="Arial Narrow" w:hAnsi="Arial Narrow"/>
                <w:sz w:val="20"/>
              </w:rPr>
              <w:t>Clinicaltrials.gov ID:  NCT01837719</w:t>
            </w:r>
          </w:p>
          <w:p w:rsidR="007116CC" w:rsidRPr="00F93681" w:rsidRDefault="007116CC" w:rsidP="00AE4A64">
            <w:pPr>
              <w:keepNext/>
              <w:keepLines/>
              <w:jc w:val="left"/>
              <w:rPr>
                <w:rFonts w:ascii="Arial Narrow" w:hAnsi="Arial Narrow"/>
                <w:sz w:val="20"/>
              </w:rPr>
            </w:pPr>
          </w:p>
          <w:p w:rsidR="007116CC" w:rsidRPr="00F93681" w:rsidRDefault="007116CC" w:rsidP="00AE4A64">
            <w:pPr>
              <w:keepNext/>
              <w:keepLines/>
              <w:jc w:val="left"/>
              <w:rPr>
                <w:rFonts w:ascii="Arial Narrow" w:hAnsi="Arial Narrow"/>
                <w:b/>
                <w:sz w:val="20"/>
              </w:rPr>
            </w:pPr>
            <w:r w:rsidRPr="00F93681">
              <w:rPr>
                <w:rFonts w:ascii="Arial Narrow" w:hAnsi="Arial Narrow"/>
                <w:sz w:val="20"/>
              </w:rPr>
              <w:t xml:space="preserve">Tao X, </w:t>
            </w:r>
            <w:proofErr w:type="spellStart"/>
            <w:r w:rsidRPr="00F93681">
              <w:rPr>
                <w:rFonts w:ascii="Arial Narrow" w:hAnsi="Arial Narrow"/>
                <w:sz w:val="20"/>
              </w:rPr>
              <w:t>Sevinsky</w:t>
            </w:r>
            <w:proofErr w:type="spellEnd"/>
            <w:r w:rsidRPr="00F93681">
              <w:rPr>
                <w:rFonts w:ascii="Arial Narrow" w:hAnsi="Arial Narrow"/>
                <w:sz w:val="20"/>
              </w:rPr>
              <w:t xml:space="preserve"> H, Wang R </w:t>
            </w:r>
            <w:r w:rsidRPr="00F93681">
              <w:rPr>
                <w:rFonts w:ascii="Arial Narrow" w:hAnsi="Arial Narrow"/>
                <w:i/>
                <w:sz w:val="20"/>
              </w:rPr>
              <w:t>et al.</w:t>
            </w:r>
            <w:r w:rsidRPr="00F93681">
              <w:rPr>
                <w:rFonts w:ascii="Arial Narrow" w:hAnsi="Arial Narrow"/>
                <w:sz w:val="20"/>
              </w:rPr>
              <w:t xml:space="preserve"> Atazanavir/cobicistat fixed-dose combination is bioequivalent to the individual components. [abstract]</w:t>
            </w:r>
          </w:p>
        </w:tc>
        <w:tc>
          <w:tcPr>
            <w:tcW w:w="991" w:type="pct"/>
          </w:tcPr>
          <w:p w:rsidR="007116CC" w:rsidRPr="00F93681" w:rsidRDefault="007116CC" w:rsidP="00AE4A64">
            <w:pPr>
              <w:keepLines/>
              <w:jc w:val="left"/>
              <w:rPr>
                <w:rFonts w:ascii="Arial Narrow" w:hAnsi="Arial Narrow"/>
                <w:sz w:val="20"/>
              </w:rPr>
            </w:pPr>
            <w:r w:rsidRPr="00F93681">
              <w:rPr>
                <w:rFonts w:ascii="Arial Narrow" w:hAnsi="Arial Narrow"/>
                <w:sz w:val="20"/>
              </w:rPr>
              <w:t>22 November 2013</w:t>
            </w:r>
          </w:p>
          <w:p w:rsidR="007116CC" w:rsidRPr="00F93681" w:rsidRDefault="007116CC" w:rsidP="00AE4A64">
            <w:pPr>
              <w:keepLines/>
              <w:jc w:val="left"/>
              <w:rPr>
                <w:rFonts w:ascii="Arial Narrow" w:hAnsi="Arial Narrow"/>
                <w:sz w:val="20"/>
              </w:rPr>
            </w:pPr>
          </w:p>
          <w:p w:rsidR="007116CC" w:rsidRPr="00F93681" w:rsidRDefault="007116CC" w:rsidP="00AE4A64">
            <w:pPr>
              <w:keepLines/>
              <w:jc w:val="left"/>
              <w:rPr>
                <w:rFonts w:ascii="Arial Narrow" w:hAnsi="Arial Narrow"/>
                <w:sz w:val="20"/>
              </w:rPr>
            </w:pPr>
          </w:p>
          <w:p w:rsidR="007116CC" w:rsidRPr="00F93681" w:rsidRDefault="007116CC" w:rsidP="00AE4A64">
            <w:pPr>
              <w:keepLines/>
              <w:jc w:val="left"/>
              <w:rPr>
                <w:rFonts w:ascii="Arial Narrow" w:hAnsi="Arial Narrow"/>
                <w:sz w:val="20"/>
              </w:rPr>
            </w:pPr>
          </w:p>
          <w:p w:rsidR="007116CC" w:rsidRPr="00F93681" w:rsidRDefault="007116CC" w:rsidP="00AE4A64">
            <w:pPr>
              <w:keepLines/>
              <w:jc w:val="left"/>
              <w:rPr>
                <w:rFonts w:ascii="Arial Narrow" w:hAnsi="Arial Narrow"/>
                <w:sz w:val="20"/>
              </w:rPr>
            </w:pPr>
          </w:p>
          <w:p w:rsidR="007116CC" w:rsidRPr="00F93681" w:rsidRDefault="007116CC" w:rsidP="00AE4A64">
            <w:pPr>
              <w:keepLines/>
              <w:jc w:val="left"/>
              <w:rPr>
                <w:rFonts w:ascii="Arial Narrow" w:hAnsi="Arial Narrow"/>
                <w:sz w:val="20"/>
              </w:rPr>
            </w:pPr>
          </w:p>
          <w:p w:rsidR="007116CC" w:rsidRPr="00F93681" w:rsidRDefault="007116CC" w:rsidP="00AE4A64">
            <w:pPr>
              <w:keepLines/>
              <w:jc w:val="left"/>
              <w:rPr>
                <w:rFonts w:ascii="Arial Narrow" w:hAnsi="Arial Narrow"/>
                <w:sz w:val="20"/>
              </w:rPr>
            </w:pPr>
          </w:p>
          <w:p w:rsidR="007116CC" w:rsidRPr="00F93681" w:rsidRDefault="007116CC" w:rsidP="00AE4A64">
            <w:pPr>
              <w:keepLines/>
              <w:jc w:val="left"/>
              <w:rPr>
                <w:rFonts w:ascii="Arial Narrow" w:hAnsi="Arial Narrow"/>
                <w:sz w:val="20"/>
              </w:rPr>
            </w:pPr>
          </w:p>
          <w:p w:rsidR="007116CC" w:rsidRPr="00F93681" w:rsidRDefault="007116CC" w:rsidP="00AE4A64">
            <w:pPr>
              <w:keepLines/>
              <w:jc w:val="left"/>
              <w:rPr>
                <w:rFonts w:ascii="Arial Narrow" w:hAnsi="Arial Narrow"/>
                <w:sz w:val="20"/>
              </w:rPr>
            </w:pPr>
          </w:p>
          <w:p w:rsidR="007116CC" w:rsidRPr="00F93681" w:rsidRDefault="007116CC" w:rsidP="00AE4A64">
            <w:pPr>
              <w:keepLines/>
              <w:jc w:val="left"/>
              <w:rPr>
                <w:rFonts w:ascii="Arial Narrow" w:hAnsi="Arial Narrow"/>
                <w:b/>
                <w:sz w:val="20"/>
              </w:rPr>
            </w:pPr>
            <w:r w:rsidRPr="00F93681">
              <w:rPr>
                <w:rFonts w:ascii="Arial Narrow" w:hAnsi="Arial Narrow"/>
                <w:i/>
                <w:sz w:val="20"/>
              </w:rPr>
              <w:t xml:space="preserve">HIV Medicine </w:t>
            </w:r>
            <w:r w:rsidRPr="00F93681">
              <w:rPr>
                <w:rFonts w:ascii="Arial Narrow" w:hAnsi="Arial Narrow"/>
                <w:sz w:val="20"/>
              </w:rPr>
              <w:t>15 (Supplement 3): 116</w:t>
            </w:r>
          </w:p>
        </w:tc>
      </w:tr>
      <w:tr w:rsidR="004064B4" w:rsidRPr="00F93681" w:rsidTr="0095449E">
        <w:trPr>
          <w:tblHeader/>
        </w:trPr>
        <w:tc>
          <w:tcPr>
            <w:tcW w:w="5000" w:type="pct"/>
            <w:gridSpan w:val="3"/>
          </w:tcPr>
          <w:p w:rsidR="004064B4" w:rsidRPr="00F93681" w:rsidRDefault="004064B4" w:rsidP="0095449E">
            <w:pPr>
              <w:keepLines/>
              <w:jc w:val="left"/>
              <w:rPr>
                <w:rFonts w:ascii="Arial Narrow" w:hAnsi="Arial Narrow"/>
                <w:b/>
                <w:sz w:val="20"/>
              </w:rPr>
            </w:pPr>
            <w:r w:rsidRPr="00F93681">
              <w:rPr>
                <w:rFonts w:ascii="Arial Narrow" w:hAnsi="Arial Narrow"/>
                <w:b/>
                <w:sz w:val="20"/>
              </w:rPr>
              <w:t>Direct randomised trials</w:t>
            </w:r>
          </w:p>
        </w:tc>
      </w:tr>
      <w:tr w:rsidR="004064B4" w:rsidRPr="00F93681" w:rsidTr="0095449E">
        <w:trPr>
          <w:tblHeader/>
        </w:trPr>
        <w:tc>
          <w:tcPr>
            <w:tcW w:w="502" w:type="pct"/>
          </w:tcPr>
          <w:p w:rsidR="004064B4" w:rsidRPr="00F93681" w:rsidRDefault="004064B4" w:rsidP="0095449E">
            <w:pPr>
              <w:keepLines/>
              <w:jc w:val="left"/>
              <w:rPr>
                <w:rFonts w:ascii="Arial Narrow" w:hAnsi="Arial Narrow"/>
                <w:sz w:val="20"/>
              </w:rPr>
            </w:pPr>
            <w:r w:rsidRPr="00F93681">
              <w:rPr>
                <w:rFonts w:ascii="Arial Narrow" w:hAnsi="Arial Narrow"/>
                <w:sz w:val="20"/>
              </w:rPr>
              <w:t>Study 114</w:t>
            </w:r>
          </w:p>
        </w:tc>
        <w:tc>
          <w:tcPr>
            <w:tcW w:w="3507" w:type="pct"/>
          </w:tcPr>
          <w:p w:rsidR="004064B4" w:rsidRPr="00F93681" w:rsidRDefault="00405C8C" w:rsidP="0095449E">
            <w:pPr>
              <w:keepLines/>
              <w:jc w:val="left"/>
              <w:rPr>
                <w:rFonts w:ascii="Arial Narrow" w:hAnsi="Arial Narrow"/>
                <w:sz w:val="20"/>
              </w:rPr>
            </w:pPr>
            <w:r w:rsidRPr="00F93681">
              <w:rPr>
                <w:rFonts w:ascii="Arial Narrow" w:hAnsi="Arial Narrow"/>
                <w:sz w:val="20"/>
              </w:rPr>
              <w:t xml:space="preserve">A phase 3, randomized, double-blind study to evaluate the safety and efficacy of GS-9350-boosted atazanavir versus ritonavir-boosted atazanavir each administered with </w:t>
            </w:r>
            <w:proofErr w:type="spellStart"/>
            <w:r w:rsidRPr="00F93681">
              <w:rPr>
                <w:rFonts w:ascii="Arial Narrow" w:hAnsi="Arial Narrow"/>
                <w:sz w:val="20"/>
              </w:rPr>
              <w:t>emtricitabine</w:t>
            </w:r>
            <w:proofErr w:type="spellEnd"/>
            <w:r w:rsidRPr="00F93681">
              <w:rPr>
                <w:rFonts w:ascii="Arial Narrow" w:hAnsi="Arial Narrow"/>
                <w:sz w:val="20"/>
              </w:rPr>
              <w:t>/</w:t>
            </w:r>
            <w:proofErr w:type="spellStart"/>
            <w:r w:rsidRPr="00F93681">
              <w:rPr>
                <w:rFonts w:ascii="Arial Narrow" w:hAnsi="Arial Narrow"/>
                <w:sz w:val="20"/>
              </w:rPr>
              <w:t>tenofovir</w:t>
            </w:r>
            <w:proofErr w:type="spellEnd"/>
            <w:r w:rsidRPr="00F93681">
              <w:rPr>
                <w:rFonts w:ascii="Arial Narrow" w:hAnsi="Arial Narrow"/>
                <w:sz w:val="20"/>
              </w:rPr>
              <w:t xml:space="preserve"> </w:t>
            </w:r>
            <w:proofErr w:type="spellStart"/>
            <w:r w:rsidRPr="00F93681">
              <w:rPr>
                <w:rFonts w:ascii="Arial Narrow" w:hAnsi="Arial Narrow"/>
                <w:sz w:val="20"/>
              </w:rPr>
              <w:t>disoproxil</w:t>
            </w:r>
            <w:proofErr w:type="spellEnd"/>
            <w:r w:rsidRPr="00F93681">
              <w:rPr>
                <w:rFonts w:ascii="Arial Narrow" w:hAnsi="Arial Narrow"/>
                <w:sz w:val="20"/>
              </w:rPr>
              <w:t xml:space="preserve"> </w:t>
            </w:r>
            <w:proofErr w:type="spellStart"/>
            <w:r w:rsidRPr="00F93681">
              <w:rPr>
                <w:rFonts w:ascii="Arial Narrow" w:hAnsi="Arial Narrow"/>
                <w:sz w:val="20"/>
              </w:rPr>
              <w:t>fumarate</w:t>
            </w:r>
            <w:proofErr w:type="spellEnd"/>
            <w:r w:rsidRPr="00F93681">
              <w:rPr>
                <w:rFonts w:ascii="Arial Narrow" w:hAnsi="Arial Narrow"/>
                <w:sz w:val="20"/>
              </w:rPr>
              <w:t xml:space="preserve"> in HIV-1 infected, antiretroviral treatment-naive adults</w:t>
            </w:r>
            <w:r w:rsidR="004064B4" w:rsidRPr="00F93681">
              <w:rPr>
                <w:rFonts w:ascii="Arial Narrow" w:hAnsi="Arial Narrow"/>
                <w:sz w:val="20"/>
              </w:rPr>
              <w:t xml:space="preserve">. Interim Week 48 Clinical Study Report: GS-US-216-0114. </w:t>
            </w:r>
          </w:p>
          <w:p w:rsidR="004064B4" w:rsidRPr="00F93681" w:rsidRDefault="004064B4" w:rsidP="0095449E">
            <w:pPr>
              <w:keepLines/>
              <w:jc w:val="left"/>
              <w:rPr>
                <w:rFonts w:ascii="Arial Narrow" w:hAnsi="Arial Narrow"/>
                <w:sz w:val="20"/>
              </w:rPr>
            </w:pPr>
            <w:r w:rsidRPr="00F93681">
              <w:rPr>
                <w:rFonts w:ascii="Arial Narrow" w:hAnsi="Arial Narrow"/>
                <w:sz w:val="20"/>
              </w:rPr>
              <w:t>Clinicaltrials.gov ID: NCT01108510</w:t>
            </w:r>
          </w:p>
          <w:p w:rsidR="004064B4" w:rsidRPr="00F93681" w:rsidRDefault="004064B4" w:rsidP="0095449E">
            <w:pPr>
              <w:keepLines/>
              <w:jc w:val="left"/>
              <w:rPr>
                <w:rFonts w:ascii="Arial Narrow" w:hAnsi="Arial Narrow"/>
                <w:sz w:val="20"/>
              </w:rPr>
            </w:pPr>
          </w:p>
          <w:p w:rsidR="004064B4" w:rsidRPr="00F93681" w:rsidRDefault="00332EA0" w:rsidP="0095449E">
            <w:pPr>
              <w:keepLines/>
              <w:jc w:val="left"/>
              <w:rPr>
                <w:rFonts w:ascii="Arial Narrow" w:hAnsi="Arial Narrow"/>
                <w:b/>
                <w:sz w:val="20"/>
              </w:rPr>
            </w:pPr>
            <w:r w:rsidRPr="00F93681">
              <w:rPr>
                <w:rFonts w:ascii="Arial Narrow" w:hAnsi="Arial Narrow"/>
                <w:sz w:val="20"/>
              </w:rPr>
              <w:t xml:space="preserve">Gallant JE, Koenig E, Andrade-Villanueva J </w:t>
            </w:r>
            <w:r w:rsidRPr="00F93681">
              <w:rPr>
                <w:rFonts w:ascii="Arial Narrow" w:hAnsi="Arial Narrow"/>
                <w:i/>
                <w:sz w:val="20"/>
              </w:rPr>
              <w:t>et al.</w:t>
            </w:r>
            <w:r w:rsidRPr="00F93681">
              <w:rPr>
                <w:rFonts w:ascii="Arial Narrow" w:hAnsi="Arial Narrow"/>
                <w:sz w:val="20"/>
              </w:rPr>
              <w:t xml:space="preserve"> Cobicistat versus ritonavir as a </w:t>
            </w:r>
            <w:proofErr w:type="spellStart"/>
            <w:r w:rsidRPr="00F93681">
              <w:rPr>
                <w:rFonts w:ascii="Arial Narrow" w:hAnsi="Arial Narrow"/>
                <w:sz w:val="20"/>
              </w:rPr>
              <w:t>pharmacoenhancer</w:t>
            </w:r>
            <w:proofErr w:type="spellEnd"/>
            <w:r w:rsidRPr="00F93681">
              <w:rPr>
                <w:rFonts w:ascii="Arial Narrow" w:hAnsi="Arial Narrow"/>
                <w:sz w:val="20"/>
              </w:rPr>
              <w:t xml:space="preserve"> of atazanavir plus </w:t>
            </w:r>
            <w:proofErr w:type="spellStart"/>
            <w:r w:rsidRPr="00F93681">
              <w:rPr>
                <w:rFonts w:ascii="Arial Narrow" w:hAnsi="Arial Narrow"/>
                <w:sz w:val="20"/>
              </w:rPr>
              <w:t>emtricitabine</w:t>
            </w:r>
            <w:proofErr w:type="spellEnd"/>
            <w:r w:rsidRPr="00F93681">
              <w:rPr>
                <w:rFonts w:ascii="Arial Narrow" w:hAnsi="Arial Narrow"/>
                <w:sz w:val="20"/>
              </w:rPr>
              <w:t>/</w:t>
            </w:r>
            <w:proofErr w:type="spellStart"/>
            <w:r w:rsidRPr="00F93681">
              <w:rPr>
                <w:rFonts w:ascii="Arial Narrow" w:hAnsi="Arial Narrow"/>
                <w:sz w:val="20"/>
              </w:rPr>
              <w:t>tenofovir</w:t>
            </w:r>
            <w:proofErr w:type="spellEnd"/>
            <w:r w:rsidRPr="00F93681">
              <w:rPr>
                <w:rFonts w:ascii="Arial Narrow" w:hAnsi="Arial Narrow"/>
                <w:sz w:val="20"/>
              </w:rPr>
              <w:t xml:space="preserve"> </w:t>
            </w:r>
            <w:proofErr w:type="spellStart"/>
            <w:r w:rsidRPr="00F93681">
              <w:rPr>
                <w:rFonts w:ascii="Arial Narrow" w:hAnsi="Arial Narrow"/>
                <w:sz w:val="20"/>
              </w:rPr>
              <w:t>disoproxil</w:t>
            </w:r>
            <w:proofErr w:type="spellEnd"/>
            <w:r w:rsidRPr="00F93681">
              <w:rPr>
                <w:rFonts w:ascii="Arial Narrow" w:hAnsi="Arial Narrow"/>
                <w:sz w:val="20"/>
              </w:rPr>
              <w:t xml:space="preserve"> </w:t>
            </w:r>
            <w:proofErr w:type="spellStart"/>
            <w:r w:rsidRPr="00F93681">
              <w:rPr>
                <w:rFonts w:ascii="Arial Narrow" w:hAnsi="Arial Narrow"/>
                <w:sz w:val="20"/>
              </w:rPr>
              <w:t>fumarate</w:t>
            </w:r>
            <w:proofErr w:type="spellEnd"/>
            <w:r w:rsidRPr="00F93681">
              <w:rPr>
                <w:rFonts w:ascii="Arial Narrow" w:hAnsi="Arial Narrow"/>
                <w:sz w:val="20"/>
              </w:rPr>
              <w:t xml:space="preserve"> in treatment-naive HIV type 1-infected patients: Week 48 results.</w:t>
            </w:r>
          </w:p>
        </w:tc>
        <w:tc>
          <w:tcPr>
            <w:tcW w:w="991" w:type="pct"/>
          </w:tcPr>
          <w:p w:rsidR="004064B4" w:rsidRPr="00F93681" w:rsidRDefault="004064B4" w:rsidP="0095449E">
            <w:pPr>
              <w:keepLines/>
              <w:jc w:val="left"/>
              <w:rPr>
                <w:rFonts w:ascii="Arial Narrow" w:hAnsi="Arial Narrow"/>
                <w:sz w:val="20"/>
              </w:rPr>
            </w:pPr>
            <w:r w:rsidRPr="00F93681">
              <w:rPr>
                <w:rFonts w:ascii="Arial Narrow" w:hAnsi="Arial Narrow"/>
                <w:sz w:val="20"/>
              </w:rPr>
              <w:t>23 January 2012</w:t>
            </w:r>
          </w:p>
          <w:p w:rsidR="004064B4" w:rsidRPr="00F93681" w:rsidRDefault="004064B4" w:rsidP="0095449E">
            <w:pPr>
              <w:keepLines/>
              <w:jc w:val="left"/>
              <w:rPr>
                <w:rFonts w:ascii="Arial Narrow" w:hAnsi="Arial Narrow"/>
                <w:i/>
                <w:sz w:val="20"/>
              </w:rPr>
            </w:pPr>
          </w:p>
          <w:p w:rsidR="004064B4" w:rsidRPr="00F93681" w:rsidRDefault="004064B4" w:rsidP="0095449E">
            <w:pPr>
              <w:keepLines/>
              <w:jc w:val="left"/>
              <w:rPr>
                <w:rFonts w:ascii="Arial Narrow" w:hAnsi="Arial Narrow"/>
                <w:i/>
                <w:sz w:val="20"/>
              </w:rPr>
            </w:pPr>
          </w:p>
          <w:p w:rsidR="004064B4" w:rsidRPr="00F93681" w:rsidRDefault="004064B4" w:rsidP="0095449E">
            <w:pPr>
              <w:keepLines/>
              <w:jc w:val="left"/>
              <w:rPr>
                <w:rFonts w:ascii="Arial Narrow" w:hAnsi="Arial Narrow"/>
                <w:i/>
                <w:sz w:val="20"/>
              </w:rPr>
            </w:pPr>
          </w:p>
          <w:p w:rsidR="004064B4" w:rsidRPr="00F93681" w:rsidRDefault="004064B4" w:rsidP="0095449E">
            <w:pPr>
              <w:keepLines/>
              <w:jc w:val="left"/>
              <w:rPr>
                <w:rFonts w:ascii="Arial Narrow" w:hAnsi="Arial Narrow"/>
                <w:i/>
                <w:sz w:val="20"/>
              </w:rPr>
            </w:pPr>
          </w:p>
          <w:p w:rsidR="004064B4" w:rsidRPr="00F93681" w:rsidRDefault="004064B4" w:rsidP="0095449E">
            <w:pPr>
              <w:keepLines/>
              <w:jc w:val="left"/>
              <w:rPr>
                <w:rFonts w:ascii="Arial Narrow" w:hAnsi="Arial Narrow"/>
                <w:i/>
                <w:sz w:val="20"/>
              </w:rPr>
            </w:pPr>
          </w:p>
          <w:p w:rsidR="004064B4" w:rsidRPr="00F93681" w:rsidRDefault="004064B4" w:rsidP="0095449E">
            <w:pPr>
              <w:keepLines/>
              <w:jc w:val="left"/>
              <w:rPr>
                <w:rFonts w:ascii="Arial Narrow" w:hAnsi="Arial Narrow"/>
                <w:i/>
                <w:sz w:val="20"/>
              </w:rPr>
            </w:pPr>
          </w:p>
          <w:p w:rsidR="004064B4" w:rsidRPr="00F93681" w:rsidRDefault="004064B4" w:rsidP="0095449E">
            <w:pPr>
              <w:keepLines/>
              <w:jc w:val="left"/>
              <w:rPr>
                <w:rFonts w:ascii="Arial Narrow" w:hAnsi="Arial Narrow"/>
                <w:b/>
                <w:sz w:val="20"/>
              </w:rPr>
            </w:pPr>
            <w:r w:rsidRPr="00F93681">
              <w:rPr>
                <w:rFonts w:ascii="Arial Narrow" w:hAnsi="Arial Narrow"/>
                <w:i/>
                <w:sz w:val="20"/>
              </w:rPr>
              <w:t xml:space="preserve">Journal of Infectious Diseases </w:t>
            </w:r>
            <w:r w:rsidRPr="00F93681">
              <w:rPr>
                <w:rFonts w:ascii="Arial Narrow" w:hAnsi="Arial Narrow"/>
                <w:sz w:val="20"/>
              </w:rPr>
              <w:t>208 (1): 32-39</w:t>
            </w:r>
          </w:p>
        </w:tc>
      </w:tr>
      <w:tr w:rsidR="004064B4" w:rsidRPr="00F93681" w:rsidTr="0095449E">
        <w:trPr>
          <w:tblHeader/>
        </w:trPr>
        <w:tc>
          <w:tcPr>
            <w:tcW w:w="502" w:type="pct"/>
          </w:tcPr>
          <w:p w:rsidR="004064B4" w:rsidRPr="00F93681" w:rsidRDefault="004064B4" w:rsidP="0095449E">
            <w:pPr>
              <w:keepLines/>
              <w:jc w:val="left"/>
              <w:rPr>
                <w:rFonts w:ascii="Arial Narrow" w:hAnsi="Arial Narrow"/>
                <w:sz w:val="20"/>
              </w:rPr>
            </w:pPr>
            <w:r w:rsidRPr="00F93681">
              <w:rPr>
                <w:rFonts w:ascii="Arial Narrow" w:hAnsi="Arial Narrow"/>
                <w:sz w:val="20"/>
              </w:rPr>
              <w:t>Study 105</w:t>
            </w:r>
          </w:p>
        </w:tc>
        <w:tc>
          <w:tcPr>
            <w:tcW w:w="3507" w:type="pct"/>
          </w:tcPr>
          <w:p w:rsidR="004064B4" w:rsidRPr="00F93681" w:rsidRDefault="004064B4" w:rsidP="0095449E">
            <w:pPr>
              <w:keepLines/>
              <w:jc w:val="left"/>
              <w:rPr>
                <w:rFonts w:ascii="Arial Narrow" w:hAnsi="Arial Narrow"/>
                <w:sz w:val="20"/>
              </w:rPr>
            </w:pPr>
            <w:r w:rsidRPr="00F93681">
              <w:rPr>
                <w:rFonts w:ascii="Arial Narrow" w:hAnsi="Arial Narrow"/>
                <w:sz w:val="20"/>
              </w:rPr>
              <w:t xml:space="preserve">A </w:t>
            </w:r>
            <w:r w:rsidR="00405C8C" w:rsidRPr="00F93681">
              <w:rPr>
                <w:rFonts w:ascii="Arial Narrow" w:hAnsi="Arial Narrow"/>
                <w:sz w:val="20"/>
              </w:rPr>
              <w:t xml:space="preserve">phase 2, randomized, double-blinded study of the safety and efficacy of </w:t>
            </w:r>
            <w:r w:rsidRPr="00F93681">
              <w:rPr>
                <w:rFonts w:ascii="Arial Narrow" w:hAnsi="Arial Narrow"/>
                <w:sz w:val="20"/>
              </w:rPr>
              <w:t xml:space="preserve">GS-9350-boosted </w:t>
            </w:r>
            <w:r w:rsidR="00405C8C" w:rsidRPr="00F93681">
              <w:rPr>
                <w:rFonts w:ascii="Arial Narrow" w:hAnsi="Arial Narrow"/>
                <w:sz w:val="20"/>
              </w:rPr>
              <w:t>a</w:t>
            </w:r>
            <w:r w:rsidRPr="00F93681">
              <w:rPr>
                <w:rFonts w:ascii="Arial Narrow" w:hAnsi="Arial Narrow"/>
                <w:sz w:val="20"/>
              </w:rPr>
              <w:t xml:space="preserve">tazanavir (ATV/GS-9350) </w:t>
            </w:r>
            <w:r w:rsidR="00405C8C" w:rsidRPr="00F93681">
              <w:rPr>
                <w:rFonts w:ascii="Arial Narrow" w:hAnsi="Arial Narrow"/>
                <w:sz w:val="20"/>
              </w:rPr>
              <w:t>compared to ritonavir-boosted atazanavir</w:t>
            </w:r>
            <w:r w:rsidRPr="00F93681">
              <w:rPr>
                <w:rFonts w:ascii="Arial Narrow" w:hAnsi="Arial Narrow"/>
                <w:sz w:val="20"/>
              </w:rPr>
              <w:t xml:space="preserve"> (ATV/r) in </w:t>
            </w:r>
            <w:r w:rsidR="00405C8C" w:rsidRPr="00F93681">
              <w:rPr>
                <w:rFonts w:ascii="Arial Narrow" w:hAnsi="Arial Narrow"/>
                <w:sz w:val="20"/>
              </w:rPr>
              <w:t xml:space="preserve">combination with </w:t>
            </w:r>
            <w:proofErr w:type="spellStart"/>
            <w:r w:rsidR="00405C8C" w:rsidRPr="00F93681">
              <w:rPr>
                <w:rFonts w:ascii="Arial Narrow" w:hAnsi="Arial Narrow"/>
                <w:sz w:val="20"/>
              </w:rPr>
              <w:t>emtricitabine</w:t>
            </w:r>
            <w:proofErr w:type="spellEnd"/>
            <w:r w:rsidR="00405C8C" w:rsidRPr="00F93681">
              <w:rPr>
                <w:rFonts w:ascii="Arial Narrow" w:hAnsi="Arial Narrow"/>
                <w:sz w:val="20"/>
              </w:rPr>
              <w:t>/</w:t>
            </w:r>
            <w:proofErr w:type="spellStart"/>
            <w:r w:rsidR="00405C8C" w:rsidRPr="00F93681">
              <w:rPr>
                <w:rFonts w:ascii="Arial Narrow" w:hAnsi="Arial Narrow"/>
                <w:sz w:val="20"/>
              </w:rPr>
              <w:t>tenofovir</w:t>
            </w:r>
            <w:proofErr w:type="spellEnd"/>
            <w:r w:rsidR="00405C8C" w:rsidRPr="00F93681">
              <w:rPr>
                <w:rFonts w:ascii="Arial Narrow" w:hAnsi="Arial Narrow"/>
                <w:sz w:val="20"/>
              </w:rPr>
              <w:t xml:space="preserve"> </w:t>
            </w:r>
            <w:proofErr w:type="spellStart"/>
            <w:r w:rsidR="00405C8C" w:rsidRPr="00F93681">
              <w:rPr>
                <w:rFonts w:ascii="Arial Narrow" w:hAnsi="Arial Narrow"/>
                <w:sz w:val="20"/>
              </w:rPr>
              <w:t>disoproxil</w:t>
            </w:r>
            <w:proofErr w:type="spellEnd"/>
            <w:r w:rsidR="00405C8C" w:rsidRPr="00F93681">
              <w:rPr>
                <w:rFonts w:ascii="Arial Narrow" w:hAnsi="Arial Narrow"/>
                <w:sz w:val="20"/>
              </w:rPr>
              <w:t xml:space="preserve"> </w:t>
            </w:r>
            <w:proofErr w:type="spellStart"/>
            <w:r w:rsidR="00405C8C" w:rsidRPr="00F93681">
              <w:rPr>
                <w:rFonts w:ascii="Arial Narrow" w:hAnsi="Arial Narrow"/>
                <w:sz w:val="20"/>
              </w:rPr>
              <w:t>fumarate</w:t>
            </w:r>
            <w:proofErr w:type="spellEnd"/>
            <w:r w:rsidRPr="00F93681">
              <w:rPr>
                <w:rFonts w:ascii="Arial Narrow" w:hAnsi="Arial Narrow"/>
                <w:sz w:val="20"/>
              </w:rPr>
              <w:t xml:space="preserve"> (FTC/TDF) in HIV-1 </w:t>
            </w:r>
            <w:r w:rsidR="00405C8C" w:rsidRPr="00F93681">
              <w:rPr>
                <w:rFonts w:ascii="Arial Narrow" w:hAnsi="Arial Narrow"/>
                <w:sz w:val="20"/>
              </w:rPr>
              <w:t>infected, antiretroviral treatment-naïve adults</w:t>
            </w:r>
            <w:r w:rsidRPr="00F93681">
              <w:rPr>
                <w:rFonts w:ascii="Arial Narrow" w:hAnsi="Arial Narrow"/>
                <w:sz w:val="20"/>
              </w:rPr>
              <w:t xml:space="preserve">. Clinical Study Report: GS-US-216-0105. </w:t>
            </w:r>
          </w:p>
          <w:p w:rsidR="004064B4" w:rsidRPr="00F93681" w:rsidRDefault="004064B4" w:rsidP="0095449E">
            <w:pPr>
              <w:keepLines/>
              <w:jc w:val="left"/>
              <w:rPr>
                <w:rFonts w:ascii="Arial Narrow" w:hAnsi="Arial Narrow"/>
                <w:sz w:val="20"/>
              </w:rPr>
            </w:pPr>
            <w:r w:rsidRPr="00F93681">
              <w:rPr>
                <w:rFonts w:ascii="Arial Narrow" w:hAnsi="Arial Narrow"/>
                <w:sz w:val="20"/>
              </w:rPr>
              <w:t>Clinicaltrials.gov ID:  NCT00892437</w:t>
            </w:r>
          </w:p>
          <w:p w:rsidR="004064B4" w:rsidRPr="00F93681" w:rsidRDefault="004064B4" w:rsidP="0095449E">
            <w:pPr>
              <w:keepLines/>
              <w:jc w:val="left"/>
              <w:rPr>
                <w:rFonts w:ascii="Arial Narrow" w:hAnsi="Arial Narrow"/>
                <w:sz w:val="20"/>
              </w:rPr>
            </w:pPr>
          </w:p>
          <w:p w:rsidR="004064B4" w:rsidRPr="00F93681" w:rsidRDefault="00332EA0" w:rsidP="0095449E">
            <w:pPr>
              <w:keepLines/>
              <w:jc w:val="left"/>
              <w:rPr>
                <w:rFonts w:ascii="Arial Narrow" w:hAnsi="Arial Narrow"/>
                <w:sz w:val="20"/>
              </w:rPr>
            </w:pPr>
            <w:r w:rsidRPr="00F93681">
              <w:rPr>
                <w:rFonts w:ascii="Arial Narrow" w:hAnsi="Arial Narrow"/>
                <w:sz w:val="20"/>
              </w:rPr>
              <w:t xml:space="preserve">Elion R, Cohen C, </w:t>
            </w:r>
            <w:proofErr w:type="spellStart"/>
            <w:r w:rsidRPr="00F93681">
              <w:rPr>
                <w:rFonts w:ascii="Arial Narrow" w:hAnsi="Arial Narrow"/>
                <w:sz w:val="20"/>
              </w:rPr>
              <w:t>Gathe</w:t>
            </w:r>
            <w:proofErr w:type="spellEnd"/>
            <w:r w:rsidRPr="00F93681">
              <w:rPr>
                <w:rFonts w:ascii="Arial Narrow" w:hAnsi="Arial Narrow"/>
                <w:sz w:val="20"/>
              </w:rPr>
              <w:t xml:space="preserve"> J </w:t>
            </w:r>
            <w:r w:rsidRPr="00F93681">
              <w:rPr>
                <w:rFonts w:ascii="Arial Narrow" w:hAnsi="Arial Narrow"/>
                <w:i/>
                <w:sz w:val="20"/>
              </w:rPr>
              <w:t>et al.</w:t>
            </w:r>
            <w:r w:rsidRPr="00F93681">
              <w:rPr>
                <w:rFonts w:ascii="Arial Narrow" w:hAnsi="Arial Narrow"/>
                <w:sz w:val="20"/>
              </w:rPr>
              <w:t xml:space="preserve"> Phase 2 study of cobicistat versus ritonavir each with once-daily atazanavir and fixed-dose </w:t>
            </w:r>
            <w:proofErr w:type="spellStart"/>
            <w:r w:rsidRPr="00F93681">
              <w:rPr>
                <w:rFonts w:ascii="Arial Narrow" w:hAnsi="Arial Narrow"/>
                <w:sz w:val="20"/>
              </w:rPr>
              <w:t>emtricitabine</w:t>
            </w:r>
            <w:proofErr w:type="spellEnd"/>
            <w:r w:rsidRPr="00F93681">
              <w:rPr>
                <w:rFonts w:ascii="Arial Narrow" w:hAnsi="Arial Narrow"/>
                <w:sz w:val="20"/>
              </w:rPr>
              <w:t xml:space="preserve">/ </w:t>
            </w:r>
            <w:proofErr w:type="spellStart"/>
            <w:r w:rsidRPr="00F93681">
              <w:rPr>
                <w:rFonts w:ascii="Arial Narrow" w:hAnsi="Arial Narrow"/>
                <w:sz w:val="20"/>
              </w:rPr>
              <w:t>tenofovir</w:t>
            </w:r>
            <w:proofErr w:type="spellEnd"/>
            <w:r w:rsidRPr="00F93681">
              <w:rPr>
                <w:rFonts w:ascii="Arial Narrow" w:hAnsi="Arial Narrow"/>
                <w:sz w:val="20"/>
              </w:rPr>
              <w:t xml:space="preserve"> </w:t>
            </w:r>
            <w:proofErr w:type="spellStart"/>
            <w:r w:rsidRPr="00F93681">
              <w:rPr>
                <w:rFonts w:ascii="Arial Narrow" w:hAnsi="Arial Narrow"/>
                <w:sz w:val="20"/>
              </w:rPr>
              <w:t>df</w:t>
            </w:r>
            <w:proofErr w:type="spellEnd"/>
            <w:r w:rsidRPr="00F93681">
              <w:rPr>
                <w:rFonts w:ascii="Arial Narrow" w:hAnsi="Arial Narrow"/>
                <w:sz w:val="20"/>
              </w:rPr>
              <w:t xml:space="preserve"> in the initial treatment of HIV infection.</w:t>
            </w:r>
          </w:p>
        </w:tc>
        <w:tc>
          <w:tcPr>
            <w:tcW w:w="991" w:type="pct"/>
          </w:tcPr>
          <w:p w:rsidR="004064B4" w:rsidRPr="00F93681" w:rsidRDefault="004064B4" w:rsidP="0095449E">
            <w:pPr>
              <w:keepLines/>
              <w:jc w:val="left"/>
              <w:rPr>
                <w:rFonts w:ascii="Arial Narrow" w:hAnsi="Arial Narrow"/>
                <w:sz w:val="20"/>
              </w:rPr>
            </w:pPr>
            <w:r w:rsidRPr="00F93681">
              <w:rPr>
                <w:rFonts w:ascii="Arial Narrow" w:hAnsi="Arial Narrow"/>
                <w:sz w:val="20"/>
              </w:rPr>
              <w:t>31 August 2011</w:t>
            </w:r>
          </w:p>
          <w:p w:rsidR="004064B4" w:rsidRPr="00F93681" w:rsidRDefault="004064B4" w:rsidP="0095449E">
            <w:pPr>
              <w:keepLines/>
              <w:jc w:val="left"/>
              <w:rPr>
                <w:rFonts w:ascii="Arial Narrow" w:hAnsi="Arial Narrow"/>
                <w:sz w:val="20"/>
              </w:rPr>
            </w:pPr>
          </w:p>
          <w:p w:rsidR="004064B4" w:rsidRPr="00F93681" w:rsidRDefault="004064B4" w:rsidP="0095449E">
            <w:pPr>
              <w:keepLines/>
              <w:jc w:val="left"/>
              <w:rPr>
                <w:rFonts w:ascii="Arial Narrow" w:hAnsi="Arial Narrow"/>
                <w:sz w:val="20"/>
              </w:rPr>
            </w:pPr>
          </w:p>
          <w:p w:rsidR="004064B4" w:rsidRPr="00F93681" w:rsidRDefault="004064B4" w:rsidP="0095449E">
            <w:pPr>
              <w:keepLines/>
              <w:jc w:val="left"/>
              <w:rPr>
                <w:rFonts w:ascii="Arial Narrow" w:hAnsi="Arial Narrow"/>
                <w:sz w:val="20"/>
              </w:rPr>
            </w:pPr>
          </w:p>
          <w:p w:rsidR="004064B4" w:rsidRPr="00F93681" w:rsidRDefault="004064B4" w:rsidP="0095449E">
            <w:pPr>
              <w:keepLines/>
              <w:jc w:val="left"/>
              <w:rPr>
                <w:rFonts w:ascii="Arial Narrow" w:hAnsi="Arial Narrow"/>
                <w:sz w:val="20"/>
              </w:rPr>
            </w:pPr>
          </w:p>
          <w:p w:rsidR="004064B4" w:rsidRPr="00F93681" w:rsidRDefault="004064B4" w:rsidP="0095449E">
            <w:pPr>
              <w:keepLines/>
              <w:jc w:val="left"/>
              <w:rPr>
                <w:rFonts w:ascii="Arial Narrow" w:hAnsi="Arial Narrow"/>
                <w:sz w:val="20"/>
              </w:rPr>
            </w:pPr>
          </w:p>
          <w:p w:rsidR="004064B4" w:rsidRPr="00F93681" w:rsidRDefault="004064B4" w:rsidP="0095449E">
            <w:pPr>
              <w:keepLines/>
              <w:jc w:val="left"/>
              <w:rPr>
                <w:rFonts w:ascii="Arial Narrow" w:hAnsi="Arial Narrow"/>
                <w:sz w:val="20"/>
              </w:rPr>
            </w:pPr>
          </w:p>
          <w:p w:rsidR="004064B4" w:rsidRPr="00F93681" w:rsidRDefault="004064B4" w:rsidP="0095449E">
            <w:pPr>
              <w:keepLines/>
              <w:jc w:val="left"/>
              <w:rPr>
                <w:rFonts w:ascii="Arial Narrow" w:hAnsi="Arial Narrow"/>
                <w:sz w:val="20"/>
              </w:rPr>
            </w:pPr>
            <w:r w:rsidRPr="00F93681">
              <w:rPr>
                <w:rFonts w:ascii="Arial Narrow" w:hAnsi="Arial Narrow"/>
                <w:i/>
                <w:sz w:val="20"/>
              </w:rPr>
              <w:t xml:space="preserve">AIDS </w:t>
            </w:r>
            <w:r w:rsidRPr="00F93681">
              <w:rPr>
                <w:rFonts w:ascii="Arial Narrow" w:hAnsi="Arial Narrow"/>
                <w:sz w:val="20"/>
              </w:rPr>
              <w:t>25 (15): 1881-1886</w:t>
            </w:r>
          </w:p>
        </w:tc>
      </w:tr>
    </w:tbl>
    <w:p w:rsidR="004064B4" w:rsidRPr="00F93681" w:rsidRDefault="004064B4" w:rsidP="0095449E">
      <w:pPr>
        <w:pStyle w:val="TableFooter"/>
        <w:keepLines/>
        <w:ind w:firstLine="720"/>
        <w:rPr>
          <w:szCs w:val="22"/>
        </w:rPr>
      </w:pPr>
      <w:r w:rsidRPr="00F93681">
        <w:t>Source: Table B.2.2, p39 of the submission</w:t>
      </w:r>
    </w:p>
    <w:p w:rsidR="004064B4" w:rsidRPr="00F93681" w:rsidRDefault="004064B4" w:rsidP="004064B4">
      <w:pPr>
        <w:widowControl/>
        <w:rPr>
          <w:szCs w:val="22"/>
        </w:rPr>
      </w:pPr>
    </w:p>
    <w:p w:rsidR="004064B4" w:rsidRPr="00F93681" w:rsidRDefault="004064B4" w:rsidP="009F088A">
      <w:pPr>
        <w:pStyle w:val="ListParagraph"/>
        <w:widowControl/>
        <w:numPr>
          <w:ilvl w:val="1"/>
          <w:numId w:val="5"/>
        </w:numPr>
        <w:rPr>
          <w:szCs w:val="22"/>
        </w:rPr>
      </w:pPr>
      <w:r w:rsidRPr="00F93681">
        <w:rPr>
          <w:szCs w:val="22"/>
        </w:rPr>
        <w:t xml:space="preserve">The key features of the direct randomised trials are summarised in the table below. </w:t>
      </w:r>
    </w:p>
    <w:p w:rsidR="004064B4" w:rsidRPr="00F93681" w:rsidRDefault="004064B4" w:rsidP="004064B4">
      <w:pPr>
        <w:widowControl/>
        <w:rPr>
          <w:szCs w:val="22"/>
        </w:rPr>
      </w:pPr>
    </w:p>
    <w:p w:rsidR="004064B4" w:rsidRPr="00F93681" w:rsidRDefault="004064B4" w:rsidP="004064B4">
      <w:pPr>
        <w:keepNext/>
        <w:keepLines/>
        <w:ind w:firstLine="720"/>
        <w:rPr>
          <w:rStyle w:val="CommentReference"/>
        </w:rPr>
      </w:pPr>
      <w:r w:rsidRPr="00F93681">
        <w:rPr>
          <w:rStyle w:val="CommentReference"/>
        </w:rPr>
        <w:lastRenderedPageBreak/>
        <w:t>Table 2: 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Key features of trials"/>
      </w:tblPr>
      <w:tblGrid>
        <w:gridCol w:w="1131"/>
        <w:gridCol w:w="713"/>
        <w:gridCol w:w="1676"/>
        <w:gridCol w:w="1035"/>
        <w:gridCol w:w="2101"/>
        <w:gridCol w:w="1679"/>
        <w:gridCol w:w="10"/>
      </w:tblGrid>
      <w:tr w:rsidR="004064B4" w:rsidRPr="00F93681" w:rsidTr="0071685F">
        <w:trPr>
          <w:gridAfter w:val="1"/>
          <w:wAfter w:w="6" w:type="pct"/>
          <w:tblHeader/>
        </w:trPr>
        <w:tc>
          <w:tcPr>
            <w:tcW w:w="678" w:type="pct"/>
            <w:shd w:val="clear" w:color="auto" w:fill="auto"/>
            <w:vAlign w:val="center"/>
          </w:tcPr>
          <w:p w:rsidR="004064B4" w:rsidRPr="00F93681" w:rsidRDefault="004064B4" w:rsidP="0071685F">
            <w:pPr>
              <w:keepNext/>
              <w:keepLines/>
              <w:jc w:val="left"/>
              <w:rPr>
                <w:rFonts w:ascii="Arial Narrow" w:hAnsi="Arial Narrow"/>
                <w:b/>
                <w:sz w:val="20"/>
              </w:rPr>
            </w:pPr>
            <w:r w:rsidRPr="00F93681">
              <w:rPr>
                <w:rFonts w:ascii="Arial Narrow" w:hAnsi="Arial Narrow"/>
                <w:b/>
                <w:sz w:val="20"/>
              </w:rPr>
              <w:t>Trial</w:t>
            </w:r>
          </w:p>
        </w:tc>
        <w:tc>
          <w:tcPr>
            <w:tcW w:w="427" w:type="pct"/>
            <w:shd w:val="clear" w:color="auto" w:fill="auto"/>
            <w:vAlign w:val="center"/>
          </w:tcPr>
          <w:p w:rsidR="004064B4" w:rsidRPr="00F93681" w:rsidRDefault="004064B4" w:rsidP="0071685F">
            <w:pPr>
              <w:keepNext/>
              <w:keepLines/>
              <w:jc w:val="center"/>
              <w:rPr>
                <w:rFonts w:ascii="Arial Narrow" w:hAnsi="Arial Narrow"/>
                <w:b/>
                <w:sz w:val="20"/>
              </w:rPr>
            </w:pPr>
            <w:r w:rsidRPr="00F93681">
              <w:rPr>
                <w:rFonts w:ascii="Arial Narrow" w:hAnsi="Arial Narrow"/>
                <w:b/>
                <w:sz w:val="20"/>
              </w:rPr>
              <w:t>N</w:t>
            </w:r>
          </w:p>
        </w:tc>
        <w:tc>
          <w:tcPr>
            <w:tcW w:w="1004" w:type="pct"/>
            <w:shd w:val="clear" w:color="auto" w:fill="auto"/>
            <w:vAlign w:val="center"/>
          </w:tcPr>
          <w:p w:rsidR="004064B4" w:rsidRPr="00F93681" w:rsidRDefault="004064B4" w:rsidP="0071685F">
            <w:pPr>
              <w:keepNext/>
              <w:keepLines/>
              <w:jc w:val="center"/>
              <w:rPr>
                <w:rFonts w:ascii="Arial Narrow" w:hAnsi="Arial Narrow"/>
                <w:b/>
                <w:sz w:val="20"/>
              </w:rPr>
            </w:pPr>
            <w:r w:rsidRPr="00F93681">
              <w:rPr>
                <w:rFonts w:ascii="Arial Narrow" w:hAnsi="Arial Narrow"/>
                <w:b/>
                <w:sz w:val="20"/>
              </w:rPr>
              <w:t>Design/ duration</w:t>
            </w:r>
          </w:p>
        </w:tc>
        <w:tc>
          <w:tcPr>
            <w:tcW w:w="620" w:type="pct"/>
            <w:shd w:val="clear" w:color="auto" w:fill="auto"/>
            <w:vAlign w:val="center"/>
          </w:tcPr>
          <w:p w:rsidR="004064B4" w:rsidRPr="00F93681" w:rsidRDefault="004064B4" w:rsidP="0071685F">
            <w:pPr>
              <w:keepNext/>
              <w:keepLines/>
              <w:jc w:val="center"/>
              <w:rPr>
                <w:rFonts w:ascii="Arial Narrow" w:hAnsi="Arial Narrow"/>
                <w:b/>
                <w:sz w:val="20"/>
              </w:rPr>
            </w:pPr>
            <w:r w:rsidRPr="00F93681">
              <w:rPr>
                <w:rFonts w:ascii="Arial Narrow" w:hAnsi="Arial Narrow"/>
                <w:b/>
                <w:sz w:val="20"/>
              </w:rPr>
              <w:t>Risk of bias</w:t>
            </w:r>
          </w:p>
        </w:tc>
        <w:tc>
          <w:tcPr>
            <w:tcW w:w="1259" w:type="pct"/>
            <w:shd w:val="clear" w:color="auto" w:fill="auto"/>
            <w:vAlign w:val="center"/>
          </w:tcPr>
          <w:p w:rsidR="004064B4" w:rsidRPr="00F93681" w:rsidRDefault="004064B4" w:rsidP="0071685F">
            <w:pPr>
              <w:keepNext/>
              <w:keepLines/>
              <w:jc w:val="center"/>
              <w:rPr>
                <w:rFonts w:ascii="Arial Narrow" w:hAnsi="Arial Narrow"/>
                <w:b/>
                <w:sz w:val="20"/>
              </w:rPr>
            </w:pPr>
            <w:r w:rsidRPr="00F93681">
              <w:rPr>
                <w:rFonts w:ascii="Arial Narrow" w:hAnsi="Arial Narrow"/>
                <w:b/>
                <w:sz w:val="20"/>
              </w:rPr>
              <w:t>Patient population</w:t>
            </w:r>
          </w:p>
        </w:tc>
        <w:tc>
          <w:tcPr>
            <w:tcW w:w="1006" w:type="pct"/>
            <w:shd w:val="clear" w:color="auto" w:fill="auto"/>
            <w:vAlign w:val="center"/>
          </w:tcPr>
          <w:p w:rsidR="004064B4" w:rsidRPr="00F93681" w:rsidRDefault="004064B4" w:rsidP="0071685F">
            <w:pPr>
              <w:keepNext/>
              <w:keepLines/>
              <w:jc w:val="center"/>
              <w:rPr>
                <w:rFonts w:ascii="Arial Narrow" w:hAnsi="Arial Narrow"/>
                <w:b/>
                <w:sz w:val="20"/>
              </w:rPr>
            </w:pPr>
            <w:r w:rsidRPr="00F93681">
              <w:rPr>
                <w:rFonts w:ascii="Arial Narrow" w:hAnsi="Arial Narrow"/>
                <w:b/>
                <w:sz w:val="20"/>
              </w:rPr>
              <w:t>Outcomes</w:t>
            </w:r>
          </w:p>
        </w:tc>
      </w:tr>
      <w:tr w:rsidR="007116CC" w:rsidRPr="00F93681" w:rsidTr="00AE4A64">
        <w:tc>
          <w:tcPr>
            <w:tcW w:w="5000" w:type="pct"/>
            <w:gridSpan w:val="7"/>
            <w:shd w:val="clear" w:color="auto" w:fill="auto"/>
            <w:vAlign w:val="center"/>
          </w:tcPr>
          <w:p w:rsidR="007116CC" w:rsidRPr="00F93681" w:rsidRDefault="007116CC" w:rsidP="00AE4A64">
            <w:pPr>
              <w:keepNext/>
              <w:keepLines/>
              <w:jc w:val="left"/>
              <w:rPr>
                <w:rFonts w:ascii="Arial Narrow" w:hAnsi="Arial Narrow"/>
                <w:b/>
                <w:sz w:val="20"/>
              </w:rPr>
            </w:pPr>
            <w:r w:rsidRPr="00F93681">
              <w:rPr>
                <w:rFonts w:ascii="Arial Narrow" w:hAnsi="Arial Narrow"/>
                <w:b/>
                <w:sz w:val="20"/>
              </w:rPr>
              <w:t>Bioequivalence crossover study</w:t>
            </w:r>
          </w:p>
        </w:tc>
      </w:tr>
      <w:tr w:rsidR="007116CC" w:rsidRPr="00F93681" w:rsidTr="00AE4A64">
        <w:trPr>
          <w:gridAfter w:val="1"/>
          <w:wAfter w:w="6" w:type="pct"/>
        </w:trPr>
        <w:tc>
          <w:tcPr>
            <w:tcW w:w="678" w:type="pct"/>
            <w:shd w:val="clear" w:color="auto" w:fill="auto"/>
            <w:vAlign w:val="center"/>
          </w:tcPr>
          <w:p w:rsidR="007116CC" w:rsidRPr="00F93681" w:rsidRDefault="007116CC" w:rsidP="00AE4A64">
            <w:pPr>
              <w:keepNext/>
              <w:keepLines/>
              <w:jc w:val="left"/>
              <w:rPr>
                <w:rFonts w:ascii="Arial Narrow" w:hAnsi="Arial Narrow"/>
                <w:sz w:val="20"/>
              </w:rPr>
            </w:pPr>
            <w:r w:rsidRPr="00F93681">
              <w:rPr>
                <w:rFonts w:ascii="Arial Narrow" w:hAnsi="Arial Narrow"/>
                <w:sz w:val="20"/>
              </w:rPr>
              <w:t>Study 511</w:t>
            </w:r>
          </w:p>
        </w:tc>
        <w:tc>
          <w:tcPr>
            <w:tcW w:w="427" w:type="pct"/>
            <w:shd w:val="clear" w:color="auto" w:fill="auto"/>
            <w:vAlign w:val="center"/>
          </w:tcPr>
          <w:p w:rsidR="007116CC" w:rsidRPr="00F93681" w:rsidRDefault="007116CC" w:rsidP="00AE4A64">
            <w:pPr>
              <w:keepNext/>
              <w:keepLines/>
              <w:jc w:val="center"/>
              <w:rPr>
                <w:rFonts w:ascii="Arial Narrow" w:hAnsi="Arial Narrow"/>
                <w:sz w:val="20"/>
              </w:rPr>
            </w:pPr>
            <w:r w:rsidRPr="00F93681">
              <w:rPr>
                <w:rFonts w:ascii="Arial Narrow" w:hAnsi="Arial Narrow"/>
                <w:sz w:val="20"/>
              </w:rPr>
              <w:t>64</w:t>
            </w:r>
          </w:p>
        </w:tc>
        <w:tc>
          <w:tcPr>
            <w:tcW w:w="1004" w:type="pct"/>
            <w:shd w:val="clear" w:color="auto" w:fill="auto"/>
            <w:vAlign w:val="center"/>
          </w:tcPr>
          <w:p w:rsidR="007116CC" w:rsidRPr="00F93681" w:rsidRDefault="007116CC" w:rsidP="00AE4A64">
            <w:pPr>
              <w:keepNext/>
              <w:keepLines/>
              <w:jc w:val="center"/>
              <w:rPr>
                <w:rFonts w:ascii="Arial Narrow" w:hAnsi="Arial Narrow"/>
                <w:sz w:val="20"/>
              </w:rPr>
            </w:pPr>
            <w:r w:rsidRPr="00F93681">
              <w:rPr>
                <w:rFonts w:ascii="Arial Narrow" w:hAnsi="Arial Narrow"/>
                <w:sz w:val="20"/>
              </w:rPr>
              <w:t>R, OL, CO, 31 days</w:t>
            </w:r>
          </w:p>
        </w:tc>
        <w:tc>
          <w:tcPr>
            <w:tcW w:w="620" w:type="pct"/>
            <w:shd w:val="clear" w:color="auto" w:fill="auto"/>
            <w:vAlign w:val="center"/>
          </w:tcPr>
          <w:p w:rsidR="007116CC" w:rsidRPr="00F93681" w:rsidRDefault="007116CC" w:rsidP="00AE4A64">
            <w:pPr>
              <w:keepNext/>
              <w:keepLines/>
              <w:jc w:val="center"/>
              <w:rPr>
                <w:rFonts w:ascii="Arial Narrow" w:hAnsi="Arial Narrow"/>
                <w:sz w:val="20"/>
              </w:rPr>
            </w:pPr>
            <w:r w:rsidRPr="00F93681">
              <w:rPr>
                <w:rFonts w:ascii="Arial Narrow" w:hAnsi="Arial Narrow"/>
                <w:sz w:val="20"/>
              </w:rPr>
              <w:t>Low</w:t>
            </w:r>
          </w:p>
        </w:tc>
        <w:tc>
          <w:tcPr>
            <w:tcW w:w="1259" w:type="pct"/>
            <w:shd w:val="clear" w:color="auto" w:fill="auto"/>
            <w:vAlign w:val="center"/>
          </w:tcPr>
          <w:p w:rsidR="007116CC" w:rsidRPr="00F93681" w:rsidRDefault="007116CC" w:rsidP="00AE4A64">
            <w:pPr>
              <w:keepNext/>
              <w:keepLines/>
              <w:jc w:val="left"/>
              <w:rPr>
                <w:rFonts w:ascii="Arial Narrow" w:hAnsi="Arial Narrow"/>
                <w:sz w:val="20"/>
              </w:rPr>
            </w:pPr>
            <w:r w:rsidRPr="00F93681">
              <w:rPr>
                <w:rFonts w:ascii="Arial Narrow" w:hAnsi="Arial Narrow"/>
                <w:sz w:val="20"/>
              </w:rPr>
              <w:t>Healthy, ages 18 to 49 years, BMI 18 to 32 kg/m</w:t>
            </w:r>
            <w:r w:rsidRPr="00F93681">
              <w:rPr>
                <w:rFonts w:ascii="Arial Narrow" w:hAnsi="Arial Narrow"/>
                <w:sz w:val="20"/>
                <w:vertAlign w:val="superscript"/>
              </w:rPr>
              <w:t>2</w:t>
            </w:r>
          </w:p>
        </w:tc>
        <w:tc>
          <w:tcPr>
            <w:tcW w:w="1006" w:type="pct"/>
            <w:shd w:val="clear" w:color="auto" w:fill="auto"/>
            <w:vAlign w:val="center"/>
          </w:tcPr>
          <w:p w:rsidR="007116CC" w:rsidRPr="00F93681" w:rsidRDefault="007116CC" w:rsidP="00AE4A64">
            <w:pPr>
              <w:keepNext/>
              <w:keepLines/>
              <w:jc w:val="left"/>
              <w:rPr>
                <w:rFonts w:ascii="Arial Narrow" w:hAnsi="Arial Narrow"/>
                <w:sz w:val="20"/>
              </w:rPr>
            </w:pPr>
            <w:r w:rsidRPr="00F93681">
              <w:rPr>
                <w:rFonts w:ascii="Arial Narrow" w:hAnsi="Arial Narrow"/>
                <w:sz w:val="20"/>
              </w:rPr>
              <w:t>Plasma concentration parameters</w:t>
            </w:r>
          </w:p>
        </w:tc>
      </w:tr>
      <w:tr w:rsidR="004064B4" w:rsidRPr="00F93681" w:rsidTr="0071685F">
        <w:tc>
          <w:tcPr>
            <w:tcW w:w="5000" w:type="pct"/>
            <w:gridSpan w:val="7"/>
            <w:shd w:val="clear" w:color="auto" w:fill="auto"/>
            <w:vAlign w:val="center"/>
          </w:tcPr>
          <w:p w:rsidR="004064B4" w:rsidRPr="00F93681" w:rsidRDefault="004064B4" w:rsidP="0071685F">
            <w:pPr>
              <w:keepNext/>
              <w:keepLines/>
              <w:jc w:val="left"/>
              <w:rPr>
                <w:rFonts w:ascii="Arial Narrow" w:hAnsi="Arial Narrow"/>
                <w:b/>
                <w:sz w:val="20"/>
              </w:rPr>
            </w:pPr>
            <w:r w:rsidRPr="00F93681">
              <w:rPr>
                <w:rFonts w:ascii="Arial Narrow" w:hAnsi="Arial Narrow"/>
                <w:b/>
                <w:sz w:val="20"/>
              </w:rPr>
              <w:t>Randomised controlled trials</w:t>
            </w:r>
          </w:p>
        </w:tc>
      </w:tr>
      <w:tr w:rsidR="004064B4" w:rsidRPr="00F93681" w:rsidTr="0071685F">
        <w:trPr>
          <w:gridAfter w:val="1"/>
          <w:wAfter w:w="6" w:type="pct"/>
        </w:trPr>
        <w:tc>
          <w:tcPr>
            <w:tcW w:w="678" w:type="pct"/>
            <w:shd w:val="clear" w:color="auto" w:fill="auto"/>
            <w:vAlign w:val="center"/>
          </w:tcPr>
          <w:p w:rsidR="004064B4" w:rsidRPr="00F93681" w:rsidRDefault="009D0602" w:rsidP="0071685F">
            <w:pPr>
              <w:keepNext/>
              <w:keepLines/>
              <w:jc w:val="left"/>
              <w:rPr>
                <w:rFonts w:ascii="Arial Narrow" w:hAnsi="Arial Narrow"/>
                <w:sz w:val="20"/>
              </w:rPr>
            </w:pPr>
            <w:r w:rsidRPr="00F93681">
              <w:rPr>
                <w:rFonts w:ascii="Arial Narrow" w:hAnsi="Arial Narrow"/>
                <w:sz w:val="20"/>
              </w:rPr>
              <w:t>Study 114</w:t>
            </w:r>
          </w:p>
        </w:tc>
        <w:tc>
          <w:tcPr>
            <w:tcW w:w="427" w:type="pct"/>
            <w:shd w:val="clear" w:color="auto" w:fill="auto"/>
            <w:vAlign w:val="center"/>
          </w:tcPr>
          <w:p w:rsidR="004064B4" w:rsidRPr="00F93681" w:rsidRDefault="004064B4" w:rsidP="0071685F">
            <w:pPr>
              <w:keepNext/>
              <w:keepLines/>
              <w:jc w:val="center"/>
              <w:rPr>
                <w:rFonts w:ascii="Arial Narrow" w:hAnsi="Arial Narrow"/>
                <w:sz w:val="20"/>
              </w:rPr>
            </w:pPr>
            <w:r w:rsidRPr="00F93681">
              <w:rPr>
                <w:rFonts w:ascii="Arial Narrow" w:hAnsi="Arial Narrow"/>
                <w:sz w:val="20"/>
              </w:rPr>
              <w:t>698</w:t>
            </w:r>
          </w:p>
        </w:tc>
        <w:tc>
          <w:tcPr>
            <w:tcW w:w="1004" w:type="pct"/>
            <w:shd w:val="clear" w:color="auto" w:fill="auto"/>
            <w:vAlign w:val="center"/>
          </w:tcPr>
          <w:p w:rsidR="004064B4" w:rsidRPr="00F93681" w:rsidRDefault="004064B4" w:rsidP="00290BE7">
            <w:pPr>
              <w:keepNext/>
              <w:keepLines/>
              <w:jc w:val="center"/>
              <w:rPr>
                <w:rFonts w:ascii="Arial Narrow" w:hAnsi="Arial Narrow"/>
                <w:sz w:val="20"/>
              </w:rPr>
            </w:pPr>
            <w:r w:rsidRPr="00F93681">
              <w:rPr>
                <w:rFonts w:ascii="Arial Narrow" w:hAnsi="Arial Narrow"/>
                <w:sz w:val="20"/>
              </w:rPr>
              <w:t xml:space="preserve">R, DB, </w:t>
            </w:r>
            <w:r w:rsidR="00290BE7" w:rsidRPr="00F93681">
              <w:rPr>
                <w:rFonts w:ascii="Arial Narrow" w:hAnsi="Arial Narrow"/>
                <w:sz w:val="20"/>
              </w:rPr>
              <w:t>96</w:t>
            </w:r>
            <w:r w:rsidRPr="00F93681">
              <w:rPr>
                <w:rFonts w:ascii="Arial Narrow" w:hAnsi="Arial Narrow"/>
                <w:sz w:val="20"/>
              </w:rPr>
              <w:t xml:space="preserve"> </w:t>
            </w:r>
            <w:proofErr w:type="spellStart"/>
            <w:r w:rsidRPr="00F93681">
              <w:rPr>
                <w:rFonts w:ascii="Arial Narrow" w:hAnsi="Arial Narrow"/>
                <w:sz w:val="20"/>
              </w:rPr>
              <w:t>wks</w:t>
            </w:r>
            <w:proofErr w:type="spellEnd"/>
            <w:r w:rsidR="00C27AAA" w:rsidRPr="00F93681">
              <w:rPr>
                <w:rFonts w:ascii="Arial Narrow" w:hAnsi="Arial Narrow"/>
                <w:sz w:val="20"/>
              </w:rPr>
              <w:t xml:space="preserve"> </w:t>
            </w:r>
            <w:r w:rsidR="00C27AAA" w:rsidRPr="00F93681">
              <w:rPr>
                <w:rFonts w:ascii="Arial Narrow" w:hAnsi="Arial Narrow"/>
                <w:sz w:val="20"/>
                <w:vertAlign w:val="superscript"/>
              </w:rPr>
              <w:t>a</w:t>
            </w:r>
          </w:p>
        </w:tc>
        <w:tc>
          <w:tcPr>
            <w:tcW w:w="620" w:type="pct"/>
            <w:shd w:val="clear" w:color="auto" w:fill="auto"/>
            <w:vAlign w:val="center"/>
          </w:tcPr>
          <w:p w:rsidR="004064B4" w:rsidRPr="00F93681" w:rsidRDefault="004064B4" w:rsidP="0071685F">
            <w:pPr>
              <w:keepNext/>
              <w:keepLines/>
              <w:jc w:val="center"/>
              <w:rPr>
                <w:rFonts w:ascii="Arial Narrow" w:hAnsi="Arial Narrow"/>
                <w:sz w:val="20"/>
              </w:rPr>
            </w:pPr>
            <w:r w:rsidRPr="00F93681">
              <w:rPr>
                <w:rFonts w:ascii="Arial Narrow" w:hAnsi="Arial Narrow"/>
                <w:sz w:val="20"/>
              </w:rPr>
              <w:t>Low</w:t>
            </w:r>
          </w:p>
        </w:tc>
        <w:tc>
          <w:tcPr>
            <w:tcW w:w="1259" w:type="pct"/>
            <w:shd w:val="clear" w:color="auto" w:fill="auto"/>
            <w:vAlign w:val="center"/>
          </w:tcPr>
          <w:p w:rsidR="004064B4" w:rsidRPr="00F93681" w:rsidRDefault="004064B4" w:rsidP="0036526A">
            <w:pPr>
              <w:keepNext/>
              <w:keepLines/>
              <w:jc w:val="left"/>
              <w:rPr>
                <w:rFonts w:ascii="Arial Narrow" w:hAnsi="Arial Narrow"/>
                <w:sz w:val="20"/>
              </w:rPr>
            </w:pPr>
            <w:r w:rsidRPr="00F93681">
              <w:rPr>
                <w:rFonts w:ascii="Arial Narrow" w:hAnsi="Arial Narrow"/>
                <w:sz w:val="20"/>
              </w:rPr>
              <w:t>HIV infection, adult, treatment-naïve</w:t>
            </w:r>
          </w:p>
        </w:tc>
        <w:tc>
          <w:tcPr>
            <w:tcW w:w="1006" w:type="pct"/>
            <w:shd w:val="clear" w:color="auto" w:fill="auto"/>
            <w:vAlign w:val="center"/>
          </w:tcPr>
          <w:p w:rsidR="004064B4" w:rsidRPr="00F93681" w:rsidRDefault="004064B4" w:rsidP="00C27AAA">
            <w:pPr>
              <w:keepNext/>
              <w:keepLines/>
              <w:jc w:val="left"/>
              <w:rPr>
                <w:rFonts w:ascii="Arial Narrow" w:hAnsi="Arial Narrow"/>
                <w:sz w:val="20"/>
              </w:rPr>
            </w:pPr>
            <w:r w:rsidRPr="00F93681">
              <w:rPr>
                <w:rFonts w:ascii="Arial Narrow" w:hAnsi="Arial Narrow"/>
                <w:sz w:val="20"/>
              </w:rPr>
              <w:t xml:space="preserve">% </w:t>
            </w:r>
            <w:r w:rsidR="0097538B" w:rsidRPr="00F93681">
              <w:rPr>
                <w:rFonts w:ascii="Arial Narrow" w:hAnsi="Arial Narrow"/>
                <w:sz w:val="20"/>
              </w:rPr>
              <w:t xml:space="preserve">patients </w:t>
            </w:r>
            <w:r w:rsidRPr="00F93681">
              <w:rPr>
                <w:rFonts w:ascii="Arial Narrow" w:hAnsi="Arial Narrow"/>
                <w:sz w:val="20"/>
              </w:rPr>
              <w:t xml:space="preserve">with </w:t>
            </w:r>
            <w:proofErr w:type="spellStart"/>
            <w:r w:rsidRPr="00F93681">
              <w:rPr>
                <w:rFonts w:ascii="Arial Narrow" w:hAnsi="Arial Narrow"/>
                <w:sz w:val="20"/>
              </w:rPr>
              <w:t>virologic</w:t>
            </w:r>
            <w:proofErr w:type="spellEnd"/>
            <w:r w:rsidRPr="00F93681">
              <w:rPr>
                <w:rFonts w:ascii="Arial Narrow" w:hAnsi="Arial Narrow"/>
                <w:sz w:val="20"/>
              </w:rPr>
              <w:t xml:space="preserve"> </w:t>
            </w:r>
            <w:r w:rsidR="006F06F8" w:rsidRPr="00F93681">
              <w:rPr>
                <w:rFonts w:ascii="Arial Narrow" w:hAnsi="Arial Narrow"/>
                <w:sz w:val="20"/>
              </w:rPr>
              <w:t>success</w:t>
            </w:r>
            <w:r w:rsidR="007116CC" w:rsidRPr="00F93681">
              <w:rPr>
                <w:rFonts w:ascii="Arial Narrow" w:hAnsi="Arial Narrow"/>
                <w:sz w:val="20"/>
              </w:rPr>
              <w:t xml:space="preserve"> </w:t>
            </w:r>
            <w:r w:rsidR="00C27AAA" w:rsidRPr="00F93681">
              <w:rPr>
                <w:rFonts w:ascii="Arial Narrow" w:hAnsi="Arial Narrow"/>
                <w:sz w:val="20"/>
                <w:vertAlign w:val="superscript"/>
              </w:rPr>
              <w:t>b</w:t>
            </w:r>
          </w:p>
        </w:tc>
      </w:tr>
      <w:tr w:rsidR="004064B4" w:rsidRPr="00F93681" w:rsidTr="0071685F">
        <w:trPr>
          <w:gridAfter w:val="1"/>
          <w:wAfter w:w="6" w:type="pct"/>
        </w:trPr>
        <w:tc>
          <w:tcPr>
            <w:tcW w:w="678" w:type="pct"/>
            <w:shd w:val="clear" w:color="auto" w:fill="auto"/>
            <w:vAlign w:val="center"/>
          </w:tcPr>
          <w:p w:rsidR="004064B4" w:rsidRPr="00F93681" w:rsidRDefault="009D0602" w:rsidP="0071685F">
            <w:pPr>
              <w:keepNext/>
              <w:keepLines/>
              <w:jc w:val="left"/>
              <w:rPr>
                <w:rFonts w:ascii="Arial Narrow" w:hAnsi="Arial Narrow"/>
                <w:sz w:val="20"/>
              </w:rPr>
            </w:pPr>
            <w:r w:rsidRPr="00F93681">
              <w:rPr>
                <w:rFonts w:ascii="Arial Narrow" w:hAnsi="Arial Narrow"/>
                <w:sz w:val="20"/>
              </w:rPr>
              <w:t>Study 105</w:t>
            </w:r>
          </w:p>
        </w:tc>
        <w:tc>
          <w:tcPr>
            <w:tcW w:w="427" w:type="pct"/>
            <w:shd w:val="clear" w:color="auto" w:fill="auto"/>
            <w:vAlign w:val="center"/>
          </w:tcPr>
          <w:p w:rsidR="004064B4" w:rsidRPr="00F93681" w:rsidRDefault="004064B4" w:rsidP="0071685F">
            <w:pPr>
              <w:keepNext/>
              <w:keepLines/>
              <w:jc w:val="center"/>
              <w:rPr>
                <w:rFonts w:ascii="Arial Narrow" w:hAnsi="Arial Narrow"/>
                <w:sz w:val="20"/>
              </w:rPr>
            </w:pPr>
            <w:r w:rsidRPr="00F93681">
              <w:rPr>
                <w:rFonts w:ascii="Arial Narrow" w:hAnsi="Arial Narrow"/>
                <w:sz w:val="20"/>
              </w:rPr>
              <w:t>85</w:t>
            </w:r>
          </w:p>
        </w:tc>
        <w:tc>
          <w:tcPr>
            <w:tcW w:w="1004" w:type="pct"/>
            <w:shd w:val="clear" w:color="auto" w:fill="auto"/>
            <w:vAlign w:val="center"/>
          </w:tcPr>
          <w:p w:rsidR="004064B4" w:rsidRPr="00F93681" w:rsidRDefault="004064B4" w:rsidP="0071685F">
            <w:pPr>
              <w:keepNext/>
              <w:keepLines/>
              <w:jc w:val="center"/>
              <w:rPr>
                <w:rFonts w:ascii="Arial Narrow" w:hAnsi="Arial Narrow"/>
                <w:sz w:val="20"/>
              </w:rPr>
            </w:pPr>
            <w:r w:rsidRPr="00F93681">
              <w:rPr>
                <w:rFonts w:ascii="Arial Narrow" w:hAnsi="Arial Narrow"/>
                <w:sz w:val="20"/>
              </w:rPr>
              <w:t xml:space="preserve">R, DB, 60 </w:t>
            </w:r>
            <w:proofErr w:type="spellStart"/>
            <w:r w:rsidRPr="00F93681">
              <w:rPr>
                <w:rFonts w:ascii="Arial Narrow" w:hAnsi="Arial Narrow"/>
                <w:sz w:val="20"/>
              </w:rPr>
              <w:t>wks</w:t>
            </w:r>
            <w:proofErr w:type="spellEnd"/>
          </w:p>
        </w:tc>
        <w:tc>
          <w:tcPr>
            <w:tcW w:w="620" w:type="pct"/>
            <w:shd w:val="clear" w:color="auto" w:fill="auto"/>
            <w:vAlign w:val="center"/>
          </w:tcPr>
          <w:p w:rsidR="004064B4" w:rsidRPr="00F93681" w:rsidRDefault="004064B4" w:rsidP="0071685F">
            <w:pPr>
              <w:keepNext/>
              <w:keepLines/>
              <w:jc w:val="center"/>
              <w:rPr>
                <w:rFonts w:ascii="Arial Narrow" w:hAnsi="Arial Narrow"/>
                <w:sz w:val="20"/>
              </w:rPr>
            </w:pPr>
            <w:r w:rsidRPr="00F93681">
              <w:rPr>
                <w:rFonts w:ascii="Arial Narrow" w:hAnsi="Arial Narrow"/>
                <w:sz w:val="20"/>
              </w:rPr>
              <w:t>Low</w:t>
            </w:r>
          </w:p>
        </w:tc>
        <w:tc>
          <w:tcPr>
            <w:tcW w:w="1259" w:type="pct"/>
            <w:shd w:val="clear" w:color="auto" w:fill="auto"/>
            <w:vAlign w:val="center"/>
          </w:tcPr>
          <w:p w:rsidR="004064B4" w:rsidRPr="00F93681" w:rsidRDefault="004064B4" w:rsidP="0036526A">
            <w:pPr>
              <w:keepNext/>
              <w:keepLines/>
              <w:jc w:val="left"/>
              <w:rPr>
                <w:rFonts w:ascii="Arial Narrow" w:hAnsi="Arial Narrow"/>
                <w:sz w:val="20"/>
              </w:rPr>
            </w:pPr>
            <w:r w:rsidRPr="00F93681">
              <w:rPr>
                <w:rFonts w:ascii="Arial Narrow" w:hAnsi="Arial Narrow"/>
                <w:sz w:val="20"/>
              </w:rPr>
              <w:t>HIV infection, adult, treatment-naïve</w:t>
            </w:r>
          </w:p>
        </w:tc>
        <w:tc>
          <w:tcPr>
            <w:tcW w:w="1006" w:type="pct"/>
            <w:shd w:val="clear" w:color="auto" w:fill="auto"/>
            <w:vAlign w:val="center"/>
          </w:tcPr>
          <w:p w:rsidR="004064B4" w:rsidRPr="00F93681" w:rsidRDefault="004064B4" w:rsidP="006F06F8">
            <w:pPr>
              <w:keepNext/>
              <w:keepLines/>
              <w:jc w:val="left"/>
              <w:rPr>
                <w:rFonts w:ascii="Arial Narrow" w:hAnsi="Arial Narrow"/>
                <w:sz w:val="20"/>
              </w:rPr>
            </w:pPr>
            <w:r w:rsidRPr="00F93681">
              <w:rPr>
                <w:rFonts w:ascii="Arial Narrow" w:hAnsi="Arial Narrow"/>
                <w:sz w:val="20"/>
              </w:rPr>
              <w:t xml:space="preserve">% </w:t>
            </w:r>
            <w:r w:rsidR="0097538B" w:rsidRPr="00F93681">
              <w:rPr>
                <w:rFonts w:ascii="Arial Narrow" w:hAnsi="Arial Narrow"/>
                <w:sz w:val="20"/>
              </w:rPr>
              <w:t>patients</w:t>
            </w:r>
            <w:r w:rsidRPr="00F93681">
              <w:rPr>
                <w:rFonts w:ascii="Arial Narrow" w:hAnsi="Arial Narrow"/>
                <w:sz w:val="20"/>
              </w:rPr>
              <w:t xml:space="preserve"> with </w:t>
            </w:r>
            <w:proofErr w:type="spellStart"/>
            <w:r w:rsidRPr="00F93681">
              <w:rPr>
                <w:rFonts w:ascii="Arial Narrow" w:hAnsi="Arial Narrow"/>
                <w:sz w:val="20"/>
              </w:rPr>
              <w:t>virologic</w:t>
            </w:r>
            <w:proofErr w:type="spellEnd"/>
            <w:r w:rsidRPr="00F93681">
              <w:rPr>
                <w:rFonts w:ascii="Arial Narrow" w:hAnsi="Arial Narrow"/>
                <w:sz w:val="20"/>
              </w:rPr>
              <w:t xml:space="preserve"> </w:t>
            </w:r>
            <w:r w:rsidR="006F06F8" w:rsidRPr="00F93681">
              <w:rPr>
                <w:rFonts w:ascii="Arial Narrow" w:hAnsi="Arial Narrow"/>
                <w:sz w:val="20"/>
              </w:rPr>
              <w:t>success</w:t>
            </w:r>
          </w:p>
        </w:tc>
      </w:tr>
    </w:tbl>
    <w:p w:rsidR="004064B4" w:rsidRPr="00F93681" w:rsidRDefault="004064B4" w:rsidP="004064B4">
      <w:pPr>
        <w:pStyle w:val="TableFooter"/>
        <w:keepNext/>
        <w:keepLines/>
        <w:ind w:firstLine="720"/>
        <w:rPr>
          <w:i/>
        </w:rPr>
      </w:pPr>
      <w:r w:rsidRPr="0067024F">
        <w:t xml:space="preserve">Source: </w:t>
      </w:r>
      <w:r w:rsidRPr="00F93681">
        <w:rPr>
          <w:i/>
        </w:rPr>
        <w:t>compiled during the evaluation</w:t>
      </w:r>
    </w:p>
    <w:p w:rsidR="004064B4" w:rsidRPr="00F93681" w:rsidRDefault="004064B4" w:rsidP="005D0353">
      <w:pPr>
        <w:pStyle w:val="TableFooter"/>
        <w:keepNext/>
        <w:keepLines/>
        <w:ind w:left="709" w:firstLine="11"/>
      </w:pPr>
      <w:r w:rsidRPr="00F93681">
        <w:t>R = randomised; DB = double blind; OL = open</w:t>
      </w:r>
      <w:r w:rsidR="002D40CB" w:rsidRPr="00F93681">
        <w:t>-</w:t>
      </w:r>
      <w:r w:rsidRPr="00F93681">
        <w:t>label; CO = crossover; BM</w:t>
      </w:r>
      <w:r w:rsidR="00D25DE4" w:rsidRPr="00F93681">
        <w:t>I</w:t>
      </w:r>
      <w:r w:rsidRPr="00F93681">
        <w:t xml:space="preserve"> = body mass index</w:t>
      </w:r>
      <w:r w:rsidR="0095449E" w:rsidRPr="00F93681">
        <w:t xml:space="preserve">; HIV = </w:t>
      </w:r>
      <w:r w:rsidR="005D0353" w:rsidRPr="00F93681">
        <w:t>human immunodeficiency virus</w:t>
      </w:r>
      <w:r w:rsidR="005D0353" w:rsidRPr="00F93681" w:rsidDel="005D0353">
        <w:t xml:space="preserve"> </w:t>
      </w:r>
    </w:p>
    <w:p w:rsidR="00C27AAA" w:rsidRPr="00F93681" w:rsidRDefault="00C27AAA" w:rsidP="00C27AAA">
      <w:pPr>
        <w:pStyle w:val="TableFooter"/>
        <w:ind w:left="709"/>
      </w:pPr>
      <w:proofErr w:type="gramStart"/>
      <w:r w:rsidRPr="00F93681">
        <w:rPr>
          <w:vertAlign w:val="superscript"/>
        </w:rPr>
        <w:t>a</w:t>
      </w:r>
      <w:proofErr w:type="gramEnd"/>
      <w:r w:rsidRPr="00F93681">
        <w:t xml:space="preserve"> Study 114 was designed for 96 weeks of treatment, however, the interim clinical study report provided data at the 48 week time point, which was when the primary efficacy analysis took place. The 96-week CSR was not yet available. </w:t>
      </w:r>
    </w:p>
    <w:p w:rsidR="007116CC" w:rsidRPr="00F93681" w:rsidRDefault="00C27AAA" w:rsidP="00F43AA3">
      <w:pPr>
        <w:pStyle w:val="TableFooter"/>
        <w:keepNext/>
        <w:keepLines/>
        <w:ind w:left="709"/>
      </w:pPr>
      <w:proofErr w:type="gramStart"/>
      <w:r w:rsidRPr="00F93681">
        <w:rPr>
          <w:vertAlign w:val="superscript"/>
        </w:rPr>
        <w:t>b</w:t>
      </w:r>
      <w:proofErr w:type="gramEnd"/>
      <w:r w:rsidR="007116CC" w:rsidRPr="00F93681">
        <w:t xml:space="preserve"> </w:t>
      </w:r>
      <w:proofErr w:type="spellStart"/>
      <w:r w:rsidR="007116CC" w:rsidRPr="00F93681">
        <w:t>Virologic</w:t>
      </w:r>
      <w:proofErr w:type="spellEnd"/>
      <w:r w:rsidR="007116CC" w:rsidRPr="00F93681">
        <w:t xml:space="preserve"> success was defined as HIV-1 RNA &lt; 50 copies/mL at 48 weeks.</w:t>
      </w:r>
    </w:p>
    <w:p w:rsidR="004064B4" w:rsidRPr="00F93681" w:rsidRDefault="004064B4" w:rsidP="004064B4">
      <w:pPr>
        <w:rPr>
          <w:szCs w:val="22"/>
        </w:rPr>
      </w:pPr>
    </w:p>
    <w:p w:rsidR="004064B4" w:rsidRPr="00F538B6" w:rsidRDefault="004064B4" w:rsidP="004064B4">
      <w:pPr>
        <w:pStyle w:val="Heading2"/>
      </w:pPr>
      <w:bookmarkStart w:id="8" w:name="_Toc430012266"/>
      <w:r w:rsidRPr="00F538B6">
        <w:t>Comparative effectiveness</w:t>
      </w:r>
      <w:bookmarkEnd w:id="8"/>
    </w:p>
    <w:p w:rsidR="004064B4" w:rsidRPr="00F93681" w:rsidRDefault="004064B4" w:rsidP="004064B4">
      <w:pPr>
        <w:rPr>
          <w:szCs w:val="22"/>
        </w:rPr>
      </w:pPr>
    </w:p>
    <w:p w:rsidR="00CB7AA0" w:rsidRPr="00F93681" w:rsidRDefault="00CB7AA0" w:rsidP="009F088A">
      <w:pPr>
        <w:pStyle w:val="ListParagraph"/>
        <w:widowControl/>
        <w:numPr>
          <w:ilvl w:val="1"/>
          <w:numId w:val="5"/>
        </w:numPr>
        <w:rPr>
          <w:szCs w:val="22"/>
        </w:rPr>
      </w:pPr>
      <w:r w:rsidRPr="00F93681">
        <w:t xml:space="preserve">Study 511 compared the pharmacokinetic profile of atazanavir/cobicistat FDC with atazanavir plus cobicistat. The two formulations </w:t>
      </w:r>
      <w:r w:rsidR="001C4F3B" w:rsidRPr="00F93681">
        <w:t>were considered bioequivalent because</w:t>
      </w:r>
      <w:r w:rsidRPr="00F93681">
        <w:t xml:space="preserve"> the 90% interval of geometric </w:t>
      </w:r>
      <w:r w:rsidR="00431864" w:rsidRPr="00F93681">
        <w:t xml:space="preserve">least square </w:t>
      </w:r>
      <w:r w:rsidRPr="00F93681">
        <w:t>mean</w:t>
      </w:r>
      <w:r w:rsidR="00431864" w:rsidRPr="00F93681">
        <w:t>s</w:t>
      </w:r>
      <w:r w:rsidRPr="00F93681">
        <w:t xml:space="preserve"> ratios for all analysed parameters fell within the pre-defined range of 0.80 to 1.25. Based on these results, it might have been reasonable to consider the efficacy and safety results for atazanavir plus cobicistat taken concomitantly as representative of the efficacy and safety results of atazanavir/cobicistat FDC.</w:t>
      </w:r>
    </w:p>
    <w:p w:rsidR="00CB7AA0" w:rsidRPr="00F93681" w:rsidRDefault="00CB7AA0" w:rsidP="00CB7AA0">
      <w:pPr>
        <w:pStyle w:val="ListParagraph"/>
        <w:widowControl/>
        <w:rPr>
          <w:szCs w:val="22"/>
        </w:rPr>
      </w:pPr>
    </w:p>
    <w:p w:rsidR="001F55CC" w:rsidRPr="00F93681" w:rsidRDefault="004F11A9" w:rsidP="00F54FFE">
      <w:pPr>
        <w:pStyle w:val="ListParagraph"/>
        <w:widowControl/>
        <w:numPr>
          <w:ilvl w:val="1"/>
          <w:numId w:val="5"/>
        </w:numPr>
        <w:rPr>
          <w:szCs w:val="22"/>
        </w:rPr>
      </w:pPr>
      <w:r w:rsidRPr="00F93681">
        <w:t>The clinically relevant outcome for benefits was the proportion of patients with HIV-1 ribonucleic acid (RNA) less than 50 copies/</w:t>
      </w:r>
      <w:proofErr w:type="spellStart"/>
      <w:r w:rsidRPr="00F93681">
        <w:t>mL.</w:t>
      </w:r>
      <w:proofErr w:type="spellEnd"/>
      <w:r w:rsidRPr="00F93681">
        <w:t xml:space="preserve"> </w:t>
      </w:r>
      <w:r w:rsidR="001F55CC" w:rsidRPr="00F93681">
        <w:t xml:space="preserve">This outcome was measured as the primary outcome in Study 114 and Study 105. The submission noted that, following the </w:t>
      </w:r>
      <w:r w:rsidR="00F54FFE" w:rsidRPr="00F93681">
        <w:t>U.S. Food and Drug Administration</w:t>
      </w:r>
      <w:r w:rsidR="00C2070D" w:rsidRPr="00F93681">
        <w:t xml:space="preserve"> (FDA)</w:t>
      </w:r>
      <w:r w:rsidR="00F54FFE" w:rsidRPr="00F93681">
        <w:t xml:space="preserve"> </w:t>
      </w:r>
      <w:r w:rsidR="001F55CC" w:rsidRPr="00F93681">
        <w:t xml:space="preserve">recommendation, </w:t>
      </w:r>
      <w:proofErr w:type="spellStart"/>
      <w:r w:rsidR="001F55CC" w:rsidRPr="00F93681">
        <w:t>virologic</w:t>
      </w:r>
      <w:proofErr w:type="spellEnd"/>
      <w:r w:rsidR="001F55CC" w:rsidRPr="00F93681">
        <w:t xml:space="preserve"> success was assessed using the snapshot algorithm rather than the time to loss of </w:t>
      </w:r>
      <w:proofErr w:type="spellStart"/>
      <w:r w:rsidR="001F55CC" w:rsidRPr="00F93681">
        <w:t>virologic</w:t>
      </w:r>
      <w:proofErr w:type="spellEnd"/>
      <w:r w:rsidR="001F55CC" w:rsidRPr="00F93681">
        <w:t xml:space="preserve"> response. </w:t>
      </w:r>
    </w:p>
    <w:p w:rsidR="001F55CC" w:rsidRPr="00F93681" w:rsidRDefault="001F55CC" w:rsidP="001F55CC">
      <w:pPr>
        <w:pStyle w:val="ListParagraph"/>
        <w:widowControl/>
        <w:rPr>
          <w:i/>
        </w:rPr>
      </w:pPr>
    </w:p>
    <w:p w:rsidR="004064B4" w:rsidRPr="00F93681" w:rsidRDefault="00220050" w:rsidP="00356278">
      <w:pPr>
        <w:pStyle w:val="ListParagraph"/>
        <w:widowControl/>
        <w:numPr>
          <w:ilvl w:val="1"/>
          <w:numId w:val="5"/>
        </w:numPr>
        <w:rPr>
          <w:szCs w:val="22"/>
        </w:rPr>
      </w:pPr>
      <w:r w:rsidRPr="00F93681">
        <w:rPr>
          <w:szCs w:val="22"/>
        </w:rPr>
        <w:t xml:space="preserve">In the pooled analysis, </w:t>
      </w:r>
      <w:proofErr w:type="spellStart"/>
      <w:r w:rsidRPr="00F93681">
        <w:rPr>
          <w:szCs w:val="22"/>
        </w:rPr>
        <w:t>virologic</w:t>
      </w:r>
      <w:proofErr w:type="spellEnd"/>
      <w:r w:rsidRPr="00F93681">
        <w:rPr>
          <w:szCs w:val="22"/>
        </w:rPr>
        <w:t xml:space="preserve"> success was achieved in 84.8% of participants in the </w:t>
      </w:r>
      <w:r w:rsidR="00CB7AA0" w:rsidRPr="00F93681">
        <w:rPr>
          <w:szCs w:val="22"/>
        </w:rPr>
        <w:t xml:space="preserve">atazanavir plus cobicistat </w:t>
      </w:r>
      <w:r w:rsidRPr="00F93681">
        <w:rPr>
          <w:szCs w:val="22"/>
        </w:rPr>
        <w:t xml:space="preserve">arm and 87.3% in the </w:t>
      </w:r>
      <w:r w:rsidR="00CB7AA0" w:rsidRPr="00F93681">
        <w:t>atazanavir plus ritonavir</w:t>
      </w:r>
      <w:r w:rsidR="00CB7AA0" w:rsidRPr="00F93681">
        <w:rPr>
          <w:i/>
        </w:rPr>
        <w:t xml:space="preserve"> </w:t>
      </w:r>
      <w:r w:rsidRPr="00F93681">
        <w:rPr>
          <w:szCs w:val="22"/>
        </w:rPr>
        <w:t xml:space="preserve">arm. The adjusted mean difference was -2.5% and was not statistically significant. The lower bound of the 95% confidence interval (-7.5%) was above the assumed non-inferiority margin of -12%. </w:t>
      </w:r>
      <w:r w:rsidR="00806A34" w:rsidRPr="00F93681">
        <w:rPr>
          <w:szCs w:val="22"/>
        </w:rPr>
        <w:t>Therefore, the submission considered that atazanavir plus cobicistat taken concomitantly was non-inferior to atazanavir plus ritonavir taken concomitantly.</w:t>
      </w:r>
    </w:p>
    <w:p w:rsidR="004064B4" w:rsidRPr="00F93681" w:rsidRDefault="004064B4" w:rsidP="004064B4">
      <w:pPr>
        <w:rPr>
          <w:szCs w:val="22"/>
        </w:rPr>
      </w:pPr>
    </w:p>
    <w:p w:rsidR="004064B4" w:rsidRPr="00F93681" w:rsidRDefault="004064B4" w:rsidP="00CB7AA0">
      <w:pPr>
        <w:keepNext/>
        <w:ind w:firstLine="720"/>
        <w:rPr>
          <w:rStyle w:val="CommentReference"/>
        </w:rPr>
      </w:pPr>
      <w:r w:rsidRPr="00F93681">
        <w:rPr>
          <w:rStyle w:val="CommentReference"/>
        </w:rPr>
        <w:lastRenderedPageBreak/>
        <w:t xml:space="preserve">Table 3: Percent of </w:t>
      </w:r>
      <w:r w:rsidR="0097538B" w:rsidRPr="00F93681">
        <w:rPr>
          <w:rStyle w:val="CommentReference"/>
        </w:rPr>
        <w:t xml:space="preserve">patients </w:t>
      </w:r>
      <w:r w:rsidRPr="00F93681">
        <w:rPr>
          <w:rStyle w:val="CommentReference"/>
        </w:rPr>
        <w:t xml:space="preserve">with </w:t>
      </w:r>
      <w:proofErr w:type="spellStart"/>
      <w:r w:rsidRPr="00F93681">
        <w:rPr>
          <w:rStyle w:val="CommentReference"/>
        </w:rPr>
        <w:t>virologic</w:t>
      </w:r>
      <w:proofErr w:type="spellEnd"/>
      <w:r w:rsidRPr="00F93681">
        <w:rPr>
          <w:rStyle w:val="CommentReference"/>
        </w:rPr>
        <w:t xml:space="preserve"> </w:t>
      </w:r>
      <w:proofErr w:type="spellStart"/>
      <w:r w:rsidRPr="00F93681">
        <w:rPr>
          <w:rStyle w:val="CommentReference"/>
        </w:rPr>
        <w:t>success</w:t>
      </w:r>
      <w:r w:rsidR="009D5D8A" w:rsidRPr="00F93681">
        <w:rPr>
          <w:rStyle w:val="CommentReference"/>
          <w:vertAlign w:val="superscript"/>
        </w:rPr>
        <w:t>a</w:t>
      </w:r>
      <w:proofErr w:type="spellEnd"/>
      <w:r w:rsidRPr="00F93681">
        <w:rPr>
          <w:rStyle w:val="CommentReference"/>
        </w:rPr>
        <w:t xml:space="preserve"> at Week 48</w:t>
      </w:r>
      <w:r w:rsidR="00C3704F" w:rsidRPr="00F93681">
        <w:rPr>
          <w:rStyle w:val="CommentReference"/>
        </w:rPr>
        <w:t xml:space="preserve"> using the snapshot algorithm</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Clinical trial results summary"/>
      </w:tblPr>
      <w:tblGrid>
        <w:gridCol w:w="1706"/>
        <w:gridCol w:w="2241"/>
        <w:gridCol w:w="2245"/>
        <w:gridCol w:w="2171"/>
      </w:tblGrid>
      <w:tr w:rsidR="009D5D8A" w:rsidRPr="00F93681" w:rsidTr="009D5D8A">
        <w:trPr>
          <w:tblHeader/>
        </w:trPr>
        <w:tc>
          <w:tcPr>
            <w:tcW w:w="1020" w:type="pct"/>
            <w:vAlign w:val="center"/>
          </w:tcPr>
          <w:p w:rsidR="009D5D8A" w:rsidRPr="00F93681" w:rsidRDefault="009D5D8A" w:rsidP="00CB7AA0">
            <w:pPr>
              <w:keepNext/>
              <w:keepLines/>
              <w:jc w:val="left"/>
              <w:rPr>
                <w:rFonts w:ascii="Arial Narrow" w:hAnsi="Arial Narrow"/>
                <w:sz w:val="20"/>
              </w:rPr>
            </w:pPr>
            <w:r w:rsidRPr="00F93681">
              <w:rPr>
                <w:rFonts w:ascii="Arial Narrow" w:hAnsi="Arial Narrow"/>
                <w:b/>
                <w:sz w:val="20"/>
              </w:rPr>
              <w:t>Trial ID</w:t>
            </w:r>
          </w:p>
        </w:tc>
        <w:tc>
          <w:tcPr>
            <w:tcW w:w="1340" w:type="pct"/>
            <w:vAlign w:val="center"/>
          </w:tcPr>
          <w:p w:rsidR="009D5D8A" w:rsidRPr="00F93681" w:rsidRDefault="009D5D8A" w:rsidP="00CB7AA0">
            <w:pPr>
              <w:keepNext/>
              <w:keepLines/>
              <w:ind w:right="-108"/>
              <w:jc w:val="center"/>
              <w:rPr>
                <w:rFonts w:ascii="Arial Narrow" w:hAnsi="Arial Narrow"/>
                <w:b/>
                <w:sz w:val="20"/>
              </w:rPr>
            </w:pPr>
            <w:r w:rsidRPr="00F93681">
              <w:rPr>
                <w:rFonts w:ascii="Arial Narrow" w:hAnsi="Arial Narrow"/>
                <w:b/>
                <w:sz w:val="20"/>
              </w:rPr>
              <w:t>ATV + c</w:t>
            </w:r>
            <w:r w:rsidR="00C356CE" w:rsidRPr="00F93681">
              <w:rPr>
                <w:rFonts w:ascii="Arial Narrow" w:hAnsi="Arial Narrow"/>
                <w:b/>
                <w:sz w:val="20"/>
              </w:rPr>
              <w:t xml:space="preserve"> + TVD</w:t>
            </w:r>
          </w:p>
          <w:p w:rsidR="009D5D8A" w:rsidRPr="00F93681" w:rsidRDefault="009D5D8A" w:rsidP="00CB7AA0">
            <w:pPr>
              <w:keepNext/>
              <w:keepLines/>
              <w:ind w:right="-108"/>
              <w:jc w:val="center"/>
              <w:rPr>
                <w:rFonts w:ascii="Arial Narrow" w:hAnsi="Arial Narrow"/>
                <w:sz w:val="20"/>
              </w:rPr>
            </w:pPr>
            <w:proofErr w:type="gramStart"/>
            <w:r w:rsidRPr="00F93681">
              <w:rPr>
                <w:rFonts w:ascii="Arial Narrow" w:hAnsi="Arial Narrow"/>
                <w:b/>
                <w:sz w:val="20"/>
              </w:rPr>
              <w:t>n/N</w:t>
            </w:r>
            <w:proofErr w:type="gramEnd"/>
            <w:r w:rsidRPr="00F93681">
              <w:rPr>
                <w:rFonts w:ascii="Arial Narrow" w:hAnsi="Arial Narrow"/>
                <w:b/>
                <w:sz w:val="20"/>
              </w:rPr>
              <w:t xml:space="preserve"> (%)</w:t>
            </w:r>
          </w:p>
        </w:tc>
        <w:tc>
          <w:tcPr>
            <w:tcW w:w="1342" w:type="pct"/>
            <w:vAlign w:val="center"/>
          </w:tcPr>
          <w:p w:rsidR="009D5D8A" w:rsidRPr="00F93681" w:rsidRDefault="009D5D8A" w:rsidP="00CB7AA0">
            <w:pPr>
              <w:keepNext/>
              <w:keepLines/>
              <w:jc w:val="center"/>
              <w:rPr>
                <w:rFonts w:ascii="Arial Narrow" w:hAnsi="Arial Narrow"/>
                <w:b/>
                <w:sz w:val="20"/>
              </w:rPr>
            </w:pPr>
            <w:r w:rsidRPr="00F93681">
              <w:rPr>
                <w:rFonts w:ascii="Arial Narrow" w:hAnsi="Arial Narrow"/>
                <w:b/>
                <w:sz w:val="20"/>
              </w:rPr>
              <w:t>ATV + r</w:t>
            </w:r>
            <w:r w:rsidR="00C356CE" w:rsidRPr="00F93681">
              <w:rPr>
                <w:rFonts w:ascii="Arial Narrow" w:hAnsi="Arial Narrow"/>
                <w:b/>
                <w:sz w:val="20"/>
              </w:rPr>
              <w:t xml:space="preserve"> + TVD</w:t>
            </w:r>
          </w:p>
          <w:p w:rsidR="009D5D8A" w:rsidRPr="00F93681" w:rsidRDefault="009D5D8A" w:rsidP="00CB7AA0">
            <w:pPr>
              <w:keepNext/>
              <w:keepLines/>
              <w:jc w:val="center"/>
              <w:rPr>
                <w:rFonts w:ascii="Arial Narrow" w:hAnsi="Arial Narrow"/>
                <w:sz w:val="20"/>
              </w:rPr>
            </w:pPr>
            <w:proofErr w:type="gramStart"/>
            <w:r w:rsidRPr="00F93681">
              <w:rPr>
                <w:rFonts w:ascii="Arial Narrow" w:hAnsi="Arial Narrow"/>
                <w:b/>
                <w:sz w:val="20"/>
              </w:rPr>
              <w:t>n/N</w:t>
            </w:r>
            <w:proofErr w:type="gramEnd"/>
            <w:r w:rsidRPr="00F93681">
              <w:rPr>
                <w:rFonts w:ascii="Arial Narrow" w:hAnsi="Arial Narrow"/>
                <w:b/>
                <w:sz w:val="20"/>
              </w:rPr>
              <w:t xml:space="preserve"> (%)</w:t>
            </w:r>
          </w:p>
        </w:tc>
        <w:tc>
          <w:tcPr>
            <w:tcW w:w="1298" w:type="pct"/>
            <w:vAlign w:val="center"/>
          </w:tcPr>
          <w:p w:rsidR="009D5D8A" w:rsidRPr="00F93681" w:rsidRDefault="009D5D8A" w:rsidP="00CB7AA0">
            <w:pPr>
              <w:keepNext/>
              <w:keepLines/>
              <w:jc w:val="center"/>
              <w:rPr>
                <w:rFonts w:ascii="Arial Narrow" w:hAnsi="Arial Narrow"/>
                <w:b/>
                <w:sz w:val="20"/>
              </w:rPr>
            </w:pPr>
            <w:r w:rsidRPr="00F93681">
              <w:rPr>
                <w:rFonts w:ascii="Arial Narrow" w:hAnsi="Arial Narrow"/>
                <w:b/>
                <w:sz w:val="20"/>
              </w:rPr>
              <w:t>RD (95% CI)</w:t>
            </w:r>
            <w:r w:rsidRPr="00F93681">
              <w:rPr>
                <w:rFonts w:ascii="Arial Narrow" w:hAnsi="Arial Narrow"/>
                <w:b/>
                <w:sz w:val="20"/>
                <w:vertAlign w:val="superscript"/>
              </w:rPr>
              <w:t xml:space="preserve"> </w:t>
            </w:r>
            <w:r w:rsidR="002512C2" w:rsidRPr="00F93681">
              <w:rPr>
                <w:rFonts w:ascii="Arial Narrow" w:hAnsi="Arial Narrow"/>
                <w:b/>
                <w:sz w:val="20"/>
                <w:vertAlign w:val="superscript"/>
              </w:rPr>
              <w:t>b</w:t>
            </w:r>
          </w:p>
        </w:tc>
      </w:tr>
      <w:tr w:rsidR="009D5D8A" w:rsidRPr="00F93681" w:rsidTr="009D5D8A">
        <w:tc>
          <w:tcPr>
            <w:tcW w:w="1020" w:type="pct"/>
            <w:vAlign w:val="center"/>
          </w:tcPr>
          <w:p w:rsidR="009D5D8A" w:rsidRPr="00F93681" w:rsidRDefault="009D5D8A" w:rsidP="00CB7AA0">
            <w:pPr>
              <w:keepNext/>
              <w:keepLines/>
              <w:jc w:val="left"/>
              <w:rPr>
                <w:rFonts w:ascii="Arial Narrow" w:hAnsi="Arial Narrow"/>
                <w:sz w:val="20"/>
              </w:rPr>
            </w:pPr>
            <w:r w:rsidRPr="00F93681">
              <w:rPr>
                <w:rFonts w:ascii="Arial Narrow" w:hAnsi="Arial Narrow"/>
                <w:sz w:val="20"/>
              </w:rPr>
              <w:t>Study 114</w:t>
            </w:r>
          </w:p>
        </w:tc>
        <w:tc>
          <w:tcPr>
            <w:tcW w:w="1340" w:type="pct"/>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293/344 (85.2%)</w:t>
            </w:r>
          </w:p>
        </w:tc>
        <w:tc>
          <w:tcPr>
            <w:tcW w:w="1342" w:type="pct"/>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304/348 (87.4%)</w:t>
            </w:r>
          </w:p>
        </w:tc>
        <w:tc>
          <w:tcPr>
            <w:tcW w:w="1298" w:type="pct"/>
            <w:vAlign w:val="center"/>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-2.2% (-7.4% to 3.0%)</w:t>
            </w:r>
          </w:p>
        </w:tc>
      </w:tr>
      <w:tr w:rsidR="009D5D8A" w:rsidRPr="00F93681" w:rsidTr="009D5D8A">
        <w:tc>
          <w:tcPr>
            <w:tcW w:w="1020" w:type="pct"/>
            <w:vAlign w:val="center"/>
          </w:tcPr>
          <w:p w:rsidR="009D5D8A" w:rsidRPr="00F93681" w:rsidRDefault="009D5D8A" w:rsidP="00CB7AA0">
            <w:pPr>
              <w:keepNext/>
              <w:keepLines/>
              <w:jc w:val="left"/>
              <w:rPr>
                <w:rFonts w:ascii="Arial Narrow" w:hAnsi="Arial Narrow"/>
                <w:sz w:val="20"/>
              </w:rPr>
            </w:pPr>
            <w:r w:rsidRPr="00F93681">
              <w:rPr>
                <w:rFonts w:ascii="Arial Narrow" w:hAnsi="Arial Narrow"/>
                <w:sz w:val="20"/>
              </w:rPr>
              <w:t xml:space="preserve">Study 105 </w:t>
            </w:r>
            <w:r w:rsidR="002512C2" w:rsidRPr="00F93681">
              <w:rPr>
                <w:rFonts w:ascii="Arial Narrow" w:hAnsi="Arial Narrow"/>
                <w:sz w:val="20"/>
                <w:vertAlign w:val="superscript"/>
              </w:rPr>
              <w:t>c</w:t>
            </w:r>
          </w:p>
        </w:tc>
        <w:tc>
          <w:tcPr>
            <w:tcW w:w="1340" w:type="pct"/>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41/50 (82.0%)</w:t>
            </w:r>
          </w:p>
        </w:tc>
        <w:tc>
          <w:tcPr>
            <w:tcW w:w="1342" w:type="pct"/>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25/29 (86.2%)</w:t>
            </w:r>
          </w:p>
        </w:tc>
        <w:tc>
          <w:tcPr>
            <w:tcW w:w="1298" w:type="pct"/>
            <w:vAlign w:val="center"/>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-5.4% (-23.8% to 13.1%)</w:t>
            </w:r>
          </w:p>
        </w:tc>
      </w:tr>
      <w:tr w:rsidR="009D5D8A" w:rsidRPr="00F93681" w:rsidTr="009D5D8A">
        <w:tc>
          <w:tcPr>
            <w:tcW w:w="1020" w:type="pct"/>
            <w:vAlign w:val="center"/>
          </w:tcPr>
          <w:p w:rsidR="009D5D8A" w:rsidRPr="00F93681" w:rsidRDefault="009D5D8A" w:rsidP="00CB7AA0">
            <w:pPr>
              <w:keepNext/>
              <w:keepLines/>
              <w:ind w:right="-108"/>
              <w:jc w:val="left"/>
              <w:rPr>
                <w:rFonts w:ascii="Arial Narrow" w:hAnsi="Arial Narrow"/>
                <w:b/>
                <w:sz w:val="20"/>
              </w:rPr>
            </w:pPr>
            <w:r w:rsidRPr="00F93681">
              <w:rPr>
                <w:rFonts w:ascii="Arial Narrow" w:hAnsi="Arial Narrow"/>
                <w:b/>
                <w:sz w:val="20"/>
              </w:rPr>
              <w:t>Pooled analysis</w:t>
            </w:r>
          </w:p>
        </w:tc>
        <w:tc>
          <w:tcPr>
            <w:tcW w:w="1340" w:type="pct"/>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334/394 (84.8%)</w:t>
            </w:r>
          </w:p>
        </w:tc>
        <w:tc>
          <w:tcPr>
            <w:tcW w:w="1342" w:type="pct"/>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329/377 (87.3%)</w:t>
            </w:r>
          </w:p>
        </w:tc>
        <w:tc>
          <w:tcPr>
            <w:tcW w:w="1298" w:type="pct"/>
            <w:vAlign w:val="center"/>
          </w:tcPr>
          <w:p w:rsidR="009D5D8A" w:rsidRPr="00F93681" w:rsidRDefault="009D5D8A" w:rsidP="00CB7AA0">
            <w:pPr>
              <w:keepNext/>
              <w:keepLines/>
              <w:jc w:val="center"/>
              <w:rPr>
                <w:rFonts w:ascii="Arial Narrow" w:hAnsi="Arial Narrow"/>
                <w:sz w:val="20"/>
              </w:rPr>
            </w:pPr>
            <w:r w:rsidRPr="00F93681">
              <w:rPr>
                <w:rFonts w:ascii="Arial Narrow" w:hAnsi="Arial Narrow"/>
                <w:sz w:val="20"/>
              </w:rPr>
              <w:t>-2.5% (-7.5% to 2.5%)</w:t>
            </w:r>
          </w:p>
        </w:tc>
      </w:tr>
    </w:tbl>
    <w:p w:rsidR="00BE505E" w:rsidRPr="00F93681" w:rsidRDefault="00BE505E" w:rsidP="00CB7AA0">
      <w:pPr>
        <w:pStyle w:val="TableFooter"/>
        <w:keepNext/>
        <w:keepLines/>
        <w:ind w:firstLine="720"/>
      </w:pPr>
      <w:r w:rsidRPr="00F93681">
        <w:t>Source: Table B.6.2, p73 of the submission</w:t>
      </w:r>
    </w:p>
    <w:p w:rsidR="00BE505E" w:rsidRPr="00F93681" w:rsidRDefault="00BE505E" w:rsidP="00CB7AA0">
      <w:pPr>
        <w:pStyle w:val="TableFooter"/>
        <w:keepNext/>
        <w:keepLines/>
        <w:ind w:firstLine="720"/>
      </w:pPr>
      <w:r w:rsidRPr="00F93681">
        <w:rPr>
          <w:i/>
        </w:rPr>
        <w:t>Italics</w:t>
      </w:r>
      <w:r w:rsidRPr="00F93681">
        <w:t xml:space="preserve"> calculated during evaluation </w:t>
      </w:r>
    </w:p>
    <w:p w:rsidR="002D40CB" w:rsidRPr="00F93681" w:rsidRDefault="002D40CB" w:rsidP="002D40CB">
      <w:pPr>
        <w:pStyle w:val="TableFooter"/>
        <w:keepNext/>
        <w:keepLines/>
        <w:ind w:left="720"/>
      </w:pPr>
      <w:r w:rsidRPr="00F93681">
        <w:t>ATV = atazanavir; c = cobicistat; r = ritonavir; RD = risk difference; CI = confidence interval; HIV = human immunodeficiency virus; NNT = number needed to treat; RNA = ribonucleic acid</w:t>
      </w:r>
      <w:r w:rsidR="00C356CE" w:rsidRPr="00F93681">
        <w:t xml:space="preserve">; TVD = single tablet </w:t>
      </w:r>
      <w:proofErr w:type="spellStart"/>
      <w:r w:rsidR="00886FED" w:rsidRPr="00F93681">
        <w:t>emtricitabine</w:t>
      </w:r>
      <w:proofErr w:type="spellEnd"/>
      <w:r w:rsidR="00C356CE" w:rsidRPr="00F93681">
        <w:t>/</w:t>
      </w:r>
      <w:proofErr w:type="spellStart"/>
      <w:r w:rsidR="00C356CE" w:rsidRPr="00F93681">
        <w:t>tenofovir</w:t>
      </w:r>
      <w:proofErr w:type="spellEnd"/>
      <w:r w:rsidR="00C356CE" w:rsidRPr="00F93681">
        <w:t xml:space="preserve"> </w:t>
      </w:r>
      <w:proofErr w:type="spellStart"/>
      <w:r w:rsidR="00C356CE" w:rsidRPr="00F93681">
        <w:t>disoproxil</w:t>
      </w:r>
      <w:proofErr w:type="spellEnd"/>
      <w:r w:rsidR="00C356CE" w:rsidRPr="00F93681">
        <w:t xml:space="preserve"> </w:t>
      </w:r>
      <w:proofErr w:type="spellStart"/>
      <w:r w:rsidR="00C356CE" w:rsidRPr="00F93681">
        <w:t>fumarate</w:t>
      </w:r>
      <w:proofErr w:type="spellEnd"/>
    </w:p>
    <w:p w:rsidR="009D5D8A" w:rsidRPr="00F93681" w:rsidRDefault="009D5D8A" w:rsidP="009D5D8A">
      <w:pPr>
        <w:pStyle w:val="TableFooter"/>
        <w:keepNext/>
        <w:keepLines/>
        <w:ind w:left="709"/>
      </w:pPr>
      <w:proofErr w:type="gramStart"/>
      <w:r w:rsidRPr="00F93681">
        <w:rPr>
          <w:vertAlign w:val="superscript"/>
        </w:rPr>
        <w:t>a</w:t>
      </w:r>
      <w:proofErr w:type="gramEnd"/>
      <w:r w:rsidRPr="00F93681">
        <w:t xml:space="preserve"> </w:t>
      </w:r>
      <w:proofErr w:type="spellStart"/>
      <w:r w:rsidRPr="00F93681">
        <w:t>Virologic</w:t>
      </w:r>
      <w:proofErr w:type="spellEnd"/>
      <w:r w:rsidRPr="00F93681">
        <w:t xml:space="preserve"> success was defined as HIV-1 RNA &lt; 50 copies/mL at 48 weeks.</w:t>
      </w:r>
    </w:p>
    <w:p w:rsidR="009D5D8A" w:rsidRPr="00F93681" w:rsidRDefault="009D5D8A" w:rsidP="009D5D8A">
      <w:pPr>
        <w:pStyle w:val="TableFooter"/>
        <w:keepNext/>
        <w:keepLines/>
        <w:ind w:left="709"/>
        <w:rPr>
          <w:i/>
        </w:rPr>
      </w:pPr>
      <w:proofErr w:type="gramStart"/>
      <w:r w:rsidRPr="00F93681">
        <w:rPr>
          <w:vertAlign w:val="superscript"/>
        </w:rPr>
        <w:t>b</w:t>
      </w:r>
      <w:proofErr w:type="gramEnd"/>
      <w:r w:rsidRPr="00F93681">
        <w:t xml:space="preserve"> Calculated based on baseline HIV-1 RNA stratum adjusted Mantel-</w:t>
      </w:r>
      <w:proofErr w:type="spellStart"/>
      <w:r w:rsidRPr="00F93681">
        <w:t>Haenszel</w:t>
      </w:r>
      <w:proofErr w:type="spellEnd"/>
      <w:r w:rsidRPr="00F93681">
        <w:t xml:space="preserve"> proportion; </w:t>
      </w:r>
      <w:r w:rsidRPr="00F93681">
        <w:rPr>
          <w:i/>
        </w:rPr>
        <w:t xml:space="preserve">reported for Study 114 was a 95.2% </w:t>
      </w:r>
      <w:r w:rsidR="002512C2" w:rsidRPr="00F93681">
        <w:rPr>
          <w:i/>
        </w:rPr>
        <w:t xml:space="preserve">confidence </w:t>
      </w:r>
      <w:r w:rsidR="00C356CE" w:rsidRPr="00F93681">
        <w:rPr>
          <w:i/>
        </w:rPr>
        <w:t>interval</w:t>
      </w:r>
      <w:r w:rsidR="002512C2" w:rsidRPr="00F93681">
        <w:rPr>
          <w:i/>
        </w:rPr>
        <w:t>.</w:t>
      </w:r>
    </w:p>
    <w:p w:rsidR="009D5D8A" w:rsidRPr="00F93681" w:rsidRDefault="009D5D8A" w:rsidP="009D5D8A">
      <w:pPr>
        <w:pStyle w:val="TableFooter"/>
        <w:keepNext/>
        <w:keepLines/>
        <w:ind w:left="709"/>
      </w:pPr>
      <w:proofErr w:type="gramStart"/>
      <w:r w:rsidRPr="00F93681">
        <w:rPr>
          <w:vertAlign w:val="superscript"/>
        </w:rPr>
        <w:t>c</w:t>
      </w:r>
      <w:proofErr w:type="gramEnd"/>
      <w:r w:rsidRPr="00F93681">
        <w:t xml:space="preserve"> </w:t>
      </w:r>
      <w:r w:rsidR="00192A71" w:rsidRPr="00F93681">
        <w:rPr>
          <w:i/>
        </w:rPr>
        <w:t>Modified i</w:t>
      </w:r>
      <w:r w:rsidRPr="00F93681">
        <w:t>ntention-to-treat analysis</w:t>
      </w:r>
      <w:r w:rsidR="00192A71" w:rsidRPr="00F93681">
        <w:t>, including those patients who received at least one dose and</w:t>
      </w:r>
      <w:r w:rsidRPr="00F93681">
        <w:t xml:space="preserve"> with missing data or switching to alternative antiretroviral therapy considered as failure</w:t>
      </w:r>
    </w:p>
    <w:p w:rsidR="004064B4" w:rsidRPr="00F93681" w:rsidRDefault="004064B4" w:rsidP="004064B4">
      <w:pPr>
        <w:rPr>
          <w:szCs w:val="22"/>
        </w:rPr>
      </w:pPr>
    </w:p>
    <w:p w:rsidR="004064B4" w:rsidRPr="00F538B6" w:rsidRDefault="004064B4" w:rsidP="004064B4">
      <w:pPr>
        <w:pStyle w:val="Heading2"/>
      </w:pPr>
      <w:bookmarkStart w:id="9" w:name="_Toc430012267"/>
      <w:r w:rsidRPr="00F538B6">
        <w:t>Comparative harms</w:t>
      </w:r>
      <w:bookmarkEnd w:id="9"/>
    </w:p>
    <w:p w:rsidR="004064B4" w:rsidRPr="00F93681" w:rsidRDefault="004064B4" w:rsidP="004064B4">
      <w:pPr>
        <w:ind w:left="720" w:hanging="720"/>
        <w:rPr>
          <w:szCs w:val="22"/>
        </w:rPr>
      </w:pPr>
    </w:p>
    <w:p w:rsidR="004064B4" w:rsidRPr="00F93681" w:rsidRDefault="00DF11A3" w:rsidP="0057126F">
      <w:pPr>
        <w:pStyle w:val="ListParagraph"/>
        <w:widowControl/>
        <w:numPr>
          <w:ilvl w:val="1"/>
          <w:numId w:val="5"/>
        </w:numPr>
        <w:rPr>
          <w:szCs w:val="22"/>
        </w:rPr>
      </w:pPr>
      <w:r w:rsidRPr="00F93681">
        <w:rPr>
          <w:szCs w:val="22"/>
        </w:rPr>
        <w:t>There was a higher proportion of Grade 3 to 4 adverse events (17.8% vs</w:t>
      </w:r>
      <w:r w:rsidR="00042CAF" w:rsidRPr="00F93681">
        <w:rPr>
          <w:szCs w:val="22"/>
        </w:rPr>
        <w:t>.</w:t>
      </w:r>
      <w:r w:rsidRPr="00F93681">
        <w:rPr>
          <w:szCs w:val="22"/>
        </w:rPr>
        <w:t xml:space="preserve"> 13.3%) and a higher proportion of serious adverse events (9.6% vs</w:t>
      </w:r>
      <w:r w:rsidR="00042CAF" w:rsidRPr="00F93681">
        <w:rPr>
          <w:szCs w:val="22"/>
        </w:rPr>
        <w:t>.</w:t>
      </w:r>
      <w:r w:rsidRPr="00F93681">
        <w:rPr>
          <w:szCs w:val="22"/>
        </w:rPr>
        <w:t xml:space="preserve"> 6.6%) in the atazanavir plus cobicistat</w:t>
      </w:r>
      <w:r w:rsidR="00806A34" w:rsidRPr="00F93681">
        <w:rPr>
          <w:szCs w:val="22"/>
        </w:rPr>
        <w:t xml:space="preserve"> taken concomitantly</w:t>
      </w:r>
      <w:r w:rsidRPr="00F93681">
        <w:rPr>
          <w:szCs w:val="22"/>
        </w:rPr>
        <w:t xml:space="preserve"> </w:t>
      </w:r>
      <w:r w:rsidR="008A42F3" w:rsidRPr="00F93681">
        <w:rPr>
          <w:szCs w:val="22"/>
        </w:rPr>
        <w:t>compared to atazanavir plus ritonavir</w:t>
      </w:r>
      <w:r w:rsidRPr="00F93681">
        <w:rPr>
          <w:szCs w:val="22"/>
        </w:rPr>
        <w:t>; however</w:t>
      </w:r>
      <w:r w:rsidR="00733578" w:rsidRPr="00F93681">
        <w:rPr>
          <w:szCs w:val="22"/>
        </w:rPr>
        <w:t>,</w:t>
      </w:r>
      <w:r w:rsidRPr="00F93681">
        <w:rPr>
          <w:szCs w:val="22"/>
        </w:rPr>
        <w:t xml:space="preserve"> the differences were not statistically significant. There </w:t>
      </w:r>
      <w:proofErr w:type="gramStart"/>
      <w:r w:rsidR="00EC40B6" w:rsidRPr="00F93681">
        <w:rPr>
          <w:szCs w:val="22"/>
        </w:rPr>
        <w:t>was</w:t>
      </w:r>
      <w:proofErr w:type="gramEnd"/>
      <w:r w:rsidRPr="00F93681">
        <w:rPr>
          <w:szCs w:val="22"/>
        </w:rPr>
        <w:t xml:space="preserve"> </w:t>
      </w:r>
      <w:r w:rsidR="00EC40B6" w:rsidRPr="00F93681">
        <w:rPr>
          <w:szCs w:val="22"/>
        </w:rPr>
        <w:t xml:space="preserve">a </w:t>
      </w:r>
      <w:r w:rsidRPr="00F93681">
        <w:rPr>
          <w:szCs w:val="22"/>
        </w:rPr>
        <w:t xml:space="preserve">greater </w:t>
      </w:r>
      <w:r w:rsidR="00383DB5" w:rsidRPr="00F93681">
        <w:rPr>
          <w:szCs w:val="22"/>
        </w:rPr>
        <w:t>percentage</w:t>
      </w:r>
      <w:r w:rsidRPr="00F93681">
        <w:rPr>
          <w:szCs w:val="22"/>
        </w:rPr>
        <w:t xml:space="preserve"> of patients with renal events </w:t>
      </w:r>
      <w:r w:rsidR="0057126F" w:rsidRPr="00F93681">
        <w:rPr>
          <w:szCs w:val="22"/>
        </w:rPr>
        <w:t xml:space="preserve">(acquired </w:t>
      </w:r>
      <w:proofErr w:type="spellStart"/>
      <w:r w:rsidR="00B41F4B" w:rsidRPr="00F93681">
        <w:rPr>
          <w:szCs w:val="22"/>
        </w:rPr>
        <w:t>Fanconi</w:t>
      </w:r>
      <w:proofErr w:type="spellEnd"/>
      <w:r w:rsidR="00B41F4B" w:rsidRPr="00F93681">
        <w:rPr>
          <w:szCs w:val="22"/>
        </w:rPr>
        <w:t xml:space="preserve"> syndrome, renal failure</w:t>
      </w:r>
      <w:r w:rsidR="0057126F" w:rsidRPr="00F93681">
        <w:rPr>
          <w:szCs w:val="22"/>
        </w:rPr>
        <w:t xml:space="preserve"> </w:t>
      </w:r>
      <w:r w:rsidR="00B41F4B" w:rsidRPr="00F93681">
        <w:rPr>
          <w:szCs w:val="22"/>
        </w:rPr>
        <w:t>and acute</w:t>
      </w:r>
      <w:r w:rsidR="0057126F" w:rsidRPr="00F93681">
        <w:rPr>
          <w:szCs w:val="22"/>
        </w:rPr>
        <w:t xml:space="preserve"> renal failure) </w:t>
      </w:r>
      <w:r w:rsidRPr="00F93681">
        <w:rPr>
          <w:szCs w:val="22"/>
        </w:rPr>
        <w:t>in the atazanavir plus ritonavir arm</w:t>
      </w:r>
      <w:r w:rsidR="00876D4C" w:rsidRPr="00F93681">
        <w:rPr>
          <w:szCs w:val="22"/>
        </w:rPr>
        <w:t xml:space="preserve"> than in the atazanavir plus cobicistat arm</w:t>
      </w:r>
      <w:r w:rsidRPr="00F93681">
        <w:rPr>
          <w:szCs w:val="22"/>
        </w:rPr>
        <w:t>.</w:t>
      </w:r>
      <w:r w:rsidR="00EC40B6" w:rsidRPr="00F93681">
        <w:rPr>
          <w:szCs w:val="22"/>
        </w:rPr>
        <w:t xml:space="preserve"> </w:t>
      </w:r>
      <w:r w:rsidR="0039795B" w:rsidRPr="00F93681">
        <w:rPr>
          <w:szCs w:val="22"/>
        </w:rPr>
        <w:t>One</w:t>
      </w:r>
      <w:r w:rsidR="00EC40B6" w:rsidRPr="00F93681">
        <w:rPr>
          <w:szCs w:val="22"/>
        </w:rPr>
        <w:t xml:space="preserve"> renal event in the atazanavir plus cobicistat arm and four events in the atazanavir pl</w:t>
      </w:r>
      <w:r w:rsidR="00640630" w:rsidRPr="00F93681">
        <w:rPr>
          <w:szCs w:val="22"/>
        </w:rPr>
        <w:t>us ritonavir arm were treatment-</w:t>
      </w:r>
      <w:r w:rsidR="00EC40B6" w:rsidRPr="00F93681">
        <w:rPr>
          <w:szCs w:val="22"/>
        </w:rPr>
        <w:t xml:space="preserve">related. However, these were most likely </w:t>
      </w:r>
      <w:r w:rsidR="00071A73" w:rsidRPr="00F93681">
        <w:rPr>
          <w:szCs w:val="22"/>
        </w:rPr>
        <w:t>associated with</w:t>
      </w:r>
      <w:r w:rsidR="00EC40B6" w:rsidRPr="00F93681">
        <w:rPr>
          <w:szCs w:val="22"/>
        </w:rPr>
        <w:t xml:space="preserve"> </w:t>
      </w:r>
      <w:proofErr w:type="spellStart"/>
      <w:r w:rsidR="00E5453F" w:rsidRPr="00F93681">
        <w:rPr>
          <w:szCs w:val="22"/>
        </w:rPr>
        <w:t>tenofovir</w:t>
      </w:r>
      <w:proofErr w:type="spellEnd"/>
      <w:r w:rsidR="00E5453F" w:rsidRPr="00F93681">
        <w:rPr>
          <w:szCs w:val="22"/>
        </w:rPr>
        <w:t xml:space="preserve"> </w:t>
      </w:r>
      <w:proofErr w:type="spellStart"/>
      <w:r w:rsidR="00E5453F" w:rsidRPr="00F93681">
        <w:rPr>
          <w:szCs w:val="22"/>
        </w:rPr>
        <w:t>disoproxil</w:t>
      </w:r>
      <w:proofErr w:type="spellEnd"/>
      <w:r w:rsidR="00E5453F" w:rsidRPr="00F93681">
        <w:rPr>
          <w:szCs w:val="22"/>
        </w:rPr>
        <w:t xml:space="preserve"> </w:t>
      </w:r>
      <w:proofErr w:type="spellStart"/>
      <w:r w:rsidR="00E5453F" w:rsidRPr="00F93681">
        <w:rPr>
          <w:szCs w:val="22"/>
        </w:rPr>
        <w:t>fumerate</w:t>
      </w:r>
      <w:proofErr w:type="spellEnd"/>
      <w:r w:rsidR="00C356CE" w:rsidRPr="00F93681">
        <w:rPr>
          <w:szCs w:val="22"/>
        </w:rPr>
        <w:t xml:space="preserve"> treatment</w:t>
      </w:r>
      <w:r w:rsidR="00EC40B6" w:rsidRPr="00F93681">
        <w:rPr>
          <w:szCs w:val="22"/>
        </w:rPr>
        <w:t>.</w:t>
      </w:r>
    </w:p>
    <w:p w:rsidR="004064B4" w:rsidRPr="00F93681" w:rsidRDefault="004064B4" w:rsidP="004064B4">
      <w:pPr>
        <w:pStyle w:val="ListParagraph"/>
        <w:ind w:left="0"/>
        <w:rPr>
          <w:szCs w:val="22"/>
        </w:rPr>
      </w:pPr>
    </w:p>
    <w:p w:rsidR="00AD45C5" w:rsidRPr="00F93681" w:rsidRDefault="00AD45C5" w:rsidP="00B51152">
      <w:pPr>
        <w:keepNext/>
        <w:keepLines/>
        <w:ind w:firstLine="720"/>
        <w:rPr>
          <w:rStyle w:val="CommentReference"/>
        </w:rPr>
      </w:pPr>
    </w:p>
    <w:p w:rsidR="004064B4" w:rsidRPr="00F93681" w:rsidRDefault="004064B4" w:rsidP="00B51152">
      <w:pPr>
        <w:keepNext/>
        <w:keepLines/>
        <w:ind w:firstLine="720"/>
        <w:rPr>
          <w:rStyle w:val="CommentReference"/>
        </w:rPr>
      </w:pPr>
      <w:r w:rsidRPr="00F93681">
        <w:rPr>
          <w:rStyle w:val="CommentReference"/>
        </w:rPr>
        <w:t>Table 4: Summary of key adverse events in the pooled dataset</w:t>
      </w:r>
    </w:p>
    <w:tbl>
      <w:tblPr>
        <w:tblW w:w="4609" w:type="pct"/>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Summary of key adverse events"/>
      </w:tblPr>
      <w:tblGrid>
        <w:gridCol w:w="2730"/>
        <w:gridCol w:w="1276"/>
        <w:gridCol w:w="1418"/>
        <w:gridCol w:w="1398"/>
        <w:gridCol w:w="1550"/>
      </w:tblGrid>
      <w:tr w:rsidR="004064B4" w:rsidRPr="00F93681" w:rsidTr="0071685F">
        <w:trPr>
          <w:tblHeader/>
        </w:trPr>
        <w:tc>
          <w:tcPr>
            <w:tcW w:w="1630" w:type="pct"/>
            <w:tcBorders>
              <w:bottom w:val="single" w:sz="4" w:space="0" w:color="auto"/>
            </w:tcBorders>
            <w:vAlign w:val="center"/>
          </w:tcPr>
          <w:p w:rsidR="004064B4" w:rsidRPr="00F93681" w:rsidRDefault="004064B4" w:rsidP="00B51152">
            <w:pPr>
              <w:keepNext/>
              <w:keepLines/>
              <w:tabs>
                <w:tab w:val="left" w:pos="150"/>
              </w:tabs>
              <w:jc w:val="left"/>
              <w:rPr>
                <w:rFonts w:ascii="Arial Narrow" w:hAnsi="Arial Narrow"/>
                <w:sz w:val="20"/>
              </w:rPr>
            </w:pPr>
            <w:r w:rsidRPr="00F93681">
              <w:rPr>
                <w:rFonts w:ascii="Arial Narrow" w:hAnsi="Arial Narrow"/>
                <w:b/>
                <w:sz w:val="20"/>
              </w:rPr>
              <w:t>Adverse event</w:t>
            </w:r>
          </w:p>
        </w:tc>
        <w:tc>
          <w:tcPr>
            <w:tcW w:w="762" w:type="pct"/>
            <w:tcBorders>
              <w:bottom w:val="single" w:sz="4" w:space="0" w:color="auto"/>
            </w:tcBorders>
            <w:vAlign w:val="center"/>
          </w:tcPr>
          <w:p w:rsidR="004064B4" w:rsidRPr="00F93681" w:rsidRDefault="002D7C42" w:rsidP="00B51152">
            <w:pPr>
              <w:keepNext/>
              <w:keepLines/>
              <w:ind w:right="-108"/>
              <w:jc w:val="center"/>
              <w:rPr>
                <w:rFonts w:ascii="Arial Narrow" w:hAnsi="Arial Narrow"/>
                <w:b/>
                <w:sz w:val="20"/>
              </w:rPr>
            </w:pPr>
            <w:r w:rsidRPr="00F93681">
              <w:rPr>
                <w:rFonts w:ascii="Arial Narrow" w:hAnsi="Arial Narrow"/>
                <w:b/>
                <w:sz w:val="20"/>
              </w:rPr>
              <w:t>ATV</w:t>
            </w:r>
            <w:r w:rsidR="004064B4" w:rsidRPr="00F93681">
              <w:rPr>
                <w:rFonts w:ascii="Arial Narrow" w:hAnsi="Arial Narrow"/>
                <w:b/>
                <w:sz w:val="20"/>
              </w:rPr>
              <w:t xml:space="preserve"> + </w:t>
            </w:r>
            <w:r w:rsidRPr="00F93681">
              <w:rPr>
                <w:rFonts w:ascii="Arial Narrow" w:hAnsi="Arial Narrow"/>
                <w:b/>
                <w:sz w:val="20"/>
              </w:rPr>
              <w:t>c</w:t>
            </w:r>
            <w:r w:rsidR="00C356CE" w:rsidRPr="00F93681">
              <w:rPr>
                <w:rFonts w:ascii="Arial Narrow" w:hAnsi="Arial Narrow"/>
                <w:b/>
                <w:sz w:val="20"/>
              </w:rPr>
              <w:t xml:space="preserve"> + TVD</w:t>
            </w:r>
          </w:p>
          <w:p w:rsidR="004064B4" w:rsidRPr="00F93681" w:rsidRDefault="004064B4" w:rsidP="00B51152">
            <w:pPr>
              <w:keepNext/>
              <w:keepLines/>
              <w:ind w:right="-108"/>
              <w:jc w:val="center"/>
              <w:rPr>
                <w:rFonts w:ascii="Arial Narrow" w:hAnsi="Arial Narrow"/>
                <w:b/>
                <w:sz w:val="20"/>
              </w:rPr>
            </w:pPr>
            <w:proofErr w:type="gramStart"/>
            <w:r w:rsidRPr="00F93681">
              <w:rPr>
                <w:rFonts w:ascii="Arial Narrow" w:hAnsi="Arial Narrow"/>
                <w:b/>
                <w:sz w:val="20"/>
              </w:rPr>
              <w:t>n</w:t>
            </w:r>
            <w:proofErr w:type="gramEnd"/>
            <w:r w:rsidRPr="00F93681">
              <w:rPr>
                <w:rFonts w:ascii="Arial Narrow" w:hAnsi="Arial Narrow"/>
                <w:b/>
                <w:sz w:val="20"/>
              </w:rPr>
              <w:t xml:space="preserve"> (%)</w:t>
            </w:r>
          </w:p>
        </w:tc>
        <w:tc>
          <w:tcPr>
            <w:tcW w:w="847" w:type="pct"/>
            <w:tcBorders>
              <w:bottom w:val="single" w:sz="4" w:space="0" w:color="auto"/>
            </w:tcBorders>
            <w:vAlign w:val="center"/>
          </w:tcPr>
          <w:p w:rsidR="004064B4" w:rsidRPr="00F93681" w:rsidRDefault="002D7C42" w:rsidP="00B51152">
            <w:pPr>
              <w:keepNext/>
              <w:keepLines/>
              <w:ind w:right="-108"/>
              <w:jc w:val="center"/>
              <w:rPr>
                <w:rFonts w:ascii="Arial Narrow" w:hAnsi="Arial Narrow"/>
                <w:b/>
                <w:sz w:val="20"/>
              </w:rPr>
            </w:pPr>
            <w:r w:rsidRPr="00F93681">
              <w:rPr>
                <w:rFonts w:ascii="Arial Narrow" w:hAnsi="Arial Narrow"/>
                <w:b/>
                <w:sz w:val="20"/>
              </w:rPr>
              <w:t>ATV</w:t>
            </w:r>
            <w:r w:rsidR="004064B4" w:rsidRPr="00F93681">
              <w:rPr>
                <w:rFonts w:ascii="Arial Narrow" w:hAnsi="Arial Narrow"/>
                <w:b/>
                <w:sz w:val="20"/>
              </w:rPr>
              <w:t xml:space="preserve"> + </w:t>
            </w:r>
            <w:r w:rsidRPr="00F93681">
              <w:rPr>
                <w:rFonts w:ascii="Arial Narrow" w:hAnsi="Arial Narrow"/>
                <w:b/>
                <w:sz w:val="20"/>
              </w:rPr>
              <w:t>r</w:t>
            </w:r>
            <w:r w:rsidR="00C356CE" w:rsidRPr="00F93681">
              <w:rPr>
                <w:rFonts w:ascii="Arial Narrow" w:hAnsi="Arial Narrow"/>
                <w:b/>
                <w:sz w:val="20"/>
              </w:rPr>
              <w:t xml:space="preserve"> + TVD</w:t>
            </w:r>
          </w:p>
          <w:p w:rsidR="004064B4" w:rsidRPr="00F93681" w:rsidRDefault="004064B4" w:rsidP="00B51152">
            <w:pPr>
              <w:keepNext/>
              <w:keepLines/>
              <w:ind w:right="-108"/>
              <w:jc w:val="center"/>
              <w:rPr>
                <w:rFonts w:ascii="Arial Narrow" w:hAnsi="Arial Narrow"/>
                <w:b/>
                <w:sz w:val="20"/>
              </w:rPr>
            </w:pPr>
            <w:proofErr w:type="gramStart"/>
            <w:r w:rsidRPr="00F93681">
              <w:rPr>
                <w:rFonts w:ascii="Arial Narrow" w:hAnsi="Arial Narrow"/>
                <w:b/>
                <w:sz w:val="20"/>
              </w:rPr>
              <w:t>n</w:t>
            </w:r>
            <w:proofErr w:type="gramEnd"/>
            <w:r w:rsidRPr="00F93681">
              <w:rPr>
                <w:rFonts w:ascii="Arial Narrow" w:hAnsi="Arial Narrow"/>
                <w:b/>
                <w:sz w:val="20"/>
              </w:rPr>
              <w:t xml:space="preserve"> (%)</w:t>
            </w:r>
          </w:p>
        </w:tc>
        <w:tc>
          <w:tcPr>
            <w:tcW w:w="835" w:type="pct"/>
            <w:tcBorders>
              <w:bottom w:val="single" w:sz="4" w:space="0" w:color="auto"/>
            </w:tcBorders>
            <w:vAlign w:val="center"/>
          </w:tcPr>
          <w:p w:rsidR="004064B4" w:rsidRPr="00F93681" w:rsidRDefault="004064B4" w:rsidP="00B51152">
            <w:pPr>
              <w:keepNext/>
              <w:keepLines/>
              <w:ind w:right="-108"/>
              <w:jc w:val="center"/>
              <w:rPr>
                <w:rFonts w:ascii="Arial Narrow" w:hAnsi="Arial Narrow"/>
                <w:b/>
                <w:sz w:val="20"/>
              </w:rPr>
            </w:pPr>
            <w:r w:rsidRPr="00F93681">
              <w:rPr>
                <w:rFonts w:ascii="Arial Narrow" w:hAnsi="Arial Narrow"/>
                <w:b/>
                <w:sz w:val="20"/>
              </w:rPr>
              <w:t>RD (95% CI)</w:t>
            </w:r>
          </w:p>
        </w:tc>
        <w:tc>
          <w:tcPr>
            <w:tcW w:w="926" w:type="pct"/>
            <w:tcBorders>
              <w:bottom w:val="single" w:sz="4" w:space="0" w:color="auto"/>
            </w:tcBorders>
            <w:vAlign w:val="center"/>
          </w:tcPr>
          <w:p w:rsidR="004064B4" w:rsidRPr="00F93681" w:rsidRDefault="004064B4" w:rsidP="00B51152">
            <w:pPr>
              <w:keepNext/>
              <w:keepLines/>
              <w:ind w:right="-108"/>
              <w:jc w:val="center"/>
              <w:rPr>
                <w:rFonts w:ascii="Arial Narrow" w:hAnsi="Arial Narrow"/>
                <w:b/>
                <w:sz w:val="20"/>
              </w:rPr>
            </w:pPr>
            <w:r w:rsidRPr="00F93681">
              <w:rPr>
                <w:rFonts w:ascii="Arial Narrow" w:hAnsi="Arial Narrow"/>
                <w:b/>
                <w:sz w:val="20"/>
              </w:rPr>
              <w:t>RR (95% CI)</w:t>
            </w:r>
          </w:p>
        </w:tc>
      </w:tr>
      <w:tr w:rsidR="004064B4" w:rsidRPr="00F93681" w:rsidTr="0071685F">
        <w:tc>
          <w:tcPr>
            <w:tcW w:w="1630" w:type="pct"/>
            <w:tcBorders>
              <w:top w:val="single" w:sz="4" w:space="0" w:color="auto"/>
            </w:tcBorders>
            <w:vAlign w:val="center"/>
          </w:tcPr>
          <w:p w:rsidR="004064B4" w:rsidRPr="00F93681" w:rsidRDefault="004064B4" w:rsidP="00B51152">
            <w:pPr>
              <w:keepNext/>
              <w:keepLines/>
              <w:tabs>
                <w:tab w:val="left" w:pos="150"/>
              </w:tabs>
              <w:ind w:left="142"/>
              <w:jc w:val="left"/>
              <w:rPr>
                <w:rFonts w:ascii="Arial Narrow" w:hAnsi="Arial Narrow"/>
                <w:sz w:val="20"/>
              </w:rPr>
            </w:pPr>
            <w:r w:rsidRPr="00F93681">
              <w:rPr>
                <w:rFonts w:ascii="Arial Narrow" w:hAnsi="Arial Narrow"/>
                <w:sz w:val="20"/>
              </w:rPr>
              <w:t>N</w:t>
            </w:r>
          </w:p>
        </w:tc>
        <w:tc>
          <w:tcPr>
            <w:tcW w:w="762" w:type="pct"/>
            <w:tcBorders>
              <w:top w:val="single" w:sz="4" w:space="0" w:color="auto"/>
            </w:tcBorders>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394</w:t>
            </w:r>
          </w:p>
        </w:tc>
        <w:tc>
          <w:tcPr>
            <w:tcW w:w="847" w:type="pct"/>
            <w:tcBorders>
              <w:top w:val="single" w:sz="4" w:space="0" w:color="auto"/>
            </w:tcBorders>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377</w:t>
            </w:r>
          </w:p>
        </w:tc>
        <w:tc>
          <w:tcPr>
            <w:tcW w:w="835" w:type="pct"/>
            <w:tcBorders>
              <w:top w:val="single" w:sz="4" w:space="0" w:color="auto"/>
            </w:tcBorders>
            <w:vAlign w:val="center"/>
          </w:tcPr>
          <w:p w:rsidR="004064B4" w:rsidRPr="00F93681" w:rsidRDefault="004064B4" w:rsidP="00B51152">
            <w:pPr>
              <w:keepNext/>
              <w:keepLines/>
              <w:jc w:val="center"/>
              <w:rPr>
                <w:rFonts w:ascii="Arial Narrow" w:hAnsi="Arial Narrow"/>
                <w:sz w:val="20"/>
              </w:rPr>
            </w:pPr>
          </w:p>
        </w:tc>
        <w:tc>
          <w:tcPr>
            <w:tcW w:w="926" w:type="pct"/>
            <w:tcBorders>
              <w:top w:val="single" w:sz="4" w:space="0" w:color="auto"/>
            </w:tcBorders>
            <w:vAlign w:val="center"/>
          </w:tcPr>
          <w:p w:rsidR="004064B4" w:rsidRPr="00F93681" w:rsidRDefault="004064B4" w:rsidP="00B51152">
            <w:pPr>
              <w:keepNext/>
              <w:keepLines/>
              <w:jc w:val="center"/>
              <w:rPr>
                <w:rFonts w:ascii="Arial Narrow" w:hAnsi="Arial Narrow"/>
                <w:sz w:val="20"/>
              </w:rPr>
            </w:pPr>
          </w:p>
        </w:tc>
      </w:tr>
      <w:tr w:rsidR="004064B4" w:rsidRPr="00F93681" w:rsidTr="0071685F">
        <w:tc>
          <w:tcPr>
            <w:tcW w:w="1630" w:type="pct"/>
            <w:tcBorders>
              <w:top w:val="single" w:sz="4" w:space="0" w:color="auto"/>
              <w:left w:val="single" w:sz="4" w:space="0" w:color="auto"/>
              <w:bottom w:val="single" w:sz="4" w:space="0" w:color="auto"/>
              <w:right w:val="nil"/>
            </w:tcBorders>
            <w:vAlign w:val="center"/>
          </w:tcPr>
          <w:p w:rsidR="004064B4" w:rsidRPr="00F93681" w:rsidRDefault="004064B4" w:rsidP="00B51152">
            <w:pPr>
              <w:keepNext/>
              <w:keepLines/>
              <w:tabs>
                <w:tab w:val="left" w:pos="150"/>
              </w:tabs>
              <w:jc w:val="left"/>
              <w:rPr>
                <w:rFonts w:ascii="Arial Narrow" w:hAnsi="Arial Narrow"/>
                <w:b/>
                <w:sz w:val="20"/>
              </w:rPr>
            </w:pPr>
            <w:r w:rsidRPr="00F93681">
              <w:rPr>
                <w:rFonts w:ascii="Arial Narrow" w:hAnsi="Arial Narrow"/>
                <w:b/>
                <w:sz w:val="20"/>
              </w:rPr>
              <w:t>Treatment emergent</w:t>
            </w:r>
          </w:p>
        </w:tc>
        <w:tc>
          <w:tcPr>
            <w:tcW w:w="762" w:type="pct"/>
            <w:tcBorders>
              <w:top w:val="single" w:sz="4" w:space="0" w:color="auto"/>
              <w:left w:val="nil"/>
              <w:bottom w:val="single" w:sz="4" w:space="0" w:color="auto"/>
              <w:right w:val="nil"/>
            </w:tcBorders>
            <w:vAlign w:val="center"/>
          </w:tcPr>
          <w:p w:rsidR="004064B4" w:rsidRPr="00F93681" w:rsidRDefault="004064B4" w:rsidP="00B51152">
            <w:pPr>
              <w:keepNext/>
              <w:keepLines/>
              <w:jc w:val="center"/>
              <w:rPr>
                <w:rFonts w:ascii="Arial Narrow" w:hAnsi="Arial Narrow"/>
                <w:sz w:val="20"/>
              </w:rPr>
            </w:pPr>
          </w:p>
        </w:tc>
        <w:tc>
          <w:tcPr>
            <w:tcW w:w="847" w:type="pct"/>
            <w:tcBorders>
              <w:top w:val="single" w:sz="4" w:space="0" w:color="auto"/>
              <w:left w:val="nil"/>
              <w:bottom w:val="single" w:sz="4" w:space="0" w:color="auto"/>
              <w:right w:val="nil"/>
            </w:tcBorders>
            <w:vAlign w:val="center"/>
          </w:tcPr>
          <w:p w:rsidR="004064B4" w:rsidRPr="00F93681" w:rsidRDefault="004064B4" w:rsidP="00B51152">
            <w:pPr>
              <w:keepNext/>
              <w:keepLines/>
              <w:jc w:val="center"/>
              <w:rPr>
                <w:rFonts w:ascii="Arial Narrow" w:hAnsi="Arial Narrow"/>
                <w:sz w:val="20"/>
              </w:rPr>
            </w:pPr>
          </w:p>
        </w:tc>
        <w:tc>
          <w:tcPr>
            <w:tcW w:w="835" w:type="pct"/>
            <w:tcBorders>
              <w:top w:val="single" w:sz="4" w:space="0" w:color="auto"/>
              <w:left w:val="nil"/>
              <w:bottom w:val="single" w:sz="4" w:space="0" w:color="auto"/>
              <w:right w:val="nil"/>
            </w:tcBorders>
            <w:vAlign w:val="center"/>
          </w:tcPr>
          <w:p w:rsidR="004064B4" w:rsidRPr="00F93681" w:rsidRDefault="004064B4" w:rsidP="00B51152">
            <w:pPr>
              <w:keepNext/>
              <w:keepLines/>
              <w:jc w:val="center"/>
              <w:rPr>
                <w:rFonts w:ascii="Arial Narrow" w:hAnsi="Arial Narrow"/>
                <w:sz w:val="20"/>
              </w:rPr>
            </w:pPr>
          </w:p>
        </w:tc>
        <w:tc>
          <w:tcPr>
            <w:tcW w:w="926" w:type="pct"/>
            <w:tcBorders>
              <w:top w:val="single" w:sz="4" w:space="0" w:color="auto"/>
              <w:left w:val="nil"/>
              <w:bottom w:val="single" w:sz="4" w:space="0" w:color="auto"/>
              <w:right w:val="single" w:sz="4" w:space="0" w:color="auto"/>
            </w:tcBorders>
            <w:vAlign w:val="center"/>
          </w:tcPr>
          <w:p w:rsidR="004064B4" w:rsidRPr="00F93681" w:rsidRDefault="004064B4" w:rsidP="00B51152">
            <w:pPr>
              <w:keepNext/>
              <w:keepLines/>
              <w:jc w:val="center"/>
              <w:rPr>
                <w:rFonts w:ascii="Arial Narrow" w:hAnsi="Arial Narrow"/>
                <w:sz w:val="20"/>
              </w:rPr>
            </w:pPr>
          </w:p>
        </w:tc>
      </w:tr>
      <w:tr w:rsidR="004064B4" w:rsidRPr="00F93681" w:rsidTr="0071685F">
        <w:tc>
          <w:tcPr>
            <w:tcW w:w="1630" w:type="pct"/>
            <w:tcBorders>
              <w:top w:val="single" w:sz="4" w:space="0" w:color="auto"/>
            </w:tcBorders>
            <w:vAlign w:val="center"/>
          </w:tcPr>
          <w:p w:rsidR="004064B4" w:rsidRPr="00F93681" w:rsidRDefault="004064B4" w:rsidP="00B51152">
            <w:pPr>
              <w:keepNext/>
              <w:keepLines/>
              <w:tabs>
                <w:tab w:val="left" w:pos="150"/>
              </w:tabs>
              <w:ind w:left="142"/>
              <w:jc w:val="left"/>
              <w:rPr>
                <w:rFonts w:ascii="Arial Narrow" w:hAnsi="Arial Narrow"/>
                <w:sz w:val="20"/>
              </w:rPr>
            </w:pPr>
            <w:r w:rsidRPr="00F93681">
              <w:rPr>
                <w:rFonts w:ascii="Arial Narrow" w:hAnsi="Arial Narrow"/>
                <w:sz w:val="20"/>
              </w:rPr>
              <w:t>Any AE</w:t>
            </w:r>
          </w:p>
        </w:tc>
        <w:tc>
          <w:tcPr>
            <w:tcW w:w="762" w:type="pct"/>
            <w:tcBorders>
              <w:top w:val="single" w:sz="4" w:space="0" w:color="auto"/>
            </w:tcBorders>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361 (91.6%)</w:t>
            </w:r>
          </w:p>
        </w:tc>
        <w:tc>
          <w:tcPr>
            <w:tcW w:w="847" w:type="pct"/>
            <w:tcBorders>
              <w:top w:val="single" w:sz="4" w:space="0" w:color="auto"/>
            </w:tcBorders>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347 (92.0%)</w:t>
            </w:r>
          </w:p>
        </w:tc>
        <w:tc>
          <w:tcPr>
            <w:tcW w:w="835" w:type="pct"/>
            <w:tcBorders>
              <w:top w:val="single" w:sz="4" w:space="0" w:color="auto"/>
            </w:tcBorders>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0% (-4%, 3%)</w:t>
            </w:r>
          </w:p>
        </w:tc>
        <w:tc>
          <w:tcPr>
            <w:tcW w:w="926" w:type="pct"/>
            <w:tcBorders>
              <w:top w:val="single" w:sz="4" w:space="0" w:color="auto"/>
            </w:tcBorders>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1.00 (0.95, 1.04)</w:t>
            </w:r>
          </w:p>
        </w:tc>
      </w:tr>
      <w:tr w:rsidR="004064B4" w:rsidRPr="00F93681" w:rsidTr="0071685F">
        <w:tc>
          <w:tcPr>
            <w:tcW w:w="1630" w:type="pct"/>
            <w:vAlign w:val="center"/>
          </w:tcPr>
          <w:p w:rsidR="004064B4" w:rsidRPr="00F93681" w:rsidRDefault="004064B4" w:rsidP="00B51152">
            <w:pPr>
              <w:keepNext/>
              <w:keepLines/>
              <w:tabs>
                <w:tab w:val="left" w:pos="284"/>
              </w:tabs>
              <w:ind w:left="142"/>
              <w:jc w:val="left"/>
              <w:rPr>
                <w:rFonts w:ascii="Arial Narrow" w:hAnsi="Arial Narrow"/>
                <w:sz w:val="20"/>
              </w:rPr>
            </w:pPr>
            <w:r w:rsidRPr="00F93681">
              <w:rPr>
                <w:rFonts w:ascii="Arial Narrow" w:hAnsi="Arial Narrow"/>
                <w:sz w:val="20"/>
              </w:rPr>
              <w:t>Grade 3 or 4 AEs</w:t>
            </w:r>
          </w:p>
        </w:tc>
        <w:tc>
          <w:tcPr>
            <w:tcW w:w="762"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70 (17.8%)</w:t>
            </w:r>
          </w:p>
        </w:tc>
        <w:tc>
          <w:tcPr>
            <w:tcW w:w="847"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50 (13.3%)</w:t>
            </w:r>
          </w:p>
        </w:tc>
        <w:tc>
          <w:tcPr>
            <w:tcW w:w="835" w:type="pct"/>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5% (-1%, 10%)</w:t>
            </w:r>
          </w:p>
        </w:tc>
        <w:tc>
          <w:tcPr>
            <w:tcW w:w="926" w:type="pct"/>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1.34 (0.96, 1.87)</w:t>
            </w:r>
          </w:p>
        </w:tc>
      </w:tr>
      <w:tr w:rsidR="004064B4" w:rsidRPr="00F93681" w:rsidTr="0071685F">
        <w:tc>
          <w:tcPr>
            <w:tcW w:w="1630" w:type="pct"/>
            <w:vAlign w:val="center"/>
          </w:tcPr>
          <w:p w:rsidR="004064B4" w:rsidRPr="00F93681" w:rsidRDefault="004064B4" w:rsidP="00B51152">
            <w:pPr>
              <w:keepNext/>
              <w:keepLines/>
              <w:tabs>
                <w:tab w:val="left" w:pos="284"/>
              </w:tabs>
              <w:ind w:left="142"/>
              <w:jc w:val="left"/>
              <w:rPr>
                <w:rFonts w:ascii="Arial Narrow" w:hAnsi="Arial Narrow"/>
                <w:sz w:val="20"/>
              </w:rPr>
            </w:pPr>
            <w:r w:rsidRPr="00F93681">
              <w:rPr>
                <w:rFonts w:ascii="Arial Narrow" w:hAnsi="Arial Narrow"/>
                <w:sz w:val="20"/>
              </w:rPr>
              <w:t>Serious AEs</w:t>
            </w:r>
          </w:p>
        </w:tc>
        <w:tc>
          <w:tcPr>
            <w:tcW w:w="762"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38 (9.6%)</w:t>
            </w:r>
          </w:p>
        </w:tc>
        <w:tc>
          <w:tcPr>
            <w:tcW w:w="847"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25 (6.6%)</w:t>
            </w:r>
          </w:p>
        </w:tc>
        <w:tc>
          <w:tcPr>
            <w:tcW w:w="835"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3% (-1%, 7%)</w:t>
            </w:r>
          </w:p>
        </w:tc>
        <w:tc>
          <w:tcPr>
            <w:tcW w:w="926" w:type="pct"/>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1.45 (0.90, 2.36)</w:t>
            </w:r>
          </w:p>
        </w:tc>
      </w:tr>
      <w:tr w:rsidR="004064B4" w:rsidRPr="00F93681" w:rsidTr="0071685F">
        <w:tc>
          <w:tcPr>
            <w:tcW w:w="1630" w:type="pct"/>
            <w:vAlign w:val="center"/>
          </w:tcPr>
          <w:p w:rsidR="004064B4" w:rsidRPr="00F93681" w:rsidRDefault="004064B4" w:rsidP="00B51152">
            <w:pPr>
              <w:keepNext/>
              <w:keepLines/>
              <w:tabs>
                <w:tab w:val="left" w:pos="284"/>
              </w:tabs>
              <w:ind w:left="142"/>
              <w:jc w:val="left"/>
              <w:rPr>
                <w:rFonts w:ascii="Arial Narrow" w:hAnsi="Arial Narrow"/>
                <w:sz w:val="20"/>
              </w:rPr>
            </w:pPr>
            <w:r w:rsidRPr="00F93681">
              <w:rPr>
                <w:rFonts w:ascii="Arial Narrow" w:hAnsi="Arial Narrow"/>
                <w:sz w:val="20"/>
              </w:rPr>
              <w:t>AEs leading to discontinuation</w:t>
            </w:r>
          </w:p>
        </w:tc>
        <w:tc>
          <w:tcPr>
            <w:tcW w:w="762"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27 (6.9%)</w:t>
            </w:r>
          </w:p>
        </w:tc>
        <w:tc>
          <w:tcPr>
            <w:tcW w:w="847"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27 (7.2%)</w:t>
            </w:r>
          </w:p>
        </w:tc>
        <w:tc>
          <w:tcPr>
            <w:tcW w:w="835" w:type="pct"/>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0% (-4%, 3%)</w:t>
            </w:r>
          </w:p>
        </w:tc>
        <w:tc>
          <w:tcPr>
            <w:tcW w:w="926" w:type="pct"/>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0.96 (0.57, 1.60)</w:t>
            </w:r>
          </w:p>
        </w:tc>
      </w:tr>
      <w:tr w:rsidR="004064B4" w:rsidRPr="00F93681" w:rsidTr="0071685F">
        <w:tc>
          <w:tcPr>
            <w:tcW w:w="1630" w:type="pct"/>
            <w:tcBorders>
              <w:bottom w:val="single" w:sz="4" w:space="0" w:color="auto"/>
            </w:tcBorders>
            <w:vAlign w:val="center"/>
          </w:tcPr>
          <w:p w:rsidR="004064B4" w:rsidRPr="00F93681" w:rsidRDefault="004064B4" w:rsidP="00B51152">
            <w:pPr>
              <w:keepNext/>
              <w:keepLines/>
              <w:tabs>
                <w:tab w:val="left" w:pos="284"/>
              </w:tabs>
              <w:ind w:left="142"/>
              <w:jc w:val="left"/>
              <w:rPr>
                <w:rFonts w:ascii="Arial Narrow" w:hAnsi="Arial Narrow"/>
                <w:sz w:val="20"/>
              </w:rPr>
            </w:pPr>
            <w:r w:rsidRPr="00F93681">
              <w:rPr>
                <w:rFonts w:ascii="Arial Narrow" w:hAnsi="Arial Narrow"/>
                <w:sz w:val="20"/>
              </w:rPr>
              <w:t>Serious AEs related to study drug</w:t>
            </w:r>
          </w:p>
        </w:tc>
        <w:tc>
          <w:tcPr>
            <w:tcW w:w="762" w:type="pct"/>
            <w:tcBorders>
              <w:bottom w:val="single" w:sz="4" w:space="0" w:color="auto"/>
            </w:tcBorders>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5 (1.3%)</w:t>
            </w:r>
          </w:p>
        </w:tc>
        <w:tc>
          <w:tcPr>
            <w:tcW w:w="847" w:type="pct"/>
            <w:tcBorders>
              <w:bottom w:val="single" w:sz="4" w:space="0" w:color="auto"/>
            </w:tcBorders>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6 (1.6%)</w:t>
            </w:r>
          </w:p>
        </w:tc>
        <w:tc>
          <w:tcPr>
            <w:tcW w:w="835" w:type="pct"/>
            <w:tcBorders>
              <w:bottom w:val="single" w:sz="4" w:space="0" w:color="auto"/>
            </w:tcBorders>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0% (-2%, 1%)</w:t>
            </w:r>
          </w:p>
        </w:tc>
        <w:tc>
          <w:tcPr>
            <w:tcW w:w="926" w:type="pct"/>
            <w:tcBorders>
              <w:bottom w:val="single" w:sz="4" w:space="0" w:color="auto"/>
            </w:tcBorders>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0.80 (0.25, 2.59)</w:t>
            </w:r>
          </w:p>
        </w:tc>
      </w:tr>
      <w:tr w:rsidR="004064B4" w:rsidRPr="00F93681" w:rsidTr="0071685F">
        <w:tc>
          <w:tcPr>
            <w:tcW w:w="1630" w:type="pct"/>
            <w:tcBorders>
              <w:bottom w:val="single" w:sz="4" w:space="0" w:color="auto"/>
            </w:tcBorders>
            <w:vAlign w:val="center"/>
          </w:tcPr>
          <w:p w:rsidR="004064B4" w:rsidRPr="00F93681" w:rsidRDefault="004064B4" w:rsidP="00B51152">
            <w:pPr>
              <w:keepNext/>
              <w:keepLines/>
              <w:tabs>
                <w:tab w:val="left" w:pos="284"/>
              </w:tabs>
              <w:ind w:left="142"/>
              <w:jc w:val="left"/>
              <w:rPr>
                <w:rFonts w:ascii="Arial Narrow" w:hAnsi="Arial Narrow"/>
                <w:sz w:val="20"/>
              </w:rPr>
            </w:pPr>
            <w:r w:rsidRPr="00F93681">
              <w:rPr>
                <w:rFonts w:ascii="Arial Narrow" w:hAnsi="Arial Narrow"/>
                <w:sz w:val="20"/>
              </w:rPr>
              <w:t>Death</w:t>
            </w:r>
          </w:p>
        </w:tc>
        <w:tc>
          <w:tcPr>
            <w:tcW w:w="762" w:type="pct"/>
            <w:tcBorders>
              <w:bottom w:val="single" w:sz="4" w:space="0" w:color="auto"/>
            </w:tcBorders>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0</w:t>
            </w:r>
          </w:p>
        </w:tc>
        <w:tc>
          <w:tcPr>
            <w:tcW w:w="847" w:type="pct"/>
            <w:tcBorders>
              <w:bottom w:val="single" w:sz="4" w:space="0" w:color="auto"/>
            </w:tcBorders>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0</w:t>
            </w:r>
          </w:p>
        </w:tc>
        <w:tc>
          <w:tcPr>
            <w:tcW w:w="835" w:type="pct"/>
            <w:tcBorders>
              <w:bottom w:val="single" w:sz="4" w:space="0" w:color="auto"/>
            </w:tcBorders>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0</w:t>
            </w:r>
          </w:p>
        </w:tc>
        <w:tc>
          <w:tcPr>
            <w:tcW w:w="926" w:type="pct"/>
            <w:tcBorders>
              <w:bottom w:val="single" w:sz="4" w:space="0" w:color="auto"/>
            </w:tcBorders>
            <w:vAlign w:val="center"/>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NA</w:t>
            </w:r>
          </w:p>
        </w:tc>
      </w:tr>
      <w:tr w:rsidR="004064B4" w:rsidRPr="00F93681" w:rsidTr="0071685F">
        <w:tc>
          <w:tcPr>
            <w:tcW w:w="1630" w:type="pct"/>
            <w:tcBorders>
              <w:top w:val="single" w:sz="4" w:space="0" w:color="auto"/>
              <w:left w:val="single" w:sz="4" w:space="0" w:color="auto"/>
              <w:bottom w:val="single" w:sz="4" w:space="0" w:color="auto"/>
              <w:right w:val="nil"/>
            </w:tcBorders>
            <w:vAlign w:val="center"/>
          </w:tcPr>
          <w:p w:rsidR="004064B4" w:rsidRPr="00F93681" w:rsidRDefault="004064B4" w:rsidP="00B51152">
            <w:pPr>
              <w:keepNext/>
              <w:keepLines/>
              <w:tabs>
                <w:tab w:val="left" w:pos="150"/>
              </w:tabs>
              <w:jc w:val="left"/>
              <w:rPr>
                <w:rFonts w:ascii="Arial Narrow" w:hAnsi="Arial Narrow"/>
                <w:b/>
                <w:sz w:val="20"/>
              </w:rPr>
            </w:pPr>
            <w:r w:rsidRPr="00F93681">
              <w:rPr>
                <w:rFonts w:ascii="Arial Narrow" w:hAnsi="Arial Narrow"/>
                <w:b/>
                <w:sz w:val="20"/>
              </w:rPr>
              <w:t>Special interest</w:t>
            </w:r>
          </w:p>
        </w:tc>
        <w:tc>
          <w:tcPr>
            <w:tcW w:w="762" w:type="pct"/>
            <w:tcBorders>
              <w:top w:val="single" w:sz="4" w:space="0" w:color="auto"/>
              <w:left w:val="nil"/>
              <w:bottom w:val="single" w:sz="4" w:space="0" w:color="auto"/>
              <w:right w:val="nil"/>
            </w:tcBorders>
            <w:vAlign w:val="center"/>
          </w:tcPr>
          <w:p w:rsidR="004064B4" w:rsidRPr="00F93681" w:rsidRDefault="004064B4" w:rsidP="00B51152">
            <w:pPr>
              <w:keepNext/>
              <w:keepLines/>
              <w:jc w:val="center"/>
              <w:rPr>
                <w:rFonts w:ascii="Arial Narrow" w:hAnsi="Arial Narrow"/>
                <w:sz w:val="20"/>
              </w:rPr>
            </w:pPr>
          </w:p>
        </w:tc>
        <w:tc>
          <w:tcPr>
            <w:tcW w:w="847" w:type="pct"/>
            <w:tcBorders>
              <w:top w:val="single" w:sz="4" w:space="0" w:color="auto"/>
              <w:left w:val="nil"/>
              <w:bottom w:val="single" w:sz="4" w:space="0" w:color="auto"/>
              <w:right w:val="nil"/>
            </w:tcBorders>
            <w:vAlign w:val="center"/>
          </w:tcPr>
          <w:p w:rsidR="004064B4" w:rsidRPr="00F93681" w:rsidRDefault="004064B4" w:rsidP="00B51152">
            <w:pPr>
              <w:keepNext/>
              <w:keepLines/>
              <w:jc w:val="center"/>
              <w:rPr>
                <w:rFonts w:ascii="Arial Narrow" w:hAnsi="Arial Narrow"/>
                <w:sz w:val="20"/>
              </w:rPr>
            </w:pPr>
          </w:p>
        </w:tc>
        <w:tc>
          <w:tcPr>
            <w:tcW w:w="835" w:type="pct"/>
            <w:tcBorders>
              <w:top w:val="single" w:sz="4" w:space="0" w:color="auto"/>
              <w:left w:val="nil"/>
              <w:bottom w:val="single" w:sz="4" w:space="0" w:color="auto"/>
              <w:right w:val="nil"/>
            </w:tcBorders>
            <w:vAlign w:val="center"/>
          </w:tcPr>
          <w:p w:rsidR="004064B4" w:rsidRPr="00F93681" w:rsidRDefault="004064B4" w:rsidP="00B51152">
            <w:pPr>
              <w:keepNext/>
              <w:keepLines/>
              <w:jc w:val="center"/>
              <w:rPr>
                <w:rFonts w:ascii="Arial Narrow" w:hAnsi="Arial Narrow"/>
                <w:sz w:val="20"/>
              </w:rPr>
            </w:pPr>
          </w:p>
        </w:tc>
        <w:tc>
          <w:tcPr>
            <w:tcW w:w="926" w:type="pct"/>
            <w:tcBorders>
              <w:top w:val="single" w:sz="4" w:space="0" w:color="auto"/>
              <w:left w:val="nil"/>
              <w:bottom w:val="single" w:sz="4" w:space="0" w:color="auto"/>
              <w:right w:val="single" w:sz="4" w:space="0" w:color="auto"/>
            </w:tcBorders>
            <w:vAlign w:val="center"/>
          </w:tcPr>
          <w:p w:rsidR="004064B4" w:rsidRPr="00F93681" w:rsidRDefault="004064B4" w:rsidP="00B51152">
            <w:pPr>
              <w:keepNext/>
              <w:keepLines/>
              <w:jc w:val="center"/>
              <w:rPr>
                <w:rFonts w:ascii="Arial Narrow" w:hAnsi="Arial Narrow"/>
                <w:sz w:val="20"/>
              </w:rPr>
            </w:pPr>
          </w:p>
        </w:tc>
      </w:tr>
      <w:tr w:rsidR="004064B4" w:rsidRPr="00F93681" w:rsidTr="0071685F">
        <w:tc>
          <w:tcPr>
            <w:tcW w:w="1630" w:type="pct"/>
            <w:vAlign w:val="center"/>
          </w:tcPr>
          <w:p w:rsidR="004064B4" w:rsidRPr="00F93681" w:rsidRDefault="004064B4" w:rsidP="00B51152">
            <w:pPr>
              <w:keepNext/>
              <w:keepLines/>
              <w:tabs>
                <w:tab w:val="left" w:pos="150"/>
              </w:tabs>
              <w:ind w:left="142"/>
              <w:jc w:val="left"/>
              <w:rPr>
                <w:rFonts w:ascii="Arial Narrow" w:hAnsi="Arial Narrow"/>
                <w:sz w:val="20"/>
              </w:rPr>
            </w:pPr>
            <w:r w:rsidRPr="00F93681">
              <w:rPr>
                <w:rFonts w:ascii="Arial Narrow" w:hAnsi="Arial Narrow"/>
                <w:sz w:val="20"/>
              </w:rPr>
              <w:t>Renal events</w:t>
            </w:r>
            <w:r w:rsidR="00EC40B6" w:rsidRPr="00F93681">
              <w:rPr>
                <w:rFonts w:ascii="Arial Narrow" w:hAnsi="Arial Narrow"/>
                <w:sz w:val="20"/>
              </w:rPr>
              <w:t xml:space="preserve"> (all)</w:t>
            </w:r>
          </w:p>
        </w:tc>
        <w:tc>
          <w:tcPr>
            <w:tcW w:w="762"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1 (0.3%)</w:t>
            </w:r>
          </w:p>
        </w:tc>
        <w:tc>
          <w:tcPr>
            <w:tcW w:w="847" w:type="pct"/>
          </w:tcPr>
          <w:p w:rsidR="004064B4" w:rsidRPr="00F93681" w:rsidRDefault="004064B4" w:rsidP="00B51152">
            <w:pPr>
              <w:keepNext/>
              <w:keepLines/>
              <w:jc w:val="center"/>
              <w:rPr>
                <w:rFonts w:ascii="Arial Narrow" w:hAnsi="Arial Narrow"/>
                <w:sz w:val="20"/>
              </w:rPr>
            </w:pPr>
            <w:r w:rsidRPr="00F93681">
              <w:rPr>
                <w:rFonts w:ascii="Arial Narrow" w:hAnsi="Arial Narrow"/>
                <w:sz w:val="20"/>
              </w:rPr>
              <w:t>7 (1.9%)</w:t>
            </w:r>
          </w:p>
        </w:tc>
        <w:tc>
          <w:tcPr>
            <w:tcW w:w="835" w:type="pct"/>
            <w:vAlign w:val="center"/>
          </w:tcPr>
          <w:p w:rsidR="004064B4" w:rsidRPr="00F93681" w:rsidRDefault="004064B4" w:rsidP="00B51152">
            <w:pPr>
              <w:keepNext/>
              <w:keepLines/>
              <w:jc w:val="center"/>
              <w:rPr>
                <w:rFonts w:ascii="Arial Narrow" w:hAnsi="Arial Narrow"/>
                <w:b/>
                <w:i/>
                <w:sz w:val="20"/>
              </w:rPr>
            </w:pPr>
            <w:r w:rsidRPr="00F93681">
              <w:rPr>
                <w:rFonts w:ascii="Arial Narrow" w:hAnsi="Arial Narrow"/>
                <w:b/>
                <w:i/>
                <w:sz w:val="20"/>
              </w:rPr>
              <w:t>-2% (-3%, 0%)</w:t>
            </w:r>
          </w:p>
        </w:tc>
        <w:tc>
          <w:tcPr>
            <w:tcW w:w="926" w:type="pct"/>
            <w:vAlign w:val="center"/>
          </w:tcPr>
          <w:p w:rsidR="004064B4" w:rsidRPr="00F93681" w:rsidRDefault="004064B4" w:rsidP="00B51152">
            <w:pPr>
              <w:keepNext/>
              <w:keepLines/>
              <w:jc w:val="center"/>
              <w:rPr>
                <w:rFonts w:ascii="Arial Narrow" w:hAnsi="Arial Narrow"/>
                <w:i/>
                <w:sz w:val="20"/>
              </w:rPr>
            </w:pPr>
            <w:r w:rsidRPr="00F93681">
              <w:rPr>
                <w:rFonts w:ascii="Arial Narrow" w:hAnsi="Arial Narrow"/>
                <w:i/>
                <w:sz w:val="20"/>
              </w:rPr>
              <w:t>0.14 (0.02, 1.11)</w:t>
            </w:r>
          </w:p>
        </w:tc>
      </w:tr>
    </w:tbl>
    <w:p w:rsidR="004064B4" w:rsidRPr="00F93681" w:rsidRDefault="004064B4" w:rsidP="00B51152">
      <w:pPr>
        <w:pStyle w:val="TableFooter"/>
        <w:keepNext/>
        <w:keepLines/>
        <w:ind w:left="709"/>
      </w:pPr>
      <w:r w:rsidRPr="00F93681">
        <w:t>Source: Table B.6.6, p82; Table B.6.9, p90 of the submission</w:t>
      </w:r>
    </w:p>
    <w:p w:rsidR="004064B4" w:rsidRPr="00F93681" w:rsidRDefault="004064B4" w:rsidP="00B51152">
      <w:pPr>
        <w:pStyle w:val="TableFooter"/>
        <w:keepNext/>
        <w:keepLines/>
        <w:ind w:left="709"/>
      </w:pPr>
      <w:r w:rsidRPr="00F93681">
        <w:rPr>
          <w:i/>
        </w:rPr>
        <w:t xml:space="preserve">Italics </w:t>
      </w:r>
      <w:r w:rsidRPr="00F93681">
        <w:t xml:space="preserve">value calculated during evaluation; </w:t>
      </w:r>
      <w:r w:rsidRPr="00F93681">
        <w:rPr>
          <w:b/>
        </w:rPr>
        <w:t>Bold</w:t>
      </w:r>
      <w:r w:rsidRPr="00F93681">
        <w:t xml:space="preserve"> indicates statistical significance</w:t>
      </w:r>
    </w:p>
    <w:p w:rsidR="004064B4" w:rsidRPr="00F93681" w:rsidRDefault="00524DE7" w:rsidP="00B51152">
      <w:pPr>
        <w:pStyle w:val="TableFooter"/>
        <w:keepNext/>
        <w:keepLines/>
        <w:ind w:left="709"/>
      </w:pPr>
      <w:r w:rsidRPr="00F93681">
        <w:t>ATV</w:t>
      </w:r>
      <w:r w:rsidR="004064B4" w:rsidRPr="00F93681">
        <w:t xml:space="preserve"> = atazanavir; </w:t>
      </w:r>
      <w:r w:rsidRPr="00F93681">
        <w:t>c</w:t>
      </w:r>
      <w:r w:rsidR="004064B4" w:rsidRPr="00F93681">
        <w:t xml:space="preserve"> = cobicistat; </w:t>
      </w:r>
      <w:r w:rsidR="00F430A8" w:rsidRPr="00F93681">
        <w:t>r</w:t>
      </w:r>
      <w:r w:rsidR="004064B4" w:rsidRPr="00F93681">
        <w:t xml:space="preserve"> = ritonavir; CI = confidence interval; AE = adverse event</w:t>
      </w:r>
      <w:r w:rsidR="00CB65BF" w:rsidRPr="00F93681">
        <w:t>; RD = risk difference; RR = relative risk</w:t>
      </w:r>
      <w:r w:rsidR="00E55EE1" w:rsidRPr="00F93681">
        <w:t xml:space="preserve">; NA = not </w:t>
      </w:r>
      <w:r w:rsidR="0017445D" w:rsidRPr="00F93681">
        <w:t>applicable</w:t>
      </w:r>
      <w:r w:rsidR="00C356CE" w:rsidRPr="00F93681">
        <w:t xml:space="preserve">; TVD = single tablet </w:t>
      </w:r>
      <w:proofErr w:type="spellStart"/>
      <w:r w:rsidR="00886FED" w:rsidRPr="00F93681">
        <w:t>emtricitabine</w:t>
      </w:r>
      <w:proofErr w:type="spellEnd"/>
      <w:r w:rsidR="00C356CE" w:rsidRPr="00F93681">
        <w:t>/</w:t>
      </w:r>
      <w:proofErr w:type="spellStart"/>
      <w:r w:rsidR="00C356CE" w:rsidRPr="00F93681">
        <w:t>tenofovir</w:t>
      </w:r>
      <w:proofErr w:type="spellEnd"/>
      <w:r w:rsidR="00C356CE" w:rsidRPr="00F93681">
        <w:t xml:space="preserve"> </w:t>
      </w:r>
      <w:proofErr w:type="spellStart"/>
      <w:r w:rsidR="00C356CE" w:rsidRPr="00F93681">
        <w:t>disoproxil</w:t>
      </w:r>
      <w:proofErr w:type="spellEnd"/>
      <w:r w:rsidR="00C356CE" w:rsidRPr="00F93681">
        <w:t xml:space="preserve"> </w:t>
      </w:r>
      <w:proofErr w:type="spellStart"/>
      <w:r w:rsidR="00C356CE" w:rsidRPr="00F93681">
        <w:t>fumarate</w:t>
      </w:r>
      <w:proofErr w:type="spellEnd"/>
    </w:p>
    <w:p w:rsidR="004064B4" w:rsidRPr="00F93681" w:rsidRDefault="004064B4" w:rsidP="004064B4">
      <w:pPr>
        <w:pStyle w:val="ListParagraph"/>
        <w:ind w:left="0"/>
        <w:rPr>
          <w:szCs w:val="22"/>
        </w:rPr>
      </w:pPr>
    </w:p>
    <w:p w:rsidR="00F73C12" w:rsidRPr="00F93681" w:rsidRDefault="00F73C12">
      <w:pPr>
        <w:widowControl/>
        <w:jc w:val="left"/>
        <w:rPr>
          <w:b/>
          <w:i/>
        </w:rPr>
      </w:pPr>
      <w:bookmarkStart w:id="10" w:name="_Toc430012268"/>
      <w:r w:rsidRPr="00F93681">
        <w:rPr>
          <w:i/>
        </w:rPr>
        <w:br w:type="page"/>
      </w:r>
    </w:p>
    <w:p w:rsidR="004064B4" w:rsidRPr="00F538B6" w:rsidRDefault="004064B4" w:rsidP="004064B4">
      <w:pPr>
        <w:pStyle w:val="Heading2"/>
      </w:pPr>
      <w:r w:rsidRPr="00F538B6">
        <w:lastRenderedPageBreak/>
        <w:t>Clinical claim</w:t>
      </w:r>
      <w:bookmarkEnd w:id="10"/>
    </w:p>
    <w:p w:rsidR="004064B4" w:rsidRPr="00F93681" w:rsidRDefault="004064B4" w:rsidP="004064B4">
      <w:pPr>
        <w:ind w:left="720" w:hanging="720"/>
        <w:rPr>
          <w:szCs w:val="22"/>
        </w:rPr>
      </w:pPr>
    </w:p>
    <w:p w:rsidR="00CB7AA0" w:rsidRPr="00F93681" w:rsidRDefault="008062D9" w:rsidP="008062D9">
      <w:pPr>
        <w:pStyle w:val="ListParagraph"/>
        <w:widowControl/>
        <w:numPr>
          <w:ilvl w:val="1"/>
          <w:numId w:val="5"/>
        </w:numPr>
        <w:rPr>
          <w:szCs w:val="22"/>
        </w:rPr>
      </w:pPr>
      <w:r w:rsidRPr="00F93681">
        <w:t>The submission described atazanavir/cobicistat FDC as bioequivalent to atazanavir plus cobicistat and described atazanavir plus cobicistat as non-inferior in terms of comparative effectiveness to atazanavir plus ritonavir taken concomitantly. The submission also claimed that although the safety profile of atazanavir plus cobicistat was different to that of atazanavir plus ritonavir, it was unlikely to result in worse outcomes for patients with HIV-1 infection.</w:t>
      </w:r>
      <w:r w:rsidR="00CB7AA0" w:rsidRPr="00F93681">
        <w:rPr>
          <w:i/>
        </w:rPr>
        <w:t xml:space="preserve"> </w:t>
      </w:r>
    </w:p>
    <w:p w:rsidR="00DF3E32" w:rsidRPr="00F93681" w:rsidRDefault="00DF3E32" w:rsidP="00DF3E32">
      <w:pPr>
        <w:pStyle w:val="ListParagraph"/>
        <w:widowControl/>
        <w:rPr>
          <w:szCs w:val="22"/>
        </w:rPr>
      </w:pPr>
    </w:p>
    <w:p w:rsidR="00DF3E32" w:rsidRPr="00F93681" w:rsidRDefault="00CB7AA0" w:rsidP="00DF3E32">
      <w:pPr>
        <w:pStyle w:val="ListParagraph"/>
        <w:widowControl/>
        <w:numPr>
          <w:ilvl w:val="1"/>
          <w:numId w:val="5"/>
        </w:numPr>
        <w:rPr>
          <w:szCs w:val="22"/>
        </w:rPr>
      </w:pPr>
      <w:r w:rsidRPr="00F93681">
        <w:t>The submission did not provide direct clinical evidence comparing atazanavir/cobicistat FDC and atazanavir plus ritonavir taken concomitantly, rather it provided bridging evidence:</w:t>
      </w:r>
    </w:p>
    <w:p w:rsidR="00CB7AA0" w:rsidRPr="00F93681" w:rsidRDefault="00CB7AA0" w:rsidP="009F088A">
      <w:pPr>
        <w:pStyle w:val="ListParagraph"/>
        <w:numPr>
          <w:ilvl w:val="0"/>
          <w:numId w:val="6"/>
        </w:numPr>
        <w:ind w:left="1134"/>
      </w:pPr>
      <w:r w:rsidRPr="00F93681">
        <w:t xml:space="preserve">A bio-equivalence study comparing atazanavir/cobicistat FDC to atazanavir plus cobicistat. This evidence demonstrated bio-equivalence. </w:t>
      </w:r>
    </w:p>
    <w:p w:rsidR="00DF3E32" w:rsidRPr="00F93681" w:rsidRDefault="00CB7AA0" w:rsidP="00DF3E32">
      <w:pPr>
        <w:pStyle w:val="ListParagraph"/>
        <w:numPr>
          <w:ilvl w:val="0"/>
          <w:numId w:val="6"/>
        </w:numPr>
        <w:ind w:left="1134"/>
      </w:pPr>
      <w:r w:rsidRPr="00F93681">
        <w:t>Two efficacy and safety trials comparing atazanavir plus cobicistat to atazanavir plus ritonavir. This evidence appeared to demonstrate non-inferior efficacy and safety.</w:t>
      </w:r>
    </w:p>
    <w:p w:rsidR="00DF3E32" w:rsidRPr="00F93681" w:rsidRDefault="00DF3E32" w:rsidP="00DF3E32">
      <w:pPr>
        <w:pStyle w:val="ListParagraph"/>
        <w:ind w:left="1134"/>
      </w:pPr>
    </w:p>
    <w:p w:rsidR="00DF3E32" w:rsidRPr="00F93681" w:rsidRDefault="00DF3E32" w:rsidP="00DF3E32">
      <w:pPr>
        <w:pStyle w:val="ListParagraph"/>
        <w:widowControl/>
        <w:numPr>
          <w:ilvl w:val="1"/>
          <w:numId w:val="5"/>
        </w:numPr>
        <w:rPr>
          <w:szCs w:val="22"/>
        </w:rPr>
      </w:pPr>
      <w:r w:rsidRPr="00F93681">
        <w:t xml:space="preserve">The </w:t>
      </w:r>
      <w:r w:rsidR="00E8707E" w:rsidRPr="00F93681">
        <w:t>ESC</w:t>
      </w:r>
      <w:r w:rsidRPr="00F93681">
        <w:t xml:space="preserve"> consider</w:t>
      </w:r>
      <w:r w:rsidR="00E8707E" w:rsidRPr="00F93681">
        <w:t>ed</w:t>
      </w:r>
      <w:r w:rsidRPr="00F93681">
        <w:t xml:space="preserve"> </w:t>
      </w:r>
      <w:r w:rsidR="00E8707E" w:rsidRPr="00F93681">
        <w:t>the</w:t>
      </w:r>
      <w:r w:rsidRPr="00F93681">
        <w:t xml:space="preserve"> stepped approach </w:t>
      </w:r>
      <w:r w:rsidR="00E8707E" w:rsidRPr="00F93681">
        <w:t xml:space="preserve">was reasonable </w:t>
      </w:r>
      <w:r w:rsidRPr="00F93681">
        <w:t xml:space="preserve">to demonstrate non-inferior efficacy and safety of atazanavir/cobicistat FDC and atazanavir plus ritonavir taken concomitantly. </w:t>
      </w:r>
    </w:p>
    <w:p w:rsidR="00094658" w:rsidRPr="00F93681" w:rsidRDefault="00094658" w:rsidP="00094658">
      <w:pPr>
        <w:pStyle w:val="ListParagraph"/>
        <w:widowControl/>
        <w:rPr>
          <w:szCs w:val="22"/>
        </w:rPr>
      </w:pPr>
    </w:p>
    <w:p w:rsidR="00094658" w:rsidRPr="00F93681" w:rsidRDefault="00094658" w:rsidP="00DF3E32">
      <w:pPr>
        <w:pStyle w:val="ListParagraph"/>
        <w:widowControl/>
        <w:numPr>
          <w:ilvl w:val="1"/>
          <w:numId w:val="5"/>
        </w:numPr>
        <w:rPr>
          <w:szCs w:val="22"/>
        </w:rPr>
      </w:pPr>
      <w:r w:rsidRPr="00F93681">
        <w:t xml:space="preserve">The </w:t>
      </w:r>
      <w:r w:rsidR="007A6BCB" w:rsidRPr="00F93681">
        <w:rPr>
          <w:bCs/>
          <w:szCs w:val="22"/>
        </w:rPr>
        <w:t>Pre-Sub-Committee Response</w:t>
      </w:r>
      <w:r w:rsidR="007A6BCB" w:rsidRPr="00F93681">
        <w:t xml:space="preserve"> (</w:t>
      </w:r>
      <w:r w:rsidRPr="00F93681">
        <w:t>PSCR</w:t>
      </w:r>
      <w:r w:rsidR="007A6BCB" w:rsidRPr="00F93681">
        <w:t>)</w:t>
      </w:r>
      <w:r w:rsidR="00927005" w:rsidRPr="00F93681">
        <w:t xml:space="preserve"> </w:t>
      </w:r>
      <w:r w:rsidRPr="00F93681">
        <w:t xml:space="preserve">indicated that </w:t>
      </w:r>
      <w:r w:rsidRPr="00F93681">
        <w:rPr>
          <w:bCs/>
          <w:szCs w:val="22"/>
        </w:rPr>
        <w:t>TGA has agreed that atazanavir/cobicistat FDC is bioequivalent to atazanavir plus cobicistat taken concomitantly.</w:t>
      </w:r>
    </w:p>
    <w:p w:rsidR="00641E1B" w:rsidRPr="00F93681" w:rsidRDefault="00641E1B" w:rsidP="0050744D">
      <w:pPr>
        <w:pStyle w:val="ListParagraph"/>
        <w:rPr>
          <w:szCs w:val="22"/>
        </w:rPr>
      </w:pPr>
    </w:p>
    <w:p w:rsidR="00641E1B" w:rsidRPr="00F93681" w:rsidRDefault="00641E1B" w:rsidP="00DF3E32">
      <w:pPr>
        <w:pStyle w:val="ListParagraph"/>
        <w:widowControl/>
        <w:numPr>
          <w:ilvl w:val="1"/>
          <w:numId w:val="5"/>
        </w:numPr>
        <w:rPr>
          <w:szCs w:val="22"/>
        </w:rPr>
      </w:pPr>
      <w:r w:rsidRPr="00F93681">
        <w:rPr>
          <w:szCs w:val="22"/>
        </w:rPr>
        <w:t xml:space="preserve">The PBAC considered that the claim of </w:t>
      </w:r>
      <w:r w:rsidR="00F73C12" w:rsidRPr="00F93681">
        <w:rPr>
          <w:szCs w:val="22"/>
        </w:rPr>
        <w:t>non-inferior comparative effectiveness and comparative safety was reasonable.</w:t>
      </w:r>
    </w:p>
    <w:p w:rsidR="009F088A" w:rsidRPr="00F93681" w:rsidRDefault="009F088A" w:rsidP="00CB7AA0">
      <w:pPr>
        <w:pStyle w:val="ListParagraph"/>
      </w:pPr>
    </w:p>
    <w:p w:rsidR="004064B4" w:rsidRPr="00F538B6" w:rsidRDefault="004064B4" w:rsidP="004064B4">
      <w:pPr>
        <w:pStyle w:val="Heading2"/>
      </w:pPr>
      <w:bookmarkStart w:id="11" w:name="_Toc430012269"/>
      <w:r w:rsidRPr="00F538B6">
        <w:t>Economic analysis</w:t>
      </w:r>
      <w:bookmarkEnd w:id="11"/>
      <w:r w:rsidRPr="00F538B6">
        <w:t xml:space="preserve"> </w:t>
      </w:r>
    </w:p>
    <w:p w:rsidR="004064B4" w:rsidRPr="00F93681" w:rsidRDefault="004064B4" w:rsidP="004064B4">
      <w:pPr>
        <w:ind w:left="720" w:hanging="720"/>
        <w:rPr>
          <w:szCs w:val="22"/>
        </w:rPr>
      </w:pPr>
    </w:p>
    <w:p w:rsidR="00192A71" w:rsidRPr="00F93681" w:rsidRDefault="005E5B35" w:rsidP="00192A71">
      <w:pPr>
        <w:pStyle w:val="ListParagraph"/>
        <w:widowControl/>
        <w:numPr>
          <w:ilvl w:val="1"/>
          <w:numId w:val="5"/>
        </w:numPr>
        <w:rPr>
          <w:i/>
        </w:rPr>
      </w:pPr>
      <w:r w:rsidRPr="00F93681">
        <w:t xml:space="preserve">The submission presented a cost-minimisation analysis. </w:t>
      </w:r>
      <w:r w:rsidR="00192A71" w:rsidRPr="00F93681">
        <w:t xml:space="preserve">The submission did not provide the </w:t>
      </w:r>
      <w:proofErr w:type="spellStart"/>
      <w:r w:rsidR="00192A71" w:rsidRPr="00F93681">
        <w:t>equi</w:t>
      </w:r>
      <w:proofErr w:type="spellEnd"/>
      <w:r w:rsidR="00192A71" w:rsidRPr="00F93681">
        <w:t xml:space="preserve">-effective dose of atazanavir/cobicistat FDC and atazanavir plus ritonavir taken concomitantly. Rather it provided the </w:t>
      </w:r>
      <w:proofErr w:type="spellStart"/>
      <w:r w:rsidR="00192A71" w:rsidRPr="00F93681">
        <w:t>equi</w:t>
      </w:r>
      <w:proofErr w:type="spellEnd"/>
      <w:r w:rsidR="00192A71" w:rsidRPr="00F93681">
        <w:t>-effective doses for atazanavir plus cobicistat taken concomitantly and atazanavir plus ritonavir taken concomitantly, derived from the efficacy and safety trials 114 and 105.</w:t>
      </w:r>
    </w:p>
    <w:p w:rsidR="00AD45C5" w:rsidRPr="00F93681" w:rsidRDefault="00AD45C5" w:rsidP="0050744D">
      <w:pPr>
        <w:widowControl/>
        <w:rPr>
          <w:szCs w:val="22"/>
        </w:rPr>
      </w:pPr>
    </w:p>
    <w:p w:rsidR="00331394" w:rsidRPr="00F93681" w:rsidRDefault="00331394" w:rsidP="009F088A">
      <w:pPr>
        <w:pStyle w:val="ListParagraph"/>
        <w:widowControl/>
        <w:numPr>
          <w:ilvl w:val="1"/>
          <w:numId w:val="5"/>
        </w:numPr>
        <w:rPr>
          <w:szCs w:val="22"/>
        </w:rPr>
      </w:pPr>
      <w:r w:rsidRPr="00F93681">
        <w:t xml:space="preserve">The </w:t>
      </w:r>
      <w:proofErr w:type="spellStart"/>
      <w:r w:rsidRPr="00F93681">
        <w:t>equi</w:t>
      </w:r>
      <w:proofErr w:type="spellEnd"/>
      <w:r w:rsidRPr="00F93681">
        <w:t>-effective doses were</w:t>
      </w:r>
      <w:r w:rsidR="004064B4" w:rsidRPr="00F93681">
        <w:t xml:space="preserve"> estimated as</w:t>
      </w:r>
      <w:r w:rsidRPr="00F93681">
        <w:t>:</w:t>
      </w:r>
    </w:p>
    <w:p w:rsidR="00BF3616" w:rsidRPr="00F93681" w:rsidRDefault="00BF3616" w:rsidP="00BF3616">
      <w:pPr>
        <w:pStyle w:val="ListParagraph"/>
        <w:widowControl/>
        <w:numPr>
          <w:ilvl w:val="0"/>
          <w:numId w:val="6"/>
        </w:numPr>
        <w:ind w:left="1080"/>
        <w:rPr>
          <w:szCs w:val="22"/>
        </w:rPr>
      </w:pPr>
      <w:r w:rsidRPr="00F93681">
        <w:rPr>
          <w:szCs w:val="22"/>
        </w:rPr>
        <w:t>Atazanavir 300 mg (one capsule) plus cobicistat 150 mg (one tablet) once daily over 48 weeks,</w:t>
      </w:r>
    </w:p>
    <w:p w:rsidR="00BF3616" w:rsidRPr="00F93681" w:rsidRDefault="00BF3616" w:rsidP="00BF3616">
      <w:pPr>
        <w:pStyle w:val="ListParagraph"/>
        <w:widowControl/>
        <w:numPr>
          <w:ilvl w:val="0"/>
          <w:numId w:val="6"/>
        </w:numPr>
        <w:ind w:left="1080"/>
        <w:rPr>
          <w:szCs w:val="22"/>
        </w:rPr>
      </w:pPr>
      <w:r w:rsidRPr="00F93681">
        <w:rPr>
          <w:szCs w:val="22"/>
        </w:rPr>
        <w:t>Atazanavir 300 mg (one capsule) plus ritonavir 100 mg (one tablet) once daily over 48 weeks.</w:t>
      </w:r>
    </w:p>
    <w:p w:rsidR="009F088A" w:rsidRPr="00F93681" w:rsidRDefault="009F088A" w:rsidP="004064B4">
      <w:pPr>
        <w:widowControl/>
        <w:rPr>
          <w:szCs w:val="22"/>
        </w:rPr>
      </w:pPr>
    </w:p>
    <w:p w:rsidR="00C00912" w:rsidRPr="00F93681" w:rsidRDefault="00DC6DC3" w:rsidP="009F088A">
      <w:pPr>
        <w:pStyle w:val="ListParagraph"/>
        <w:widowControl/>
        <w:numPr>
          <w:ilvl w:val="1"/>
          <w:numId w:val="5"/>
        </w:numPr>
        <w:rPr>
          <w:i/>
        </w:rPr>
      </w:pPr>
      <w:r w:rsidRPr="00F93681">
        <w:t>The cost-minimisation analysis only included the cost of drug acquisition. The submission considered there would be no additional cost consequences of listing atazanavir/cobicistat FDC. This was reasonable.</w:t>
      </w:r>
      <w:r w:rsidR="00590ABE" w:rsidRPr="00F93681">
        <w:t xml:space="preserve"> </w:t>
      </w:r>
    </w:p>
    <w:p w:rsidR="00C00912" w:rsidRPr="00F93681" w:rsidRDefault="00C00912" w:rsidP="00C00912">
      <w:pPr>
        <w:pStyle w:val="ListParagraph"/>
        <w:widowControl/>
        <w:rPr>
          <w:i/>
        </w:rPr>
      </w:pPr>
    </w:p>
    <w:p w:rsidR="004064B4" w:rsidRPr="00F93681" w:rsidRDefault="00590ABE" w:rsidP="009F088A">
      <w:pPr>
        <w:pStyle w:val="ListParagraph"/>
        <w:widowControl/>
        <w:numPr>
          <w:ilvl w:val="1"/>
          <w:numId w:val="5"/>
        </w:numPr>
      </w:pPr>
      <w:r w:rsidRPr="00F93681">
        <w:t xml:space="preserve">The ESC noted that atazanavir/cobicistat FDC would likely replace atazanavir </w:t>
      </w:r>
      <w:r w:rsidR="00A72EBA" w:rsidRPr="00F93681">
        <w:t xml:space="preserve">plus </w:t>
      </w:r>
      <w:r w:rsidRPr="00F93681">
        <w:t>ritonavir.</w:t>
      </w:r>
    </w:p>
    <w:p w:rsidR="009F088A" w:rsidRPr="00F93681" w:rsidRDefault="009F088A" w:rsidP="009F088A">
      <w:pPr>
        <w:pStyle w:val="ListParagraph"/>
        <w:widowControl/>
      </w:pPr>
    </w:p>
    <w:p w:rsidR="009F088A" w:rsidRPr="00F93681" w:rsidRDefault="009F088A" w:rsidP="009F088A">
      <w:pPr>
        <w:keepNext/>
        <w:keepLines/>
        <w:ind w:left="709"/>
        <w:jc w:val="left"/>
      </w:pPr>
      <w:r w:rsidRPr="00F93681">
        <w:rPr>
          <w:rStyle w:val="CommentReference"/>
        </w:rPr>
        <w:lastRenderedPageBreak/>
        <w:t xml:space="preserve">Table </w:t>
      </w:r>
      <w:r w:rsidR="00D61B3B" w:rsidRPr="00F93681">
        <w:rPr>
          <w:rStyle w:val="CommentReference"/>
        </w:rPr>
        <w:t>5</w:t>
      </w:r>
      <w:r w:rsidRPr="00F93681">
        <w:rPr>
          <w:rStyle w:val="CommentReference"/>
        </w:rPr>
        <w:t>: Cost-minimisation analysis (price for 60 days of treatment)</w:t>
      </w:r>
    </w:p>
    <w:tbl>
      <w:tblPr>
        <w:tblStyle w:val="TableGrid"/>
        <w:tblW w:w="4524" w:type="pct"/>
        <w:tblInd w:w="817" w:type="dxa"/>
        <w:tblLayout w:type="fixed"/>
        <w:tblLook w:val="04A0" w:firstRow="1" w:lastRow="0" w:firstColumn="1" w:lastColumn="0" w:noHBand="0" w:noVBand="1"/>
        <w:tblCaption w:val="Cost minimisation analysis"/>
      </w:tblPr>
      <w:tblGrid>
        <w:gridCol w:w="426"/>
        <w:gridCol w:w="2835"/>
        <w:gridCol w:w="1841"/>
        <w:gridCol w:w="1629"/>
        <w:gridCol w:w="1631"/>
      </w:tblGrid>
      <w:tr w:rsidR="009F088A" w:rsidRPr="00F93681" w:rsidTr="00620BB1">
        <w:trPr>
          <w:tblHeader/>
        </w:trPr>
        <w:tc>
          <w:tcPr>
            <w:tcW w:w="255" w:type="pct"/>
          </w:tcPr>
          <w:p w:rsidR="009F088A" w:rsidRPr="00F93681" w:rsidRDefault="009F088A" w:rsidP="00AE4A64">
            <w:pPr>
              <w:keepNext/>
              <w:keepLines/>
              <w:ind w:left="-70"/>
              <w:jc w:val="center"/>
              <w:rPr>
                <w:rFonts w:ascii="Arial Narrow" w:hAnsi="Arial Narrow"/>
                <w:b/>
                <w:sz w:val="20"/>
              </w:rPr>
            </w:pPr>
          </w:p>
        </w:tc>
        <w:tc>
          <w:tcPr>
            <w:tcW w:w="1695" w:type="pct"/>
            <w:vAlign w:val="center"/>
          </w:tcPr>
          <w:p w:rsidR="009F088A" w:rsidRPr="00F93681" w:rsidRDefault="009F088A" w:rsidP="00AE4A64">
            <w:pPr>
              <w:keepNext/>
              <w:keepLines/>
              <w:ind w:left="-70"/>
              <w:jc w:val="center"/>
              <w:rPr>
                <w:rFonts w:ascii="Arial Narrow" w:hAnsi="Arial Narrow"/>
                <w:b/>
                <w:sz w:val="20"/>
              </w:rPr>
            </w:pPr>
          </w:p>
        </w:tc>
        <w:tc>
          <w:tcPr>
            <w:tcW w:w="1101" w:type="pct"/>
          </w:tcPr>
          <w:p w:rsidR="009F088A" w:rsidRPr="00F93681" w:rsidRDefault="009F088A" w:rsidP="00AE4A64">
            <w:pPr>
              <w:keepNext/>
              <w:keepLines/>
              <w:ind w:left="-70"/>
              <w:jc w:val="center"/>
              <w:rPr>
                <w:rFonts w:ascii="Arial Narrow" w:hAnsi="Arial Narrow"/>
                <w:b/>
                <w:sz w:val="20"/>
              </w:rPr>
            </w:pPr>
            <w:r w:rsidRPr="00F93681">
              <w:rPr>
                <w:rFonts w:ascii="Arial Narrow" w:hAnsi="Arial Narrow"/>
                <w:b/>
                <w:sz w:val="20"/>
              </w:rPr>
              <w:t>Calculation</w:t>
            </w:r>
          </w:p>
        </w:tc>
        <w:tc>
          <w:tcPr>
            <w:tcW w:w="974" w:type="pct"/>
            <w:vAlign w:val="center"/>
          </w:tcPr>
          <w:p w:rsidR="009F088A" w:rsidRPr="00F93681" w:rsidRDefault="009F088A" w:rsidP="00AE4A64">
            <w:pPr>
              <w:keepNext/>
              <w:keepLines/>
              <w:ind w:left="-70"/>
              <w:jc w:val="center"/>
              <w:rPr>
                <w:rFonts w:ascii="Arial Narrow" w:hAnsi="Arial Narrow"/>
                <w:b/>
                <w:sz w:val="20"/>
              </w:rPr>
            </w:pPr>
            <w:r w:rsidRPr="00F93681">
              <w:rPr>
                <w:rFonts w:ascii="Arial Narrow" w:hAnsi="Arial Narrow"/>
                <w:b/>
                <w:sz w:val="20"/>
              </w:rPr>
              <w:t>ATV</w:t>
            </w:r>
          </w:p>
        </w:tc>
        <w:tc>
          <w:tcPr>
            <w:tcW w:w="975" w:type="pct"/>
            <w:vAlign w:val="center"/>
          </w:tcPr>
          <w:p w:rsidR="009F088A" w:rsidRPr="00F93681" w:rsidRDefault="009F088A" w:rsidP="00AE4A64">
            <w:pPr>
              <w:keepNext/>
              <w:keepLines/>
              <w:ind w:left="-70"/>
              <w:jc w:val="center"/>
              <w:rPr>
                <w:rFonts w:ascii="Arial Narrow" w:hAnsi="Arial Narrow"/>
                <w:b/>
                <w:sz w:val="20"/>
              </w:rPr>
            </w:pPr>
            <w:r w:rsidRPr="00F93681">
              <w:rPr>
                <w:rFonts w:ascii="Arial Narrow" w:hAnsi="Arial Narrow"/>
                <w:b/>
                <w:sz w:val="20"/>
              </w:rPr>
              <w:t>RTV</w:t>
            </w:r>
          </w:p>
        </w:tc>
      </w:tr>
      <w:tr w:rsidR="009F088A" w:rsidRPr="00F93681" w:rsidTr="009F088A">
        <w:tc>
          <w:tcPr>
            <w:tcW w:w="255" w:type="pct"/>
          </w:tcPr>
          <w:p w:rsidR="009F088A" w:rsidRPr="00F93681" w:rsidRDefault="009F088A" w:rsidP="00AE4A64">
            <w:pPr>
              <w:pStyle w:val="TableText0"/>
              <w:keepLines/>
              <w:spacing w:before="0" w:after="0"/>
              <w:rPr>
                <w:rFonts w:cs="Arial"/>
              </w:rPr>
            </w:pPr>
          </w:p>
        </w:tc>
        <w:tc>
          <w:tcPr>
            <w:tcW w:w="1695" w:type="pct"/>
          </w:tcPr>
          <w:p w:rsidR="009F088A" w:rsidRPr="00F93681" w:rsidRDefault="009F088A" w:rsidP="00AE4A64">
            <w:pPr>
              <w:pStyle w:val="TableText0"/>
              <w:keepLines/>
              <w:spacing w:before="0" w:after="0"/>
              <w:rPr>
                <w:rFonts w:cs="Arial"/>
              </w:rPr>
            </w:pPr>
            <w:r w:rsidRPr="00F93681">
              <w:rPr>
                <w:rFonts w:cs="Arial"/>
              </w:rPr>
              <w:t>PBS item code</w:t>
            </w:r>
          </w:p>
        </w:tc>
        <w:tc>
          <w:tcPr>
            <w:tcW w:w="1101" w:type="pct"/>
          </w:tcPr>
          <w:p w:rsidR="009F088A" w:rsidRPr="00F93681" w:rsidRDefault="009F088A" w:rsidP="00AE4A64">
            <w:pPr>
              <w:pStyle w:val="TableText0"/>
              <w:keepLines/>
              <w:spacing w:before="0" w:after="0"/>
              <w:jc w:val="center"/>
              <w:rPr>
                <w:rFonts w:cs="Arial"/>
              </w:rPr>
            </w:pPr>
          </w:p>
        </w:tc>
        <w:tc>
          <w:tcPr>
            <w:tcW w:w="974" w:type="pct"/>
            <w:vAlign w:val="center"/>
          </w:tcPr>
          <w:p w:rsidR="009F088A" w:rsidRPr="00F93681" w:rsidRDefault="009F088A" w:rsidP="00AE4A64">
            <w:pPr>
              <w:pStyle w:val="TableText0"/>
              <w:keepLines/>
              <w:spacing w:before="0" w:after="0"/>
              <w:jc w:val="center"/>
              <w:rPr>
                <w:rFonts w:cs="Arial"/>
              </w:rPr>
            </w:pPr>
            <w:r w:rsidRPr="00F93681">
              <w:rPr>
                <w:rFonts w:cs="Arial"/>
              </w:rPr>
              <w:t>10321F</w:t>
            </w:r>
          </w:p>
        </w:tc>
        <w:tc>
          <w:tcPr>
            <w:tcW w:w="975" w:type="pct"/>
            <w:vAlign w:val="center"/>
          </w:tcPr>
          <w:p w:rsidR="009F088A" w:rsidRPr="00F93681" w:rsidRDefault="009F088A" w:rsidP="00AE4A64">
            <w:pPr>
              <w:pStyle w:val="TableText0"/>
              <w:keepLines/>
              <w:spacing w:before="0" w:after="0"/>
              <w:jc w:val="center"/>
              <w:rPr>
                <w:rFonts w:cs="Arial"/>
              </w:rPr>
            </w:pPr>
            <w:r w:rsidRPr="00F93681">
              <w:rPr>
                <w:rFonts w:cs="Arial"/>
              </w:rPr>
              <w:t>10273Q</w:t>
            </w:r>
          </w:p>
        </w:tc>
      </w:tr>
      <w:tr w:rsidR="009F088A" w:rsidRPr="00F93681" w:rsidTr="009F088A">
        <w:tc>
          <w:tcPr>
            <w:tcW w:w="255" w:type="pct"/>
          </w:tcPr>
          <w:p w:rsidR="009F088A" w:rsidRPr="00F93681" w:rsidRDefault="009F088A" w:rsidP="00AE4A64">
            <w:pPr>
              <w:pStyle w:val="TableText0"/>
              <w:keepLines/>
              <w:spacing w:before="0" w:after="0"/>
              <w:rPr>
                <w:rFonts w:cs="Arial"/>
              </w:rPr>
            </w:pPr>
            <w:r w:rsidRPr="00F93681">
              <w:rPr>
                <w:rFonts w:cs="Arial"/>
              </w:rPr>
              <w:t>A</w:t>
            </w:r>
          </w:p>
        </w:tc>
        <w:tc>
          <w:tcPr>
            <w:tcW w:w="1695" w:type="pct"/>
          </w:tcPr>
          <w:p w:rsidR="009F088A" w:rsidRPr="00F93681" w:rsidRDefault="009F088A" w:rsidP="00AE4A64">
            <w:pPr>
              <w:pStyle w:val="TableText0"/>
              <w:keepLines/>
              <w:spacing w:before="0" w:after="0"/>
              <w:rPr>
                <w:rFonts w:cs="Arial"/>
              </w:rPr>
            </w:pPr>
            <w:r w:rsidRPr="00F93681">
              <w:rPr>
                <w:rFonts w:cs="Arial"/>
              </w:rPr>
              <w:t>Approved ex-manufacturer price</w:t>
            </w:r>
          </w:p>
        </w:tc>
        <w:tc>
          <w:tcPr>
            <w:tcW w:w="1101" w:type="pct"/>
            <w:vAlign w:val="center"/>
          </w:tcPr>
          <w:p w:rsidR="009F088A" w:rsidRPr="00F93681" w:rsidRDefault="009F088A" w:rsidP="00AE4A64">
            <w:pPr>
              <w:pStyle w:val="TableText0"/>
              <w:keepLines/>
              <w:spacing w:before="0" w:after="0"/>
              <w:jc w:val="center"/>
              <w:rPr>
                <w:rFonts w:cs="Arial"/>
              </w:rPr>
            </w:pPr>
            <w:r w:rsidRPr="00F93681">
              <w:rPr>
                <w:rFonts w:cs="Arial"/>
              </w:rPr>
              <w:t>PBS Schedule</w:t>
            </w:r>
          </w:p>
        </w:tc>
        <w:tc>
          <w:tcPr>
            <w:tcW w:w="974" w:type="pct"/>
            <w:vAlign w:val="center"/>
          </w:tcPr>
          <w:p w:rsidR="009F088A" w:rsidRPr="00F93681" w:rsidRDefault="009F088A" w:rsidP="00AE4A64">
            <w:pPr>
              <w:pStyle w:val="TableText0"/>
              <w:keepLines/>
              <w:spacing w:before="0" w:after="0"/>
              <w:jc w:val="center"/>
              <w:rPr>
                <w:rFonts w:cs="Arial"/>
              </w:rPr>
            </w:pPr>
            <w:r w:rsidRPr="00F93681">
              <w:rPr>
                <w:rFonts w:cs="Arial"/>
              </w:rPr>
              <w:t>$521.91</w:t>
            </w:r>
          </w:p>
        </w:tc>
        <w:tc>
          <w:tcPr>
            <w:tcW w:w="975" w:type="pct"/>
            <w:vAlign w:val="center"/>
          </w:tcPr>
          <w:p w:rsidR="009F088A" w:rsidRPr="00F93681" w:rsidRDefault="009F088A" w:rsidP="00AE4A64">
            <w:pPr>
              <w:pStyle w:val="TableText0"/>
              <w:keepLines/>
              <w:spacing w:before="0" w:after="0"/>
              <w:jc w:val="center"/>
              <w:rPr>
                <w:rFonts w:cs="Arial"/>
              </w:rPr>
            </w:pPr>
            <w:r w:rsidRPr="00F93681">
              <w:rPr>
                <w:rFonts w:cs="Arial"/>
              </w:rPr>
              <w:t>$40.95</w:t>
            </w:r>
          </w:p>
        </w:tc>
      </w:tr>
      <w:tr w:rsidR="009F088A" w:rsidRPr="00F93681" w:rsidTr="009F088A">
        <w:tc>
          <w:tcPr>
            <w:tcW w:w="255" w:type="pct"/>
          </w:tcPr>
          <w:p w:rsidR="009F088A" w:rsidRPr="00F93681" w:rsidRDefault="009F088A" w:rsidP="00AE4A64">
            <w:pPr>
              <w:pStyle w:val="TableText0"/>
              <w:keepLines/>
              <w:spacing w:before="0" w:after="0"/>
              <w:rPr>
                <w:rFonts w:cs="Arial"/>
              </w:rPr>
            </w:pPr>
            <w:r w:rsidRPr="00F93681">
              <w:rPr>
                <w:rFonts w:cs="Arial"/>
              </w:rPr>
              <w:t>B</w:t>
            </w:r>
          </w:p>
        </w:tc>
        <w:tc>
          <w:tcPr>
            <w:tcW w:w="1695" w:type="pct"/>
          </w:tcPr>
          <w:p w:rsidR="009F088A" w:rsidRPr="00F93681" w:rsidRDefault="009F088A" w:rsidP="00AE4A64">
            <w:pPr>
              <w:pStyle w:val="TableText0"/>
              <w:keepLines/>
              <w:spacing w:before="0" w:after="0"/>
              <w:rPr>
                <w:rFonts w:cs="Arial"/>
              </w:rPr>
            </w:pPr>
            <w:r w:rsidRPr="00F93681">
              <w:rPr>
                <w:rFonts w:cs="Arial"/>
              </w:rPr>
              <w:t>Cost per unit</w:t>
            </w:r>
          </w:p>
        </w:tc>
        <w:tc>
          <w:tcPr>
            <w:tcW w:w="1101" w:type="pct"/>
            <w:vAlign w:val="center"/>
          </w:tcPr>
          <w:p w:rsidR="009F088A" w:rsidRPr="00F93681" w:rsidRDefault="009F088A" w:rsidP="00AE4A64">
            <w:pPr>
              <w:pStyle w:val="TableText0"/>
              <w:keepLines/>
              <w:spacing w:before="0" w:after="0"/>
              <w:jc w:val="center"/>
              <w:rPr>
                <w:rFonts w:cs="Arial"/>
              </w:rPr>
            </w:pPr>
            <w:r w:rsidRPr="00F93681">
              <w:rPr>
                <w:rFonts w:cs="Arial"/>
              </w:rPr>
              <w:t>A / 30</w:t>
            </w:r>
          </w:p>
        </w:tc>
        <w:tc>
          <w:tcPr>
            <w:tcW w:w="974" w:type="pct"/>
            <w:vAlign w:val="center"/>
          </w:tcPr>
          <w:p w:rsidR="009F088A" w:rsidRPr="00F93681" w:rsidRDefault="009F088A" w:rsidP="00AE4A64">
            <w:pPr>
              <w:pStyle w:val="TableText0"/>
              <w:keepLines/>
              <w:spacing w:before="0" w:after="0"/>
              <w:jc w:val="center"/>
              <w:rPr>
                <w:rFonts w:cs="Arial"/>
              </w:rPr>
            </w:pPr>
            <w:r w:rsidRPr="00F93681">
              <w:rPr>
                <w:rFonts w:cs="Arial"/>
              </w:rPr>
              <w:t>$</w:t>
            </w:r>
            <w:r w:rsidRPr="00122B6B">
              <w:rPr>
                <w:rFonts w:cs="Arial"/>
              </w:rPr>
              <w:t>17.40</w:t>
            </w:r>
          </w:p>
        </w:tc>
        <w:tc>
          <w:tcPr>
            <w:tcW w:w="975" w:type="pct"/>
            <w:vAlign w:val="center"/>
          </w:tcPr>
          <w:p w:rsidR="009F088A" w:rsidRPr="00F93681" w:rsidRDefault="009F088A" w:rsidP="00AE4A64">
            <w:pPr>
              <w:pStyle w:val="TableText0"/>
              <w:keepLines/>
              <w:spacing w:before="0" w:after="0"/>
              <w:jc w:val="center"/>
              <w:rPr>
                <w:rFonts w:cs="Arial"/>
              </w:rPr>
            </w:pPr>
            <w:r w:rsidRPr="00F93681">
              <w:rPr>
                <w:rFonts w:cs="Arial"/>
              </w:rPr>
              <w:t>$1.37</w:t>
            </w:r>
          </w:p>
        </w:tc>
      </w:tr>
      <w:tr w:rsidR="009F088A" w:rsidRPr="00F93681" w:rsidTr="009F088A">
        <w:tc>
          <w:tcPr>
            <w:tcW w:w="255" w:type="pct"/>
          </w:tcPr>
          <w:p w:rsidR="009F088A" w:rsidRPr="00F93681" w:rsidRDefault="009F088A" w:rsidP="00AE4A64">
            <w:pPr>
              <w:pStyle w:val="TableText0"/>
              <w:keepLines/>
              <w:spacing w:before="0" w:after="0"/>
              <w:rPr>
                <w:rFonts w:cs="Arial"/>
              </w:rPr>
            </w:pPr>
            <w:r w:rsidRPr="00F93681">
              <w:rPr>
                <w:rFonts w:cs="Arial"/>
              </w:rPr>
              <w:t>C</w:t>
            </w:r>
          </w:p>
        </w:tc>
        <w:tc>
          <w:tcPr>
            <w:tcW w:w="1695" w:type="pct"/>
          </w:tcPr>
          <w:p w:rsidR="009F088A" w:rsidRPr="00F93681" w:rsidRDefault="009F088A" w:rsidP="00AE4A64">
            <w:pPr>
              <w:pStyle w:val="TableText0"/>
              <w:keepLines/>
              <w:spacing w:before="0" w:after="0"/>
              <w:rPr>
                <w:rFonts w:cs="Arial"/>
              </w:rPr>
            </w:pPr>
            <w:r w:rsidRPr="00F93681">
              <w:rPr>
                <w:rFonts w:cs="Arial"/>
              </w:rPr>
              <w:t>Price per unit of ATV/c FDC</w:t>
            </w:r>
          </w:p>
        </w:tc>
        <w:tc>
          <w:tcPr>
            <w:tcW w:w="1101" w:type="pct"/>
            <w:vAlign w:val="center"/>
          </w:tcPr>
          <w:p w:rsidR="009F088A" w:rsidRPr="00F93681" w:rsidRDefault="009F088A" w:rsidP="00AE4A64">
            <w:pPr>
              <w:pStyle w:val="TableText0"/>
              <w:keepLines/>
              <w:spacing w:before="0" w:after="0"/>
              <w:jc w:val="center"/>
              <w:rPr>
                <w:rFonts w:cs="Arial"/>
              </w:rPr>
            </w:pPr>
            <w:r w:rsidRPr="00F93681">
              <w:rPr>
                <w:rFonts w:cs="Arial"/>
              </w:rPr>
              <w:t>Sum of B</w:t>
            </w:r>
          </w:p>
        </w:tc>
        <w:tc>
          <w:tcPr>
            <w:tcW w:w="1949" w:type="pct"/>
            <w:gridSpan w:val="2"/>
            <w:vAlign w:val="center"/>
          </w:tcPr>
          <w:p w:rsidR="009F088A" w:rsidRPr="00F93681" w:rsidRDefault="009F088A" w:rsidP="00AE4A64">
            <w:pPr>
              <w:pStyle w:val="TableText0"/>
              <w:keepLines/>
              <w:spacing w:before="0" w:after="0"/>
              <w:jc w:val="center"/>
              <w:rPr>
                <w:rFonts w:cs="Arial"/>
              </w:rPr>
            </w:pPr>
            <w:r w:rsidRPr="00F93681">
              <w:rPr>
                <w:rFonts w:cs="Arial"/>
              </w:rPr>
              <w:t>$</w:t>
            </w:r>
            <w:r w:rsidRPr="00122B6B">
              <w:rPr>
                <w:rFonts w:cs="Arial"/>
              </w:rPr>
              <w:t>18.76</w:t>
            </w:r>
          </w:p>
        </w:tc>
      </w:tr>
      <w:tr w:rsidR="009F088A" w:rsidRPr="00F93681" w:rsidTr="009F088A">
        <w:tc>
          <w:tcPr>
            <w:tcW w:w="255" w:type="pct"/>
          </w:tcPr>
          <w:p w:rsidR="009F088A" w:rsidRPr="00F93681" w:rsidRDefault="009F088A" w:rsidP="00AE4A64">
            <w:pPr>
              <w:pStyle w:val="TableText0"/>
              <w:keepLines/>
              <w:spacing w:before="0" w:after="0"/>
              <w:rPr>
                <w:rFonts w:cs="Arial"/>
              </w:rPr>
            </w:pPr>
            <w:r w:rsidRPr="00F93681">
              <w:rPr>
                <w:rFonts w:cs="Arial"/>
              </w:rPr>
              <w:t>D</w:t>
            </w:r>
          </w:p>
        </w:tc>
        <w:tc>
          <w:tcPr>
            <w:tcW w:w="1695" w:type="pct"/>
          </w:tcPr>
          <w:p w:rsidR="009F088A" w:rsidRPr="00F93681" w:rsidRDefault="009F088A" w:rsidP="00AE4A64">
            <w:pPr>
              <w:pStyle w:val="TableText0"/>
              <w:keepLines/>
              <w:spacing w:before="0" w:after="0"/>
              <w:rPr>
                <w:rFonts w:cs="Arial"/>
              </w:rPr>
            </w:pPr>
            <w:r w:rsidRPr="00F93681">
              <w:rPr>
                <w:rFonts w:cs="Arial"/>
              </w:rPr>
              <w:t>Price per pack of ATV/c FDC</w:t>
            </w:r>
          </w:p>
        </w:tc>
        <w:tc>
          <w:tcPr>
            <w:tcW w:w="1101" w:type="pct"/>
            <w:tcBorders>
              <w:bottom w:val="single" w:sz="4" w:space="0" w:color="auto"/>
            </w:tcBorders>
            <w:vAlign w:val="center"/>
          </w:tcPr>
          <w:p w:rsidR="009F088A" w:rsidRPr="00F93681" w:rsidRDefault="009F088A" w:rsidP="00AE4A64">
            <w:pPr>
              <w:pStyle w:val="TableText0"/>
              <w:keepLines/>
              <w:spacing w:before="0" w:after="0"/>
              <w:jc w:val="center"/>
              <w:rPr>
                <w:rFonts w:cs="Arial"/>
              </w:rPr>
            </w:pPr>
            <w:r w:rsidRPr="00F93681">
              <w:rPr>
                <w:rFonts w:cs="Arial"/>
              </w:rPr>
              <w:t>C x 30</w:t>
            </w:r>
          </w:p>
        </w:tc>
        <w:tc>
          <w:tcPr>
            <w:tcW w:w="1949" w:type="pct"/>
            <w:gridSpan w:val="2"/>
            <w:vAlign w:val="center"/>
          </w:tcPr>
          <w:p w:rsidR="009F088A" w:rsidRPr="00F93681" w:rsidRDefault="009F088A" w:rsidP="00AE4A64">
            <w:pPr>
              <w:pStyle w:val="TableText0"/>
              <w:keepLines/>
              <w:spacing w:before="0" w:after="0"/>
              <w:jc w:val="center"/>
              <w:rPr>
                <w:rFonts w:cs="Arial"/>
              </w:rPr>
            </w:pPr>
            <w:r w:rsidRPr="00F93681">
              <w:rPr>
                <w:rFonts w:cs="Arial"/>
              </w:rPr>
              <w:t>$</w:t>
            </w:r>
            <w:r w:rsidR="007E060C">
              <w:rPr>
                <w:rFonts w:cs="Arial"/>
                <w:noProof/>
                <w:color w:val="000000"/>
                <w:highlight w:val="black"/>
              </w:rPr>
              <w:t>'''''''''''''''''</w:t>
            </w:r>
          </w:p>
        </w:tc>
      </w:tr>
      <w:tr w:rsidR="009F088A" w:rsidRPr="00F93681" w:rsidTr="009F088A">
        <w:tc>
          <w:tcPr>
            <w:tcW w:w="255" w:type="pct"/>
          </w:tcPr>
          <w:p w:rsidR="009F088A" w:rsidRPr="00F93681" w:rsidRDefault="009F088A" w:rsidP="00AE4A64">
            <w:pPr>
              <w:pStyle w:val="TableText0"/>
              <w:keepLines/>
              <w:spacing w:before="0" w:after="0"/>
              <w:rPr>
                <w:rFonts w:cs="Arial"/>
              </w:rPr>
            </w:pPr>
            <w:r w:rsidRPr="00F93681">
              <w:rPr>
                <w:rFonts w:cs="Arial"/>
              </w:rPr>
              <w:t>E</w:t>
            </w:r>
          </w:p>
        </w:tc>
        <w:tc>
          <w:tcPr>
            <w:tcW w:w="1695" w:type="pct"/>
            <w:tcBorders>
              <w:right w:val="single" w:sz="4" w:space="0" w:color="auto"/>
            </w:tcBorders>
          </w:tcPr>
          <w:p w:rsidR="009F088A" w:rsidRPr="00F93681" w:rsidRDefault="009F088A" w:rsidP="00AE4A64">
            <w:pPr>
              <w:pStyle w:val="TableText0"/>
              <w:keepLines/>
              <w:spacing w:before="0" w:after="0"/>
              <w:rPr>
                <w:rFonts w:cs="Arial"/>
              </w:rPr>
            </w:pPr>
            <w:r w:rsidRPr="00F93681">
              <w:rPr>
                <w:rFonts w:cs="Arial"/>
              </w:rPr>
              <w:t xml:space="preserve">Mark-up (Private) </w:t>
            </w:r>
            <w:r w:rsidRPr="00F93681">
              <w:rPr>
                <w:rFonts w:cs="Arial"/>
                <w:vertAlign w:val="superscript"/>
              </w:rPr>
              <w:t>a</w:t>
            </w:r>
          </w:p>
        </w:tc>
        <w:tc>
          <w:tcPr>
            <w:tcW w:w="1101" w:type="pct"/>
            <w:tcBorders>
              <w:top w:val="single" w:sz="4" w:space="0" w:color="auto"/>
              <w:left w:val="single" w:sz="4" w:space="0" w:color="auto"/>
              <w:bottom w:val="nil"/>
              <w:right w:val="single" w:sz="4" w:space="0" w:color="auto"/>
            </w:tcBorders>
            <w:vAlign w:val="center"/>
          </w:tcPr>
          <w:p w:rsidR="009F088A" w:rsidRPr="00F93681" w:rsidRDefault="009F088A" w:rsidP="00AE4A64">
            <w:pPr>
              <w:pStyle w:val="TableText0"/>
              <w:keepLines/>
              <w:spacing w:before="0" w:after="0"/>
              <w:jc w:val="center"/>
              <w:rPr>
                <w:rFonts w:cs="Arial"/>
              </w:rPr>
            </w:pPr>
            <w:r w:rsidRPr="00F93681">
              <w:rPr>
                <w:rFonts w:cs="Arial"/>
              </w:rPr>
              <w:t>PBS Schedule</w:t>
            </w:r>
          </w:p>
        </w:tc>
        <w:tc>
          <w:tcPr>
            <w:tcW w:w="1949" w:type="pct"/>
            <w:gridSpan w:val="2"/>
            <w:tcBorders>
              <w:left w:val="single" w:sz="4" w:space="0" w:color="auto"/>
            </w:tcBorders>
            <w:vAlign w:val="center"/>
          </w:tcPr>
          <w:p w:rsidR="009F088A" w:rsidRPr="00F93681" w:rsidRDefault="009F088A" w:rsidP="00AE4A64">
            <w:pPr>
              <w:pStyle w:val="TableText0"/>
              <w:keepLines/>
              <w:spacing w:before="0" w:after="0"/>
              <w:jc w:val="center"/>
              <w:rPr>
                <w:rFonts w:cs="Arial"/>
              </w:rPr>
            </w:pPr>
            <w:r w:rsidRPr="00F93681">
              <w:rPr>
                <w:rFonts w:cs="Arial"/>
              </w:rPr>
              <w:t>$40</w:t>
            </w:r>
          </w:p>
        </w:tc>
      </w:tr>
      <w:tr w:rsidR="009F088A" w:rsidRPr="00F93681" w:rsidTr="009F088A">
        <w:tc>
          <w:tcPr>
            <w:tcW w:w="255" w:type="pct"/>
          </w:tcPr>
          <w:p w:rsidR="009F088A" w:rsidRPr="00F93681" w:rsidRDefault="009F088A" w:rsidP="00AE4A64">
            <w:pPr>
              <w:pStyle w:val="TableText0"/>
              <w:keepLines/>
              <w:spacing w:before="0" w:after="0"/>
              <w:rPr>
                <w:rFonts w:cs="Arial"/>
              </w:rPr>
            </w:pPr>
            <w:r w:rsidRPr="00F93681">
              <w:rPr>
                <w:rFonts w:cs="Arial"/>
              </w:rPr>
              <w:t>F</w:t>
            </w:r>
          </w:p>
        </w:tc>
        <w:tc>
          <w:tcPr>
            <w:tcW w:w="1695" w:type="pct"/>
            <w:tcBorders>
              <w:right w:val="single" w:sz="4" w:space="0" w:color="auto"/>
            </w:tcBorders>
          </w:tcPr>
          <w:p w:rsidR="009F088A" w:rsidRPr="00F93681" w:rsidRDefault="009F088A" w:rsidP="00AE4A64">
            <w:pPr>
              <w:pStyle w:val="TableText0"/>
              <w:keepLines/>
              <w:spacing w:before="0" w:after="0"/>
              <w:rPr>
                <w:rFonts w:cs="Arial"/>
              </w:rPr>
            </w:pPr>
            <w:r w:rsidRPr="00F93681">
              <w:rPr>
                <w:rFonts w:cs="Arial"/>
              </w:rPr>
              <w:t>Dispensing fee</w:t>
            </w:r>
          </w:p>
        </w:tc>
        <w:tc>
          <w:tcPr>
            <w:tcW w:w="1101" w:type="pct"/>
            <w:tcBorders>
              <w:top w:val="nil"/>
              <w:left w:val="single" w:sz="4" w:space="0" w:color="auto"/>
              <w:bottom w:val="single" w:sz="4" w:space="0" w:color="auto"/>
              <w:right w:val="single" w:sz="4" w:space="0" w:color="auto"/>
            </w:tcBorders>
            <w:vAlign w:val="center"/>
          </w:tcPr>
          <w:p w:rsidR="009F088A" w:rsidRPr="00F93681" w:rsidRDefault="009F088A" w:rsidP="00AE4A64">
            <w:pPr>
              <w:pStyle w:val="TableText0"/>
              <w:keepLines/>
              <w:spacing w:before="0" w:after="0"/>
              <w:jc w:val="center"/>
              <w:rPr>
                <w:rFonts w:cs="Arial"/>
              </w:rPr>
            </w:pPr>
          </w:p>
        </w:tc>
        <w:tc>
          <w:tcPr>
            <w:tcW w:w="1949" w:type="pct"/>
            <w:gridSpan w:val="2"/>
            <w:tcBorders>
              <w:left w:val="single" w:sz="4" w:space="0" w:color="auto"/>
            </w:tcBorders>
            <w:vAlign w:val="center"/>
          </w:tcPr>
          <w:p w:rsidR="009F088A" w:rsidRPr="00F93681" w:rsidRDefault="009F088A" w:rsidP="00AE4A64">
            <w:pPr>
              <w:pStyle w:val="TableText0"/>
              <w:keepLines/>
              <w:spacing w:before="0" w:after="0"/>
              <w:jc w:val="center"/>
              <w:rPr>
                <w:rFonts w:cs="Arial"/>
              </w:rPr>
            </w:pPr>
            <w:r w:rsidRPr="00F93681">
              <w:rPr>
                <w:rFonts w:cs="Arial"/>
                <w:i/>
              </w:rPr>
              <w:t>$6.93</w:t>
            </w:r>
          </w:p>
        </w:tc>
      </w:tr>
      <w:tr w:rsidR="009F088A" w:rsidRPr="00F93681" w:rsidTr="009F088A">
        <w:tc>
          <w:tcPr>
            <w:tcW w:w="255" w:type="pct"/>
          </w:tcPr>
          <w:p w:rsidR="009F088A" w:rsidRPr="00F93681" w:rsidRDefault="009F088A" w:rsidP="00AE4A64">
            <w:pPr>
              <w:pStyle w:val="TableText0"/>
              <w:keepLines/>
              <w:spacing w:before="0" w:after="0"/>
              <w:rPr>
                <w:rFonts w:cs="Arial"/>
              </w:rPr>
            </w:pPr>
            <w:r w:rsidRPr="00F93681">
              <w:rPr>
                <w:rFonts w:cs="Arial"/>
              </w:rPr>
              <w:t>G</w:t>
            </w:r>
          </w:p>
        </w:tc>
        <w:tc>
          <w:tcPr>
            <w:tcW w:w="1695" w:type="pct"/>
          </w:tcPr>
          <w:p w:rsidR="009F088A" w:rsidRPr="00F93681" w:rsidRDefault="009F088A" w:rsidP="00AE4A64">
            <w:pPr>
              <w:pStyle w:val="TableText0"/>
              <w:keepLines/>
              <w:spacing w:before="0" w:after="0"/>
              <w:rPr>
                <w:rFonts w:cs="Arial"/>
              </w:rPr>
            </w:pPr>
            <w:r w:rsidRPr="00F93681">
              <w:rPr>
                <w:rFonts w:cs="Arial"/>
              </w:rPr>
              <w:t>Community access DPMQ</w:t>
            </w:r>
          </w:p>
        </w:tc>
        <w:tc>
          <w:tcPr>
            <w:tcW w:w="1101" w:type="pct"/>
            <w:tcBorders>
              <w:top w:val="single" w:sz="4" w:space="0" w:color="auto"/>
            </w:tcBorders>
            <w:vAlign w:val="center"/>
          </w:tcPr>
          <w:p w:rsidR="009F088A" w:rsidRPr="00F93681" w:rsidRDefault="009F088A" w:rsidP="00AE4A64">
            <w:pPr>
              <w:pStyle w:val="TableText0"/>
              <w:keepLines/>
              <w:spacing w:before="0" w:after="0"/>
              <w:jc w:val="center"/>
              <w:rPr>
                <w:rFonts w:cs="Arial"/>
              </w:rPr>
            </w:pPr>
            <w:r w:rsidRPr="00F93681">
              <w:rPr>
                <w:rFonts w:cs="Arial"/>
              </w:rPr>
              <w:t>(D x 2) + E + F</w:t>
            </w:r>
          </w:p>
        </w:tc>
        <w:tc>
          <w:tcPr>
            <w:tcW w:w="1949" w:type="pct"/>
            <w:gridSpan w:val="2"/>
            <w:vAlign w:val="center"/>
          </w:tcPr>
          <w:p w:rsidR="009F088A" w:rsidRPr="00F93681" w:rsidRDefault="009F088A" w:rsidP="00AE4A64">
            <w:pPr>
              <w:pStyle w:val="TableText0"/>
              <w:keepLines/>
              <w:spacing w:before="0" w:after="0"/>
              <w:jc w:val="center"/>
              <w:rPr>
                <w:rFonts w:cs="Arial"/>
                <w:i/>
              </w:rPr>
            </w:pPr>
            <w:r w:rsidRPr="00F93681">
              <w:rPr>
                <w:rFonts w:cs="Arial"/>
                <w:i/>
              </w:rPr>
              <w:t>$</w:t>
            </w:r>
            <w:r w:rsidR="007E060C">
              <w:rPr>
                <w:rFonts w:cs="Arial"/>
                <w:i/>
                <w:noProof/>
                <w:color w:val="000000"/>
                <w:highlight w:val="black"/>
              </w:rPr>
              <w:t>''''''''''''''''''''''</w:t>
            </w:r>
          </w:p>
        </w:tc>
      </w:tr>
    </w:tbl>
    <w:p w:rsidR="009F088A" w:rsidRPr="00F93681" w:rsidRDefault="009F088A" w:rsidP="009F088A">
      <w:pPr>
        <w:pStyle w:val="TableFooter"/>
        <w:keepNext/>
        <w:keepLines/>
        <w:ind w:left="709"/>
      </w:pPr>
      <w:r w:rsidRPr="00F93681">
        <w:t xml:space="preserve">Source: </w:t>
      </w:r>
      <w:r w:rsidRPr="00F93681">
        <w:rPr>
          <w:i/>
        </w:rPr>
        <w:t>compiled during evaluation based on Table D.2.2, p140 of the submission</w:t>
      </w:r>
    </w:p>
    <w:p w:rsidR="009F088A" w:rsidRPr="00F93681" w:rsidRDefault="009F088A" w:rsidP="009F088A">
      <w:pPr>
        <w:pStyle w:val="TableFooter"/>
        <w:keepNext/>
        <w:keepLines/>
        <w:ind w:left="709"/>
      </w:pPr>
      <w:r w:rsidRPr="00F93681">
        <w:rPr>
          <w:i/>
        </w:rPr>
        <w:t>Italics</w:t>
      </w:r>
      <w:r w:rsidRPr="00F93681">
        <w:t xml:space="preserve"> </w:t>
      </w:r>
      <w:r w:rsidR="006B629E" w:rsidRPr="00F93681">
        <w:t>calculated</w:t>
      </w:r>
      <w:r w:rsidRPr="00F93681">
        <w:t xml:space="preserve"> during evaluation</w:t>
      </w:r>
    </w:p>
    <w:p w:rsidR="009F088A" w:rsidRPr="00F93681" w:rsidRDefault="009F088A" w:rsidP="009F088A">
      <w:pPr>
        <w:pStyle w:val="TableFooter"/>
        <w:keepNext/>
        <w:keepLines/>
        <w:ind w:left="709"/>
      </w:pPr>
      <w:r w:rsidRPr="00F93681">
        <w:t>ATV = atazanavir; c = cobicistat; RTV = ritonavir; FDC = fixed-dose combination; DPMQ = dispensed price for maximum quantity; PBS = Pharmaceutical Benefits Scheme</w:t>
      </w:r>
    </w:p>
    <w:p w:rsidR="009F088A" w:rsidRPr="00F93681" w:rsidRDefault="009F088A" w:rsidP="00490B24">
      <w:pPr>
        <w:pStyle w:val="TableFooter"/>
        <w:keepNext/>
        <w:keepLines/>
        <w:ind w:left="709"/>
      </w:pPr>
      <w:proofErr w:type="gramStart"/>
      <w:r w:rsidRPr="00F93681">
        <w:rPr>
          <w:vertAlign w:val="superscript"/>
        </w:rPr>
        <w:t>a</w:t>
      </w:r>
      <w:proofErr w:type="gramEnd"/>
      <w:r w:rsidRPr="00F93681">
        <w:t xml:space="preserve"> For ex-manufacturer price over $1,000</w:t>
      </w:r>
    </w:p>
    <w:p w:rsidR="004064B4" w:rsidRPr="00F93681" w:rsidRDefault="004064B4" w:rsidP="004064B4">
      <w:pPr>
        <w:widowControl/>
        <w:rPr>
          <w:szCs w:val="22"/>
        </w:rPr>
      </w:pPr>
    </w:p>
    <w:p w:rsidR="004064B4" w:rsidRPr="00F538B6" w:rsidRDefault="004064B4" w:rsidP="004064B4">
      <w:pPr>
        <w:pStyle w:val="Heading2"/>
        <w:rPr>
          <w:szCs w:val="22"/>
        </w:rPr>
      </w:pPr>
      <w:bookmarkStart w:id="12" w:name="_Toc430012270"/>
      <w:r w:rsidRPr="00F538B6">
        <w:t>Drug cost/patient/year: $</w:t>
      </w:r>
      <w:r w:rsidR="007E060C">
        <w:rPr>
          <w:noProof/>
          <w:color w:val="000000"/>
          <w:highlight w:val="black"/>
        </w:rPr>
        <w:t>''''''''''</w:t>
      </w:r>
      <w:r w:rsidRPr="00F538B6">
        <w:t>.</w:t>
      </w:r>
      <w:bookmarkEnd w:id="12"/>
    </w:p>
    <w:p w:rsidR="004064B4" w:rsidRPr="00F93681" w:rsidRDefault="004064B4" w:rsidP="004064B4">
      <w:pPr>
        <w:widowControl/>
        <w:rPr>
          <w:szCs w:val="22"/>
        </w:rPr>
      </w:pPr>
    </w:p>
    <w:p w:rsidR="004064B4" w:rsidRPr="00F93681" w:rsidRDefault="008D49BE" w:rsidP="009F088A">
      <w:pPr>
        <w:pStyle w:val="ListParagraph"/>
        <w:widowControl/>
        <w:numPr>
          <w:ilvl w:val="1"/>
          <w:numId w:val="5"/>
        </w:numPr>
        <w:rPr>
          <w:szCs w:val="22"/>
        </w:rPr>
      </w:pPr>
      <w:r w:rsidRPr="00F93681">
        <w:rPr>
          <w:szCs w:val="22"/>
        </w:rPr>
        <w:t xml:space="preserve">Atazanavir/cobicistat FDC is an ongoing treatment. The </w:t>
      </w:r>
      <w:r w:rsidR="00BD79EC" w:rsidRPr="00F93681">
        <w:rPr>
          <w:szCs w:val="22"/>
        </w:rPr>
        <w:t xml:space="preserve">annual </w:t>
      </w:r>
      <w:r w:rsidRPr="00F93681">
        <w:rPr>
          <w:szCs w:val="22"/>
        </w:rPr>
        <w:t xml:space="preserve">drug cost was calculated </w:t>
      </w:r>
      <w:r w:rsidR="003E3EA6" w:rsidRPr="00F93681">
        <w:rPr>
          <w:szCs w:val="22"/>
        </w:rPr>
        <w:t>for the community access dispensed price for maximum quantity ($</w:t>
      </w:r>
      <w:r w:rsidR="007E060C">
        <w:rPr>
          <w:noProof/>
          <w:color w:val="000000"/>
          <w:szCs w:val="22"/>
          <w:highlight w:val="black"/>
        </w:rPr>
        <w:t>'''''''''''''''''''''</w:t>
      </w:r>
      <w:r w:rsidR="003E3EA6" w:rsidRPr="00F93681">
        <w:rPr>
          <w:szCs w:val="22"/>
        </w:rPr>
        <w:t xml:space="preserve">) </w:t>
      </w:r>
      <w:r w:rsidRPr="00F93681">
        <w:rPr>
          <w:szCs w:val="22"/>
        </w:rPr>
        <w:t>assuming</w:t>
      </w:r>
      <w:r w:rsidR="000C4B46" w:rsidRPr="00F93681">
        <w:rPr>
          <w:szCs w:val="22"/>
        </w:rPr>
        <w:t xml:space="preserve"> an average </w:t>
      </w:r>
      <w:r w:rsidR="007665A1" w:rsidRPr="00F93681">
        <w:rPr>
          <w:szCs w:val="22"/>
        </w:rPr>
        <w:t xml:space="preserve">of </w:t>
      </w:r>
      <w:r w:rsidR="000C4B46" w:rsidRPr="00F93681">
        <w:rPr>
          <w:szCs w:val="22"/>
        </w:rPr>
        <w:t xml:space="preserve">9.9 packs </w:t>
      </w:r>
      <w:r w:rsidR="00CD6807" w:rsidRPr="00F93681">
        <w:rPr>
          <w:szCs w:val="22"/>
        </w:rPr>
        <w:t xml:space="preserve">per patient </w:t>
      </w:r>
      <w:r w:rsidR="000C4B46" w:rsidRPr="00F93681">
        <w:rPr>
          <w:szCs w:val="22"/>
        </w:rPr>
        <w:t>per year.</w:t>
      </w:r>
      <w:r w:rsidRPr="00F93681">
        <w:rPr>
          <w:szCs w:val="22"/>
        </w:rPr>
        <w:t xml:space="preserve"> </w:t>
      </w:r>
      <w:r w:rsidR="00CD6807" w:rsidRPr="00F93681">
        <w:rPr>
          <w:szCs w:val="22"/>
        </w:rPr>
        <w:t xml:space="preserve">The </w:t>
      </w:r>
      <w:r w:rsidR="00562CF0" w:rsidRPr="00F93681">
        <w:rPr>
          <w:szCs w:val="22"/>
        </w:rPr>
        <w:t xml:space="preserve">annual </w:t>
      </w:r>
      <w:r w:rsidR="00CD6807" w:rsidRPr="00F93681">
        <w:rPr>
          <w:szCs w:val="22"/>
        </w:rPr>
        <w:t xml:space="preserve">cost for </w:t>
      </w:r>
      <w:r w:rsidR="007C0F96" w:rsidRPr="00F93681">
        <w:rPr>
          <w:szCs w:val="22"/>
        </w:rPr>
        <w:t xml:space="preserve">the comparator was </w:t>
      </w:r>
      <w:r w:rsidR="00567B26" w:rsidRPr="00F93681">
        <w:rPr>
          <w:szCs w:val="22"/>
        </w:rPr>
        <w:t>$5,832 based on the dispensed price for maximum quantity of atazanavir ($</w:t>
      </w:r>
      <w:r w:rsidR="00567B26" w:rsidRPr="00122B6B">
        <w:rPr>
          <w:szCs w:val="22"/>
        </w:rPr>
        <w:t>1,090.75</w:t>
      </w:r>
      <w:r w:rsidR="00567B26" w:rsidRPr="00F93681">
        <w:rPr>
          <w:szCs w:val="22"/>
        </w:rPr>
        <w:t>) and ritonavir ($1,029.09)</w:t>
      </w:r>
      <w:r w:rsidR="007C0F96" w:rsidRPr="00F93681">
        <w:rPr>
          <w:szCs w:val="22"/>
        </w:rPr>
        <w:t xml:space="preserve"> </w:t>
      </w:r>
      <w:r w:rsidR="00567B26" w:rsidRPr="00F93681">
        <w:rPr>
          <w:szCs w:val="22"/>
        </w:rPr>
        <w:t>and assuming the same compliance.</w:t>
      </w:r>
      <w:r w:rsidR="009250C6" w:rsidRPr="00F93681">
        <w:rPr>
          <w:szCs w:val="22"/>
        </w:rPr>
        <w:t xml:space="preserve"> Drug prices were updated with the </w:t>
      </w:r>
      <w:r w:rsidR="00C10792" w:rsidRPr="00F93681">
        <w:rPr>
          <w:szCs w:val="22"/>
        </w:rPr>
        <w:t>higher</w:t>
      </w:r>
      <w:r w:rsidR="009250C6" w:rsidRPr="00F93681">
        <w:rPr>
          <w:szCs w:val="22"/>
        </w:rPr>
        <w:t xml:space="preserve"> dispensing fee of $6.93 </w:t>
      </w:r>
      <w:r w:rsidR="00BD0BDE" w:rsidRPr="00F93681">
        <w:rPr>
          <w:szCs w:val="22"/>
        </w:rPr>
        <w:t>effective from 1 July </w:t>
      </w:r>
      <w:r w:rsidR="009250C6" w:rsidRPr="00F93681">
        <w:rPr>
          <w:szCs w:val="22"/>
        </w:rPr>
        <w:t>2015.</w:t>
      </w:r>
    </w:p>
    <w:p w:rsidR="004064B4" w:rsidRPr="00F93681" w:rsidRDefault="004064B4" w:rsidP="004064B4">
      <w:pPr>
        <w:rPr>
          <w:szCs w:val="22"/>
        </w:rPr>
      </w:pPr>
    </w:p>
    <w:p w:rsidR="004064B4" w:rsidRPr="00F538B6" w:rsidRDefault="004064B4" w:rsidP="004064B4">
      <w:pPr>
        <w:pStyle w:val="Heading2"/>
      </w:pPr>
      <w:bookmarkStart w:id="13" w:name="_Toc430012271"/>
      <w:r w:rsidRPr="00F538B6">
        <w:t>Estimated PBS usage &amp; financial implications</w:t>
      </w:r>
      <w:bookmarkEnd w:id="13"/>
    </w:p>
    <w:p w:rsidR="004064B4" w:rsidRPr="00F93681" w:rsidRDefault="004064B4" w:rsidP="004064B4">
      <w:pPr>
        <w:ind w:left="720" w:hanging="720"/>
        <w:rPr>
          <w:b/>
          <w:i/>
          <w:szCs w:val="22"/>
        </w:rPr>
      </w:pPr>
    </w:p>
    <w:p w:rsidR="004064B4" w:rsidRPr="00F93681" w:rsidRDefault="006F396E" w:rsidP="009F088A">
      <w:pPr>
        <w:pStyle w:val="ListParagraph"/>
        <w:widowControl/>
        <w:numPr>
          <w:ilvl w:val="1"/>
          <w:numId w:val="5"/>
        </w:numPr>
        <w:ind w:left="709"/>
        <w:rPr>
          <w:szCs w:val="22"/>
        </w:rPr>
      </w:pPr>
      <w:r w:rsidRPr="00F93681">
        <w:t xml:space="preserve">This submission </w:t>
      </w:r>
      <w:r w:rsidR="00FE7906" w:rsidRPr="00F93681">
        <w:t>was</w:t>
      </w:r>
      <w:r w:rsidRPr="00F93681">
        <w:t xml:space="preserve"> not considered by DUSC. </w:t>
      </w:r>
      <w:r w:rsidR="008B19CF" w:rsidRPr="00F93681">
        <w:t xml:space="preserve">The submission </w:t>
      </w:r>
      <w:r w:rsidR="0071012A" w:rsidRPr="00F93681">
        <w:t xml:space="preserve">used </w:t>
      </w:r>
      <w:r w:rsidR="008B19CF" w:rsidRPr="00F93681">
        <w:t>a market share approach to calculat</w:t>
      </w:r>
      <w:r w:rsidRPr="00F93681">
        <w:t>e</w:t>
      </w:r>
      <w:r w:rsidR="008B19CF" w:rsidRPr="00F93681">
        <w:t xml:space="preserve"> the numbers of prescriptions, patients and packs.</w:t>
      </w:r>
      <w:r w:rsidR="00557B46" w:rsidRPr="00F93681">
        <w:t xml:space="preserve"> </w:t>
      </w:r>
      <w:r w:rsidR="00933B35" w:rsidRPr="00F93681">
        <w:t>In the base case</w:t>
      </w:r>
      <w:r w:rsidR="0036526A" w:rsidRPr="00F93681">
        <w:t xml:space="preserve"> t</w:t>
      </w:r>
      <w:r w:rsidRPr="00F93681">
        <w:t>he submission assumed that atazanavir/cobicistat FDC would only replace atazanavir plus ritonavir taken concomitantly.</w:t>
      </w:r>
    </w:p>
    <w:p w:rsidR="00E76288" w:rsidRPr="00F93681" w:rsidRDefault="00E76288" w:rsidP="004064B4">
      <w:pPr>
        <w:ind w:firstLine="709"/>
        <w:rPr>
          <w:rStyle w:val="CommentReference"/>
        </w:rPr>
      </w:pPr>
    </w:p>
    <w:p w:rsidR="004064B4" w:rsidRPr="00F93681" w:rsidRDefault="004064B4" w:rsidP="004064B4">
      <w:pPr>
        <w:ind w:firstLine="709"/>
        <w:rPr>
          <w:rStyle w:val="CommentReference"/>
        </w:rPr>
      </w:pPr>
      <w:r w:rsidRPr="00F93681">
        <w:rPr>
          <w:rStyle w:val="CommentReference"/>
        </w:rPr>
        <w:t xml:space="preserve">Table </w:t>
      </w:r>
      <w:r w:rsidR="00D61B3B" w:rsidRPr="00F93681">
        <w:rPr>
          <w:rStyle w:val="CommentReference"/>
        </w:rPr>
        <w:t>6</w:t>
      </w:r>
      <w:r w:rsidRPr="00F93681">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Estimated utilisation and financial implications"/>
      </w:tblPr>
      <w:tblGrid>
        <w:gridCol w:w="2269"/>
        <w:gridCol w:w="1134"/>
        <w:gridCol w:w="1133"/>
        <w:gridCol w:w="1275"/>
        <w:gridCol w:w="1275"/>
        <w:gridCol w:w="1260"/>
      </w:tblGrid>
      <w:tr w:rsidR="004064B4" w:rsidRPr="00F93681" w:rsidTr="0071685F">
        <w:trPr>
          <w:tblHeader/>
        </w:trPr>
        <w:tc>
          <w:tcPr>
            <w:tcW w:w="1359" w:type="pct"/>
            <w:shd w:val="clear" w:color="auto" w:fill="auto"/>
            <w:vAlign w:val="center"/>
          </w:tcPr>
          <w:p w:rsidR="004064B4" w:rsidRPr="00F93681" w:rsidRDefault="004064B4" w:rsidP="0071685F">
            <w:pPr>
              <w:tabs>
                <w:tab w:val="left" w:pos="142"/>
              </w:tabs>
              <w:jc w:val="left"/>
              <w:rPr>
                <w:rFonts w:ascii="Arial Narrow" w:hAnsi="Arial Narrow"/>
                <w:b/>
                <w:sz w:val="20"/>
              </w:rPr>
            </w:pPr>
          </w:p>
        </w:tc>
        <w:tc>
          <w:tcPr>
            <w:tcW w:w="679" w:type="pct"/>
            <w:shd w:val="clear" w:color="auto" w:fill="auto"/>
            <w:vAlign w:val="center"/>
          </w:tcPr>
          <w:p w:rsidR="004064B4" w:rsidRPr="00F93681" w:rsidRDefault="004064B4" w:rsidP="0071685F">
            <w:pPr>
              <w:jc w:val="center"/>
              <w:rPr>
                <w:rFonts w:ascii="Arial Narrow" w:hAnsi="Arial Narrow"/>
                <w:b/>
                <w:sz w:val="20"/>
              </w:rPr>
            </w:pPr>
            <w:r w:rsidRPr="00F93681">
              <w:rPr>
                <w:rFonts w:ascii="Arial Narrow" w:hAnsi="Arial Narrow"/>
                <w:b/>
                <w:sz w:val="20"/>
              </w:rPr>
              <w:t>Year 1</w:t>
            </w:r>
          </w:p>
        </w:tc>
        <w:tc>
          <w:tcPr>
            <w:tcW w:w="679" w:type="pct"/>
            <w:shd w:val="clear" w:color="auto" w:fill="auto"/>
            <w:vAlign w:val="center"/>
          </w:tcPr>
          <w:p w:rsidR="004064B4" w:rsidRPr="00F93681" w:rsidRDefault="004064B4" w:rsidP="0071685F">
            <w:pPr>
              <w:jc w:val="center"/>
              <w:rPr>
                <w:rFonts w:ascii="Arial Narrow" w:hAnsi="Arial Narrow"/>
                <w:b/>
                <w:sz w:val="20"/>
              </w:rPr>
            </w:pPr>
            <w:r w:rsidRPr="00F93681">
              <w:rPr>
                <w:rFonts w:ascii="Arial Narrow" w:hAnsi="Arial Narrow"/>
                <w:b/>
                <w:sz w:val="20"/>
              </w:rPr>
              <w:t>Year 2</w:t>
            </w:r>
          </w:p>
        </w:tc>
        <w:tc>
          <w:tcPr>
            <w:tcW w:w="764" w:type="pct"/>
            <w:shd w:val="clear" w:color="auto" w:fill="auto"/>
            <w:vAlign w:val="center"/>
          </w:tcPr>
          <w:p w:rsidR="004064B4" w:rsidRPr="00F93681" w:rsidRDefault="004064B4" w:rsidP="0071685F">
            <w:pPr>
              <w:jc w:val="center"/>
              <w:rPr>
                <w:rFonts w:ascii="Arial Narrow" w:hAnsi="Arial Narrow"/>
                <w:b/>
                <w:sz w:val="20"/>
              </w:rPr>
            </w:pPr>
            <w:r w:rsidRPr="00F93681">
              <w:rPr>
                <w:rFonts w:ascii="Arial Narrow" w:hAnsi="Arial Narrow"/>
                <w:b/>
                <w:sz w:val="20"/>
              </w:rPr>
              <w:t>Year 3</w:t>
            </w:r>
          </w:p>
        </w:tc>
        <w:tc>
          <w:tcPr>
            <w:tcW w:w="764" w:type="pct"/>
            <w:shd w:val="clear" w:color="auto" w:fill="auto"/>
            <w:vAlign w:val="center"/>
          </w:tcPr>
          <w:p w:rsidR="004064B4" w:rsidRPr="00F93681" w:rsidRDefault="004064B4" w:rsidP="0071685F">
            <w:pPr>
              <w:jc w:val="center"/>
              <w:rPr>
                <w:rFonts w:ascii="Arial Narrow" w:hAnsi="Arial Narrow"/>
                <w:b/>
                <w:sz w:val="20"/>
              </w:rPr>
            </w:pPr>
            <w:r w:rsidRPr="00F93681">
              <w:rPr>
                <w:rFonts w:ascii="Arial Narrow" w:hAnsi="Arial Narrow"/>
                <w:b/>
                <w:sz w:val="20"/>
              </w:rPr>
              <w:t>Year 4</w:t>
            </w:r>
          </w:p>
        </w:tc>
        <w:tc>
          <w:tcPr>
            <w:tcW w:w="755" w:type="pct"/>
            <w:shd w:val="clear" w:color="auto" w:fill="auto"/>
            <w:vAlign w:val="center"/>
          </w:tcPr>
          <w:p w:rsidR="004064B4" w:rsidRPr="00F93681" w:rsidRDefault="004064B4" w:rsidP="0071685F">
            <w:pPr>
              <w:jc w:val="center"/>
              <w:rPr>
                <w:rFonts w:ascii="Arial Narrow" w:hAnsi="Arial Narrow"/>
                <w:b/>
                <w:sz w:val="20"/>
              </w:rPr>
            </w:pPr>
            <w:r w:rsidRPr="00F93681">
              <w:rPr>
                <w:rFonts w:ascii="Arial Narrow" w:hAnsi="Arial Narrow"/>
                <w:b/>
                <w:sz w:val="20"/>
              </w:rPr>
              <w:t>Year 5</w:t>
            </w:r>
          </w:p>
        </w:tc>
      </w:tr>
      <w:tr w:rsidR="004064B4" w:rsidRPr="00F93681" w:rsidTr="0071685F">
        <w:tc>
          <w:tcPr>
            <w:tcW w:w="5000" w:type="pct"/>
            <w:gridSpan w:val="6"/>
            <w:shd w:val="clear" w:color="auto" w:fill="auto"/>
            <w:vAlign w:val="center"/>
          </w:tcPr>
          <w:p w:rsidR="004064B4" w:rsidRPr="00F93681" w:rsidRDefault="004064B4" w:rsidP="0071685F">
            <w:pPr>
              <w:jc w:val="left"/>
              <w:rPr>
                <w:rFonts w:ascii="Arial Narrow" w:hAnsi="Arial Narrow"/>
                <w:b/>
                <w:bCs/>
                <w:color w:val="000000"/>
                <w:sz w:val="20"/>
              </w:rPr>
            </w:pPr>
            <w:r w:rsidRPr="00F93681">
              <w:rPr>
                <w:rFonts w:ascii="Arial Narrow" w:hAnsi="Arial Narrow"/>
                <w:b/>
                <w:bCs/>
                <w:color w:val="000000"/>
                <w:sz w:val="20"/>
              </w:rPr>
              <w:t>Estimated extent of use</w:t>
            </w:r>
          </w:p>
        </w:tc>
      </w:tr>
      <w:tr w:rsidR="004072E8" w:rsidRPr="00F93681" w:rsidTr="005E2998">
        <w:tc>
          <w:tcPr>
            <w:tcW w:w="1359" w:type="pct"/>
            <w:shd w:val="clear" w:color="auto" w:fill="auto"/>
            <w:vAlign w:val="center"/>
          </w:tcPr>
          <w:p w:rsidR="004072E8" w:rsidRPr="00F93681" w:rsidRDefault="004072E8" w:rsidP="0071685F">
            <w:pPr>
              <w:tabs>
                <w:tab w:val="left" w:pos="142"/>
              </w:tabs>
              <w:jc w:val="left"/>
              <w:rPr>
                <w:rFonts w:ascii="Arial Narrow" w:hAnsi="Arial Narrow"/>
                <w:sz w:val="20"/>
              </w:rPr>
            </w:pPr>
            <w:r w:rsidRPr="00F93681">
              <w:rPr>
                <w:rFonts w:ascii="Arial Narrow" w:hAnsi="Arial Narrow"/>
                <w:sz w:val="20"/>
              </w:rPr>
              <w:t>Number treated</w:t>
            </w:r>
          </w:p>
        </w:tc>
        <w:tc>
          <w:tcPr>
            <w:tcW w:w="679"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679"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64"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64"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55"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r>
      <w:tr w:rsidR="00FC4DFB" w:rsidRPr="00F93681" w:rsidTr="005E2998">
        <w:tc>
          <w:tcPr>
            <w:tcW w:w="1359" w:type="pct"/>
            <w:shd w:val="clear" w:color="auto" w:fill="auto"/>
            <w:vAlign w:val="center"/>
          </w:tcPr>
          <w:p w:rsidR="00FC4DFB" w:rsidRPr="00F93681" w:rsidRDefault="00FC4DFB" w:rsidP="0071685F">
            <w:pPr>
              <w:tabs>
                <w:tab w:val="left" w:pos="142"/>
              </w:tabs>
              <w:jc w:val="left"/>
              <w:rPr>
                <w:rFonts w:ascii="Arial Narrow" w:hAnsi="Arial Narrow"/>
                <w:sz w:val="20"/>
              </w:rPr>
            </w:pPr>
            <w:r w:rsidRPr="00F93681">
              <w:rPr>
                <w:rFonts w:ascii="Arial Narrow" w:hAnsi="Arial Narrow"/>
                <w:sz w:val="20"/>
              </w:rPr>
              <w:t>Market share</w:t>
            </w:r>
          </w:p>
        </w:tc>
        <w:tc>
          <w:tcPr>
            <w:tcW w:w="679" w:type="pct"/>
            <w:shd w:val="clear" w:color="auto" w:fill="auto"/>
          </w:tcPr>
          <w:p w:rsidR="00FC4DFB" w:rsidRPr="00F93681" w:rsidRDefault="00FC4DFB" w:rsidP="004072E8">
            <w:pPr>
              <w:jc w:val="center"/>
              <w:rPr>
                <w:rFonts w:ascii="Arial Narrow" w:hAnsi="Arial Narrow"/>
                <w:sz w:val="19"/>
                <w:szCs w:val="19"/>
              </w:rPr>
            </w:pPr>
            <w:r w:rsidRPr="00F93681">
              <w:rPr>
                <w:rFonts w:ascii="Arial Narrow" w:hAnsi="Arial Narrow"/>
                <w:sz w:val="19"/>
                <w:szCs w:val="19"/>
              </w:rPr>
              <w:t>70%</w:t>
            </w:r>
          </w:p>
        </w:tc>
        <w:tc>
          <w:tcPr>
            <w:tcW w:w="679" w:type="pct"/>
            <w:shd w:val="clear" w:color="auto" w:fill="auto"/>
          </w:tcPr>
          <w:p w:rsidR="00FC4DFB" w:rsidRPr="00F93681" w:rsidRDefault="00FC4DFB" w:rsidP="004072E8">
            <w:pPr>
              <w:jc w:val="center"/>
              <w:rPr>
                <w:rFonts w:ascii="Arial Narrow" w:hAnsi="Arial Narrow"/>
                <w:sz w:val="19"/>
                <w:szCs w:val="19"/>
              </w:rPr>
            </w:pPr>
            <w:r w:rsidRPr="00F93681">
              <w:rPr>
                <w:rFonts w:ascii="Arial Narrow" w:hAnsi="Arial Narrow"/>
                <w:sz w:val="19"/>
                <w:szCs w:val="19"/>
              </w:rPr>
              <w:t>75%</w:t>
            </w:r>
          </w:p>
        </w:tc>
        <w:tc>
          <w:tcPr>
            <w:tcW w:w="764" w:type="pct"/>
            <w:shd w:val="clear" w:color="auto" w:fill="auto"/>
          </w:tcPr>
          <w:p w:rsidR="00FC4DFB" w:rsidRPr="00F93681" w:rsidRDefault="00FC4DFB" w:rsidP="004072E8">
            <w:pPr>
              <w:jc w:val="center"/>
              <w:rPr>
                <w:rFonts w:ascii="Arial Narrow" w:hAnsi="Arial Narrow"/>
                <w:sz w:val="19"/>
                <w:szCs w:val="19"/>
              </w:rPr>
            </w:pPr>
            <w:r w:rsidRPr="00F93681">
              <w:rPr>
                <w:rFonts w:ascii="Arial Narrow" w:hAnsi="Arial Narrow"/>
                <w:sz w:val="19"/>
                <w:szCs w:val="19"/>
              </w:rPr>
              <w:t>80%</w:t>
            </w:r>
          </w:p>
        </w:tc>
        <w:tc>
          <w:tcPr>
            <w:tcW w:w="764" w:type="pct"/>
            <w:shd w:val="clear" w:color="auto" w:fill="auto"/>
          </w:tcPr>
          <w:p w:rsidR="00FC4DFB" w:rsidRPr="00F93681" w:rsidRDefault="00FC4DFB" w:rsidP="004072E8">
            <w:pPr>
              <w:jc w:val="center"/>
              <w:rPr>
                <w:rFonts w:ascii="Arial Narrow" w:hAnsi="Arial Narrow"/>
                <w:sz w:val="19"/>
                <w:szCs w:val="19"/>
              </w:rPr>
            </w:pPr>
            <w:r w:rsidRPr="00F93681">
              <w:rPr>
                <w:rFonts w:ascii="Arial Narrow" w:hAnsi="Arial Narrow"/>
                <w:sz w:val="19"/>
                <w:szCs w:val="19"/>
              </w:rPr>
              <w:t>85%</w:t>
            </w:r>
          </w:p>
        </w:tc>
        <w:tc>
          <w:tcPr>
            <w:tcW w:w="755" w:type="pct"/>
            <w:shd w:val="clear" w:color="auto" w:fill="auto"/>
          </w:tcPr>
          <w:p w:rsidR="00FC4DFB" w:rsidRPr="00F93681" w:rsidRDefault="00FC4DFB" w:rsidP="004072E8">
            <w:pPr>
              <w:jc w:val="center"/>
              <w:rPr>
                <w:rFonts w:ascii="Arial Narrow" w:hAnsi="Arial Narrow"/>
                <w:sz w:val="19"/>
                <w:szCs w:val="19"/>
              </w:rPr>
            </w:pPr>
            <w:r w:rsidRPr="00F93681">
              <w:rPr>
                <w:rFonts w:ascii="Arial Narrow" w:hAnsi="Arial Narrow"/>
                <w:sz w:val="19"/>
                <w:szCs w:val="19"/>
              </w:rPr>
              <w:t>90%</w:t>
            </w:r>
          </w:p>
        </w:tc>
      </w:tr>
      <w:tr w:rsidR="004072E8" w:rsidRPr="00F93681" w:rsidTr="005E2998">
        <w:tc>
          <w:tcPr>
            <w:tcW w:w="1359" w:type="pct"/>
            <w:shd w:val="clear" w:color="auto" w:fill="auto"/>
            <w:vAlign w:val="center"/>
          </w:tcPr>
          <w:p w:rsidR="004072E8" w:rsidRPr="00F93681" w:rsidRDefault="004072E8" w:rsidP="0071685F">
            <w:pPr>
              <w:tabs>
                <w:tab w:val="left" w:pos="142"/>
              </w:tabs>
              <w:jc w:val="left"/>
              <w:rPr>
                <w:rFonts w:ascii="Arial Narrow" w:hAnsi="Arial Narrow"/>
                <w:sz w:val="20"/>
              </w:rPr>
            </w:pPr>
            <w:r w:rsidRPr="00F93681">
              <w:rPr>
                <w:rFonts w:ascii="Arial Narrow" w:hAnsi="Arial Narrow"/>
                <w:sz w:val="20"/>
              </w:rPr>
              <w:t>Scripts</w:t>
            </w:r>
            <w:r w:rsidR="00FA75D6" w:rsidRPr="00F93681">
              <w:rPr>
                <w:rFonts w:ascii="Arial Narrow" w:hAnsi="Arial Narrow"/>
                <w:sz w:val="20"/>
              </w:rPr>
              <w:t xml:space="preserve"> </w:t>
            </w:r>
            <w:r w:rsidRPr="00F93681">
              <w:rPr>
                <w:rFonts w:ascii="Arial Narrow" w:hAnsi="Arial Narrow"/>
                <w:sz w:val="20"/>
                <w:vertAlign w:val="superscript"/>
              </w:rPr>
              <w:t>a</w:t>
            </w:r>
          </w:p>
        </w:tc>
        <w:tc>
          <w:tcPr>
            <w:tcW w:w="679"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679"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64"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64"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c>
          <w:tcPr>
            <w:tcW w:w="755" w:type="pct"/>
            <w:shd w:val="clear" w:color="auto" w:fill="auto"/>
          </w:tcPr>
          <w:p w:rsidR="004072E8" w:rsidRPr="007E060C" w:rsidRDefault="007E060C" w:rsidP="004072E8">
            <w:pPr>
              <w:jc w:val="center"/>
              <w:rPr>
                <w:rFonts w:ascii="Arial Narrow" w:hAnsi="Arial Narrow"/>
                <w:sz w:val="19"/>
                <w:szCs w:val="19"/>
                <w:highlight w:val="black"/>
              </w:rPr>
            </w:pPr>
            <w:r>
              <w:rPr>
                <w:rFonts w:ascii="Arial Narrow" w:hAnsi="Arial Narrow"/>
                <w:noProof/>
                <w:color w:val="000000"/>
                <w:sz w:val="19"/>
                <w:szCs w:val="19"/>
                <w:highlight w:val="black"/>
              </w:rPr>
              <w:t>'''''''''''''</w:t>
            </w:r>
          </w:p>
        </w:tc>
      </w:tr>
      <w:tr w:rsidR="004064B4" w:rsidRPr="00F93681" w:rsidTr="0071685F">
        <w:tc>
          <w:tcPr>
            <w:tcW w:w="5000" w:type="pct"/>
            <w:gridSpan w:val="6"/>
            <w:shd w:val="clear" w:color="auto" w:fill="auto"/>
            <w:vAlign w:val="center"/>
          </w:tcPr>
          <w:p w:rsidR="004064B4" w:rsidRPr="00F93681" w:rsidRDefault="004064B4" w:rsidP="0071685F">
            <w:pPr>
              <w:jc w:val="left"/>
              <w:rPr>
                <w:rFonts w:ascii="Arial Narrow" w:hAnsi="Arial Narrow"/>
                <w:b/>
                <w:bCs/>
                <w:color w:val="000000"/>
                <w:sz w:val="20"/>
              </w:rPr>
            </w:pPr>
            <w:r w:rsidRPr="00F93681">
              <w:rPr>
                <w:rFonts w:ascii="Arial Narrow" w:hAnsi="Arial Narrow"/>
                <w:b/>
                <w:bCs/>
                <w:color w:val="000000"/>
                <w:sz w:val="20"/>
              </w:rPr>
              <w:t>Estimated net cost to PBS/RPBS/MBS</w:t>
            </w:r>
          </w:p>
        </w:tc>
      </w:tr>
      <w:tr w:rsidR="006A673B" w:rsidRPr="00F93681" w:rsidTr="006A673B">
        <w:tc>
          <w:tcPr>
            <w:tcW w:w="1359" w:type="pct"/>
            <w:shd w:val="clear" w:color="auto" w:fill="auto"/>
            <w:vAlign w:val="center"/>
          </w:tcPr>
          <w:p w:rsidR="006A673B" w:rsidRPr="00F93681" w:rsidRDefault="006A673B" w:rsidP="0071685F">
            <w:pPr>
              <w:tabs>
                <w:tab w:val="left" w:pos="142"/>
              </w:tabs>
              <w:jc w:val="left"/>
              <w:rPr>
                <w:rFonts w:ascii="Arial Narrow" w:hAnsi="Arial Narrow"/>
                <w:sz w:val="20"/>
              </w:rPr>
            </w:pPr>
            <w:r w:rsidRPr="00F93681">
              <w:rPr>
                <w:rFonts w:ascii="Arial Narrow" w:hAnsi="Arial Narrow"/>
                <w:sz w:val="19"/>
                <w:szCs w:val="19"/>
              </w:rPr>
              <w:t>Net cost to PBS/RPBS</w:t>
            </w:r>
          </w:p>
        </w:tc>
        <w:tc>
          <w:tcPr>
            <w:tcW w:w="679" w:type="pct"/>
            <w:shd w:val="clear" w:color="auto" w:fill="auto"/>
            <w:vAlign w:val="center"/>
          </w:tcPr>
          <w:p w:rsidR="006A673B" w:rsidRPr="00F93681" w:rsidRDefault="006A673B" w:rsidP="006A673B">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r w:rsidRPr="00F93681">
              <w:rPr>
                <w:rFonts w:ascii="Arial Narrow" w:hAnsi="Arial Narrow"/>
                <w:bCs/>
                <w:i/>
                <w:sz w:val="19"/>
                <w:szCs w:val="19"/>
              </w:rPr>
              <w:t xml:space="preserve"> </w:t>
            </w:r>
          </w:p>
        </w:tc>
        <w:tc>
          <w:tcPr>
            <w:tcW w:w="679" w:type="pct"/>
            <w:shd w:val="clear" w:color="auto" w:fill="auto"/>
            <w:vAlign w:val="center"/>
          </w:tcPr>
          <w:p w:rsidR="006A673B" w:rsidRPr="00F93681" w:rsidRDefault="006A673B" w:rsidP="006A673B">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r w:rsidRPr="00F93681">
              <w:rPr>
                <w:rFonts w:ascii="Arial Narrow" w:hAnsi="Arial Narrow"/>
                <w:bCs/>
                <w:i/>
                <w:sz w:val="19"/>
                <w:szCs w:val="19"/>
              </w:rPr>
              <w:t xml:space="preserve"> </w:t>
            </w:r>
          </w:p>
        </w:tc>
        <w:tc>
          <w:tcPr>
            <w:tcW w:w="764" w:type="pct"/>
            <w:shd w:val="clear" w:color="auto" w:fill="auto"/>
            <w:vAlign w:val="center"/>
          </w:tcPr>
          <w:p w:rsidR="006A673B" w:rsidRPr="00F93681" w:rsidRDefault="006A673B" w:rsidP="006A673B">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r w:rsidRPr="00F93681">
              <w:rPr>
                <w:rFonts w:ascii="Arial Narrow" w:hAnsi="Arial Narrow"/>
                <w:bCs/>
                <w:i/>
                <w:sz w:val="19"/>
                <w:szCs w:val="19"/>
              </w:rPr>
              <w:t xml:space="preserve"> </w:t>
            </w:r>
          </w:p>
        </w:tc>
        <w:tc>
          <w:tcPr>
            <w:tcW w:w="764" w:type="pct"/>
            <w:shd w:val="clear" w:color="auto" w:fill="auto"/>
            <w:vAlign w:val="center"/>
          </w:tcPr>
          <w:p w:rsidR="006A673B" w:rsidRPr="00F93681" w:rsidRDefault="006A673B" w:rsidP="006A673B">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r w:rsidRPr="00F93681">
              <w:rPr>
                <w:rFonts w:ascii="Arial Narrow" w:hAnsi="Arial Narrow"/>
                <w:bCs/>
                <w:i/>
                <w:sz w:val="19"/>
                <w:szCs w:val="19"/>
              </w:rPr>
              <w:t xml:space="preserve"> </w:t>
            </w:r>
          </w:p>
        </w:tc>
        <w:tc>
          <w:tcPr>
            <w:tcW w:w="755" w:type="pct"/>
            <w:shd w:val="clear" w:color="auto" w:fill="auto"/>
            <w:vAlign w:val="center"/>
          </w:tcPr>
          <w:p w:rsidR="006A673B" w:rsidRPr="00F93681" w:rsidRDefault="006A673B" w:rsidP="006A673B">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r w:rsidRPr="00F93681">
              <w:rPr>
                <w:rFonts w:ascii="Arial Narrow" w:hAnsi="Arial Narrow"/>
                <w:bCs/>
                <w:i/>
                <w:sz w:val="19"/>
                <w:szCs w:val="19"/>
              </w:rPr>
              <w:t xml:space="preserve"> </w:t>
            </w:r>
          </w:p>
        </w:tc>
      </w:tr>
      <w:tr w:rsidR="00350235" w:rsidRPr="00F93681" w:rsidTr="005E2998">
        <w:tc>
          <w:tcPr>
            <w:tcW w:w="1359" w:type="pct"/>
            <w:shd w:val="clear" w:color="auto" w:fill="auto"/>
            <w:vAlign w:val="center"/>
          </w:tcPr>
          <w:p w:rsidR="00350235" w:rsidRPr="00F93681" w:rsidRDefault="00D479B6" w:rsidP="00D479B6">
            <w:pPr>
              <w:tabs>
                <w:tab w:val="left" w:pos="142"/>
              </w:tabs>
              <w:jc w:val="left"/>
              <w:rPr>
                <w:rFonts w:ascii="Arial Narrow" w:hAnsi="Arial Narrow"/>
                <w:sz w:val="20"/>
              </w:rPr>
            </w:pPr>
            <w:r w:rsidRPr="00F93681">
              <w:rPr>
                <w:rFonts w:ascii="Arial Narrow" w:hAnsi="Arial Narrow"/>
                <w:sz w:val="19"/>
                <w:szCs w:val="19"/>
              </w:rPr>
              <w:t>Cost reduction in</w:t>
            </w:r>
            <w:r w:rsidR="00350235" w:rsidRPr="00F93681">
              <w:rPr>
                <w:rFonts w:ascii="Arial Narrow" w:hAnsi="Arial Narrow"/>
                <w:sz w:val="19"/>
                <w:szCs w:val="19"/>
              </w:rPr>
              <w:t xml:space="preserve"> other drug</w:t>
            </w:r>
            <w:r w:rsidRPr="00F93681">
              <w:rPr>
                <w:rFonts w:ascii="Arial Narrow" w:hAnsi="Arial Narrow"/>
                <w:sz w:val="19"/>
                <w:szCs w:val="19"/>
              </w:rPr>
              <w:t>s</w:t>
            </w:r>
          </w:p>
        </w:tc>
        <w:tc>
          <w:tcPr>
            <w:tcW w:w="679" w:type="pct"/>
            <w:shd w:val="clear" w:color="auto" w:fill="auto"/>
          </w:tcPr>
          <w:p w:rsidR="00350235" w:rsidRPr="00F93681" w:rsidRDefault="00350235" w:rsidP="0035023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c>
          <w:tcPr>
            <w:tcW w:w="679" w:type="pct"/>
            <w:shd w:val="clear" w:color="auto" w:fill="auto"/>
          </w:tcPr>
          <w:p w:rsidR="00350235" w:rsidRPr="00F93681" w:rsidRDefault="00350235" w:rsidP="0035023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c>
          <w:tcPr>
            <w:tcW w:w="764" w:type="pct"/>
            <w:shd w:val="clear" w:color="auto" w:fill="auto"/>
          </w:tcPr>
          <w:p w:rsidR="00350235" w:rsidRPr="00F93681" w:rsidRDefault="00350235" w:rsidP="0035023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c>
          <w:tcPr>
            <w:tcW w:w="764" w:type="pct"/>
            <w:shd w:val="clear" w:color="auto" w:fill="auto"/>
          </w:tcPr>
          <w:p w:rsidR="00350235" w:rsidRPr="00F93681" w:rsidRDefault="00350235" w:rsidP="0035023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c>
          <w:tcPr>
            <w:tcW w:w="755" w:type="pct"/>
            <w:shd w:val="clear" w:color="auto" w:fill="auto"/>
          </w:tcPr>
          <w:p w:rsidR="00350235" w:rsidRPr="00F93681" w:rsidRDefault="00350235" w:rsidP="0035023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r>
      <w:tr w:rsidR="00350235" w:rsidRPr="00F93681" w:rsidTr="00350235">
        <w:tc>
          <w:tcPr>
            <w:tcW w:w="1359" w:type="pct"/>
            <w:shd w:val="clear" w:color="auto" w:fill="auto"/>
            <w:vAlign w:val="center"/>
          </w:tcPr>
          <w:p w:rsidR="00350235" w:rsidRPr="00F93681" w:rsidRDefault="00350235" w:rsidP="0071685F">
            <w:pPr>
              <w:tabs>
                <w:tab w:val="left" w:pos="142"/>
              </w:tabs>
              <w:jc w:val="left"/>
              <w:rPr>
                <w:rFonts w:ascii="Arial Narrow" w:hAnsi="Arial Narrow"/>
                <w:sz w:val="20"/>
              </w:rPr>
            </w:pPr>
            <w:r w:rsidRPr="00F93681">
              <w:rPr>
                <w:rFonts w:ascii="Arial Narrow" w:hAnsi="Arial Narrow"/>
                <w:sz w:val="19"/>
                <w:szCs w:val="19"/>
              </w:rPr>
              <w:t>Net cost to MBS</w:t>
            </w:r>
          </w:p>
        </w:tc>
        <w:tc>
          <w:tcPr>
            <w:tcW w:w="679" w:type="pct"/>
            <w:shd w:val="clear" w:color="auto" w:fill="auto"/>
            <w:vAlign w:val="center"/>
          </w:tcPr>
          <w:p w:rsidR="00350235" w:rsidRPr="00F93681" w:rsidRDefault="00350235" w:rsidP="005E2998">
            <w:pPr>
              <w:jc w:val="right"/>
              <w:rPr>
                <w:rFonts w:ascii="Arial Narrow" w:hAnsi="Arial Narrow"/>
                <w:bCs/>
                <w:color w:val="000000"/>
                <w:sz w:val="20"/>
              </w:rPr>
            </w:pPr>
            <w:r w:rsidRPr="00F93681">
              <w:rPr>
                <w:rFonts w:ascii="Arial Narrow" w:hAnsi="Arial Narrow"/>
                <w:bCs/>
                <w:sz w:val="19"/>
                <w:szCs w:val="19"/>
              </w:rPr>
              <w:t>$0</w:t>
            </w:r>
          </w:p>
        </w:tc>
        <w:tc>
          <w:tcPr>
            <w:tcW w:w="679" w:type="pct"/>
            <w:shd w:val="clear" w:color="auto" w:fill="auto"/>
            <w:vAlign w:val="center"/>
          </w:tcPr>
          <w:p w:rsidR="00350235" w:rsidRPr="00F93681" w:rsidRDefault="00350235" w:rsidP="005E2998">
            <w:pPr>
              <w:jc w:val="right"/>
              <w:rPr>
                <w:rFonts w:ascii="Arial Narrow" w:hAnsi="Arial Narrow"/>
                <w:bCs/>
                <w:color w:val="000000"/>
                <w:sz w:val="20"/>
              </w:rPr>
            </w:pPr>
            <w:r w:rsidRPr="00F93681">
              <w:rPr>
                <w:rFonts w:ascii="Arial Narrow" w:hAnsi="Arial Narrow"/>
                <w:bCs/>
                <w:sz w:val="19"/>
                <w:szCs w:val="19"/>
              </w:rPr>
              <w:t>$0</w:t>
            </w:r>
          </w:p>
        </w:tc>
        <w:tc>
          <w:tcPr>
            <w:tcW w:w="764" w:type="pct"/>
            <w:shd w:val="clear" w:color="auto" w:fill="auto"/>
            <w:vAlign w:val="center"/>
          </w:tcPr>
          <w:p w:rsidR="00350235" w:rsidRPr="00F93681" w:rsidRDefault="00350235" w:rsidP="005E2998">
            <w:pPr>
              <w:jc w:val="right"/>
              <w:rPr>
                <w:rFonts w:ascii="Arial Narrow" w:hAnsi="Arial Narrow"/>
                <w:bCs/>
                <w:color w:val="000000"/>
                <w:sz w:val="20"/>
              </w:rPr>
            </w:pPr>
            <w:r w:rsidRPr="00F93681">
              <w:rPr>
                <w:rFonts w:ascii="Arial Narrow" w:hAnsi="Arial Narrow"/>
                <w:bCs/>
                <w:sz w:val="19"/>
                <w:szCs w:val="19"/>
              </w:rPr>
              <w:t>$0</w:t>
            </w:r>
          </w:p>
        </w:tc>
        <w:tc>
          <w:tcPr>
            <w:tcW w:w="764" w:type="pct"/>
            <w:shd w:val="clear" w:color="auto" w:fill="auto"/>
            <w:vAlign w:val="center"/>
          </w:tcPr>
          <w:p w:rsidR="00350235" w:rsidRPr="00F93681" w:rsidRDefault="00350235" w:rsidP="005E2998">
            <w:pPr>
              <w:jc w:val="right"/>
              <w:rPr>
                <w:rFonts w:ascii="Arial Narrow" w:hAnsi="Arial Narrow"/>
                <w:bCs/>
                <w:color w:val="000000"/>
                <w:sz w:val="20"/>
              </w:rPr>
            </w:pPr>
            <w:r w:rsidRPr="00F93681">
              <w:rPr>
                <w:rFonts w:ascii="Arial Narrow" w:hAnsi="Arial Narrow"/>
                <w:bCs/>
                <w:sz w:val="19"/>
                <w:szCs w:val="19"/>
              </w:rPr>
              <w:t>$0</w:t>
            </w:r>
          </w:p>
        </w:tc>
        <w:tc>
          <w:tcPr>
            <w:tcW w:w="755" w:type="pct"/>
            <w:shd w:val="clear" w:color="auto" w:fill="auto"/>
            <w:vAlign w:val="center"/>
          </w:tcPr>
          <w:p w:rsidR="00350235" w:rsidRPr="00F93681" w:rsidRDefault="00350235" w:rsidP="005E2998">
            <w:pPr>
              <w:jc w:val="right"/>
              <w:rPr>
                <w:rFonts w:ascii="Arial Narrow" w:hAnsi="Arial Narrow"/>
                <w:bCs/>
                <w:color w:val="000000"/>
                <w:sz w:val="20"/>
              </w:rPr>
            </w:pPr>
            <w:r w:rsidRPr="00F93681">
              <w:rPr>
                <w:rFonts w:ascii="Arial Narrow" w:hAnsi="Arial Narrow"/>
                <w:bCs/>
                <w:sz w:val="19"/>
                <w:szCs w:val="19"/>
              </w:rPr>
              <w:t>$0</w:t>
            </w:r>
          </w:p>
        </w:tc>
      </w:tr>
      <w:tr w:rsidR="004064B4" w:rsidRPr="00F93681" w:rsidTr="0071685F">
        <w:tc>
          <w:tcPr>
            <w:tcW w:w="5000" w:type="pct"/>
            <w:gridSpan w:val="6"/>
            <w:shd w:val="clear" w:color="auto" w:fill="auto"/>
            <w:vAlign w:val="center"/>
          </w:tcPr>
          <w:p w:rsidR="004064B4" w:rsidRPr="00F93681" w:rsidRDefault="004064B4" w:rsidP="0071685F">
            <w:pPr>
              <w:jc w:val="left"/>
              <w:rPr>
                <w:rFonts w:ascii="Arial Narrow" w:hAnsi="Arial Narrow"/>
                <w:b/>
                <w:color w:val="000000"/>
                <w:sz w:val="20"/>
              </w:rPr>
            </w:pPr>
            <w:r w:rsidRPr="00F93681">
              <w:rPr>
                <w:rFonts w:ascii="Arial Narrow" w:hAnsi="Arial Narrow"/>
                <w:b/>
                <w:color w:val="000000"/>
                <w:sz w:val="20"/>
              </w:rPr>
              <w:t>Estimated total net cost</w:t>
            </w:r>
          </w:p>
        </w:tc>
      </w:tr>
      <w:tr w:rsidR="00D23AB5" w:rsidRPr="00F93681" w:rsidTr="005E2998">
        <w:tc>
          <w:tcPr>
            <w:tcW w:w="1359" w:type="pct"/>
            <w:shd w:val="clear" w:color="auto" w:fill="auto"/>
            <w:vAlign w:val="center"/>
          </w:tcPr>
          <w:p w:rsidR="00D23AB5" w:rsidRPr="00F93681" w:rsidRDefault="00D23AB5" w:rsidP="00BD4CBC">
            <w:pPr>
              <w:tabs>
                <w:tab w:val="left" w:pos="142"/>
              </w:tabs>
              <w:jc w:val="left"/>
              <w:rPr>
                <w:rFonts w:ascii="Arial Narrow" w:hAnsi="Arial Narrow"/>
                <w:b/>
                <w:sz w:val="20"/>
              </w:rPr>
            </w:pPr>
            <w:r w:rsidRPr="00F93681">
              <w:rPr>
                <w:rFonts w:ascii="Arial Narrow" w:hAnsi="Arial Narrow"/>
                <w:b/>
                <w:bCs/>
                <w:color w:val="000000"/>
                <w:sz w:val="20"/>
              </w:rPr>
              <w:t xml:space="preserve">Net cost to </w:t>
            </w:r>
            <w:r w:rsidR="002D40CB" w:rsidRPr="00F93681">
              <w:rPr>
                <w:rFonts w:ascii="Arial Narrow" w:hAnsi="Arial Narrow"/>
                <w:b/>
                <w:bCs/>
                <w:color w:val="000000"/>
                <w:sz w:val="20"/>
              </w:rPr>
              <w:t>g</w:t>
            </w:r>
            <w:r w:rsidR="00BD4CBC" w:rsidRPr="00F93681">
              <w:rPr>
                <w:rFonts w:ascii="Arial Narrow" w:hAnsi="Arial Narrow"/>
                <w:b/>
                <w:bCs/>
                <w:color w:val="000000"/>
                <w:sz w:val="20"/>
              </w:rPr>
              <w:t>overnment</w:t>
            </w:r>
          </w:p>
        </w:tc>
        <w:tc>
          <w:tcPr>
            <w:tcW w:w="679" w:type="pct"/>
            <w:shd w:val="clear" w:color="auto" w:fill="auto"/>
          </w:tcPr>
          <w:p w:rsidR="00D23AB5" w:rsidRPr="00F93681" w:rsidRDefault="00D23AB5" w:rsidP="00D23AB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c>
          <w:tcPr>
            <w:tcW w:w="679" w:type="pct"/>
            <w:shd w:val="clear" w:color="auto" w:fill="auto"/>
          </w:tcPr>
          <w:p w:rsidR="00D23AB5" w:rsidRPr="00F93681" w:rsidRDefault="00D23AB5" w:rsidP="00D23AB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c>
          <w:tcPr>
            <w:tcW w:w="764" w:type="pct"/>
            <w:shd w:val="clear" w:color="auto" w:fill="auto"/>
          </w:tcPr>
          <w:p w:rsidR="00D23AB5" w:rsidRPr="00F93681" w:rsidRDefault="00D23AB5" w:rsidP="00D23AB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c>
          <w:tcPr>
            <w:tcW w:w="764" w:type="pct"/>
            <w:shd w:val="clear" w:color="auto" w:fill="auto"/>
          </w:tcPr>
          <w:p w:rsidR="00D23AB5" w:rsidRPr="00F93681" w:rsidRDefault="00D23AB5" w:rsidP="00D23AB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c>
          <w:tcPr>
            <w:tcW w:w="755" w:type="pct"/>
            <w:shd w:val="clear" w:color="auto" w:fill="auto"/>
          </w:tcPr>
          <w:p w:rsidR="00D23AB5" w:rsidRPr="00F93681" w:rsidRDefault="00D23AB5" w:rsidP="00D23AB5">
            <w:pPr>
              <w:jc w:val="right"/>
              <w:rPr>
                <w:rFonts w:ascii="Arial Narrow" w:hAnsi="Arial Narrow"/>
                <w:bCs/>
                <w:i/>
                <w:sz w:val="19"/>
                <w:szCs w:val="19"/>
              </w:rPr>
            </w:pPr>
            <w:r w:rsidRPr="00F93681">
              <w:rPr>
                <w:rFonts w:ascii="Arial Narrow" w:hAnsi="Arial Narrow"/>
                <w:bCs/>
                <w:i/>
                <w:sz w:val="19"/>
                <w:szCs w:val="19"/>
              </w:rPr>
              <w:t>-$</w:t>
            </w:r>
            <w:r w:rsidR="007E060C">
              <w:rPr>
                <w:rFonts w:ascii="Arial Narrow" w:hAnsi="Arial Narrow"/>
                <w:bCs/>
                <w:i/>
                <w:noProof/>
                <w:color w:val="000000"/>
                <w:sz w:val="19"/>
                <w:szCs w:val="19"/>
                <w:highlight w:val="black"/>
              </w:rPr>
              <w:t>'''''''</w:t>
            </w:r>
          </w:p>
        </w:tc>
      </w:tr>
    </w:tbl>
    <w:p w:rsidR="006A673B" w:rsidRPr="00F93681" w:rsidRDefault="006A673B" w:rsidP="004064B4">
      <w:pPr>
        <w:pStyle w:val="TableFooter"/>
        <w:ind w:firstLine="720"/>
      </w:pPr>
      <w:r w:rsidRPr="00F93681">
        <w:t>Source: Section E Excel spreadsheet attachment to the submission</w:t>
      </w:r>
    </w:p>
    <w:p w:rsidR="0071012A" w:rsidRPr="00F93681" w:rsidRDefault="0071012A" w:rsidP="005D0353">
      <w:pPr>
        <w:pStyle w:val="TableFooter"/>
        <w:ind w:left="709" w:firstLine="11"/>
      </w:pPr>
      <w:r w:rsidRPr="00F93681">
        <w:t xml:space="preserve">PBS = </w:t>
      </w:r>
      <w:r w:rsidR="005D0353" w:rsidRPr="00F93681">
        <w:t>Pharmaceutical Benefits Scheme</w:t>
      </w:r>
      <w:r w:rsidRPr="00F93681">
        <w:t>; RPBS =</w:t>
      </w:r>
      <w:r w:rsidR="005D0353" w:rsidRPr="00F93681">
        <w:t xml:space="preserve"> Repatriation Pharmaceutical Benefits Scheme</w:t>
      </w:r>
      <w:r w:rsidRPr="00F93681">
        <w:t xml:space="preserve">; MBS = </w:t>
      </w:r>
      <w:r w:rsidR="005D0353" w:rsidRPr="00F93681">
        <w:t>Medicare Benefits Schedule</w:t>
      </w:r>
    </w:p>
    <w:p w:rsidR="004064B4" w:rsidRPr="00F93681" w:rsidRDefault="004064B4" w:rsidP="004064B4">
      <w:pPr>
        <w:pStyle w:val="TableFooter"/>
        <w:ind w:firstLine="720"/>
        <w:rPr>
          <w:sz w:val="16"/>
          <w:szCs w:val="18"/>
        </w:rPr>
      </w:pPr>
      <w:proofErr w:type="spellStart"/>
      <w:proofErr w:type="gramStart"/>
      <w:r w:rsidRPr="00F93681">
        <w:rPr>
          <w:vertAlign w:val="superscript"/>
        </w:rPr>
        <w:t>a</w:t>
      </w:r>
      <w:proofErr w:type="spellEnd"/>
      <w:proofErr w:type="gramEnd"/>
      <w:r w:rsidRPr="00F93681">
        <w:t xml:space="preserve"> Assuming </w:t>
      </w:r>
      <w:r w:rsidR="00FC4DFB" w:rsidRPr="00F93681">
        <w:t>9.9</w:t>
      </w:r>
      <w:r w:rsidRPr="00F93681">
        <w:t xml:space="preserve"> per year</w:t>
      </w:r>
      <w:r w:rsidR="00FC4DFB" w:rsidRPr="00F93681">
        <w:t xml:space="preserve"> as estimated by the submission</w:t>
      </w:r>
    </w:p>
    <w:p w:rsidR="006A673B" w:rsidRPr="00F93681" w:rsidRDefault="006A673B" w:rsidP="004064B4">
      <w:pPr>
        <w:widowControl/>
        <w:rPr>
          <w:szCs w:val="22"/>
        </w:rPr>
      </w:pPr>
    </w:p>
    <w:p w:rsidR="00E31AB6" w:rsidRPr="00F93681" w:rsidRDefault="00DD3339" w:rsidP="00E31AB6">
      <w:pPr>
        <w:pStyle w:val="ListParagraph"/>
        <w:widowControl/>
        <w:numPr>
          <w:ilvl w:val="1"/>
          <w:numId w:val="5"/>
        </w:numPr>
        <w:rPr>
          <w:szCs w:val="22"/>
        </w:rPr>
      </w:pPr>
      <w:r w:rsidRPr="00F93681">
        <w:rPr>
          <w:szCs w:val="22"/>
        </w:rPr>
        <w:t xml:space="preserve">At year 5, the estimated number of patients was </w:t>
      </w:r>
      <w:r w:rsidR="007E060C">
        <w:rPr>
          <w:noProof/>
          <w:color w:val="000000"/>
          <w:szCs w:val="22"/>
          <w:highlight w:val="black"/>
        </w:rPr>
        <w:t>'''''''''''''</w:t>
      </w:r>
      <w:r w:rsidRPr="00F93681">
        <w:rPr>
          <w:szCs w:val="22"/>
        </w:rPr>
        <w:t xml:space="preserve"> </w:t>
      </w:r>
      <w:r w:rsidR="00873192">
        <w:rPr>
          <w:i/>
          <w:szCs w:val="22"/>
        </w:rPr>
        <w:t xml:space="preserve">less than 10,000 </w:t>
      </w:r>
      <w:r w:rsidRPr="00F93681">
        <w:rPr>
          <w:szCs w:val="22"/>
        </w:rPr>
        <w:t>and the net save to the PBS would be $</w:t>
      </w:r>
      <w:r w:rsidR="007E060C">
        <w:rPr>
          <w:noProof/>
          <w:color w:val="000000"/>
          <w:szCs w:val="22"/>
          <w:highlight w:val="black"/>
        </w:rPr>
        <w:t>''''''</w:t>
      </w:r>
      <w:r w:rsidRPr="00F93681">
        <w:rPr>
          <w:szCs w:val="22"/>
        </w:rPr>
        <w:t xml:space="preserve">.  </w:t>
      </w:r>
      <w:r w:rsidR="00E31AB6" w:rsidRPr="00F93681">
        <w:rPr>
          <w:szCs w:val="22"/>
        </w:rPr>
        <w:t xml:space="preserve">At year 1, the estimated number of patients was </w:t>
      </w:r>
      <w:r w:rsidR="007E060C">
        <w:rPr>
          <w:noProof/>
          <w:color w:val="000000"/>
          <w:szCs w:val="22"/>
          <w:highlight w:val="black"/>
        </w:rPr>
        <w:t xml:space="preserve">'''''''''''''' </w:t>
      </w:r>
      <w:r w:rsidR="00873192">
        <w:rPr>
          <w:i/>
          <w:szCs w:val="22"/>
        </w:rPr>
        <w:t xml:space="preserve">less than 10,000 </w:t>
      </w:r>
      <w:r w:rsidR="00E31AB6" w:rsidRPr="00F93681">
        <w:rPr>
          <w:szCs w:val="22"/>
        </w:rPr>
        <w:t>and the next save to the PBS would be $</w:t>
      </w:r>
      <w:r w:rsidR="007E060C">
        <w:rPr>
          <w:noProof/>
          <w:color w:val="000000"/>
          <w:szCs w:val="22"/>
          <w:highlight w:val="black"/>
        </w:rPr>
        <w:t>''''''</w:t>
      </w:r>
      <w:r w:rsidR="00E31AB6" w:rsidRPr="00F93681">
        <w:rPr>
          <w:szCs w:val="22"/>
        </w:rPr>
        <w:t>.</w:t>
      </w:r>
    </w:p>
    <w:p w:rsidR="00E31AB6" w:rsidRPr="00F93681" w:rsidRDefault="00E31AB6" w:rsidP="00E31AB6">
      <w:pPr>
        <w:pStyle w:val="ListParagraph"/>
        <w:widowControl/>
        <w:rPr>
          <w:szCs w:val="22"/>
        </w:rPr>
      </w:pPr>
    </w:p>
    <w:p w:rsidR="004064B4" w:rsidRPr="00F93681" w:rsidRDefault="009D0B29" w:rsidP="009F088A">
      <w:pPr>
        <w:pStyle w:val="ListParagraph"/>
        <w:widowControl/>
        <w:numPr>
          <w:ilvl w:val="1"/>
          <w:numId w:val="5"/>
        </w:numPr>
        <w:rPr>
          <w:szCs w:val="22"/>
        </w:rPr>
      </w:pPr>
      <w:r w:rsidRPr="00F93681">
        <w:lastRenderedPageBreak/>
        <w:t xml:space="preserve">The market size estimates presented in the submission </w:t>
      </w:r>
      <w:r w:rsidR="005B0072" w:rsidRPr="00F93681">
        <w:t xml:space="preserve">might </w:t>
      </w:r>
      <w:r w:rsidRPr="00F93681">
        <w:t>not have been reasonable because:</w:t>
      </w:r>
    </w:p>
    <w:p w:rsidR="009D0B29" w:rsidRPr="00F93681" w:rsidRDefault="0048683A" w:rsidP="009F088A">
      <w:pPr>
        <w:pStyle w:val="ListParagraph"/>
        <w:widowControl/>
        <w:numPr>
          <w:ilvl w:val="0"/>
          <w:numId w:val="12"/>
        </w:numPr>
        <w:ind w:hanging="229"/>
        <w:rPr>
          <w:szCs w:val="22"/>
        </w:rPr>
      </w:pPr>
      <w:r w:rsidRPr="00F93681">
        <w:rPr>
          <w:szCs w:val="22"/>
        </w:rPr>
        <w:t>T</w:t>
      </w:r>
      <w:r w:rsidR="009D0B29" w:rsidRPr="00F93681">
        <w:rPr>
          <w:szCs w:val="22"/>
        </w:rPr>
        <w:t xml:space="preserve">he market for atazanavir/cobicistat FDC was projected based on two data points representing atazanavir use and an assumption regarding </w:t>
      </w:r>
      <w:r w:rsidR="00EA43B4" w:rsidRPr="00F93681">
        <w:rPr>
          <w:szCs w:val="22"/>
        </w:rPr>
        <w:t xml:space="preserve">the change in </w:t>
      </w:r>
      <w:r w:rsidR="009D0B29" w:rsidRPr="00F93681">
        <w:rPr>
          <w:szCs w:val="22"/>
        </w:rPr>
        <w:t xml:space="preserve">market </w:t>
      </w:r>
      <w:r w:rsidR="00EA43B4" w:rsidRPr="00F93681">
        <w:rPr>
          <w:szCs w:val="22"/>
        </w:rPr>
        <w:t xml:space="preserve">size </w:t>
      </w:r>
      <w:r w:rsidR="009D0B29" w:rsidRPr="00F93681">
        <w:rPr>
          <w:szCs w:val="22"/>
        </w:rPr>
        <w:t>that was not well justified.</w:t>
      </w:r>
    </w:p>
    <w:p w:rsidR="004064B4" w:rsidRPr="00F93681" w:rsidRDefault="0048683A" w:rsidP="009F088A">
      <w:pPr>
        <w:pStyle w:val="ListParagraph"/>
        <w:numPr>
          <w:ilvl w:val="0"/>
          <w:numId w:val="12"/>
        </w:numPr>
        <w:ind w:hanging="229"/>
        <w:rPr>
          <w:szCs w:val="22"/>
        </w:rPr>
      </w:pPr>
      <w:r w:rsidRPr="00F93681">
        <w:rPr>
          <w:szCs w:val="22"/>
        </w:rPr>
        <w:t>T</w:t>
      </w:r>
      <w:r w:rsidR="009D0B29" w:rsidRPr="00F93681">
        <w:rPr>
          <w:szCs w:val="22"/>
        </w:rPr>
        <w:t xml:space="preserve">he assumed rates of market uptake for the proposed therapy were not </w:t>
      </w:r>
      <w:r w:rsidR="00D67A3B" w:rsidRPr="00F93681">
        <w:rPr>
          <w:szCs w:val="22"/>
        </w:rPr>
        <w:t>justified</w:t>
      </w:r>
      <w:r w:rsidR="00C36DC4" w:rsidRPr="00F93681">
        <w:rPr>
          <w:szCs w:val="22"/>
        </w:rPr>
        <w:t>.</w:t>
      </w:r>
    </w:p>
    <w:p w:rsidR="00D67A3B" w:rsidRPr="00F93681" w:rsidRDefault="0048683A" w:rsidP="009F088A">
      <w:pPr>
        <w:pStyle w:val="ListParagraph"/>
        <w:numPr>
          <w:ilvl w:val="0"/>
          <w:numId w:val="12"/>
        </w:numPr>
        <w:ind w:hanging="229"/>
        <w:rPr>
          <w:szCs w:val="22"/>
        </w:rPr>
      </w:pPr>
      <w:r w:rsidRPr="00F93681">
        <w:rPr>
          <w:szCs w:val="22"/>
        </w:rPr>
        <w:t>A</w:t>
      </w:r>
      <w:r w:rsidR="00D67A3B" w:rsidRPr="00F93681">
        <w:rPr>
          <w:szCs w:val="22"/>
        </w:rPr>
        <w:t xml:space="preserve">tazanavir/cobicistat FDC could substitute in clinical practice therapies other than atazanavir plus ritonavir. The submission explored the substitution of darunavir plus ritonavir, </w:t>
      </w:r>
      <w:proofErr w:type="spellStart"/>
      <w:r w:rsidR="00D67A3B" w:rsidRPr="00F93681">
        <w:rPr>
          <w:szCs w:val="22"/>
        </w:rPr>
        <w:t>lopinavir</w:t>
      </w:r>
      <w:proofErr w:type="spellEnd"/>
      <w:r w:rsidR="00D67A3B" w:rsidRPr="00F93681">
        <w:rPr>
          <w:szCs w:val="22"/>
        </w:rPr>
        <w:t xml:space="preserve">/ritonavir FDC, and atazanavir </w:t>
      </w:r>
      <w:r w:rsidR="00F8327E" w:rsidRPr="00F93681">
        <w:rPr>
          <w:szCs w:val="22"/>
        </w:rPr>
        <w:t xml:space="preserve">monotherapy </w:t>
      </w:r>
      <w:r w:rsidR="00D67A3B" w:rsidRPr="00F93681">
        <w:rPr>
          <w:szCs w:val="22"/>
        </w:rPr>
        <w:t>in sensitivity analyses.</w:t>
      </w:r>
      <w:r w:rsidR="008629A4" w:rsidRPr="00F93681">
        <w:rPr>
          <w:szCs w:val="22"/>
        </w:rPr>
        <w:t xml:space="preserve"> Substitution of these therapies by atazanavir/cobicistat FDC </w:t>
      </w:r>
      <w:r w:rsidR="005B78CD" w:rsidRPr="00F93681">
        <w:rPr>
          <w:szCs w:val="22"/>
        </w:rPr>
        <w:t>would likely</w:t>
      </w:r>
      <w:r w:rsidR="008629A4" w:rsidRPr="00F93681">
        <w:rPr>
          <w:szCs w:val="22"/>
        </w:rPr>
        <w:t xml:space="preserve"> generate cost-savings to the </w:t>
      </w:r>
      <w:r w:rsidR="002D40CB" w:rsidRPr="00F93681">
        <w:rPr>
          <w:szCs w:val="22"/>
        </w:rPr>
        <w:t>g</w:t>
      </w:r>
      <w:r w:rsidR="008629A4" w:rsidRPr="00F93681">
        <w:rPr>
          <w:szCs w:val="22"/>
        </w:rPr>
        <w:t>overnment.</w:t>
      </w:r>
      <w:r w:rsidR="008629A4" w:rsidRPr="00F93681">
        <w:rPr>
          <w:i/>
          <w:szCs w:val="22"/>
        </w:rPr>
        <w:t xml:space="preserve"> </w:t>
      </w:r>
      <w:r w:rsidR="00FF1714" w:rsidRPr="00F93681">
        <w:rPr>
          <w:szCs w:val="22"/>
        </w:rPr>
        <w:t>This was reasonable.</w:t>
      </w:r>
    </w:p>
    <w:p w:rsidR="00D67A3B" w:rsidRPr="00F93681" w:rsidRDefault="0048683A" w:rsidP="00D67A3B">
      <w:pPr>
        <w:pStyle w:val="ListParagraph"/>
        <w:numPr>
          <w:ilvl w:val="0"/>
          <w:numId w:val="12"/>
        </w:numPr>
        <w:ind w:hanging="229"/>
        <w:rPr>
          <w:szCs w:val="22"/>
        </w:rPr>
      </w:pPr>
      <w:r w:rsidRPr="00F93681">
        <w:rPr>
          <w:szCs w:val="22"/>
        </w:rPr>
        <w:t>R</w:t>
      </w:r>
      <w:r w:rsidR="00FF1714" w:rsidRPr="00F93681">
        <w:rPr>
          <w:szCs w:val="22"/>
        </w:rPr>
        <w:t xml:space="preserve">eplacing </w:t>
      </w:r>
      <w:r w:rsidR="005E6951" w:rsidRPr="00F93681">
        <w:rPr>
          <w:szCs w:val="22"/>
        </w:rPr>
        <w:t xml:space="preserve">public hospital access </w:t>
      </w:r>
      <w:r w:rsidR="00F93681">
        <w:rPr>
          <w:szCs w:val="22"/>
        </w:rPr>
        <w:t xml:space="preserve">with </w:t>
      </w:r>
      <w:r w:rsidR="001F077F" w:rsidRPr="00F93681">
        <w:rPr>
          <w:szCs w:val="22"/>
        </w:rPr>
        <w:t>C</w:t>
      </w:r>
      <w:r w:rsidR="005E6951" w:rsidRPr="00F93681">
        <w:rPr>
          <w:szCs w:val="22"/>
        </w:rPr>
        <w:t xml:space="preserve">ommunity </w:t>
      </w:r>
      <w:r w:rsidR="001F077F" w:rsidRPr="00F93681">
        <w:rPr>
          <w:szCs w:val="22"/>
        </w:rPr>
        <w:t>A</w:t>
      </w:r>
      <w:r w:rsidR="005E6951" w:rsidRPr="00F93681">
        <w:rPr>
          <w:szCs w:val="22"/>
        </w:rPr>
        <w:t>ccess would result in a loss of patient co</w:t>
      </w:r>
      <w:r w:rsidR="002172E0" w:rsidRPr="0067024F">
        <w:rPr>
          <w:szCs w:val="22"/>
        </w:rPr>
        <w:t>-</w:t>
      </w:r>
      <w:r w:rsidR="005E6951" w:rsidRPr="0067024F">
        <w:rPr>
          <w:szCs w:val="22"/>
        </w:rPr>
        <w:t xml:space="preserve">payment revenue by the PBS because </w:t>
      </w:r>
      <w:r w:rsidR="00A2477D" w:rsidRPr="00F93681">
        <w:rPr>
          <w:szCs w:val="22"/>
        </w:rPr>
        <w:t xml:space="preserve">for every </w:t>
      </w:r>
      <w:r w:rsidR="005E6951" w:rsidRPr="00F93681">
        <w:rPr>
          <w:szCs w:val="22"/>
        </w:rPr>
        <w:t>two scripts (for atazanavir and ritonavir) atazanavir/cobicistat FDC</w:t>
      </w:r>
      <w:r w:rsidR="00A2477D" w:rsidRPr="00F93681">
        <w:rPr>
          <w:szCs w:val="22"/>
        </w:rPr>
        <w:t xml:space="preserve"> would only require one script</w:t>
      </w:r>
      <w:r w:rsidR="005E6951" w:rsidRPr="00F93681">
        <w:rPr>
          <w:szCs w:val="22"/>
        </w:rPr>
        <w:t>.</w:t>
      </w:r>
      <w:r w:rsidR="00027B86" w:rsidRPr="00F93681">
        <w:rPr>
          <w:szCs w:val="22"/>
        </w:rPr>
        <w:t xml:space="preserve"> This was reasonable.</w:t>
      </w:r>
      <w:r w:rsidR="00036AE9" w:rsidRPr="00F93681">
        <w:rPr>
          <w:szCs w:val="22"/>
        </w:rPr>
        <w:t xml:space="preserve"> The effects of </w:t>
      </w:r>
      <w:r w:rsidR="001F077F" w:rsidRPr="00F93681">
        <w:rPr>
          <w:szCs w:val="22"/>
        </w:rPr>
        <w:t>the C</w:t>
      </w:r>
      <w:r w:rsidR="00036AE9" w:rsidRPr="00F93681">
        <w:rPr>
          <w:szCs w:val="22"/>
        </w:rPr>
        <w:t xml:space="preserve">ommunity </w:t>
      </w:r>
      <w:r w:rsidR="001F077F" w:rsidRPr="00F93681">
        <w:rPr>
          <w:szCs w:val="22"/>
        </w:rPr>
        <w:t>A</w:t>
      </w:r>
      <w:r w:rsidR="00036AE9" w:rsidRPr="00F93681">
        <w:rPr>
          <w:szCs w:val="22"/>
        </w:rPr>
        <w:t xml:space="preserve">ccess </w:t>
      </w:r>
      <w:r w:rsidR="001F077F" w:rsidRPr="00F93681">
        <w:rPr>
          <w:szCs w:val="22"/>
        </w:rPr>
        <w:t xml:space="preserve">Program </w:t>
      </w:r>
      <w:r w:rsidR="00F93681">
        <w:rPr>
          <w:szCs w:val="22"/>
        </w:rPr>
        <w:t>on</w:t>
      </w:r>
      <w:r w:rsidR="00F93681" w:rsidRPr="00F93681">
        <w:rPr>
          <w:szCs w:val="22"/>
        </w:rPr>
        <w:t xml:space="preserve"> </w:t>
      </w:r>
      <w:r w:rsidR="00036AE9" w:rsidRPr="0067024F">
        <w:rPr>
          <w:szCs w:val="22"/>
        </w:rPr>
        <w:t xml:space="preserve">treatment were shown as a sensitivity analysis and </w:t>
      </w:r>
      <w:r w:rsidR="0071012A" w:rsidRPr="0067024F">
        <w:rPr>
          <w:szCs w:val="22"/>
        </w:rPr>
        <w:t xml:space="preserve">were </w:t>
      </w:r>
      <w:r w:rsidR="00036AE9" w:rsidRPr="00F93681">
        <w:rPr>
          <w:szCs w:val="22"/>
        </w:rPr>
        <w:t>not included in the base case.</w:t>
      </w:r>
    </w:p>
    <w:p w:rsidR="00EA47BB" w:rsidRPr="00F93681" w:rsidRDefault="00EA47BB" w:rsidP="00D67A3B">
      <w:pPr>
        <w:rPr>
          <w:szCs w:val="22"/>
        </w:rPr>
      </w:pPr>
    </w:p>
    <w:p w:rsidR="00DE4C23" w:rsidRPr="00F93681" w:rsidRDefault="00DE4C23" w:rsidP="00DE4C23">
      <w:pPr>
        <w:ind w:left="709"/>
        <w:rPr>
          <w:i/>
        </w:rPr>
      </w:pPr>
      <w:r w:rsidRPr="00F93681">
        <w:rPr>
          <w:i/>
        </w:rPr>
        <w:t>For more detail on PBAC’s view, see section 7 “PBAC outcome”.</w:t>
      </w:r>
    </w:p>
    <w:p w:rsidR="00D93FBD" w:rsidRPr="00F93681" w:rsidRDefault="00D93FBD" w:rsidP="00D67A3B">
      <w:pPr>
        <w:rPr>
          <w:szCs w:val="22"/>
        </w:rPr>
      </w:pPr>
    </w:p>
    <w:p w:rsidR="00927005" w:rsidRPr="00F93681" w:rsidRDefault="00927005" w:rsidP="004064B4">
      <w:pPr>
        <w:widowControl/>
        <w:rPr>
          <w:szCs w:val="22"/>
        </w:rPr>
      </w:pPr>
    </w:p>
    <w:p w:rsidR="006A03C0" w:rsidRPr="00F93681" w:rsidRDefault="006A03C0" w:rsidP="006A03C0">
      <w:pPr>
        <w:pStyle w:val="PBACHeading1"/>
      </w:pPr>
      <w:r w:rsidRPr="00F93681">
        <w:t>PBAC Outcome</w:t>
      </w:r>
    </w:p>
    <w:p w:rsidR="006A03C0" w:rsidRPr="00E648F9" w:rsidRDefault="006A03C0" w:rsidP="00E648F9"/>
    <w:p w:rsidR="00483715" w:rsidRPr="00F93681" w:rsidRDefault="006A03C0" w:rsidP="008D6D77">
      <w:pPr>
        <w:pStyle w:val="ListParagraph"/>
        <w:widowControl/>
        <w:numPr>
          <w:ilvl w:val="1"/>
          <w:numId w:val="5"/>
        </w:numPr>
        <w:rPr>
          <w:szCs w:val="22"/>
        </w:rPr>
      </w:pPr>
      <w:r w:rsidRPr="00F93681">
        <w:rPr>
          <w:szCs w:val="22"/>
        </w:rPr>
        <w:t>The PBAC recommended Section 100</w:t>
      </w:r>
      <w:r w:rsidR="008D6D77" w:rsidRPr="00F93681">
        <w:rPr>
          <w:szCs w:val="22"/>
        </w:rPr>
        <w:t xml:space="preserve"> Highly Specialised Drugs Program</w:t>
      </w:r>
      <w:r w:rsidR="00483715" w:rsidRPr="00F93681">
        <w:rPr>
          <w:szCs w:val="22"/>
        </w:rPr>
        <w:t xml:space="preserve"> (HSD)</w:t>
      </w:r>
      <w:r w:rsidR="008D6D77" w:rsidRPr="00F93681">
        <w:rPr>
          <w:szCs w:val="22"/>
        </w:rPr>
        <w:t xml:space="preserve"> </w:t>
      </w:r>
      <w:r w:rsidRPr="00F93681">
        <w:rPr>
          <w:szCs w:val="22"/>
        </w:rPr>
        <w:t>listing of atazanavir</w:t>
      </w:r>
      <w:r w:rsidR="00356348" w:rsidRPr="00F93681">
        <w:rPr>
          <w:szCs w:val="22"/>
        </w:rPr>
        <w:t>/</w:t>
      </w:r>
      <w:r w:rsidRPr="00F93681">
        <w:rPr>
          <w:szCs w:val="22"/>
        </w:rPr>
        <w:t>cobicistat fixed dose combination</w:t>
      </w:r>
      <w:r w:rsidR="00483715" w:rsidRPr="00F93681">
        <w:rPr>
          <w:szCs w:val="22"/>
        </w:rPr>
        <w:t xml:space="preserve"> for the treatment of HIV</w:t>
      </w:r>
      <w:r w:rsidRPr="00F93681">
        <w:rPr>
          <w:szCs w:val="22"/>
        </w:rPr>
        <w:t>.  The PBAC recommended the</w:t>
      </w:r>
      <w:r w:rsidR="008D6D77" w:rsidRPr="00F93681">
        <w:rPr>
          <w:szCs w:val="22"/>
        </w:rPr>
        <w:t xml:space="preserve"> special arrangements under the</w:t>
      </w:r>
      <w:r w:rsidR="00483715" w:rsidRPr="00F93681">
        <w:rPr>
          <w:szCs w:val="22"/>
        </w:rPr>
        <w:t xml:space="preserve"> HSD</w:t>
      </w:r>
      <w:r w:rsidR="008D6D77" w:rsidRPr="00F93681">
        <w:rPr>
          <w:szCs w:val="22"/>
        </w:rPr>
        <w:t xml:space="preserve"> </w:t>
      </w:r>
      <w:r w:rsidR="00483715" w:rsidRPr="00F93681">
        <w:t>Community Access Program, Authority Required (STREAMLINED).</w:t>
      </w:r>
    </w:p>
    <w:p w:rsidR="00483715" w:rsidRPr="00F93681" w:rsidRDefault="00483715" w:rsidP="00483715">
      <w:pPr>
        <w:pStyle w:val="ListParagraph"/>
        <w:widowControl/>
        <w:rPr>
          <w:szCs w:val="22"/>
        </w:rPr>
      </w:pPr>
    </w:p>
    <w:p w:rsidR="00483715" w:rsidRDefault="00483715" w:rsidP="00483715">
      <w:pPr>
        <w:pStyle w:val="ListParagraph"/>
        <w:widowControl/>
        <w:numPr>
          <w:ilvl w:val="1"/>
          <w:numId w:val="5"/>
        </w:numPr>
        <w:rPr>
          <w:szCs w:val="22"/>
        </w:rPr>
      </w:pPr>
      <w:r w:rsidRPr="00F93681">
        <w:rPr>
          <w:szCs w:val="22"/>
        </w:rPr>
        <w:t>The PBAC recommended the listing of atazanavir</w:t>
      </w:r>
      <w:r w:rsidR="00356348" w:rsidRPr="00F93681">
        <w:rPr>
          <w:szCs w:val="22"/>
        </w:rPr>
        <w:t>/</w:t>
      </w:r>
      <w:r w:rsidRPr="00F93681">
        <w:rPr>
          <w:szCs w:val="22"/>
        </w:rPr>
        <w:t xml:space="preserve">cobicistat on a cost-minimisation basis with atazanavir plus ritonavir provided concomitantly.  The </w:t>
      </w:r>
      <w:proofErr w:type="spellStart"/>
      <w:r w:rsidRPr="00F93681">
        <w:rPr>
          <w:szCs w:val="22"/>
        </w:rPr>
        <w:t>equi</w:t>
      </w:r>
      <w:proofErr w:type="spellEnd"/>
      <w:r w:rsidRPr="00F93681">
        <w:rPr>
          <w:szCs w:val="22"/>
        </w:rPr>
        <w:t>-effective doses are atazanavir 300 mg (one capsule) plus cobicistat 150 mg (one tablet) once daily over 48 weeks is equal to atazanavir 300 mg (one capsule) plus ritonavir 100 mg (one tablet) once daily over 48 weeks.</w:t>
      </w:r>
    </w:p>
    <w:p w:rsidR="00D476FF" w:rsidRPr="00E648F9" w:rsidRDefault="00D476FF" w:rsidP="00E648F9"/>
    <w:p w:rsidR="00DE39BD" w:rsidRPr="00F93681" w:rsidRDefault="00DE39BD" w:rsidP="00483715">
      <w:pPr>
        <w:pStyle w:val="ListParagraph"/>
        <w:widowControl/>
        <w:numPr>
          <w:ilvl w:val="1"/>
          <w:numId w:val="5"/>
        </w:numPr>
        <w:rPr>
          <w:szCs w:val="22"/>
        </w:rPr>
      </w:pPr>
      <w:r>
        <w:rPr>
          <w:szCs w:val="22"/>
        </w:rPr>
        <w:t xml:space="preserve">The PBAC considered that the price of atazanavir/cobicistat should be no higher than the sum of atazanavir and ritonavir, as established by the </w:t>
      </w:r>
      <w:proofErr w:type="spellStart"/>
      <w:r>
        <w:rPr>
          <w:szCs w:val="22"/>
        </w:rPr>
        <w:t>equi</w:t>
      </w:r>
      <w:proofErr w:type="spellEnd"/>
      <w:r>
        <w:rPr>
          <w:szCs w:val="22"/>
        </w:rPr>
        <w:t>-effective doses above, but taking into account the pricing of other HIV combination drugs.</w:t>
      </w:r>
    </w:p>
    <w:p w:rsidR="00483715" w:rsidRPr="00F93681" w:rsidRDefault="00483715" w:rsidP="00483715">
      <w:pPr>
        <w:widowControl/>
        <w:rPr>
          <w:szCs w:val="22"/>
        </w:rPr>
      </w:pPr>
    </w:p>
    <w:p w:rsidR="00641E1B" w:rsidRPr="00F93681" w:rsidRDefault="00641E1B" w:rsidP="00641E1B">
      <w:pPr>
        <w:pStyle w:val="ListParagraph"/>
        <w:widowControl/>
        <w:numPr>
          <w:ilvl w:val="1"/>
          <w:numId w:val="5"/>
        </w:numPr>
        <w:rPr>
          <w:szCs w:val="22"/>
        </w:rPr>
      </w:pPr>
      <w:r w:rsidRPr="00F93681">
        <w:rPr>
          <w:szCs w:val="22"/>
        </w:rPr>
        <w:t xml:space="preserve">The PBAC considered that the listing of atazanavir/cobicistat particularly the restriction, maximum quantity and repeats should align with the current listing of atazanavir 300 mg. </w:t>
      </w:r>
    </w:p>
    <w:p w:rsidR="00641E1B" w:rsidRPr="00F93681" w:rsidRDefault="00641E1B" w:rsidP="00DE4C23">
      <w:pPr>
        <w:widowControl/>
        <w:rPr>
          <w:szCs w:val="22"/>
        </w:rPr>
      </w:pPr>
    </w:p>
    <w:p w:rsidR="00356348" w:rsidRPr="00F93681" w:rsidRDefault="00483715" w:rsidP="00356348">
      <w:pPr>
        <w:pStyle w:val="ListParagraph"/>
        <w:widowControl/>
        <w:numPr>
          <w:ilvl w:val="1"/>
          <w:numId w:val="5"/>
        </w:numPr>
        <w:rPr>
          <w:szCs w:val="22"/>
        </w:rPr>
      </w:pPr>
      <w:r w:rsidRPr="00F93681">
        <w:rPr>
          <w:szCs w:val="22"/>
        </w:rPr>
        <w:t>The PBAC accepted the proposed clinical place for atazanavir</w:t>
      </w:r>
      <w:r w:rsidR="00356348" w:rsidRPr="00F93681">
        <w:rPr>
          <w:szCs w:val="22"/>
        </w:rPr>
        <w:t>/</w:t>
      </w:r>
      <w:r w:rsidRPr="00F93681">
        <w:rPr>
          <w:szCs w:val="22"/>
        </w:rPr>
        <w:t xml:space="preserve">cobicistat as </w:t>
      </w:r>
      <w:r w:rsidR="00356348" w:rsidRPr="00F93681">
        <w:rPr>
          <w:szCs w:val="22"/>
        </w:rPr>
        <w:t xml:space="preserve">for the </w:t>
      </w:r>
      <w:r w:rsidR="00356348" w:rsidRPr="00F93681">
        <w:t>treatment of HIV-1 infection in treatment-naïve and treatment-experienced patients</w:t>
      </w:r>
      <w:r w:rsidR="00E22977" w:rsidRPr="00F93681">
        <w:t>.</w:t>
      </w:r>
      <w:r w:rsidR="00CE0E0F" w:rsidRPr="00F93681">
        <w:t xml:space="preserve"> </w:t>
      </w:r>
    </w:p>
    <w:p w:rsidR="00641E1B" w:rsidRPr="00F93681" w:rsidRDefault="00641E1B" w:rsidP="00DE4C23">
      <w:pPr>
        <w:rPr>
          <w:szCs w:val="22"/>
        </w:rPr>
      </w:pPr>
    </w:p>
    <w:p w:rsidR="00641E1B" w:rsidRPr="00F93681" w:rsidRDefault="00641E1B" w:rsidP="00356348">
      <w:pPr>
        <w:pStyle w:val="ListParagraph"/>
        <w:widowControl/>
        <w:numPr>
          <w:ilvl w:val="1"/>
          <w:numId w:val="5"/>
        </w:numPr>
        <w:rPr>
          <w:szCs w:val="22"/>
        </w:rPr>
      </w:pPr>
      <w:r w:rsidRPr="00F93681">
        <w:rPr>
          <w:szCs w:val="22"/>
        </w:rPr>
        <w:t xml:space="preserve">The PBAC accepted </w:t>
      </w:r>
      <w:r w:rsidRPr="00F93681">
        <w:t xml:space="preserve">atazanavir plus ritonavir taken concomitantly </w:t>
      </w:r>
      <w:r w:rsidRPr="00F93681">
        <w:rPr>
          <w:szCs w:val="22"/>
        </w:rPr>
        <w:t>as appropriate comparator.</w:t>
      </w:r>
    </w:p>
    <w:p w:rsidR="00641E1B" w:rsidRPr="00F93681" w:rsidRDefault="00641E1B" w:rsidP="00DE4C23">
      <w:pPr>
        <w:pStyle w:val="ListParagraph"/>
        <w:rPr>
          <w:szCs w:val="22"/>
        </w:rPr>
      </w:pPr>
    </w:p>
    <w:p w:rsidR="00FF3C97" w:rsidRPr="00F93681" w:rsidRDefault="007918C9" w:rsidP="00DE4C23">
      <w:pPr>
        <w:pStyle w:val="ListParagraph"/>
        <w:widowControl/>
        <w:numPr>
          <w:ilvl w:val="1"/>
          <w:numId w:val="5"/>
        </w:numPr>
        <w:rPr>
          <w:szCs w:val="22"/>
        </w:rPr>
      </w:pPr>
      <w:r w:rsidRPr="00F93681">
        <w:rPr>
          <w:szCs w:val="22"/>
        </w:rPr>
        <w:t xml:space="preserve">The PBAC acknowledged that the TGA has accepted the bioequivalence of atazanavir/cobicistat to atazanavir and cobicistat taken concomitantly (Study 511). </w:t>
      </w:r>
      <w:r w:rsidRPr="00F93681">
        <w:t>The PBAC also noted that additional t</w:t>
      </w:r>
      <w:r w:rsidR="00FF3C97" w:rsidRPr="00F93681">
        <w:t>wo efficacy and safety trials</w:t>
      </w:r>
      <w:r w:rsidRPr="00F93681">
        <w:t xml:space="preserve"> (Study 114 and </w:t>
      </w:r>
      <w:r w:rsidRPr="00F93681">
        <w:lastRenderedPageBreak/>
        <w:t>Study 105)</w:t>
      </w:r>
      <w:r w:rsidR="00FF3C97" w:rsidRPr="00F93681">
        <w:t xml:space="preserve"> comparing atazanavir plus cobicist</w:t>
      </w:r>
      <w:r w:rsidRPr="00F93681">
        <w:t>at to atazanavir plus ritonavir</w:t>
      </w:r>
      <w:r w:rsidR="00FF3C97" w:rsidRPr="00F93681">
        <w:t xml:space="preserve"> </w:t>
      </w:r>
      <w:r w:rsidRPr="00F93681">
        <w:t>also</w:t>
      </w:r>
      <w:r w:rsidR="00FF3C97" w:rsidRPr="00F93681">
        <w:t xml:space="preserve"> demonstrate</w:t>
      </w:r>
      <w:r w:rsidRPr="00F93681">
        <w:t>d</w:t>
      </w:r>
      <w:r w:rsidR="00FF3C97" w:rsidRPr="00F93681">
        <w:t xml:space="preserve"> non-inferior efficacy and safety.</w:t>
      </w:r>
      <w:r w:rsidRPr="00F93681">
        <w:t xml:space="preserve">  </w:t>
      </w:r>
      <w:r w:rsidR="00A72EBA" w:rsidRPr="00F93681">
        <w:t>Based on</w:t>
      </w:r>
      <w:r w:rsidRPr="00F93681">
        <w:t xml:space="preserve"> the evidence presented, the PBAC agreed there appears to be no difference in benefits and harms between atazanavir/cobicistat and atazanavir plus cobicistat or ritonavir.</w:t>
      </w:r>
    </w:p>
    <w:p w:rsidR="00A72EBA" w:rsidRPr="00F93681" w:rsidRDefault="00A72EBA" w:rsidP="00DE4C23">
      <w:pPr>
        <w:pStyle w:val="ListParagraph"/>
        <w:rPr>
          <w:szCs w:val="22"/>
        </w:rPr>
      </w:pPr>
    </w:p>
    <w:p w:rsidR="00A72EBA" w:rsidRPr="00F93681" w:rsidRDefault="00DD3339" w:rsidP="00DE4C23">
      <w:pPr>
        <w:pStyle w:val="ListParagraph"/>
        <w:widowControl/>
        <w:numPr>
          <w:ilvl w:val="1"/>
          <w:numId w:val="5"/>
        </w:numPr>
        <w:rPr>
          <w:szCs w:val="22"/>
        </w:rPr>
      </w:pPr>
      <w:r w:rsidRPr="00F93681">
        <w:t>The PBAC agreed that atazanavir/cobicistat was non-inferior to atazanavir plus ritonavir in treatment naïve patients.  The PBAC considered that the comparative effectiveness and safety of ataza</w:t>
      </w:r>
      <w:r w:rsidR="00F93681">
        <w:t>na</w:t>
      </w:r>
      <w:r w:rsidRPr="00F93681">
        <w:t xml:space="preserve">vir/cobicistat may be reasonably extrapolated to a </w:t>
      </w:r>
      <w:r w:rsidR="00F93681" w:rsidRPr="0067024F">
        <w:t>treatment</w:t>
      </w:r>
      <w:r w:rsidRPr="0067024F">
        <w:t>-experienced population.</w:t>
      </w:r>
      <w:r w:rsidR="00620BB1">
        <w:t xml:space="preserve"> </w:t>
      </w:r>
    </w:p>
    <w:p w:rsidR="00B1031C" w:rsidRPr="00F93681" w:rsidRDefault="00B1031C" w:rsidP="00A558B6">
      <w:pPr>
        <w:pStyle w:val="ListParagraph"/>
        <w:rPr>
          <w:szCs w:val="22"/>
        </w:rPr>
      </w:pPr>
    </w:p>
    <w:p w:rsidR="00B1031C" w:rsidRPr="00F93681" w:rsidRDefault="00B1031C" w:rsidP="00DE4C23">
      <w:pPr>
        <w:pStyle w:val="ListParagraph"/>
        <w:widowControl/>
        <w:numPr>
          <w:ilvl w:val="1"/>
          <w:numId w:val="5"/>
        </w:numPr>
        <w:rPr>
          <w:szCs w:val="22"/>
        </w:rPr>
      </w:pPr>
      <w:r w:rsidRPr="00F93681">
        <w:rPr>
          <w:szCs w:val="22"/>
        </w:rPr>
        <w:t>The PBAC noted the submission’s utilisation estimates</w:t>
      </w:r>
      <w:r w:rsidR="00F02EBB" w:rsidRPr="00F93681">
        <w:rPr>
          <w:szCs w:val="22"/>
        </w:rPr>
        <w:t xml:space="preserve"> and claim on a small saving. </w:t>
      </w:r>
    </w:p>
    <w:p w:rsidR="00E31AB6" w:rsidRPr="00F93681" w:rsidRDefault="00E31AB6" w:rsidP="00DE4C23">
      <w:pPr>
        <w:pStyle w:val="ListParagraph"/>
        <w:rPr>
          <w:szCs w:val="22"/>
        </w:rPr>
      </w:pPr>
    </w:p>
    <w:p w:rsidR="00E31AB6" w:rsidRPr="00F93681" w:rsidRDefault="00E31AB6" w:rsidP="00DE4C23">
      <w:pPr>
        <w:pStyle w:val="ListParagraph"/>
        <w:widowControl/>
        <w:numPr>
          <w:ilvl w:val="1"/>
          <w:numId w:val="5"/>
        </w:numPr>
        <w:rPr>
          <w:szCs w:val="22"/>
        </w:rPr>
      </w:pPr>
      <w:r w:rsidRPr="00F93681">
        <w:rPr>
          <w:szCs w:val="22"/>
        </w:rPr>
        <w:t>The PBAC advised that Section 100 medicines are currently considered out of scope by prescribing by nurse practitioners.</w:t>
      </w:r>
    </w:p>
    <w:p w:rsidR="00E31AB6" w:rsidRPr="00F93681" w:rsidRDefault="00E31AB6" w:rsidP="00DE4C23">
      <w:pPr>
        <w:pStyle w:val="ListParagraph"/>
        <w:rPr>
          <w:szCs w:val="22"/>
        </w:rPr>
      </w:pPr>
    </w:p>
    <w:p w:rsidR="00E31AB6" w:rsidRPr="00F93681" w:rsidRDefault="00E31AB6" w:rsidP="00DE4C23">
      <w:pPr>
        <w:pStyle w:val="ListParagraph"/>
        <w:widowControl/>
        <w:numPr>
          <w:ilvl w:val="1"/>
          <w:numId w:val="5"/>
        </w:numPr>
        <w:rPr>
          <w:szCs w:val="22"/>
        </w:rPr>
      </w:pPr>
      <w:r w:rsidRPr="00F93681">
        <w:rPr>
          <w:szCs w:val="22"/>
        </w:rPr>
        <w:t>The PBAC recommended that the Safety Net 20 Day Rule</w:t>
      </w:r>
      <w:r w:rsidR="00265D13" w:rsidRPr="00F93681">
        <w:rPr>
          <w:szCs w:val="22"/>
        </w:rPr>
        <w:t xml:space="preserve"> </w:t>
      </w:r>
      <w:r w:rsidRPr="00F93681">
        <w:rPr>
          <w:szCs w:val="22"/>
        </w:rPr>
        <w:t>should apply</w:t>
      </w:r>
      <w:r w:rsidR="0033125E" w:rsidRPr="00F93681">
        <w:rPr>
          <w:szCs w:val="22"/>
        </w:rPr>
        <w:t xml:space="preserve"> to atazanavir with cobicistat.  The PBAC also recommended that th</w:t>
      </w:r>
      <w:r w:rsidR="00265D13" w:rsidRPr="00F93681">
        <w:rPr>
          <w:szCs w:val="22"/>
        </w:rPr>
        <w:t xml:space="preserve">e Safety Net rule </w:t>
      </w:r>
      <w:r w:rsidR="0033125E" w:rsidRPr="00F93681">
        <w:rPr>
          <w:szCs w:val="22"/>
        </w:rPr>
        <w:t>should flow-on to all</w:t>
      </w:r>
      <w:r w:rsidR="00A558B6" w:rsidRPr="00F93681">
        <w:rPr>
          <w:szCs w:val="22"/>
        </w:rPr>
        <w:t xml:space="preserve"> </w:t>
      </w:r>
      <w:r w:rsidR="0033125E" w:rsidRPr="00F93681">
        <w:rPr>
          <w:szCs w:val="22"/>
        </w:rPr>
        <w:t>HIV treatment</w:t>
      </w:r>
      <w:r w:rsidR="005768A3" w:rsidRPr="00F93681">
        <w:rPr>
          <w:szCs w:val="22"/>
        </w:rPr>
        <w:t xml:space="preserve"> currently listed on the PBS</w:t>
      </w:r>
      <w:r w:rsidR="0033125E" w:rsidRPr="00F93681">
        <w:rPr>
          <w:szCs w:val="22"/>
        </w:rPr>
        <w:t>.</w:t>
      </w:r>
      <w:r w:rsidR="00620BB1">
        <w:rPr>
          <w:szCs w:val="22"/>
        </w:rPr>
        <w:t xml:space="preserve"> </w:t>
      </w:r>
    </w:p>
    <w:p w:rsidR="00E31AB6" w:rsidRPr="00F93681" w:rsidRDefault="00E31AB6" w:rsidP="00DE4C23">
      <w:pPr>
        <w:pStyle w:val="ListParagraph"/>
        <w:rPr>
          <w:szCs w:val="22"/>
        </w:rPr>
      </w:pPr>
    </w:p>
    <w:p w:rsidR="00E31AB6" w:rsidRPr="00F93681" w:rsidRDefault="002F3E1D" w:rsidP="00DE4C23">
      <w:pPr>
        <w:pStyle w:val="ListParagraph"/>
        <w:widowControl/>
        <w:numPr>
          <w:ilvl w:val="1"/>
          <w:numId w:val="5"/>
        </w:numPr>
        <w:rPr>
          <w:szCs w:val="22"/>
        </w:rPr>
      </w:pPr>
      <w:r w:rsidRPr="00F93681">
        <w:rPr>
          <w:szCs w:val="22"/>
        </w:rPr>
        <w:t>In accordance with subsection 101(3BA) of the Act, the PBAC advised that it is of the opinion that atazanavir</w:t>
      </w:r>
      <w:r w:rsidR="00C969F1" w:rsidRPr="00F93681">
        <w:rPr>
          <w:szCs w:val="22"/>
        </w:rPr>
        <w:t xml:space="preserve"> with</w:t>
      </w:r>
      <w:r w:rsidR="0067024F">
        <w:rPr>
          <w:szCs w:val="22"/>
        </w:rPr>
        <w:t xml:space="preserve"> </w:t>
      </w:r>
      <w:r w:rsidRPr="0067024F">
        <w:rPr>
          <w:szCs w:val="22"/>
        </w:rPr>
        <w:t>cobicistat should not be treated as interchangeable on an individual patient basis with other antiretroviral therapies.</w:t>
      </w:r>
    </w:p>
    <w:p w:rsidR="00BA2F70" w:rsidRPr="00F93681" w:rsidRDefault="00BA2F70" w:rsidP="00DE4C23">
      <w:pPr>
        <w:rPr>
          <w:b/>
          <w:bCs/>
          <w:szCs w:val="22"/>
        </w:rPr>
      </w:pPr>
    </w:p>
    <w:p w:rsidR="00DE4C23" w:rsidRPr="00F93681" w:rsidRDefault="00DE4C23" w:rsidP="00DE4C23">
      <w:pPr>
        <w:rPr>
          <w:b/>
          <w:bCs/>
          <w:szCs w:val="22"/>
        </w:rPr>
      </w:pPr>
      <w:r w:rsidRPr="00F93681">
        <w:rPr>
          <w:b/>
          <w:bCs/>
          <w:szCs w:val="22"/>
        </w:rPr>
        <w:t>Outcome:</w:t>
      </w:r>
    </w:p>
    <w:p w:rsidR="00DE4C23" w:rsidRPr="00F538B6" w:rsidRDefault="00DE4C23" w:rsidP="00DE4C23">
      <w:pPr>
        <w:rPr>
          <w:bCs/>
          <w:szCs w:val="22"/>
        </w:rPr>
      </w:pPr>
      <w:r w:rsidRPr="00F538B6">
        <w:rPr>
          <w:bCs/>
          <w:szCs w:val="22"/>
        </w:rPr>
        <w:t>Recommended</w:t>
      </w:r>
    </w:p>
    <w:p w:rsidR="006A03C0" w:rsidRPr="00F93681" w:rsidRDefault="006A03C0" w:rsidP="006A03C0">
      <w:pPr>
        <w:rPr>
          <w:bCs/>
          <w:szCs w:val="22"/>
          <w:highlight w:val="yellow"/>
        </w:rPr>
      </w:pPr>
    </w:p>
    <w:p w:rsidR="006A03C0" w:rsidRPr="00F93681" w:rsidRDefault="006A03C0" w:rsidP="006A03C0">
      <w:pPr>
        <w:rPr>
          <w:bCs/>
          <w:szCs w:val="22"/>
          <w:highlight w:val="yellow"/>
        </w:rPr>
      </w:pPr>
    </w:p>
    <w:p w:rsidR="006A03C0" w:rsidRPr="00F538B6" w:rsidRDefault="006A03C0" w:rsidP="00E648F9">
      <w:pPr>
        <w:pStyle w:val="PBACHeading1"/>
      </w:pPr>
      <w:r w:rsidRPr="00F93681">
        <w:t>Recommended listing</w:t>
      </w:r>
    </w:p>
    <w:p w:rsidR="006A03C0" w:rsidRPr="00F93681" w:rsidRDefault="006A03C0" w:rsidP="006A03C0">
      <w:pPr>
        <w:rPr>
          <w:b/>
          <w:bCs/>
          <w:i/>
          <w:szCs w:val="22"/>
        </w:rPr>
      </w:pPr>
    </w:p>
    <w:p w:rsidR="00094E87" w:rsidRPr="00E648F9" w:rsidRDefault="00094E87" w:rsidP="00E648F9"/>
    <w:p w:rsidR="00094E87" w:rsidRPr="00F93681" w:rsidRDefault="00094E87" w:rsidP="00094E87">
      <w:pPr>
        <w:pStyle w:val="ListParagraph"/>
        <w:widowControl/>
        <w:numPr>
          <w:ilvl w:val="1"/>
          <w:numId w:val="5"/>
        </w:numPr>
      </w:pPr>
      <w:r w:rsidRPr="0067024F">
        <w:t>Add new item</w:t>
      </w:r>
      <w:r w:rsidR="00E65031" w:rsidRPr="0067024F">
        <w:t xml:space="preserve">. Safety Net 20 Day rule to flow-on to all HIV </w:t>
      </w:r>
      <w:r w:rsidR="00265D13" w:rsidRPr="0067024F">
        <w:t>treatment</w:t>
      </w:r>
      <w:r w:rsidR="00E65031" w:rsidRPr="00F93681">
        <w:t xml:space="preserve"> currently listed on the PBS.</w:t>
      </w:r>
    </w:p>
    <w:p w:rsidR="00F538B6" w:rsidRDefault="00F538B6">
      <w:pPr>
        <w:widowControl/>
        <w:jc w:val="left"/>
        <w:rPr>
          <w:b/>
          <w:bCs/>
          <w:szCs w:val="22"/>
          <w:highlight w:val="yellow"/>
        </w:rPr>
      </w:pPr>
    </w:p>
    <w:tbl>
      <w:tblPr>
        <w:tblW w:w="9214" w:type="dxa"/>
        <w:tblInd w:w="108" w:type="dxa"/>
        <w:tblLayout w:type="fixed"/>
        <w:tblLook w:val="0000" w:firstRow="0" w:lastRow="0" w:firstColumn="0" w:lastColumn="0" w:noHBand="0" w:noVBand="0"/>
        <w:tblCaption w:val="Recommended PBS listing restriction"/>
      </w:tblPr>
      <w:tblGrid>
        <w:gridCol w:w="2835"/>
        <w:gridCol w:w="426"/>
        <w:gridCol w:w="567"/>
        <w:gridCol w:w="850"/>
        <w:gridCol w:w="1701"/>
        <w:gridCol w:w="1559"/>
        <w:gridCol w:w="1276"/>
      </w:tblGrid>
      <w:tr w:rsidR="00094E87" w:rsidRPr="00F93681" w:rsidTr="00F93681">
        <w:trPr>
          <w:cantSplit/>
          <w:trHeight w:val="471"/>
        </w:trPr>
        <w:tc>
          <w:tcPr>
            <w:tcW w:w="3261" w:type="dxa"/>
            <w:gridSpan w:val="2"/>
            <w:tcBorders>
              <w:bottom w:val="single" w:sz="4" w:space="0" w:color="auto"/>
            </w:tcBorders>
          </w:tcPr>
          <w:p w:rsidR="00094E87" w:rsidRPr="00F93681" w:rsidRDefault="00094E87" w:rsidP="00094E87">
            <w:pPr>
              <w:keepNext/>
              <w:widowControl/>
              <w:ind w:left="-108"/>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Name, Restriction,</w:t>
            </w:r>
          </w:p>
          <w:p w:rsidR="00094E87" w:rsidRPr="00F93681" w:rsidRDefault="00094E87" w:rsidP="00094E87">
            <w:pPr>
              <w:keepNext/>
              <w:widowControl/>
              <w:ind w:left="-108"/>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Manner of administration and form</w:t>
            </w:r>
          </w:p>
        </w:tc>
        <w:tc>
          <w:tcPr>
            <w:tcW w:w="567" w:type="dxa"/>
            <w:tcBorders>
              <w:bottom w:val="single" w:sz="4" w:space="0" w:color="auto"/>
            </w:tcBorders>
          </w:tcPr>
          <w:p w:rsidR="00094E87" w:rsidRPr="00F93681" w:rsidRDefault="00094E87" w:rsidP="00094E87">
            <w:pPr>
              <w:keepNext/>
              <w:widowControl/>
              <w:ind w:left="-108"/>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Max.</w:t>
            </w:r>
          </w:p>
          <w:p w:rsidR="00094E87" w:rsidRPr="00F93681" w:rsidRDefault="00094E87" w:rsidP="00094E87">
            <w:pPr>
              <w:keepNext/>
              <w:widowControl/>
              <w:ind w:left="-108"/>
              <w:jc w:val="left"/>
              <w:rPr>
                <w:rFonts w:ascii="Arial Narrow" w:hAnsi="Arial Narrow" w:cs="Times New Roman"/>
                <w:snapToGrid/>
                <w:sz w:val="20"/>
                <w:szCs w:val="24"/>
                <w:lang w:eastAsia="en-AU"/>
              </w:rPr>
            </w:pPr>
            <w:proofErr w:type="spellStart"/>
            <w:r w:rsidRPr="00F93681">
              <w:rPr>
                <w:rFonts w:ascii="Arial Narrow" w:hAnsi="Arial Narrow" w:cs="Times New Roman"/>
                <w:snapToGrid/>
                <w:sz w:val="20"/>
                <w:szCs w:val="24"/>
                <w:lang w:eastAsia="en-AU"/>
              </w:rPr>
              <w:t>Qty</w:t>
            </w:r>
            <w:proofErr w:type="spellEnd"/>
          </w:p>
        </w:tc>
        <w:tc>
          <w:tcPr>
            <w:tcW w:w="850" w:type="dxa"/>
            <w:tcBorders>
              <w:bottom w:val="single" w:sz="4" w:space="0" w:color="auto"/>
            </w:tcBorders>
          </w:tcPr>
          <w:p w:rsidR="00094E87" w:rsidRPr="00F93681" w:rsidRDefault="00094E87" w:rsidP="00094E87">
            <w:pPr>
              <w:keepNext/>
              <w:widowControl/>
              <w:ind w:left="-108"/>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№.of</w:t>
            </w:r>
          </w:p>
          <w:p w:rsidR="00094E87" w:rsidRPr="00F93681" w:rsidRDefault="00094E87" w:rsidP="00094E87">
            <w:pPr>
              <w:keepNext/>
              <w:widowControl/>
              <w:ind w:left="-108"/>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Rpts</w:t>
            </w:r>
          </w:p>
        </w:tc>
        <w:tc>
          <w:tcPr>
            <w:tcW w:w="1701" w:type="dxa"/>
            <w:tcBorders>
              <w:bottom w:val="single" w:sz="4" w:space="0" w:color="auto"/>
            </w:tcBorders>
          </w:tcPr>
          <w:p w:rsidR="00094E87" w:rsidRPr="00F93681" w:rsidRDefault="00094E87" w:rsidP="00094E87">
            <w:pPr>
              <w:keepNext/>
              <w:widowControl/>
              <w:ind w:left="-108"/>
              <w:jc w:val="left"/>
              <w:rPr>
                <w:rFonts w:ascii="Arial Narrow" w:hAnsi="Arial Narrow" w:cs="Times New Roman"/>
                <w:snapToGrid/>
                <w:sz w:val="20"/>
                <w:szCs w:val="24"/>
                <w:lang w:eastAsia="en-AU"/>
              </w:rPr>
            </w:pPr>
          </w:p>
        </w:tc>
        <w:tc>
          <w:tcPr>
            <w:tcW w:w="2835" w:type="dxa"/>
            <w:gridSpan w:val="2"/>
            <w:tcBorders>
              <w:bottom w:val="single" w:sz="4" w:space="0" w:color="auto"/>
            </w:tcBorders>
          </w:tcPr>
          <w:p w:rsidR="00094E87" w:rsidRPr="00F93681" w:rsidRDefault="00094E87" w:rsidP="00094E87">
            <w:pPr>
              <w:keepNext/>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Proprietary Name and Manufacturer</w:t>
            </w:r>
          </w:p>
        </w:tc>
      </w:tr>
      <w:tr w:rsidR="00094E87" w:rsidRPr="00F93681" w:rsidTr="00F93681">
        <w:trPr>
          <w:cantSplit/>
          <w:trHeight w:val="577"/>
        </w:trPr>
        <w:tc>
          <w:tcPr>
            <w:tcW w:w="3261" w:type="dxa"/>
            <w:gridSpan w:val="2"/>
          </w:tcPr>
          <w:p w:rsidR="00094E87" w:rsidRPr="00F93681" w:rsidRDefault="00094E87" w:rsidP="00094E87">
            <w:pPr>
              <w:keepNext/>
              <w:widowControl/>
              <w:jc w:val="left"/>
              <w:rPr>
                <w:rFonts w:ascii="Arial Narrow" w:hAnsi="Arial Narrow" w:cs="Times New Roman"/>
                <w:snapToGrid/>
                <w:sz w:val="20"/>
                <w:szCs w:val="24"/>
              </w:rPr>
            </w:pPr>
            <w:r w:rsidRPr="0067024F">
              <w:rPr>
                <w:rFonts w:ascii="Arial Narrow" w:hAnsi="Arial Narrow" w:cs="Times New Roman"/>
                <w:smallCaps/>
                <w:snapToGrid/>
                <w:sz w:val="20"/>
                <w:szCs w:val="24"/>
              </w:rPr>
              <w:t xml:space="preserve">Atazanavir 300mg + cobicistat 150mg </w:t>
            </w:r>
            <w:r w:rsidRPr="00F93681">
              <w:rPr>
                <w:rFonts w:ascii="Arial Narrow" w:hAnsi="Arial Narrow" w:cs="Times New Roman"/>
                <w:snapToGrid/>
                <w:sz w:val="20"/>
                <w:szCs w:val="24"/>
              </w:rPr>
              <w:t>Tablet</w:t>
            </w:r>
          </w:p>
          <w:p w:rsidR="00094E87" w:rsidRPr="00F93681" w:rsidRDefault="00094E87" w:rsidP="00094E87">
            <w:pPr>
              <w:keepNext/>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rPr>
              <w:t xml:space="preserve"> </w:t>
            </w:r>
          </w:p>
        </w:tc>
        <w:tc>
          <w:tcPr>
            <w:tcW w:w="567" w:type="dxa"/>
          </w:tcPr>
          <w:p w:rsidR="00094E87" w:rsidRPr="00F93681" w:rsidRDefault="00094E87" w:rsidP="00094E87">
            <w:pPr>
              <w:keepNext/>
              <w:widowControl/>
              <w:ind w:left="-108"/>
              <w:jc w:val="left"/>
              <w:rPr>
                <w:rFonts w:ascii="Arial Narrow" w:hAnsi="Arial Narrow" w:cs="Times New Roman"/>
                <w:snapToGrid/>
                <w:sz w:val="20"/>
                <w:szCs w:val="24"/>
                <w:lang w:eastAsia="en-AU"/>
              </w:rPr>
            </w:pPr>
          </w:p>
          <w:p w:rsidR="00094E87" w:rsidRPr="00F93681" w:rsidRDefault="00094E87" w:rsidP="00094E87">
            <w:pPr>
              <w:keepNext/>
              <w:widowControl/>
              <w:ind w:left="-108"/>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60</w:t>
            </w:r>
          </w:p>
        </w:tc>
        <w:tc>
          <w:tcPr>
            <w:tcW w:w="850" w:type="dxa"/>
          </w:tcPr>
          <w:p w:rsidR="00094E87" w:rsidRPr="00F93681" w:rsidRDefault="00094E87" w:rsidP="00094E87">
            <w:pPr>
              <w:keepNext/>
              <w:widowControl/>
              <w:ind w:left="-108"/>
              <w:jc w:val="left"/>
              <w:rPr>
                <w:rFonts w:ascii="Arial Narrow" w:hAnsi="Arial Narrow" w:cs="Times New Roman"/>
                <w:snapToGrid/>
                <w:sz w:val="20"/>
                <w:szCs w:val="24"/>
                <w:lang w:eastAsia="en-AU"/>
              </w:rPr>
            </w:pPr>
          </w:p>
          <w:p w:rsidR="00094E87" w:rsidRPr="00F93681" w:rsidRDefault="00094E87" w:rsidP="00094E87">
            <w:pPr>
              <w:keepNext/>
              <w:widowControl/>
              <w:ind w:left="-108"/>
              <w:jc w:val="left"/>
              <w:rPr>
                <w:rFonts w:ascii="Arial Narrow" w:hAnsi="Arial Narrow" w:cs="Times New Roman"/>
                <w:i/>
                <w:snapToGrid/>
                <w:sz w:val="20"/>
                <w:szCs w:val="24"/>
                <w:lang w:eastAsia="en-AU"/>
              </w:rPr>
            </w:pPr>
            <w:r w:rsidRPr="00F93681">
              <w:rPr>
                <w:rFonts w:ascii="Arial Narrow" w:hAnsi="Arial Narrow" w:cs="Times New Roman"/>
                <w:i/>
                <w:snapToGrid/>
                <w:sz w:val="20"/>
                <w:szCs w:val="24"/>
                <w:lang w:eastAsia="en-AU"/>
              </w:rPr>
              <w:t>5</w:t>
            </w:r>
          </w:p>
        </w:tc>
        <w:tc>
          <w:tcPr>
            <w:tcW w:w="1701" w:type="dxa"/>
          </w:tcPr>
          <w:p w:rsidR="00094E87" w:rsidRPr="00F93681" w:rsidRDefault="00094E87" w:rsidP="00094E87">
            <w:pPr>
              <w:keepNext/>
              <w:widowControl/>
              <w:ind w:left="-108"/>
              <w:jc w:val="left"/>
              <w:rPr>
                <w:rFonts w:ascii="Arial Narrow" w:hAnsi="Arial Narrow" w:cs="Times New Roman"/>
                <w:snapToGrid/>
                <w:sz w:val="20"/>
                <w:szCs w:val="24"/>
                <w:lang w:eastAsia="en-AU"/>
              </w:rPr>
            </w:pPr>
          </w:p>
          <w:p w:rsidR="00094E87" w:rsidRPr="00F93681" w:rsidRDefault="00094E87" w:rsidP="00AA1A33">
            <w:pPr>
              <w:keepNext/>
              <w:widowControl/>
              <w:ind w:left="-108"/>
              <w:jc w:val="left"/>
              <w:rPr>
                <w:rFonts w:ascii="Arial Narrow" w:hAnsi="Arial Narrow" w:cs="Times New Roman"/>
                <w:snapToGrid/>
                <w:sz w:val="20"/>
                <w:szCs w:val="24"/>
                <w:lang w:eastAsia="en-AU"/>
              </w:rPr>
            </w:pPr>
            <w:r w:rsidRPr="00F93681">
              <w:rPr>
                <w:rFonts w:ascii="Arial Narrow" w:hAnsi="Arial Narrow" w:cs="Times New Roman"/>
                <w:snapToGrid/>
                <w:sz w:val="20"/>
                <w:szCs w:val="24"/>
              </w:rPr>
              <w:t xml:space="preserve">  </w:t>
            </w:r>
          </w:p>
        </w:tc>
        <w:tc>
          <w:tcPr>
            <w:tcW w:w="1559" w:type="dxa"/>
          </w:tcPr>
          <w:p w:rsidR="00094E87" w:rsidRPr="00F93681" w:rsidRDefault="00094E87" w:rsidP="00094E87">
            <w:pPr>
              <w:keepNext/>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rPr>
              <w:t>Evotaz</w:t>
            </w:r>
            <w:r w:rsidRPr="00F93681">
              <w:rPr>
                <w:rFonts w:ascii="Arial Narrow" w:hAnsi="Arial Narrow" w:cs="Times New Roman"/>
                <w:snapToGrid/>
                <w:sz w:val="20"/>
                <w:szCs w:val="24"/>
                <w:lang w:eastAsia="en-AU"/>
              </w:rPr>
              <w:t xml:space="preserve"> </w:t>
            </w:r>
          </w:p>
        </w:tc>
        <w:tc>
          <w:tcPr>
            <w:tcW w:w="1276" w:type="dxa"/>
          </w:tcPr>
          <w:p w:rsidR="00094E87" w:rsidRPr="00F93681" w:rsidRDefault="00094E87" w:rsidP="00094E87">
            <w:pPr>
              <w:keepNext/>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rPr>
              <w:t>Bristol Myers Squibb Pty Ltd</w:t>
            </w:r>
            <w:r w:rsidRPr="00F93681">
              <w:rPr>
                <w:rFonts w:ascii="Arial Narrow" w:hAnsi="Arial Narrow" w:cs="Times New Roman"/>
                <w:snapToGrid/>
                <w:sz w:val="20"/>
                <w:szCs w:val="24"/>
                <w:lang w:eastAsia="en-AU"/>
              </w:rPr>
              <w:t xml:space="preserve"> </w:t>
            </w:r>
          </w:p>
        </w:tc>
      </w:tr>
      <w:tr w:rsidR="00094E87" w:rsidRPr="00F93681" w:rsidTr="00F93681">
        <w:trPr>
          <w:cantSplit/>
          <w:trHeight w:val="360"/>
        </w:trPr>
        <w:tc>
          <w:tcPr>
            <w:tcW w:w="9214" w:type="dxa"/>
            <w:gridSpan w:val="7"/>
            <w:tcBorders>
              <w:bottom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p>
          <w:p w:rsidR="00094E87" w:rsidRPr="00F93681" w:rsidRDefault="00094E87" w:rsidP="00094E87">
            <w:pPr>
              <w:widowControl/>
              <w:jc w:val="left"/>
              <w:rPr>
                <w:rFonts w:ascii="Arial Narrow" w:hAnsi="Arial Narrow" w:cs="Times New Roman"/>
                <w:snapToGrid/>
                <w:sz w:val="20"/>
                <w:szCs w:val="24"/>
                <w:lang w:eastAsia="en-AU"/>
              </w:rPr>
            </w:pP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Category / Program</w:t>
            </w: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S100 HSD Community Access: Authority Required  (STREAMLINED)</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Prescriber type:</w:t>
            </w:r>
          </w:p>
          <w:p w:rsidR="00094E87" w:rsidRPr="00F93681" w:rsidRDefault="00094E87" w:rsidP="00094E87">
            <w:pPr>
              <w:widowControl/>
              <w:jc w:val="left"/>
              <w:rPr>
                <w:rFonts w:ascii="Arial Narrow" w:hAnsi="Arial Narrow" w:cs="Times New Roman"/>
                <w:b/>
                <w:snapToGrid/>
                <w:sz w:val="20"/>
                <w:szCs w:val="24"/>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1"/>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 xml:space="preserve">Dental  </w:t>
            </w:r>
            <w:r w:rsidRPr="00033F28">
              <w:rPr>
                <w:rFonts w:ascii="Arial Narrow" w:hAnsi="Arial Narrow" w:cs="Times New Roman"/>
                <w:snapToGrid/>
                <w:sz w:val="20"/>
                <w:szCs w:val="24"/>
                <w:lang w:eastAsia="en-AU"/>
              </w:rPr>
              <w:fldChar w:fldCharType="begin">
                <w:ffData>
                  <w:name w:val=""/>
                  <w:enabled/>
                  <w:calcOnExit w:val="0"/>
                  <w:checkBox>
                    <w:sizeAuto/>
                    <w:default w:val="1"/>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 xml:space="preserve">Medical Practitioners  </w:t>
            </w:r>
            <w:r w:rsidRPr="00033F28">
              <w:rPr>
                <w:rFonts w:ascii="Arial Narrow" w:hAnsi="Arial Narrow" w:cs="Times New Roman"/>
                <w:snapToGrid/>
                <w:sz w:val="20"/>
                <w:szCs w:val="24"/>
                <w:lang w:eastAsia="en-AU"/>
              </w:rPr>
              <w:fldChar w:fldCharType="begin">
                <w:ffData>
                  <w:name w:val="Check3"/>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 xml:space="preserve">Nurse practitioners  </w:t>
            </w:r>
            <w:r w:rsidRPr="00033F28">
              <w:rPr>
                <w:rFonts w:ascii="Arial Narrow" w:hAnsi="Arial Narrow" w:cs="Times New Roman"/>
                <w:snapToGrid/>
                <w:sz w:val="20"/>
                <w:szCs w:val="24"/>
                <w:lang w:eastAsia="en-AU"/>
              </w:rPr>
              <w:fldChar w:fldCharType="begin">
                <w:ffData>
                  <w:name w:val=""/>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Optometrists</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5"/>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Midwives</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Episodicity:</w:t>
            </w: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Severity:</w:t>
            </w: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Condition:</w:t>
            </w: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HIV Infection</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PBS Indication:</w:t>
            </w: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HIV Infection</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Treatment phase:</w:t>
            </w:r>
          </w:p>
          <w:p w:rsidR="00094E87" w:rsidRPr="00F93681" w:rsidRDefault="00094E87" w:rsidP="00094E87">
            <w:pPr>
              <w:widowControl/>
              <w:jc w:val="left"/>
              <w:rPr>
                <w:rFonts w:ascii="Arial Narrow" w:hAnsi="Arial Narrow" w:cs="Times New Roman"/>
                <w:i/>
                <w:snapToGrid/>
                <w:sz w:val="20"/>
                <w:szCs w:val="24"/>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Initial</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lastRenderedPageBreak/>
              <w:t>Restriction Level / Method:</w:t>
            </w:r>
          </w:p>
          <w:p w:rsidR="00094E87" w:rsidRPr="00F93681" w:rsidRDefault="00094E87" w:rsidP="00094E87">
            <w:pPr>
              <w:widowControl/>
              <w:jc w:val="left"/>
              <w:rPr>
                <w:rFonts w:ascii="Arial Narrow" w:hAnsi="Arial Narrow" w:cs="Times New Roman"/>
                <w:i/>
                <w:snapToGrid/>
                <w:sz w:val="20"/>
                <w:szCs w:val="24"/>
                <w:highlight w:val="yellow"/>
                <w:lang w:eastAsia="en-AU"/>
              </w:rPr>
            </w:pPr>
          </w:p>
          <w:p w:rsidR="00094E87" w:rsidRPr="00F93681" w:rsidRDefault="00094E87" w:rsidP="00094E87">
            <w:pPr>
              <w:widowControl/>
              <w:jc w:val="left"/>
              <w:rPr>
                <w:rFonts w:ascii="Arial Narrow" w:hAnsi="Arial Narrow" w:cs="Times New Roman"/>
                <w:i/>
                <w:snapToGrid/>
                <w:sz w:val="20"/>
                <w:szCs w:val="24"/>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1"/>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Restricted benefit</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Authority Required - In Writing</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3"/>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Authority Required - Telephone</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Authority Required – Emergency</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5"/>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Authority Required - Electronic</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5"/>
                  <w:enabled/>
                  <w:calcOnExit w:val="0"/>
                  <w:checkBox>
                    <w:sizeAuto/>
                    <w:default w:val="1"/>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Streamlined</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Clinical criteria:</w:t>
            </w:r>
          </w:p>
          <w:p w:rsidR="00094E87" w:rsidRPr="00F93681" w:rsidRDefault="00094E87" w:rsidP="00094E87">
            <w:pPr>
              <w:widowControl/>
              <w:jc w:val="left"/>
              <w:rPr>
                <w:rFonts w:ascii="Arial Narrow" w:hAnsi="Arial Narrow" w:cs="Times New Roman"/>
                <w:i/>
                <w:snapToGrid/>
                <w:sz w:val="20"/>
                <w:szCs w:val="24"/>
                <w:lang w:eastAsia="en-AU"/>
              </w:rPr>
            </w:pPr>
          </w:p>
          <w:p w:rsidR="00094E87" w:rsidRPr="00F93681" w:rsidRDefault="00094E87" w:rsidP="00094E87">
            <w:pPr>
              <w:widowControl/>
              <w:jc w:val="left"/>
              <w:rPr>
                <w:rFonts w:ascii="Arial Narrow" w:hAnsi="Arial Narrow" w:cs="Times New Roman"/>
                <w:i/>
                <w:snapToGrid/>
                <w:sz w:val="20"/>
                <w:szCs w:val="24"/>
                <w:lang w:eastAsia="en-AU"/>
              </w:rPr>
            </w:pPr>
          </w:p>
          <w:p w:rsidR="00094E87" w:rsidRPr="00F93681" w:rsidRDefault="00094E87" w:rsidP="00094E87">
            <w:pPr>
              <w:widowControl/>
              <w:jc w:val="left"/>
              <w:rPr>
                <w:rFonts w:ascii="Arial Narrow" w:hAnsi="Arial Narrow" w:cs="Times New Roman"/>
                <w:snapToGrid/>
                <w:sz w:val="20"/>
                <w:szCs w:val="24"/>
                <w:lang w:eastAsia="en-AU"/>
              </w:rPr>
            </w:pPr>
          </w:p>
        </w:tc>
        <w:tc>
          <w:tcPr>
            <w:tcW w:w="6379" w:type="dxa"/>
            <w:gridSpan w:val="6"/>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eastAsia="SimSun" w:hAnsi="Arial Narrow" w:cs="Times New Roman"/>
                <w:snapToGrid/>
                <w:sz w:val="20"/>
                <w:szCs w:val="24"/>
                <w:lang w:eastAsia="zh-CN"/>
              </w:rPr>
            </w:pPr>
            <w:r w:rsidRPr="00F93681">
              <w:rPr>
                <w:rFonts w:ascii="Arial Narrow" w:eastAsia="SimSun" w:hAnsi="Arial Narrow" w:cs="Times New Roman"/>
                <w:snapToGrid/>
                <w:sz w:val="20"/>
                <w:szCs w:val="24"/>
                <w:lang w:eastAsia="zh-CN"/>
              </w:rPr>
              <w:t>Patient must be antiretroviral treatment naive,</w:t>
            </w:r>
          </w:p>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AND</w:t>
            </w:r>
          </w:p>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The treatment must be in combination with other antiretroviral agents.</w:t>
            </w:r>
          </w:p>
        </w:tc>
      </w:tr>
    </w:tbl>
    <w:p w:rsidR="00094E87" w:rsidRPr="00F93681" w:rsidRDefault="00094E87" w:rsidP="00094E87">
      <w:pPr>
        <w:widowControl/>
        <w:jc w:val="left"/>
        <w:rPr>
          <w:rFonts w:ascii="Times New Roman" w:hAnsi="Times New Roman" w:cs="Times New Roman"/>
          <w:snapToGrid/>
          <w:sz w:val="24"/>
          <w:szCs w:val="22"/>
          <w:lang w:eastAsia="en-AU"/>
        </w:rPr>
      </w:pPr>
    </w:p>
    <w:tbl>
      <w:tblPr>
        <w:tblW w:w="9214" w:type="dxa"/>
        <w:tblInd w:w="108" w:type="dxa"/>
        <w:tblLayout w:type="fixed"/>
        <w:tblLook w:val="0000" w:firstRow="0" w:lastRow="0" w:firstColumn="0" w:lastColumn="0" w:noHBand="0" w:noVBand="0"/>
        <w:tblCaption w:val="Recommended PBS restriction"/>
      </w:tblPr>
      <w:tblGrid>
        <w:gridCol w:w="2835"/>
        <w:gridCol w:w="6379"/>
      </w:tblGrid>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Category / Program</w:t>
            </w: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S100 HSD Community Access: Authority Required  (STREAMLINED)</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Prescriber type:</w:t>
            </w:r>
          </w:p>
          <w:p w:rsidR="00094E87" w:rsidRPr="00F93681" w:rsidRDefault="00094E87" w:rsidP="00094E87">
            <w:pPr>
              <w:widowControl/>
              <w:jc w:val="left"/>
              <w:rPr>
                <w:rFonts w:ascii="Arial Narrow" w:hAnsi="Arial Narrow" w:cs="Times New Roman"/>
                <w:b/>
                <w:snapToGrid/>
                <w:sz w:val="20"/>
                <w:szCs w:val="24"/>
                <w:lang w:eastAsia="en-AU"/>
              </w:rPr>
            </w:pP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1"/>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 xml:space="preserve">Dental  </w:t>
            </w:r>
            <w:r w:rsidRPr="00033F28">
              <w:rPr>
                <w:rFonts w:ascii="Arial Narrow" w:hAnsi="Arial Narrow" w:cs="Times New Roman"/>
                <w:snapToGrid/>
                <w:sz w:val="20"/>
                <w:szCs w:val="24"/>
                <w:lang w:eastAsia="en-AU"/>
              </w:rPr>
              <w:fldChar w:fldCharType="begin">
                <w:ffData>
                  <w:name w:val=""/>
                  <w:enabled/>
                  <w:calcOnExit w:val="0"/>
                  <w:checkBox>
                    <w:sizeAuto/>
                    <w:default w:val="1"/>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 xml:space="preserve">Medical Practitioners  </w:t>
            </w:r>
            <w:r w:rsidRPr="00033F28">
              <w:rPr>
                <w:rFonts w:ascii="Arial Narrow" w:hAnsi="Arial Narrow" w:cs="Times New Roman"/>
                <w:snapToGrid/>
                <w:sz w:val="20"/>
                <w:szCs w:val="24"/>
                <w:lang w:eastAsia="en-AU"/>
              </w:rPr>
              <w:fldChar w:fldCharType="begin">
                <w:ffData>
                  <w:name w:val="Check3"/>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 xml:space="preserve">Nurse practitioners  </w:t>
            </w:r>
            <w:r w:rsidRPr="00033F28">
              <w:rPr>
                <w:rFonts w:ascii="Arial Narrow" w:hAnsi="Arial Narrow" w:cs="Times New Roman"/>
                <w:snapToGrid/>
                <w:sz w:val="20"/>
                <w:szCs w:val="24"/>
                <w:lang w:eastAsia="en-AU"/>
              </w:rPr>
              <w:fldChar w:fldCharType="begin">
                <w:ffData>
                  <w:name w:val=""/>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Optometrists</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5"/>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Midwives</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Episodicity:</w:t>
            </w: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Severity:</w:t>
            </w: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Condition:</w:t>
            </w: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HIV Infection</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PBS Indication:</w:t>
            </w: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HIV Infection</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Treatment phase:</w:t>
            </w:r>
          </w:p>
          <w:p w:rsidR="00094E87" w:rsidRPr="00F93681" w:rsidRDefault="00094E87" w:rsidP="00094E87">
            <w:pPr>
              <w:widowControl/>
              <w:jc w:val="left"/>
              <w:rPr>
                <w:rFonts w:ascii="Arial Narrow" w:hAnsi="Arial Narrow" w:cs="Times New Roman"/>
                <w:i/>
                <w:snapToGrid/>
                <w:sz w:val="20"/>
                <w:szCs w:val="24"/>
                <w:lang w:eastAsia="en-AU"/>
              </w:rPr>
            </w:pP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Continuing</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Restriction Level / Method:</w:t>
            </w:r>
          </w:p>
          <w:p w:rsidR="00094E87" w:rsidRPr="00F93681" w:rsidRDefault="00094E87" w:rsidP="00094E87">
            <w:pPr>
              <w:widowControl/>
              <w:jc w:val="left"/>
              <w:rPr>
                <w:rFonts w:ascii="Arial Narrow" w:hAnsi="Arial Narrow" w:cs="Times New Roman"/>
                <w:i/>
                <w:snapToGrid/>
                <w:sz w:val="20"/>
                <w:szCs w:val="24"/>
                <w:highlight w:val="yellow"/>
                <w:lang w:eastAsia="en-AU"/>
              </w:rPr>
            </w:pPr>
          </w:p>
          <w:p w:rsidR="00094E87" w:rsidRPr="00F93681" w:rsidRDefault="00094E87" w:rsidP="00094E87">
            <w:pPr>
              <w:widowControl/>
              <w:jc w:val="left"/>
              <w:rPr>
                <w:rFonts w:ascii="Arial Narrow" w:hAnsi="Arial Narrow" w:cs="Times New Roman"/>
                <w:i/>
                <w:snapToGrid/>
                <w:sz w:val="20"/>
                <w:szCs w:val="24"/>
                <w:lang w:eastAsia="en-AU"/>
              </w:rPr>
            </w:pP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1"/>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Restricted benefit</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Authority Required - In Writing</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3"/>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Authority Required - Telephone</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Authority Required – Emergency</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5"/>
                  <w:enabled/>
                  <w:calcOnExit w:val="0"/>
                  <w:checkBox>
                    <w:sizeAuto/>
                    <w:default w:val="0"/>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Authority Required - Electronic</w:t>
            </w:r>
          </w:p>
          <w:p w:rsidR="00094E87" w:rsidRPr="00F93681" w:rsidRDefault="00094E87" w:rsidP="00094E87">
            <w:pPr>
              <w:widowControl/>
              <w:jc w:val="left"/>
              <w:rPr>
                <w:rFonts w:ascii="Arial Narrow" w:hAnsi="Arial Narrow" w:cs="Times New Roman"/>
                <w:snapToGrid/>
                <w:sz w:val="20"/>
                <w:szCs w:val="24"/>
                <w:lang w:eastAsia="en-AU"/>
              </w:rPr>
            </w:pPr>
            <w:r w:rsidRPr="00033F28">
              <w:rPr>
                <w:rFonts w:ascii="Arial Narrow" w:hAnsi="Arial Narrow" w:cs="Times New Roman"/>
                <w:snapToGrid/>
                <w:sz w:val="20"/>
                <w:szCs w:val="24"/>
                <w:lang w:eastAsia="en-AU"/>
              </w:rPr>
              <w:fldChar w:fldCharType="begin">
                <w:ffData>
                  <w:name w:val="Check5"/>
                  <w:enabled/>
                  <w:calcOnExit w:val="0"/>
                  <w:checkBox>
                    <w:sizeAuto/>
                    <w:default w:val="1"/>
                  </w:checkBox>
                </w:ffData>
              </w:fldChar>
            </w:r>
            <w:r w:rsidRPr="00F93681">
              <w:rPr>
                <w:rFonts w:ascii="Arial Narrow" w:hAnsi="Arial Narrow" w:cs="Times New Roman"/>
                <w:snapToGrid/>
                <w:sz w:val="20"/>
                <w:szCs w:val="24"/>
                <w:lang w:eastAsia="en-AU"/>
              </w:rPr>
              <w:instrText xml:space="preserve"> FORMCHECKBOX </w:instrText>
            </w:r>
            <w:r w:rsidR="009436C0">
              <w:rPr>
                <w:rFonts w:ascii="Arial Narrow" w:hAnsi="Arial Narrow" w:cs="Times New Roman"/>
                <w:snapToGrid/>
                <w:sz w:val="20"/>
                <w:szCs w:val="24"/>
                <w:lang w:eastAsia="en-AU"/>
              </w:rPr>
            </w:r>
            <w:r w:rsidR="009436C0">
              <w:rPr>
                <w:rFonts w:ascii="Arial Narrow" w:hAnsi="Arial Narrow" w:cs="Times New Roman"/>
                <w:snapToGrid/>
                <w:sz w:val="20"/>
                <w:szCs w:val="24"/>
                <w:lang w:eastAsia="en-AU"/>
              </w:rPr>
              <w:fldChar w:fldCharType="separate"/>
            </w:r>
            <w:r w:rsidRPr="00033F28">
              <w:rPr>
                <w:rFonts w:ascii="Arial Narrow" w:hAnsi="Arial Narrow" w:cs="Times New Roman"/>
                <w:snapToGrid/>
                <w:sz w:val="20"/>
                <w:szCs w:val="24"/>
                <w:lang w:eastAsia="en-AU"/>
              </w:rPr>
              <w:fldChar w:fldCharType="end"/>
            </w:r>
            <w:r w:rsidRPr="00F93681">
              <w:rPr>
                <w:rFonts w:ascii="Arial Narrow" w:hAnsi="Arial Narrow" w:cs="Times New Roman"/>
                <w:snapToGrid/>
                <w:sz w:val="20"/>
                <w:szCs w:val="24"/>
                <w:lang w:eastAsia="en-AU"/>
              </w:rPr>
              <w:t>Streamlined</w:t>
            </w:r>
          </w:p>
        </w:tc>
      </w:tr>
      <w:tr w:rsidR="00094E87" w:rsidRPr="00F93681" w:rsidTr="00F93681">
        <w:trPr>
          <w:cantSplit/>
          <w:trHeight w:val="360"/>
        </w:trPr>
        <w:tc>
          <w:tcPr>
            <w:tcW w:w="2835"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hAnsi="Arial Narrow" w:cs="Times New Roman"/>
                <w:b/>
                <w:snapToGrid/>
                <w:sz w:val="20"/>
                <w:szCs w:val="24"/>
                <w:lang w:eastAsia="en-AU"/>
              </w:rPr>
            </w:pPr>
            <w:r w:rsidRPr="00F93681">
              <w:rPr>
                <w:rFonts w:ascii="Arial Narrow" w:hAnsi="Arial Narrow" w:cs="Times New Roman"/>
                <w:b/>
                <w:snapToGrid/>
                <w:sz w:val="20"/>
                <w:szCs w:val="24"/>
                <w:lang w:eastAsia="en-AU"/>
              </w:rPr>
              <w:t>Clinical criteria:</w:t>
            </w:r>
          </w:p>
          <w:p w:rsidR="00094E87" w:rsidRPr="00F93681" w:rsidRDefault="00094E87" w:rsidP="00094E87">
            <w:pPr>
              <w:widowControl/>
              <w:jc w:val="left"/>
              <w:rPr>
                <w:rFonts w:ascii="Arial Narrow" w:hAnsi="Arial Narrow" w:cs="Times New Roman"/>
                <w:snapToGrid/>
                <w:sz w:val="20"/>
                <w:szCs w:val="24"/>
                <w:lang w:eastAsia="en-AU"/>
              </w:rPr>
            </w:pPr>
          </w:p>
        </w:tc>
        <w:tc>
          <w:tcPr>
            <w:tcW w:w="6379" w:type="dxa"/>
            <w:tcBorders>
              <w:top w:val="single" w:sz="4" w:space="0" w:color="auto"/>
              <w:left w:val="single" w:sz="4" w:space="0" w:color="auto"/>
              <w:bottom w:val="single" w:sz="4" w:space="0" w:color="auto"/>
              <w:right w:val="single" w:sz="4" w:space="0" w:color="auto"/>
            </w:tcBorders>
          </w:tcPr>
          <w:p w:rsidR="00094E87" w:rsidRPr="00F93681" w:rsidRDefault="00094E87" w:rsidP="00094E87">
            <w:pPr>
              <w:widowControl/>
              <w:jc w:val="left"/>
              <w:rPr>
                <w:rFonts w:ascii="Arial Narrow" w:eastAsia="SimSun" w:hAnsi="Arial Narrow" w:cs="Times New Roman"/>
                <w:snapToGrid/>
                <w:sz w:val="20"/>
                <w:szCs w:val="24"/>
                <w:lang w:eastAsia="zh-CN"/>
              </w:rPr>
            </w:pPr>
            <w:r w:rsidRPr="00F93681">
              <w:rPr>
                <w:rFonts w:ascii="Arial Narrow" w:eastAsia="SimSun" w:hAnsi="Arial Narrow" w:cs="Times New Roman"/>
                <w:snapToGrid/>
                <w:sz w:val="20"/>
                <w:szCs w:val="24"/>
                <w:lang w:eastAsia="zh-CN"/>
              </w:rPr>
              <w:t>Patient must have previously received PBS-subsidised therapy for HIV infection,</w:t>
            </w:r>
          </w:p>
          <w:p w:rsidR="00094E87" w:rsidRPr="00F93681" w:rsidRDefault="00094E87" w:rsidP="00094E87">
            <w:pPr>
              <w:widowControl/>
              <w:jc w:val="left"/>
              <w:rPr>
                <w:rFonts w:ascii="Arial Narrow" w:eastAsia="SimSun" w:hAnsi="Arial Narrow" w:cs="Times New Roman"/>
                <w:snapToGrid/>
                <w:sz w:val="20"/>
                <w:szCs w:val="24"/>
                <w:lang w:eastAsia="zh-CN"/>
              </w:rPr>
            </w:pPr>
            <w:r w:rsidRPr="00F93681">
              <w:rPr>
                <w:rFonts w:ascii="Arial Narrow" w:eastAsia="SimSun" w:hAnsi="Arial Narrow" w:cs="Times New Roman"/>
                <w:snapToGrid/>
                <w:sz w:val="20"/>
                <w:szCs w:val="24"/>
                <w:lang w:eastAsia="zh-CN"/>
              </w:rPr>
              <w:t>AND</w:t>
            </w:r>
          </w:p>
          <w:p w:rsidR="00094E87" w:rsidRPr="00F93681" w:rsidRDefault="00094E87" w:rsidP="00094E87">
            <w:pPr>
              <w:widowControl/>
              <w:jc w:val="left"/>
              <w:rPr>
                <w:rFonts w:ascii="Arial Narrow" w:hAnsi="Arial Narrow" w:cs="Times New Roman"/>
                <w:snapToGrid/>
                <w:sz w:val="20"/>
                <w:szCs w:val="24"/>
                <w:lang w:eastAsia="en-AU"/>
              </w:rPr>
            </w:pPr>
            <w:r w:rsidRPr="00F93681">
              <w:rPr>
                <w:rFonts w:ascii="Arial Narrow" w:hAnsi="Arial Narrow" w:cs="Times New Roman"/>
                <w:snapToGrid/>
                <w:sz w:val="20"/>
                <w:szCs w:val="24"/>
                <w:lang w:eastAsia="en-AU"/>
              </w:rPr>
              <w:t>The treatment must be in combination with other antiretroviral agents.</w:t>
            </w:r>
          </w:p>
        </w:tc>
      </w:tr>
    </w:tbl>
    <w:p w:rsidR="006A03C0" w:rsidRPr="00E648F9" w:rsidRDefault="006A03C0" w:rsidP="00E648F9"/>
    <w:p w:rsidR="004D675A" w:rsidRDefault="004D675A" w:rsidP="00DF5319">
      <w:pPr>
        <w:pStyle w:val="PBACHeading1"/>
        <w:rPr>
          <w:rFonts w:eastAsia="SimSun"/>
        </w:rPr>
      </w:pPr>
      <w:bookmarkStart w:id="14" w:name="_GoBack"/>
      <w:bookmarkEnd w:id="14"/>
      <w:r>
        <w:rPr>
          <w:rFonts w:eastAsia="SimSun"/>
        </w:rPr>
        <w:t>Context for Decision</w:t>
      </w:r>
    </w:p>
    <w:p w:rsidR="004D675A" w:rsidRDefault="004D675A" w:rsidP="004D675A">
      <w:pPr>
        <w:ind w:left="720"/>
        <w:contextualSpacing/>
        <w:rPr>
          <w:b/>
        </w:rPr>
      </w:pPr>
    </w:p>
    <w:p w:rsidR="004D675A" w:rsidRDefault="004D675A" w:rsidP="004D675A">
      <w:pPr>
        <w:ind w:left="720"/>
        <w:rPr>
          <w:bCs/>
          <w:szCs w:val="22"/>
        </w:rPr>
      </w:pPr>
      <w:r>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D675A" w:rsidRDefault="004D675A" w:rsidP="004D675A"/>
    <w:p w:rsidR="004D675A" w:rsidRDefault="004D675A" w:rsidP="008E0299">
      <w:pPr>
        <w:pStyle w:val="PBACHeading1"/>
        <w:rPr>
          <w:rFonts w:eastAsia="SimSun"/>
        </w:rPr>
      </w:pPr>
      <w:r>
        <w:rPr>
          <w:rFonts w:eastAsia="SimSun"/>
        </w:rPr>
        <w:t>Sponsor’s Comment</w:t>
      </w:r>
    </w:p>
    <w:p w:rsidR="004D675A" w:rsidRDefault="004D675A" w:rsidP="004D675A">
      <w:pPr>
        <w:tabs>
          <w:tab w:val="left" w:pos="2940"/>
        </w:tabs>
        <w:rPr>
          <w:szCs w:val="22"/>
        </w:rPr>
      </w:pPr>
    </w:p>
    <w:p w:rsidR="00644FA6" w:rsidRDefault="00644FA6" w:rsidP="00644FA6">
      <w:pPr>
        <w:tabs>
          <w:tab w:val="left" w:pos="2940"/>
        </w:tabs>
        <w:ind w:left="709"/>
        <w:rPr>
          <w:snapToGrid/>
          <w:szCs w:val="22"/>
        </w:rPr>
      </w:pPr>
      <w:r>
        <w:rPr>
          <w:szCs w:val="22"/>
        </w:rPr>
        <w:t>Bristol-Myers Squibb welcomes the PBAC’s recommendation to list atazanavir/cobicistat fixed dose combination tablets on the PBS.</w:t>
      </w:r>
    </w:p>
    <w:p w:rsidR="00D15766" w:rsidRPr="00F93681" w:rsidRDefault="00D15766" w:rsidP="00D15766">
      <w:pPr>
        <w:widowControl/>
        <w:rPr>
          <w:szCs w:val="22"/>
        </w:rPr>
      </w:pPr>
    </w:p>
    <w:sectPr w:rsidR="00D15766" w:rsidRPr="00F93681" w:rsidSect="000F3C2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1440" w:footer="1440"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30E75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8F9" w:rsidRDefault="00E648F9" w:rsidP="00124A51">
      <w:r>
        <w:separator/>
      </w:r>
    </w:p>
  </w:endnote>
  <w:endnote w:type="continuationSeparator" w:id="0">
    <w:p w:rsidR="00E648F9" w:rsidRDefault="00E648F9"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ndara">
    <w:panose1 w:val="020E0502030303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F9" w:rsidRDefault="00E648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2613517"/>
      <w:docPartObj>
        <w:docPartGallery w:val="Page Numbers (Bottom of Page)"/>
        <w:docPartUnique/>
      </w:docPartObj>
    </w:sdtPr>
    <w:sdtEndPr>
      <w:rPr>
        <w:noProof/>
      </w:rPr>
    </w:sdtEndPr>
    <w:sdtContent>
      <w:p w:rsidR="00E648F9" w:rsidRDefault="00E648F9">
        <w:pPr>
          <w:pStyle w:val="Footer"/>
          <w:jc w:val="center"/>
        </w:pPr>
        <w:r>
          <w:fldChar w:fldCharType="begin"/>
        </w:r>
        <w:r>
          <w:instrText xml:space="preserve"> PAGE   \* MERGEFORMAT </w:instrText>
        </w:r>
        <w:r>
          <w:fldChar w:fldCharType="separate"/>
        </w:r>
        <w:r w:rsidR="009436C0">
          <w:rPr>
            <w:noProof/>
          </w:rPr>
          <w:t>1</w:t>
        </w:r>
        <w:r>
          <w:rPr>
            <w:noProof/>
          </w:rPr>
          <w:fldChar w:fldCharType="end"/>
        </w:r>
      </w:p>
    </w:sdtContent>
  </w:sdt>
  <w:p w:rsidR="00E648F9" w:rsidRDefault="00E648F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F9" w:rsidRDefault="00E648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8F9" w:rsidRDefault="00E648F9" w:rsidP="00124A51">
      <w:r>
        <w:separator/>
      </w:r>
    </w:p>
  </w:footnote>
  <w:footnote w:type="continuationSeparator" w:id="0">
    <w:p w:rsidR="00E648F9" w:rsidRDefault="00E648F9"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F9" w:rsidRDefault="00E648F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F9" w:rsidRDefault="00E648F9" w:rsidP="00FB16FB">
    <w:pPr>
      <w:pStyle w:val="Header"/>
      <w:jc w:val="center"/>
      <w:rPr>
        <w:i/>
        <w:color w:val="808080"/>
      </w:rPr>
    </w:pPr>
    <w:r w:rsidRPr="00FB16FB">
      <w:rPr>
        <w:i/>
        <w:color w:val="808080"/>
      </w:rPr>
      <w:t>Public Summary Document – November 2015 PBAC Meeting</w:t>
    </w:r>
  </w:p>
  <w:p w:rsidR="00E648F9" w:rsidRPr="00D15766" w:rsidRDefault="00E648F9" w:rsidP="00FB16FB">
    <w:pPr>
      <w:pStyle w:val="Heade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F9" w:rsidRDefault="00E648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4DB6EC1"/>
    <w:multiLevelType w:val="hybridMultilevel"/>
    <w:tmpl w:val="EA00B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B5016"/>
    <w:multiLevelType w:val="hybridMultilevel"/>
    <w:tmpl w:val="24F2B6B8"/>
    <w:lvl w:ilvl="0" w:tplc="825210D8">
      <w:start w:val="1"/>
      <w:numFmt w:val="bullet"/>
      <w:lvlText w:val="-"/>
      <w:lvlJc w:val="left"/>
      <w:pPr>
        <w:ind w:left="1429" w:hanging="360"/>
      </w:pPr>
      <w:rPr>
        <w:rFonts w:ascii="Arial" w:eastAsia="Times New Roman" w:hAnsi="Arial" w:cs="Aria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0C0E1CAC"/>
    <w:multiLevelType w:val="hybridMultilevel"/>
    <w:tmpl w:val="635AE1F6"/>
    <w:lvl w:ilvl="0" w:tplc="FCF4AD2E">
      <w:numFmt w:val="bullet"/>
      <w:lvlText w:val="-"/>
      <w:lvlJc w:val="left"/>
      <w:pPr>
        <w:ind w:left="1080" w:hanging="360"/>
      </w:pPr>
      <w:rPr>
        <w:rFonts w:ascii="Arial" w:eastAsia="Times New Roman"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nsid w:val="1309699F"/>
    <w:multiLevelType w:val="hybridMultilevel"/>
    <w:tmpl w:val="7FC2A5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41B0571"/>
    <w:multiLevelType w:val="hybridMultilevel"/>
    <w:tmpl w:val="C5C84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260C36"/>
    <w:multiLevelType w:val="hybridMultilevel"/>
    <w:tmpl w:val="51A8E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E821623"/>
    <w:multiLevelType w:val="hybridMultilevel"/>
    <w:tmpl w:val="27BA568A"/>
    <w:lvl w:ilvl="0" w:tplc="0C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22FA176A"/>
    <w:multiLevelType w:val="hybridMultilevel"/>
    <w:tmpl w:val="80FCB73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34AC56D6"/>
    <w:multiLevelType w:val="hybridMultilevel"/>
    <w:tmpl w:val="27A2D4BE"/>
    <w:lvl w:ilvl="0" w:tplc="0C09000F">
      <w:start w:val="1"/>
      <w:numFmt w:val="decimal"/>
      <w:lvlText w:val="%1."/>
      <w:lvlJc w:val="left"/>
      <w:pPr>
        <w:ind w:left="360" w:hanging="360"/>
      </w:pPr>
      <w:rPr>
        <w:rFonts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7E74D1C"/>
    <w:multiLevelType w:val="hybridMultilevel"/>
    <w:tmpl w:val="74D0B5A0"/>
    <w:lvl w:ilvl="0" w:tplc="DCF06DD8">
      <w:start w:val="2"/>
      <w:numFmt w:val="bullet"/>
      <w:lvlText w:val="-"/>
      <w:lvlJc w:val="left"/>
      <w:pPr>
        <w:ind w:left="360" w:hanging="360"/>
      </w:pPr>
      <w:rPr>
        <w:rFonts w:ascii="Arial Narrow" w:eastAsia="Times New Roman" w:hAnsi="Arial Narrow" w:cs="Arial Narro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3B7C34E2"/>
    <w:multiLevelType w:val="hybridMultilevel"/>
    <w:tmpl w:val="D01EA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CFD7793"/>
    <w:multiLevelType w:val="hybridMultilevel"/>
    <w:tmpl w:val="7FCC4898"/>
    <w:lvl w:ilvl="0" w:tplc="825210D8">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6">
    <w:nsid w:val="44CD3FB3"/>
    <w:multiLevelType w:val="hybridMultilevel"/>
    <w:tmpl w:val="F88A66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49B84FEE"/>
    <w:multiLevelType w:val="multilevel"/>
    <w:tmpl w:val="27E61530"/>
    <w:lvl w:ilvl="0">
      <w:start w:val="1"/>
      <w:numFmt w:val="decimal"/>
      <w:lvlText w:val="%1."/>
      <w:lvlJc w:val="left"/>
      <w:pPr>
        <w:ind w:left="720" w:hanging="36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FF74B3D"/>
    <w:multiLevelType w:val="hybridMultilevel"/>
    <w:tmpl w:val="451CD858"/>
    <w:lvl w:ilvl="0" w:tplc="FCF4AD2E">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70DF6BE1"/>
    <w:multiLevelType w:val="hybridMultilevel"/>
    <w:tmpl w:val="CC1A78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779614C5"/>
    <w:multiLevelType w:val="hybridMultilevel"/>
    <w:tmpl w:val="56FEAC40"/>
    <w:lvl w:ilvl="0" w:tplc="3F062656">
      <w:start w:val="17"/>
      <w:numFmt w:val="bullet"/>
      <w:lvlText w:val="-"/>
      <w:lvlJc w:val="left"/>
      <w:pPr>
        <w:ind w:left="360" w:hanging="360"/>
      </w:pPr>
      <w:rPr>
        <w:rFonts w:ascii="Candara" w:eastAsiaTheme="majorEastAsia" w:hAnsi="Candara" w:cstheme="majorBid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784D033C"/>
    <w:multiLevelType w:val="multilevel"/>
    <w:tmpl w:val="7DE43406"/>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17"/>
  </w:num>
  <w:num w:numId="3">
    <w:abstractNumId w:val="13"/>
  </w:num>
  <w:num w:numId="4">
    <w:abstractNumId w:val="1"/>
  </w:num>
  <w:num w:numId="5">
    <w:abstractNumId w:val="22"/>
  </w:num>
  <w:num w:numId="6">
    <w:abstractNumId w:val="14"/>
  </w:num>
  <w:num w:numId="7">
    <w:abstractNumId w:val="7"/>
  </w:num>
  <w:num w:numId="8">
    <w:abstractNumId w:val="16"/>
  </w:num>
  <w:num w:numId="9">
    <w:abstractNumId w:val="5"/>
  </w:num>
  <w:num w:numId="10">
    <w:abstractNumId w:val="6"/>
  </w:num>
  <w:num w:numId="11">
    <w:abstractNumId w:val="20"/>
  </w:num>
  <w:num w:numId="12">
    <w:abstractNumId w:val="4"/>
  </w:num>
  <w:num w:numId="13">
    <w:abstractNumId w:val="21"/>
  </w:num>
  <w:num w:numId="14">
    <w:abstractNumId w:val="11"/>
  </w:num>
  <w:num w:numId="15">
    <w:abstractNumId w:val="9"/>
  </w:num>
  <w:num w:numId="16">
    <w:abstractNumId w:val="2"/>
  </w:num>
  <w:num w:numId="17">
    <w:abstractNumId w:val="8"/>
  </w:num>
  <w:num w:numId="18">
    <w:abstractNumId w:val="12"/>
  </w:num>
  <w:num w:numId="19">
    <w:abstractNumId w:val="19"/>
  </w:num>
  <w:num w:numId="20">
    <w:abstractNumId w:val="22"/>
  </w:num>
  <w:num w:numId="21">
    <w:abstractNumId w:val="22"/>
  </w:num>
  <w:num w:numId="22">
    <w:abstractNumId w:val="18"/>
  </w:num>
  <w:num w:numId="23">
    <w:abstractNumId w:val="3"/>
  </w:num>
  <w:num w:numId="24">
    <w:abstractNumId w:val="0"/>
  </w:num>
  <w:num w:numId="25">
    <w:abstractNumId w:val="10"/>
  </w:num>
  <w:num w:numId="26">
    <w:abstractNumId w:val="2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630"/>
    <w:rsid w:val="00000131"/>
    <w:rsid w:val="00000306"/>
    <w:rsid w:val="000003C9"/>
    <w:rsid w:val="000006E5"/>
    <w:rsid w:val="00000790"/>
    <w:rsid w:val="0000110B"/>
    <w:rsid w:val="00002865"/>
    <w:rsid w:val="00002A3E"/>
    <w:rsid w:val="00002BE7"/>
    <w:rsid w:val="00002E00"/>
    <w:rsid w:val="00003499"/>
    <w:rsid w:val="00003A15"/>
    <w:rsid w:val="00003B4B"/>
    <w:rsid w:val="00004738"/>
    <w:rsid w:val="00004A7A"/>
    <w:rsid w:val="00004DBB"/>
    <w:rsid w:val="00004FB6"/>
    <w:rsid w:val="00005050"/>
    <w:rsid w:val="00005054"/>
    <w:rsid w:val="000054E2"/>
    <w:rsid w:val="00005960"/>
    <w:rsid w:val="00005D0E"/>
    <w:rsid w:val="00005FE7"/>
    <w:rsid w:val="000061AE"/>
    <w:rsid w:val="000069E5"/>
    <w:rsid w:val="00006EEB"/>
    <w:rsid w:val="000119BF"/>
    <w:rsid w:val="00011D73"/>
    <w:rsid w:val="00012E7F"/>
    <w:rsid w:val="00013107"/>
    <w:rsid w:val="00013247"/>
    <w:rsid w:val="000132C1"/>
    <w:rsid w:val="00013C22"/>
    <w:rsid w:val="00013C30"/>
    <w:rsid w:val="000144FF"/>
    <w:rsid w:val="000145A4"/>
    <w:rsid w:val="00014FF3"/>
    <w:rsid w:val="00015160"/>
    <w:rsid w:val="00015886"/>
    <w:rsid w:val="00015D79"/>
    <w:rsid w:val="000162EF"/>
    <w:rsid w:val="00017065"/>
    <w:rsid w:val="000170E8"/>
    <w:rsid w:val="00017F18"/>
    <w:rsid w:val="00020C91"/>
    <w:rsid w:val="00020D3A"/>
    <w:rsid w:val="00022144"/>
    <w:rsid w:val="0002225F"/>
    <w:rsid w:val="00023371"/>
    <w:rsid w:val="00023763"/>
    <w:rsid w:val="00023D41"/>
    <w:rsid w:val="000241DE"/>
    <w:rsid w:val="00024339"/>
    <w:rsid w:val="000254BA"/>
    <w:rsid w:val="000258B0"/>
    <w:rsid w:val="0002765C"/>
    <w:rsid w:val="00027B5C"/>
    <w:rsid w:val="00027B86"/>
    <w:rsid w:val="00027F47"/>
    <w:rsid w:val="000303D8"/>
    <w:rsid w:val="000305C5"/>
    <w:rsid w:val="00030A93"/>
    <w:rsid w:val="000316A9"/>
    <w:rsid w:val="00031BE1"/>
    <w:rsid w:val="00031ED4"/>
    <w:rsid w:val="00032D91"/>
    <w:rsid w:val="00033F28"/>
    <w:rsid w:val="00034450"/>
    <w:rsid w:val="000345CD"/>
    <w:rsid w:val="00034EA5"/>
    <w:rsid w:val="0003506C"/>
    <w:rsid w:val="00035232"/>
    <w:rsid w:val="00035E13"/>
    <w:rsid w:val="00036AE9"/>
    <w:rsid w:val="00036DF5"/>
    <w:rsid w:val="00040895"/>
    <w:rsid w:val="00041D27"/>
    <w:rsid w:val="00042B46"/>
    <w:rsid w:val="00042B6A"/>
    <w:rsid w:val="00042CAF"/>
    <w:rsid w:val="00042CFE"/>
    <w:rsid w:val="00042DA6"/>
    <w:rsid w:val="00043C37"/>
    <w:rsid w:val="0004470B"/>
    <w:rsid w:val="0004486B"/>
    <w:rsid w:val="00044A3C"/>
    <w:rsid w:val="00045BE6"/>
    <w:rsid w:val="0004620D"/>
    <w:rsid w:val="000463BF"/>
    <w:rsid w:val="00046466"/>
    <w:rsid w:val="000479E8"/>
    <w:rsid w:val="00047F3E"/>
    <w:rsid w:val="00050753"/>
    <w:rsid w:val="00050C13"/>
    <w:rsid w:val="00050C5B"/>
    <w:rsid w:val="00050CA5"/>
    <w:rsid w:val="00051AD3"/>
    <w:rsid w:val="00052399"/>
    <w:rsid w:val="000524A9"/>
    <w:rsid w:val="00052E76"/>
    <w:rsid w:val="00053443"/>
    <w:rsid w:val="00053CF7"/>
    <w:rsid w:val="000546D7"/>
    <w:rsid w:val="0005535A"/>
    <w:rsid w:val="000569E4"/>
    <w:rsid w:val="00056DD9"/>
    <w:rsid w:val="000570A1"/>
    <w:rsid w:val="00057975"/>
    <w:rsid w:val="000607ED"/>
    <w:rsid w:val="000607FE"/>
    <w:rsid w:val="00060C03"/>
    <w:rsid w:val="00060CD1"/>
    <w:rsid w:val="00061198"/>
    <w:rsid w:val="00061D28"/>
    <w:rsid w:val="00062A81"/>
    <w:rsid w:val="00062FCB"/>
    <w:rsid w:val="000631D7"/>
    <w:rsid w:val="0006352C"/>
    <w:rsid w:val="000637CD"/>
    <w:rsid w:val="00064963"/>
    <w:rsid w:val="0006647C"/>
    <w:rsid w:val="00066710"/>
    <w:rsid w:val="000668BF"/>
    <w:rsid w:val="00067636"/>
    <w:rsid w:val="0006774B"/>
    <w:rsid w:val="000677D7"/>
    <w:rsid w:val="00070274"/>
    <w:rsid w:val="00071248"/>
    <w:rsid w:val="00071A73"/>
    <w:rsid w:val="000720B9"/>
    <w:rsid w:val="00072484"/>
    <w:rsid w:val="00072890"/>
    <w:rsid w:val="00072C92"/>
    <w:rsid w:val="00074291"/>
    <w:rsid w:val="00074A1E"/>
    <w:rsid w:val="000759EA"/>
    <w:rsid w:val="00076A58"/>
    <w:rsid w:val="000771AA"/>
    <w:rsid w:val="00080909"/>
    <w:rsid w:val="00080BFD"/>
    <w:rsid w:val="00080EB9"/>
    <w:rsid w:val="000812CA"/>
    <w:rsid w:val="0008435C"/>
    <w:rsid w:val="00084CEB"/>
    <w:rsid w:val="00086257"/>
    <w:rsid w:val="00086722"/>
    <w:rsid w:val="00090C7E"/>
    <w:rsid w:val="00090F55"/>
    <w:rsid w:val="00091B10"/>
    <w:rsid w:val="00092CE6"/>
    <w:rsid w:val="000930CB"/>
    <w:rsid w:val="00094393"/>
    <w:rsid w:val="00094658"/>
    <w:rsid w:val="000947D7"/>
    <w:rsid w:val="0009492C"/>
    <w:rsid w:val="00094B05"/>
    <w:rsid w:val="00094E87"/>
    <w:rsid w:val="00095224"/>
    <w:rsid w:val="0009529A"/>
    <w:rsid w:val="00095DEC"/>
    <w:rsid w:val="00096463"/>
    <w:rsid w:val="0009700B"/>
    <w:rsid w:val="000970A5"/>
    <w:rsid w:val="000971B5"/>
    <w:rsid w:val="00097397"/>
    <w:rsid w:val="000A04F7"/>
    <w:rsid w:val="000A05A9"/>
    <w:rsid w:val="000A0691"/>
    <w:rsid w:val="000A06B6"/>
    <w:rsid w:val="000A08B5"/>
    <w:rsid w:val="000A1336"/>
    <w:rsid w:val="000A1712"/>
    <w:rsid w:val="000A20F6"/>
    <w:rsid w:val="000A3BAB"/>
    <w:rsid w:val="000A3F40"/>
    <w:rsid w:val="000A3F53"/>
    <w:rsid w:val="000A42CC"/>
    <w:rsid w:val="000A46DD"/>
    <w:rsid w:val="000A4AB9"/>
    <w:rsid w:val="000A63E6"/>
    <w:rsid w:val="000A654C"/>
    <w:rsid w:val="000A6FBE"/>
    <w:rsid w:val="000A73B8"/>
    <w:rsid w:val="000A757A"/>
    <w:rsid w:val="000A7E27"/>
    <w:rsid w:val="000A7FDA"/>
    <w:rsid w:val="000B0038"/>
    <w:rsid w:val="000B0D34"/>
    <w:rsid w:val="000B10CA"/>
    <w:rsid w:val="000B1259"/>
    <w:rsid w:val="000B13AD"/>
    <w:rsid w:val="000B1BBC"/>
    <w:rsid w:val="000B2075"/>
    <w:rsid w:val="000B2ED8"/>
    <w:rsid w:val="000B31D6"/>
    <w:rsid w:val="000B3EB0"/>
    <w:rsid w:val="000B584D"/>
    <w:rsid w:val="000B6FD0"/>
    <w:rsid w:val="000B74D0"/>
    <w:rsid w:val="000B7FA2"/>
    <w:rsid w:val="000C03E6"/>
    <w:rsid w:val="000C1003"/>
    <w:rsid w:val="000C1483"/>
    <w:rsid w:val="000C1505"/>
    <w:rsid w:val="000C23F8"/>
    <w:rsid w:val="000C2475"/>
    <w:rsid w:val="000C2710"/>
    <w:rsid w:val="000C2C73"/>
    <w:rsid w:val="000C2D81"/>
    <w:rsid w:val="000C304A"/>
    <w:rsid w:val="000C3182"/>
    <w:rsid w:val="000C3967"/>
    <w:rsid w:val="000C4032"/>
    <w:rsid w:val="000C4546"/>
    <w:rsid w:val="000C4B46"/>
    <w:rsid w:val="000C6040"/>
    <w:rsid w:val="000C6C9F"/>
    <w:rsid w:val="000C6D2E"/>
    <w:rsid w:val="000D0124"/>
    <w:rsid w:val="000D01B3"/>
    <w:rsid w:val="000D1BFC"/>
    <w:rsid w:val="000D1C38"/>
    <w:rsid w:val="000D25C8"/>
    <w:rsid w:val="000D281E"/>
    <w:rsid w:val="000D2A81"/>
    <w:rsid w:val="000D2F2C"/>
    <w:rsid w:val="000D3829"/>
    <w:rsid w:val="000D38FE"/>
    <w:rsid w:val="000D5E19"/>
    <w:rsid w:val="000D63D2"/>
    <w:rsid w:val="000D7579"/>
    <w:rsid w:val="000D7A7B"/>
    <w:rsid w:val="000E01B8"/>
    <w:rsid w:val="000E05D7"/>
    <w:rsid w:val="000E1139"/>
    <w:rsid w:val="000E1303"/>
    <w:rsid w:val="000E1487"/>
    <w:rsid w:val="000E1A2F"/>
    <w:rsid w:val="000E3268"/>
    <w:rsid w:val="000E3520"/>
    <w:rsid w:val="000E410A"/>
    <w:rsid w:val="000E4421"/>
    <w:rsid w:val="000E4745"/>
    <w:rsid w:val="000E4CE9"/>
    <w:rsid w:val="000E55CA"/>
    <w:rsid w:val="000E5643"/>
    <w:rsid w:val="000E5CA9"/>
    <w:rsid w:val="000E78F7"/>
    <w:rsid w:val="000E7D40"/>
    <w:rsid w:val="000F1198"/>
    <w:rsid w:val="000F178D"/>
    <w:rsid w:val="000F1CFC"/>
    <w:rsid w:val="000F1E43"/>
    <w:rsid w:val="000F2A41"/>
    <w:rsid w:val="000F2F33"/>
    <w:rsid w:val="000F309F"/>
    <w:rsid w:val="000F39E3"/>
    <w:rsid w:val="000F3C29"/>
    <w:rsid w:val="000F46B5"/>
    <w:rsid w:val="000F497A"/>
    <w:rsid w:val="000F4BB8"/>
    <w:rsid w:val="000F5C5E"/>
    <w:rsid w:val="000F5D9E"/>
    <w:rsid w:val="000F65AB"/>
    <w:rsid w:val="000F7127"/>
    <w:rsid w:val="000F7294"/>
    <w:rsid w:val="00100EA1"/>
    <w:rsid w:val="00100F8A"/>
    <w:rsid w:val="001016EB"/>
    <w:rsid w:val="00101DD6"/>
    <w:rsid w:val="00101E06"/>
    <w:rsid w:val="00102095"/>
    <w:rsid w:val="001022D7"/>
    <w:rsid w:val="001027BA"/>
    <w:rsid w:val="001028F5"/>
    <w:rsid w:val="001035A1"/>
    <w:rsid w:val="00103719"/>
    <w:rsid w:val="00103DAD"/>
    <w:rsid w:val="00103DDF"/>
    <w:rsid w:val="00103F15"/>
    <w:rsid w:val="00104E20"/>
    <w:rsid w:val="00104FEB"/>
    <w:rsid w:val="0010623C"/>
    <w:rsid w:val="001062DB"/>
    <w:rsid w:val="0011032E"/>
    <w:rsid w:val="0011058A"/>
    <w:rsid w:val="00110DE8"/>
    <w:rsid w:val="00111DC6"/>
    <w:rsid w:val="0011253B"/>
    <w:rsid w:val="0011348B"/>
    <w:rsid w:val="00113A56"/>
    <w:rsid w:val="00113A78"/>
    <w:rsid w:val="001141C5"/>
    <w:rsid w:val="001141C9"/>
    <w:rsid w:val="0011470C"/>
    <w:rsid w:val="0011475D"/>
    <w:rsid w:val="001147D6"/>
    <w:rsid w:val="00115ED3"/>
    <w:rsid w:val="00116349"/>
    <w:rsid w:val="00117133"/>
    <w:rsid w:val="00117C71"/>
    <w:rsid w:val="00117D01"/>
    <w:rsid w:val="00120630"/>
    <w:rsid w:val="00120B10"/>
    <w:rsid w:val="00120CA1"/>
    <w:rsid w:val="001212D0"/>
    <w:rsid w:val="001213D6"/>
    <w:rsid w:val="00121799"/>
    <w:rsid w:val="0012194A"/>
    <w:rsid w:val="00122066"/>
    <w:rsid w:val="001222FC"/>
    <w:rsid w:val="001227E1"/>
    <w:rsid w:val="00122B6B"/>
    <w:rsid w:val="001233F2"/>
    <w:rsid w:val="00123AB7"/>
    <w:rsid w:val="00123E1B"/>
    <w:rsid w:val="00124827"/>
    <w:rsid w:val="00124923"/>
    <w:rsid w:val="00124A51"/>
    <w:rsid w:val="00124D66"/>
    <w:rsid w:val="001259E2"/>
    <w:rsid w:val="00125CE1"/>
    <w:rsid w:val="00125E14"/>
    <w:rsid w:val="00126621"/>
    <w:rsid w:val="001266A8"/>
    <w:rsid w:val="0012690D"/>
    <w:rsid w:val="00127A93"/>
    <w:rsid w:val="0013016A"/>
    <w:rsid w:val="001301E9"/>
    <w:rsid w:val="0013022F"/>
    <w:rsid w:val="00130EC8"/>
    <w:rsid w:val="00131330"/>
    <w:rsid w:val="0013171C"/>
    <w:rsid w:val="001330B1"/>
    <w:rsid w:val="00133B9B"/>
    <w:rsid w:val="00134031"/>
    <w:rsid w:val="001346DE"/>
    <w:rsid w:val="00134D90"/>
    <w:rsid w:val="00134DE3"/>
    <w:rsid w:val="00134E2D"/>
    <w:rsid w:val="0013510D"/>
    <w:rsid w:val="00135E10"/>
    <w:rsid w:val="001361BF"/>
    <w:rsid w:val="00137259"/>
    <w:rsid w:val="00137645"/>
    <w:rsid w:val="00137947"/>
    <w:rsid w:val="00137E83"/>
    <w:rsid w:val="0014015A"/>
    <w:rsid w:val="00140C58"/>
    <w:rsid w:val="00140DAE"/>
    <w:rsid w:val="00140E99"/>
    <w:rsid w:val="001428B9"/>
    <w:rsid w:val="00142C5F"/>
    <w:rsid w:val="00142E79"/>
    <w:rsid w:val="00142F8A"/>
    <w:rsid w:val="00143484"/>
    <w:rsid w:val="0014361D"/>
    <w:rsid w:val="0014417B"/>
    <w:rsid w:val="00145540"/>
    <w:rsid w:val="001456B0"/>
    <w:rsid w:val="001458A6"/>
    <w:rsid w:val="00146FD9"/>
    <w:rsid w:val="00151405"/>
    <w:rsid w:val="00151BDD"/>
    <w:rsid w:val="001528FC"/>
    <w:rsid w:val="00153815"/>
    <w:rsid w:val="00155F03"/>
    <w:rsid w:val="001562F4"/>
    <w:rsid w:val="00156767"/>
    <w:rsid w:val="00157130"/>
    <w:rsid w:val="0015726B"/>
    <w:rsid w:val="001572D1"/>
    <w:rsid w:val="001572EC"/>
    <w:rsid w:val="001604CD"/>
    <w:rsid w:val="00160796"/>
    <w:rsid w:val="00160A9A"/>
    <w:rsid w:val="001620DA"/>
    <w:rsid w:val="001628E3"/>
    <w:rsid w:val="00162913"/>
    <w:rsid w:val="0016298D"/>
    <w:rsid w:val="00162C10"/>
    <w:rsid w:val="00162DD0"/>
    <w:rsid w:val="00163EFF"/>
    <w:rsid w:val="00164202"/>
    <w:rsid w:val="0016428C"/>
    <w:rsid w:val="00164D4D"/>
    <w:rsid w:val="001651D6"/>
    <w:rsid w:val="00165A0D"/>
    <w:rsid w:val="001661FB"/>
    <w:rsid w:val="0017013B"/>
    <w:rsid w:val="0017027A"/>
    <w:rsid w:val="00170564"/>
    <w:rsid w:val="001705B0"/>
    <w:rsid w:val="001706A9"/>
    <w:rsid w:val="001714E6"/>
    <w:rsid w:val="00172468"/>
    <w:rsid w:val="001725F5"/>
    <w:rsid w:val="00172CEA"/>
    <w:rsid w:val="0017445D"/>
    <w:rsid w:val="00175221"/>
    <w:rsid w:val="00175EBE"/>
    <w:rsid w:val="001764C1"/>
    <w:rsid w:val="00176E13"/>
    <w:rsid w:val="001772F3"/>
    <w:rsid w:val="001775E5"/>
    <w:rsid w:val="00177739"/>
    <w:rsid w:val="001805A8"/>
    <w:rsid w:val="00180B67"/>
    <w:rsid w:val="00180FFA"/>
    <w:rsid w:val="00181407"/>
    <w:rsid w:val="00182E49"/>
    <w:rsid w:val="0018349B"/>
    <w:rsid w:val="00184152"/>
    <w:rsid w:val="00184513"/>
    <w:rsid w:val="0018634F"/>
    <w:rsid w:val="00187221"/>
    <w:rsid w:val="0018752F"/>
    <w:rsid w:val="00187D4B"/>
    <w:rsid w:val="00190721"/>
    <w:rsid w:val="00191314"/>
    <w:rsid w:val="00191C71"/>
    <w:rsid w:val="00192A71"/>
    <w:rsid w:val="00192EBC"/>
    <w:rsid w:val="00194713"/>
    <w:rsid w:val="00195222"/>
    <w:rsid w:val="0019537E"/>
    <w:rsid w:val="00196227"/>
    <w:rsid w:val="001975D8"/>
    <w:rsid w:val="00197F70"/>
    <w:rsid w:val="001A060F"/>
    <w:rsid w:val="001A11C3"/>
    <w:rsid w:val="001A1330"/>
    <w:rsid w:val="001A1386"/>
    <w:rsid w:val="001A1B2C"/>
    <w:rsid w:val="001A20D2"/>
    <w:rsid w:val="001A3C36"/>
    <w:rsid w:val="001A414B"/>
    <w:rsid w:val="001A47CA"/>
    <w:rsid w:val="001A546B"/>
    <w:rsid w:val="001A57D4"/>
    <w:rsid w:val="001A5A5C"/>
    <w:rsid w:val="001A5C36"/>
    <w:rsid w:val="001A5E51"/>
    <w:rsid w:val="001A6529"/>
    <w:rsid w:val="001A6A61"/>
    <w:rsid w:val="001A6CE6"/>
    <w:rsid w:val="001A6DB6"/>
    <w:rsid w:val="001A6E8F"/>
    <w:rsid w:val="001A6F3A"/>
    <w:rsid w:val="001A74B1"/>
    <w:rsid w:val="001A7697"/>
    <w:rsid w:val="001B0AD0"/>
    <w:rsid w:val="001B0FDB"/>
    <w:rsid w:val="001B1AF7"/>
    <w:rsid w:val="001B3022"/>
    <w:rsid w:val="001B3443"/>
    <w:rsid w:val="001B48AE"/>
    <w:rsid w:val="001B692F"/>
    <w:rsid w:val="001C086A"/>
    <w:rsid w:val="001C0AE6"/>
    <w:rsid w:val="001C0DD2"/>
    <w:rsid w:val="001C1894"/>
    <w:rsid w:val="001C2648"/>
    <w:rsid w:val="001C3F44"/>
    <w:rsid w:val="001C4C6E"/>
    <w:rsid w:val="001C4F3B"/>
    <w:rsid w:val="001C53DE"/>
    <w:rsid w:val="001C6508"/>
    <w:rsid w:val="001C6E66"/>
    <w:rsid w:val="001C76AD"/>
    <w:rsid w:val="001D0643"/>
    <w:rsid w:val="001D09B7"/>
    <w:rsid w:val="001D10F5"/>
    <w:rsid w:val="001D1441"/>
    <w:rsid w:val="001D1457"/>
    <w:rsid w:val="001D1B93"/>
    <w:rsid w:val="001D1CFF"/>
    <w:rsid w:val="001D1E09"/>
    <w:rsid w:val="001D23D0"/>
    <w:rsid w:val="001D2766"/>
    <w:rsid w:val="001D278F"/>
    <w:rsid w:val="001D2C93"/>
    <w:rsid w:val="001D30EF"/>
    <w:rsid w:val="001D3D3A"/>
    <w:rsid w:val="001D3F25"/>
    <w:rsid w:val="001D4707"/>
    <w:rsid w:val="001D482C"/>
    <w:rsid w:val="001D58C9"/>
    <w:rsid w:val="001D594A"/>
    <w:rsid w:val="001D63CA"/>
    <w:rsid w:val="001D65F2"/>
    <w:rsid w:val="001D6CCB"/>
    <w:rsid w:val="001D701B"/>
    <w:rsid w:val="001D785C"/>
    <w:rsid w:val="001E005A"/>
    <w:rsid w:val="001E018A"/>
    <w:rsid w:val="001E0553"/>
    <w:rsid w:val="001E0D78"/>
    <w:rsid w:val="001E12A5"/>
    <w:rsid w:val="001E238E"/>
    <w:rsid w:val="001E24E8"/>
    <w:rsid w:val="001E2B07"/>
    <w:rsid w:val="001E2B17"/>
    <w:rsid w:val="001E2B1E"/>
    <w:rsid w:val="001E37D9"/>
    <w:rsid w:val="001E47BD"/>
    <w:rsid w:val="001E52EB"/>
    <w:rsid w:val="001E70DE"/>
    <w:rsid w:val="001E740C"/>
    <w:rsid w:val="001E7DA2"/>
    <w:rsid w:val="001F077F"/>
    <w:rsid w:val="001F0D43"/>
    <w:rsid w:val="001F0E9D"/>
    <w:rsid w:val="001F1235"/>
    <w:rsid w:val="001F125E"/>
    <w:rsid w:val="001F1A0F"/>
    <w:rsid w:val="001F1CB3"/>
    <w:rsid w:val="001F349D"/>
    <w:rsid w:val="001F4D8A"/>
    <w:rsid w:val="001F55CC"/>
    <w:rsid w:val="001F5D86"/>
    <w:rsid w:val="001F6EC8"/>
    <w:rsid w:val="001F7361"/>
    <w:rsid w:val="001F76A0"/>
    <w:rsid w:val="001F7EC3"/>
    <w:rsid w:val="00200778"/>
    <w:rsid w:val="002007FB"/>
    <w:rsid w:val="00200DD5"/>
    <w:rsid w:val="00203173"/>
    <w:rsid w:val="0020336C"/>
    <w:rsid w:val="0020385F"/>
    <w:rsid w:val="00203CA9"/>
    <w:rsid w:val="0020470B"/>
    <w:rsid w:val="00204B3F"/>
    <w:rsid w:val="00204E98"/>
    <w:rsid w:val="002059ED"/>
    <w:rsid w:val="00206106"/>
    <w:rsid w:val="0020669A"/>
    <w:rsid w:val="002067B3"/>
    <w:rsid w:val="00207021"/>
    <w:rsid w:val="002070C6"/>
    <w:rsid w:val="00207C97"/>
    <w:rsid w:val="00207D00"/>
    <w:rsid w:val="002105C1"/>
    <w:rsid w:val="002118BE"/>
    <w:rsid w:val="00211A15"/>
    <w:rsid w:val="00211A36"/>
    <w:rsid w:val="00212C46"/>
    <w:rsid w:val="00213127"/>
    <w:rsid w:val="00214452"/>
    <w:rsid w:val="00214798"/>
    <w:rsid w:val="00214DDB"/>
    <w:rsid w:val="0021501D"/>
    <w:rsid w:val="002172E0"/>
    <w:rsid w:val="0021739B"/>
    <w:rsid w:val="00217CA4"/>
    <w:rsid w:val="00220050"/>
    <w:rsid w:val="0022009F"/>
    <w:rsid w:val="00220F31"/>
    <w:rsid w:val="00221623"/>
    <w:rsid w:val="00222978"/>
    <w:rsid w:val="002236FA"/>
    <w:rsid w:val="00223A5D"/>
    <w:rsid w:val="00223B49"/>
    <w:rsid w:val="00224DD4"/>
    <w:rsid w:val="002257D4"/>
    <w:rsid w:val="002261DC"/>
    <w:rsid w:val="002270DC"/>
    <w:rsid w:val="0022740C"/>
    <w:rsid w:val="002279A0"/>
    <w:rsid w:val="00227DE9"/>
    <w:rsid w:val="002309CC"/>
    <w:rsid w:val="00230B5D"/>
    <w:rsid w:val="002326C2"/>
    <w:rsid w:val="00232C24"/>
    <w:rsid w:val="00233B5C"/>
    <w:rsid w:val="0023521B"/>
    <w:rsid w:val="00235CC4"/>
    <w:rsid w:val="00236C35"/>
    <w:rsid w:val="00237E42"/>
    <w:rsid w:val="002404C6"/>
    <w:rsid w:val="002415D5"/>
    <w:rsid w:val="00241B35"/>
    <w:rsid w:val="002422EC"/>
    <w:rsid w:val="002425BB"/>
    <w:rsid w:val="00243CAC"/>
    <w:rsid w:val="002459DF"/>
    <w:rsid w:val="00245C81"/>
    <w:rsid w:val="002460D0"/>
    <w:rsid w:val="002479D3"/>
    <w:rsid w:val="00250ECD"/>
    <w:rsid w:val="00250FF5"/>
    <w:rsid w:val="002512C2"/>
    <w:rsid w:val="0025146E"/>
    <w:rsid w:val="00252577"/>
    <w:rsid w:val="00252B27"/>
    <w:rsid w:val="00252B3F"/>
    <w:rsid w:val="00252C56"/>
    <w:rsid w:val="00252C9F"/>
    <w:rsid w:val="002538E2"/>
    <w:rsid w:val="00254101"/>
    <w:rsid w:val="00254238"/>
    <w:rsid w:val="002548F6"/>
    <w:rsid w:val="00254DCF"/>
    <w:rsid w:val="00254F50"/>
    <w:rsid w:val="0025534B"/>
    <w:rsid w:val="00255BB7"/>
    <w:rsid w:val="002569B2"/>
    <w:rsid w:val="00257047"/>
    <w:rsid w:val="0025710A"/>
    <w:rsid w:val="00257D9F"/>
    <w:rsid w:val="00257DF0"/>
    <w:rsid w:val="00257E2C"/>
    <w:rsid w:val="00257F89"/>
    <w:rsid w:val="002600F2"/>
    <w:rsid w:val="0026074A"/>
    <w:rsid w:val="002615D0"/>
    <w:rsid w:val="002616F0"/>
    <w:rsid w:val="00261E07"/>
    <w:rsid w:val="00262214"/>
    <w:rsid w:val="00262A87"/>
    <w:rsid w:val="0026373E"/>
    <w:rsid w:val="00263A99"/>
    <w:rsid w:val="00263B99"/>
    <w:rsid w:val="00264D51"/>
    <w:rsid w:val="002657DE"/>
    <w:rsid w:val="002657F5"/>
    <w:rsid w:val="00265C1A"/>
    <w:rsid w:val="00265D13"/>
    <w:rsid w:val="0026758E"/>
    <w:rsid w:val="00267822"/>
    <w:rsid w:val="00267E7E"/>
    <w:rsid w:val="002707E0"/>
    <w:rsid w:val="00270E85"/>
    <w:rsid w:val="002710B2"/>
    <w:rsid w:val="00271DFB"/>
    <w:rsid w:val="002724C0"/>
    <w:rsid w:val="00273DBA"/>
    <w:rsid w:val="0027465A"/>
    <w:rsid w:val="002748E3"/>
    <w:rsid w:val="00274FDF"/>
    <w:rsid w:val="00275504"/>
    <w:rsid w:val="002759C1"/>
    <w:rsid w:val="00275C5A"/>
    <w:rsid w:val="002803BF"/>
    <w:rsid w:val="0028068E"/>
    <w:rsid w:val="0028095B"/>
    <w:rsid w:val="00280E4B"/>
    <w:rsid w:val="00281014"/>
    <w:rsid w:val="00281629"/>
    <w:rsid w:val="00281CBD"/>
    <w:rsid w:val="00281EFA"/>
    <w:rsid w:val="002825E2"/>
    <w:rsid w:val="002829C7"/>
    <w:rsid w:val="00282A5B"/>
    <w:rsid w:val="00283ECC"/>
    <w:rsid w:val="00285D62"/>
    <w:rsid w:val="00286433"/>
    <w:rsid w:val="00290A62"/>
    <w:rsid w:val="00290BE7"/>
    <w:rsid w:val="00291B0E"/>
    <w:rsid w:val="002920DB"/>
    <w:rsid w:val="00292580"/>
    <w:rsid w:val="0029333B"/>
    <w:rsid w:val="0029337B"/>
    <w:rsid w:val="00294522"/>
    <w:rsid w:val="0029677C"/>
    <w:rsid w:val="0029744E"/>
    <w:rsid w:val="002979D4"/>
    <w:rsid w:val="002A0D08"/>
    <w:rsid w:val="002A0D75"/>
    <w:rsid w:val="002A14AB"/>
    <w:rsid w:val="002A1E55"/>
    <w:rsid w:val="002A2955"/>
    <w:rsid w:val="002A3F48"/>
    <w:rsid w:val="002A40C8"/>
    <w:rsid w:val="002A621F"/>
    <w:rsid w:val="002A6358"/>
    <w:rsid w:val="002A7589"/>
    <w:rsid w:val="002A78D9"/>
    <w:rsid w:val="002B002B"/>
    <w:rsid w:val="002B0829"/>
    <w:rsid w:val="002B1BC5"/>
    <w:rsid w:val="002B1C1F"/>
    <w:rsid w:val="002B1D81"/>
    <w:rsid w:val="002B230C"/>
    <w:rsid w:val="002B24F0"/>
    <w:rsid w:val="002B25AF"/>
    <w:rsid w:val="002B27A3"/>
    <w:rsid w:val="002B2E45"/>
    <w:rsid w:val="002B3153"/>
    <w:rsid w:val="002B3422"/>
    <w:rsid w:val="002B3AC5"/>
    <w:rsid w:val="002B432F"/>
    <w:rsid w:val="002B43AA"/>
    <w:rsid w:val="002B4AEB"/>
    <w:rsid w:val="002B5E20"/>
    <w:rsid w:val="002B605E"/>
    <w:rsid w:val="002B6A0D"/>
    <w:rsid w:val="002B6AB5"/>
    <w:rsid w:val="002B6CB0"/>
    <w:rsid w:val="002B6CCE"/>
    <w:rsid w:val="002B6D6A"/>
    <w:rsid w:val="002B7330"/>
    <w:rsid w:val="002C23AB"/>
    <w:rsid w:val="002C2775"/>
    <w:rsid w:val="002C27C1"/>
    <w:rsid w:val="002C2CF3"/>
    <w:rsid w:val="002C3326"/>
    <w:rsid w:val="002C3507"/>
    <w:rsid w:val="002C3670"/>
    <w:rsid w:val="002C3713"/>
    <w:rsid w:val="002C3E2D"/>
    <w:rsid w:val="002C3FDA"/>
    <w:rsid w:val="002C4030"/>
    <w:rsid w:val="002C41DE"/>
    <w:rsid w:val="002C4A2E"/>
    <w:rsid w:val="002C6B30"/>
    <w:rsid w:val="002C6DD6"/>
    <w:rsid w:val="002C7390"/>
    <w:rsid w:val="002C7E2C"/>
    <w:rsid w:val="002D03BA"/>
    <w:rsid w:val="002D0A04"/>
    <w:rsid w:val="002D0ABF"/>
    <w:rsid w:val="002D0CB7"/>
    <w:rsid w:val="002D2617"/>
    <w:rsid w:val="002D40CB"/>
    <w:rsid w:val="002D47F9"/>
    <w:rsid w:val="002D5A3D"/>
    <w:rsid w:val="002D5DD2"/>
    <w:rsid w:val="002D6680"/>
    <w:rsid w:val="002D698D"/>
    <w:rsid w:val="002D7C42"/>
    <w:rsid w:val="002E1131"/>
    <w:rsid w:val="002E13F5"/>
    <w:rsid w:val="002E148E"/>
    <w:rsid w:val="002E1D2D"/>
    <w:rsid w:val="002E24A8"/>
    <w:rsid w:val="002E32EE"/>
    <w:rsid w:val="002E430C"/>
    <w:rsid w:val="002E4DA0"/>
    <w:rsid w:val="002E4F71"/>
    <w:rsid w:val="002E52E9"/>
    <w:rsid w:val="002E5A16"/>
    <w:rsid w:val="002E6117"/>
    <w:rsid w:val="002E631F"/>
    <w:rsid w:val="002E70CC"/>
    <w:rsid w:val="002E70D5"/>
    <w:rsid w:val="002E7218"/>
    <w:rsid w:val="002F0395"/>
    <w:rsid w:val="002F194B"/>
    <w:rsid w:val="002F1E83"/>
    <w:rsid w:val="002F2889"/>
    <w:rsid w:val="002F3E1D"/>
    <w:rsid w:val="002F4B6E"/>
    <w:rsid w:val="002F503E"/>
    <w:rsid w:val="002F6DD2"/>
    <w:rsid w:val="002F6F7B"/>
    <w:rsid w:val="002F723B"/>
    <w:rsid w:val="002F72C3"/>
    <w:rsid w:val="002F75D0"/>
    <w:rsid w:val="00300D9C"/>
    <w:rsid w:val="00301017"/>
    <w:rsid w:val="00301535"/>
    <w:rsid w:val="00302DBF"/>
    <w:rsid w:val="00302E7B"/>
    <w:rsid w:val="00303AF6"/>
    <w:rsid w:val="00303F70"/>
    <w:rsid w:val="0030541F"/>
    <w:rsid w:val="00305C9F"/>
    <w:rsid w:val="00305E90"/>
    <w:rsid w:val="00306D66"/>
    <w:rsid w:val="00307655"/>
    <w:rsid w:val="0030786C"/>
    <w:rsid w:val="00307B18"/>
    <w:rsid w:val="0031031A"/>
    <w:rsid w:val="00310981"/>
    <w:rsid w:val="00310BF9"/>
    <w:rsid w:val="0031189F"/>
    <w:rsid w:val="0031286B"/>
    <w:rsid w:val="00314676"/>
    <w:rsid w:val="003147FD"/>
    <w:rsid w:val="003149DD"/>
    <w:rsid w:val="00314FC8"/>
    <w:rsid w:val="00315140"/>
    <w:rsid w:val="00315498"/>
    <w:rsid w:val="00316160"/>
    <w:rsid w:val="00316229"/>
    <w:rsid w:val="00316E55"/>
    <w:rsid w:val="003172D7"/>
    <w:rsid w:val="00320D27"/>
    <w:rsid w:val="00320DBA"/>
    <w:rsid w:val="003211E7"/>
    <w:rsid w:val="003227E1"/>
    <w:rsid w:val="003228AB"/>
    <w:rsid w:val="003235D3"/>
    <w:rsid w:val="003240F1"/>
    <w:rsid w:val="00324D4E"/>
    <w:rsid w:val="00325654"/>
    <w:rsid w:val="0032683D"/>
    <w:rsid w:val="00326A6D"/>
    <w:rsid w:val="003275BF"/>
    <w:rsid w:val="003278AB"/>
    <w:rsid w:val="00327CBD"/>
    <w:rsid w:val="00327CF0"/>
    <w:rsid w:val="003303BD"/>
    <w:rsid w:val="00330B63"/>
    <w:rsid w:val="0033125E"/>
    <w:rsid w:val="00331394"/>
    <w:rsid w:val="00331A35"/>
    <w:rsid w:val="00331B93"/>
    <w:rsid w:val="00331E06"/>
    <w:rsid w:val="0033235C"/>
    <w:rsid w:val="00332A11"/>
    <w:rsid w:val="00332EA0"/>
    <w:rsid w:val="00333FCB"/>
    <w:rsid w:val="00334051"/>
    <w:rsid w:val="0033447A"/>
    <w:rsid w:val="00336377"/>
    <w:rsid w:val="003366C9"/>
    <w:rsid w:val="003367AE"/>
    <w:rsid w:val="003371B0"/>
    <w:rsid w:val="00337589"/>
    <w:rsid w:val="00340D4C"/>
    <w:rsid w:val="00341D83"/>
    <w:rsid w:val="00342031"/>
    <w:rsid w:val="00342B45"/>
    <w:rsid w:val="003438D0"/>
    <w:rsid w:val="00343F26"/>
    <w:rsid w:val="0034420B"/>
    <w:rsid w:val="00344DCC"/>
    <w:rsid w:val="00345107"/>
    <w:rsid w:val="00345342"/>
    <w:rsid w:val="00345B59"/>
    <w:rsid w:val="00345EA2"/>
    <w:rsid w:val="003475B1"/>
    <w:rsid w:val="0034791A"/>
    <w:rsid w:val="003479C8"/>
    <w:rsid w:val="00347E04"/>
    <w:rsid w:val="00347FF1"/>
    <w:rsid w:val="00350235"/>
    <w:rsid w:val="00350B47"/>
    <w:rsid w:val="0035291C"/>
    <w:rsid w:val="003534AA"/>
    <w:rsid w:val="00353E2A"/>
    <w:rsid w:val="00354212"/>
    <w:rsid w:val="00355CA1"/>
    <w:rsid w:val="0035620E"/>
    <w:rsid w:val="00356278"/>
    <w:rsid w:val="00356348"/>
    <w:rsid w:val="00357913"/>
    <w:rsid w:val="00357CA0"/>
    <w:rsid w:val="00357CA2"/>
    <w:rsid w:val="00360B83"/>
    <w:rsid w:val="00360C5E"/>
    <w:rsid w:val="00361280"/>
    <w:rsid w:val="00361312"/>
    <w:rsid w:val="003619CA"/>
    <w:rsid w:val="00362CAD"/>
    <w:rsid w:val="003637B3"/>
    <w:rsid w:val="00363D0C"/>
    <w:rsid w:val="00363E52"/>
    <w:rsid w:val="003642AA"/>
    <w:rsid w:val="0036526A"/>
    <w:rsid w:val="00365AB2"/>
    <w:rsid w:val="00365C11"/>
    <w:rsid w:val="00366057"/>
    <w:rsid w:val="0036625C"/>
    <w:rsid w:val="003662CE"/>
    <w:rsid w:val="003669F3"/>
    <w:rsid w:val="00367521"/>
    <w:rsid w:val="003679D2"/>
    <w:rsid w:val="003701DC"/>
    <w:rsid w:val="00371363"/>
    <w:rsid w:val="00371744"/>
    <w:rsid w:val="003728A4"/>
    <w:rsid w:val="00376164"/>
    <w:rsid w:val="00376A4E"/>
    <w:rsid w:val="00376CFF"/>
    <w:rsid w:val="00376D41"/>
    <w:rsid w:val="00377239"/>
    <w:rsid w:val="00377324"/>
    <w:rsid w:val="0037767A"/>
    <w:rsid w:val="003777CF"/>
    <w:rsid w:val="00377EEC"/>
    <w:rsid w:val="0038018D"/>
    <w:rsid w:val="0038025D"/>
    <w:rsid w:val="003803A3"/>
    <w:rsid w:val="003807D9"/>
    <w:rsid w:val="0038102F"/>
    <w:rsid w:val="0038259E"/>
    <w:rsid w:val="00382B78"/>
    <w:rsid w:val="0038365C"/>
    <w:rsid w:val="003836E8"/>
    <w:rsid w:val="00383713"/>
    <w:rsid w:val="00383DB5"/>
    <w:rsid w:val="00384482"/>
    <w:rsid w:val="0038470A"/>
    <w:rsid w:val="00385533"/>
    <w:rsid w:val="00386DC1"/>
    <w:rsid w:val="003870A7"/>
    <w:rsid w:val="00387108"/>
    <w:rsid w:val="00387706"/>
    <w:rsid w:val="0038775D"/>
    <w:rsid w:val="00387AEA"/>
    <w:rsid w:val="003948C3"/>
    <w:rsid w:val="003949AA"/>
    <w:rsid w:val="00394E5F"/>
    <w:rsid w:val="00394F12"/>
    <w:rsid w:val="00396F49"/>
    <w:rsid w:val="00396FD0"/>
    <w:rsid w:val="003971C8"/>
    <w:rsid w:val="00397704"/>
    <w:rsid w:val="0039779A"/>
    <w:rsid w:val="00397851"/>
    <w:rsid w:val="0039795B"/>
    <w:rsid w:val="003A0245"/>
    <w:rsid w:val="003A0723"/>
    <w:rsid w:val="003A09BA"/>
    <w:rsid w:val="003A19F9"/>
    <w:rsid w:val="003A1A7A"/>
    <w:rsid w:val="003A1DAF"/>
    <w:rsid w:val="003A20C4"/>
    <w:rsid w:val="003A211A"/>
    <w:rsid w:val="003A2663"/>
    <w:rsid w:val="003A2FF5"/>
    <w:rsid w:val="003A3477"/>
    <w:rsid w:val="003A43E9"/>
    <w:rsid w:val="003A45E0"/>
    <w:rsid w:val="003A52CE"/>
    <w:rsid w:val="003A5A13"/>
    <w:rsid w:val="003A625F"/>
    <w:rsid w:val="003A662F"/>
    <w:rsid w:val="003A690F"/>
    <w:rsid w:val="003A693D"/>
    <w:rsid w:val="003A6A76"/>
    <w:rsid w:val="003A79D6"/>
    <w:rsid w:val="003A7BF3"/>
    <w:rsid w:val="003B04F2"/>
    <w:rsid w:val="003B0782"/>
    <w:rsid w:val="003B0AFB"/>
    <w:rsid w:val="003B1CE2"/>
    <w:rsid w:val="003B27B5"/>
    <w:rsid w:val="003B27E3"/>
    <w:rsid w:val="003B3361"/>
    <w:rsid w:val="003B3E12"/>
    <w:rsid w:val="003B4DB3"/>
    <w:rsid w:val="003B5E37"/>
    <w:rsid w:val="003B6A6E"/>
    <w:rsid w:val="003B727A"/>
    <w:rsid w:val="003B7576"/>
    <w:rsid w:val="003C0EB4"/>
    <w:rsid w:val="003C24E6"/>
    <w:rsid w:val="003C2955"/>
    <w:rsid w:val="003C3915"/>
    <w:rsid w:val="003C4758"/>
    <w:rsid w:val="003C4D35"/>
    <w:rsid w:val="003C571C"/>
    <w:rsid w:val="003C6E17"/>
    <w:rsid w:val="003C7034"/>
    <w:rsid w:val="003C724A"/>
    <w:rsid w:val="003C72CF"/>
    <w:rsid w:val="003C7BCE"/>
    <w:rsid w:val="003C7E34"/>
    <w:rsid w:val="003D034E"/>
    <w:rsid w:val="003D0A23"/>
    <w:rsid w:val="003D0AC5"/>
    <w:rsid w:val="003D1828"/>
    <w:rsid w:val="003D2422"/>
    <w:rsid w:val="003D2744"/>
    <w:rsid w:val="003D2CE2"/>
    <w:rsid w:val="003D30B8"/>
    <w:rsid w:val="003D30E1"/>
    <w:rsid w:val="003D3634"/>
    <w:rsid w:val="003D3DE8"/>
    <w:rsid w:val="003D3DEA"/>
    <w:rsid w:val="003D3E31"/>
    <w:rsid w:val="003D43FB"/>
    <w:rsid w:val="003D480F"/>
    <w:rsid w:val="003D4A76"/>
    <w:rsid w:val="003D4E63"/>
    <w:rsid w:val="003D4F6B"/>
    <w:rsid w:val="003D549B"/>
    <w:rsid w:val="003D5791"/>
    <w:rsid w:val="003D5A30"/>
    <w:rsid w:val="003D6775"/>
    <w:rsid w:val="003D72E7"/>
    <w:rsid w:val="003D73A3"/>
    <w:rsid w:val="003D7A0F"/>
    <w:rsid w:val="003E189F"/>
    <w:rsid w:val="003E1BA5"/>
    <w:rsid w:val="003E1D01"/>
    <w:rsid w:val="003E2AB5"/>
    <w:rsid w:val="003E2FB8"/>
    <w:rsid w:val="003E3029"/>
    <w:rsid w:val="003E39F4"/>
    <w:rsid w:val="003E3EA6"/>
    <w:rsid w:val="003E4153"/>
    <w:rsid w:val="003E5159"/>
    <w:rsid w:val="003E5208"/>
    <w:rsid w:val="003E5AE3"/>
    <w:rsid w:val="003E5FA3"/>
    <w:rsid w:val="003E7288"/>
    <w:rsid w:val="003E77B4"/>
    <w:rsid w:val="003F01C2"/>
    <w:rsid w:val="003F0BDB"/>
    <w:rsid w:val="003F177C"/>
    <w:rsid w:val="003F1EA4"/>
    <w:rsid w:val="003F2419"/>
    <w:rsid w:val="003F2CDC"/>
    <w:rsid w:val="003F3D6D"/>
    <w:rsid w:val="003F3D84"/>
    <w:rsid w:val="003F4156"/>
    <w:rsid w:val="003F42F3"/>
    <w:rsid w:val="003F487C"/>
    <w:rsid w:val="003F4DBF"/>
    <w:rsid w:val="003F506E"/>
    <w:rsid w:val="003F5A02"/>
    <w:rsid w:val="003F5B98"/>
    <w:rsid w:val="003F6A65"/>
    <w:rsid w:val="003F7672"/>
    <w:rsid w:val="003F7BAE"/>
    <w:rsid w:val="003F7FED"/>
    <w:rsid w:val="0040080F"/>
    <w:rsid w:val="0040111C"/>
    <w:rsid w:val="0040118F"/>
    <w:rsid w:val="004017F6"/>
    <w:rsid w:val="0040207A"/>
    <w:rsid w:val="0040249E"/>
    <w:rsid w:val="00402F36"/>
    <w:rsid w:val="00403F46"/>
    <w:rsid w:val="00404C4C"/>
    <w:rsid w:val="00404FFA"/>
    <w:rsid w:val="00405C8C"/>
    <w:rsid w:val="00406100"/>
    <w:rsid w:val="004064B4"/>
    <w:rsid w:val="00406885"/>
    <w:rsid w:val="00406E84"/>
    <w:rsid w:val="004072E8"/>
    <w:rsid w:val="00407ADE"/>
    <w:rsid w:val="00407CF3"/>
    <w:rsid w:val="00410708"/>
    <w:rsid w:val="00410AE8"/>
    <w:rsid w:val="00410EC7"/>
    <w:rsid w:val="004113DF"/>
    <w:rsid w:val="0041369F"/>
    <w:rsid w:val="00413FE3"/>
    <w:rsid w:val="00414331"/>
    <w:rsid w:val="00414476"/>
    <w:rsid w:val="004145DC"/>
    <w:rsid w:val="00414E08"/>
    <w:rsid w:val="00415F42"/>
    <w:rsid w:val="00416318"/>
    <w:rsid w:val="0041636E"/>
    <w:rsid w:val="0041728C"/>
    <w:rsid w:val="004173B0"/>
    <w:rsid w:val="00420B9F"/>
    <w:rsid w:val="00421064"/>
    <w:rsid w:val="0042153F"/>
    <w:rsid w:val="00421D42"/>
    <w:rsid w:val="00422193"/>
    <w:rsid w:val="00422229"/>
    <w:rsid w:val="004224F7"/>
    <w:rsid w:val="00423555"/>
    <w:rsid w:val="00423E70"/>
    <w:rsid w:val="00423E71"/>
    <w:rsid w:val="004255E9"/>
    <w:rsid w:val="00425C62"/>
    <w:rsid w:val="00425DA2"/>
    <w:rsid w:val="00426330"/>
    <w:rsid w:val="00426697"/>
    <w:rsid w:val="00430008"/>
    <w:rsid w:val="0043052F"/>
    <w:rsid w:val="004313FC"/>
    <w:rsid w:val="00431864"/>
    <w:rsid w:val="004319F8"/>
    <w:rsid w:val="00431AF6"/>
    <w:rsid w:val="00432561"/>
    <w:rsid w:val="00432B9B"/>
    <w:rsid w:val="00433044"/>
    <w:rsid w:val="00433AD6"/>
    <w:rsid w:val="00435913"/>
    <w:rsid w:val="00435CBF"/>
    <w:rsid w:val="00437DC3"/>
    <w:rsid w:val="00440B19"/>
    <w:rsid w:val="00441233"/>
    <w:rsid w:val="00441F8A"/>
    <w:rsid w:val="004426F6"/>
    <w:rsid w:val="00442786"/>
    <w:rsid w:val="004429AF"/>
    <w:rsid w:val="004435BB"/>
    <w:rsid w:val="00443788"/>
    <w:rsid w:val="00443DD0"/>
    <w:rsid w:val="004443A7"/>
    <w:rsid w:val="00444990"/>
    <w:rsid w:val="00444F9A"/>
    <w:rsid w:val="0044555B"/>
    <w:rsid w:val="004464EB"/>
    <w:rsid w:val="00446F95"/>
    <w:rsid w:val="00447325"/>
    <w:rsid w:val="0044747F"/>
    <w:rsid w:val="00451041"/>
    <w:rsid w:val="004510CF"/>
    <w:rsid w:val="00451D69"/>
    <w:rsid w:val="004521F8"/>
    <w:rsid w:val="004530EA"/>
    <w:rsid w:val="00453272"/>
    <w:rsid w:val="004536D6"/>
    <w:rsid w:val="00453726"/>
    <w:rsid w:val="004553F1"/>
    <w:rsid w:val="00455AEA"/>
    <w:rsid w:val="00455C05"/>
    <w:rsid w:val="00455CEB"/>
    <w:rsid w:val="00455D45"/>
    <w:rsid w:val="00455F8F"/>
    <w:rsid w:val="0045617C"/>
    <w:rsid w:val="0045681A"/>
    <w:rsid w:val="0045707A"/>
    <w:rsid w:val="004579AA"/>
    <w:rsid w:val="0046019E"/>
    <w:rsid w:val="004607A1"/>
    <w:rsid w:val="00461553"/>
    <w:rsid w:val="00461CC1"/>
    <w:rsid w:val="004622BF"/>
    <w:rsid w:val="00462BB6"/>
    <w:rsid w:val="004634C7"/>
    <w:rsid w:val="00463788"/>
    <w:rsid w:val="0046392B"/>
    <w:rsid w:val="00463CEF"/>
    <w:rsid w:val="00463E99"/>
    <w:rsid w:val="00464023"/>
    <w:rsid w:val="00464229"/>
    <w:rsid w:val="00464383"/>
    <w:rsid w:val="00464595"/>
    <w:rsid w:val="00465BD7"/>
    <w:rsid w:val="00465F24"/>
    <w:rsid w:val="00466DCB"/>
    <w:rsid w:val="004672FF"/>
    <w:rsid w:val="004673B6"/>
    <w:rsid w:val="004676E1"/>
    <w:rsid w:val="00467AFD"/>
    <w:rsid w:val="00467C0D"/>
    <w:rsid w:val="004701E9"/>
    <w:rsid w:val="00470A74"/>
    <w:rsid w:val="004717E6"/>
    <w:rsid w:val="00471884"/>
    <w:rsid w:val="00471DEF"/>
    <w:rsid w:val="00471E77"/>
    <w:rsid w:val="004720D7"/>
    <w:rsid w:val="004727EC"/>
    <w:rsid w:val="00472843"/>
    <w:rsid w:val="00472E77"/>
    <w:rsid w:val="00472FA6"/>
    <w:rsid w:val="004739E4"/>
    <w:rsid w:val="00474974"/>
    <w:rsid w:val="00475C32"/>
    <w:rsid w:val="00475E8E"/>
    <w:rsid w:val="004762CA"/>
    <w:rsid w:val="004763FB"/>
    <w:rsid w:val="004768F7"/>
    <w:rsid w:val="00476965"/>
    <w:rsid w:val="0047705D"/>
    <w:rsid w:val="00477353"/>
    <w:rsid w:val="00477BF7"/>
    <w:rsid w:val="00477C90"/>
    <w:rsid w:val="00480184"/>
    <w:rsid w:val="00480836"/>
    <w:rsid w:val="00483701"/>
    <w:rsid w:val="00483715"/>
    <w:rsid w:val="00483BB6"/>
    <w:rsid w:val="00485839"/>
    <w:rsid w:val="004866CC"/>
    <w:rsid w:val="004867E2"/>
    <w:rsid w:val="0048683A"/>
    <w:rsid w:val="00486E72"/>
    <w:rsid w:val="00486F85"/>
    <w:rsid w:val="004900FC"/>
    <w:rsid w:val="00490B24"/>
    <w:rsid w:val="00491AA4"/>
    <w:rsid w:val="00491B3A"/>
    <w:rsid w:val="00491CB1"/>
    <w:rsid w:val="004928DC"/>
    <w:rsid w:val="00492CFD"/>
    <w:rsid w:val="00493142"/>
    <w:rsid w:val="00493481"/>
    <w:rsid w:val="00493DD3"/>
    <w:rsid w:val="0049457D"/>
    <w:rsid w:val="00495344"/>
    <w:rsid w:val="004955E4"/>
    <w:rsid w:val="00495B85"/>
    <w:rsid w:val="00495F34"/>
    <w:rsid w:val="004962D2"/>
    <w:rsid w:val="00496F7E"/>
    <w:rsid w:val="004970B3"/>
    <w:rsid w:val="00497863"/>
    <w:rsid w:val="004A01E0"/>
    <w:rsid w:val="004A050B"/>
    <w:rsid w:val="004A05B1"/>
    <w:rsid w:val="004A0728"/>
    <w:rsid w:val="004A0DA1"/>
    <w:rsid w:val="004A1820"/>
    <w:rsid w:val="004A1891"/>
    <w:rsid w:val="004A24F1"/>
    <w:rsid w:val="004A29E1"/>
    <w:rsid w:val="004A3163"/>
    <w:rsid w:val="004A39A8"/>
    <w:rsid w:val="004A3C07"/>
    <w:rsid w:val="004A405F"/>
    <w:rsid w:val="004A415F"/>
    <w:rsid w:val="004A46FE"/>
    <w:rsid w:val="004A4A0D"/>
    <w:rsid w:val="004A5A45"/>
    <w:rsid w:val="004A5BE1"/>
    <w:rsid w:val="004A5EF3"/>
    <w:rsid w:val="004A6597"/>
    <w:rsid w:val="004A6A12"/>
    <w:rsid w:val="004A7367"/>
    <w:rsid w:val="004A7653"/>
    <w:rsid w:val="004A784C"/>
    <w:rsid w:val="004A7F83"/>
    <w:rsid w:val="004B0CBB"/>
    <w:rsid w:val="004B10DA"/>
    <w:rsid w:val="004B1571"/>
    <w:rsid w:val="004B190F"/>
    <w:rsid w:val="004B1CB4"/>
    <w:rsid w:val="004B2F18"/>
    <w:rsid w:val="004B35D4"/>
    <w:rsid w:val="004B3DDB"/>
    <w:rsid w:val="004B404D"/>
    <w:rsid w:val="004B44FD"/>
    <w:rsid w:val="004B485F"/>
    <w:rsid w:val="004B5500"/>
    <w:rsid w:val="004B56CB"/>
    <w:rsid w:val="004B583F"/>
    <w:rsid w:val="004B5CFC"/>
    <w:rsid w:val="004B6390"/>
    <w:rsid w:val="004B73E9"/>
    <w:rsid w:val="004C0009"/>
    <w:rsid w:val="004C040D"/>
    <w:rsid w:val="004C0680"/>
    <w:rsid w:val="004C0C31"/>
    <w:rsid w:val="004C0FF5"/>
    <w:rsid w:val="004C1232"/>
    <w:rsid w:val="004C1B3C"/>
    <w:rsid w:val="004C1E25"/>
    <w:rsid w:val="004C2997"/>
    <w:rsid w:val="004C2D79"/>
    <w:rsid w:val="004C2E42"/>
    <w:rsid w:val="004C3347"/>
    <w:rsid w:val="004C368D"/>
    <w:rsid w:val="004C4933"/>
    <w:rsid w:val="004C4AED"/>
    <w:rsid w:val="004C4FC9"/>
    <w:rsid w:val="004C518B"/>
    <w:rsid w:val="004C53F0"/>
    <w:rsid w:val="004C60FA"/>
    <w:rsid w:val="004C7ADD"/>
    <w:rsid w:val="004C7C61"/>
    <w:rsid w:val="004D0868"/>
    <w:rsid w:val="004D0875"/>
    <w:rsid w:val="004D0990"/>
    <w:rsid w:val="004D1520"/>
    <w:rsid w:val="004D1ABE"/>
    <w:rsid w:val="004D28A0"/>
    <w:rsid w:val="004D3A2C"/>
    <w:rsid w:val="004D4994"/>
    <w:rsid w:val="004D4FA8"/>
    <w:rsid w:val="004D510A"/>
    <w:rsid w:val="004D521A"/>
    <w:rsid w:val="004D573F"/>
    <w:rsid w:val="004D636C"/>
    <w:rsid w:val="004D675A"/>
    <w:rsid w:val="004D6824"/>
    <w:rsid w:val="004D68E7"/>
    <w:rsid w:val="004D6D19"/>
    <w:rsid w:val="004D70CC"/>
    <w:rsid w:val="004E0EB8"/>
    <w:rsid w:val="004E1419"/>
    <w:rsid w:val="004E2ADC"/>
    <w:rsid w:val="004E43B2"/>
    <w:rsid w:val="004E4D40"/>
    <w:rsid w:val="004E5300"/>
    <w:rsid w:val="004E55B9"/>
    <w:rsid w:val="004E6F1C"/>
    <w:rsid w:val="004E6F55"/>
    <w:rsid w:val="004E704D"/>
    <w:rsid w:val="004E718C"/>
    <w:rsid w:val="004E78DC"/>
    <w:rsid w:val="004E7DBE"/>
    <w:rsid w:val="004F11A9"/>
    <w:rsid w:val="004F1D02"/>
    <w:rsid w:val="004F2679"/>
    <w:rsid w:val="004F2CB1"/>
    <w:rsid w:val="004F3DA8"/>
    <w:rsid w:val="004F47F9"/>
    <w:rsid w:val="004F4CDD"/>
    <w:rsid w:val="004F59FE"/>
    <w:rsid w:val="004F5C2C"/>
    <w:rsid w:val="004F6DCA"/>
    <w:rsid w:val="004F70E2"/>
    <w:rsid w:val="004F7296"/>
    <w:rsid w:val="004F7318"/>
    <w:rsid w:val="004F7865"/>
    <w:rsid w:val="005015DB"/>
    <w:rsid w:val="00501963"/>
    <w:rsid w:val="005021DD"/>
    <w:rsid w:val="00502CF9"/>
    <w:rsid w:val="0050308D"/>
    <w:rsid w:val="00503408"/>
    <w:rsid w:val="005048BE"/>
    <w:rsid w:val="00505206"/>
    <w:rsid w:val="00505AD1"/>
    <w:rsid w:val="00505BC2"/>
    <w:rsid w:val="00505BCA"/>
    <w:rsid w:val="00505EEA"/>
    <w:rsid w:val="00506292"/>
    <w:rsid w:val="00506418"/>
    <w:rsid w:val="00506928"/>
    <w:rsid w:val="0050744D"/>
    <w:rsid w:val="005078E4"/>
    <w:rsid w:val="00507DA2"/>
    <w:rsid w:val="0051171A"/>
    <w:rsid w:val="00511A12"/>
    <w:rsid w:val="00513931"/>
    <w:rsid w:val="00514EEC"/>
    <w:rsid w:val="005152B5"/>
    <w:rsid w:val="00516852"/>
    <w:rsid w:val="00516BA3"/>
    <w:rsid w:val="00517922"/>
    <w:rsid w:val="00521319"/>
    <w:rsid w:val="00521EB4"/>
    <w:rsid w:val="0052219F"/>
    <w:rsid w:val="005221B5"/>
    <w:rsid w:val="00522BC0"/>
    <w:rsid w:val="00523296"/>
    <w:rsid w:val="00523640"/>
    <w:rsid w:val="00523C28"/>
    <w:rsid w:val="0052432E"/>
    <w:rsid w:val="0052447A"/>
    <w:rsid w:val="00524664"/>
    <w:rsid w:val="00524DE7"/>
    <w:rsid w:val="00524F05"/>
    <w:rsid w:val="00526FC4"/>
    <w:rsid w:val="00527C8F"/>
    <w:rsid w:val="00527EBA"/>
    <w:rsid w:val="005300CE"/>
    <w:rsid w:val="0053065A"/>
    <w:rsid w:val="005310B5"/>
    <w:rsid w:val="00531EF6"/>
    <w:rsid w:val="005323AD"/>
    <w:rsid w:val="00532DFA"/>
    <w:rsid w:val="0053322D"/>
    <w:rsid w:val="00533471"/>
    <w:rsid w:val="00533521"/>
    <w:rsid w:val="00533674"/>
    <w:rsid w:val="00533DBC"/>
    <w:rsid w:val="005341C1"/>
    <w:rsid w:val="0053495E"/>
    <w:rsid w:val="005353F3"/>
    <w:rsid w:val="005355D1"/>
    <w:rsid w:val="00537729"/>
    <w:rsid w:val="005378CA"/>
    <w:rsid w:val="0054090F"/>
    <w:rsid w:val="0054109B"/>
    <w:rsid w:val="00541C81"/>
    <w:rsid w:val="0054250B"/>
    <w:rsid w:val="005428CE"/>
    <w:rsid w:val="00542BC0"/>
    <w:rsid w:val="00542FFE"/>
    <w:rsid w:val="0054616D"/>
    <w:rsid w:val="005468AF"/>
    <w:rsid w:val="00546D71"/>
    <w:rsid w:val="00547BA4"/>
    <w:rsid w:val="0055079D"/>
    <w:rsid w:val="005527B4"/>
    <w:rsid w:val="00552A4D"/>
    <w:rsid w:val="00552BD3"/>
    <w:rsid w:val="00554651"/>
    <w:rsid w:val="00554BD1"/>
    <w:rsid w:val="00555109"/>
    <w:rsid w:val="00555392"/>
    <w:rsid w:val="00555944"/>
    <w:rsid w:val="005559A7"/>
    <w:rsid w:val="00555BAB"/>
    <w:rsid w:val="005566A8"/>
    <w:rsid w:val="00556C24"/>
    <w:rsid w:val="00557B46"/>
    <w:rsid w:val="005603D5"/>
    <w:rsid w:val="00560433"/>
    <w:rsid w:val="00560445"/>
    <w:rsid w:val="00561B51"/>
    <w:rsid w:val="00561EDE"/>
    <w:rsid w:val="00562657"/>
    <w:rsid w:val="00562CF0"/>
    <w:rsid w:val="0056412A"/>
    <w:rsid w:val="005645D3"/>
    <w:rsid w:val="00564608"/>
    <w:rsid w:val="00564E3C"/>
    <w:rsid w:val="00565CCF"/>
    <w:rsid w:val="005665DB"/>
    <w:rsid w:val="0056666E"/>
    <w:rsid w:val="0056696F"/>
    <w:rsid w:val="00566CD7"/>
    <w:rsid w:val="00566D30"/>
    <w:rsid w:val="00566F96"/>
    <w:rsid w:val="005674E0"/>
    <w:rsid w:val="005675A8"/>
    <w:rsid w:val="005675F8"/>
    <w:rsid w:val="00567711"/>
    <w:rsid w:val="00567B26"/>
    <w:rsid w:val="0057126F"/>
    <w:rsid w:val="00571788"/>
    <w:rsid w:val="00571BCF"/>
    <w:rsid w:val="0057238A"/>
    <w:rsid w:val="00572876"/>
    <w:rsid w:val="00572DAD"/>
    <w:rsid w:val="005738B5"/>
    <w:rsid w:val="00574132"/>
    <w:rsid w:val="005747FF"/>
    <w:rsid w:val="005756DF"/>
    <w:rsid w:val="00575D8D"/>
    <w:rsid w:val="00575E7B"/>
    <w:rsid w:val="00576385"/>
    <w:rsid w:val="005768A3"/>
    <w:rsid w:val="00576972"/>
    <w:rsid w:val="00577576"/>
    <w:rsid w:val="0057757B"/>
    <w:rsid w:val="00577FC2"/>
    <w:rsid w:val="0058103C"/>
    <w:rsid w:val="0058121D"/>
    <w:rsid w:val="0058231E"/>
    <w:rsid w:val="005826D9"/>
    <w:rsid w:val="00582729"/>
    <w:rsid w:val="00583365"/>
    <w:rsid w:val="00583485"/>
    <w:rsid w:val="00583699"/>
    <w:rsid w:val="00583758"/>
    <w:rsid w:val="005837FD"/>
    <w:rsid w:val="00583B2E"/>
    <w:rsid w:val="00584E52"/>
    <w:rsid w:val="005853FD"/>
    <w:rsid w:val="00585AAF"/>
    <w:rsid w:val="00585DB9"/>
    <w:rsid w:val="005861A4"/>
    <w:rsid w:val="005862C2"/>
    <w:rsid w:val="00586389"/>
    <w:rsid w:val="00586D31"/>
    <w:rsid w:val="005875F1"/>
    <w:rsid w:val="00587897"/>
    <w:rsid w:val="005878A9"/>
    <w:rsid w:val="00590A1D"/>
    <w:rsid w:val="00590ABE"/>
    <w:rsid w:val="005925BF"/>
    <w:rsid w:val="00592870"/>
    <w:rsid w:val="005928EB"/>
    <w:rsid w:val="005933CA"/>
    <w:rsid w:val="00593D5D"/>
    <w:rsid w:val="00594B13"/>
    <w:rsid w:val="005958FF"/>
    <w:rsid w:val="00595D56"/>
    <w:rsid w:val="00595F0B"/>
    <w:rsid w:val="00596150"/>
    <w:rsid w:val="00596F78"/>
    <w:rsid w:val="00597584"/>
    <w:rsid w:val="005979F8"/>
    <w:rsid w:val="00597A4B"/>
    <w:rsid w:val="005A004D"/>
    <w:rsid w:val="005A088D"/>
    <w:rsid w:val="005A0A19"/>
    <w:rsid w:val="005A0BCE"/>
    <w:rsid w:val="005A19FB"/>
    <w:rsid w:val="005A1A29"/>
    <w:rsid w:val="005A1E93"/>
    <w:rsid w:val="005A2684"/>
    <w:rsid w:val="005A30CF"/>
    <w:rsid w:val="005A3348"/>
    <w:rsid w:val="005A357F"/>
    <w:rsid w:val="005A3887"/>
    <w:rsid w:val="005A3B9C"/>
    <w:rsid w:val="005A3CEC"/>
    <w:rsid w:val="005A42C8"/>
    <w:rsid w:val="005A47F9"/>
    <w:rsid w:val="005A5DCF"/>
    <w:rsid w:val="005B0072"/>
    <w:rsid w:val="005B0109"/>
    <w:rsid w:val="005B06FE"/>
    <w:rsid w:val="005B20B8"/>
    <w:rsid w:val="005B265A"/>
    <w:rsid w:val="005B2685"/>
    <w:rsid w:val="005B342B"/>
    <w:rsid w:val="005B4380"/>
    <w:rsid w:val="005B4DA1"/>
    <w:rsid w:val="005B5518"/>
    <w:rsid w:val="005B5857"/>
    <w:rsid w:val="005B6751"/>
    <w:rsid w:val="005B6A52"/>
    <w:rsid w:val="005B6ADA"/>
    <w:rsid w:val="005B6BDD"/>
    <w:rsid w:val="005B6E7E"/>
    <w:rsid w:val="005B78BC"/>
    <w:rsid w:val="005B78CD"/>
    <w:rsid w:val="005B7CA4"/>
    <w:rsid w:val="005C1933"/>
    <w:rsid w:val="005C1B83"/>
    <w:rsid w:val="005C30B4"/>
    <w:rsid w:val="005C346B"/>
    <w:rsid w:val="005C3D56"/>
    <w:rsid w:val="005C4AAB"/>
    <w:rsid w:val="005C4C61"/>
    <w:rsid w:val="005C4E12"/>
    <w:rsid w:val="005C5864"/>
    <w:rsid w:val="005C5A58"/>
    <w:rsid w:val="005C5CDB"/>
    <w:rsid w:val="005C68F5"/>
    <w:rsid w:val="005C6963"/>
    <w:rsid w:val="005C6A24"/>
    <w:rsid w:val="005C789B"/>
    <w:rsid w:val="005D0353"/>
    <w:rsid w:val="005D044D"/>
    <w:rsid w:val="005D0DF3"/>
    <w:rsid w:val="005D18AD"/>
    <w:rsid w:val="005D18DF"/>
    <w:rsid w:val="005D1AC7"/>
    <w:rsid w:val="005D381A"/>
    <w:rsid w:val="005D3923"/>
    <w:rsid w:val="005D4834"/>
    <w:rsid w:val="005D48EA"/>
    <w:rsid w:val="005D50D1"/>
    <w:rsid w:val="005D734E"/>
    <w:rsid w:val="005D78B0"/>
    <w:rsid w:val="005D7DDE"/>
    <w:rsid w:val="005E0826"/>
    <w:rsid w:val="005E10D3"/>
    <w:rsid w:val="005E1D6F"/>
    <w:rsid w:val="005E2748"/>
    <w:rsid w:val="005E2998"/>
    <w:rsid w:val="005E3CDB"/>
    <w:rsid w:val="005E3DBC"/>
    <w:rsid w:val="005E3E5B"/>
    <w:rsid w:val="005E47C4"/>
    <w:rsid w:val="005E4CD5"/>
    <w:rsid w:val="005E50A7"/>
    <w:rsid w:val="005E5752"/>
    <w:rsid w:val="005E5B35"/>
    <w:rsid w:val="005E64BA"/>
    <w:rsid w:val="005E6951"/>
    <w:rsid w:val="005E73C0"/>
    <w:rsid w:val="005E7C00"/>
    <w:rsid w:val="005F0B0D"/>
    <w:rsid w:val="005F22A1"/>
    <w:rsid w:val="005F2706"/>
    <w:rsid w:val="005F3A08"/>
    <w:rsid w:val="005F48B9"/>
    <w:rsid w:val="005F4A06"/>
    <w:rsid w:val="005F6A8F"/>
    <w:rsid w:val="005F70D3"/>
    <w:rsid w:val="00600325"/>
    <w:rsid w:val="00600532"/>
    <w:rsid w:val="00601505"/>
    <w:rsid w:val="0060165A"/>
    <w:rsid w:val="0060181E"/>
    <w:rsid w:val="00602BA7"/>
    <w:rsid w:val="00603114"/>
    <w:rsid w:val="00604AA9"/>
    <w:rsid w:val="006057B8"/>
    <w:rsid w:val="00605916"/>
    <w:rsid w:val="00605C69"/>
    <w:rsid w:val="006061EC"/>
    <w:rsid w:val="00606CC2"/>
    <w:rsid w:val="00607669"/>
    <w:rsid w:val="00607BFC"/>
    <w:rsid w:val="006102C6"/>
    <w:rsid w:val="00610952"/>
    <w:rsid w:val="0061117E"/>
    <w:rsid w:val="0061183B"/>
    <w:rsid w:val="006118E4"/>
    <w:rsid w:val="00611DFF"/>
    <w:rsid w:val="0061210B"/>
    <w:rsid w:val="00612654"/>
    <w:rsid w:val="00612F97"/>
    <w:rsid w:val="00613030"/>
    <w:rsid w:val="0061315A"/>
    <w:rsid w:val="006131D7"/>
    <w:rsid w:val="006139DB"/>
    <w:rsid w:val="00613F05"/>
    <w:rsid w:val="00613F40"/>
    <w:rsid w:val="0061454B"/>
    <w:rsid w:val="00614C65"/>
    <w:rsid w:val="00614C95"/>
    <w:rsid w:val="00614E59"/>
    <w:rsid w:val="006159D6"/>
    <w:rsid w:val="00616802"/>
    <w:rsid w:val="00617D0E"/>
    <w:rsid w:val="00617E12"/>
    <w:rsid w:val="006200F4"/>
    <w:rsid w:val="00620297"/>
    <w:rsid w:val="00620A57"/>
    <w:rsid w:val="00620BB1"/>
    <w:rsid w:val="00621477"/>
    <w:rsid w:val="0062206B"/>
    <w:rsid w:val="00622F97"/>
    <w:rsid w:val="0062337C"/>
    <w:rsid w:val="006236FF"/>
    <w:rsid w:val="00623849"/>
    <w:rsid w:val="00624515"/>
    <w:rsid w:val="00624C55"/>
    <w:rsid w:val="00625218"/>
    <w:rsid w:val="00625614"/>
    <w:rsid w:val="006256BE"/>
    <w:rsid w:val="00626232"/>
    <w:rsid w:val="006266EC"/>
    <w:rsid w:val="0062731F"/>
    <w:rsid w:val="00627EF8"/>
    <w:rsid w:val="006308B5"/>
    <w:rsid w:val="00630D05"/>
    <w:rsid w:val="006310DC"/>
    <w:rsid w:val="00631D6B"/>
    <w:rsid w:val="006331EC"/>
    <w:rsid w:val="00633B02"/>
    <w:rsid w:val="0063479F"/>
    <w:rsid w:val="00634E14"/>
    <w:rsid w:val="00635C86"/>
    <w:rsid w:val="006364A1"/>
    <w:rsid w:val="006370C7"/>
    <w:rsid w:val="006376EA"/>
    <w:rsid w:val="00637841"/>
    <w:rsid w:val="00637BFD"/>
    <w:rsid w:val="00637C64"/>
    <w:rsid w:val="00640630"/>
    <w:rsid w:val="00641812"/>
    <w:rsid w:val="00641E1B"/>
    <w:rsid w:val="006420A8"/>
    <w:rsid w:val="0064299F"/>
    <w:rsid w:val="006435BA"/>
    <w:rsid w:val="00643C19"/>
    <w:rsid w:val="00644399"/>
    <w:rsid w:val="00644405"/>
    <w:rsid w:val="00644B23"/>
    <w:rsid w:val="00644B67"/>
    <w:rsid w:val="00644FA6"/>
    <w:rsid w:val="006471CC"/>
    <w:rsid w:val="00647567"/>
    <w:rsid w:val="006475E1"/>
    <w:rsid w:val="00647631"/>
    <w:rsid w:val="006478ED"/>
    <w:rsid w:val="00647EB2"/>
    <w:rsid w:val="0065079F"/>
    <w:rsid w:val="00650F81"/>
    <w:rsid w:val="0065138B"/>
    <w:rsid w:val="0065241E"/>
    <w:rsid w:val="00652606"/>
    <w:rsid w:val="00654037"/>
    <w:rsid w:val="00654504"/>
    <w:rsid w:val="00654A91"/>
    <w:rsid w:val="00654E2A"/>
    <w:rsid w:val="006553B4"/>
    <w:rsid w:val="00655BE3"/>
    <w:rsid w:val="00656190"/>
    <w:rsid w:val="006576AB"/>
    <w:rsid w:val="00657CA2"/>
    <w:rsid w:val="006601CE"/>
    <w:rsid w:val="006603C8"/>
    <w:rsid w:val="00660988"/>
    <w:rsid w:val="00661FC9"/>
    <w:rsid w:val="00664058"/>
    <w:rsid w:val="00664DBC"/>
    <w:rsid w:val="00665565"/>
    <w:rsid w:val="00665584"/>
    <w:rsid w:val="00665908"/>
    <w:rsid w:val="00665C71"/>
    <w:rsid w:val="00666A49"/>
    <w:rsid w:val="00667182"/>
    <w:rsid w:val="006671C8"/>
    <w:rsid w:val="00667D6E"/>
    <w:rsid w:val="0067024F"/>
    <w:rsid w:val="00670683"/>
    <w:rsid w:val="00671256"/>
    <w:rsid w:val="00671409"/>
    <w:rsid w:val="0067157D"/>
    <w:rsid w:val="006716AF"/>
    <w:rsid w:val="00672F8E"/>
    <w:rsid w:val="00673D09"/>
    <w:rsid w:val="00674D1A"/>
    <w:rsid w:val="00674E42"/>
    <w:rsid w:val="006751E5"/>
    <w:rsid w:val="0067551C"/>
    <w:rsid w:val="006756BD"/>
    <w:rsid w:val="006760A9"/>
    <w:rsid w:val="0067661F"/>
    <w:rsid w:val="006776A3"/>
    <w:rsid w:val="00677847"/>
    <w:rsid w:val="00677A8F"/>
    <w:rsid w:val="00681C17"/>
    <w:rsid w:val="00681F0E"/>
    <w:rsid w:val="00682112"/>
    <w:rsid w:val="00682128"/>
    <w:rsid w:val="0068245A"/>
    <w:rsid w:val="00682A61"/>
    <w:rsid w:val="00682E9F"/>
    <w:rsid w:val="00683653"/>
    <w:rsid w:val="0068447C"/>
    <w:rsid w:val="00684A32"/>
    <w:rsid w:val="00684AB6"/>
    <w:rsid w:val="00685210"/>
    <w:rsid w:val="006865A5"/>
    <w:rsid w:val="00686789"/>
    <w:rsid w:val="00686848"/>
    <w:rsid w:val="00686A08"/>
    <w:rsid w:val="00686B8C"/>
    <w:rsid w:val="00686D84"/>
    <w:rsid w:val="00687194"/>
    <w:rsid w:val="006871C2"/>
    <w:rsid w:val="006872BA"/>
    <w:rsid w:val="00690D28"/>
    <w:rsid w:val="00691754"/>
    <w:rsid w:val="006917D7"/>
    <w:rsid w:val="00693489"/>
    <w:rsid w:val="00693DB6"/>
    <w:rsid w:val="00694689"/>
    <w:rsid w:val="00694E8D"/>
    <w:rsid w:val="00694F44"/>
    <w:rsid w:val="0069504B"/>
    <w:rsid w:val="00695247"/>
    <w:rsid w:val="006962AD"/>
    <w:rsid w:val="006963E5"/>
    <w:rsid w:val="0069682C"/>
    <w:rsid w:val="0069726F"/>
    <w:rsid w:val="00697610"/>
    <w:rsid w:val="00697AE5"/>
    <w:rsid w:val="00697E62"/>
    <w:rsid w:val="006A03C0"/>
    <w:rsid w:val="006A08A5"/>
    <w:rsid w:val="006A09A7"/>
    <w:rsid w:val="006A0B8A"/>
    <w:rsid w:val="006A0C34"/>
    <w:rsid w:val="006A24A7"/>
    <w:rsid w:val="006A2963"/>
    <w:rsid w:val="006A457F"/>
    <w:rsid w:val="006A4735"/>
    <w:rsid w:val="006A6528"/>
    <w:rsid w:val="006A673B"/>
    <w:rsid w:val="006A7D5A"/>
    <w:rsid w:val="006B00E5"/>
    <w:rsid w:val="006B1C19"/>
    <w:rsid w:val="006B1CAC"/>
    <w:rsid w:val="006B285B"/>
    <w:rsid w:val="006B28EB"/>
    <w:rsid w:val="006B2B2F"/>
    <w:rsid w:val="006B2C69"/>
    <w:rsid w:val="006B2CED"/>
    <w:rsid w:val="006B2E30"/>
    <w:rsid w:val="006B33B8"/>
    <w:rsid w:val="006B3FC3"/>
    <w:rsid w:val="006B53E1"/>
    <w:rsid w:val="006B5747"/>
    <w:rsid w:val="006B5E7C"/>
    <w:rsid w:val="006B629E"/>
    <w:rsid w:val="006B6D00"/>
    <w:rsid w:val="006B7172"/>
    <w:rsid w:val="006B7400"/>
    <w:rsid w:val="006B7479"/>
    <w:rsid w:val="006B77B2"/>
    <w:rsid w:val="006C0720"/>
    <w:rsid w:val="006C082B"/>
    <w:rsid w:val="006C0D6A"/>
    <w:rsid w:val="006C12F6"/>
    <w:rsid w:val="006C16DB"/>
    <w:rsid w:val="006C197C"/>
    <w:rsid w:val="006C21E6"/>
    <w:rsid w:val="006C2A8E"/>
    <w:rsid w:val="006C3423"/>
    <w:rsid w:val="006C3C90"/>
    <w:rsid w:val="006C4003"/>
    <w:rsid w:val="006C4384"/>
    <w:rsid w:val="006C4EAF"/>
    <w:rsid w:val="006C54F3"/>
    <w:rsid w:val="006C657E"/>
    <w:rsid w:val="006C6FDA"/>
    <w:rsid w:val="006C713D"/>
    <w:rsid w:val="006C766C"/>
    <w:rsid w:val="006D0735"/>
    <w:rsid w:val="006D0B73"/>
    <w:rsid w:val="006D25B4"/>
    <w:rsid w:val="006D27A7"/>
    <w:rsid w:val="006D2B86"/>
    <w:rsid w:val="006D31AA"/>
    <w:rsid w:val="006D38BB"/>
    <w:rsid w:val="006D3C7D"/>
    <w:rsid w:val="006D401F"/>
    <w:rsid w:val="006D5283"/>
    <w:rsid w:val="006D5734"/>
    <w:rsid w:val="006D5D5F"/>
    <w:rsid w:val="006D5DDD"/>
    <w:rsid w:val="006D5F65"/>
    <w:rsid w:val="006D6A06"/>
    <w:rsid w:val="006D72A7"/>
    <w:rsid w:val="006D7745"/>
    <w:rsid w:val="006E09AB"/>
    <w:rsid w:val="006E09EF"/>
    <w:rsid w:val="006E17C5"/>
    <w:rsid w:val="006E1D90"/>
    <w:rsid w:val="006E1F27"/>
    <w:rsid w:val="006E2657"/>
    <w:rsid w:val="006E2F16"/>
    <w:rsid w:val="006E2F67"/>
    <w:rsid w:val="006E44FC"/>
    <w:rsid w:val="006E4DA0"/>
    <w:rsid w:val="006E5345"/>
    <w:rsid w:val="006E60C3"/>
    <w:rsid w:val="006E6616"/>
    <w:rsid w:val="006E7848"/>
    <w:rsid w:val="006E7C80"/>
    <w:rsid w:val="006E7DBB"/>
    <w:rsid w:val="006E7DD8"/>
    <w:rsid w:val="006E7EB4"/>
    <w:rsid w:val="006F013B"/>
    <w:rsid w:val="006F06F8"/>
    <w:rsid w:val="006F14BC"/>
    <w:rsid w:val="006F166C"/>
    <w:rsid w:val="006F2043"/>
    <w:rsid w:val="006F228F"/>
    <w:rsid w:val="006F2AB4"/>
    <w:rsid w:val="006F2E0D"/>
    <w:rsid w:val="006F369E"/>
    <w:rsid w:val="006F396E"/>
    <w:rsid w:val="006F63A5"/>
    <w:rsid w:val="006F65BE"/>
    <w:rsid w:val="006F7995"/>
    <w:rsid w:val="006F79B6"/>
    <w:rsid w:val="006F7BFE"/>
    <w:rsid w:val="006F7D37"/>
    <w:rsid w:val="006F7DB3"/>
    <w:rsid w:val="006F7EE0"/>
    <w:rsid w:val="00702679"/>
    <w:rsid w:val="0070276E"/>
    <w:rsid w:val="00702D04"/>
    <w:rsid w:val="00702D1B"/>
    <w:rsid w:val="00702F8F"/>
    <w:rsid w:val="007059EA"/>
    <w:rsid w:val="00705ECF"/>
    <w:rsid w:val="00707D80"/>
    <w:rsid w:val="0071012A"/>
    <w:rsid w:val="00710373"/>
    <w:rsid w:val="00710721"/>
    <w:rsid w:val="007116CC"/>
    <w:rsid w:val="00711A36"/>
    <w:rsid w:val="007122A1"/>
    <w:rsid w:val="007124FA"/>
    <w:rsid w:val="00714602"/>
    <w:rsid w:val="00714887"/>
    <w:rsid w:val="0071685F"/>
    <w:rsid w:val="007172AD"/>
    <w:rsid w:val="0071769E"/>
    <w:rsid w:val="007176BD"/>
    <w:rsid w:val="0071773F"/>
    <w:rsid w:val="00717D6E"/>
    <w:rsid w:val="007208AE"/>
    <w:rsid w:val="00722293"/>
    <w:rsid w:val="007231D1"/>
    <w:rsid w:val="0072411D"/>
    <w:rsid w:val="0072416F"/>
    <w:rsid w:val="007246B0"/>
    <w:rsid w:val="007247E4"/>
    <w:rsid w:val="0072665C"/>
    <w:rsid w:val="007270D6"/>
    <w:rsid w:val="00727AD5"/>
    <w:rsid w:val="007302FA"/>
    <w:rsid w:val="00731156"/>
    <w:rsid w:val="007316D6"/>
    <w:rsid w:val="007334FF"/>
    <w:rsid w:val="00733578"/>
    <w:rsid w:val="00733979"/>
    <w:rsid w:val="007342FE"/>
    <w:rsid w:val="00734B2F"/>
    <w:rsid w:val="00735328"/>
    <w:rsid w:val="007363D3"/>
    <w:rsid w:val="0073685B"/>
    <w:rsid w:val="00736D20"/>
    <w:rsid w:val="00736E5D"/>
    <w:rsid w:val="007371E3"/>
    <w:rsid w:val="00737A51"/>
    <w:rsid w:val="007414A3"/>
    <w:rsid w:val="00741BF6"/>
    <w:rsid w:val="00742704"/>
    <w:rsid w:val="007427F5"/>
    <w:rsid w:val="00742BFC"/>
    <w:rsid w:val="00742DB3"/>
    <w:rsid w:val="0074304B"/>
    <w:rsid w:val="007437DB"/>
    <w:rsid w:val="00743D75"/>
    <w:rsid w:val="00744221"/>
    <w:rsid w:val="007445B6"/>
    <w:rsid w:val="007446B9"/>
    <w:rsid w:val="00745577"/>
    <w:rsid w:val="00745933"/>
    <w:rsid w:val="007504D6"/>
    <w:rsid w:val="00750B96"/>
    <w:rsid w:val="007515A3"/>
    <w:rsid w:val="00751FA4"/>
    <w:rsid w:val="007520E4"/>
    <w:rsid w:val="00752108"/>
    <w:rsid w:val="00752269"/>
    <w:rsid w:val="0075284B"/>
    <w:rsid w:val="00752DF8"/>
    <w:rsid w:val="00753898"/>
    <w:rsid w:val="00753C40"/>
    <w:rsid w:val="00754012"/>
    <w:rsid w:val="0075575D"/>
    <w:rsid w:val="007564C1"/>
    <w:rsid w:val="007569F4"/>
    <w:rsid w:val="00756DEB"/>
    <w:rsid w:val="00760248"/>
    <w:rsid w:val="00760466"/>
    <w:rsid w:val="007610ED"/>
    <w:rsid w:val="0076186C"/>
    <w:rsid w:val="0076210A"/>
    <w:rsid w:val="007624D9"/>
    <w:rsid w:val="007632C9"/>
    <w:rsid w:val="007639C5"/>
    <w:rsid w:val="00766066"/>
    <w:rsid w:val="00766284"/>
    <w:rsid w:val="007665A1"/>
    <w:rsid w:val="00766AA5"/>
    <w:rsid w:val="00767682"/>
    <w:rsid w:val="00767930"/>
    <w:rsid w:val="00767ED7"/>
    <w:rsid w:val="007701C8"/>
    <w:rsid w:val="0077046A"/>
    <w:rsid w:val="0077100D"/>
    <w:rsid w:val="00771B02"/>
    <w:rsid w:val="00771B19"/>
    <w:rsid w:val="007722CF"/>
    <w:rsid w:val="0077244E"/>
    <w:rsid w:val="00772C53"/>
    <w:rsid w:val="00773351"/>
    <w:rsid w:val="00773428"/>
    <w:rsid w:val="007735CF"/>
    <w:rsid w:val="00773834"/>
    <w:rsid w:val="007758F4"/>
    <w:rsid w:val="007762CD"/>
    <w:rsid w:val="0077689A"/>
    <w:rsid w:val="00776A55"/>
    <w:rsid w:val="00782508"/>
    <w:rsid w:val="007827D7"/>
    <w:rsid w:val="007828C4"/>
    <w:rsid w:val="0078539D"/>
    <w:rsid w:val="00785E9B"/>
    <w:rsid w:val="00786680"/>
    <w:rsid w:val="00786ED0"/>
    <w:rsid w:val="007876A9"/>
    <w:rsid w:val="00787AA7"/>
    <w:rsid w:val="00787FD1"/>
    <w:rsid w:val="0079059C"/>
    <w:rsid w:val="007917F9"/>
    <w:rsid w:val="007918C9"/>
    <w:rsid w:val="00793C5F"/>
    <w:rsid w:val="0079417A"/>
    <w:rsid w:val="0079458A"/>
    <w:rsid w:val="00794D9A"/>
    <w:rsid w:val="00795119"/>
    <w:rsid w:val="00795263"/>
    <w:rsid w:val="0079544E"/>
    <w:rsid w:val="0079604F"/>
    <w:rsid w:val="00797C81"/>
    <w:rsid w:val="007A0A12"/>
    <w:rsid w:val="007A0B4B"/>
    <w:rsid w:val="007A0EBD"/>
    <w:rsid w:val="007A1121"/>
    <w:rsid w:val="007A251C"/>
    <w:rsid w:val="007A3325"/>
    <w:rsid w:val="007A3C30"/>
    <w:rsid w:val="007A402E"/>
    <w:rsid w:val="007A66A9"/>
    <w:rsid w:val="007A6985"/>
    <w:rsid w:val="007A6BCB"/>
    <w:rsid w:val="007A75C7"/>
    <w:rsid w:val="007B0799"/>
    <w:rsid w:val="007B251D"/>
    <w:rsid w:val="007B33DC"/>
    <w:rsid w:val="007B4631"/>
    <w:rsid w:val="007B572E"/>
    <w:rsid w:val="007B59BF"/>
    <w:rsid w:val="007B5DFF"/>
    <w:rsid w:val="007B66ED"/>
    <w:rsid w:val="007B7093"/>
    <w:rsid w:val="007B728F"/>
    <w:rsid w:val="007B73AC"/>
    <w:rsid w:val="007B77D1"/>
    <w:rsid w:val="007B787F"/>
    <w:rsid w:val="007B78F2"/>
    <w:rsid w:val="007C0339"/>
    <w:rsid w:val="007C0A59"/>
    <w:rsid w:val="007C0C39"/>
    <w:rsid w:val="007C0DD2"/>
    <w:rsid w:val="007C0F96"/>
    <w:rsid w:val="007C18F7"/>
    <w:rsid w:val="007C2164"/>
    <w:rsid w:val="007C313E"/>
    <w:rsid w:val="007C361D"/>
    <w:rsid w:val="007C3746"/>
    <w:rsid w:val="007C3851"/>
    <w:rsid w:val="007C3A9B"/>
    <w:rsid w:val="007C4158"/>
    <w:rsid w:val="007C41B9"/>
    <w:rsid w:val="007C4531"/>
    <w:rsid w:val="007C4D91"/>
    <w:rsid w:val="007C64C8"/>
    <w:rsid w:val="007C6684"/>
    <w:rsid w:val="007C7240"/>
    <w:rsid w:val="007C7494"/>
    <w:rsid w:val="007C7674"/>
    <w:rsid w:val="007D0B38"/>
    <w:rsid w:val="007D1FEF"/>
    <w:rsid w:val="007D4427"/>
    <w:rsid w:val="007D4B33"/>
    <w:rsid w:val="007D4C32"/>
    <w:rsid w:val="007D4D3C"/>
    <w:rsid w:val="007D5518"/>
    <w:rsid w:val="007D5BFC"/>
    <w:rsid w:val="007D6F7D"/>
    <w:rsid w:val="007D7956"/>
    <w:rsid w:val="007D7AA6"/>
    <w:rsid w:val="007D7CCA"/>
    <w:rsid w:val="007E0496"/>
    <w:rsid w:val="007E060C"/>
    <w:rsid w:val="007E0896"/>
    <w:rsid w:val="007E1466"/>
    <w:rsid w:val="007E25B3"/>
    <w:rsid w:val="007E285D"/>
    <w:rsid w:val="007E2990"/>
    <w:rsid w:val="007E3E20"/>
    <w:rsid w:val="007E4019"/>
    <w:rsid w:val="007E4613"/>
    <w:rsid w:val="007E46F2"/>
    <w:rsid w:val="007E46F5"/>
    <w:rsid w:val="007E6CBB"/>
    <w:rsid w:val="007E7183"/>
    <w:rsid w:val="007E7C75"/>
    <w:rsid w:val="007E7E38"/>
    <w:rsid w:val="007F045E"/>
    <w:rsid w:val="007F0A05"/>
    <w:rsid w:val="007F1017"/>
    <w:rsid w:val="007F1867"/>
    <w:rsid w:val="007F22DC"/>
    <w:rsid w:val="007F3FBE"/>
    <w:rsid w:val="007F4A3F"/>
    <w:rsid w:val="007F5046"/>
    <w:rsid w:val="007F513A"/>
    <w:rsid w:val="007F5911"/>
    <w:rsid w:val="007F6159"/>
    <w:rsid w:val="007F6466"/>
    <w:rsid w:val="007F66A5"/>
    <w:rsid w:val="007F673B"/>
    <w:rsid w:val="007F7F3A"/>
    <w:rsid w:val="00800643"/>
    <w:rsid w:val="0080255A"/>
    <w:rsid w:val="00802648"/>
    <w:rsid w:val="00802A7C"/>
    <w:rsid w:val="00803019"/>
    <w:rsid w:val="00803152"/>
    <w:rsid w:val="00803D2A"/>
    <w:rsid w:val="00804269"/>
    <w:rsid w:val="008044C0"/>
    <w:rsid w:val="00805142"/>
    <w:rsid w:val="008062AA"/>
    <w:rsid w:val="008062D9"/>
    <w:rsid w:val="00806A34"/>
    <w:rsid w:val="00806DC7"/>
    <w:rsid w:val="00807A8B"/>
    <w:rsid w:val="00807AD2"/>
    <w:rsid w:val="008109FA"/>
    <w:rsid w:val="00812149"/>
    <w:rsid w:val="00812262"/>
    <w:rsid w:val="00812D74"/>
    <w:rsid w:val="00812F14"/>
    <w:rsid w:val="00813197"/>
    <w:rsid w:val="008139F7"/>
    <w:rsid w:val="008146B8"/>
    <w:rsid w:val="008149FB"/>
    <w:rsid w:val="00814B10"/>
    <w:rsid w:val="00815A4D"/>
    <w:rsid w:val="0081631E"/>
    <w:rsid w:val="008166EF"/>
    <w:rsid w:val="008169EA"/>
    <w:rsid w:val="0081707C"/>
    <w:rsid w:val="008172DF"/>
    <w:rsid w:val="00817B12"/>
    <w:rsid w:val="00817DB9"/>
    <w:rsid w:val="0082004C"/>
    <w:rsid w:val="008206F3"/>
    <w:rsid w:val="00820DB4"/>
    <w:rsid w:val="00820E26"/>
    <w:rsid w:val="00820EF3"/>
    <w:rsid w:val="008210DC"/>
    <w:rsid w:val="0082283D"/>
    <w:rsid w:val="00822B0D"/>
    <w:rsid w:val="0082301B"/>
    <w:rsid w:val="008232CB"/>
    <w:rsid w:val="0082401F"/>
    <w:rsid w:val="00824237"/>
    <w:rsid w:val="00824D26"/>
    <w:rsid w:val="008251D0"/>
    <w:rsid w:val="0082612C"/>
    <w:rsid w:val="008261E7"/>
    <w:rsid w:val="008264EB"/>
    <w:rsid w:val="00826FF3"/>
    <w:rsid w:val="0082728E"/>
    <w:rsid w:val="00827621"/>
    <w:rsid w:val="00830176"/>
    <w:rsid w:val="008301C9"/>
    <w:rsid w:val="0083053E"/>
    <w:rsid w:val="00830B7A"/>
    <w:rsid w:val="00830BA8"/>
    <w:rsid w:val="008317DB"/>
    <w:rsid w:val="0083270A"/>
    <w:rsid w:val="008327A2"/>
    <w:rsid w:val="0083340F"/>
    <w:rsid w:val="00833B05"/>
    <w:rsid w:val="008341F4"/>
    <w:rsid w:val="00835476"/>
    <w:rsid w:val="00835873"/>
    <w:rsid w:val="0083619D"/>
    <w:rsid w:val="00836320"/>
    <w:rsid w:val="008367CF"/>
    <w:rsid w:val="00836EC7"/>
    <w:rsid w:val="00837708"/>
    <w:rsid w:val="00840CA2"/>
    <w:rsid w:val="00841089"/>
    <w:rsid w:val="00841F29"/>
    <w:rsid w:val="008434BA"/>
    <w:rsid w:val="00845552"/>
    <w:rsid w:val="00845B44"/>
    <w:rsid w:val="008477BE"/>
    <w:rsid w:val="008501DA"/>
    <w:rsid w:val="008509EC"/>
    <w:rsid w:val="0085128D"/>
    <w:rsid w:val="008514FD"/>
    <w:rsid w:val="00851ADC"/>
    <w:rsid w:val="008537E8"/>
    <w:rsid w:val="00853A6E"/>
    <w:rsid w:val="0085417B"/>
    <w:rsid w:val="0085622A"/>
    <w:rsid w:val="00856DA8"/>
    <w:rsid w:val="00856E17"/>
    <w:rsid w:val="00856E9A"/>
    <w:rsid w:val="00856FE1"/>
    <w:rsid w:val="0085772B"/>
    <w:rsid w:val="00857A90"/>
    <w:rsid w:val="00857BD5"/>
    <w:rsid w:val="00860693"/>
    <w:rsid w:val="00860CD7"/>
    <w:rsid w:val="00860DD8"/>
    <w:rsid w:val="00862008"/>
    <w:rsid w:val="0086205C"/>
    <w:rsid w:val="00862502"/>
    <w:rsid w:val="00862715"/>
    <w:rsid w:val="008629A4"/>
    <w:rsid w:val="00862E61"/>
    <w:rsid w:val="008634B5"/>
    <w:rsid w:val="00863C4F"/>
    <w:rsid w:val="00865FAA"/>
    <w:rsid w:val="00866A09"/>
    <w:rsid w:val="00866A11"/>
    <w:rsid w:val="00870874"/>
    <w:rsid w:val="00870BCB"/>
    <w:rsid w:val="00870D10"/>
    <w:rsid w:val="0087146D"/>
    <w:rsid w:val="00871B06"/>
    <w:rsid w:val="00871B14"/>
    <w:rsid w:val="00871DAB"/>
    <w:rsid w:val="00872B84"/>
    <w:rsid w:val="00872E23"/>
    <w:rsid w:val="00873192"/>
    <w:rsid w:val="008743FA"/>
    <w:rsid w:val="00874905"/>
    <w:rsid w:val="0087549A"/>
    <w:rsid w:val="0087566D"/>
    <w:rsid w:val="00875FA4"/>
    <w:rsid w:val="00876058"/>
    <w:rsid w:val="00876284"/>
    <w:rsid w:val="00876AE4"/>
    <w:rsid w:val="00876D4C"/>
    <w:rsid w:val="00876DFA"/>
    <w:rsid w:val="00877DFC"/>
    <w:rsid w:val="00880F5C"/>
    <w:rsid w:val="0088124D"/>
    <w:rsid w:val="0088124F"/>
    <w:rsid w:val="00882222"/>
    <w:rsid w:val="00882874"/>
    <w:rsid w:val="0088326E"/>
    <w:rsid w:val="00883787"/>
    <w:rsid w:val="00883BFC"/>
    <w:rsid w:val="00883EFF"/>
    <w:rsid w:val="00884E30"/>
    <w:rsid w:val="00885ECF"/>
    <w:rsid w:val="00886FED"/>
    <w:rsid w:val="00887543"/>
    <w:rsid w:val="008877B6"/>
    <w:rsid w:val="00892B17"/>
    <w:rsid w:val="00892BDC"/>
    <w:rsid w:val="008932FF"/>
    <w:rsid w:val="0089363E"/>
    <w:rsid w:val="00894489"/>
    <w:rsid w:val="008946C5"/>
    <w:rsid w:val="008951F1"/>
    <w:rsid w:val="008957DB"/>
    <w:rsid w:val="00895CEB"/>
    <w:rsid w:val="00895D1A"/>
    <w:rsid w:val="00895E1A"/>
    <w:rsid w:val="008963A5"/>
    <w:rsid w:val="008964EB"/>
    <w:rsid w:val="00896577"/>
    <w:rsid w:val="008968B2"/>
    <w:rsid w:val="00896B08"/>
    <w:rsid w:val="008970D7"/>
    <w:rsid w:val="0089758F"/>
    <w:rsid w:val="00897BE0"/>
    <w:rsid w:val="00897D24"/>
    <w:rsid w:val="00897F6D"/>
    <w:rsid w:val="008A0697"/>
    <w:rsid w:val="008A0B73"/>
    <w:rsid w:val="008A0CD1"/>
    <w:rsid w:val="008A15BE"/>
    <w:rsid w:val="008A2116"/>
    <w:rsid w:val="008A31F1"/>
    <w:rsid w:val="008A3519"/>
    <w:rsid w:val="008A3C3E"/>
    <w:rsid w:val="008A42F3"/>
    <w:rsid w:val="008A4482"/>
    <w:rsid w:val="008A57A0"/>
    <w:rsid w:val="008A6346"/>
    <w:rsid w:val="008A6405"/>
    <w:rsid w:val="008A65EF"/>
    <w:rsid w:val="008A6CA2"/>
    <w:rsid w:val="008A6E5C"/>
    <w:rsid w:val="008A7027"/>
    <w:rsid w:val="008A7628"/>
    <w:rsid w:val="008A774A"/>
    <w:rsid w:val="008A79DE"/>
    <w:rsid w:val="008A7A70"/>
    <w:rsid w:val="008B04F6"/>
    <w:rsid w:val="008B070C"/>
    <w:rsid w:val="008B09CA"/>
    <w:rsid w:val="008B0D77"/>
    <w:rsid w:val="008B13B8"/>
    <w:rsid w:val="008B19CF"/>
    <w:rsid w:val="008B2E9D"/>
    <w:rsid w:val="008B3D56"/>
    <w:rsid w:val="008B49A2"/>
    <w:rsid w:val="008B5480"/>
    <w:rsid w:val="008B56BD"/>
    <w:rsid w:val="008B671A"/>
    <w:rsid w:val="008B695D"/>
    <w:rsid w:val="008B69E1"/>
    <w:rsid w:val="008B7037"/>
    <w:rsid w:val="008B75DF"/>
    <w:rsid w:val="008B779E"/>
    <w:rsid w:val="008B79D6"/>
    <w:rsid w:val="008B7D7E"/>
    <w:rsid w:val="008C010E"/>
    <w:rsid w:val="008C0B80"/>
    <w:rsid w:val="008C1306"/>
    <w:rsid w:val="008C1C86"/>
    <w:rsid w:val="008C3FEE"/>
    <w:rsid w:val="008C43F6"/>
    <w:rsid w:val="008C4FDA"/>
    <w:rsid w:val="008C5A7E"/>
    <w:rsid w:val="008C66B1"/>
    <w:rsid w:val="008C6C2B"/>
    <w:rsid w:val="008C6DC7"/>
    <w:rsid w:val="008C71D6"/>
    <w:rsid w:val="008C792B"/>
    <w:rsid w:val="008C7ECB"/>
    <w:rsid w:val="008C7EF0"/>
    <w:rsid w:val="008D0294"/>
    <w:rsid w:val="008D0CFF"/>
    <w:rsid w:val="008D2319"/>
    <w:rsid w:val="008D232E"/>
    <w:rsid w:val="008D2637"/>
    <w:rsid w:val="008D2847"/>
    <w:rsid w:val="008D306A"/>
    <w:rsid w:val="008D31C0"/>
    <w:rsid w:val="008D3DBE"/>
    <w:rsid w:val="008D409D"/>
    <w:rsid w:val="008D49BE"/>
    <w:rsid w:val="008D4DF7"/>
    <w:rsid w:val="008D55C8"/>
    <w:rsid w:val="008D613A"/>
    <w:rsid w:val="008D6B7D"/>
    <w:rsid w:val="008D6D77"/>
    <w:rsid w:val="008D6DD7"/>
    <w:rsid w:val="008D6E6B"/>
    <w:rsid w:val="008D6F26"/>
    <w:rsid w:val="008D7170"/>
    <w:rsid w:val="008D734D"/>
    <w:rsid w:val="008D7766"/>
    <w:rsid w:val="008D7A10"/>
    <w:rsid w:val="008D7DBF"/>
    <w:rsid w:val="008D7EEA"/>
    <w:rsid w:val="008E0299"/>
    <w:rsid w:val="008E04F0"/>
    <w:rsid w:val="008E116A"/>
    <w:rsid w:val="008E1896"/>
    <w:rsid w:val="008E1B9E"/>
    <w:rsid w:val="008E29C1"/>
    <w:rsid w:val="008E359F"/>
    <w:rsid w:val="008E543E"/>
    <w:rsid w:val="008E56E1"/>
    <w:rsid w:val="008E5873"/>
    <w:rsid w:val="008E5960"/>
    <w:rsid w:val="008E5BF9"/>
    <w:rsid w:val="008E7219"/>
    <w:rsid w:val="008F0621"/>
    <w:rsid w:val="008F0CE8"/>
    <w:rsid w:val="008F0CFF"/>
    <w:rsid w:val="008F120A"/>
    <w:rsid w:val="008F14B0"/>
    <w:rsid w:val="008F250E"/>
    <w:rsid w:val="008F259C"/>
    <w:rsid w:val="008F25B7"/>
    <w:rsid w:val="008F2B33"/>
    <w:rsid w:val="008F48EB"/>
    <w:rsid w:val="008F4F0B"/>
    <w:rsid w:val="008F5193"/>
    <w:rsid w:val="008F51BF"/>
    <w:rsid w:val="008F520E"/>
    <w:rsid w:val="008F593A"/>
    <w:rsid w:val="008F5DF9"/>
    <w:rsid w:val="008F601F"/>
    <w:rsid w:val="008F65AB"/>
    <w:rsid w:val="008F6DDD"/>
    <w:rsid w:val="008F6F88"/>
    <w:rsid w:val="008F718F"/>
    <w:rsid w:val="008F7692"/>
    <w:rsid w:val="008F7762"/>
    <w:rsid w:val="008F7880"/>
    <w:rsid w:val="009005A7"/>
    <w:rsid w:val="00901900"/>
    <w:rsid w:val="00901CA1"/>
    <w:rsid w:val="00901CDB"/>
    <w:rsid w:val="009024E2"/>
    <w:rsid w:val="0090298F"/>
    <w:rsid w:val="00902B12"/>
    <w:rsid w:val="00902BE4"/>
    <w:rsid w:val="009030A0"/>
    <w:rsid w:val="00903183"/>
    <w:rsid w:val="00903AAA"/>
    <w:rsid w:val="00904449"/>
    <w:rsid w:val="0090477F"/>
    <w:rsid w:val="00905B2B"/>
    <w:rsid w:val="009062A5"/>
    <w:rsid w:val="00907BB0"/>
    <w:rsid w:val="00910142"/>
    <w:rsid w:val="0091046B"/>
    <w:rsid w:val="009104C5"/>
    <w:rsid w:val="00911272"/>
    <w:rsid w:val="0091248D"/>
    <w:rsid w:val="00913743"/>
    <w:rsid w:val="00913FB0"/>
    <w:rsid w:val="009142D8"/>
    <w:rsid w:val="009159A1"/>
    <w:rsid w:val="00917444"/>
    <w:rsid w:val="00920244"/>
    <w:rsid w:val="00921246"/>
    <w:rsid w:val="00921C06"/>
    <w:rsid w:val="00922964"/>
    <w:rsid w:val="00923FEE"/>
    <w:rsid w:val="009250C6"/>
    <w:rsid w:val="00925665"/>
    <w:rsid w:val="00925699"/>
    <w:rsid w:val="00925F41"/>
    <w:rsid w:val="00926291"/>
    <w:rsid w:val="009263A4"/>
    <w:rsid w:val="0092647A"/>
    <w:rsid w:val="009269CC"/>
    <w:rsid w:val="00927005"/>
    <w:rsid w:val="009272C5"/>
    <w:rsid w:val="00927316"/>
    <w:rsid w:val="009277FD"/>
    <w:rsid w:val="00930B44"/>
    <w:rsid w:val="00932020"/>
    <w:rsid w:val="00932E03"/>
    <w:rsid w:val="00932FEF"/>
    <w:rsid w:val="0093350A"/>
    <w:rsid w:val="00933A7F"/>
    <w:rsid w:val="00933B35"/>
    <w:rsid w:val="00933FF2"/>
    <w:rsid w:val="009341B6"/>
    <w:rsid w:val="00934EE9"/>
    <w:rsid w:val="00935862"/>
    <w:rsid w:val="009358ED"/>
    <w:rsid w:val="00935BC7"/>
    <w:rsid w:val="00936291"/>
    <w:rsid w:val="009367FE"/>
    <w:rsid w:val="00936921"/>
    <w:rsid w:val="00936C18"/>
    <w:rsid w:val="009378C1"/>
    <w:rsid w:val="00937EDD"/>
    <w:rsid w:val="009402B3"/>
    <w:rsid w:val="00940C74"/>
    <w:rsid w:val="00940C9A"/>
    <w:rsid w:val="00941EF2"/>
    <w:rsid w:val="00942CF7"/>
    <w:rsid w:val="00943133"/>
    <w:rsid w:val="009436C0"/>
    <w:rsid w:val="00943A60"/>
    <w:rsid w:val="00944891"/>
    <w:rsid w:val="009450DD"/>
    <w:rsid w:val="00945CC3"/>
    <w:rsid w:val="009460F3"/>
    <w:rsid w:val="00946776"/>
    <w:rsid w:val="00946B93"/>
    <w:rsid w:val="00947C8E"/>
    <w:rsid w:val="0095007D"/>
    <w:rsid w:val="00950635"/>
    <w:rsid w:val="0095159C"/>
    <w:rsid w:val="00952A9B"/>
    <w:rsid w:val="009530B9"/>
    <w:rsid w:val="0095449E"/>
    <w:rsid w:val="00955352"/>
    <w:rsid w:val="00956CD9"/>
    <w:rsid w:val="0095730D"/>
    <w:rsid w:val="0095743B"/>
    <w:rsid w:val="009575B9"/>
    <w:rsid w:val="00957725"/>
    <w:rsid w:val="00957A63"/>
    <w:rsid w:val="00957CB3"/>
    <w:rsid w:val="00957E53"/>
    <w:rsid w:val="00960B39"/>
    <w:rsid w:val="009616F7"/>
    <w:rsid w:val="00961960"/>
    <w:rsid w:val="00961B08"/>
    <w:rsid w:val="00961FB6"/>
    <w:rsid w:val="0096298A"/>
    <w:rsid w:val="00962CB9"/>
    <w:rsid w:val="00963223"/>
    <w:rsid w:val="00964312"/>
    <w:rsid w:val="0096468B"/>
    <w:rsid w:val="0096478E"/>
    <w:rsid w:val="0096492C"/>
    <w:rsid w:val="009654D4"/>
    <w:rsid w:val="00965691"/>
    <w:rsid w:val="00966E6B"/>
    <w:rsid w:val="00967C7F"/>
    <w:rsid w:val="00971349"/>
    <w:rsid w:val="00972420"/>
    <w:rsid w:val="009724BE"/>
    <w:rsid w:val="009730E8"/>
    <w:rsid w:val="00973ACC"/>
    <w:rsid w:val="0097420A"/>
    <w:rsid w:val="009743A0"/>
    <w:rsid w:val="00974C4C"/>
    <w:rsid w:val="00974CC9"/>
    <w:rsid w:val="009752F2"/>
    <w:rsid w:val="0097538B"/>
    <w:rsid w:val="00975BE5"/>
    <w:rsid w:val="009768D6"/>
    <w:rsid w:val="00977B03"/>
    <w:rsid w:val="00980C14"/>
    <w:rsid w:val="0098185D"/>
    <w:rsid w:val="00981923"/>
    <w:rsid w:val="00982534"/>
    <w:rsid w:val="009832BB"/>
    <w:rsid w:val="00983E3C"/>
    <w:rsid w:val="00983E57"/>
    <w:rsid w:val="009840DE"/>
    <w:rsid w:val="0098424D"/>
    <w:rsid w:val="0098460A"/>
    <w:rsid w:val="009858F1"/>
    <w:rsid w:val="00985D72"/>
    <w:rsid w:val="0098611C"/>
    <w:rsid w:val="00987360"/>
    <w:rsid w:val="00987F4F"/>
    <w:rsid w:val="00990110"/>
    <w:rsid w:val="0099058C"/>
    <w:rsid w:val="0099096B"/>
    <w:rsid w:val="009919AD"/>
    <w:rsid w:val="00992248"/>
    <w:rsid w:val="009928E6"/>
    <w:rsid w:val="00992921"/>
    <w:rsid w:val="00993BCB"/>
    <w:rsid w:val="00993DD3"/>
    <w:rsid w:val="00994249"/>
    <w:rsid w:val="00995EC6"/>
    <w:rsid w:val="00995F9E"/>
    <w:rsid w:val="009960D0"/>
    <w:rsid w:val="0099620C"/>
    <w:rsid w:val="00996721"/>
    <w:rsid w:val="00996B1A"/>
    <w:rsid w:val="0099764E"/>
    <w:rsid w:val="009976FD"/>
    <w:rsid w:val="00997714"/>
    <w:rsid w:val="009A09E4"/>
    <w:rsid w:val="009A0BAE"/>
    <w:rsid w:val="009A0E5A"/>
    <w:rsid w:val="009A14D1"/>
    <w:rsid w:val="009A1EA1"/>
    <w:rsid w:val="009A212E"/>
    <w:rsid w:val="009A251C"/>
    <w:rsid w:val="009A3167"/>
    <w:rsid w:val="009A3282"/>
    <w:rsid w:val="009A3F10"/>
    <w:rsid w:val="009A45DF"/>
    <w:rsid w:val="009A46CB"/>
    <w:rsid w:val="009A47F7"/>
    <w:rsid w:val="009A4A75"/>
    <w:rsid w:val="009A4F34"/>
    <w:rsid w:val="009A5012"/>
    <w:rsid w:val="009A5E79"/>
    <w:rsid w:val="009A683F"/>
    <w:rsid w:val="009A6A3E"/>
    <w:rsid w:val="009A7499"/>
    <w:rsid w:val="009B08C5"/>
    <w:rsid w:val="009B175D"/>
    <w:rsid w:val="009B1DDC"/>
    <w:rsid w:val="009B2F7A"/>
    <w:rsid w:val="009B3C68"/>
    <w:rsid w:val="009B3E26"/>
    <w:rsid w:val="009B413F"/>
    <w:rsid w:val="009B4503"/>
    <w:rsid w:val="009B528C"/>
    <w:rsid w:val="009B55CC"/>
    <w:rsid w:val="009B5F29"/>
    <w:rsid w:val="009B7944"/>
    <w:rsid w:val="009B7DD3"/>
    <w:rsid w:val="009C1BE9"/>
    <w:rsid w:val="009C1ED0"/>
    <w:rsid w:val="009C3D23"/>
    <w:rsid w:val="009C3DF4"/>
    <w:rsid w:val="009C4826"/>
    <w:rsid w:val="009C5E5E"/>
    <w:rsid w:val="009C5EB0"/>
    <w:rsid w:val="009C70D5"/>
    <w:rsid w:val="009C7385"/>
    <w:rsid w:val="009C7C2C"/>
    <w:rsid w:val="009C7F1F"/>
    <w:rsid w:val="009D0534"/>
    <w:rsid w:val="009D0602"/>
    <w:rsid w:val="009D066B"/>
    <w:rsid w:val="009D0725"/>
    <w:rsid w:val="009D0B29"/>
    <w:rsid w:val="009D0C87"/>
    <w:rsid w:val="009D1959"/>
    <w:rsid w:val="009D2E43"/>
    <w:rsid w:val="009D33FD"/>
    <w:rsid w:val="009D37E7"/>
    <w:rsid w:val="009D4C36"/>
    <w:rsid w:val="009D57F6"/>
    <w:rsid w:val="009D5B91"/>
    <w:rsid w:val="009D5D8A"/>
    <w:rsid w:val="009D6A28"/>
    <w:rsid w:val="009D7132"/>
    <w:rsid w:val="009E0349"/>
    <w:rsid w:val="009E0CE0"/>
    <w:rsid w:val="009E1EC6"/>
    <w:rsid w:val="009E1ED8"/>
    <w:rsid w:val="009E29AC"/>
    <w:rsid w:val="009E4201"/>
    <w:rsid w:val="009E4C07"/>
    <w:rsid w:val="009E5237"/>
    <w:rsid w:val="009E6046"/>
    <w:rsid w:val="009E6A5B"/>
    <w:rsid w:val="009E7915"/>
    <w:rsid w:val="009F088A"/>
    <w:rsid w:val="009F254B"/>
    <w:rsid w:val="009F25C4"/>
    <w:rsid w:val="009F3BE4"/>
    <w:rsid w:val="009F400F"/>
    <w:rsid w:val="009F4B91"/>
    <w:rsid w:val="009F5A3B"/>
    <w:rsid w:val="009F68E9"/>
    <w:rsid w:val="009F7393"/>
    <w:rsid w:val="009F7D04"/>
    <w:rsid w:val="009F7D38"/>
    <w:rsid w:val="00A00994"/>
    <w:rsid w:val="00A022FC"/>
    <w:rsid w:val="00A027D1"/>
    <w:rsid w:val="00A02D86"/>
    <w:rsid w:val="00A033C9"/>
    <w:rsid w:val="00A03D43"/>
    <w:rsid w:val="00A04380"/>
    <w:rsid w:val="00A0570F"/>
    <w:rsid w:val="00A05EFC"/>
    <w:rsid w:val="00A05F21"/>
    <w:rsid w:val="00A06A10"/>
    <w:rsid w:val="00A07A6D"/>
    <w:rsid w:val="00A104AA"/>
    <w:rsid w:val="00A1058E"/>
    <w:rsid w:val="00A109EC"/>
    <w:rsid w:val="00A109F4"/>
    <w:rsid w:val="00A1241E"/>
    <w:rsid w:val="00A127A5"/>
    <w:rsid w:val="00A12B03"/>
    <w:rsid w:val="00A132EA"/>
    <w:rsid w:val="00A134CC"/>
    <w:rsid w:val="00A13948"/>
    <w:rsid w:val="00A14F9A"/>
    <w:rsid w:val="00A1500D"/>
    <w:rsid w:val="00A156CA"/>
    <w:rsid w:val="00A1675A"/>
    <w:rsid w:val="00A1676C"/>
    <w:rsid w:val="00A16BDB"/>
    <w:rsid w:val="00A1758B"/>
    <w:rsid w:val="00A176A0"/>
    <w:rsid w:val="00A176CD"/>
    <w:rsid w:val="00A21031"/>
    <w:rsid w:val="00A21614"/>
    <w:rsid w:val="00A21BB7"/>
    <w:rsid w:val="00A21D48"/>
    <w:rsid w:val="00A22F20"/>
    <w:rsid w:val="00A2343A"/>
    <w:rsid w:val="00A2350D"/>
    <w:rsid w:val="00A23518"/>
    <w:rsid w:val="00A24148"/>
    <w:rsid w:val="00A2477D"/>
    <w:rsid w:val="00A247E2"/>
    <w:rsid w:val="00A25136"/>
    <w:rsid w:val="00A2664F"/>
    <w:rsid w:val="00A2719B"/>
    <w:rsid w:val="00A27AEC"/>
    <w:rsid w:val="00A309C5"/>
    <w:rsid w:val="00A30B00"/>
    <w:rsid w:val="00A30D02"/>
    <w:rsid w:val="00A313C4"/>
    <w:rsid w:val="00A31A02"/>
    <w:rsid w:val="00A33021"/>
    <w:rsid w:val="00A33D1F"/>
    <w:rsid w:val="00A35D16"/>
    <w:rsid w:val="00A35DE8"/>
    <w:rsid w:val="00A35E16"/>
    <w:rsid w:val="00A36740"/>
    <w:rsid w:val="00A36DA9"/>
    <w:rsid w:val="00A37898"/>
    <w:rsid w:val="00A41D97"/>
    <w:rsid w:val="00A42507"/>
    <w:rsid w:val="00A428C4"/>
    <w:rsid w:val="00A43C59"/>
    <w:rsid w:val="00A4404B"/>
    <w:rsid w:val="00A4477F"/>
    <w:rsid w:val="00A452BB"/>
    <w:rsid w:val="00A4587A"/>
    <w:rsid w:val="00A459FE"/>
    <w:rsid w:val="00A46351"/>
    <w:rsid w:val="00A46E47"/>
    <w:rsid w:val="00A472AC"/>
    <w:rsid w:val="00A477FD"/>
    <w:rsid w:val="00A47BB0"/>
    <w:rsid w:val="00A47EBC"/>
    <w:rsid w:val="00A5013F"/>
    <w:rsid w:val="00A50152"/>
    <w:rsid w:val="00A507A4"/>
    <w:rsid w:val="00A5084E"/>
    <w:rsid w:val="00A50B97"/>
    <w:rsid w:val="00A50E09"/>
    <w:rsid w:val="00A50ECD"/>
    <w:rsid w:val="00A5116F"/>
    <w:rsid w:val="00A51E1D"/>
    <w:rsid w:val="00A51FD0"/>
    <w:rsid w:val="00A52729"/>
    <w:rsid w:val="00A53379"/>
    <w:rsid w:val="00A53675"/>
    <w:rsid w:val="00A558B6"/>
    <w:rsid w:val="00A55D41"/>
    <w:rsid w:val="00A56269"/>
    <w:rsid w:val="00A5675B"/>
    <w:rsid w:val="00A568D8"/>
    <w:rsid w:val="00A56B6A"/>
    <w:rsid w:val="00A56DF8"/>
    <w:rsid w:val="00A5741A"/>
    <w:rsid w:val="00A57853"/>
    <w:rsid w:val="00A578DC"/>
    <w:rsid w:val="00A57C32"/>
    <w:rsid w:val="00A60459"/>
    <w:rsid w:val="00A61861"/>
    <w:rsid w:val="00A618D5"/>
    <w:rsid w:val="00A6207B"/>
    <w:rsid w:val="00A62E9F"/>
    <w:rsid w:val="00A63303"/>
    <w:rsid w:val="00A63C27"/>
    <w:rsid w:val="00A64022"/>
    <w:rsid w:val="00A647F7"/>
    <w:rsid w:val="00A6482A"/>
    <w:rsid w:val="00A65183"/>
    <w:rsid w:val="00A6552D"/>
    <w:rsid w:val="00A65621"/>
    <w:rsid w:val="00A6566E"/>
    <w:rsid w:val="00A65E4C"/>
    <w:rsid w:val="00A66026"/>
    <w:rsid w:val="00A671AE"/>
    <w:rsid w:val="00A6725B"/>
    <w:rsid w:val="00A67B5B"/>
    <w:rsid w:val="00A70253"/>
    <w:rsid w:val="00A71808"/>
    <w:rsid w:val="00A72485"/>
    <w:rsid w:val="00A725D9"/>
    <w:rsid w:val="00A72EBA"/>
    <w:rsid w:val="00A730C6"/>
    <w:rsid w:val="00A73DBA"/>
    <w:rsid w:val="00A749E3"/>
    <w:rsid w:val="00A74B1D"/>
    <w:rsid w:val="00A74E7C"/>
    <w:rsid w:val="00A753BD"/>
    <w:rsid w:val="00A772E0"/>
    <w:rsid w:val="00A80B07"/>
    <w:rsid w:val="00A816D3"/>
    <w:rsid w:val="00A81EBB"/>
    <w:rsid w:val="00A8202F"/>
    <w:rsid w:val="00A8233C"/>
    <w:rsid w:val="00A82938"/>
    <w:rsid w:val="00A82A8E"/>
    <w:rsid w:val="00A82EE1"/>
    <w:rsid w:val="00A83B8E"/>
    <w:rsid w:val="00A84358"/>
    <w:rsid w:val="00A86A3C"/>
    <w:rsid w:val="00A86E8B"/>
    <w:rsid w:val="00A87372"/>
    <w:rsid w:val="00A87952"/>
    <w:rsid w:val="00A87F35"/>
    <w:rsid w:val="00A90442"/>
    <w:rsid w:val="00A90636"/>
    <w:rsid w:val="00A90BB0"/>
    <w:rsid w:val="00A92091"/>
    <w:rsid w:val="00A92EC7"/>
    <w:rsid w:val="00A93072"/>
    <w:rsid w:val="00A93BA5"/>
    <w:rsid w:val="00A93C4A"/>
    <w:rsid w:val="00A942D6"/>
    <w:rsid w:val="00A95179"/>
    <w:rsid w:val="00A959D8"/>
    <w:rsid w:val="00A960BF"/>
    <w:rsid w:val="00A96E95"/>
    <w:rsid w:val="00A972E5"/>
    <w:rsid w:val="00AA008D"/>
    <w:rsid w:val="00AA0780"/>
    <w:rsid w:val="00AA07C8"/>
    <w:rsid w:val="00AA154A"/>
    <w:rsid w:val="00AA19C7"/>
    <w:rsid w:val="00AA1A33"/>
    <w:rsid w:val="00AA1A4A"/>
    <w:rsid w:val="00AA1CAD"/>
    <w:rsid w:val="00AA29E7"/>
    <w:rsid w:val="00AA2DAB"/>
    <w:rsid w:val="00AA4D9D"/>
    <w:rsid w:val="00AA557D"/>
    <w:rsid w:val="00AA5C4D"/>
    <w:rsid w:val="00AA5DFD"/>
    <w:rsid w:val="00AA6427"/>
    <w:rsid w:val="00AA6895"/>
    <w:rsid w:val="00AA6FDB"/>
    <w:rsid w:val="00AA7264"/>
    <w:rsid w:val="00AA7B40"/>
    <w:rsid w:val="00AA7E36"/>
    <w:rsid w:val="00AB0322"/>
    <w:rsid w:val="00AB042A"/>
    <w:rsid w:val="00AB082E"/>
    <w:rsid w:val="00AB1ABD"/>
    <w:rsid w:val="00AB295A"/>
    <w:rsid w:val="00AB2D34"/>
    <w:rsid w:val="00AB3430"/>
    <w:rsid w:val="00AB3D11"/>
    <w:rsid w:val="00AB4ABD"/>
    <w:rsid w:val="00AB4E9D"/>
    <w:rsid w:val="00AB650F"/>
    <w:rsid w:val="00AB6E7D"/>
    <w:rsid w:val="00AB78A9"/>
    <w:rsid w:val="00AB79B9"/>
    <w:rsid w:val="00AB7CFA"/>
    <w:rsid w:val="00AB7DCE"/>
    <w:rsid w:val="00AC247E"/>
    <w:rsid w:val="00AC24BB"/>
    <w:rsid w:val="00AC3B07"/>
    <w:rsid w:val="00AC3BA9"/>
    <w:rsid w:val="00AC4564"/>
    <w:rsid w:val="00AC4922"/>
    <w:rsid w:val="00AC49AA"/>
    <w:rsid w:val="00AC4A06"/>
    <w:rsid w:val="00AC5EFA"/>
    <w:rsid w:val="00AC6052"/>
    <w:rsid w:val="00AC79FF"/>
    <w:rsid w:val="00AC7A6E"/>
    <w:rsid w:val="00AD0F2A"/>
    <w:rsid w:val="00AD1679"/>
    <w:rsid w:val="00AD2DFF"/>
    <w:rsid w:val="00AD2EBE"/>
    <w:rsid w:val="00AD3A8B"/>
    <w:rsid w:val="00AD3B39"/>
    <w:rsid w:val="00AD4124"/>
    <w:rsid w:val="00AD45C5"/>
    <w:rsid w:val="00AD4C87"/>
    <w:rsid w:val="00AD5A67"/>
    <w:rsid w:val="00AD5E05"/>
    <w:rsid w:val="00AD739F"/>
    <w:rsid w:val="00AD74D7"/>
    <w:rsid w:val="00AD75AF"/>
    <w:rsid w:val="00AD7BA4"/>
    <w:rsid w:val="00AE0084"/>
    <w:rsid w:val="00AE0575"/>
    <w:rsid w:val="00AE3FEA"/>
    <w:rsid w:val="00AE46C3"/>
    <w:rsid w:val="00AE4A64"/>
    <w:rsid w:val="00AE50C5"/>
    <w:rsid w:val="00AE5C58"/>
    <w:rsid w:val="00AE7597"/>
    <w:rsid w:val="00AE77FA"/>
    <w:rsid w:val="00AE7E47"/>
    <w:rsid w:val="00AE7F46"/>
    <w:rsid w:val="00AF0D0C"/>
    <w:rsid w:val="00AF2227"/>
    <w:rsid w:val="00AF33AC"/>
    <w:rsid w:val="00AF3860"/>
    <w:rsid w:val="00AF3A66"/>
    <w:rsid w:val="00AF3F6E"/>
    <w:rsid w:val="00AF44A6"/>
    <w:rsid w:val="00AF5DA8"/>
    <w:rsid w:val="00AF6E5E"/>
    <w:rsid w:val="00AF73AA"/>
    <w:rsid w:val="00AF751D"/>
    <w:rsid w:val="00B002B7"/>
    <w:rsid w:val="00B01064"/>
    <w:rsid w:val="00B037C6"/>
    <w:rsid w:val="00B03825"/>
    <w:rsid w:val="00B038A6"/>
    <w:rsid w:val="00B0458B"/>
    <w:rsid w:val="00B04E95"/>
    <w:rsid w:val="00B04EAF"/>
    <w:rsid w:val="00B05297"/>
    <w:rsid w:val="00B0537A"/>
    <w:rsid w:val="00B05974"/>
    <w:rsid w:val="00B06088"/>
    <w:rsid w:val="00B06742"/>
    <w:rsid w:val="00B06CD7"/>
    <w:rsid w:val="00B07F2D"/>
    <w:rsid w:val="00B07FFE"/>
    <w:rsid w:val="00B1000D"/>
    <w:rsid w:val="00B10137"/>
    <w:rsid w:val="00B10170"/>
    <w:rsid w:val="00B1031C"/>
    <w:rsid w:val="00B1041F"/>
    <w:rsid w:val="00B11068"/>
    <w:rsid w:val="00B12038"/>
    <w:rsid w:val="00B12069"/>
    <w:rsid w:val="00B120FA"/>
    <w:rsid w:val="00B12543"/>
    <w:rsid w:val="00B12C6A"/>
    <w:rsid w:val="00B16EC5"/>
    <w:rsid w:val="00B17119"/>
    <w:rsid w:val="00B17306"/>
    <w:rsid w:val="00B17520"/>
    <w:rsid w:val="00B17699"/>
    <w:rsid w:val="00B202D7"/>
    <w:rsid w:val="00B20AA2"/>
    <w:rsid w:val="00B20EA5"/>
    <w:rsid w:val="00B2147C"/>
    <w:rsid w:val="00B224E2"/>
    <w:rsid w:val="00B23089"/>
    <w:rsid w:val="00B23B30"/>
    <w:rsid w:val="00B23E6E"/>
    <w:rsid w:val="00B23F47"/>
    <w:rsid w:val="00B2505D"/>
    <w:rsid w:val="00B265A3"/>
    <w:rsid w:val="00B26F86"/>
    <w:rsid w:val="00B31C97"/>
    <w:rsid w:val="00B31CB7"/>
    <w:rsid w:val="00B327DC"/>
    <w:rsid w:val="00B32E78"/>
    <w:rsid w:val="00B335B6"/>
    <w:rsid w:val="00B337F3"/>
    <w:rsid w:val="00B33DC2"/>
    <w:rsid w:val="00B34CD9"/>
    <w:rsid w:val="00B36322"/>
    <w:rsid w:val="00B366CB"/>
    <w:rsid w:val="00B36A83"/>
    <w:rsid w:val="00B36E9F"/>
    <w:rsid w:val="00B3700F"/>
    <w:rsid w:val="00B37047"/>
    <w:rsid w:val="00B4195B"/>
    <w:rsid w:val="00B41E65"/>
    <w:rsid w:val="00B41F4B"/>
    <w:rsid w:val="00B42458"/>
    <w:rsid w:val="00B42851"/>
    <w:rsid w:val="00B43493"/>
    <w:rsid w:val="00B43CED"/>
    <w:rsid w:val="00B447DB"/>
    <w:rsid w:val="00B44970"/>
    <w:rsid w:val="00B46A20"/>
    <w:rsid w:val="00B46A3A"/>
    <w:rsid w:val="00B46DD9"/>
    <w:rsid w:val="00B477B2"/>
    <w:rsid w:val="00B47CF2"/>
    <w:rsid w:val="00B50D83"/>
    <w:rsid w:val="00B50DB8"/>
    <w:rsid w:val="00B50F04"/>
    <w:rsid w:val="00B50F24"/>
    <w:rsid w:val="00B51152"/>
    <w:rsid w:val="00B5139E"/>
    <w:rsid w:val="00B51509"/>
    <w:rsid w:val="00B51D35"/>
    <w:rsid w:val="00B51FD5"/>
    <w:rsid w:val="00B53420"/>
    <w:rsid w:val="00B53905"/>
    <w:rsid w:val="00B53A0E"/>
    <w:rsid w:val="00B53AEE"/>
    <w:rsid w:val="00B54B5B"/>
    <w:rsid w:val="00B55003"/>
    <w:rsid w:val="00B55523"/>
    <w:rsid w:val="00B5562E"/>
    <w:rsid w:val="00B56F2A"/>
    <w:rsid w:val="00B57000"/>
    <w:rsid w:val="00B60610"/>
    <w:rsid w:val="00B60939"/>
    <w:rsid w:val="00B60AFD"/>
    <w:rsid w:val="00B621EE"/>
    <w:rsid w:val="00B62384"/>
    <w:rsid w:val="00B62715"/>
    <w:rsid w:val="00B63887"/>
    <w:rsid w:val="00B638C9"/>
    <w:rsid w:val="00B6442C"/>
    <w:rsid w:val="00B64635"/>
    <w:rsid w:val="00B64B44"/>
    <w:rsid w:val="00B657D2"/>
    <w:rsid w:val="00B679B0"/>
    <w:rsid w:val="00B67C80"/>
    <w:rsid w:val="00B67EE9"/>
    <w:rsid w:val="00B70F1B"/>
    <w:rsid w:val="00B71198"/>
    <w:rsid w:val="00B713BB"/>
    <w:rsid w:val="00B71977"/>
    <w:rsid w:val="00B71D7D"/>
    <w:rsid w:val="00B72490"/>
    <w:rsid w:val="00B724CA"/>
    <w:rsid w:val="00B72515"/>
    <w:rsid w:val="00B72680"/>
    <w:rsid w:val="00B729F2"/>
    <w:rsid w:val="00B72B6C"/>
    <w:rsid w:val="00B72BDD"/>
    <w:rsid w:val="00B72C33"/>
    <w:rsid w:val="00B736C4"/>
    <w:rsid w:val="00B7374D"/>
    <w:rsid w:val="00B737FD"/>
    <w:rsid w:val="00B73EF8"/>
    <w:rsid w:val="00B742C5"/>
    <w:rsid w:val="00B7501A"/>
    <w:rsid w:val="00B7551D"/>
    <w:rsid w:val="00B75582"/>
    <w:rsid w:val="00B77814"/>
    <w:rsid w:val="00B77E88"/>
    <w:rsid w:val="00B77EB6"/>
    <w:rsid w:val="00B803AD"/>
    <w:rsid w:val="00B80AF3"/>
    <w:rsid w:val="00B8143D"/>
    <w:rsid w:val="00B818A4"/>
    <w:rsid w:val="00B819EF"/>
    <w:rsid w:val="00B81CC7"/>
    <w:rsid w:val="00B81DAC"/>
    <w:rsid w:val="00B81F43"/>
    <w:rsid w:val="00B822F7"/>
    <w:rsid w:val="00B828E5"/>
    <w:rsid w:val="00B84A03"/>
    <w:rsid w:val="00B84D85"/>
    <w:rsid w:val="00B8649C"/>
    <w:rsid w:val="00B86CEF"/>
    <w:rsid w:val="00B87022"/>
    <w:rsid w:val="00B91A85"/>
    <w:rsid w:val="00B921E7"/>
    <w:rsid w:val="00B92D0B"/>
    <w:rsid w:val="00B93746"/>
    <w:rsid w:val="00B94945"/>
    <w:rsid w:val="00B95095"/>
    <w:rsid w:val="00B9592E"/>
    <w:rsid w:val="00B9758B"/>
    <w:rsid w:val="00BA02DE"/>
    <w:rsid w:val="00BA0532"/>
    <w:rsid w:val="00BA09CE"/>
    <w:rsid w:val="00BA0D5C"/>
    <w:rsid w:val="00BA1186"/>
    <w:rsid w:val="00BA2EE0"/>
    <w:rsid w:val="00BA2F70"/>
    <w:rsid w:val="00BA333A"/>
    <w:rsid w:val="00BA3674"/>
    <w:rsid w:val="00BA3B10"/>
    <w:rsid w:val="00BA3CAD"/>
    <w:rsid w:val="00BA3DB1"/>
    <w:rsid w:val="00BA3DFB"/>
    <w:rsid w:val="00BA50F2"/>
    <w:rsid w:val="00BA57AE"/>
    <w:rsid w:val="00BA64EC"/>
    <w:rsid w:val="00BA6C05"/>
    <w:rsid w:val="00BA780D"/>
    <w:rsid w:val="00BA78AC"/>
    <w:rsid w:val="00BA7B15"/>
    <w:rsid w:val="00BB1318"/>
    <w:rsid w:val="00BB1F63"/>
    <w:rsid w:val="00BB204C"/>
    <w:rsid w:val="00BB267E"/>
    <w:rsid w:val="00BB29A5"/>
    <w:rsid w:val="00BB3251"/>
    <w:rsid w:val="00BB36A5"/>
    <w:rsid w:val="00BB376B"/>
    <w:rsid w:val="00BB38A4"/>
    <w:rsid w:val="00BB3B5F"/>
    <w:rsid w:val="00BB4212"/>
    <w:rsid w:val="00BB5026"/>
    <w:rsid w:val="00BB5726"/>
    <w:rsid w:val="00BB7405"/>
    <w:rsid w:val="00BB760D"/>
    <w:rsid w:val="00BC075D"/>
    <w:rsid w:val="00BC1016"/>
    <w:rsid w:val="00BC1A15"/>
    <w:rsid w:val="00BC1AFB"/>
    <w:rsid w:val="00BC2526"/>
    <w:rsid w:val="00BC256D"/>
    <w:rsid w:val="00BC3447"/>
    <w:rsid w:val="00BC3AC9"/>
    <w:rsid w:val="00BC4EB7"/>
    <w:rsid w:val="00BC4FF4"/>
    <w:rsid w:val="00BC5B21"/>
    <w:rsid w:val="00BD04A8"/>
    <w:rsid w:val="00BD0BDE"/>
    <w:rsid w:val="00BD1F0A"/>
    <w:rsid w:val="00BD259E"/>
    <w:rsid w:val="00BD267B"/>
    <w:rsid w:val="00BD269C"/>
    <w:rsid w:val="00BD2B47"/>
    <w:rsid w:val="00BD3636"/>
    <w:rsid w:val="00BD4282"/>
    <w:rsid w:val="00BD4CBC"/>
    <w:rsid w:val="00BD573B"/>
    <w:rsid w:val="00BD57E5"/>
    <w:rsid w:val="00BD5977"/>
    <w:rsid w:val="00BD64B8"/>
    <w:rsid w:val="00BD6CF3"/>
    <w:rsid w:val="00BD79EC"/>
    <w:rsid w:val="00BE003A"/>
    <w:rsid w:val="00BE06C3"/>
    <w:rsid w:val="00BE1268"/>
    <w:rsid w:val="00BE14E4"/>
    <w:rsid w:val="00BE1B01"/>
    <w:rsid w:val="00BE2180"/>
    <w:rsid w:val="00BE2EFF"/>
    <w:rsid w:val="00BE3D3D"/>
    <w:rsid w:val="00BE4275"/>
    <w:rsid w:val="00BE4DFD"/>
    <w:rsid w:val="00BE505E"/>
    <w:rsid w:val="00BE588F"/>
    <w:rsid w:val="00BE613D"/>
    <w:rsid w:val="00BE645B"/>
    <w:rsid w:val="00BE7084"/>
    <w:rsid w:val="00BE7642"/>
    <w:rsid w:val="00BE7C1E"/>
    <w:rsid w:val="00BF0A79"/>
    <w:rsid w:val="00BF10FE"/>
    <w:rsid w:val="00BF2433"/>
    <w:rsid w:val="00BF2784"/>
    <w:rsid w:val="00BF2AD8"/>
    <w:rsid w:val="00BF35F9"/>
    <w:rsid w:val="00BF3616"/>
    <w:rsid w:val="00BF3F23"/>
    <w:rsid w:val="00BF61C9"/>
    <w:rsid w:val="00BF637B"/>
    <w:rsid w:val="00BF651F"/>
    <w:rsid w:val="00BF69D3"/>
    <w:rsid w:val="00C00912"/>
    <w:rsid w:val="00C00BD2"/>
    <w:rsid w:val="00C00EAB"/>
    <w:rsid w:val="00C010A6"/>
    <w:rsid w:val="00C01E41"/>
    <w:rsid w:val="00C01F17"/>
    <w:rsid w:val="00C02349"/>
    <w:rsid w:val="00C029CF"/>
    <w:rsid w:val="00C033C1"/>
    <w:rsid w:val="00C03485"/>
    <w:rsid w:val="00C0595C"/>
    <w:rsid w:val="00C05E21"/>
    <w:rsid w:val="00C0615C"/>
    <w:rsid w:val="00C06A93"/>
    <w:rsid w:val="00C076A4"/>
    <w:rsid w:val="00C07C2C"/>
    <w:rsid w:val="00C101B1"/>
    <w:rsid w:val="00C10792"/>
    <w:rsid w:val="00C10968"/>
    <w:rsid w:val="00C1144F"/>
    <w:rsid w:val="00C11C78"/>
    <w:rsid w:val="00C120A1"/>
    <w:rsid w:val="00C12723"/>
    <w:rsid w:val="00C12733"/>
    <w:rsid w:val="00C13521"/>
    <w:rsid w:val="00C13D50"/>
    <w:rsid w:val="00C14332"/>
    <w:rsid w:val="00C145A0"/>
    <w:rsid w:val="00C14755"/>
    <w:rsid w:val="00C14834"/>
    <w:rsid w:val="00C15913"/>
    <w:rsid w:val="00C15D0A"/>
    <w:rsid w:val="00C161DC"/>
    <w:rsid w:val="00C16888"/>
    <w:rsid w:val="00C16E35"/>
    <w:rsid w:val="00C17852"/>
    <w:rsid w:val="00C17BDF"/>
    <w:rsid w:val="00C17C54"/>
    <w:rsid w:val="00C200FE"/>
    <w:rsid w:val="00C2070D"/>
    <w:rsid w:val="00C2085E"/>
    <w:rsid w:val="00C20DF0"/>
    <w:rsid w:val="00C217FC"/>
    <w:rsid w:val="00C22D88"/>
    <w:rsid w:val="00C23485"/>
    <w:rsid w:val="00C2396F"/>
    <w:rsid w:val="00C23EF4"/>
    <w:rsid w:val="00C24160"/>
    <w:rsid w:val="00C2428D"/>
    <w:rsid w:val="00C244BE"/>
    <w:rsid w:val="00C24995"/>
    <w:rsid w:val="00C24C6C"/>
    <w:rsid w:val="00C25418"/>
    <w:rsid w:val="00C25783"/>
    <w:rsid w:val="00C25D9C"/>
    <w:rsid w:val="00C26B92"/>
    <w:rsid w:val="00C27011"/>
    <w:rsid w:val="00C27AAA"/>
    <w:rsid w:val="00C27C87"/>
    <w:rsid w:val="00C27FE3"/>
    <w:rsid w:val="00C30F64"/>
    <w:rsid w:val="00C31649"/>
    <w:rsid w:val="00C31881"/>
    <w:rsid w:val="00C326D7"/>
    <w:rsid w:val="00C32BA2"/>
    <w:rsid w:val="00C32BC6"/>
    <w:rsid w:val="00C34AC5"/>
    <w:rsid w:val="00C356CE"/>
    <w:rsid w:val="00C35C2F"/>
    <w:rsid w:val="00C3615E"/>
    <w:rsid w:val="00C363F0"/>
    <w:rsid w:val="00C36474"/>
    <w:rsid w:val="00C36551"/>
    <w:rsid w:val="00C3670D"/>
    <w:rsid w:val="00C36C83"/>
    <w:rsid w:val="00C36DC4"/>
    <w:rsid w:val="00C36EEA"/>
    <w:rsid w:val="00C3704F"/>
    <w:rsid w:val="00C37314"/>
    <w:rsid w:val="00C37834"/>
    <w:rsid w:val="00C401EA"/>
    <w:rsid w:val="00C40385"/>
    <w:rsid w:val="00C40B29"/>
    <w:rsid w:val="00C41C52"/>
    <w:rsid w:val="00C41D59"/>
    <w:rsid w:val="00C42531"/>
    <w:rsid w:val="00C42B37"/>
    <w:rsid w:val="00C42B88"/>
    <w:rsid w:val="00C43431"/>
    <w:rsid w:val="00C4467B"/>
    <w:rsid w:val="00C44ED1"/>
    <w:rsid w:val="00C44FE6"/>
    <w:rsid w:val="00C453B8"/>
    <w:rsid w:val="00C472EB"/>
    <w:rsid w:val="00C4756E"/>
    <w:rsid w:val="00C4772E"/>
    <w:rsid w:val="00C4777B"/>
    <w:rsid w:val="00C47D40"/>
    <w:rsid w:val="00C47DE1"/>
    <w:rsid w:val="00C502DB"/>
    <w:rsid w:val="00C52275"/>
    <w:rsid w:val="00C53041"/>
    <w:rsid w:val="00C53122"/>
    <w:rsid w:val="00C53801"/>
    <w:rsid w:val="00C539EB"/>
    <w:rsid w:val="00C53C47"/>
    <w:rsid w:val="00C5417C"/>
    <w:rsid w:val="00C54530"/>
    <w:rsid w:val="00C54A07"/>
    <w:rsid w:val="00C54AFF"/>
    <w:rsid w:val="00C559C5"/>
    <w:rsid w:val="00C56511"/>
    <w:rsid w:val="00C56B82"/>
    <w:rsid w:val="00C609C7"/>
    <w:rsid w:val="00C61D61"/>
    <w:rsid w:val="00C62CE9"/>
    <w:rsid w:val="00C6394D"/>
    <w:rsid w:val="00C642E3"/>
    <w:rsid w:val="00C65576"/>
    <w:rsid w:val="00C66165"/>
    <w:rsid w:val="00C663E6"/>
    <w:rsid w:val="00C66CFD"/>
    <w:rsid w:val="00C66EE1"/>
    <w:rsid w:val="00C670A0"/>
    <w:rsid w:val="00C67A42"/>
    <w:rsid w:val="00C70B51"/>
    <w:rsid w:val="00C718AD"/>
    <w:rsid w:val="00C718F1"/>
    <w:rsid w:val="00C73347"/>
    <w:rsid w:val="00C7354A"/>
    <w:rsid w:val="00C73B4A"/>
    <w:rsid w:val="00C74304"/>
    <w:rsid w:val="00C745BB"/>
    <w:rsid w:val="00C750C8"/>
    <w:rsid w:val="00C75A86"/>
    <w:rsid w:val="00C75F84"/>
    <w:rsid w:val="00C76713"/>
    <w:rsid w:val="00C76CDF"/>
    <w:rsid w:val="00C76F5B"/>
    <w:rsid w:val="00C770C6"/>
    <w:rsid w:val="00C772C2"/>
    <w:rsid w:val="00C775AE"/>
    <w:rsid w:val="00C77602"/>
    <w:rsid w:val="00C815AF"/>
    <w:rsid w:val="00C81619"/>
    <w:rsid w:val="00C81C29"/>
    <w:rsid w:val="00C82038"/>
    <w:rsid w:val="00C8213F"/>
    <w:rsid w:val="00C824DE"/>
    <w:rsid w:val="00C82B34"/>
    <w:rsid w:val="00C82EC4"/>
    <w:rsid w:val="00C83381"/>
    <w:rsid w:val="00C84A95"/>
    <w:rsid w:val="00C84D7C"/>
    <w:rsid w:val="00C8508F"/>
    <w:rsid w:val="00C86F8A"/>
    <w:rsid w:val="00C87256"/>
    <w:rsid w:val="00C8797A"/>
    <w:rsid w:val="00C910CC"/>
    <w:rsid w:val="00C91863"/>
    <w:rsid w:val="00C91FC5"/>
    <w:rsid w:val="00C920BB"/>
    <w:rsid w:val="00C93318"/>
    <w:rsid w:val="00C936D5"/>
    <w:rsid w:val="00C938CF"/>
    <w:rsid w:val="00C94BCD"/>
    <w:rsid w:val="00C9534A"/>
    <w:rsid w:val="00C963B5"/>
    <w:rsid w:val="00C969F1"/>
    <w:rsid w:val="00C96BF0"/>
    <w:rsid w:val="00C97348"/>
    <w:rsid w:val="00C978F7"/>
    <w:rsid w:val="00C97B5A"/>
    <w:rsid w:val="00C97E3D"/>
    <w:rsid w:val="00CA0CC0"/>
    <w:rsid w:val="00CA14B2"/>
    <w:rsid w:val="00CA2531"/>
    <w:rsid w:val="00CA2958"/>
    <w:rsid w:val="00CA2AA1"/>
    <w:rsid w:val="00CA30CF"/>
    <w:rsid w:val="00CA3B55"/>
    <w:rsid w:val="00CA3D74"/>
    <w:rsid w:val="00CA5245"/>
    <w:rsid w:val="00CA560B"/>
    <w:rsid w:val="00CA5CA7"/>
    <w:rsid w:val="00CA6323"/>
    <w:rsid w:val="00CA6A27"/>
    <w:rsid w:val="00CA705B"/>
    <w:rsid w:val="00CA735F"/>
    <w:rsid w:val="00CA73D3"/>
    <w:rsid w:val="00CA763A"/>
    <w:rsid w:val="00CA7772"/>
    <w:rsid w:val="00CA7B09"/>
    <w:rsid w:val="00CB01C1"/>
    <w:rsid w:val="00CB0264"/>
    <w:rsid w:val="00CB0B4E"/>
    <w:rsid w:val="00CB1558"/>
    <w:rsid w:val="00CB28D3"/>
    <w:rsid w:val="00CB3DB7"/>
    <w:rsid w:val="00CB461E"/>
    <w:rsid w:val="00CB4D23"/>
    <w:rsid w:val="00CB569A"/>
    <w:rsid w:val="00CB5B1A"/>
    <w:rsid w:val="00CB5F38"/>
    <w:rsid w:val="00CB65BF"/>
    <w:rsid w:val="00CB6EB3"/>
    <w:rsid w:val="00CB7027"/>
    <w:rsid w:val="00CB76A4"/>
    <w:rsid w:val="00CB797A"/>
    <w:rsid w:val="00CB7AA0"/>
    <w:rsid w:val="00CC098B"/>
    <w:rsid w:val="00CC1156"/>
    <w:rsid w:val="00CC1300"/>
    <w:rsid w:val="00CC20E7"/>
    <w:rsid w:val="00CC2F52"/>
    <w:rsid w:val="00CC3168"/>
    <w:rsid w:val="00CC3851"/>
    <w:rsid w:val="00CC3C28"/>
    <w:rsid w:val="00CC46D1"/>
    <w:rsid w:val="00CC72BE"/>
    <w:rsid w:val="00CC7899"/>
    <w:rsid w:val="00CC7EA9"/>
    <w:rsid w:val="00CD04DE"/>
    <w:rsid w:val="00CD04EA"/>
    <w:rsid w:val="00CD0C1F"/>
    <w:rsid w:val="00CD1070"/>
    <w:rsid w:val="00CD20E5"/>
    <w:rsid w:val="00CD2ADF"/>
    <w:rsid w:val="00CD2F14"/>
    <w:rsid w:val="00CD4320"/>
    <w:rsid w:val="00CD467C"/>
    <w:rsid w:val="00CD5F88"/>
    <w:rsid w:val="00CD6807"/>
    <w:rsid w:val="00CD6ADC"/>
    <w:rsid w:val="00CD76FC"/>
    <w:rsid w:val="00CE0050"/>
    <w:rsid w:val="00CE0E0F"/>
    <w:rsid w:val="00CE0F81"/>
    <w:rsid w:val="00CE2A8A"/>
    <w:rsid w:val="00CE3370"/>
    <w:rsid w:val="00CE3CB3"/>
    <w:rsid w:val="00CE4156"/>
    <w:rsid w:val="00CE48EE"/>
    <w:rsid w:val="00CE5037"/>
    <w:rsid w:val="00CE6274"/>
    <w:rsid w:val="00CE705A"/>
    <w:rsid w:val="00CF09CC"/>
    <w:rsid w:val="00CF0F43"/>
    <w:rsid w:val="00CF1138"/>
    <w:rsid w:val="00CF1539"/>
    <w:rsid w:val="00CF20C7"/>
    <w:rsid w:val="00CF2206"/>
    <w:rsid w:val="00CF2928"/>
    <w:rsid w:val="00CF3F9F"/>
    <w:rsid w:val="00CF456B"/>
    <w:rsid w:val="00CF544F"/>
    <w:rsid w:val="00CF5A22"/>
    <w:rsid w:val="00CF5EA9"/>
    <w:rsid w:val="00CF64A7"/>
    <w:rsid w:val="00CF6CC3"/>
    <w:rsid w:val="00CF6D37"/>
    <w:rsid w:val="00CF7100"/>
    <w:rsid w:val="00D01D39"/>
    <w:rsid w:val="00D01FCE"/>
    <w:rsid w:val="00D0254E"/>
    <w:rsid w:val="00D0262E"/>
    <w:rsid w:val="00D03F4F"/>
    <w:rsid w:val="00D04792"/>
    <w:rsid w:val="00D047C0"/>
    <w:rsid w:val="00D0524B"/>
    <w:rsid w:val="00D0526B"/>
    <w:rsid w:val="00D05E46"/>
    <w:rsid w:val="00D0662C"/>
    <w:rsid w:val="00D072A7"/>
    <w:rsid w:val="00D07F44"/>
    <w:rsid w:val="00D110BD"/>
    <w:rsid w:val="00D11AC7"/>
    <w:rsid w:val="00D126E5"/>
    <w:rsid w:val="00D12D28"/>
    <w:rsid w:val="00D13A1F"/>
    <w:rsid w:val="00D143E0"/>
    <w:rsid w:val="00D14419"/>
    <w:rsid w:val="00D14971"/>
    <w:rsid w:val="00D14D25"/>
    <w:rsid w:val="00D14E02"/>
    <w:rsid w:val="00D15766"/>
    <w:rsid w:val="00D15861"/>
    <w:rsid w:val="00D15F82"/>
    <w:rsid w:val="00D16401"/>
    <w:rsid w:val="00D172E1"/>
    <w:rsid w:val="00D1797C"/>
    <w:rsid w:val="00D17D6C"/>
    <w:rsid w:val="00D17FEB"/>
    <w:rsid w:val="00D20C95"/>
    <w:rsid w:val="00D213D9"/>
    <w:rsid w:val="00D2272A"/>
    <w:rsid w:val="00D2292B"/>
    <w:rsid w:val="00D22974"/>
    <w:rsid w:val="00D23096"/>
    <w:rsid w:val="00D23AB5"/>
    <w:rsid w:val="00D23DD7"/>
    <w:rsid w:val="00D24128"/>
    <w:rsid w:val="00D24789"/>
    <w:rsid w:val="00D248D7"/>
    <w:rsid w:val="00D24B63"/>
    <w:rsid w:val="00D25DE4"/>
    <w:rsid w:val="00D274FC"/>
    <w:rsid w:val="00D27C56"/>
    <w:rsid w:val="00D30C0D"/>
    <w:rsid w:val="00D31152"/>
    <w:rsid w:val="00D31B6B"/>
    <w:rsid w:val="00D31C1E"/>
    <w:rsid w:val="00D330F9"/>
    <w:rsid w:val="00D3567F"/>
    <w:rsid w:val="00D357FF"/>
    <w:rsid w:val="00D36607"/>
    <w:rsid w:val="00D366B8"/>
    <w:rsid w:val="00D373D4"/>
    <w:rsid w:val="00D4319C"/>
    <w:rsid w:val="00D44489"/>
    <w:rsid w:val="00D45E6A"/>
    <w:rsid w:val="00D46059"/>
    <w:rsid w:val="00D46697"/>
    <w:rsid w:val="00D46903"/>
    <w:rsid w:val="00D46CF2"/>
    <w:rsid w:val="00D46E1A"/>
    <w:rsid w:val="00D475D6"/>
    <w:rsid w:val="00D476FF"/>
    <w:rsid w:val="00D479B6"/>
    <w:rsid w:val="00D47A7E"/>
    <w:rsid w:val="00D5097E"/>
    <w:rsid w:val="00D50A34"/>
    <w:rsid w:val="00D515AB"/>
    <w:rsid w:val="00D51750"/>
    <w:rsid w:val="00D538A9"/>
    <w:rsid w:val="00D53ACB"/>
    <w:rsid w:val="00D54A54"/>
    <w:rsid w:val="00D56C95"/>
    <w:rsid w:val="00D576AA"/>
    <w:rsid w:val="00D57A06"/>
    <w:rsid w:val="00D57C89"/>
    <w:rsid w:val="00D57FAE"/>
    <w:rsid w:val="00D60098"/>
    <w:rsid w:val="00D60CE3"/>
    <w:rsid w:val="00D61A08"/>
    <w:rsid w:val="00D61B3B"/>
    <w:rsid w:val="00D6241F"/>
    <w:rsid w:val="00D626CE"/>
    <w:rsid w:val="00D6337D"/>
    <w:rsid w:val="00D63B03"/>
    <w:rsid w:val="00D6540F"/>
    <w:rsid w:val="00D655FB"/>
    <w:rsid w:val="00D65FC6"/>
    <w:rsid w:val="00D6607D"/>
    <w:rsid w:val="00D67A3B"/>
    <w:rsid w:val="00D67C2B"/>
    <w:rsid w:val="00D67DBB"/>
    <w:rsid w:val="00D702CD"/>
    <w:rsid w:val="00D70DD9"/>
    <w:rsid w:val="00D72842"/>
    <w:rsid w:val="00D73293"/>
    <w:rsid w:val="00D7373B"/>
    <w:rsid w:val="00D74E5F"/>
    <w:rsid w:val="00D7503F"/>
    <w:rsid w:val="00D75F97"/>
    <w:rsid w:val="00D76A44"/>
    <w:rsid w:val="00D77B4B"/>
    <w:rsid w:val="00D77F6D"/>
    <w:rsid w:val="00D80447"/>
    <w:rsid w:val="00D80A9F"/>
    <w:rsid w:val="00D80D2F"/>
    <w:rsid w:val="00D80E3E"/>
    <w:rsid w:val="00D81736"/>
    <w:rsid w:val="00D8191F"/>
    <w:rsid w:val="00D81A18"/>
    <w:rsid w:val="00D81A5F"/>
    <w:rsid w:val="00D835EA"/>
    <w:rsid w:val="00D838E2"/>
    <w:rsid w:val="00D83B0D"/>
    <w:rsid w:val="00D84069"/>
    <w:rsid w:val="00D841CC"/>
    <w:rsid w:val="00D8420D"/>
    <w:rsid w:val="00D846C4"/>
    <w:rsid w:val="00D855E0"/>
    <w:rsid w:val="00D86417"/>
    <w:rsid w:val="00D86FC8"/>
    <w:rsid w:val="00D87AF0"/>
    <w:rsid w:val="00D87D17"/>
    <w:rsid w:val="00D9038B"/>
    <w:rsid w:val="00D917BE"/>
    <w:rsid w:val="00D918AF"/>
    <w:rsid w:val="00D91EA3"/>
    <w:rsid w:val="00D92FD9"/>
    <w:rsid w:val="00D9324D"/>
    <w:rsid w:val="00D93753"/>
    <w:rsid w:val="00D93B26"/>
    <w:rsid w:val="00D93FBD"/>
    <w:rsid w:val="00D94000"/>
    <w:rsid w:val="00D940EA"/>
    <w:rsid w:val="00D961B9"/>
    <w:rsid w:val="00D96362"/>
    <w:rsid w:val="00D979B7"/>
    <w:rsid w:val="00DA0CE4"/>
    <w:rsid w:val="00DA127C"/>
    <w:rsid w:val="00DA189E"/>
    <w:rsid w:val="00DA1A20"/>
    <w:rsid w:val="00DA1AF2"/>
    <w:rsid w:val="00DA29E6"/>
    <w:rsid w:val="00DA2E52"/>
    <w:rsid w:val="00DA4122"/>
    <w:rsid w:val="00DA449E"/>
    <w:rsid w:val="00DA53EC"/>
    <w:rsid w:val="00DA5725"/>
    <w:rsid w:val="00DA5A28"/>
    <w:rsid w:val="00DA5F36"/>
    <w:rsid w:val="00DA70A9"/>
    <w:rsid w:val="00DA75FF"/>
    <w:rsid w:val="00DA7683"/>
    <w:rsid w:val="00DA77A5"/>
    <w:rsid w:val="00DA7B18"/>
    <w:rsid w:val="00DB04C8"/>
    <w:rsid w:val="00DB089C"/>
    <w:rsid w:val="00DB1E5C"/>
    <w:rsid w:val="00DB21DD"/>
    <w:rsid w:val="00DB221D"/>
    <w:rsid w:val="00DB33F4"/>
    <w:rsid w:val="00DB3D74"/>
    <w:rsid w:val="00DB43AF"/>
    <w:rsid w:val="00DB4524"/>
    <w:rsid w:val="00DB4CE0"/>
    <w:rsid w:val="00DB5172"/>
    <w:rsid w:val="00DB5FA7"/>
    <w:rsid w:val="00DB640A"/>
    <w:rsid w:val="00DB703A"/>
    <w:rsid w:val="00DB7A5B"/>
    <w:rsid w:val="00DC0033"/>
    <w:rsid w:val="00DC04B1"/>
    <w:rsid w:val="00DC0712"/>
    <w:rsid w:val="00DC2613"/>
    <w:rsid w:val="00DC3114"/>
    <w:rsid w:val="00DC3C90"/>
    <w:rsid w:val="00DC4EFA"/>
    <w:rsid w:val="00DC5501"/>
    <w:rsid w:val="00DC5824"/>
    <w:rsid w:val="00DC6DC3"/>
    <w:rsid w:val="00DC6E84"/>
    <w:rsid w:val="00DC7152"/>
    <w:rsid w:val="00DC7B06"/>
    <w:rsid w:val="00DD0411"/>
    <w:rsid w:val="00DD0E51"/>
    <w:rsid w:val="00DD1326"/>
    <w:rsid w:val="00DD1F4B"/>
    <w:rsid w:val="00DD29EF"/>
    <w:rsid w:val="00DD30C8"/>
    <w:rsid w:val="00DD3339"/>
    <w:rsid w:val="00DD382A"/>
    <w:rsid w:val="00DD3F28"/>
    <w:rsid w:val="00DD4537"/>
    <w:rsid w:val="00DD469E"/>
    <w:rsid w:val="00DD47E4"/>
    <w:rsid w:val="00DD4863"/>
    <w:rsid w:val="00DD4B8B"/>
    <w:rsid w:val="00DD4E15"/>
    <w:rsid w:val="00DD521C"/>
    <w:rsid w:val="00DD605A"/>
    <w:rsid w:val="00DD6548"/>
    <w:rsid w:val="00DD7748"/>
    <w:rsid w:val="00DE0B2E"/>
    <w:rsid w:val="00DE1515"/>
    <w:rsid w:val="00DE19C0"/>
    <w:rsid w:val="00DE2207"/>
    <w:rsid w:val="00DE30EC"/>
    <w:rsid w:val="00DE36DA"/>
    <w:rsid w:val="00DE38C6"/>
    <w:rsid w:val="00DE39BD"/>
    <w:rsid w:val="00DE44DC"/>
    <w:rsid w:val="00DE4A83"/>
    <w:rsid w:val="00DE4C23"/>
    <w:rsid w:val="00DE4D51"/>
    <w:rsid w:val="00DE4F0E"/>
    <w:rsid w:val="00DE4FCB"/>
    <w:rsid w:val="00DE5371"/>
    <w:rsid w:val="00DE5659"/>
    <w:rsid w:val="00DE5CA2"/>
    <w:rsid w:val="00DE6DA0"/>
    <w:rsid w:val="00DE74FA"/>
    <w:rsid w:val="00DE796C"/>
    <w:rsid w:val="00DF11A3"/>
    <w:rsid w:val="00DF1D5D"/>
    <w:rsid w:val="00DF26C1"/>
    <w:rsid w:val="00DF2F97"/>
    <w:rsid w:val="00DF36C4"/>
    <w:rsid w:val="00DF395C"/>
    <w:rsid w:val="00DF3E32"/>
    <w:rsid w:val="00DF5319"/>
    <w:rsid w:val="00DF5D2B"/>
    <w:rsid w:val="00DF67E3"/>
    <w:rsid w:val="00DF6801"/>
    <w:rsid w:val="00DF6818"/>
    <w:rsid w:val="00DF70D6"/>
    <w:rsid w:val="00DF71D5"/>
    <w:rsid w:val="00DF7726"/>
    <w:rsid w:val="00DF79B1"/>
    <w:rsid w:val="00E00974"/>
    <w:rsid w:val="00E019C7"/>
    <w:rsid w:val="00E02FD3"/>
    <w:rsid w:val="00E03A0D"/>
    <w:rsid w:val="00E03C5D"/>
    <w:rsid w:val="00E048E0"/>
    <w:rsid w:val="00E049B9"/>
    <w:rsid w:val="00E050D7"/>
    <w:rsid w:val="00E05180"/>
    <w:rsid w:val="00E076C4"/>
    <w:rsid w:val="00E07775"/>
    <w:rsid w:val="00E10149"/>
    <w:rsid w:val="00E11041"/>
    <w:rsid w:val="00E11125"/>
    <w:rsid w:val="00E11394"/>
    <w:rsid w:val="00E11D2F"/>
    <w:rsid w:val="00E11EB4"/>
    <w:rsid w:val="00E12318"/>
    <w:rsid w:val="00E136D3"/>
    <w:rsid w:val="00E13B27"/>
    <w:rsid w:val="00E13E70"/>
    <w:rsid w:val="00E143B1"/>
    <w:rsid w:val="00E144DD"/>
    <w:rsid w:val="00E14CF1"/>
    <w:rsid w:val="00E15B5A"/>
    <w:rsid w:val="00E15D4E"/>
    <w:rsid w:val="00E15FA3"/>
    <w:rsid w:val="00E16372"/>
    <w:rsid w:val="00E16668"/>
    <w:rsid w:val="00E1667A"/>
    <w:rsid w:val="00E1676F"/>
    <w:rsid w:val="00E1686C"/>
    <w:rsid w:val="00E16ABE"/>
    <w:rsid w:val="00E177A9"/>
    <w:rsid w:val="00E20212"/>
    <w:rsid w:val="00E20ED6"/>
    <w:rsid w:val="00E21358"/>
    <w:rsid w:val="00E22414"/>
    <w:rsid w:val="00E22455"/>
    <w:rsid w:val="00E2249B"/>
    <w:rsid w:val="00E22977"/>
    <w:rsid w:val="00E22A0D"/>
    <w:rsid w:val="00E23DA5"/>
    <w:rsid w:val="00E2429A"/>
    <w:rsid w:val="00E253A4"/>
    <w:rsid w:val="00E2605A"/>
    <w:rsid w:val="00E261C7"/>
    <w:rsid w:val="00E2771E"/>
    <w:rsid w:val="00E278BD"/>
    <w:rsid w:val="00E303A9"/>
    <w:rsid w:val="00E308D3"/>
    <w:rsid w:val="00E31AB6"/>
    <w:rsid w:val="00E32940"/>
    <w:rsid w:val="00E329B1"/>
    <w:rsid w:val="00E3302C"/>
    <w:rsid w:val="00E33E78"/>
    <w:rsid w:val="00E3404D"/>
    <w:rsid w:val="00E3549B"/>
    <w:rsid w:val="00E35577"/>
    <w:rsid w:val="00E35628"/>
    <w:rsid w:val="00E35655"/>
    <w:rsid w:val="00E35C46"/>
    <w:rsid w:val="00E35D70"/>
    <w:rsid w:val="00E360F0"/>
    <w:rsid w:val="00E362F6"/>
    <w:rsid w:val="00E366A5"/>
    <w:rsid w:val="00E36834"/>
    <w:rsid w:val="00E37569"/>
    <w:rsid w:val="00E4050F"/>
    <w:rsid w:val="00E4120F"/>
    <w:rsid w:val="00E41676"/>
    <w:rsid w:val="00E41E30"/>
    <w:rsid w:val="00E42862"/>
    <w:rsid w:val="00E42C1C"/>
    <w:rsid w:val="00E4306F"/>
    <w:rsid w:val="00E43D70"/>
    <w:rsid w:val="00E43EF1"/>
    <w:rsid w:val="00E44BDF"/>
    <w:rsid w:val="00E44C75"/>
    <w:rsid w:val="00E44F30"/>
    <w:rsid w:val="00E45767"/>
    <w:rsid w:val="00E45BAE"/>
    <w:rsid w:val="00E45D2C"/>
    <w:rsid w:val="00E4605E"/>
    <w:rsid w:val="00E465B8"/>
    <w:rsid w:val="00E477DC"/>
    <w:rsid w:val="00E47B2C"/>
    <w:rsid w:val="00E50987"/>
    <w:rsid w:val="00E51089"/>
    <w:rsid w:val="00E51560"/>
    <w:rsid w:val="00E515AD"/>
    <w:rsid w:val="00E5226D"/>
    <w:rsid w:val="00E52993"/>
    <w:rsid w:val="00E52F4C"/>
    <w:rsid w:val="00E531E6"/>
    <w:rsid w:val="00E53292"/>
    <w:rsid w:val="00E5453F"/>
    <w:rsid w:val="00E55144"/>
    <w:rsid w:val="00E55424"/>
    <w:rsid w:val="00E55471"/>
    <w:rsid w:val="00E55527"/>
    <w:rsid w:val="00E5558E"/>
    <w:rsid w:val="00E55685"/>
    <w:rsid w:val="00E55BB5"/>
    <w:rsid w:val="00E55EE1"/>
    <w:rsid w:val="00E564C9"/>
    <w:rsid w:val="00E566EE"/>
    <w:rsid w:val="00E56EA5"/>
    <w:rsid w:val="00E57091"/>
    <w:rsid w:val="00E57582"/>
    <w:rsid w:val="00E5777A"/>
    <w:rsid w:val="00E6044C"/>
    <w:rsid w:val="00E604C1"/>
    <w:rsid w:val="00E60F60"/>
    <w:rsid w:val="00E62021"/>
    <w:rsid w:val="00E62552"/>
    <w:rsid w:val="00E6302F"/>
    <w:rsid w:val="00E63086"/>
    <w:rsid w:val="00E63670"/>
    <w:rsid w:val="00E6442E"/>
    <w:rsid w:val="00E644B9"/>
    <w:rsid w:val="00E648A4"/>
    <w:rsid w:val="00E648F9"/>
    <w:rsid w:val="00E65031"/>
    <w:rsid w:val="00E656F1"/>
    <w:rsid w:val="00E65E79"/>
    <w:rsid w:val="00E66662"/>
    <w:rsid w:val="00E67416"/>
    <w:rsid w:val="00E67F3E"/>
    <w:rsid w:val="00E705AB"/>
    <w:rsid w:val="00E706C3"/>
    <w:rsid w:val="00E708E0"/>
    <w:rsid w:val="00E71428"/>
    <w:rsid w:val="00E71459"/>
    <w:rsid w:val="00E718B6"/>
    <w:rsid w:val="00E722E7"/>
    <w:rsid w:val="00E72FAA"/>
    <w:rsid w:val="00E73019"/>
    <w:rsid w:val="00E734DD"/>
    <w:rsid w:val="00E73581"/>
    <w:rsid w:val="00E73E8B"/>
    <w:rsid w:val="00E7407F"/>
    <w:rsid w:val="00E74DCA"/>
    <w:rsid w:val="00E75777"/>
    <w:rsid w:val="00E75AB6"/>
    <w:rsid w:val="00E75BBD"/>
    <w:rsid w:val="00E75C4D"/>
    <w:rsid w:val="00E75E21"/>
    <w:rsid w:val="00E76288"/>
    <w:rsid w:val="00E767B6"/>
    <w:rsid w:val="00E7699A"/>
    <w:rsid w:val="00E77536"/>
    <w:rsid w:val="00E77EA9"/>
    <w:rsid w:val="00E80B1D"/>
    <w:rsid w:val="00E816F7"/>
    <w:rsid w:val="00E81E1D"/>
    <w:rsid w:val="00E837C4"/>
    <w:rsid w:val="00E83BDF"/>
    <w:rsid w:val="00E845C1"/>
    <w:rsid w:val="00E845F9"/>
    <w:rsid w:val="00E848CA"/>
    <w:rsid w:val="00E84F20"/>
    <w:rsid w:val="00E8529B"/>
    <w:rsid w:val="00E85C9A"/>
    <w:rsid w:val="00E86751"/>
    <w:rsid w:val="00E867E0"/>
    <w:rsid w:val="00E8686D"/>
    <w:rsid w:val="00E8707E"/>
    <w:rsid w:val="00E87D7A"/>
    <w:rsid w:val="00E87D92"/>
    <w:rsid w:val="00E90498"/>
    <w:rsid w:val="00E90718"/>
    <w:rsid w:val="00E90892"/>
    <w:rsid w:val="00E909D5"/>
    <w:rsid w:val="00E91C24"/>
    <w:rsid w:val="00E9213C"/>
    <w:rsid w:val="00E9323B"/>
    <w:rsid w:val="00E93726"/>
    <w:rsid w:val="00E93B53"/>
    <w:rsid w:val="00E93EDD"/>
    <w:rsid w:val="00E94689"/>
    <w:rsid w:val="00E94B24"/>
    <w:rsid w:val="00E958D4"/>
    <w:rsid w:val="00E975E1"/>
    <w:rsid w:val="00E97AD2"/>
    <w:rsid w:val="00E97AD7"/>
    <w:rsid w:val="00E97F78"/>
    <w:rsid w:val="00EA0B65"/>
    <w:rsid w:val="00EA1703"/>
    <w:rsid w:val="00EA1866"/>
    <w:rsid w:val="00EA31A1"/>
    <w:rsid w:val="00EA349F"/>
    <w:rsid w:val="00EA384E"/>
    <w:rsid w:val="00EA3864"/>
    <w:rsid w:val="00EA4210"/>
    <w:rsid w:val="00EA43B4"/>
    <w:rsid w:val="00EA451B"/>
    <w:rsid w:val="00EA47BB"/>
    <w:rsid w:val="00EA537E"/>
    <w:rsid w:val="00EA5A87"/>
    <w:rsid w:val="00EA5BE4"/>
    <w:rsid w:val="00EB06F6"/>
    <w:rsid w:val="00EB0F61"/>
    <w:rsid w:val="00EB15B6"/>
    <w:rsid w:val="00EB2125"/>
    <w:rsid w:val="00EB32E6"/>
    <w:rsid w:val="00EB3340"/>
    <w:rsid w:val="00EB38F4"/>
    <w:rsid w:val="00EB480C"/>
    <w:rsid w:val="00EB48E8"/>
    <w:rsid w:val="00EB4916"/>
    <w:rsid w:val="00EB4DAF"/>
    <w:rsid w:val="00EB5240"/>
    <w:rsid w:val="00EB59FB"/>
    <w:rsid w:val="00EB5C51"/>
    <w:rsid w:val="00EB5EB1"/>
    <w:rsid w:val="00EB6283"/>
    <w:rsid w:val="00EB66F8"/>
    <w:rsid w:val="00EB6B77"/>
    <w:rsid w:val="00EC00C9"/>
    <w:rsid w:val="00EC07D2"/>
    <w:rsid w:val="00EC0CB2"/>
    <w:rsid w:val="00EC0EE1"/>
    <w:rsid w:val="00EC1075"/>
    <w:rsid w:val="00EC10CB"/>
    <w:rsid w:val="00EC226C"/>
    <w:rsid w:val="00EC26E5"/>
    <w:rsid w:val="00EC292E"/>
    <w:rsid w:val="00EC37DD"/>
    <w:rsid w:val="00EC390E"/>
    <w:rsid w:val="00EC3DAD"/>
    <w:rsid w:val="00EC3DE8"/>
    <w:rsid w:val="00EC4086"/>
    <w:rsid w:val="00EC40B6"/>
    <w:rsid w:val="00EC430A"/>
    <w:rsid w:val="00EC46CA"/>
    <w:rsid w:val="00EC490C"/>
    <w:rsid w:val="00EC4A52"/>
    <w:rsid w:val="00EC4FE7"/>
    <w:rsid w:val="00EC5879"/>
    <w:rsid w:val="00EC58AF"/>
    <w:rsid w:val="00EC5B98"/>
    <w:rsid w:val="00EC5F53"/>
    <w:rsid w:val="00EC663C"/>
    <w:rsid w:val="00EC6C5F"/>
    <w:rsid w:val="00EC7026"/>
    <w:rsid w:val="00EC75CD"/>
    <w:rsid w:val="00EC7B01"/>
    <w:rsid w:val="00EC7E56"/>
    <w:rsid w:val="00ED017A"/>
    <w:rsid w:val="00ED02B5"/>
    <w:rsid w:val="00ED0C04"/>
    <w:rsid w:val="00ED1C2E"/>
    <w:rsid w:val="00ED1D18"/>
    <w:rsid w:val="00ED20A0"/>
    <w:rsid w:val="00ED3238"/>
    <w:rsid w:val="00ED361A"/>
    <w:rsid w:val="00ED3F5B"/>
    <w:rsid w:val="00ED41B8"/>
    <w:rsid w:val="00ED429F"/>
    <w:rsid w:val="00ED44ED"/>
    <w:rsid w:val="00ED47D0"/>
    <w:rsid w:val="00ED502F"/>
    <w:rsid w:val="00ED64C9"/>
    <w:rsid w:val="00ED6BD9"/>
    <w:rsid w:val="00ED76C3"/>
    <w:rsid w:val="00EE07D3"/>
    <w:rsid w:val="00EE0F5D"/>
    <w:rsid w:val="00EE17A4"/>
    <w:rsid w:val="00EE1B77"/>
    <w:rsid w:val="00EE3EA6"/>
    <w:rsid w:val="00EE41E3"/>
    <w:rsid w:val="00EE480E"/>
    <w:rsid w:val="00EE4D99"/>
    <w:rsid w:val="00EE5396"/>
    <w:rsid w:val="00EE5CD2"/>
    <w:rsid w:val="00EE6867"/>
    <w:rsid w:val="00EE7192"/>
    <w:rsid w:val="00EE72D3"/>
    <w:rsid w:val="00EF047F"/>
    <w:rsid w:val="00EF1034"/>
    <w:rsid w:val="00EF2405"/>
    <w:rsid w:val="00EF3D57"/>
    <w:rsid w:val="00EF5ABF"/>
    <w:rsid w:val="00EF5C21"/>
    <w:rsid w:val="00EF5EA8"/>
    <w:rsid w:val="00EF6BBF"/>
    <w:rsid w:val="00EF6C14"/>
    <w:rsid w:val="00EF6EFE"/>
    <w:rsid w:val="00EF7DF0"/>
    <w:rsid w:val="00F00578"/>
    <w:rsid w:val="00F010EA"/>
    <w:rsid w:val="00F0288E"/>
    <w:rsid w:val="00F02EBB"/>
    <w:rsid w:val="00F0311E"/>
    <w:rsid w:val="00F05836"/>
    <w:rsid w:val="00F05BE0"/>
    <w:rsid w:val="00F05F6D"/>
    <w:rsid w:val="00F067A2"/>
    <w:rsid w:val="00F072EF"/>
    <w:rsid w:val="00F10229"/>
    <w:rsid w:val="00F1061A"/>
    <w:rsid w:val="00F10A87"/>
    <w:rsid w:val="00F10D49"/>
    <w:rsid w:val="00F11560"/>
    <w:rsid w:val="00F1182D"/>
    <w:rsid w:val="00F118DA"/>
    <w:rsid w:val="00F11D6C"/>
    <w:rsid w:val="00F11FBD"/>
    <w:rsid w:val="00F1233F"/>
    <w:rsid w:val="00F12408"/>
    <w:rsid w:val="00F1288B"/>
    <w:rsid w:val="00F129E9"/>
    <w:rsid w:val="00F13082"/>
    <w:rsid w:val="00F1356E"/>
    <w:rsid w:val="00F13664"/>
    <w:rsid w:val="00F13745"/>
    <w:rsid w:val="00F14AD6"/>
    <w:rsid w:val="00F14C5F"/>
    <w:rsid w:val="00F16170"/>
    <w:rsid w:val="00F179CD"/>
    <w:rsid w:val="00F205A1"/>
    <w:rsid w:val="00F20ED4"/>
    <w:rsid w:val="00F211EF"/>
    <w:rsid w:val="00F216C5"/>
    <w:rsid w:val="00F2234B"/>
    <w:rsid w:val="00F23224"/>
    <w:rsid w:val="00F23338"/>
    <w:rsid w:val="00F23599"/>
    <w:rsid w:val="00F2387F"/>
    <w:rsid w:val="00F242B1"/>
    <w:rsid w:val="00F2452F"/>
    <w:rsid w:val="00F24837"/>
    <w:rsid w:val="00F2575F"/>
    <w:rsid w:val="00F25B52"/>
    <w:rsid w:val="00F25E8F"/>
    <w:rsid w:val="00F26821"/>
    <w:rsid w:val="00F2704F"/>
    <w:rsid w:val="00F27484"/>
    <w:rsid w:val="00F301F0"/>
    <w:rsid w:val="00F3064F"/>
    <w:rsid w:val="00F30B26"/>
    <w:rsid w:val="00F312B5"/>
    <w:rsid w:val="00F32138"/>
    <w:rsid w:val="00F3367C"/>
    <w:rsid w:val="00F33CC6"/>
    <w:rsid w:val="00F33DE9"/>
    <w:rsid w:val="00F34049"/>
    <w:rsid w:val="00F341A7"/>
    <w:rsid w:val="00F3436E"/>
    <w:rsid w:val="00F3452B"/>
    <w:rsid w:val="00F345F1"/>
    <w:rsid w:val="00F35131"/>
    <w:rsid w:val="00F35A61"/>
    <w:rsid w:val="00F35CBC"/>
    <w:rsid w:val="00F3619A"/>
    <w:rsid w:val="00F3724F"/>
    <w:rsid w:val="00F373AA"/>
    <w:rsid w:val="00F3783F"/>
    <w:rsid w:val="00F378AC"/>
    <w:rsid w:val="00F37FBF"/>
    <w:rsid w:val="00F37FF5"/>
    <w:rsid w:val="00F40EB2"/>
    <w:rsid w:val="00F41D59"/>
    <w:rsid w:val="00F42189"/>
    <w:rsid w:val="00F42533"/>
    <w:rsid w:val="00F430A8"/>
    <w:rsid w:val="00F43739"/>
    <w:rsid w:val="00F437E2"/>
    <w:rsid w:val="00F43AA3"/>
    <w:rsid w:val="00F445D4"/>
    <w:rsid w:val="00F44877"/>
    <w:rsid w:val="00F44E44"/>
    <w:rsid w:val="00F45429"/>
    <w:rsid w:val="00F46AB3"/>
    <w:rsid w:val="00F46CB6"/>
    <w:rsid w:val="00F47611"/>
    <w:rsid w:val="00F502F5"/>
    <w:rsid w:val="00F50FE9"/>
    <w:rsid w:val="00F5251B"/>
    <w:rsid w:val="00F52593"/>
    <w:rsid w:val="00F52821"/>
    <w:rsid w:val="00F538B6"/>
    <w:rsid w:val="00F542D9"/>
    <w:rsid w:val="00F54FFE"/>
    <w:rsid w:val="00F555DC"/>
    <w:rsid w:val="00F556BB"/>
    <w:rsid w:val="00F558B8"/>
    <w:rsid w:val="00F55E73"/>
    <w:rsid w:val="00F567AE"/>
    <w:rsid w:val="00F57009"/>
    <w:rsid w:val="00F570C2"/>
    <w:rsid w:val="00F5714E"/>
    <w:rsid w:val="00F57F76"/>
    <w:rsid w:val="00F60092"/>
    <w:rsid w:val="00F607DA"/>
    <w:rsid w:val="00F629DF"/>
    <w:rsid w:val="00F62F4B"/>
    <w:rsid w:val="00F63FCA"/>
    <w:rsid w:val="00F6541D"/>
    <w:rsid w:val="00F65D08"/>
    <w:rsid w:val="00F668DA"/>
    <w:rsid w:val="00F7021C"/>
    <w:rsid w:val="00F706FC"/>
    <w:rsid w:val="00F71FA8"/>
    <w:rsid w:val="00F72668"/>
    <w:rsid w:val="00F72C44"/>
    <w:rsid w:val="00F7304C"/>
    <w:rsid w:val="00F731BA"/>
    <w:rsid w:val="00F73979"/>
    <w:rsid w:val="00F73C12"/>
    <w:rsid w:val="00F747A7"/>
    <w:rsid w:val="00F759B4"/>
    <w:rsid w:val="00F75A0A"/>
    <w:rsid w:val="00F77208"/>
    <w:rsid w:val="00F7744E"/>
    <w:rsid w:val="00F77970"/>
    <w:rsid w:val="00F8020C"/>
    <w:rsid w:val="00F80E5D"/>
    <w:rsid w:val="00F811BF"/>
    <w:rsid w:val="00F81BDF"/>
    <w:rsid w:val="00F81BE9"/>
    <w:rsid w:val="00F81F07"/>
    <w:rsid w:val="00F8263C"/>
    <w:rsid w:val="00F8289F"/>
    <w:rsid w:val="00F82CE9"/>
    <w:rsid w:val="00F82D07"/>
    <w:rsid w:val="00F8300F"/>
    <w:rsid w:val="00F831BA"/>
    <w:rsid w:val="00F8327E"/>
    <w:rsid w:val="00F83319"/>
    <w:rsid w:val="00F84073"/>
    <w:rsid w:val="00F840A0"/>
    <w:rsid w:val="00F84703"/>
    <w:rsid w:val="00F84AB4"/>
    <w:rsid w:val="00F851CE"/>
    <w:rsid w:val="00F861D0"/>
    <w:rsid w:val="00F86B30"/>
    <w:rsid w:val="00F8757B"/>
    <w:rsid w:val="00F87591"/>
    <w:rsid w:val="00F87739"/>
    <w:rsid w:val="00F87A37"/>
    <w:rsid w:val="00F90851"/>
    <w:rsid w:val="00F9104C"/>
    <w:rsid w:val="00F93681"/>
    <w:rsid w:val="00F93AAB"/>
    <w:rsid w:val="00F955F3"/>
    <w:rsid w:val="00F95634"/>
    <w:rsid w:val="00F96014"/>
    <w:rsid w:val="00F965EB"/>
    <w:rsid w:val="00F96BD9"/>
    <w:rsid w:val="00F973BC"/>
    <w:rsid w:val="00F97A78"/>
    <w:rsid w:val="00FA02F7"/>
    <w:rsid w:val="00FA07F5"/>
    <w:rsid w:val="00FA12A7"/>
    <w:rsid w:val="00FA1676"/>
    <w:rsid w:val="00FA24E7"/>
    <w:rsid w:val="00FA27DD"/>
    <w:rsid w:val="00FA3062"/>
    <w:rsid w:val="00FA3205"/>
    <w:rsid w:val="00FA334A"/>
    <w:rsid w:val="00FA36B6"/>
    <w:rsid w:val="00FA3D26"/>
    <w:rsid w:val="00FA3DA3"/>
    <w:rsid w:val="00FA42BB"/>
    <w:rsid w:val="00FA4BC7"/>
    <w:rsid w:val="00FA4E7F"/>
    <w:rsid w:val="00FA53B7"/>
    <w:rsid w:val="00FA5733"/>
    <w:rsid w:val="00FA6F72"/>
    <w:rsid w:val="00FA7322"/>
    <w:rsid w:val="00FA75D6"/>
    <w:rsid w:val="00FB0944"/>
    <w:rsid w:val="00FB0FE7"/>
    <w:rsid w:val="00FB1278"/>
    <w:rsid w:val="00FB1314"/>
    <w:rsid w:val="00FB16FB"/>
    <w:rsid w:val="00FB2FCB"/>
    <w:rsid w:val="00FB621A"/>
    <w:rsid w:val="00FB6877"/>
    <w:rsid w:val="00FB6B90"/>
    <w:rsid w:val="00FB7471"/>
    <w:rsid w:val="00FB7F6D"/>
    <w:rsid w:val="00FC0678"/>
    <w:rsid w:val="00FC1074"/>
    <w:rsid w:val="00FC14CD"/>
    <w:rsid w:val="00FC166A"/>
    <w:rsid w:val="00FC1884"/>
    <w:rsid w:val="00FC1CAE"/>
    <w:rsid w:val="00FC39CB"/>
    <w:rsid w:val="00FC3CA8"/>
    <w:rsid w:val="00FC437C"/>
    <w:rsid w:val="00FC4DBE"/>
    <w:rsid w:val="00FC4DFB"/>
    <w:rsid w:val="00FC4F85"/>
    <w:rsid w:val="00FC5C9C"/>
    <w:rsid w:val="00FD2071"/>
    <w:rsid w:val="00FD2100"/>
    <w:rsid w:val="00FD2298"/>
    <w:rsid w:val="00FD3889"/>
    <w:rsid w:val="00FD446D"/>
    <w:rsid w:val="00FD496C"/>
    <w:rsid w:val="00FD4CE9"/>
    <w:rsid w:val="00FD52AB"/>
    <w:rsid w:val="00FD55A3"/>
    <w:rsid w:val="00FD55FF"/>
    <w:rsid w:val="00FD590F"/>
    <w:rsid w:val="00FD6CA6"/>
    <w:rsid w:val="00FD6CD6"/>
    <w:rsid w:val="00FD6CE5"/>
    <w:rsid w:val="00FD777D"/>
    <w:rsid w:val="00FE1C96"/>
    <w:rsid w:val="00FE1F15"/>
    <w:rsid w:val="00FE2142"/>
    <w:rsid w:val="00FE2484"/>
    <w:rsid w:val="00FE2815"/>
    <w:rsid w:val="00FE2B91"/>
    <w:rsid w:val="00FE43D6"/>
    <w:rsid w:val="00FE4C5A"/>
    <w:rsid w:val="00FE58DA"/>
    <w:rsid w:val="00FE59FE"/>
    <w:rsid w:val="00FE609F"/>
    <w:rsid w:val="00FE615F"/>
    <w:rsid w:val="00FE7906"/>
    <w:rsid w:val="00FF00A8"/>
    <w:rsid w:val="00FF1077"/>
    <w:rsid w:val="00FF1714"/>
    <w:rsid w:val="00FF1CBA"/>
    <w:rsid w:val="00FF298A"/>
    <w:rsid w:val="00FF2F2F"/>
    <w:rsid w:val="00FF3412"/>
    <w:rsid w:val="00FF37F5"/>
    <w:rsid w:val="00FF3C97"/>
    <w:rsid w:val="00FF3DCF"/>
    <w:rsid w:val="00FF3FD7"/>
    <w:rsid w:val="00FF4376"/>
    <w:rsid w:val="00FF535D"/>
    <w:rsid w:val="00FF5AA3"/>
    <w:rsid w:val="00FF6479"/>
    <w:rsid w:val="00FF6EB8"/>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483715"/>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aliases w:val="PBAC 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aliases w:val="PBAC 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648F9"/>
    <w:pPr>
      <w:numPr>
        <w:numId w:val="5"/>
      </w:numPr>
      <w:outlineLvl w:val="0"/>
    </w:pPr>
    <w:rPr>
      <w:rFonts w:ascii="Arial" w:hAnsi="Arial" w:cs="Arial"/>
      <w:b/>
      <w:snapToGrid w:val="0"/>
      <w:sz w:val="22"/>
      <w:szCs w:val="22"/>
      <w:lang w:eastAsia="en-US"/>
    </w:rPr>
  </w:style>
  <w:style w:type="paragraph" w:customStyle="1" w:styleId="TableNotes">
    <w:name w:val="TableNotes"/>
    <w:basedOn w:val="Normal"/>
    <w:link w:val="TableNotesChar"/>
    <w:rsid w:val="0093350A"/>
    <w:pPr>
      <w:keepNext/>
      <w:widowControl/>
      <w:tabs>
        <w:tab w:val="left" w:pos="1559"/>
      </w:tabs>
      <w:ind w:left="1559" w:hanging="1559"/>
      <w:jc w:val="left"/>
    </w:pPr>
    <w:rPr>
      <w:rFonts w:ascii="Calibri" w:eastAsia="SimSun" w:hAnsi="Calibri" w:cs="Times New Roman"/>
      <w:snapToGrid/>
      <w:sz w:val="16"/>
      <w:lang w:eastAsia="zh-CN"/>
    </w:rPr>
  </w:style>
  <w:style w:type="character" w:customStyle="1" w:styleId="TableNotesChar">
    <w:name w:val="TableNotes Char"/>
    <w:basedOn w:val="DefaultParagraphFont"/>
    <w:link w:val="TableNotes"/>
    <w:locked/>
    <w:rsid w:val="0093350A"/>
    <w:rPr>
      <w:rFonts w:ascii="Calibri" w:eastAsia="SimSun" w:hAnsi="Calibri"/>
      <w:sz w:val="16"/>
      <w:lang w:eastAsia="zh-CN"/>
    </w:rPr>
  </w:style>
  <w:style w:type="character" w:customStyle="1" w:styleId="StyleCalibri">
    <w:name w:val="Style Calibri"/>
    <w:basedOn w:val="DefaultParagraphFont"/>
    <w:rsid w:val="0093350A"/>
    <w:rPr>
      <w:rFonts w:ascii="Calibri" w:hAnsi="Calibri" w:cs="Times New Roman"/>
      <w:sz w:val="24"/>
    </w:rPr>
  </w:style>
  <w:style w:type="paragraph" w:customStyle="1" w:styleId="TableHeadingCentred">
    <w:name w:val="TableHeadingCentred"/>
    <w:basedOn w:val="TableHeadingRow"/>
    <w:next w:val="TableText0"/>
    <w:rsid w:val="005861A4"/>
    <w:pPr>
      <w:jc w:val="center"/>
    </w:pPr>
  </w:style>
  <w:style w:type="paragraph" w:customStyle="1" w:styleId="TableHeadingRow">
    <w:name w:val="TableHeadingRow"/>
    <w:basedOn w:val="TableText0"/>
    <w:next w:val="TableText0"/>
    <w:rsid w:val="005861A4"/>
    <w:rPr>
      <w:rFonts w:ascii="Calibri" w:hAnsi="Calibri" w:cs="Times New Roman"/>
      <w:b/>
      <w:bCs/>
      <w:iCs/>
      <w:szCs w:val="18"/>
    </w:rPr>
  </w:style>
  <w:style w:type="character" w:customStyle="1" w:styleId="TableTextChar0">
    <w:name w:val="TableText Char"/>
    <w:basedOn w:val="DefaultParagraphFont"/>
    <w:link w:val="TableText0"/>
    <w:rsid w:val="005861A4"/>
    <w:rPr>
      <w:rFonts w:ascii="Arial Narrow" w:hAnsi="Arial Narrow" w:cs="Arial Narrow"/>
      <w:lang w:eastAsia="en-US"/>
    </w:rPr>
  </w:style>
  <w:style w:type="character" w:styleId="FollowedHyperlink">
    <w:name w:val="FollowedHyperlink"/>
    <w:basedOn w:val="DefaultParagraphFont"/>
    <w:semiHidden/>
    <w:unhideWhenUsed/>
    <w:rsid w:val="003662CE"/>
    <w:rPr>
      <w:color w:val="800080" w:themeColor="followedHyperlink"/>
      <w:u w:val="single"/>
    </w:rPr>
  </w:style>
  <w:style w:type="paragraph" w:customStyle="1" w:styleId="StyleTableTextLeftBefore0ptAfter0pt">
    <w:name w:val="Style TableText + Left Before:  0 pt After:  0 pt"/>
    <w:basedOn w:val="TableText0"/>
    <w:rsid w:val="00AE4A64"/>
    <w:rPr>
      <w:rFonts w:ascii="Calibri" w:hAnsi="Calibri" w:cs="Times New Roman"/>
    </w:rPr>
  </w:style>
  <w:style w:type="paragraph" w:customStyle="1" w:styleId="Char">
    <w:name w:val="Char"/>
    <w:basedOn w:val="Normal"/>
    <w:rsid w:val="00A72485"/>
    <w:pPr>
      <w:widowControl/>
      <w:spacing w:after="160" w:line="240" w:lineRule="exact"/>
      <w:jc w:val="left"/>
    </w:pPr>
    <w:rPr>
      <w:rFonts w:ascii="Verdana" w:eastAsia="MS Mincho" w:hAnsi="Verdana" w:cs="Verdana"/>
      <w:snapToGrid/>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2BE7"/>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E566EE"/>
    <w:rPr>
      <w:sz w:val="20"/>
    </w:rPr>
  </w:style>
  <w:style w:type="character" w:customStyle="1" w:styleId="FootnoteTextChar">
    <w:name w:val="Footnote Text Char"/>
    <w:basedOn w:val="DefaultParagraphFont"/>
    <w:link w:val="FootnoteText"/>
    <w:semiHidden/>
    <w:rsid w:val="00E566EE"/>
    <w:rPr>
      <w:rFonts w:ascii="Arial" w:hAnsi="Arial" w:cs="Arial"/>
      <w:snapToGrid w:val="0"/>
      <w:lang w:eastAsia="en-US"/>
    </w:rPr>
  </w:style>
  <w:style w:type="character" w:styleId="FootnoteReference">
    <w:name w:val="footnote reference"/>
    <w:basedOn w:val="DefaultParagraphFont"/>
    <w:semiHidden/>
    <w:unhideWhenUsed/>
    <w:rsid w:val="00E566EE"/>
    <w:rPr>
      <w:vertAlign w:val="superscript"/>
    </w:rPr>
  </w:style>
  <w:style w:type="character" w:styleId="IntenseReference">
    <w:name w:val="Intense Reference"/>
    <w:basedOn w:val="DefaultParagraphFont"/>
    <w:uiPriority w:val="32"/>
    <w:qFormat/>
    <w:rsid w:val="00D15766"/>
    <w:rPr>
      <w:b/>
      <w:bCs/>
      <w:i/>
      <w:smallCaps/>
      <w:color w:val="C0504D" w:themeColor="accent2"/>
      <w:spacing w:val="5"/>
      <w:u w:val="none"/>
    </w:rPr>
  </w:style>
  <w:style w:type="character" w:customStyle="1" w:styleId="ListParagraphChar">
    <w:name w:val="List Paragraph Char"/>
    <w:link w:val="ListParagraph"/>
    <w:uiPriority w:val="72"/>
    <w:rsid w:val="004D675A"/>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qFormat="1"/>
    <w:lsdException w:name="Book Title" w:semiHidden="0" w:uiPriority="33" w:unhideWhenUsed="0"/>
    <w:lsdException w:name="Bibliography" w:uiPriority="37"/>
    <w:lsdException w:name="TOC Heading" w:uiPriority="39"/>
  </w:latentStyles>
  <w:style w:type="paragraph" w:default="1" w:styleId="Normal">
    <w:name w:val="Normal"/>
    <w:qFormat/>
    <w:rsid w:val="00483715"/>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aliases w:val="PBAC Title"/>
    <w:basedOn w:val="Normal"/>
    <w:next w:val="Normal"/>
    <w:link w:val="TitleChar"/>
    <w:uiPriority w:val="10"/>
    <w:qFormat/>
    <w:rsid w:val="00124A51"/>
    <w:pPr>
      <w:spacing w:before="240" w:after="60"/>
      <w:jc w:val="center"/>
      <w:outlineLvl w:val="0"/>
    </w:pPr>
    <w:rPr>
      <w:rFonts w:ascii="Cambria" w:hAnsi="Cambria"/>
      <w:b/>
      <w:bCs/>
      <w:kern w:val="28"/>
      <w:sz w:val="32"/>
      <w:szCs w:val="32"/>
    </w:rPr>
  </w:style>
  <w:style w:type="character" w:customStyle="1" w:styleId="TitleChar">
    <w:name w:val="Title Char"/>
    <w:aliases w:val="PBAC Title Char"/>
    <w:basedOn w:val="DefaultParagraphFont"/>
    <w:link w:val="Title"/>
    <w:uiPriority w:val="10"/>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CMA Table Template"/>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E648F9"/>
    <w:pPr>
      <w:numPr>
        <w:numId w:val="5"/>
      </w:numPr>
      <w:outlineLvl w:val="0"/>
    </w:pPr>
    <w:rPr>
      <w:rFonts w:ascii="Arial" w:hAnsi="Arial" w:cs="Arial"/>
      <w:b/>
      <w:snapToGrid w:val="0"/>
      <w:sz w:val="22"/>
      <w:szCs w:val="22"/>
      <w:lang w:eastAsia="en-US"/>
    </w:rPr>
  </w:style>
  <w:style w:type="paragraph" w:customStyle="1" w:styleId="TableNotes">
    <w:name w:val="TableNotes"/>
    <w:basedOn w:val="Normal"/>
    <w:link w:val="TableNotesChar"/>
    <w:rsid w:val="0093350A"/>
    <w:pPr>
      <w:keepNext/>
      <w:widowControl/>
      <w:tabs>
        <w:tab w:val="left" w:pos="1559"/>
      </w:tabs>
      <w:ind w:left="1559" w:hanging="1559"/>
      <w:jc w:val="left"/>
    </w:pPr>
    <w:rPr>
      <w:rFonts w:ascii="Calibri" w:eastAsia="SimSun" w:hAnsi="Calibri" w:cs="Times New Roman"/>
      <w:snapToGrid/>
      <w:sz w:val="16"/>
      <w:lang w:eastAsia="zh-CN"/>
    </w:rPr>
  </w:style>
  <w:style w:type="character" w:customStyle="1" w:styleId="TableNotesChar">
    <w:name w:val="TableNotes Char"/>
    <w:basedOn w:val="DefaultParagraphFont"/>
    <w:link w:val="TableNotes"/>
    <w:locked/>
    <w:rsid w:val="0093350A"/>
    <w:rPr>
      <w:rFonts w:ascii="Calibri" w:eastAsia="SimSun" w:hAnsi="Calibri"/>
      <w:sz w:val="16"/>
      <w:lang w:eastAsia="zh-CN"/>
    </w:rPr>
  </w:style>
  <w:style w:type="character" w:customStyle="1" w:styleId="StyleCalibri">
    <w:name w:val="Style Calibri"/>
    <w:basedOn w:val="DefaultParagraphFont"/>
    <w:rsid w:val="0093350A"/>
    <w:rPr>
      <w:rFonts w:ascii="Calibri" w:hAnsi="Calibri" w:cs="Times New Roman"/>
      <w:sz w:val="24"/>
    </w:rPr>
  </w:style>
  <w:style w:type="paragraph" w:customStyle="1" w:styleId="TableHeadingCentred">
    <w:name w:val="TableHeadingCentred"/>
    <w:basedOn w:val="TableHeadingRow"/>
    <w:next w:val="TableText0"/>
    <w:rsid w:val="005861A4"/>
    <w:pPr>
      <w:jc w:val="center"/>
    </w:pPr>
  </w:style>
  <w:style w:type="paragraph" w:customStyle="1" w:styleId="TableHeadingRow">
    <w:name w:val="TableHeadingRow"/>
    <w:basedOn w:val="TableText0"/>
    <w:next w:val="TableText0"/>
    <w:rsid w:val="005861A4"/>
    <w:rPr>
      <w:rFonts w:ascii="Calibri" w:hAnsi="Calibri" w:cs="Times New Roman"/>
      <w:b/>
      <w:bCs/>
      <w:iCs/>
      <w:szCs w:val="18"/>
    </w:rPr>
  </w:style>
  <w:style w:type="character" w:customStyle="1" w:styleId="TableTextChar0">
    <w:name w:val="TableText Char"/>
    <w:basedOn w:val="DefaultParagraphFont"/>
    <w:link w:val="TableText0"/>
    <w:rsid w:val="005861A4"/>
    <w:rPr>
      <w:rFonts w:ascii="Arial Narrow" w:hAnsi="Arial Narrow" w:cs="Arial Narrow"/>
      <w:lang w:eastAsia="en-US"/>
    </w:rPr>
  </w:style>
  <w:style w:type="character" w:styleId="FollowedHyperlink">
    <w:name w:val="FollowedHyperlink"/>
    <w:basedOn w:val="DefaultParagraphFont"/>
    <w:semiHidden/>
    <w:unhideWhenUsed/>
    <w:rsid w:val="003662CE"/>
    <w:rPr>
      <w:color w:val="800080" w:themeColor="followedHyperlink"/>
      <w:u w:val="single"/>
    </w:rPr>
  </w:style>
  <w:style w:type="paragraph" w:customStyle="1" w:styleId="StyleTableTextLeftBefore0ptAfter0pt">
    <w:name w:val="Style TableText + Left Before:  0 pt After:  0 pt"/>
    <w:basedOn w:val="TableText0"/>
    <w:rsid w:val="00AE4A64"/>
    <w:rPr>
      <w:rFonts w:ascii="Calibri" w:hAnsi="Calibri" w:cs="Times New Roman"/>
    </w:rPr>
  </w:style>
  <w:style w:type="paragraph" w:customStyle="1" w:styleId="Char">
    <w:name w:val="Char"/>
    <w:basedOn w:val="Normal"/>
    <w:rsid w:val="00A72485"/>
    <w:pPr>
      <w:widowControl/>
      <w:spacing w:after="160" w:line="240" w:lineRule="exact"/>
      <w:jc w:val="left"/>
    </w:pPr>
    <w:rPr>
      <w:rFonts w:ascii="Verdana" w:eastAsia="MS Mincho" w:hAnsi="Verdana" w:cs="Verdana"/>
      <w:snapToGrid/>
      <w:sz w:val="20"/>
      <w:lang w:val="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002BE7"/>
    <w:pPr>
      <w:widowControl/>
      <w:spacing w:after="160" w:line="240" w:lineRule="exact"/>
      <w:jc w:val="left"/>
    </w:pPr>
    <w:rPr>
      <w:rFonts w:ascii="Verdana" w:eastAsia="MS Mincho" w:hAnsi="Verdana" w:cs="Verdana"/>
      <w:snapToGrid/>
      <w:sz w:val="20"/>
      <w:lang w:val="en-US"/>
    </w:rPr>
  </w:style>
  <w:style w:type="paragraph" w:styleId="FootnoteText">
    <w:name w:val="footnote text"/>
    <w:basedOn w:val="Normal"/>
    <w:link w:val="FootnoteTextChar"/>
    <w:semiHidden/>
    <w:unhideWhenUsed/>
    <w:rsid w:val="00E566EE"/>
    <w:rPr>
      <w:sz w:val="20"/>
    </w:rPr>
  </w:style>
  <w:style w:type="character" w:customStyle="1" w:styleId="FootnoteTextChar">
    <w:name w:val="Footnote Text Char"/>
    <w:basedOn w:val="DefaultParagraphFont"/>
    <w:link w:val="FootnoteText"/>
    <w:semiHidden/>
    <w:rsid w:val="00E566EE"/>
    <w:rPr>
      <w:rFonts w:ascii="Arial" w:hAnsi="Arial" w:cs="Arial"/>
      <w:snapToGrid w:val="0"/>
      <w:lang w:eastAsia="en-US"/>
    </w:rPr>
  </w:style>
  <w:style w:type="character" w:styleId="FootnoteReference">
    <w:name w:val="footnote reference"/>
    <w:basedOn w:val="DefaultParagraphFont"/>
    <w:semiHidden/>
    <w:unhideWhenUsed/>
    <w:rsid w:val="00E566EE"/>
    <w:rPr>
      <w:vertAlign w:val="superscript"/>
    </w:rPr>
  </w:style>
  <w:style w:type="character" w:styleId="IntenseReference">
    <w:name w:val="Intense Reference"/>
    <w:basedOn w:val="DefaultParagraphFont"/>
    <w:uiPriority w:val="32"/>
    <w:qFormat/>
    <w:rsid w:val="00D15766"/>
    <w:rPr>
      <w:b/>
      <w:bCs/>
      <w:i/>
      <w:smallCaps/>
      <w:color w:val="C0504D" w:themeColor="accent2"/>
      <w:spacing w:val="5"/>
      <w:u w:val="none"/>
    </w:rPr>
  </w:style>
  <w:style w:type="character" w:customStyle="1" w:styleId="ListParagraphChar">
    <w:name w:val="List Paragraph Char"/>
    <w:link w:val="ListParagraph"/>
    <w:uiPriority w:val="72"/>
    <w:rsid w:val="004D675A"/>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111297">
      <w:bodyDiv w:val="1"/>
      <w:marLeft w:val="0"/>
      <w:marRight w:val="0"/>
      <w:marTop w:val="0"/>
      <w:marBottom w:val="0"/>
      <w:divBdr>
        <w:top w:val="none" w:sz="0" w:space="0" w:color="auto"/>
        <w:left w:val="none" w:sz="0" w:space="0" w:color="auto"/>
        <w:bottom w:val="none" w:sz="0" w:space="0" w:color="auto"/>
        <w:right w:val="none" w:sz="0" w:space="0" w:color="auto"/>
      </w:divBdr>
    </w:div>
    <w:div w:id="197979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472D3-E0C7-4D0D-A1B1-12100A325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3416</Words>
  <Characters>20552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5.02 atazanavir + cobicistat</vt:lpstr>
    </vt:vector>
  </TitlesOfParts>
  <LinksUpToDate>false</LinksUpToDate>
  <CharactersWithSpaces>23921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5.02 atazanavir + cobicistat</dc:title>
  <dc:creator/>
  <cp:lastModifiedBy/>
  <cp:revision>1</cp:revision>
  <dcterms:created xsi:type="dcterms:W3CDTF">2016-02-15T23:56:00Z</dcterms:created>
  <dcterms:modified xsi:type="dcterms:W3CDTF">2016-02-26T01:34:00Z</dcterms:modified>
</cp:coreProperties>
</file>