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1A" w:rsidRPr="00A80773" w:rsidRDefault="006C71EC" w:rsidP="00A80773">
      <w:pPr>
        <w:pStyle w:val="Title"/>
      </w:pPr>
      <w:r w:rsidRPr="00A80773">
        <w:t>14.2</w:t>
      </w:r>
      <w:r w:rsidRPr="00A80773">
        <w:tab/>
      </w:r>
      <w:r w:rsidR="00BE3D1A" w:rsidRPr="00A80773">
        <w:t>BENZTROPINE MESYLATE</w:t>
      </w:r>
    </w:p>
    <w:p w:rsidR="00BE3D1A" w:rsidRPr="00A80773" w:rsidRDefault="009803FD" w:rsidP="00A80773">
      <w:pPr>
        <w:pStyle w:val="Title"/>
        <w:ind w:firstLine="0"/>
      </w:pPr>
      <w:proofErr w:type="gramStart"/>
      <w:r w:rsidRPr="00A80773">
        <w:t>soluti</w:t>
      </w:r>
      <w:r w:rsidR="00BE3D1A" w:rsidRPr="00A80773">
        <w:t>on</w:t>
      </w:r>
      <w:proofErr w:type="gramEnd"/>
      <w:r w:rsidR="00BE3D1A" w:rsidRPr="00A80773">
        <w:t xml:space="preserve"> for injection 2 mg/2 mL vial</w:t>
      </w:r>
    </w:p>
    <w:p w:rsidR="00FD70CA" w:rsidRDefault="009803FD" w:rsidP="00A80773">
      <w:pPr>
        <w:pStyle w:val="Title"/>
        <w:ind w:firstLine="0"/>
      </w:pPr>
      <w:proofErr w:type="spellStart"/>
      <w:r w:rsidRPr="00A80773">
        <w:t>Benztropine</w:t>
      </w:r>
      <w:proofErr w:type="spellEnd"/>
      <w:r w:rsidRPr="00A80773">
        <w:t xml:space="preserve"> Omega®, </w:t>
      </w:r>
      <w:proofErr w:type="gramStart"/>
      <w:r w:rsidRPr="00A80773">
        <w:t>A</w:t>
      </w:r>
      <w:proofErr w:type="gramEnd"/>
      <w:r w:rsidRPr="00A80773">
        <w:t xml:space="preserve"> </w:t>
      </w:r>
      <w:proofErr w:type="spellStart"/>
      <w:r w:rsidRPr="00A80773">
        <w:t>Menarini</w:t>
      </w:r>
      <w:proofErr w:type="spellEnd"/>
      <w:r w:rsidRPr="00A80773">
        <w:t xml:space="preserve"> Australia Pty Ltd</w:t>
      </w:r>
    </w:p>
    <w:p w:rsidR="009803FD" w:rsidRPr="00653D69" w:rsidRDefault="009803FD" w:rsidP="00A80773">
      <w:pPr>
        <w:spacing w:line="480" w:lineRule="auto"/>
        <w:ind w:left="720" w:hanging="720"/>
        <w:rPr>
          <w:rFonts w:ascii="Arial" w:hAnsi="Arial"/>
          <w:b/>
        </w:rPr>
      </w:pPr>
      <w:bookmarkStart w:id="0" w:name="_GoBack"/>
      <w:bookmarkEnd w:id="0"/>
    </w:p>
    <w:p w:rsidR="00FD70CA" w:rsidRDefault="00982AAD" w:rsidP="00A80773">
      <w:pPr>
        <w:pStyle w:val="Heading1"/>
      </w:pPr>
      <w:r w:rsidRPr="00A80773">
        <w:t>Purpose</w:t>
      </w:r>
      <w:r w:rsidR="0024327A" w:rsidRPr="00A80773">
        <w:t xml:space="preserve"> of Application</w:t>
      </w:r>
    </w:p>
    <w:p w:rsidR="00A80773" w:rsidRPr="00A80773" w:rsidRDefault="00A80773" w:rsidP="00A80773"/>
    <w:p w:rsidR="00FD70CA" w:rsidRPr="00B62A8D" w:rsidRDefault="00982AAD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B62A8D">
        <w:rPr>
          <w:rFonts w:ascii="Arial" w:hAnsi="Arial"/>
          <w:sz w:val="22"/>
          <w:szCs w:val="22"/>
        </w:rPr>
        <w:t xml:space="preserve">To </w:t>
      </w:r>
      <w:r w:rsidR="009803FD" w:rsidRPr="00B62A8D">
        <w:rPr>
          <w:rFonts w:ascii="Arial" w:hAnsi="Arial" w:cs="Arial"/>
          <w:sz w:val="22"/>
          <w:szCs w:val="22"/>
        </w:rPr>
        <w:t>request</w:t>
      </w:r>
      <w:r w:rsidR="009803FD" w:rsidRPr="00B62A8D">
        <w:rPr>
          <w:rFonts w:ascii="Arial" w:hAnsi="Arial"/>
          <w:sz w:val="22"/>
          <w:szCs w:val="22"/>
        </w:rPr>
        <w:t xml:space="preserve"> an unrestricted benefit listing of an alternative brand (</w:t>
      </w:r>
      <w:proofErr w:type="spellStart"/>
      <w:r w:rsidR="009803FD" w:rsidRPr="00B62A8D">
        <w:rPr>
          <w:rFonts w:ascii="Arial" w:hAnsi="Arial"/>
          <w:sz w:val="22"/>
          <w:szCs w:val="22"/>
        </w:rPr>
        <w:t>Benztropine</w:t>
      </w:r>
      <w:proofErr w:type="spellEnd"/>
      <w:r w:rsidR="009803FD" w:rsidRPr="00B62A8D">
        <w:rPr>
          <w:rFonts w:ascii="Arial" w:hAnsi="Arial"/>
          <w:sz w:val="22"/>
          <w:szCs w:val="22"/>
        </w:rPr>
        <w:t xml:space="preserve"> Omega®) on the PBS in the General Schedule and Prescriber Bag.</w:t>
      </w:r>
    </w:p>
    <w:p w:rsidR="00982AAD" w:rsidRPr="00982AAD" w:rsidRDefault="00982AAD" w:rsidP="00A80773">
      <w:pPr>
        <w:keepNext/>
        <w:spacing w:line="480" w:lineRule="auto"/>
        <w:ind w:left="720" w:hanging="720"/>
        <w:rPr>
          <w:rFonts w:ascii="Arial" w:hAnsi="Arial" w:cs="Arial"/>
        </w:rPr>
      </w:pPr>
    </w:p>
    <w:p w:rsidR="00FD70CA" w:rsidRPr="004A4C8A" w:rsidRDefault="00FD70CA" w:rsidP="00A80773">
      <w:pPr>
        <w:pStyle w:val="Heading1"/>
        <w:rPr>
          <w:sz w:val="28"/>
          <w:szCs w:val="28"/>
        </w:rPr>
      </w:pPr>
      <w:r w:rsidRPr="00BE3D1A">
        <w:t>Background</w:t>
      </w:r>
    </w:p>
    <w:p w:rsidR="00FD70CA" w:rsidRPr="004A4C8A" w:rsidRDefault="00FD70CA" w:rsidP="00FD70CA">
      <w:pPr>
        <w:jc w:val="both"/>
        <w:rPr>
          <w:rFonts w:ascii="Arial" w:hAnsi="Arial"/>
        </w:rPr>
      </w:pPr>
    </w:p>
    <w:p w:rsidR="00D076AE" w:rsidRPr="00B62A8D" w:rsidRDefault="00596B1B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t xml:space="preserve">The </w:t>
      </w:r>
      <w:r w:rsidR="00D076AE" w:rsidRPr="00B62A8D">
        <w:rPr>
          <w:rFonts w:ascii="Arial" w:hAnsi="Arial" w:cs="Arial"/>
          <w:sz w:val="22"/>
          <w:szCs w:val="22"/>
        </w:rPr>
        <w:t>PBAC</w:t>
      </w:r>
      <w:r w:rsidR="00D076AE" w:rsidRPr="00B62A8D">
        <w:rPr>
          <w:rFonts w:ascii="Arial" w:hAnsi="Arial"/>
          <w:sz w:val="22"/>
          <w:szCs w:val="22"/>
        </w:rPr>
        <w:t xml:space="preserve"> recommended listing of </w:t>
      </w:r>
      <w:proofErr w:type="spellStart"/>
      <w:r w:rsidR="00D076AE" w:rsidRPr="00B62A8D">
        <w:rPr>
          <w:rFonts w:ascii="Arial" w:hAnsi="Arial"/>
          <w:sz w:val="22"/>
          <w:szCs w:val="22"/>
        </w:rPr>
        <w:t>Benztropine</w:t>
      </w:r>
      <w:proofErr w:type="spellEnd"/>
      <w:r w:rsidR="00D076AE" w:rsidRPr="00B62A8D">
        <w:rPr>
          <w:rFonts w:ascii="Arial" w:hAnsi="Arial"/>
          <w:sz w:val="22"/>
          <w:szCs w:val="22"/>
        </w:rPr>
        <w:t xml:space="preserve"> Omega at its November 2013 meeting, at a higher price than the Cogentin® brand of </w:t>
      </w:r>
      <w:proofErr w:type="spellStart"/>
      <w:r w:rsidR="00D076AE" w:rsidRPr="00B62A8D">
        <w:rPr>
          <w:rFonts w:ascii="Arial" w:hAnsi="Arial"/>
          <w:sz w:val="22"/>
          <w:szCs w:val="22"/>
        </w:rPr>
        <w:t>benztopine</w:t>
      </w:r>
      <w:proofErr w:type="spellEnd"/>
      <w:r w:rsidR="00D076AE" w:rsidRPr="00B62A8D">
        <w:rPr>
          <w:rFonts w:ascii="Arial" w:hAnsi="Arial"/>
          <w:sz w:val="22"/>
          <w:szCs w:val="22"/>
        </w:rPr>
        <w:t xml:space="preserve"> injection, due to a supply shortage of the Cogentin® brand of </w:t>
      </w:r>
      <w:proofErr w:type="spellStart"/>
      <w:r w:rsidR="00D076AE" w:rsidRPr="00B62A8D">
        <w:rPr>
          <w:rFonts w:ascii="Arial" w:hAnsi="Arial"/>
          <w:sz w:val="22"/>
          <w:szCs w:val="22"/>
        </w:rPr>
        <w:t>benztropine</w:t>
      </w:r>
      <w:proofErr w:type="spellEnd"/>
      <w:r w:rsidR="00D076AE" w:rsidRPr="00B62A8D">
        <w:rPr>
          <w:rFonts w:ascii="Arial" w:hAnsi="Arial"/>
          <w:sz w:val="22"/>
          <w:szCs w:val="22"/>
        </w:rPr>
        <w:t xml:space="preserve">. </w:t>
      </w:r>
    </w:p>
    <w:p w:rsidR="00D076AE" w:rsidRPr="00B62A8D" w:rsidRDefault="00D076AE" w:rsidP="00D076AE">
      <w:pPr>
        <w:pStyle w:val="ListParagraph"/>
        <w:ind w:left="709"/>
        <w:jc w:val="both"/>
        <w:rPr>
          <w:rFonts w:ascii="Arial" w:hAnsi="Arial"/>
          <w:sz w:val="22"/>
          <w:szCs w:val="22"/>
        </w:rPr>
      </w:pPr>
      <w:r w:rsidRPr="00B62A8D">
        <w:rPr>
          <w:rFonts w:ascii="Arial" w:hAnsi="Arial"/>
          <w:sz w:val="22"/>
          <w:szCs w:val="22"/>
        </w:rPr>
        <w:t xml:space="preserve"> </w:t>
      </w:r>
    </w:p>
    <w:p w:rsidR="009803FD" w:rsidRPr="00B62A8D" w:rsidRDefault="00D076AE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proofErr w:type="spellStart"/>
      <w:r w:rsidRPr="00B62A8D">
        <w:rPr>
          <w:rFonts w:ascii="Arial" w:hAnsi="Arial" w:cs="Arial"/>
          <w:sz w:val="22"/>
          <w:szCs w:val="22"/>
        </w:rPr>
        <w:t>Benztropine</w:t>
      </w:r>
      <w:proofErr w:type="spellEnd"/>
      <w:r w:rsidRPr="00B62A8D">
        <w:rPr>
          <w:rFonts w:ascii="Arial" w:hAnsi="Arial"/>
          <w:sz w:val="22"/>
          <w:szCs w:val="22"/>
        </w:rPr>
        <w:t xml:space="preserve"> Omega® was delisted in the first half of 2015.</w:t>
      </w:r>
    </w:p>
    <w:p w:rsidR="00FD70CA" w:rsidRDefault="00FD70CA" w:rsidP="00A80773">
      <w:pPr>
        <w:spacing w:line="480" w:lineRule="auto"/>
        <w:rPr>
          <w:rFonts w:ascii="Arial" w:hAnsi="Arial" w:cs="Arial"/>
        </w:rPr>
      </w:pPr>
    </w:p>
    <w:p w:rsidR="00FD70CA" w:rsidRPr="00BE3D1A" w:rsidRDefault="00982AAD" w:rsidP="00A80773">
      <w:pPr>
        <w:pStyle w:val="Heading1"/>
      </w:pPr>
      <w:r w:rsidRPr="00BE3D1A">
        <w:t>C</w:t>
      </w:r>
      <w:r w:rsidR="00FD70CA" w:rsidRPr="00BE3D1A">
        <w:t>onsideration of the evidence</w:t>
      </w:r>
    </w:p>
    <w:p w:rsidR="00FD70CA" w:rsidRDefault="00FD70CA" w:rsidP="00FD70CA">
      <w:pPr>
        <w:ind w:left="720" w:hanging="720"/>
        <w:jc w:val="both"/>
        <w:rPr>
          <w:rFonts w:ascii="Arial" w:hAnsi="Arial"/>
        </w:rPr>
      </w:pPr>
    </w:p>
    <w:p w:rsidR="009803FD" w:rsidRPr="00B62A8D" w:rsidRDefault="009803FD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t>The</w:t>
      </w:r>
      <w:r w:rsidRPr="00B62A8D">
        <w:rPr>
          <w:rFonts w:ascii="Arial" w:hAnsi="Arial"/>
          <w:sz w:val="22"/>
          <w:szCs w:val="22"/>
        </w:rPr>
        <w:t xml:space="preserve"> sponsor advised the Department of the short supply situation with Cogentin injections.  The sponsor also advised that it had identified a supplier of </w:t>
      </w:r>
      <w:proofErr w:type="spellStart"/>
      <w:r w:rsidRPr="00B62A8D">
        <w:rPr>
          <w:rFonts w:ascii="Arial" w:hAnsi="Arial"/>
          <w:sz w:val="22"/>
          <w:szCs w:val="22"/>
        </w:rPr>
        <w:t>benztropine</w:t>
      </w:r>
      <w:proofErr w:type="spellEnd"/>
      <w:r w:rsidRPr="00B62A8D">
        <w:rPr>
          <w:rFonts w:ascii="Arial" w:hAnsi="Arial"/>
          <w:sz w:val="22"/>
          <w:szCs w:val="22"/>
        </w:rPr>
        <w:t xml:space="preserve"> injection in Canada and </w:t>
      </w:r>
      <w:r w:rsidR="00B71A76" w:rsidRPr="00B62A8D">
        <w:rPr>
          <w:rFonts w:ascii="Arial" w:hAnsi="Arial"/>
          <w:sz w:val="22"/>
          <w:szCs w:val="22"/>
        </w:rPr>
        <w:t>could</w:t>
      </w:r>
      <w:r w:rsidRPr="00B62A8D">
        <w:rPr>
          <w:rFonts w:ascii="Arial" w:hAnsi="Arial"/>
          <w:sz w:val="22"/>
          <w:szCs w:val="22"/>
        </w:rPr>
        <w:t xml:space="preserve"> supply this alternative product under Section 19A of the Therapeutic Goods Act.  The alternative product </w:t>
      </w:r>
      <w:r w:rsidR="00596B1B" w:rsidRPr="00B62A8D">
        <w:rPr>
          <w:rFonts w:ascii="Arial" w:hAnsi="Arial"/>
          <w:sz w:val="22"/>
          <w:szCs w:val="22"/>
        </w:rPr>
        <w:t>was</w:t>
      </w:r>
      <w:r w:rsidRPr="00B62A8D">
        <w:rPr>
          <w:rFonts w:ascii="Arial" w:hAnsi="Arial"/>
          <w:sz w:val="22"/>
          <w:szCs w:val="22"/>
        </w:rPr>
        <w:t xml:space="preserve"> only available in a pack of 10 vials (compared with Cogentin, which is a pack of 5 vials).</w:t>
      </w:r>
    </w:p>
    <w:p w:rsidR="009803FD" w:rsidRPr="00B62A8D" w:rsidRDefault="009803FD" w:rsidP="009803FD">
      <w:pPr>
        <w:jc w:val="both"/>
        <w:rPr>
          <w:rFonts w:ascii="Arial" w:hAnsi="Arial"/>
          <w:sz w:val="22"/>
          <w:szCs w:val="22"/>
        </w:rPr>
      </w:pPr>
    </w:p>
    <w:p w:rsidR="009803FD" w:rsidRPr="00B62A8D" w:rsidRDefault="009803FD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t>The</w:t>
      </w:r>
      <w:r w:rsidRPr="00B62A8D">
        <w:rPr>
          <w:rFonts w:ascii="Arial" w:hAnsi="Arial"/>
          <w:sz w:val="22"/>
          <w:szCs w:val="22"/>
        </w:rPr>
        <w:t xml:space="preserve"> sponsor proposed an unrestricted benefit listing in the General Schedule and Prescriber Bag sections of the Schedule, </w:t>
      </w:r>
      <w:r w:rsidR="00B71A76" w:rsidRPr="00B62A8D">
        <w:rPr>
          <w:rFonts w:ascii="Arial" w:hAnsi="Arial"/>
          <w:sz w:val="22"/>
          <w:szCs w:val="22"/>
        </w:rPr>
        <w:t xml:space="preserve">in line with the listing of Cogentin, but </w:t>
      </w:r>
      <w:r w:rsidRPr="00B62A8D">
        <w:rPr>
          <w:rFonts w:ascii="Arial" w:hAnsi="Arial"/>
          <w:sz w:val="22"/>
          <w:szCs w:val="22"/>
        </w:rPr>
        <w:t>with a maximum quantity of 1 pack of 10 ampoules and no repeats</w:t>
      </w:r>
      <w:r w:rsidR="00596B1B" w:rsidRPr="00B62A8D">
        <w:rPr>
          <w:rFonts w:ascii="Arial" w:hAnsi="Arial"/>
          <w:sz w:val="22"/>
          <w:szCs w:val="22"/>
        </w:rPr>
        <w:t>,</w:t>
      </w:r>
      <w:r w:rsidRPr="00B62A8D">
        <w:rPr>
          <w:rFonts w:ascii="Arial" w:hAnsi="Arial"/>
          <w:sz w:val="22"/>
          <w:szCs w:val="22"/>
        </w:rPr>
        <w:t>.</w:t>
      </w:r>
    </w:p>
    <w:p w:rsidR="00D076AE" w:rsidRPr="00B62A8D" w:rsidRDefault="00D076AE" w:rsidP="00D076AE">
      <w:pPr>
        <w:jc w:val="both"/>
        <w:rPr>
          <w:rFonts w:ascii="Arial" w:hAnsi="Arial"/>
          <w:sz w:val="22"/>
          <w:szCs w:val="22"/>
        </w:rPr>
      </w:pPr>
    </w:p>
    <w:p w:rsidR="009803FD" w:rsidRPr="00B62A8D" w:rsidRDefault="009803FD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/>
          <w:sz w:val="22"/>
          <w:szCs w:val="22"/>
        </w:rPr>
      </w:pPr>
      <w:proofErr w:type="spellStart"/>
      <w:r w:rsidRPr="00B62A8D">
        <w:rPr>
          <w:rFonts w:ascii="Arial" w:hAnsi="Arial" w:cs="Arial"/>
          <w:sz w:val="22"/>
          <w:szCs w:val="22"/>
        </w:rPr>
        <w:t>Benztropine</w:t>
      </w:r>
      <w:proofErr w:type="spellEnd"/>
      <w:r w:rsidRPr="00B62A8D">
        <w:rPr>
          <w:rFonts w:ascii="Arial" w:hAnsi="Arial"/>
          <w:sz w:val="22"/>
          <w:szCs w:val="22"/>
        </w:rPr>
        <w:t xml:space="preserve"> is used for the emergency treatment of acute dystonic reactions.</w:t>
      </w:r>
    </w:p>
    <w:p w:rsidR="00982AAD" w:rsidRDefault="00982AAD" w:rsidP="003960E9">
      <w:pPr>
        <w:pStyle w:val="ListParagraph"/>
        <w:spacing w:line="480" w:lineRule="auto"/>
        <w:ind w:left="709"/>
        <w:jc w:val="both"/>
        <w:rPr>
          <w:rFonts w:ascii="Arial" w:hAnsi="Arial"/>
        </w:rPr>
      </w:pPr>
    </w:p>
    <w:p w:rsidR="00FD70CA" w:rsidRDefault="00FD70CA" w:rsidP="00A80773">
      <w:pPr>
        <w:pStyle w:val="Heading1"/>
        <w:rPr>
          <w:sz w:val="28"/>
          <w:szCs w:val="28"/>
        </w:rPr>
      </w:pPr>
      <w:r w:rsidRPr="00BE3D1A">
        <w:t>PBAC</w:t>
      </w:r>
      <w:r w:rsidRPr="000A18E7">
        <w:rPr>
          <w:sz w:val="28"/>
          <w:szCs w:val="28"/>
        </w:rPr>
        <w:t xml:space="preserve"> </w:t>
      </w:r>
      <w:r w:rsidRPr="00BE3D1A">
        <w:rPr>
          <w:rFonts w:hint="eastAsia"/>
        </w:rPr>
        <w:t>Outcome</w:t>
      </w:r>
    </w:p>
    <w:p w:rsidR="0043497A" w:rsidRPr="00B62A8D" w:rsidRDefault="0043497A" w:rsidP="00982AAD">
      <w:pPr>
        <w:pStyle w:val="ListParagraph"/>
        <w:keepNext/>
        <w:ind w:left="709"/>
        <w:jc w:val="both"/>
        <w:rPr>
          <w:rFonts w:ascii="Arial" w:hAnsi="Arial" w:cs="Arial"/>
          <w:sz w:val="22"/>
          <w:szCs w:val="22"/>
        </w:rPr>
      </w:pPr>
    </w:p>
    <w:p w:rsidR="009803FD" w:rsidRPr="00B62A8D" w:rsidRDefault="0043497A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t xml:space="preserve">The PBAC </w:t>
      </w:r>
      <w:r w:rsidR="009803FD" w:rsidRPr="00B62A8D">
        <w:rPr>
          <w:rFonts w:ascii="Arial" w:hAnsi="Arial" w:cs="Arial"/>
          <w:sz w:val="22"/>
          <w:szCs w:val="22"/>
        </w:rPr>
        <w:t xml:space="preserve">recommended listing of the proposed alternative brand of </w:t>
      </w:r>
      <w:proofErr w:type="spellStart"/>
      <w:r w:rsidR="009803FD" w:rsidRPr="00B62A8D">
        <w:rPr>
          <w:rFonts w:ascii="Arial" w:hAnsi="Arial" w:cs="Arial"/>
          <w:sz w:val="22"/>
          <w:szCs w:val="22"/>
        </w:rPr>
        <w:t>benztropine</w:t>
      </w:r>
      <w:proofErr w:type="spellEnd"/>
      <w:r w:rsidR="009803FD" w:rsidRPr="00B62A8D">
        <w:rPr>
          <w:rFonts w:ascii="Arial" w:hAnsi="Arial" w:cs="Arial"/>
          <w:sz w:val="22"/>
          <w:szCs w:val="22"/>
        </w:rPr>
        <w:t xml:space="preserve"> injection with the greater maximum quantity of 1 pack of 10 ampoules. </w:t>
      </w:r>
    </w:p>
    <w:p w:rsidR="00596B1B" w:rsidRPr="00B62A8D" w:rsidRDefault="00596B1B" w:rsidP="00596B1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076AE" w:rsidRPr="00B62A8D" w:rsidRDefault="00D076AE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t>The PBAC noted that this recommendation re-affirmed the Committee</w:t>
      </w:r>
      <w:r w:rsidR="00B71A76" w:rsidRPr="00B62A8D">
        <w:rPr>
          <w:rFonts w:ascii="Arial" w:hAnsi="Arial" w:cs="Arial"/>
          <w:sz w:val="22"/>
          <w:szCs w:val="22"/>
        </w:rPr>
        <w:t>’s</w:t>
      </w:r>
      <w:r w:rsidRPr="00B62A8D">
        <w:rPr>
          <w:rFonts w:ascii="Arial" w:hAnsi="Arial" w:cs="Arial"/>
          <w:sz w:val="22"/>
          <w:szCs w:val="22"/>
        </w:rPr>
        <w:t xml:space="preserve"> advice to the Minister </w:t>
      </w:r>
      <w:r w:rsidR="00596B1B" w:rsidRPr="00B62A8D">
        <w:rPr>
          <w:rFonts w:ascii="Arial" w:hAnsi="Arial" w:cs="Arial"/>
          <w:sz w:val="22"/>
          <w:szCs w:val="22"/>
        </w:rPr>
        <w:t>in</w:t>
      </w:r>
      <w:r w:rsidRPr="00B62A8D">
        <w:rPr>
          <w:rFonts w:ascii="Arial" w:hAnsi="Arial" w:cs="Arial"/>
          <w:sz w:val="22"/>
          <w:szCs w:val="22"/>
        </w:rPr>
        <w:t xml:space="preserve"> November 2013</w:t>
      </w:r>
      <w:r w:rsidR="00596B1B" w:rsidRPr="00B62A8D">
        <w:rPr>
          <w:rFonts w:ascii="Arial" w:hAnsi="Arial" w:cs="Arial"/>
          <w:sz w:val="22"/>
          <w:szCs w:val="22"/>
        </w:rPr>
        <w:t xml:space="preserve">, </w:t>
      </w:r>
      <w:r w:rsidRPr="00B62A8D">
        <w:rPr>
          <w:rFonts w:ascii="Arial" w:hAnsi="Arial" w:cs="Arial"/>
          <w:sz w:val="22"/>
          <w:szCs w:val="22"/>
        </w:rPr>
        <w:t xml:space="preserve">following a similar </w:t>
      </w:r>
      <w:r w:rsidR="00596B1B" w:rsidRPr="00B62A8D">
        <w:rPr>
          <w:rFonts w:ascii="Arial" w:hAnsi="Arial" w:cs="Arial"/>
          <w:sz w:val="22"/>
          <w:szCs w:val="22"/>
        </w:rPr>
        <w:t>request</w:t>
      </w:r>
      <w:r w:rsidRPr="00B62A8D">
        <w:rPr>
          <w:rFonts w:ascii="Arial" w:hAnsi="Arial" w:cs="Arial"/>
          <w:sz w:val="22"/>
          <w:szCs w:val="22"/>
        </w:rPr>
        <w:t xml:space="preserve"> due to supply issues. </w:t>
      </w:r>
    </w:p>
    <w:p w:rsidR="00596B1B" w:rsidRPr="00B62A8D" w:rsidRDefault="00596B1B" w:rsidP="00596B1B">
      <w:pPr>
        <w:jc w:val="both"/>
        <w:rPr>
          <w:rFonts w:ascii="Arial" w:hAnsi="Arial" w:cs="Arial"/>
          <w:sz w:val="22"/>
          <w:szCs w:val="22"/>
        </w:rPr>
      </w:pPr>
    </w:p>
    <w:p w:rsidR="00B71A76" w:rsidRPr="00B62A8D" w:rsidRDefault="009803FD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t xml:space="preserve">The PBAC </w:t>
      </w:r>
      <w:r w:rsidR="00B71A76" w:rsidRPr="00B62A8D">
        <w:rPr>
          <w:rFonts w:ascii="Arial" w:hAnsi="Arial" w:cs="Arial"/>
          <w:sz w:val="22"/>
          <w:szCs w:val="22"/>
        </w:rPr>
        <w:t>re-affirmed their view t</w:t>
      </w:r>
      <w:r w:rsidRPr="00B62A8D">
        <w:rPr>
          <w:rFonts w:ascii="Arial" w:hAnsi="Arial" w:cs="Arial"/>
          <w:sz w:val="22"/>
          <w:szCs w:val="22"/>
        </w:rPr>
        <w:t xml:space="preserve">hat a clinical need exists for </w:t>
      </w:r>
      <w:proofErr w:type="spellStart"/>
      <w:r w:rsidRPr="00B62A8D">
        <w:rPr>
          <w:rFonts w:ascii="Arial" w:hAnsi="Arial" w:cs="Arial"/>
          <w:sz w:val="22"/>
          <w:szCs w:val="22"/>
        </w:rPr>
        <w:t>benztropine</w:t>
      </w:r>
      <w:proofErr w:type="spellEnd"/>
      <w:r w:rsidRPr="00B62A8D">
        <w:rPr>
          <w:rFonts w:ascii="Arial" w:hAnsi="Arial" w:cs="Arial"/>
          <w:sz w:val="22"/>
          <w:szCs w:val="22"/>
        </w:rPr>
        <w:t xml:space="preserve"> injection, and that it was desirable that it remain available on the PBS for the treatment of acute dystonic reactions.</w:t>
      </w:r>
      <w:r w:rsidR="00D076AE" w:rsidRPr="00B62A8D">
        <w:rPr>
          <w:rFonts w:ascii="Arial" w:hAnsi="Arial" w:cs="Arial"/>
          <w:sz w:val="22"/>
          <w:szCs w:val="22"/>
        </w:rPr>
        <w:t xml:space="preserve"> </w:t>
      </w:r>
    </w:p>
    <w:p w:rsidR="00B71A76" w:rsidRPr="00B62A8D" w:rsidRDefault="00B71A76" w:rsidP="00B71A76">
      <w:pPr>
        <w:pStyle w:val="ListParagraph"/>
        <w:rPr>
          <w:rFonts w:ascii="Arial" w:hAnsi="Arial" w:cs="Arial"/>
          <w:sz w:val="22"/>
          <w:szCs w:val="22"/>
        </w:rPr>
      </w:pPr>
    </w:p>
    <w:p w:rsidR="0043497A" w:rsidRPr="00B62A8D" w:rsidRDefault="00D076AE" w:rsidP="00D076AE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t xml:space="preserve">The PBAC considered that the listing should </w:t>
      </w:r>
      <w:r w:rsidR="00C06FA6" w:rsidRPr="00B62A8D">
        <w:rPr>
          <w:rFonts w:ascii="Arial" w:hAnsi="Arial" w:cs="Arial"/>
          <w:sz w:val="22"/>
          <w:szCs w:val="22"/>
        </w:rPr>
        <w:t xml:space="preserve">be the same as the previous listing of </w:t>
      </w:r>
      <w:proofErr w:type="spellStart"/>
      <w:r w:rsidR="00C06FA6" w:rsidRPr="00B62A8D">
        <w:rPr>
          <w:rFonts w:ascii="Arial" w:hAnsi="Arial"/>
          <w:sz w:val="22"/>
          <w:szCs w:val="22"/>
        </w:rPr>
        <w:t>Benztropine</w:t>
      </w:r>
      <w:proofErr w:type="spellEnd"/>
      <w:r w:rsidR="00C06FA6" w:rsidRPr="00B62A8D">
        <w:rPr>
          <w:rFonts w:ascii="Arial" w:hAnsi="Arial"/>
          <w:sz w:val="22"/>
          <w:szCs w:val="22"/>
        </w:rPr>
        <w:t xml:space="preserve"> Omega </w:t>
      </w:r>
      <w:r w:rsidR="00C06FA6" w:rsidRPr="00B62A8D">
        <w:rPr>
          <w:rFonts w:ascii="Arial" w:hAnsi="Arial" w:cs="Arial"/>
          <w:sz w:val="22"/>
          <w:szCs w:val="22"/>
        </w:rPr>
        <w:t xml:space="preserve">and under the same conditions as the Cogentin listing, </w:t>
      </w:r>
      <w:r w:rsidR="0024327A" w:rsidRPr="00B62A8D">
        <w:rPr>
          <w:rFonts w:ascii="Arial" w:hAnsi="Arial" w:cs="Arial"/>
          <w:sz w:val="22"/>
          <w:szCs w:val="22"/>
        </w:rPr>
        <w:t>and that the listing will</w:t>
      </w:r>
      <w:r w:rsidR="00C06FA6" w:rsidRPr="00B62A8D">
        <w:rPr>
          <w:rFonts w:ascii="Arial" w:hAnsi="Arial" w:cs="Arial"/>
          <w:sz w:val="22"/>
          <w:szCs w:val="22"/>
        </w:rPr>
        <w:t xml:space="preserve"> </w:t>
      </w:r>
      <w:r w:rsidRPr="00B62A8D">
        <w:rPr>
          <w:rFonts w:ascii="Arial" w:hAnsi="Arial" w:cs="Arial"/>
          <w:sz w:val="22"/>
          <w:szCs w:val="22"/>
        </w:rPr>
        <w:t>remain during the validity of the Section 19A approval by the TGA.</w:t>
      </w:r>
    </w:p>
    <w:p w:rsidR="009803FD" w:rsidRPr="00B62A8D" w:rsidRDefault="009803FD" w:rsidP="00D076AE">
      <w:pPr>
        <w:jc w:val="both"/>
        <w:rPr>
          <w:rFonts w:ascii="Arial" w:hAnsi="Arial" w:cs="Arial"/>
          <w:sz w:val="22"/>
          <w:szCs w:val="22"/>
        </w:rPr>
      </w:pPr>
    </w:p>
    <w:p w:rsidR="00982AAD" w:rsidRPr="00B62A8D" w:rsidRDefault="009803FD" w:rsidP="00B71A76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2A8D">
        <w:rPr>
          <w:rFonts w:ascii="Arial" w:hAnsi="Arial" w:cs="Arial"/>
          <w:sz w:val="22"/>
          <w:szCs w:val="22"/>
        </w:rPr>
        <w:lastRenderedPageBreak/>
        <w:t>The PBAC noted that the requested price for the alternative brand was higher than the current price for Cogentin</w:t>
      </w:r>
      <w:r w:rsidR="00D076AE" w:rsidRPr="00B62A8D">
        <w:rPr>
          <w:rFonts w:ascii="Arial" w:hAnsi="Arial" w:cs="Arial"/>
          <w:sz w:val="22"/>
          <w:szCs w:val="22"/>
        </w:rPr>
        <w:t>, but at the same ex-manufacturer price as submission recommended in November 2013 submission</w:t>
      </w:r>
      <w:r w:rsidRPr="00B62A8D">
        <w:rPr>
          <w:rFonts w:ascii="Arial" w:hAnsi="Arial" w:cs="Arial"/>
          <w:sz w:val="22"/>
          <w:szCs w:val="22"/>
        </w:rPr>
        <w:t>.</w:t>
      </w:r>
    </w:p>
    <w:p w:rsidR="0043497A" w:rsidRPr="00F3599A" w:rsidRDefault="0043497A" w:rsidP="0043497A">
      <w:pPr>
        <w:pStyle w:val="ListParagraph"/>
        <w:ind w:left="709"/>
        <w:jc w:val="both"/>
      </w:pPr>
    </w:p>
    <w:p w:rsidR="00FD70CA" w:rsidRPr="00A80773" w:rsidRDefault="00FD70CA" w:rsidP="00A80773">
      <w:pPr>
        <w:pStyle w:val="Heading2"/>
      </w:pPr>
      <w:r w:rsidRPr="00A80773">
        <w:t>Outcome:</w:t>
      </w:r>
    </w:p>
    <w:p w:rsidR="00FD70CA" w:rsidRPr="00A80773" w:rsidRDefault="00FD70CA" w:rsidP="00FD70CA">
      <w:pPr>
        <w:ind w:left="720" w:hanging="720"/>
        <w:rPr>
          <w:rFonts w:ascii="Arial" w:hAnsi="Arial"/>
          <w:sz w:val="22"/>
          <w:szCs w:val="22"/>
        </w:rPr>
      </w:pPr>
      <w:r w:rsidRPr="00A80773">
        <w:rPr>
          <w:rFonts w:ascii="Arial" w:hAnsi="Arial"/>
          <w:sz w:val="22"/>
          <w:szCs w:val="22"/>
        </w:rPr>
        <w:t>Recommended</w:t>
      </w:r>
    </w:p>
    <w:p w:rsidR="00FD70CA" w:rsidRDefault="00FD70CA" w:rsidP="00A80773">
      <w:pPr>
        <w:spacing w:line="480" w:lineRule="auto"/>
        <w:rPr>
          <w:rFonts w:ascii="Arial" w:hAnsi="Arial"/>
        </w:rPr>
      </w:pPr>
    </w:p>
    <w:p w:rsidR="00FD70CA" w:rsidRDefault="00FD70CA" w:rsidP="00A80773">
      <w:pPr>
        <w:pStyle w:val="Heading1"/>
        <w:rPr>
          <w:sz w:val="28"/>
          <w:szCs w:val="28"/>
        </w:rPr>
      </w:pPr>
      <w:r w:rsidRPr="00BE3D1A">
        <w:t>Recommended</w:t>
      </w:r>
      <w:r w:rsidRPr="001E294C">
        <w:rPr>
          <w:sz w:val="28"/>
          <w:szCs w:val="28"/>
        </w:rPr>
        <w:t xml:space="preserve"> </w:t>
      </w:r>
      <w:r w:rsidRPr="003960E9">
        <w:t>listing</w:t>
      </w:r>
    </w:p>
    <w:p w:rsidR="00FD70CA" w:rsidRDefault="00FD70CA" w:rsidP="00FD70CA">
      <w:pPr>
        <w:rPr>
          <w:rFonts w:ascii="Arial" w:hAnsi="Arial"/>
          <w:b/>
          <w:sz w:val="28"/>
          <w:szCs w:val="28"/>
        </w:rPr>
      </w:pPr>
    </w:p>
    <w:p w:rsidR="009803FD" w:rsidRPr="009803FD" w:rsidRDefault="009803FD" w:rsidP="00A80773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 w:rsidRPr="009803FD">
        <w:rPr>
          <w:rFonts w:ascii="Arial" w:eastAsia="Times New Roman" w:hAnsi="Arial" w:cs="Arial"/>
          <w:sz w:val="22"/>
          <w:szCs w:val="22"/>
        </w:rPr>
        <w:t>Add the following new item in the General Schedule</w:t>
      </w:r>
      <w:r w:rsidR="00C06FA6">
        <w:rPr>
          <w:rFonts w:ascii="Arial" w:eastAsia="Times New Roman" w:hAnsi="Arial" w:cs="Arial"/>
          <w:sz w:val="22"/>
          <w:szCs w:val="22"/>
        </w:rPr>
        <w:t xml:space="preserve"> (Medical/Nurse </w:t>
      </w:r>
      <w:r w:rsidR="00C06FA6" w:rsidRPr="00C06FA6">
        <w:rPr>
          <w:rFonts w:ascii="Arial" w:eastAsia="Times New Roman" w:hAnsi="Arial" w:cs="Arial"/>
          <w:sz w:val="22"/>
          <w:szCs w:val="22"/>
        </w:rPr>
        <w:t>practitioners</w:t>
      </w:r>
      <w:r w:rsidR="00C06FA6">
        <w:rPr>
          <w:rFonts w:ascii="Arial" w:eastAsia="Times New Roman" w:hAnsi="Arial" w:cs="Arial"/>
          <w:sz w:val="22"/>
          <w:szCs w:val="22"/>
        </w:rPr>
        <w:t xml:space="preserve"> and Dental) </w:t>
      </w:r>
      <w:r w:rsidRPr="009803FD">
        <w:rPr>
          <w:rFonts w:ascii="Arial" w:eastAsia="Times New Roman" w:hAnsi="Arial" w:cs="Arial"/>
          <w:sz w:val="22"/>
          <w:szCs w:val="22"/>
        </w:rPr>
        <w:t>and Prescriber Bag</w:t>
      </w:r>
      <w:r w:rsidR="00C06FA6">
        <w:rPr>
          <w:rFonts w:ascii="Arial" w:eastAsia="Times New Roman" w:hAnsi="Arial" w:cs="Arial"/>
          <w:sz w:val="22"/>
          <w:szCs w:val="22"/>
        </w:rPr>
        <w:t xml:space="preserve"> (Medical/Nurse </w:t>
      </w:r>
      <w:r w:rsidR="00C06FA6" w:rsidRPr="00C06FA6">
        <w:rPr>
          <w:rFonts w:ascii="Arial" w:eastAsia="Times New Roman" w:hAnsi="Arial" w:cs="Arial"/>
          <w:sz w:val="22"/>
          <w:szCs w:val="22"/>
        </w:rPr>
        <w:t>practitioners</w:t>
      </w:r>
      <w:r w:rsidR="00C06FA6">
        <w:rPr>
          <w:rFonts w:ascii="Arial" w:eastAsia="Times New Roman" w:hAnsi="Arial" w:cs="Arial"/>
          <w:sz w:val="22"/>
          <w:szCs w:val="22"/>
        </w:rPr>
        <w:t>)</w:t>
      </w:r>
      <w:r w:rsidRPr="009803FD">
        <w:rPr>
          <w:rFonts w:ascii="Arial" w:eastAsia="Times New Roman" w:hAnsi="Arial" w:cs="Arial"/>
          <w:sz w:val="22"/>
          <w:szCs w:val="22"/>
        </w:rPr>
        <w:t xml:space="preserve"> sections of the Schedule.</w:t>
      </w:r>
    </w:p>
    <w:p w:rsidR="009803FD" w:rsidRDefault="009803FD" w:rsidP="009803FD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commended listing for benztropine"/>
      </w:tblPr>
      <w:tblGrid>
        <w:gridCol w:w="4113"/>
        <w:gridCol w:w="851"/>
        <w:gridCol w:w="992"/>
        <w:gridCol w:w="2127"/>
        <w:gridCol w:w="992"/>
      </w:tblGrid>
      <w:tr w:rsidR="009803FD" w:rsidRPr="00A80773" w:rsidTr="00085A26">
        <w:trPr>
          <w:cantSplit/>
          <w:trHeight w:val="471"/>
        </w:trPr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Name, Restriction,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Manner of administration and form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Max.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proofErr w:type="spellStart"/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Qty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№.of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Rpts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Proprietary Name and Manufacturer</w:t>
            </w:r>
          </w:p>
        </w:tc>
      </w:tr>
      <w:tr w:rsidR="009803FD" w:rsidRPr="00A80773" w:rsidTr="00085A26">
        <w:trPr>
          <w:cantSplit/>
          <w:trHeight w:val="577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mallCaps/>
                <w:sz w:val="20"/>
                <w:szCs w:val="22"/>
              </w:rPr>
              <w:t>BENZTROPINE</w:t>
            </w:r>
          </w:p>
          <w:p w:rsidR="009803FD" w:rsidRPr="00A80773" w:rsidRDefault="009803FD">
            <w:pPr>
              <w:keepNext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rPr>
                <w:rFonts w:ascii="Arial Narrow" w:eastAsia="Times New Roman" w:hAnsi="Arial Narrow"/>
                <w:sz w:val="20"/>
                <w:szCs w:val="22"/>
              </w:rPr>
            </w:pPr>
            <w:proofErr w:type="spellStart"/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Benztropine</w:t>
            </w:r>
            <w:proofErr w:type="spellEnd"/>
            <w:r w:rsidRPr="00A80773">
              <w:rPr>
                <w:rFonts w:ascii="Arial Narrow" w:eastAsia="Times New Roman" w:hAnsi="Arial Narrow"/>
                <w:sz w:val="20"/>
                <w:szCs w:val="22"/>
              </w:rPr>
              <w:t xml:space="preserve"> </w:t>
            </w:r>
            <w:proofErr w:type="spellStart"/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mesylate</w:t>
            </w:r>
            <w:proofErr w:type="spellEnd"/>
            <w:r w:rsidRPr="00A80773">
              <w:rPr>
                <w:rFonts w:ascii="Arial Narrow" w:eastAsia="Times New Roman" w:hAnsi="Arial Narrow"/>
                <w:sz w:val="20"/>
                <w:szCs w:val="22"/>
              </w:rPr>
              <w:t xml:space="preserve"> 2 mg/2 mL injection, 10 x 2 mL ampoule</w:t>
            </w:r>
          </w:p>
          <w:p w:rsidR="009803FD" w:rsidRPr="00A80773" w:rsidRDefault="009803FD">
            <w:pPr>
              <w:keepNext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 w:cs="Arial"/>
                <w:sz w:val="20"/>
                <w:szCs w:val="22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 w:cs="Arial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1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 w:cs="Arial"/>
                <w:sz w:val="20"/>
                <w:szCs w:val="22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 w:cs="Arial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0</w:t>
            </w:r>
            <w:r w:rsidRPr="00A80773">
              <w:rPr>
                <w:rStyle w:val="apple-converted-space"/>
                <w:rFonts w:ascii="Arial Narrow" w:eastAsia="Times New Roman" w:hAnsi="Arial Narrow"/>
                <w:sz w:val="20"/>
                <w:szCs w:val="22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 w:cs="Arial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proofErr w:type="spellStart"/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Benztropine</w:t>
            </w:r>
            <w:proofErr w:type="spellEnd"/>
            <w:r w:rsidRPr="00A80773">
              <w:rPr>
                <w:rFonts w:ascii="Arial Narrow" w:eastAsia="Times New Roman" w:hAnsi="Arial Narrow"/>
                <w:sz w:val="20"/>
                <w:szCs w:val="22"/>
              </w:rPr>
              <w:t xml:space="preserve"> Omega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 w:cs="Arial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 </w:t>
            </w:r>
          </w:p>
          <w:p w:rsidR="009803FD" w:rsidRPr="00A80773" w:rsidRDefault="009803FD">
            <w:pPr>
              <w:keepNext/>
              <w:jc w:val="both"/>
              <w:rPr>
                <w:rFonts w:ascii="Arial Narrow" w:eastAsia="Times New Roman" w:hAnsi="Arial Narrow"/>
                <w:sz w:val="20"/>
                <w:szCs w:val="22"/>
              </w:rPr>
            </w:pPr>
            <w:r w:rsidRPr="00A80773">
              <w:rPr>
                <w:rFonts w:ascii="Arial Narrow" w:eastAsia="Times New Roman" w:hAnsi="Arial Narrow"/>
                <w:sz w:val="20"/>
                <w:szCs w:val="22"/>
              </w:rPr>
              <w:t>FK</w:t>
            </w:r>
          </w:p>
        </w:tc>
      </w:tr>
    </w:tbl>
    <w:p w:rsidR="00085A26" w:rsidRDefault="00085A26" w:rsidP="00A80773">
      <w:pPr>
        <w:spacing w:line="480" w:lineRule="auto"/>
      </w:pPr>
    </w:p>
    <w:p w:rsidR="00085A26" w:rsidRPr="00085A26" w:rsidRDefault="00085A26" w:rsidP="00A80773">
      <w:pPr>
        <w:pStyle w:val="Heading1"/>
      </w:pPr>
      <w:r w:rsidRPr="00085A26">
        <w:t>Context for Decision</w:t>
      </w:r>
    </w:p>
    <w:p w:rsidR="00085A26" w:rsidRPr="00B9097C" w:rsidRDefault="00085A26" w:rsidP="00085A26">
      <w:pPr>
        <w:ind w:left="720"/>
        <w:contextualSpacing/>
        <w:rPr>
          <w:b/>
        </w:rPr>
      </w:pPr>
    </w:p>
    <w:p w:rsidR="00085A26" w:rsidRPr="00085A26" w:rsidRDefault="00085A26" w:rsidP="00085A26">
      <w:pPr>
        <w:ind w:left="720"/>
        <w:rPr>
          <w:rFonts w:ascii="Arial" w:eastAsia="Times New Roman" w:hAnsi="Arial" w:cs="Arial"/>
          <w:sz w:val="22"/>
          <w:szCs w:val="22"/>
        </w:rPr>
      </w:pPr>
      <w:r w:rsidRPr="00085A26">
        <w:rPr>
          <w:rFonts w:ascii="Arial" w:eastAsia="Times New Roman" w:hAnsi="Arial" w:cs="Arial"/>
          <w:sz w:val="22"/>
          <w:szCs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085A26" w:rsidRPr="00B9097C" w:rsidRDefault="00085A26" w:rsidP="00A80773">
      <w:pPr>
        <w:spacing w:line="480" w:lineRule="auto"/>
      </w:pPr>
    </w:p>
    <w:p w:rsidR="00085A26" w:rsidRPr="00085A26" w:rsidRDefault="00085A26" w:rsidP="00A80773">
      <w:pPr>
        <w:pStyle w:val="Heading1"/>
      </w:pPr>
      <w:r w:rsidRPr="00085A26">
        <w:t>Sponsor’s Comment</w:t>
      </w:r>
    </w:p>
    <w:p w:rsidR="00085A26" w:rsidRPr="00B9097C" w:rsidRDefault="00085A26" w:rsidP="00085A26">
      <w:pPr>
        <w:tabs>
          <w:tab w:val="left" w:pos="2940"/>
        </w:tabs>
        <w:rPr>
          <w:szCs w:val="22"/>
        </w:rPr>
      </w:pPr>
    </w:p>
    <w:p w:rsidR="00982AAD" w:rsidRPr="00085A26" w:rsidRDefault="009102D7" w:rsidP="009102D7">
      <w:pPr>
        <w:ind w:firstLine="720"/>
        <w:jc w:val="both"/>
        <w:rPr>
          <w:rFonts w:ascii="Arial" w:hAnsi="Arial" w:cs="Arial"/>
        </w:rPr>
      </w:pPr>
      <w:r w:rsidRPr="00085A26">
        <w:rPr>
          <w:rFonts w:ascii="Arial" w:eastAsia="Times New Roman" w:hAnsi="Arial" w:cs="Arial"/>
          <w:sz w:val="22"/>
          <w:szCs w:val="22"/>
        </w:rPr>
        <w:t>The</w:t>
      </w:r>
      <w:r>
        <w:rPr>
          <w:rFonts w:ascii="Arial" w:eastAsia="Times New Roman" w:hAnsi="Arial" w:cs="Arial"/>
          <w:sz w:val="22"/>
          <w:szCs w:val="22"/>
        </w:rPr>
        <w:t xml:space="preserve"> sponsor had no comment.</w:t>
      </w:r>
    </w:p>
    <w:sectPr w:rsidR="00982AAD" w:rsidRPr="00085A2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9B" w:rsidRDefault="00160C9B" w:rsidP="00BE3D1A">
      <w:r>
        <w:separator/>
      </w:r>
    </w:p>
  </w:endnote>
  <w:endnote w:type="continuationSeparator" w:id="0">
    <w:p w:rsidR="00160C9B" w:rsidRDefault="00160C9B" w:rsidP="00BE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4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D1A" w:rsidRDefault="00BE3D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D1A" w:rsidRDefault="00BE3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9B" w:rsidRDefault="00160C9B" w:rsidP="00BE3D1A">
      <w:r>
        <w:separator/>
      </w:r>
    </w:p>
  </w:footnote>
  <w:footnote w:type="continuationSeparator" w:id="0">
    <w:p w:rsidR="00160C9B" w:rsidRDefault="00160C9B" w:rsidP="00BE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1A" w:rsidRDefault="00BE3D1A">
    <w:pPr>
      <w:pStyle w:val="Header"/>
    </w:pPr>
  </w:p>
  <w:p w:rsidR="00085A26" w:rsidRPr="00085A26" w:rsidRDefault="00085A26" w:rsidP="00085A26">
    <w:pPr>
      <w:pStyle w:val="Header"/>
      <w:jc w:val="center"/>
      <w:rPr>
        <w:rFonts w:ascii="Arial" w:hAnsi="Arial" w:cs="Arial"/>
        <w:sz w:val="22"/>
        <w:szCs w:val="22"/>
      </w:rPr>
    </w:pPr>
    <w:r w:rsidRPr="00085A26">
      <w:rPr>
        <w:rFonts w:ascii="Arial" w:hAnsi="Arial" w:cs="Arial"/>
        <w:i/>
        <w:color w:val="808080"/>
        <w:sz w:val="22"/>
        <w:szCs w:val="22"/>
      </w:rPr>
      <w:t>Public Summary Document – November 2015 PBAC Meeting</w:t>
    </w:r>
  </w:p>
  <w:p w:rsidR="00BE3D1A" w:rsidRDefault="00BE3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B7"/>
    <w:multiLevelType w:val="multilevel"/>
    <w:tmpl w:val="8AAE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34920"/>
    <w:multiLevelType w:val="multilevel"/>
    <w:tmpl w:val="1B6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547EA"/>
    <w:multiLevelType w:val="multilevel"/>
    <w:tmpl w:val="61DE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D4F74"/>
    <w:multiLevelType w:val="multilevel"/>
    <w:tmpl w:val="D66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015FD"/>
    <w:multiLevelType w:val="multilevel"/>
    <w:tmpl w:val="71A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4409C"/>
    <w:multiLevelType w:val="multilevel"/>
    <w:tmpl w:val="DA1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A4A0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24667BF"/>
    <w:multiLevelType w:val="multilevel"/>
    <w:tmpl w:val="488A3AB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6649A5"/>
    <w:multiLevelType w:val="multilevel"/>
    <w:tmpl w:val="21DC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D033C"/>
    <w:multiLevelType w:val="multilevel"/>
    <w:tmpl w:val="32D80A90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A"/>
    <w:rsid w:val="00005E53"/>
    <w:rsid w:val="00032DD4"/>
    <w:rsid w:val="00085A26"/>
    <w:rsid w:val="000C6604"/>
    <w:rsid w:val="0015538D"/>
    <w:rsid w:val="00160C9B"/>
    <w:rsid w:val="001B3443"/>
    <w:rsid w:val="001D1890"/>
    <w:rsid w:val="0024327A"/>
    <w:rsid w:val="002879CB"/>
    <w:rsid w:val="0030786C"/>
    <w:rsid w:val="003960E9"/>
    <w:rsid w:val="0043497A"/>
    <w:rsid w:val="0048034C"/>
    <w:rsid w:val="004867E2"/>
    <w:rsid w:val="00596B1B"/>
    <w:rsid w:val="006375BA"/>
    <w:rsid w:val="00665646"/>
    <w:rsid w:val="006C71EC"/>
    <w:rsid w:val="006D13CD"/>
    <w:rsid w:val="008264EB"/>
    <w:rsid w:val="008E47E9"/>
    <w:rsid w:val="009102D7"/>
    <w:rsid w:val="009259D1"/>
    <w:rsid w:val="009803FD"/>
    <w:rsid w:val="00982AAD"/>
    <w:rsid w:val="009F5959"/>
    <w:rsid w:val="00A56993"/>
    <w:rsid w:val="00A80773"/>
    <w:rsid w:val="00AB1EC5"/>
    <w:rsid w:val="00AE73DD"/>
    <w:rsid w:val="00B42851"/>
    <w:rsid w:val="00B62A8D"/>
    <w:rsid w:val="00B71A76"/>
    <w:rsid w:val="00BE3D1A"/>
    <w:rsid w:val="00C06FA6"/>
    <w:rsid w:val="00C56871"/>
    <w:rsid w:val="00C60FCD"/>
    <w:rsid w:val="00CB59B7"/>
    <w:rsid w:val="00CB5B1A"/>
    <w:rsid w:val="00D076AE"/>
    <w:rsid w:val="00DB7B22"/>
    <w:rsid w:val="00EF5151"/>
    <w:rsid w:val="00F25062"/>
    <w:rsid w:val="00F3599A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0CA"/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qFormat/>
    <w:rsid w:val="00A80773"/>
    <w:pPr>
      <w:numPr>
        <w:numId w:val="1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A80773"/>
    <w:pPr>
      <w:ind w:left="720" w:hanging="720"/>
      <w:jc w:val="both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D70CA"/>
    <w:pPr>
      <w:ind w:left="720"/>
      <w:contextualSpacing/>
    </w:pPr>
  </w:style>
  <w:style w:type="character" w:styleId="CommentReference">
    <w:name w:val="annotation reference"/>
    <w:aliases w:val="Table Title"/>
    <w:basedOn w:val="DefaultParagraphFont"/>
    <w:uiPriority w:val="99"/>
    <w:qFormat/>
    <w:rsid w:val="00287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79C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rsid w:val="0028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9CB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rsid w:val="0028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C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97A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rsid w:val="00982AAD"/>
    <w:pPr>
      <w:spacing w:before="100" w:after="100"/>
    </w:pPr>
    <w:rPr>
      <w:rFonts w:eastAsia="Times New Roman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9803FD"/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BE3D1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BE3D1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3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1A"/>
    <w:rPr>
      <w:rFonts w:eastAsiaTheme="minorEastAsia"/>
      <w:sz w:val="24"/>
      <w:szCs w:val="24"/>
    </w:rPr>
  </w:style>
  <w:style w:type="paragraph" w:customStyle="1" w:styleId="PBACHeading1">
    <w:name w:val="PBAC Heading 1"/>
    <w:qFormat/>
    <w:rsid w:val="00085A26"/>
    <w:pPr>
      <w:numPr>
        <w:numId w:val="10"/>
      </w:numPr>
    </w:pPr>
    <w:rPr>
      <w:rFonts w:ascii="Arial" w:hAnsi="Arial" w:cs="Arial"/>
      <w:b/>
      <w:snapToGrid w:val="0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A80773"/>
    <w:pPr>
      <w:ind w:left="720" w:hanging="720"/>
      <w:outlineLvl w:val="0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80773"/>
    <w:rPr>
      <w:rFonts w:ascii="Arial" w:eastAsiaTheme="minorEastAsia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0CA"/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qFormat/>
    <w:rsid w:val="00A80773"/>
    <w:pPr>
      <w:numPr>
        <w:numId w:val="1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A80773"/>
    <w:pPr>
      <w:ind w:left="720" w:hanging="720"/>
      <w:jc w:val="both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D70CA"/>
    <w:pPr>
      <w:ind w:left="720"/>
      <w:contextualSpacing/>
    </w:pPr>
  </w:style>
  <w:style w:type="character" w:styleId="CommentReference">
    <w:name w:val="annotation reference"/>
    <w:aliases w:val="Table Title"/>
    <w:basedOn w:val="DefaultParagraphFont"/>
    <w:uiPriority w:val="99"/>
    <w:qFormat/>
    <w:rsid w:val="00287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79C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rsid w:val="0028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9CB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rsid w:val="0028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C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97A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rsid w:val="00982AAD"/>
    <w:pPr>
      <w:spacing w:before="100" w:after="100"/>
    </w:pPr>
    <w:rPr>
      <w:rFonts w:eastAsia="Times New Roman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9803FD"/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BE3D1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BE3D1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3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1A"/>
    <w:rPr>
      <w:rFonts w:eastAsiaTheme="minorEastAsia"/>
      <w:sz w:val="24"/>
      <w:szCs w:val="24"/>
    </w:rPr>
  </w:style>
  <w:style w:type="paragraph" w:customStyle="1" w:styleId="PBACHeading1">
    <w:name w:val="PBAC Heading 1"/>
    <w:qFormat/>
    <w:rsid w:val="00085A26"/>
    <w:pPr>
      <w:numPr>
        <w:numId w:val="10"/>
      </w:numPr>
    </w:pPr>
    <w:rPr>
      <w:rFonts w:ascii="Arial" w:hAnsi="Arial" w:cs="Arial"/>
      <w:b/>
      <w:snapToGrid w:val="0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A80773"/>
    <w:pPr>
      <w:ind w:left="720" w:hanging="720"/>
      <w:outlineLvl w:val="0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80773"/>
    <w:rPr>
      <w:rFonts w:ascii="Arial" w:eastAsiaTheme="minorEastAsia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A1D4-C296-4641-8520-6CAD114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14.2 BENZTROPINE MESYLATE</vt:lpstr>
    </vt:vector>
  </TitlesOfParts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14.2 BENZTROPINE MESYLATE</dc:title>
  <dc:creator/>
  <cp:lastModifiedBy/>
  <cp:revision>1</cp:revision>
  <dcterms:created xsi:type="dcterms:W3CDTF">2016-02-23T22:58:00Z</dcterms:created>
  <dcterms:modified xsi:type="dcterms:W3CDTF">2016-02-26T04:32:00Z</dcterms:modified>
</cp:coreProperties>
</file>