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09" w:rsidRPr="00964A10" w:rsidRDefault="00641EA9" w:rsidP="00964A10">
      <w:pPr>
        <w:pStyle w:val="Title"/>
      </w:pPr>
      <w:bookmarkStart w:id="0" w:name="_Toc430079460"/>
      <w:bookmarkStart w:id="1" w:name="_GoBack"/>
      <w:bookmarkEnd w:id="1"/>
      <w:r w:rsidRPr="00964A10">
        <w:t>5</w:t>
      </w:r>
      <w:r w:rsidR="00433044" w:rsidRPr="00964A10">
        <w:t>.</w:t>
      </w:r>
      <w:r w:rsidR="00DB6090" w:rsidRPr="00964A10">
        <w:t>0</w:t>
      </w:r>
      <w:r w:rsidRPr="00964A10">
        <w:t>3</w:t>
      </w:r>
      <w:r w:rsidR="00B60939" w:rsidRPr="00964A10">
        <w:tab/>
      </w:r>
      <w:r w:rsidR="00D31BFD" w:rsidRPr="00964A10">
        <w:t>BLINATUMOMAB</w:t>
      </w:r>
    </w:p>
    <w:p w:rsidR="00C40409" w:rsidRPr="00964A10" w:rsidRDefault="00D31BFD" w:rsidP="00964A10">
      <w:pPr>
        <w:pStyle w:val="Title"/>
        <w:ind w:firstLine="0"/>
        <w:rPr>
          <w:caps w:val="0"/>
        </w:rPr>
      </w:pPr>
      <w:r w:rsidRPr="00964A10">
        <w:rPr>
          <w:caps w:val="0"/>
        </w:rPr>
        <w:t>powder for IV infusion, 38.5 µg</w:t>
      </w:r>
      <w:r w:rsidR="00B60939" w:rsidRPr="00964A10">
        <w:rPr>
          <w:caps w:val="0"/>
        </w:rPr>
        <w:t xml:space="preserve">, </w:t>
      </w:r>
    </w:p>
    <w:p w:rsidR="00C57A04" w:rsidRPr="00964A10" w:rsidRDefault="00D31BFD" w:rsidP="00964A10">
      <w:pPr>
        <w:pStyle w:val="Title"/>
        <w:ind w:firstLine="0"/>
        <w:rPr>
          <w:caps w:val="0"/>
        </w:rPr>
      </w:pPr>
      <w:r w:rsidRPr="00964A10">
        <w:rPr>
          <w:caps w:val="0"/>
        </w:rPr>
        <w:t>Blincyto</w:t>
      </w:r>
      <w:r w:rsidR="00B60939" w:rsidRPr="00964A10">
        <w:rPr>
          <w:caps w:val="0"/>
        </w:rPr>
        <w:t xml:space="preserve">®, </w:t>
      </w:r>
      <w:r w:rsidRPr="00964A10">
        <w:rPr>
          <w:caps w:val="0"/>
        </w:rPr>
        <w:t>Amgen</w:t>
      </w:r>
      <w:r w:rsidR="00B60939" w:rsidRPr="00964A10">
        <w:rPr>
          <w:caps w:val="0"/>
        </w:rPr>
        <w:t>.</w:t>
      </w:r>
      <w:bookmarkEnd w:id="0"/>
      <w:r w:rsidR="0083037A" w:rsidRPr="00964A10">
        <w:rPr>
          <w:caps w:val="0"/>
        </w:rPr>
        <w:t xml:space="preserve"> </w:t>
      </w:r>
    </w:p>
    <w:p w:rsidR="00C57A04" w:rsidRPr="00964A10" w:rsidRDefault="00C57A04" w:rsidP="00964A10"/>
    <w:p w:rsidR="007F2D50" w:rsidRPr="004F29AA" w:rsidRDefault="007F2D50" w:rsidP="007F2D50">
      <w:pPr>
        <w:pStyle w:val="PBACHeading1"/>
        <w:ind w:left="0" w:firstLine="0"/>
      </w:pPr>
      <w:bookmarkStart w:id="2" w:name="_Toc426958205"/>
      <w:bookmarkStart w:id="3" w:name="_Toc430079462"/>
      <w:r w:rsidRPr="004F29AA">
        <w:t>Purpose of Application</w:t>
      </w:r>
      <w:bookmarkEnd w:id="2"/>
      <w:bookmarkEnd w:id="3"/>
    </w:p>
    <w:p w:rsidR="007F2D50" w:rsidRPr="004F29AA" w:rsidRDefault="007F2D50" w:rsidP="007F2D50">
      <w:pPr>
        <w:rPr>
          <w:szCs w:val="22"/>
        </w:rPr>
      </w:pPr>
    </w:p>
    <w:p w:rsidR="007F2D50" w:rsidRPr="004F29AA" w:rsidRDefault="005422FB" w:rsidP="000A100A">
      <w:pPr>
        <w:pStyle w:val="ListParagraph"/>
        <w:widowControl/>
        <w:numPr>
          <w:ilvl w:val="1"/>
          <w:numId w:val="1"/>
        </w:numPr>
        <w:rPr>
          <w:szCs w:val="22"/>
        </w:rPr>
      </w:pPr>
      <w:r w:rsidRPr="004F29AA">
        <w:t xml:space="preserve">The submission requested a </w:t>
      </w:r>
      <w:r w:rsidR="007F2D50" w:rsidRPr="004F29AA">
        <w:t>Section 100, Highly Specialised Drug</w:t>
      </w:r>
      <w:r w:rsidRPr="004F29AA">
        <w:t xml:space="preserve"> Program</w:t>
      </w:r>
      <w:r w:rsidR="007F2D50" w:rsidRPr="004F29AA">
        <w:t xml:space="preserve"> listing for blinatumomab for the treatment of relapsed or refractory Philadelphia negative (Ph-) B-precursor acute lymphoblastic leukaemia (ALL).</w:t>
      </w:r>
    </w:p>
    <w:p w:rsidR="007F2D50" w:rsidRPr="004F29AA" w:rsidRDefault="007F2D50" w:rsidP="007F2D50"/>
    <w:p w:rsidR="007F2D50" w:rsidRPr="004F29AA" w:rsidRDefault="007F2D50" w:rsidP="007F2D50"/>
    <w:p w:rsidR="007F2D50" w:rsidRPr="004F29AA" w:rsidRDefault="007F2D50" w:rsidP="007F2D50">
      <w:pPr>
        <w:pStyle w:val="PBACHeading1"/>
        <w:ind w:left="0" w:firstLine="0"/>
      </w:pPr>
      <w:bookmarkStart w:id="4" w:name="_Toc426958206"/>
      <w:bookmarkStart w:id="5" w:name="_Toc430079463"/>
      <w:r w:rsidRPr="004F29AA">
        <w:t>Requested listing</w:t>
      </w:r>
      <w:bookmarkEnd w:id="4"/>
      <w:bookmarkEnd w:id="5"/>
    </w:p>
    <w:p w:rsidR="00C91665" w:rsidRPr="00964A10" w:rsidRDefault="00C91665" w:rsidP="00964A10"/>
    <w:p w:rsidR="00C91665" w:rsidRPr="004F29AA" w:rsidRDefault="00C91665" w:rsidP="00C91665">
      <w:pPr>
        <w:pStyle w:val="BodyText"/>
        <w:ind w:left="720"/>
        <w:rPr>
          <w:b/>
        </w:rPr>
      </w:pPr>
      <w:r w:rsidRPr="004F29AA">
        <w:t>Secretariat suggested wording for the restriction</w:t>
      </w:r>
      <w:r w:rsidRPr="004F29AA">
        <w:rPr>
          <w:b/>
        </w:rPr>
        <w:t xml:space="preserve"> </w:t>
      </w:r>
      <w:r w:rsidRPr="004F29AA">
        <w:t>has not been presented at this stage due to the clarifications required in the proposed PBS listing.</w:t>
      </w:r>
    </w:p>
    <w:p w:rsidR="007F2D50" w:rsidRPr="004F29AA" w:rsidRDefault="007F2D50" w:rsidP="007F2D50"/>
    <w:tbl>
      <w:tblPr>
        <w:tblW w:w="4604" w:type="pct"/>
        <w:tblInd w:w="737" w:type="dxa"/>
        <w:tblCellMar>
          <w:left w:w="28" w:type="dxa"/>
          <w:right w:w="28" w:type="dxa"/>
        </w:tblCellMar>
        <w:tblLook w:val="0000" w:firstRow="0" w:lastRow="0" w:firstColumn="0" w:lastColumn="0" w:noHBand="0" w:noVBand="0"/>
        <w:tblCaption w:val="Requested PBS listing"/>
      </w:tblPr>
      <w:tblGrid>
        <w:gridCol w:w="3111"/>
        <w:gridCol w:w="999"/>
        <w:gridCol w:w="994"/>
        <w:gridCol w:w="1388"/>
        <w:gridCol w:w="1024"/>
        <w:gridCol w:w="848"/>
      </w:tblGrid>
      <w:tr w:rsidR="00246C40" w:rsidRPr="004F29AA">
        <w:trPr>
          <w:cantSplit/>
          <w:trHeight w:val="463"/>
        </w:trPr>
        <w:tc>
          <w:tcPr>
            <w:tcW w:w="1860" w:type="pct"/>
            <w:tcBorders>
              <w:bottom w:val="single" w:sz="4" w:space="0" w:color="auto"/>
            </w:tcBorders>
            <w:vAlign w:val="center"/>
          </w:tcPr>
          <w:p w:rsidR="007F2D50" w:rsidRPr="004F29AA" w:rsidRDefault="007F2D50" w:rsidP="007F2D50">
            <w:pPr>
              <w:keepNext/>
              <w:jc w:val="left"/>
              <w:rPr>
                <w:rFonts w:ascii="Arial Narrow" w:hAnsi="Arial Narrow"/>
                <w:sz w:val="20"/>
              </w:rPr>
            </w:pPr>
            <w:r w:rsidRPr="004F29AA">
              <w:rPr>
                <w:rFonts w:ascii="Arial Narrow" w:hAnsi="Arial Narrow"/>
                <w:sz w:val="20"/>
              </w:rPr>
              <w:t>Name, Restriction,</w:t>
            </w:r>
          </w:p>
          <w:p w:rsidR="007F2D50" w:rsidRPr="004F29AA" w:rsidRDefault="007F2D50" w:rsidP="007F2D50">
            <w:pPr>
              <w:keepNext/>
              <w:jc w:val="left"/>
              <w:rPr>
                <w:rFonts w:ascii="Arial Narrow" w:hAnsi="Arial Narrow"/>
                <w:sz w:val="20"/>
              </w:rPr>
            </w:pPr>
            <w:r w:rsidRPr="004F29AA">
              <w:rPr>
                <w:rFonts w:ascii="Arial Narrow" w:hAnsi="Arial Narrow"/>
                <w:sz w:val="20"/>
              </w:rPr>
              <w:t>Manner of administration and form</w:t>
            </w:r>
          </w:p>
        </w:tc>
        <w:tc>
          <w:tcPr>
            <w:tcW w:w="597" w:type="pct"/>
            <w:tcBorders>
              <w:bottom w:val="single" w:sz="4" w:space="0" w:color="auto"/>
            </w:tcBorders>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Max.</w:t>
            </w:r>
          </w:p>
          <w:p w:rsidR="007F2D50" w:rsidRPr="004F29AA" w:rsidRDefault="007F2D50" w:rsidP="007F2D50">
            <w:pPr>
              <w:keepNext/>
              <w:jc w:val="center"/>
              <w:rPr>
                <w:rFonts w:ascii="Arial Narrow" w:hAnsi="Arial Narrow"/>
                <w:sz w:val="20"/>
              </w:rPr>
            </w:pPr>
            <w:r w:rsidRPr="004F29AA">
              <w:rPr>
                <w:rFonts w:ascii="Arial Narrow" w:hAnsi="Arial Narrow"/>
                <w:sz w:val="20"/>
              </w:rPr>
              <w:t>Qty</w:t>
            </w:r>
          </w:p>
        </w:tc>
        <w:tc>
          <w:tcPr>
            <w:tcW w:w="594" w:type="pct"/>
            <w:tcBorders>
              <w:bottom w:val="single" w:sz="4" w:space="0" w:color="auto"/>
            </w:tcBorders>
            <w:vAlign w:val="center"/>
          </w:tcPr>
          <w:p w:rsidR="007F2D50" w:rsidRPr="004F29AA" w:rsidRDefault="007F2D50" w:rsidP="007F2D50">
            <w:pPr>
              <w:keepNext/>
              <w:jc w:val="center"/>
              <w:rPr>
                <w:rFonts w:ascii="Arial Narrow" w:hAnsi="Arial Narrow"/>
                <w:sz w:val="20"/>
              </w:rPr>
            </w:pPr>
            <w:r w:rsidRPr="004F29AA">
              <w:rPr>
                <w:rFonts w:ascii="Arial Narrow" w:hAnsi="Arial Narrow" w:cs="Times New Roman"/>
                <w:sz w:val="20"/>
              </w:rPr>
              <w:t>№</w:t>
            </w:r>
            <w:r w:rsidRPr="004F29AA">
              <w:rPr>
                <w:rFonts w:ascii="Arial Narrow" w:hAnsi="Arial Narrow"/>
                <w:sz w:val="20"/>
              </w:rPr>
              <w:t>.of</w:t>
            </w:r>
          </w:p>
          <w:p w:rsidR="007F2D50" w:rsidRPr="004F29AA" w:rsidRDefault="007F2D50" w:rsidP="007F2D50">
            <w:pPr>
              <w:keepNext/>
              <w:jc w:val="center"/>
              <w:rPr>
                <w:rFonts w:ascii="Arial Narrow" w:hAnsi="Arial Narrow"/>
                <w:sz w:val="20"/>
              </w:rPr>
            </w:pPr>
            <w:r w:rsidRPr="004F29AA">
              <w:rPr>
                <w:rFonts w:ascii="Arial Narrow" w:hAnsi="Arial Narrow"/>
                <w:sz w:val="20"/>
              </w:rPr>
              <w:t>Rpts</w:t>
            </w:r>
          </w:p>
        </w:tc>
        <w:tc>
          <w:tcPr>
            <w:tcW w:w="830" w:type="pct"/>
            <w:tcBorders>
              <w:bottom w:val="single" w:sz="4" w:space="0" w:color="auto"/>
            </w:tcBorders>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Ex-manufacturer price/vial</w:t>
            </w:r>
          </w:p>
        </w:tc>
        <w:tc>
          <w:tcPr>
            <w:tcW w:w="1119" w:type="pct"/>
            <w:gridSpan w:val="2"/>
            <w:tcBorders>
              <w:bottom w:val="single" w:sz="4" w:space="0" w:color="auto"/>
            </w:tcBorders>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Proprietary Name and Manufacturer</w:t>
            </w:r>
          </w:p>
        </w:tc>
      </w:tr>
      <w:tr w:rsidR="00246C40" w:rsidRPr="004F29AA">
        <w:trPr>
          <w:cantSplit/>
          <w:trHeight w:val="567"/>
        </w:trPr>
        <w:tc>
          <w:tcPr>
            <w:tcW w:w="1860" w:type="pct"/>
            <w:vAlign w:val="center"/>
          </w:tcPr>
          <w:p w:rsidR="007F2D50" w:rsidRPr="004F29AA" w:rsidRDefault="007F2D50" w:rsidP="007F2D50">
            <w:pPr>
              <w:keepNext/>
              <w:jc w:val="left"/>
              <w:rPr>
                <w:rFonts w:ascii="Arial Narrow" w:hAnsi="Arial Narrow"/>
                <w:b/>
                <w:sz w:val="20"/>
              </w:rPr>
            </w:pPr>
            <w:r w:rsidRPr="004F29AA">
              <w:rPr>
                <w:rFonts w:ascii="Arial Narrow" w:hAnsi="Arial Narrow"/>
                <w:b/>
                <w:sz w:val="20"/>
              </w:rPr>
              <w:t>Initial treatment</w:t>
            </w:r>
          </w:p>
          <w:p w:rsidR="007F2D50" w:rsidRPr="004F29AA" w:rsidRDefault="004B677C" w:rsidP="007F2D50">
            <w:pPr>
              <w:keepNext/>
              <w:jc w:val="left"/>
              <w:rPr>
                <w:rFonts w:ascii="Arial Narrow" w:hAnsi="Arial Narrow"/>
                <w:sz w:val="20"/>
              </w:rPr>
            </w:pPr>
            <w:r w:rsidRPr="004F29AA">
              <w:rPr>
                <w:rFonts w:ascii="Arial Narrow" w:hAnsi="Arial Narrow"/>
                <w:smallCaps/>
                <w:sz w:val="20"/>
              </w:rPr>
              <w:t>Blinatumomab</w:t>
            </w:r>
          </w:p>
          <w:p w:rsidR="007F2D50" w:rsidRPr="004F29AA" w:rsidRDefault="007F2D50" w:rsidP="007F2D50">
            <w:pPr>
              <w:keepNext/>
              <w:jc w:val="left"/>
              <w:rPr>
                <w:rFonts w:ascii="Arial Narrow" w:hAnsi="Arial Narrow"/>
                <w:sz w:val="20"/>
              </w:rPr>
            </w:pPr>
            <w:r w:rsidRPr="004F29AA">
              <w:rPr>
                <w:rFonts w:ascii="Arial Narrow" w:hAnsi="Arial Narrow"/>
                <w:sz w:val="20"/>
              </w:rPr>
              <w:t>Lyophilised powder in a single-use vial for IV infusion, 38.5 µg</w:t>
            </w:r>
          </w:p>
        </w:tc>
        <w:tc>
          <w:tcPr>
            <w:tcW w:w="597" w:type="pct"/>
            <w:vAlign w:val="center"/>
          </w:tcPr>
          <w:p w:rsidR="007F2D50" w:rsidRPr="004F29AA" w:rsidRDefault="007F2D50" w:rsidP="007F2D50">
            <w:pPr>
              <w:keepNext/>
              <w:jc w:val="center"/>
              <w:rPr>
                <w:rFonts w:ascii="Arial Narrow" w:hAnsi="Arial Narrow"/>
                <w:sz w:val="20"/>
              </w:rPr>
            </w:pPr>
          </w:p>
          <w:p w:rsidR="007F2D50" w:rsidRPr="004F29AA" w:rsidRDefault="007F2D50" w:rsidP="007F2D50">
            <w:pPr>
              <w:keepNext/>
              <w:jc w:val="center"/>
              <w:rPr>
                <w:rFonts w:ascii="Arial Narrow" w:hAnsi="Arial Narrow"/>
                <w:sz w:val="20"/>
              </w:rPr>
            </w:pPr>
            <w:r w:rsidRPr="004F29AA">
              <w:rPr>
                <w:rFonts w:ascii="Arial Narrow" w:hAnsi="Arial Narrow"/>
                <w:sz w:val="20"/>
              </w:rPr>
              <w:t xml:space="preserve">up to 28 vials </w:t>
            </w:r>
            <w:r w:rsidRPr="004F29AA">
              <w:rPr>
                <w:rFonts w:ascii="Arial Narrow" w:hAnsi="Arial Narrow"/>
                <w:sz w:val="20"/>
                <w:vertAlign w:val="superscript"/>
              </w:rPr>
              <w:t>a</w:t>
            </w:r>
          </w:p>
        </w:tc>
        <w:tc>
          <w:tcPr>
            <w:tcW w:w="594" w:type="pct"/>
            <w:vAlign w:val="center"/>
          </w:tcPr>
          <w:p w:rsidR="007F2D50" w:rsidRPr="004F29AA" w:rsidRDefault="007F2D50" w:rsidP="007F2D50">
            <w:pPr>
              <w:keepNext/>
              <w:jc w:val="center"/>
              <w:rPr>
                <w:rFonts w:ascii="Arial Narrow" w:hAnsi="Arial Narrow"/>
                <w:sz w:val="20"/>
              </w:rPr>
            </w:pPr>
          </w:p>
          <w:p w:rsidR="007F2D50" w:rsidRPr="004F29AA" w:rsidRDefault="007F2D50" w:rsidP="007F2D50">
            <w:pPr>
              <w:keepNext/>
              <w:jc w:val="center"/>
              <w:rPr>
                <w:rFonts w:ascii="Arial Narrow" w:hAnsi="Arial Narrow"/>
                <w:sz w:val="20"/>
              </w:rPr>
            </w:pPr>
            <w:r w:rsidRPr="004F29AA">
              <w:rPr>
                <w:rFonts w:ascii="Arial Narrow" w:hAnsi="Arial Narrow"/>
                <w:sz w:val="20"/>
              </w:rPr>
              <w:t>0</w:t>
            </w:r>
          </w:p>
        </w:tc>
        <w:tc>
          <w:tcPr>
            <w:tcW w:w="830" w:type="pct"/>
            <w:vAlign w:val="center"/>
          </w:tcPr>
          <w:p w:rsidR="007F2D50" w:rsidRPr="004F29AA" w:rsidRDefault="007F2D50" w:rsidP="007F2D50">
            <w:pPr>
              <w:keepNext/>
              <w:jc w:val="center"/>
              <w:rPr>
                <w:rFonts w:ascii="Arial Narrow" w:hAnsi="Arial Narrow"/>
                <w:sz w:val="20"/>
              </w:rPr>
            </w:pPr>
          </w:p>
          <w:p w:rsidR="007F2D50" w:rsidRPr="004F29AA" w:rsidRDefault="007F2D50" w:rsidP="007F2D50">
            <w:pPr>
              <w:keepNext/>
              <w:jc w:val="center"/>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612" w:type="pct"/>
            <w:vAlign w:val="center"/>
          </w:tcPr>
          <w:p w:rsidR="007F2D50" w:rsidRPr="004F29AA" w:rsidRDefault="007F2D50" w:rsidP="007F2D50">
            <w:pPr>
              <w:keepNext/>
              <w:jc w:val="center"/>
              <w:rPr>
                <w:rFonts w:ascii="Arial Narrow" w:hAnsi="Arial Narrow"/>
                <w:sz w:val="20"/>
              </w:rPr>
            </w:pPr>
          </w:p>
          <w:p w:rsidR="007F2D50" w:rsidRPr="004F29AA" w:rsidRDefault="007F2D50" w:rsidP="007F2D50">
            <w:pPr>
              <w:keepNext/>
              <w:jc w:val="center"/>
              <w:rPr>
                <w:rFonts w:ascii="Arial Narrow" w:hAnsi="Arial Narrow"/>
                <w:sz w:val="20"/>
              </w:rPr>
            </w:pPr>
            <w:r w:rsidRPr="004F29AA">
              <w:rPr>
                <w:rFonts w:ascii="Arial Narrow" w:hAnsi="Arial Narrow"/>
                <w:sz w:val="20"/>
              </w:rPr>
              <w:t>Blincyto</w:t>
            </w:r>
            <w:r w:rsidRPr="004F29AA">
              <w:rPr>
                <w:rFonts w:ascii="Arial Narrow" w:hAnsi="Arial Narrow"/>
                <w:sz w:val="20"/>
                <w:vertAlign w:val="superscript"/>
              </w:rPr>
              <w:t>®</w:t>
            </w:r>
          </w:p>
        </w:tc>
        <w:tc>
          <w:tcPr>
            <w:tcW w:w="507" w:type="pct"/>
            <w:vAlign w:val="center"/>
          </w:tcPr>
          <w:p w:rsidR="007F2D50" w:rsidRPr="004F29AA" w:rsidRDefault="007F2D50" w:rsidP="007F2D50">
            <w:pPr>
              <w:keepNext/>
              <w:jc w:val="center"/>
              <w:rPr>
                <w:rFonts w:ascii="Arial Narrow" w:hAnsi="Arial Narrow"/>
                <w:sz w:val="20"/>
              </w:rPr>
            </w:pPr>
          </w:p>
          <w:p w:rsidR="007F2D50" w:rsidRPr="004F29AA" w:rsidRDefault="007F2D50" w:rsidP="007F2D50">
            <w:pPr>
              <w:keepNext/>
              <w:jc w:val="center"/>
              <w:rPr>
                <w:rFonts w:ascii="Arial Narrow" w:hAnsi="Arial Narrow"/>
                <w:sz w:val="20"/>
              </w:rPr>
            </w:pPr>
            <w:r w:rsidRPr="004F29AA">
              <w:rPr>
                <w:rFonts w:ascii="Arial Narrow" w:hAnsi="Arial Narrow"/>
                <w:sz w:val="20"/>
              </w:rPr>
              <w:t>Amgen</w:t>
            </w:r>
          </w:p>
        </w:tc>
      </w:tr>
      <w:tr w:rsidR="00246C40" w:rsidRPr="004F29AA">
        <w:trPr>
          <w:cantSplit/>
          <w:trHeight w:val="567"/>
        </w:trPr>
        <w:tc>
          <w:tcPr>
            <w:tcW w:w="1860" w:type="pct"/>
            <w:vAlign w:val="center"/>
          </w:tcPr>
          <w:p w:rsidR="007F2D50" w:rsidRPr="004F29AA" w:rsidRDefault="00644646" w:rsidP="007F2D50">
            <w:pPr>
              <w:keepNext/>
              <w:jc w:val="left"/>
              <w:rPr>
                <w:rFonts w:ascii="Arial Narrow" w:hAnsi="Arial Narrow"/>
                <w:b/>
                <w:sz w:val="20"/>
              </w:rPr>
            </w:pPr>
            <w:r w:rsidRPr="004F29AA">
              <w:rPr>
                <w:rFonts w:ascii="Arial Narrow" w:hAnsi="Arial Narrow"/>
                <w:b/>
                <w:sz w:val="20"/>
              </w:rPr>
              <w:t>First and second c</w:t>
            </w:r>
            <w:r w:rsidR="007F2D50" w:rsidRPr="004F29AA">
              <w:rPr>
                <w:rFonts w:ascii="Arial Narrow" w:hAnsi="Arial Narrow"/>
                <w:b/>
                <w:sz w:val="20"/>
              </w:rPr>
              <w:t xml:space="preserve">ontinuing treatment </w:t>
            </w:r>
          </w:p>
          <w:p w:rsidR="007F2D50" w:rsidRPr="004F29AA" w:rsidRDefault="004B677C" w:rsidP="007F2D50">
            <w:pPr>
              <w:keepNext/>
              <w:jc w:val="left"/>
              <w:rPr>
                <w:rFonts w:ascii="Arial Narrow" w:hAnsi="Arial Narrow"/>
                <w:sz w:val="20"/>
              </w:rPr>
            </w:pPr>
            <w:r w:rsidRPr="004F29AA">
              <w:rPr>
                <w:rFonts w:ascii="Arial Narrow" w:hAnsi="Arial Narrow"/>
                <w:smallCaps/>
                <w:sz w:val="20"/>
              </w:rPr>
              <w:t>Blinatumomab</w:t>
            </w:r>
          </w:p>
          <w:p w:rsidR="007F2D50" w:rsidRPr="004F29AA" w:rsidRDefault="007F2D50" w:rsidP="007F2D50">
            <w:pPr>
              <w:keepNext/>
              <w:jc w:val="left"/>
              <w:rPr>
                <w:rFonts w:ascii="Arial Narrow" w:hAnsi="Arial Narrow"/>
                <w:b/>
                <w:sz w:val="20"/>
              </w:rPr>
            </w:pPr>
            <w:r w:rsidRPr="004F29AA">
              <w:rPr>
                <w:rFonts w:ascii="Arial Narrow" w:hAnsi="Arial Narrow"/>
                <w:sz w:val="20"/>
              </w:rPr>
              <w:t>Lyophilised powder in a single-use vial for IV infusion, 38.5 µg</w:t>
            </w:r>
          </w:p>
        </w:tc>
        <w:tc>
          <w:tcPr>
            <w:tcW w:w="597" w:type="pct"/>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28</w:t>
            </w:r>
          </w:p>
        </w:tc>
        <w:tc>
          <w:tcPr>
            <w:tcW w:w="594" w:type="pct"/>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0</w:t>
            </w:r>
          </w:p>
        </w:tc>
        <w:tc>
          <w:tcPr>
            <w:tcW w:w="830" w:type="pct"/>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612" w:type="pct"/>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Blincyto</w:t>
            </w:r>
            <w:r w:rsidRPr="004F29AA">
              <w:rPr>
                <w:rFonts w:ascii="Arial Narrow" w:hAnsi="Arial Narrow"/>
                <w:sz w:val="20"/>
                <w:vertAlign w:val="superscript"/>
              </w:rPr>
              <w:t>®</w:t>
            </w:r>
          </w:p>
        </w:tc>
        <w:tc>
          <w:tcPr>
            <w:tcW w:w="507" w:type="pct"/>
            <w:vAlign w:val="center"/>
          </w:tcPr>
          <w:p w:rsidR="007F2D50" w:rsidRPr="004F29AA" w:rsidRDefault="007F2D50" w:rsidP="007F2D50">
            <w:pPr>
              <w:keepNext/>
              <w:jc w:val="center"/>
              <w:rPr>
                <w:rFonts w:ascii="Arial Narrow" w:hAnsi="Arial Narrow"/>
                <w:sz w:val="20"/>
              </w:rPr>
            </w:pPr>
            <w:r w:rsidRPr="004F29AA">
              <w:rPr>
                <w:rFonts w:ascii="Arial Narrow" w:hAnsi="Arial Narrow"/>
                <w:sz w:val="20"/>
              </w:rPr>
              <w:t>Amgen</w:t>
            </w:r>
          </w:p>
        </w:tc>
      </w:tr>
      <w:tr w:rsidR="007F2D50" w:rsidRPr="004F29AA">
        <w:trPr>
          <w:cantSplit/>
          <w:trHeight w:val="354"/>
        </w:trPr>
        <w:tc>
          <w:tcPr>
            <w:tcW w:w="5000" w:type="pct"/>
            <w:gridSpan w:val="6"/>
            <w:vAlign w:val="center"/>
          </w:tcPr>
          <w:p w:rsidR="007F2D50" w:rsidRPr="004F29AA" w:rsidRDefault="007F2D50" w:rsidP="007F2D50">
            <w:pPr>
              <w:jc w:val="left"/>
              <w:rPr>
                <w:rFonts w:ascii="Arial Narrow" w:hAnsi="Arial Narrow"/>
                <w:b/>
                <w:sz w:val="20"/>
                <w:u w:val="single"/>
              </w:rPr>
            </w:pPr>
            <w:r w:rsidRPr="004F29AA">
              <w:rPr>
                <w:rFonts w:ascii="Arial Narrow" w:hAnsi="Arial Narrow"/>
                <w:b/>
                <w:sz w:val="20"/>
                <w:u w:val="single"/>
              </w:rPr>
              <w:t>Section 100 – HSD Authority required (Public/private hospital)</w:t>
            </w:r>
          </w:p>
          <w:p w:rsidR="007F2D50" w:rsidRPr="004F29AA" w:rsidRDefault="007F2D50" w:rsidP="007F2D50">
            <w:pPr>
              <w:jc w:val="left"/>
              <w:rPr>
                <w:rFonts w:ascii="Arial Narrow" w:hAnsi="Arial Narrow"/>
                <w:sz w:val="20"/>
              </w:rPr>
            </w:pPr>
            <w:r w:rsidRPr="004F29AA">
              <w:rPr>
                <w:rFonts w:ascii="Arial Narrow" w:hAnsi="Arial Narrow"/>
                <w:sz w:val="20"/>
              </w:rPr>
              <w:t>Treatment for adult patients with relapsed or refractory Philadelphia negative B-cell acute lymphoblastic leukaemia</w:t>
            </w:r>
          </w:p>
        </w:tc>
      </w:tr>
    </w:tbl>
    <w:p w:rsidR="009327AB" w:rsidRPr="004F29AA" w:rsidRDefault="009327AB" w:rsidP="007F2D50">
      <w:pPr>
        <w:ind w:left="720"/>
        <w:rPr>
          <w:rFonts w:ascii="Arial Narrow" w:hAnsi="Arial Narrow"/>
          <w:sz w:val="8"/>
          <w:szCs w:val="8"/>
          <w:vertAlign w:val="superscript"/>
        </w:rPr>
      </w:pPr>
    </w:p>
    <w:p w:rsidR="007F2D50" w:rsidRPr="004F29AA" w:rsidRDefault="007F2D50" w:rsidP="007F2D50">
      <w:pPr>
        <w:ind w:left="720"/>
        <w:rPr>
          <w:rFonts w:ascii="Arial Narrow" w:hAnsi="Arial Narrow"/>
          <w:sz w:val="18"/>
          <w:szCs w:val="18"/>
        </w:rPr>
      </w:pPr>
      <w:r w:rsidRPr="004F29AA">
        <w:rPr>
          <w:rFonts w:ascii="Arial Narrow" w:hAnsi="Arial Narrow"/>
          <w:sz w:val="18"/>
          <w:szCs w:val="18"/>
          <w:vertAlign w:val="superscript"/>
        </w:rPr>
        <w:t>a</w:t>
      </w:r>
      <w:r w:rsidRPr="004F29AA">
        <w:rPr>
          <w:rFonts w:ascii="Arial Narrow" w:hAnsi="Arial Narrow"/>
          <w:sz w:val="18"/>
          <w:szCs w:val="18"/>
        </w:rPr>
        <w:t xml:space="preserve"> To be determined based on advice from PBAC and other relevant stakeholders. The dispensed price for maximum quantity to be determined once maximum quantities are agreed for each listing.</w:t>
      </w:r>
    </w:p>
    <w:p w:rsidR="007F2D50" w:rsidRPr="004F29AA" w:rsidRDefault="007F2D50" w:rsidP="007F2D50"/>
    <w:p w:rsidR="007F2D50" w:rsidRPr="004F29AA" w:rsidRDefault="007F2D50" w:rsidP="000A100A">
      <w:pPr>
        <w:pStyle w:val="ListParagraph"/>
        <w:widowControl/>
        <w:numPr>
          <w:ilvl w:val="1"/>
          <w:numId w:val="1"/>
        </w:numPr>
        <w:rPr>
          <w:szCs w:val="22"/>
        </w:rPr>
      </w:pPr>
      <w:r w:rsidRPr="004F29AA">
        <w:t>The submission proposed</w:t>
      </w:r>
      <w:r w:rsidR="0029459B" w:rsidRPr="004F29AA">
        <w:t xml:space="preserve"> that blinatumomab w</w:t>
      </w:r>
      <w:r w:rsidRPr="004F29AA">
        <w:t>ould be provided as</w:t>
      </w:r>
      <w:r w:rsidR="0029459B" w:rsidRPr="004F29AA">
        <w:t xml:space="preserve"> an</w:t>
      </w:r>
      <w:r w:rsidRPr="004F29AA">
        <w:t xml:space="preserve"> inpatient </w:t>
      </w:r>
      <w:r w:rsidR="0029459B" w:rsidRPr="004F29AA">
        <w:t>and as an</w:t>
      </w:r>
      <w:r w:rsidRPr="004F29AA">
        <w:t xml:space="preserve"> outpatient. In the first cycle, patients should be an inpatient for at least nine days, and for the second cycle, for at least two days. </w:t>
      </w:r>
      <w:r w:rsidR="00355828" w:rsidRPr="004F29AA">
        <w:t>This is due to the risk of uncommon neurologic events, which have a media</w:t>
      </w:r>
      <w:r w:rsidR="006070F4" w:rsidRPr="004F29AA">
        <w:t>n onset time of nine days, and cytokine release s</w:t>
      </w:r>
      <w:r w:rsidR="00355828" w:rsidRPr="004F29AA">
        <w:t xml:space="preserve">yndrome, which has a median onset </w:t>
      </w:r>
      <w:r w:rsidR="00246C40" w:rsidRPr="004F29AA">
        <w:t xml:space="preserve">time </w:t>
      </w:r>
      <w:r w:rsidR="00355828" w:rsidRPr="004F29AA">
        <w:t xml:space="preserve">of two days. </w:t>
      </w:r>
      <w:r w:rsidRPr="004F29AA">
        <w:t>The submission considered that it would follow the precedence of eculizumab</w:t>
      </w:r>
      <w:r w:rsidR="002D0F4A" w:rsidRPr="004F29AA">
        <w:t xml:space="preserve"> for the treatment of atypical </w:t>
      </w:r>
      <w:r w:rsidR="00F73568" w:rsidRPr="004F29AA">
        <w:t>h</w:t>
      </w:r>
      <w:r w:rsidR="002D0F4A" w:rsidRPr="004F29AA">
        <w:t xml:space="preserve">aemolytic </w:t>
      </w:r>
      <w:r w:rsidR="00F73568" w:rsidRPr="004F29AA">
        <w:t>u</w:t>
      </w:r>
      <w:r w:rsidR="002D0F4A" w:rsidRPr="004F29AA">
        <w:t xml:space="preserve">raemic </w:t>
      </w:r>
      <w:r w:rsidR="00F73568" w:rsidRPr="004F29AA">
        <w:t>s</w:t>
      </w:r>
      <w:r w:rsidR="002D0F4A" w:rsidRPr="004F29AA">
        <w:t>yndrome</w:t>
      </w:r>
      <w:r w:rsidR="00B70394" w:rsidRPr="004F29AA">
        <w:t>,</w:t>
      </w:r>
      <w:r w:rsidRPr="004F29AA">
        <w:t xml:space="preserve"> </w:t>
      </w:r>
      <w:r w:rsidR="004B677C" w:rsidRPr="004F29AA">
        <w:t xml:space="preserve">the only </w:t>
      </w:r>
      <w:r w:rsidR="00A31FF8" w:rsidRPr="004F29AA">
        <w:t xml:space="preserve">PBS </w:t>
      </w:r>
      <w:r w:rsidR="004B677C" w:rsidRPr="004F29AA">
        <w:t xml:space="preserve">item </w:t>
      </w:r>
      <w:r w:rsidR="00246C40" w:rsidRPr="004F29AA">
        <w:t xml:space="preserve">which </w:t>
      </w:r>
      <w:r w:rsidRPr="004F29AA">
        <w:t xml:space="preserve">is also provided to inpatients. </w:t>
      </w:r>
    </w:p>
    <w:p w:rsidR="00F73568" w:rsidRPr="004F29AA" w:rsidRDefault="00F73568" w:rsidP="009B6367">
      <w:pPr>
        <w:pStyle w:val="ListParagraph"/>
        <w:widowControl/>
        <w:rPr>
          <w:szCs w:val="22"/>
        </w:rPr>
      </w:pPr>
    </w:p>
    <w:p w:rsidR="004B677C" w:rsidRPr="004F29AA" w:rsidRDefault="004B677C" w:rsidP="000A100A">
      <w:pPr>
        <w:pStyle w:val="ListParagraph"/>
        <w:widowControl/>
        <w:numPr>
          <w:ilvl w:val="1"/>
          <w:numId w:val="1"/>
        </w:numPr>
        <w:rPr>
          <w:szCs w:val="22"/>
        </w:rPr>
      </w:pPr>
      <w:r w:rsidRPr="004F29AA">
        <w:t>The submission used three arguments to support their case</w:t>
      </w:r>
      <w:r w:rsidR="00F73568" w:rsidRPr="004F29AA">
        <w:t xml:space="preserve"> for requesting funding in the inpatient hospital setting.</w:t>
      </w:r>
    </w:p>
    <w:p w:rsidR="004B677C" w:rsidRPr="004F29AA" w:rsidRDefault="004B677C" w:rsidP="000A100A">
      <w:pPr>
        <w:pStyle w:val="ListParagraph"/>
        <w:widowControl/>
        <w:numPr>
          <w:ilvl w:val="3"/>
          <w:numId w:val="1"/>
        </w:numPr>
        <w:ind w:hanging="371"/>
        <w:rPr>
          <w:szCs w:val="22"/>
        </w:rPr>
      </w:pPr>
      <w:r w:rsidRPr="004F29AA">
        <w:rPr>
          <w:szCs w:val="22"/>
        </w:rPr>
        <w:t>Relapsed or refractory ALL patients are either hospitalised when therapy is commenced or are admitted to hospital for initiation of treatment</w:t>
      </w:r>
      <w:r w:rsidR="00F73568" w:rsidRPr="004F29AA">
        <w:rPr>
          <w:szCs w:val="22"/>
        </w:rPr>
        <w:t>.</w:t>
      </w:r>
    </w:p>
    <w:p w:rsidR="004B677C" w:rsidRPr="004F29AA" w:rsidRDefault="004B677C" w:rsidP="000A100A">
      <w:pPr>
        <w:pStyle w:val="ListParagraph"/>
        <w:widowControl/>
        <w:numPr>
          <w:ilvl w:val="3"/>
          <w:numId w:val="1"/>
        </w:numPr>
        <w:ind w:hanging="371"/>
        <w:rPr>
          <w:szCs w:val="22"/>
        </w:rPr>
      </w:pPr>
      <w:r w:rsidRPr="004F29AA">
        <w:rPr>
          <w:szCs w:val="22"/>
        </w:rPr>
        <w:t>The high cost of blinatumomab means that treatment according to the submission would be highly unlikely to be funded by the hospitals</w:t>
      </w:r>
      <w:r w:rsidR="00F73568" w:rsidRPr="004F29AA">
        <w:rPr>
          <w:szCs w:val="22"/>
        </w:rPr>
        <w:t>.</w:t>
      </w:r>
    </w:p>
    <w:p w:rsidR="004971D4" w:rsidRPr="004F29AA" w:rsidRDefault="004B677C" w:rsidP="00964A10">
      <w:pPr>
        <w:pStyle w:val="ListParagraph"/>
        <w:widowControl/>
        <w:numPr>
          <w:ilvl w:val="3"/>
          <w:numId w:val="1"/>
        </w:numPr>
        <w:ind w:hanging="371"/>
        <w:rPr>
          <w:i/>
          <w:szCs w:val="22"/>
        </w:rPr>
      </w:pPr>
      <w:r w:rsidRPr="004F29AA">
        <w:rPr>
          <w:szCs w:val="22"/>
        </w:rPr>
        <w:t>The current mechanisms and/or framework for provision of high cost PBS reimbursed chemotherapy through the outpatient setting would not be practical with blinatumomab nor would it provide quality use of medicine.</w:t>
      </w:r>
      <w:r w:rsidR="009A364E" w:rsidRPr="004F29AA">
        <w:rPr>
          <w:szCs w:val="22"/>
        </w:rPr>
        <w:t xml:space="preserve"> According to the </w:t>
      </w:r>
      <w:r w:rsidR="00B32030" w:rsidRPr="004F29AA">
        <w:rPr>
          <w:szCs w:val="22"/>
        </w:rPr>
        <w:t>submission</w:t>
      </w:r>
      <w:r w:rsidR="009A364E" w:rsidRPr="004F29AA">
        <w:rPr>
          <w:szCs w:val="22"/>
        </w:rPr>
        <w:t>, monitoring for toxicities over the initial treatment periods should be conducted continuously.</w:t>
      </w:r>
      <w:r w:rsidR="00964A10" w:rsidRPr="004F29AA">
        <w:rPr>
          <w:i/>
          <w:szCs w:val="22"/>
        </w:rPr>
        <w:t xml:space="preserve"> </w:t>
      </w:r>
    </w:p>
    <w:p w:rsidR="004971D4" w:rsidRPr="004F29AA" w:rsidRDefault="004971D4" w:rsidP="000A100A">
      <w:pPr>
        <w:pStyle w:val="ListParagraph"/>
        <w:widowControl/>
        <w:numPr>
          <w:ilvl w:val="1"/>
          <w:numId w:val="1"/>
        </w:numPr>
      </w:pPr>
      <w:r w:rsidRPr="004F29AA">
        <w:rPr>
          <w:szCs w:val="22"/>
        </w:rPr>
        <w:lastRenderedPageBreak/>
        <w:t>While eculizumab for atypical haemolytic uraemic syndrome</w:t>
      </w:r>
      <w:r w:rsidR="00035BB9" w:rsidRPr="004F29AA">
        <w:rPr>
          <w:szCs w:val="22"/>
        </w:rPr>
        <w:t xml:space="preserve"> (aHUS)</w:t>
      </w:r>
      <w:r w:rsidRPr="004F29AA">
        <w:rPr>
          <w:szCs w:val="22"/>
        </w:rPr>
        <w:t xml:space="preserve"> is subsidised in the inpatient setting (</w:t>
      </w:r>
      <w:r w:rsidR="00BA2239" w:rsidRPr="004F29AA">
        <w:rPr>
          <w:szCs w:val="22"/>
        </w:rPr>
        <w:t>P</w:t>
      </w:r>
      <w:r w:rsidRPr="004F29AA">
        <w:rPr>
          <w:szCs w:val="22"/>
        </w:rPr>
        <w:t xml:space="preserve">ublic </w:t>
      </w:r>
      <w:r w:rsidR="00BA2239" w:rsidRPr="004F29AA">
        <w:rPr>
          <w:szCs w:val="22"/>
        </w:rPr>
        <w:t>S</w:t>
      </w:r>
      <w:r w:rsidRPr="004F29AA">
        <w:rPr>
          <w:szCs w:val="22"/>
        </w:rPr>
        <w:t xml:space="preserve">ummary </w:t>
      </w:r>
      <w:r w:rsidR="00BA2239" w:rsidRPr="004F29AA">
        <w:rPr>
          <w:szCs w:val="22"/>
        </w:rPr>
        <w:t>D</w:t>
      </w:r>
      <w:r w:rsidRPr="004F29AA">
        <w:rPr>
          <w:szCs w:val="22"/>
        </w:rPr>
        <w:t>ocument July 2014), infliximab for the treatment of patients with acute ulcerative colitis (</w:t>
      </w:r>
      <w:r w:rsidR="00BA2239" w:rsidRPr="004F29AA">
        <w:rPr>
          <w:szCs w:val="22"/>
        </w:rPr>
        <w:t>P</w:t>
      </w:r>
      <w:r w:rsidRPr="004F29AA">
        <w:rPr>
          <w:szCs w:val="22"/>
        </w:rPr>
        <w:t xml:space="preserve">ublic </w:t>
      </w:r>
      <w:r w:rsidR="00BA2239" w:rsidRPr="004F29AA">
        <w:rPr>
          <w:szCs w:val="22"/>
        </w:rPr>
        <w:t>S</w:t>
      </w:r>
      <w:r w:rsidRPr="004F29AA">
        <w:rPr>
          <w:szCs w:val="22"/>
        </w:rPr>
        <w:t xml:space="preserve">ummary </w:t>
      </w:r>
      <w:r w:rsidR="00BA2239" w:rsidRPr="004F29AA">
        <w:rPr>
          <w:szCs w:val="22"/>
        </w:rPr>
        <w:t>D</w:t>
      </w:r>
      <w:r w:rsidRPr="004F29AA">
        <w:rPr>
          <w:szCs w:val="22"/>
        </w:rPr>
        <w:t>ocument, November 2013) is not subsidised in the inpatient setting</w:t>
      </w:r>
      <w:r w:rsidR="00446CD8" w:rsidRPr="004F29AA">
        <w:rPr>
          <w:szCs w:val="22"/>
        </w:rPr>
        <w:t xml:space="preserve">, even though treatment is </w:t>
      </w:r>
      <w:r w:rsidR="00446CD8" w:rsidRPr="004F29AA">
        <w:t>provided to inpatients in the first cycle</w:t>
      </w:r>
      <w:r w:rsidRPr="004F29AA">
        <w:rPr>
          <w:szCs w:val="22"/>
        </w:rPr>
        <w:t>. Both examples could be relevant for the consideration of whether blinatumomab should be provided in the inpatient setting.</w:t>
      </w:r>
      <w:r w:rsidR="006A085E" w:rsidRPr="004F29AA">
        <w:rPr>
          <w:szCs w:val="22"/>
        </w:rPr>
        <w:t xml:space="preserve"> The P</w:t>
      </w:r>
      <w:r w:rsidR="0052120D" w:rsidRPr="004F29AA">
        <w:rPr>
          <w:szCs w:val="22"/>
        </w:rPr>
        <w:t>re-</w:t>
      </w:r>
      <w:r w:rsidR="006A085E" w:rsidRPr="004F29AA">
        <w:rPr>
          <w:szCs w:val="22"/>
        </w:rPr>
        <w:t>S</w:t>
      </w:r>
      <w:r w:rsidR="0052120D" w:rsidRPr="004F29AA">
        <w:rPr>
          <w:szCs w:val="22"/>
        </w:rPr>
        <w:t>ub-</w:t>
      </w:r>
      <w:r w:rsidR="006A085E" w:rsidRPr="004F29AA">
        <w:rPr>
          <w:szCs w:val="22"/>
        </w:rPr>
        <w:t>C</w:t>
      </w:r>
      <w:r w:rsidR="0052120D" w:rsidRPr="004F29AA">
        <w:rPr>
          <w:szCs w:val="22"/>
        </w:rPr>
        <w:t xml:space="preserve">ommittee </w:t>
      </w:r>
      <w:r w:rsidR="006A085E" w:rsidRPr="004F29AA">
        <w:rPr>
          <w:szCs w:val="22"/>
        </w:rPr>
        <w:t>R</w:t>
      </w:r>
      <w:r w:rsidR="0052120D" w:rsidRPr="004F29AA">
        <w:rPr>
          <w:szCs w:val="22"/>
        </w:rPr>
        <w:t>esponse</w:t>
      </w:r>
      <w:r w:rsidR="006A085E" w:rsidRPr="004F29AA">
        <w:rPr>
          <w:szCs w:val="22"/>
        </w:rPr>
        <w:t xml:space="preserve"> (</w:t>
      </w:r>
      <w:r w:rsidR="0052120D" w:rsidRPr="004F29AA">
        <w:rPr>
          <w:szCs w:val="22"/>
        </w:rPr>
        <w:t xml:space="preserve">PSCR, </w:t>
      </w:r>
      <w:r w:rsidR="006A085E" w:rsidRPr="004F29AA">
        <w:rPr>
          <w:szCs w:val="22"/>
        </w:rPr>
        <w:t xml:space="preserve">p1) argues that </w:t>
      </w:r>
      <w:r w:rsidR="00035BB9" w:rsidRPr="004F29AA">
        <w:rPr>
          <w:szCs w:val="22"/>
        </w:rPr>
        <w:t xml:space="preserve">whilst </w:t>
      </w:r>
      <w:r w:rsidR="006A085E" w:rsidRPr="004F29AA">
        <w:rPr>
          <w:szCs w:val="22"/>
        </w:rPr>
        <w:t xml:space="preserve">infliximab </w:t>
      </w:r>
      <w:r w:rsidR="00035BB9" w:rsidRPr="004F29AA">
        <w:rPr>
          <w:szCs w:val="22"/>
        </w:rPr>
        <w:t>is for admitted patients,</w:t>
      </w:r>
      <w:r w:rsidR="006A085E" w:rsidRPr="004F29AA">
        <w:rPr>
          <w:szCs w:val="22"/>
        </w:rPr>
        <w:t xml:space="preserve"> acute ulcerative colitis is </w:t>
      </w:r>
      <w:r w:rsidR="00035BB9" w:rsidRPr="004F29AA">
        <w:rPr>
          <w:szCs w:val="22"/>
        </w:rPr>
        <w:t xml:space="preserve">a non-fatal disease and that relapsed or refractory ALL and aHUS are far more comparable. </w:t>
      </w:r>
    </w:p>
    <w:p w:rsidR="002445DB" w:rsidRPr="004F29AA" w:rsidRDefault="002445DB" w:rsidP="009F06CC">
      <w:pPr>
        <w:pStyle w:val="ListParagraph"/>
        <w:widowControl/>
      </w:pPr>
    </w:p>
    <w:p w:rsidR="002445DB" w:rsidRPr="004F29AA" w:rsidRDefault="002445DB" w:rsidP="000A100A">
      <w:pPr>
        <w:pStyle w:val="ListParagraph"/>
        <w:widowControl/>
        <w:numPr>
          <w:ilvl w:val="1"/>
          <w:numId w:val="1"/>
        </w:numPr>
      </w:pPr>
      <w:r w:rsidRPr="004F29AA">
        <w:t>The cost for the first nine days of the first cycle of blinatumomab would be $</w:t>
      </w:r>
      <w:r w:rsidR="001503CE">
        <w:rPr>
          <w:noProof/>
          <w:color w:val="000000"/>
          <w:highlight w:val="black"/>
        </w:rPr>
        <w:t>''''''''''''''''''</w:t>
      </w:r>
      <w:r w:rsidRPr="004F29AA">
        <w:t xml:space="preserve"> (assuming dosage requires four vials; the cost would be $</w:t>
      </w:r>
      <w:r w:rsidR="001503CE">
        <w:rPr>
          <w:noProof/>
          <w:color w:val="000000"/>
          <w:highlight w:val="black"/>
        </w:rPr>
        <w:t>''''''''''''''''</w:t>
      </w:r>
      <w:r w:rsidRPr="004F29AA">
        <w:t xml:space="preserve"> if one vial per day was used) and $</w:t>
      </w:r>
      <w:r w:rsidR="001503CE">
        <w:rPr>
          <w:noProof/>
          <w:color w:val="000000"/>
          <w:highlight w:val="black"/>
        </w:rPr>
        <w:t>'''''''''''''</w:t>
      </w:r>
      <w:r w:rsidRPr="004F29AA">
        <w:t xml:space="preserve"> for two days of the second cycle (two vials). This would be offset for the hospitals by patients having a shorter length of stay compared to standard of care treatments</w:t>
      </w:r>
      <w:r w:rsidRPr="004F29AA">
        <w:rPr>
          <w:i/>
        </w:rPr>
        <w:t>.</w:t>
      </w:r>
    </w:p>
    <w:p w:rsidR="007F2D50" w:rsidRPr="004F29AA" w:rsidRDefault="007F2D50" w:rsidP="007F2D50">
      <w:pPr>
        <w:pStyle w:val="ListParagraph"/>
        <w:widowControl/>
        <w:rPr>
          <w:szCs w:val="22"/>
        </w:rPr>
      </w:pPr>
    </w:p>
    <w:p w:rsidR="007F2D50" w:rsidRPr="004F29AA" w:rsidRDefault="007F2D50" w:rsidP="000A100A">
      <w:pPr>
        <w:pStyle w:val="ListParagraph"/>
        <w:widowControl/>
        <w:numPr>
          <w:ilvl w:val="1"/>
          <w:numId w:val="1"/>
        </w:numPr>
        <w:rPr>
          <w:szCs w:val="22"/>
        </w:rPr>
      </w:pPr>
      <w:r w:rsidRPr="004F29AA">
        <w:rPr>
          <w:szCs w:val="22"/>
        </w:rPr>
        <w:t>The</w:t>
      </w:r>
      <w:r w:rsidR="00644646" w:rsidRPr="004F29AA">
        <w:rPr>
          <w:szCs w:val="22"/>
        </w:rPr>
        <w:t xml:space="preserve"> submission proposed a three</w:t>
      </w:r>
      <w:r w:rsidR="00D65D1B" w:rsidRPr="004F29AA">
        <w:rPr>
          <w:szCs w:val="22"/>
        </w:rPr>
        <w:t>-</w:t>
      </w:r>
      <w:r w:rsidR="00644646" w:rsidRPr="004F29AA">
        <w:rPr>
          <w:szCs w:val="22"/>
        </w:rPr>
        <w:t xml:space="preserve">part listing: initiation, first continuation and second continuation. The </w:t>
      </w:r>
      <w:r w:rsidRPr="004F29AA">
        <w:rPr>
          <w:szCs w:val="22"/>
        </w:rPr>
        <w:t>treatment aim of blinatumomab is to achieve a complete re</w:t>
      </w:r>
      <w:r w:rsidR="002D0F4A" w:rsidRPr="004F29AA">
        <w:rPr>
          <w:szCs w:val="22"/>
        </w:rPr>
        <w:t>mission</w:t>
      </w:r>
      <w:r w:rsidRPr="004F29AA">
        <w:rPr>
          <w:szCs w:val="22"/>
        </w:rPr>
        <w:t xml:space="preserve">, </w:t>
      </w:r>
      <w:r w:rsidR="00355828" w:rsidRPr="004F29AA">
        <w:rPr>
          <w:szCs w:val="22"/>
        </w:rPr>
        <w:t>which improves eligibility for pa</w:t>
      </w:r>
      <w:r w:rsidRPr="004F29AA">
        <w:rPr>
          <w:szCs w:val="22"/>
        </w:rPr>
        <w:t xml:space="preserve">tients to </w:t>
      </w:r>
      <w:r w:rsidR="00355828" w:rsidRPr="004F29AA">
        <w:rPr>
          <w:szCs w:val="22"/>
        </w:rPr>
        <w:t xml:space="preserve">receive </w:t>
      </w:r>
      <w:r w:rsidRPr="004F29AA">
        <w:rPr>
          <w:szCs w:val="22"/>
        </w:rPr>
        <w:t xml:space="preserve">allogeneic </w:t>
      </w:r>
      <w:r w:rsidR="00120EE1" w:rsidRPr="004F29AA">
        <w:rPr>
          <w:szCs w:val="22"/>
        </w:rPr>
        <w:t>haematopoietic stem cell transplant (</w:t>
      </w:r>
      <w:r w:rsidRPr="004F29AA">
        <w:rPr>
          <w:szCs w:val="22"/>
        </w:rPr>
        <w:t>HSCT</w:t>
      </w:r>
      <w:r w:rsidR="00120EE1" w:rsidRPr="004F29AA">
        <w:rPr>
          <w:szCs w:val="22"/>
        </w:rPr>
        <w:t>)</w:t>
      </w:r>
      <w:r w:rsidRPr="004F29AA">
        <w:rPr>
          <w:szCs w:val="22"/>
        </w:rPr>
        <w:t xml:space="preserve">. The </w:t>
      </w:r>
      <w:r w:rsidR="00644646" w:rsidRPr="004F29AA">
        <w:rPr>
          <w:szCs w:val="22"/>
        </w:rPr>
        <w:t>second continuation listing is for patients who achieve a response and are ineligible or awaiting HSCT.</w:t>
      </w:r>
      <w:r w:rsidRPr="004F29AA">
        <w:rPr>
          <w:szCs w:val="22"/>
        </w:rPr>
        <w:t xml:space="preserve"> The submission considered that the majority of the patients would not receive the full five treatment cycles. </w:t>
      </w:r>
    </w:p>
    <w:p w:rsidR="000238C9" w:rsidRPr="004F29AA" w:rsidRDefault="000238C9" w:rsidP="000238C9">
      <w:pPr>
        <w:pStyle w:val="ListParagraph"/>
        <w:rPr>
          <w:szCs w:val="22"/>
        </w:rPr>
      </w:pPr>
    </w:p>
    <w:p w:rsidR="000238C9" w:rsidRPr="004F29AA" w:rsidRDefault="000238C9" w:rsidP="000A100A">
      <w:pPr>
        <w:pStyle w:val="ListParagraph"/>
        <w:widowControl/>
        <w:numPr>
          <w:ilvl w:val="1"/>
          <w:numId w:val="1"/>
        </w:numPr>
        <w:rPr>
          <w:szCs w:val="22"/>
        </w:rPr>
      </w:pPr>
      <w:r w:rsidRPr="004F29AA">
        <w:t>It was unclear whether blinatumomab would be recommended for retreatment following relapse. The pivotal study, MT103-211, allowed retreatment with blinatumomab after haematological relapse during the follow-up period, however, the National Comprehensive Cancer Network (NCCN) guidelines (Version 2.2014), state that for a relapsed or refractory patient, use of a different regimen not previously used is advised, which would imply no further treatment with blinatumomab. Retreatment was not considered in the economic model or financial estimates.</w:t>
      </w:r>
      <w:r w:rsidRPr="004F29AA">
        <w:rPr>
          <w:b/>
        </w:rPr>
        <w:t xml:space="preserve"> </w:t>
      </w:r>
      <w:r w:rsidRPr="004F29AA">
        <w:t>The PSCR (p2) noted that the proposed listing does not prohibit retreatment with blinatumomab but the sponsor would welcome advice from the PBAC in this regard.</w:t>
      </w:r>
    </w:p>
    <w:p w:rsidR="007F2D50" w:rsidRPr="004F29AA" w:rsidRDefault="007F2D50" w:rsidP="007F2D50">
      <w:pPr>
        <w:pStyle w:val="ListParagraph"/>
        <w:widowControl/>
        <w:rPr>
          <w:szCs w:val="22"/>
        </w:rPr>
      </w:pPr>
    </w:p>
    <w:p w:rsidR="00964A10" w:rsidRDefault="007F2D50" w:rsidP="00964A10">
      <w:pPr>
        <w:pStyle w:val="ListParagraph"/>
        <w:widowControl/>
        <w:numPr>
          <w:ilvl w:val="1"/>
          <w:numId w:val="1"/>
        </w:numPr>
        <w:rPr>
          <w:szCs w:val="22"/>
        </w:rPr>
      </w:pPr>
      <w:r w:rsidRPr="004F29AA">
        <w:rPr>
          <w:szCs w:val="22"/>
        </w:rPr>
        <w:t>The submission presented a cost-utility analysis compared to standard of care chemotherapy (represented in the economic model and financial estimates by FLAG (fludarabine, cytarabine, granulocyte-colony stimulating factor) + idarubicin.</w:t>
      </w:r>
    </w:p>
    <w:p w:rsidR="00964A10" w:rsidRPr="00964A10" w:rsidRDefault="00964A10" w:rsidP="00964A10">
      <w:pPr>
        <w:pStyle w:val="ListParagraph"/>
        <w:rPr>
          <w:i/>
          <w:szCs w:val="22"/>
        </w:rPr>
      </w:pPr>
    </w:p>
    <w:p w:rsidR="007F2D50" w:rsidRPr="004F29AA" w:rsidRDefault="00964A10" w:rsidP="00964A10">
      <w:pPr>
        <w:pStyle w:val="ListParagraph"/>
        <w:widowControl/>
        <w:rPr>
          <w:szCs w:val="22"/>
        </w:rPr>
      </w:pPr>
      <w:r w:rsidRPr="004F29AA">
        <w:rPr>
          <w:i/>
          <w:szCs w:val="22"/>
        </w:rPr>
        <w:t xml:space="preserve"> </w:t>
      </w:r>
      <w:r w:rsidR="00B86AB4" w:rsidRPr="004F29AA">
        <w:rPr>
          <w:i/>
          <w:szCs w:val="22"/>
        </w:rPr>
        <w:t>For more detail on PBAC’s view, see section 7 “PBAC outcome”</w:t>
      </w:r>
    </w:p>
    <w:p w:rsidR="007F2D50" w:rsidRPr="004F29AA" w:rsidRDefault="007F2D50" w:rsidP="007F2D50"/>
    <w:p w:rsidR="007F2D50" w:rsidRPr="004F29AA" w:rsidRDefault="007F2D50" w:rsidP="007F2D50">
      <w:pPr>
        <w:pStyle w:val="PBACHeading1"/>
        <w:ind w:left="0" w:firstLine="0"/>
      </w:pPr>
      <w:bookmarkStart w:id="6" w:name="_Toc426958207"/>
      <w:bookmarkStart w:id="7" w:name="_Toc430079464"/>
      <w:r w:rsidRPr="004F29AA">
        <w:t>Background</w:t>
      </w:r>
      <w:bookmarkEnd w:id="6"/>
      <w:bookmarkEnd w:id="7"/>
    </w:p>
    <w:p w:rsidR="007F2D50" w:rsidRPr="004F29AA" w:rsidRDefault="007F2D50" w:rsidP="007F2D50">
      <w:pPr>
        <w:rPr>
          <w:szCs w:val="22"/>
        </w:rPr>
      </w:pPr>
    </w:p>
    <w:p w:rsidR="007F2D50" w:rsidRPr="004F29AA" w:rsidRDefault="009D5678" w:rsidP="000A100A">
      <w:pPr>
        <w:pStyle w:val="ListParagraph"/>
        <w:widowControl/>
        <w:numPr>
          <w:ilvl w:val="1"/>
          <w:numId w:val="1"/>
        </w:numPr>
      </w:pPr>
      <w:r w:rsidRPr="004F29AA">
        <w:rPr>
          <w:szCs w:val="22"/>
        </w:rPr>
        <w:t>B</w:t>
      </w:r>
      <w:r w:rsidR="007F2D50" w:rsidRPr="004F29AA">
        <w:rPr>
          <w:szCs w:val="22"/>
        </w:rPr>
        <w:t>linatumomab was granted orphan designation by the TGA for the treatment of B-precursor A</w:t>
      </w:r>
      <w:r w:rsidRPr="004F29AA">
        <w:rPr>
          <w:szCs w:val="22"/>
        </w:rPr>
        <w:t xml:space="preserve">cute </w:t>
      </w:r>
      <w:r w:rsidR="007F2D50" w:rsidRPr="004F29AA">
        <w:rPr>
          <w:szCs w:val="22"/>
        </w:rPr>
        <w:t>L</w:t>
      </w:r>
      <w:r w:rsidRPr="004F29AA">
        <w:rPr>
          <w:szCs w:val="22"/>
        </w:rPr>
        <w:t xml:space="preserve">ymphoblastic </w:t>
      </w:r>
      <w:r w:rsidR="007F2D50" w:rsidRPr="004F29AA">
        <w:rPr>
          <w:szCs w:val="22"/>
        </w:rPr>
        <w:t>L</w:t>
      </w:r>
      <w:r w:rsidRPr="004F29AA">
        <w:rPr>
          <w:szCs w:val="22"/>
        </w:rPr>
        <w:t>eukaemia (ALL)</w:t>
      </w:r>
      <w:r w:rsidR="007F2D50" w:rsidRPr="004F29AA">
        <w:rPr>
          <w:szCs w:val="22"/>
        </w:rPr>
        <w:t xml:space="preserve"> in November 2013.</w:t>
      </w:r>
      <w:r w:rsidRPr="004F29AA">
        <w:rPr>
          <w:szCs w:val="22"/>
        </w:rPr>
        <w:t xml:space="preserve"> </w:t>
      </w:r>
    </w:p>
    <w:p w:rsidR="00355828" w:rsidRPr="004F29AA" w:rsidRDefault="00355828" w:rsidP="007F2D50">
      <w:pPr>
        <w:pStyle w:val="ListParagraph"/>
        <w:widowControl/>
        <w:rPr>
          <w:highlight w:val="yellow"/>
        </w:rPr>
      </w:pPr>
    </w:p>
    <w:p w:rsidR="00BA2239" w:rsidRPr="004F29AA" w:rsidRDefault="004971D4" w:rsidP="000A100A">
      <w:pPr>
        <w:pStyle w:val="ListParagraph"/>
        <w:widowControl/>
        <w:numPr>
          <w:ilvl w:val="1"/>
          <w:numId w:val="1"/>
        </w:numPr>
      </w:pPr>
      <w:r w:rsidRPr="004F29AA">
        <w:t xml:space="preserve">This submission was made under TGA/PBAC Parallel Process. At the time of </w:t>
      </w:r>
      <w:r w:rsidR="00BA2239" w:rsidRPr="004F29AA">
        <w:t>evaluation</w:t>
      </w:r>
      <w:r w:rsidRPr="004F29AA">
        <w:t xml:space="preserve">, the clinical evaluation report was available. Blinatumomab </w:t>
      </w:r>
      <w:r w:rsidR="0052120D" w:rsidRPr="004F29AA">
        <w:t>wa</w:t>
      </w:r>
      <w:r w:rsidRPr="004F29AA">
        <w:t>s scheduled for consideration by the TGA at the December 2015 Advisory Committee on Prescription Medicines (ACPM) meeting for the treatment of</w:t>
      </w:r>
      <w:r w:rsidR="0052120D" w:rsidRPr="004F29AA">
        <w:t xml:space="preserve"> a</w:t>
      </w:r>
      <w:r w:rsidR="007F2D50" w:rsidRPr="004F29AA">
        <w:t>dults with Philadelphia chromosome-negative relapsed or refractory B-precursor acute lymphoblastic leukaemia</w:t>
      </w:r>
      <w:r w:rsidR="0052120D" w:rsidRPr="004F29AA">
        <w:t>, however b</w:t>
      </w:r>
      <w:r w:rsidR="00BA2239" w:rsidRPr="004F29AA">
        <w:t>linatumomab received a positive TGA Delegate’s Overview in October 2015</w:t>
      </w:r>
      <w:r w:rsidR="0052120D" w:rsidRPr="004F29AA">
        <w:t xml:space="preserve"> and at that time, t</w:t>
      </w:r>
      <w:r w:rsidR="00BA2239" w:rsidRPr="004F29AA">
        <w:t xml:space="preserve">he Delegate </w:t>
      </w:r>
      <w:r w:rsidR="0052120D" w:rsidRPr="004F29AA">
        <w:t xml:space="preserve">advised that it </w:t>
      </w:r>
      <w:r w:rsidR="00BA2239" w:rsidRPr="004F29AA">
        <w:t xml:space="preserve">did not </w:t>
      </w:r>
      <w:r w:rsidR="0052120D" w:rsidRPr="004F29AA">
        <w:t xml:space="preserve">require </w:t>
      </w:r>
      <w:r w:rsidR="00BA2239" w:rsidRPr="004F29AA">
        <w:t xml:space="preserve">the advice </w:t>
      </w:r>
      <w:r w:rsidR="00BA2239" w:rsidRPr="004F29AA">
        <w:lastRenderedPageBreak/>
        <w:t>of the ACPM</w:t>
      </w:r>
      <w:r w:rsidR="0052120D" w:rsidRPr="004F29AA">
        <w:t>. As such,</w:t>
      </w:r>
      <w:r w:rsidR="00286B41" w:rsidRPr="004F29AA">
        <w:t xml:space="preserve"> blinatumomab </w:t>
      </w:r>
      <w:r w:rsidR="001A0323" w:rsidRPr="004F29AA">
        <w:t xml:space="preserve">will be </w:t>
      </w:r>
      <w:r w:rsidR="00286B41" w:rsidRPr="004F29AA">
        <w:t>listed on the ARTG</w:t>
      </w:r>
      <w:r w:rsidR="001A0323" w:rsidRPr="004F29AA">
        <w:t xml:space="preserve"> subject to agreement on the finalised Product Information</w:t>
      </w:r>
      <w:r w:rsidR="00286B41" w:rsidRPr="004F29AA">
        <w:t xml:space="preserve">. </w:t>
      </w:r>
    </w:p>
    <w:p w:rsidR="007F2D50" w:rsidRPr="004F29AA" w:rsidRDefault="007F2D50" w:rsidP="007F2D50">
      <w:pPr>
        <w:pStyle w:val="ListParagraph"/>
        <w:rPr>
          <w:szCs w:val="22"/>
        </w:rPr>
      </w:pPr>
    </w:p>
    <w:p w:rsidR="007F2D50" w:rsidRPr="004F29AA" w:rsidRDefault="007F2D50" w:rsidP="000A100A">
      <w:pPr>
        <w:pStyle w:val="ListParagraph"/>
        <w:widowControl/>
        <w:numPr>
          <w:ilvl w:val="1"/>
          <w:numId w:val="1"/>
        </w:numPr>
      </w:pPr>
      <w:r w:rsidRPr="004F29AA">
        <w:rPr>
          <w:szCs w:val="22"/>
        </w:rPr>
        <w:t>Blinatumomab had not been considered by PBAC previously.</w:t>
      </w:r>
    </w:p>
    <w:p w:rsidR="007F2D50" w:rsidRPr="004F29AA" w:rsidRDefault="007F2D50" w:rsidP="007F2D50"/>
    <w:p w:rsidR="00B86AB4" w:rsidRPr="004F29AA" w:rsidRDefault="00B86AB4" w:rsidP="007F2D50"/>
    <w:p w:rsidR="007F2D50" w:rsidRPr="004F29AA" w:rsidRDefault="007F2D50" w:rsidP="007F2D50">
      <w:pPr>
        <w:pStyle w:val="PBACHeading1"/>
        <w:ind w:left="0" w:firstLine="0"/>
      </w:pPr>
      <w:bookmarkStart w:id="8" w:name="_Toc426958208"/>
      <w:bookmarkStart w:id="9" w:name="_Toc430079465"/>
      <w:r w:rsidRPr="004F29AA">
        <w:t>Clinical place for the proposed therapy</w:t>
      </w:r>
      <w:bookmarkEnd w:id="8"/>
      <w:bookmarkEnd w:id="9"/>
    </w:p>
    <w:p w:rsidR="007F2D50" w:rsidRPr="004F29AA" w:rsidRDefault="007F2D50" w:rsidP="007F2D50">
      <w:pPr>
        <w:rPr>
          <w:szCs w:val="22"/>
        </w:rPr>
      </w:pPr>
    </w:p>
    <w:p w:rsidR="007F2D50" w:rsidRPr="004F29AA" w:rsidRDefault="007F2D50" w:rsidP="000A100A">
      <w:pPr>
        <w:pStyle w:val="ListParagraph"/>
        <w:widowControl/>
        <w:numPr>
          <w:ilvl w:val="1"/>
          <w:numId w:val="1"/>
        </w:numPr>
        <w:rPr>
          <w:szCs w:val="22"/>
        </w:rPr>
      </w:pPr>
      <w:r w:rsidRPr="004F29AA">
        <w:t xml:space="preserve">Ph- B-precursor ALL affects the lymphoblasts that are derived from lymphoid stem cells. </w:t>
      </w:r>
      <w:r w:rsidR="005F6A3F" w:rsidRPr="004F29AA">
        <w:t xml:space="preserve">The primary aim of ALL treatment is to induce and maintain remission and allow for an allogeneic </w:t>
      </w:r>
      <w:r w:rsidR="00350511" w:rsidRPr="004F29AA">
        <w:t>HSCT. HSCT is considered the only potential cure for ALL. At</w:t>
      </w:r>
      <w:r w:rsidRPr="004F29AA">
        <w:t xml:space="preserve"> present the only treatment options are investigational combination chemotherapy regimens</w:t>
      </w:r>
      <w:r w:rsidR="00120EE1" w:rsidRPr="004F29AA">
        <w:t xml:space="preserve"> followed by </w:t>
      </w:r>
      <w:r w:rsidR="00E878F6" w:rsidRPr="004F29AA">
        <w:t xml:space="preserve">allogeneic </w:t>
      </w:r>
      <w:r w:rsidR="0054702C" w:rsidRPr="004F29AA">
        <w:t>HSCT, if patients achieve a response</w:t>
      </w:r>
      <w:r w:rsidRPr="004F29AA">
        <w:t xml:space="preserve">. </w:t>
      </w:r>
      <w:r w:rsidR="004631C4" w:rsidRPr="004F29AA">
        <w:t xml:space="preserve">Oriol (2010) </w:t>
      </w:r>
      <w:r w:rsidR="00F73568" w:rsidRPr="004F29AA">
        <w:t xml:space="preserve">reported </w:t>
      </w:r>
      <w:r w:rsidR="004631C4" w:rsidRPr="004F29AA">
        <w:t xml:space="preserve">an overall survival at one year of 24% and at five years of 10%, with </w:t>
      </w:r>
      <w:r w:rsidRPr="004F29AA">
        <w:t>a median age</w:t>
      </w:r>
      <w:r w:rsidR="00B77BEB" w:rsidRPr="004F29AA">
        <w:t xml:space="preserve"> at relapse </w:t>
      </w:r>
      <w:r w:rsidRPr="004F29AA">
        <w:t>of 3</w:t>
      </w:r>
      <w:r w:rsidR="00B77BEB" w:rsidRPr="004F29AA">
        <w:t>3 years.</w:t>
      </w:r>
      <w:r w:rsidRPr="004F29AA">
        <w:t xml:space="preserve"> Blinatumomab is recommended for relapsed or refractory disease. The submission stated that blinatumomab would increase the probability of achieving a complete response</w:t>
      </w:r>
      <w:r w:rsidR="0054702C" w:rsidRPr="004F29AA">
        <w:t xml:space="preserve">, increasing the </w:t>
      </w:r>
      <w:r w:rsidRPr="004F29AA">
        <w:t>proportion</w:t>
      </w:r>
      <w:r w:rsidR="0054702C" w:rsidRPr="004F29AA">
        <w:t xml:space="preserve"> of patients</w:t>
      </w:r>
      <w:r w:rsidRPr="004F29AA">
        <w:t xml:space="preserve"> eligible for allogeneic HSCT.</w:t>
      </w:r>
    </w:p>
    <w:p w:rsidR="007F2D50" w:rsidRPr="004F29AA" w:rsidRDefault="007F2D50" w:rsidP="007F2D50">
      <w:pPr>
        <w:widowControl/>
        <w:rPr>
          <w:szCs w:val="22"/>
        </w:rPr>
      </w:pPr>
    </w:p>
    <w:p w:rsidR="007F2D50" w:rsidRPr="004F29AA" w:rsidRDefault="007F2D50" w:rsidP="000A100A">
      <w:pPr>
        <w:pStyle w:val="ListParagraph"/>
        <w:widowControl/>
        <w:numPr>
          <w:ilvl w:val="1"/>
          <w:numId w:val="1"/>
        </w:numPr>
        <w:rPr>
          <w:szCs w:val="22"/>
        </w:rPr>
      </w:pPr>
      <w:r w:rsidRPr="004F29AA">
        <w:rPr>
          <w:szCs w:val="22"/>
        </w:rPr>
        <w:t>The submission proposed that blinatumomab be used in the treatment of relapsed or refractory Ph- B-precursor ALL patients. It was not indicated for first-line treatment</w:t>
      </w:r>
      <w:r w:rsidRPr="004F29AA">
        <w:rPr>
          <w:color w:val="3366FF"/>
          <w:szCs w:val="22"/>
        </w:rPr>
        <w:t xml:space="preserve">. </w:t>
      </w:r>
    </w:p>
    <w:p w:rsidR="00B86AB4" w:rsidRPr="004F29AA" w:rsidRDefault="00B86AB4" w:rsidP="00B86AB4">
      <w:pPr>
        <w:pStyle w:val="ListParagraph"/>
        <w:rPr>
          <w:szCs w:val="22"/>
        </w:rPr>
      </w:pPr>
    </w:p>
    <w:p w:rsidR="00B86AB4" w:rsidRPr="004F29AA" w:rsidRDefault="00B86AB4" w:rsidP="00B86AB4">
      <w:pPr>
        <w:pStyle w:val="ListParagraph"/>
        <w:widowControl/>
        <w:rPr>
          <w:szCs w:val="22"/>
        </w:rPr>
      </w:pPr>
      <w:r w:rsidRPr="004F29AA">
        <w:rPr>
          <w:i/>
          <w:szCs w:val="22"/>
        </w:rPr>
        <w:t>For more detail on PBAC’s view, see section 7 “PBAC outcome”</w:t>
      </w:r>
    </w:p>
    <w:p w:rsidR="007F2D50" w:rsidRPr="004F29AA" w:rsidRDefault="007F2D50" w:rsidP="007F2D50">
      <w:pPr>
        <w:pStyle w:val="Header"/>
        <w:rPr>
          <w:szCs w:val="22"/>
        </w:rPr>
      </w:pPr>
    </w:p>
    <w:p w:rsidR="0052120D" w:rsidRPr="004F29AA" w:rsidRDefault="0052120D" w:rsidP="007F2D50">
      <w:pPr>
        <w:pStyle w:val="Header"/>
        <w:rPr>
          <w:szCs w:val="22"/>
        </w:rPr>
      </w:pPr>
    </w:p>
    <w:p w:rsidR="007F2D50" w:rsidRPr="004F29AA" w:rsidRDefault="007F2D50" w:rsidP="007F2D50">
      <w:pPr>
        <w:pStyle w:val="PBACHeading1"/>
        <w:ind w:left="0" w:firstLine="0"/>
      </w:pPr>
      <w:bookmarkStart w:id="10" w:name="_Toc430079466"/>
      <w:r w:rsidRPr="004F29AA">
        <w:t>Comparator</w:t>
      </w:r>
      <w:bookmarkEnd w:id="10"/>
    </w:p>
    <w:p w:rsidR="007F2D50" w:rsidRPr="004F29AA" w:rsidRDefault="007F2D50" w:rsidP="007F2D50"/>
    <w:p w:rsidR="007F2D50" w:rsidRPr="004F29AA" w:rsidRDefault="007F2D50" w:rsidP="000A100A">
      <w:pPr>
        <w:pStyle w:val="ListParagraph"/>
        <w:widowControl/>
        <w:numPr>
          <w:ilvl w:val="1"/>
          <w:numId w:val="1"/>
        </w:numPr>
        <w:rPr>
          <w:szCs w:val="22"/>
        </w:rPr>
      </w:pPr>
      <w:r w:rsidRPr="004F29AA">
        <w:t>Standard of care chemotherapies</w:t>
      </w:r>
      <w:r w:rsidR="002D0F4A" w:rsidRPr="004F29AA">
        <w:t xml:space="preserve"> for relapsed or refractory Ph- B-precursor ALL</w:t>
      </w:r>
      <w:r w:rsidRPr="004F29AA">
        <w:t>, including:</w:t>
      </w:r>
    </w:p>
    <w:p w:rsidR="007F2D50" w:rsidRPr="004F29AA" w:rsidRDefault="007F2D50" w:rsidP="000A100A">
      <w:pPr>
        <w:pStyle w:val="ListParagraph"/>
        <w:widowControl/>
        <w:numPr>
          <w:ilvl w:val="0"/>
          <w:numId w:val="2"/>
        </w:numPr>
        <w:ind w:left="1077" w:hanging="357"/>
        <w:rPr>
          <w:szCs w:val="22"/>
        </w:rPr>
      </w:pPr>
      <w:r w:rsidRPr="004F29AA">
        <w:t>FLAG ± anthracycline (e.g. idarubicin or amsacrine);</w:t>
      </w:r>
    </w:p>
    <w:p w:rsidR="007F2D50" w:rsidRPr="004F29AA" w:rsidRDefault="007F2D50" w:rsidP="000A100A">
      <w:pPr>
        <w:pStyle w:val="ListParagraph"/>
        <w:widowControl/>
        <w:numPr>
          <w:ilvl w:val="0"/>
          <w:numId w:val="2"/>
        </w:numPr>
        <w:ind w:left="1077" w:hanging="357"/>
        <w:rPr>
          <w:szCs w:val="22"/>
        </w:rPr>
      </w:pPr>
      <w:r w:rsidRPr="004F29AA">
        <w:t>High</w:t>
      </w:r>
      <w:r w:rsidR="00DE4784" w:rsidRPr="004F29AA">
        <w:t>-</w:t>
      </w:r>
      <w:r w:rsidRPr="004F29AA">
        <w:t xml:space="preserve">dose methotrexate in combination with </w:t>
      </w:r>
      <w:r w:rsidR="009B6367" w:rsidRPr="004F29AA">
        <w:t>pegylated</w:t>
      </w:r>
      <w:r w:rsidRPr="004F29AA">
        <w:t>-asparginase, vinca alkaloids, steroids, etoposide or alkylating agents; and</w:t>
      </w:r>
    </w:p>
    <w:p w:rsidR="007F2D50" w:rsidRPr="004F29AA" w:rsidRDefault="007F2D50" w:rsidP="000A100A">
      <w:pPr>
        <w:pStyle w:val="ListParagraph"/>
        <w:widowControl/>
        <w:numPr>
          <w:ilvl w:val="0"/>
          <w:numId w:val="2"/>
        </w:numPr>
        <w:ind w:left="1077" w:hanging="357"/>
        <w:rPr>
          <w:szCs w:val="22"/>
        </w:rPr>
      </w:pPr>
      <w:r w:rsidRPr="004F29AA">
        <w:t>High</w:t>
      </w:r>
      <w:r w:rsidR="00DE4784" w:rsidRPr="004F29AA">
        <w:t>-</w:t>
      </w:r>
      <w:r w:rsidRPr="004F29AA">
        <w:t>dose cytarabine (HiDAC) base chemotherapy.</w:t>
      </w:r>
    </w:p>
    <w:p w:rsidR="007F2D50" w:rsidRPr="004F29AA" w:rsidRDefault="007F2D50" w:rsidP="007F2D50">
      <w:pPr>
        <w:widowControl/>
        <w:rPr>
          <w:i/>
        </w:rPr>
      </w:pPr>
    </w:p>
    <w:p w:rsidR="007F2D50" w:rsidRPr="004F29AA" w:rsidRDefault="00035BB9" w:rsidP="000A100A">
      <w:pPr>
        <w:pStyle w:val="ListParagraph"/>
        <w:widowControl/>
        <w:numPr>
          <w:ilvl w:val="1"/>
          <w:numId w:val="1"/>
        </w:numPr>
        <w:rPr>
          <w:szCs w:val="22"/>
        </w:rPr>
      </w:pPr>
      <w:r w:rsidRPr="004F29AA">
        <w:t xml:space="preserve">The ESC </w:t>
      </w:r>
      <w:r w:rsidR="007F2D50" w:rsidRPr="004F29AA">
        <w:t xml:space="preserve">considered </w:t>
      </w:r>
      <w:r w:rsidRPr="004F29AA">
        <w:t xml:space="preserve">this was </w:t>
      </w:r>
      <w:r w:rsidR="007F2D50" w:rsidRPr="004F29AA">
        <w:t>the appropriate comparator.</w:t>
      </w:r>
    </w:p>
    <w:p w:rsidR="00B86AB4" w:rsidRPr="004F29AA" w:rsidRDefault="00B86AB4" w:rsidP="007F2D50">
      <w:pPr>
        <w:rPr>
          <w:i/>
          <w:szCs w:val="22"/>
          <w:highlight w:val="yellow"/>
        </w:rPr>
      </w:pPr>
    </w:p>
    <w:p w:rsidR="007F2D50" w:rsidRPr="004F29AA" w:rsidRDefault="00B86AB4" w:rsidP="00286B41">
      <w:pPr>
        <w:ind w:firstLine="720"/>
        <w:rPr>
          <w:szCs w:val="22"/>
        </w:rPr>
      </w:pPr>
      <w:r w:rsidRPr="004F29AA">
        <w:rPr>
          <w:i/>
          <w:szCs w:val="22"/>
        </w:rPr>
        <w:t>For more detail on PBAC’s view, see section 7 “PBAC outcome”</w:t>
      </w:r>
    </w:p>
    <w:p w:rsidR="007F2D50" w:rsidRPr="004F29AA" w:rsidRDefault="007F2D50" w:rsidP="000238C9">
      <w:pPr>
        <w:widowControl/>
        <w:jc w:val="left"/>
        <w:rPr>
          <w:szCs w:val="22"/>
        </w:rPr>
      </w:pPr>
    </w:p>
    <w:p w:rsidR="000238C9" w:rsidRPr="004F29AA" w:rsidRDefault="000238C9" w:rsidP="000238C9">
      <w:pPr>
        <w:widowControl/>
        <w:jc w:val="left"/>
        <w:rPr>
          <w:szCs w:val="22"/>
        </w:rPr>
      </w:pPr>
    </w:p>
    <w:p w:rsidR="007F2D50" w:rsidRPr="004F29AA" w:rsidRDefault="007F2D50" w:rsidP="007F2D50">
      <w:pPr>
        <w:pStyle w:val="PBACHeading1"/>
        <w:ind w:left="0" w:firstLine="0"/>
      </w:pPr>
      <w:bookmarkStart w:id="11" w:name="_Toc426958209"/>
      <w:bookmarkStart w:id="12" w:name="_Toc430079467"/>
      <w:r w:rsidRPr="004F29AA">
        <w:t>Consideration of the evidence</w:t>
      </w:r>
      <w:bookmarkEnd w:id="11"/>
      <w:bookmarkEnd w:id="12"/>
    </w:p>
    <w:p w:rsidR="00AD0C7C" w:rsidRPr="00964A10" w:rsidRDefault="00AD0C7C" w:rsidP="00964A10"/>
    <w:p w:rsidR="00AD0C7C" w:rsidRPr="004F29AA" w:rsidRDefault="00AD0C7C" w:rsidP="00964A10">
      <w:pPr>
        <w:pStyle w:val="Heading2"/>
      </w:pPr>
      <w:r w:rsidRPr="004F29AA">
        <w:t xml:space="preserve">Sponsor hearing </w:t>
      </w:r>
    </w:p>
    <w:p w:rsidR="00AD0C7C" w:rsidRPr="00964A10" w:rsidRDefault="00AD0C7C" w:rsidP="00964A10"/>
    <w:p w:rsidR="004959F4" w:rsidRPr="004F29AA" w:rsidRDefault="004959F4" w:rsidP="000A100A">
      <w:pPr>
        <w:pStyle w:val="ListParagraph"/>
        <w:widowControl/>
        <w:numPr>
          <w:ilvl w:val="1"/>
          <w:numId w:val="1"/>
        </w:numPr>
      </w:pPr>
      <w:r w:rsidRPr="004F29AA">
        <w:rPr>
          <w:bCs/>
          <w:szCs w:val="22"/>
        </w:rPr>
        <w:t xml:space="preserve">The sponsor requested a hearing for this item. The clinician described the high unmet clinical need for a safer alternative to chemotherapy for this patient group to achieve complete remission, as well as potentially being a less toxic bridge to stem-cell transplant. The clinician addressed concerns around neurotoxicity with blinatumomab, considering that it may be reversible and unlikely to reoccur on re-initiation. The PBAC considered that the hearing did not add substantively to the evidence presented in the submission. </w:t>
      </w:r>
    </w:p>
    <w:p w:rsidR="00AD0C7C" w:rsidRPr="004F29AA" w:rsidRDefault="00AD0C7C" w:rsidP="007F2D50"/>
    <w:p w:rsidR="00AD0C7C" w:rsidRPr="004F29AA" w:rsidRDefault="00AD0C7C" w:rsidP="00964A10">
      <w:pPr>
        <w:pStyle w:val="Heading2"/>
      </w:pPr>
      <w:r w:rsidRPr="004F29AA">
        <w:lastRenderedPageBreak/>
        <w:t xml:space="preserve">Consumer comments </w:t>
      </w:r>
    </w:p>
    <w:p w:rsidR="004959F4" w:rsidRPr="004F29AA" w:rsidRDefault="004959F4" w:rsidP="007F2D50">
      <w:pPr>
        <w:rPr>
          <w:b/>
        </w:rPr>
      </w:pPr>
    </w:p>
    <w:p w:rsidR="00B86AB4" w:rsidRPr="004F29AA" w:rsidRDefault="004959F4" w:rsidP="000A100A">
      <w:pPr>
        <w:pStyle w:val="ListParagraph"/>
        <w:widowControl/>
        <w:numPr>
          <w:ilvl w:val="1"/>
          <w:numId w:val="1"/>
        </w:numPr>
      </w:pPr>
      <w:bookmarkStart w:id="13" w:name="_Toc426958210"/>
      <w:bookmarkStart w:id="14" w:name="_Toc430079468"/>
      <w:r w:rsidRPr="004F29AA">
        <w:t xml:space="preserve">The PBAC noted that no consumer comments were received for this item. </w:t>
      </w:r>
    </w:p>
    <w:p w:rsidR="00AD0C7C" w:rsidRPr="004F29AA" w:rsidRDefault="00AD0C7C" w:rsidP="00AD0C7C"/>
    <w:p w:rsidR="007F2D50" w:rsidRPr="004F29AA" w:rsidRDefault="007F2D50" w:rsidP="007F2D50">
      <w:pPr>
        <w:pStyle w:val="Heading2"/>
        <w:rPr>
          <w:i/>
        </w:rPr>
      </w:pPr>
      <w:r w:rsidRPr="004F29AA">
        <w:rPr>
          <w:i/>
        </w:rPr>
        <w:t>Clinical studies</w:t>
      </w:r>
      <w:bookmarkEnd w:id="13"/>
      <w:bookmarkEnd w:id="14"/>
    </w:p>
    <w:p w:rsidR="007F2D50" w:rsidRPr="004F29AA" w:rsidRDefault="007F2D50" w:rsidP="007F2D50">
      <w:pPr>
        <w:rPr>
          <w:szCs w:val="22"/>
        </w:rPr>
      </w:pPr>
    </w:p>
    <w:p w:rsidR="007F2D50" w:rsidRPr="004F29AA" w:rsidRDefault="007F2D50" w:rsidP="000A100A">
      <w:pPr>
        <w:pStyle w:val="ListParagraph"/>
        <w:widowControl/>
        <w:numPr>
          <w:ilvl w:val="1"/>
          <w:numId w:val="1"/>
        </w:numPr>
        <w:rPr>
          <w:szCs w:val="22"/>
        </w:rPr>
      </w:pPr>
      <w:r w:rsidRPr="004F29AA">
        <w:t xml:space="preserve">The submission was based on two single </w:t>
      </w:r>
      <w:r w:rsidR="00D4410C" w:rsidRPr="004F29AA">
        <w:t>arm</w:t>
      </w:r>
      <w:r w:rsidR="00DE4784" w:rsidRPr="004F29AA">
        <w:t>,</w:t>
      </w:r>
      <w:r w:rsidRPr="004F29AA">
        <w:t xml:space="preserve"> Phase II studies assessing the efficacy of blinatumomab. To enable comparison, the submission also included a retrospective historical control study. The studies were:</w:t>
      </w:r>
    </w:p>
    <w:p w:rsidR="007F2D50" w:rsidRPr="004F29AA" w:rsidRDefault="007F2D50" w:rsidP="000A100A">
      <w:pPr>
        <w:pStyle w:val="ListParagraph"/>
        <w:widowControl/>
        <w:numPr>
          <w:ilvl w:val="0"/>
          <w:numId w:val="3"/>
        </w:numPr>
        <w:ind w:left="1077" w:hanging="226"/>
        <w:rPr>
          <w:szCs w:val="22"/>
        </w:rPr>
      </w:pPr>
      <w:r w:rsidRPr="004F29AA">
        <w:t>MT103-211: pivotal study</w:t>
      </w:r>
      <w:r w:rsidR="00DE4784" w:rsidRPr="004F29AA">
        <w:t>,</w:t>
      </w:r>
      <w:r w:rsidRPr="004F29AA">
        <w:t xml:space="preserve"> N = 225;</w:t>
      </w:r>
    </w:p>
    <w:p w:rsidR="007F2D50" w:rsidRPr="004F29AA" w:rsidRDefault="007F2D50" w:rsidP="000A100A">
      <w:pPr>
        <w:pStyle w:val="ListParagraph"/>
        <w:widowControl/>
        <w:numPr>
          <w:ilvl w:val="0"/>
          <w:numId w:val="3"/>
        </w:numPr>
        <w:ind w:left="1077" w:hanging="226"/>
        <w:rPr>
          <w:szCs w:val="22"/>
        </w:rPr>
      </w:pPr>
      <w:r w:rsidRPr="004F29AA">
        <w:t>MT103-206: dose-finding study</w:t>
      </w:r>
      <w:r w:rsidR="00DE4784" w:rsidRPr="004F29AA">
        <w:t>,</w:t>
      </w:r>
      <w:r w:rsidRPr="004F29AA">
        <w:t xml:space="preserve"> N = 36; and </w:t>
      </w:r>
    </w:p>
    <w:p w:rsidR="007F2D50" w:rsidRPr="004F29AA" w:rsidRDefault="007F2D50" w:rsidP="000A100A">
      <w:pPr>
        <w:pStyle w:val="ListParagraph"/>
        <w:widowControl/>
        <w:numPr>
          <w:ilvl w:val="0"/>
          <w:numId w:val="3"/>
        </w:numPr>
        <w:ind w:left="1077" w:hanging="226"/>
        <w:rPr>
          <w:szCs w:val="22"/>
        </w:rPr>
      </w:pPr>
      <w:r w:rsidRPr="004F29AA">
        <w:t>20120310: retrospective historical control study</w:t>
      </w:r>
      <w:r w:rsidR="00DE4784" w:rsidRPr="004F29AA">
        <w:t>,</w:t>
      </w:r>
      <w:r w:rsidRPr="004F29AA">
        <w:t xml:space="preserve"> N = 1,139.</w:t>
      </w:r>
    </w:p>
    <w:p w:rsidR="00035BB9" w:rsidRPr="004F29AA" w:rsidRDefault="00035BB9" w:rsidP="00035BB9">
      <w:pPr>
        <w:pStyle w:val="ListParagraph"/>
        <w:widowControl/>
        <w:ind w:left="1077"/>
        <w:rPr>
          <w:szCs w:val="22"/>
        </w:rPr>
      </w:pPr>
    </w:p>
    <w:p w:rsidR="007F2D50" w:rsidRPr="00964A10" w:rsidRDefault="007F2D50" w:rsidP="00DE4784">
      <w:pPr>
        <w:pStyle w:val="ListParagraph"/>
        <w:keepNext/>
        <w:widowControl/>
        <w:numPr>
          <w:ilvl w:val="1"/>
          <w:numId w:val="1"/>
        </w:numPr>
        <w:rPr>
          <w:szCs w:val="22"/>
        </w:rPr>
      </w:pPr>
      <w:r w:rsidRPr="004F29AA">
        <w:rPr>
          <w:szCs w:val="22"/>
        </w:rPr>
        <w:t>Details of the studies presented in the submission ar</w:t>
      </w:r>
      <w:r w:rsidR="00964A10">
        <w:rPr>
          <w:szCs w:val="22"/>
        </w:rPr>
        <w:t>e provided in the table below.</w:t>
      </w:r>
    </w:p>
    <w:p w:rsidR="007F2D50" w:rsidRPr="004F29AA" w:rsidRDefault="007F2D50" w:rsidP="000F7616">
      <w:pPr>
        <w:keepNext/>
        <w:tabs>
          <w:tab w:val="left" w:pos="8004"/>
        </w:tabs>
        <w:ind w:firstLine="720"/>
        <w:rPr>
          <w:rStyle w:val="CommentReference"/>
        </w:rPr>
      </w:pPr>
      <w:r w:rsidRPr="004F29AA">
        <w:rPr>
          <w:rStyle w:val="CommentReference"/>
        </w:rPr>
        <w:t>Table 1: Studies presented in the submission</w:t>
      </w:r>
      <w:r w:rsidR="000F7616" w:rsidRPr="004F29AA">
        <w:rPr>
          <w:rStyle w:val="CommentReference"/>
        </w:rPr>
        <w:tab/>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tudies presented in the submission"/>
      </w:tblPr>
      <w:tblGrid>
        <w:gridCol w:w="1133"/>
        <w:gridCol w:w="5388"/>
        <w:gridCol w:w="1824"/>
      </w:tblGrid>
      <w:tr w:rsidR="007F2D50" w:rsidRPr="004F29AA">
        <w:trPr>
          <w:cantSplit/>
          <w:tblHeader/>
        </w:trPr>
        <w:tc>
          <w:tcPr>
            <w:tcW w:w="679" w:type="pct"/>
          </w:tcPr>
          <w:p w:rsidR="007F2D50" w:rsidRPr="004F29AA" w:rsidRDefault="007F2D50" w:rsidP="007F2D50">
            <w:pPr>
              <w:keepNext/>
              <w:jc w:val="left"/>
              <w:rPr>
                <w:rFonts w:ascii="Arial Narrow" w:hAnsi="Arial Narrow"/>
                <w:b/>
                <w:sz w:val="20"/>
              </w:rPr>
            </w:pPr>
            <w:r w:rsidRPr="004F29AA">
              <w:rPr>
                <w:rFonts w:ascii="Arial Narrow" w:hAnsi="Arial Narrow"/>
                <w:b/>
                <w:sz w:val="20"/>
              </w:rPr>
              <w:t>Study ID</w:t>
            </w:r>
          </w:p>
        </w:tc>
        <w:tc>
          <w:tcPr>
            <w:tcW w:w="3228" w:type="pct"/>
          </w:tcPr>
          <w:p w:rsidR="007F2D50" w:rsidRPr="004F29AA" w:rsidRDefault="007F2D50" w:rsidP="007F2D50">
            <w:pPr>
              <w:keepNext/>
              <w:jc w:val="center"/>
              <w:rPr>
                <w:rFonts w:ascii="Arial Narrow" w:hAnsi="Arial Narrow"/>
                <w:b/>
                <w:sz w:val="20"/>
              </w:rPr>
            </w:pPr>
            <w:r w:rsidRPr="004F29AA">
              <w:rPr>
                <w:rFonts w:ascii="Arial Narrow" w:hAnsi="Arial Narrow"/>
                <w:b/>
                <w:sz w:val="20"/>
              </w:rPr>
              <w:t>Protocol title/ Publication title</w:t>
            </w:r>
          </w:p>
        </w:tc>
        <w:tc>
          <w:tcPr>
            <w:tcW w:w="1093" w:type="pct"/>
          </w:tcPr>
          <w:p w:rsidR="007F2D50" w:rsidRPr="004F29AA" w:rsidRDefault="007F2D50" w:rsidP="007F2D50">
            <w:pPr>
              <w:keepNext/>
              <w:jc w:val="center"/>
              <w:rPr>
                <w:rFonts w:ascii="Arial Narrow" w:hAnsi="Arial Narrow"/>
                <w:b/>
                <w:sz w:val="20"/>
              </w:rPr>
            </w:pPr>
            <w:r w:rsidRPr="004F29AA">
              <w:rPr>
                <w:rFonts w:ascii="Arial Narrow" w:hAnsi="Arial Narrow"/>
                <w:b/>
                <w:sz w:val="20"/>
              </w:rPr>
              <w:t>Publication citation</w:t>
            </w:r>
          </w:p>
        </w:tc>
      </w:tr>
      <w:tr w:rsidR="007F2D50" w:rsidRPr="004F29AA">
        <w:trPr>
          <w:cantSplit/>
        </w:trPr>
        <w:tc>
          <w:tcPr>
            <w:tcW w:w="5000" w:type="pct"/>
            <w:gridSpan w:val="3"/>
          </w:tcPr>
          <w:p w:rsidR="007F2D50" w:rsidRPr="004F29AA" w:rsidRDefault="007F2D50" w:rsidP="007F2D50">
            <w:pPr>
              <w:keepNext/>
              <w:jc w:val="left"/>
              <w:rPr>
                <w:rFonts w:ascii="Arial Narrow" w:hAnsi="Arial Narrow"/>
                <w:b/>
                <w:sz w:val="20"/>
              </w:rPr>
            </w:pPr>
            <w:r w:rsidRPr="004F29AA">
              <w:rPr>
                <w:rFonts w:ascii="Arial Narrow" w:hAnsi="Arial Narrow"/>
                <w:b/>
                <w:sz w:val="20"/>
              </w:rPr>
              <w:t>Non-randomised studies</w:t>
            </w:r>
          </w:p>
        </w:tc>
      </w:tr>
      <w:tr w:rsidR="007F2D50" w:rsidRPr="004F29AA">
        <w:trPr>
          <w:cantSplit/>
        </w:trPr>
        <w:tc>
          <w:tcPr>
            <w:tcW w:w="679" w:type="pct"/>
          </w:tcPr>
          <w:p w:rsidR="007F2D50" w:rsidRPr="004F29AA" w:rsidRDefault="007F2D50" w:rsidP="007F2D50">
            <w:pPr>
              <w:keepNext/>
              <w:jc w:val="left"/>
              <w:rPr>
                <w:rFonts w:ascii="Arial Narrow" w:hAnsi="Arial Narrow"/>
                <w:sz w:val="20"/>
              </w:rPr>
            </w:pPr>
            <w:r w:rsidRPr="004F29AA">
              <w:rPr>
                <w:rFonts w:ascii="Arial Narrow" w:hAnsi="Arial Narrow"/>
                <w:sz w:val="20"/>
              </w:rPr>
              <w:t>MT103-211</w:t>
            </w:r>
          </w:p>
        </w:tc>
        <w:tc>
          <w:tcPr>
            <w:tcW w:w="3228" w:type="pct"/>
          </w:tcPr>
          <w:p w:rsidR="007F2D50" w:rsidRPr="004F29AA" w:rsidRDefault="007F2D50" w:rsidP="007F2D50">
            <w:pPr>
              <w:pStyle w:val="TableLeftAlign"/>
              <w:spacing w:before="0" w:after="0"/>
              <w:rPr>
                <w:rFonts w:ascii="Arial Narrow" w:eastAsia="Batang" w:hAnsi="Arial Narrow"/>
                <w:lang w:val="en-AU"/>
              </w:rPr>
            </w:pPr>
            <w:r w:rsidRPr="004F29AA">
              <w:rPr>
                <w:rFonts w:ascii="Arial Narrow" w:eastAsia="Batang" w:hAnsi="Arial Narrow"/>
                <w:lang w:val="en-AU"/>
              </w:rPr>
              <w:t xml:space="preserve">Primary analysis: An open-label, multicentre, Phase II study to evaluate efficacy and safety of the bi-specific T cell engager (BiTE®) antibody blinatumomab in adult patients with relapsed/refractory B-precursor ALL. </w:t>
            </w:r>
          </w:p>
          <w:p w:rsidR="007F2D50" w:rsidRPr="004F29AA" w:rsidRDefault="007F2D50" w:rsidP="007F2D50">
            <w:pPr>
              <w:pStyle w:val="TableLeftAlign"/>
              <w:spacing w:before="0" w:after="0"/>
              <w:rPr>
                <w:rFonts w:ascii="Arial Narrow" w:eastAsia="Batang" w:hAnsi="Arial Narrow"/>
                <w:lang w:val="en-AU"/>
              </w:rPr>
            </w:pPr>
          </w:p>
          <w:p w:rsidR="007F2D50" w:rsidRPr="004F29AA" w:rsidRDefault="007F2D50" w:rsidP="007F2D50">
            <w:pPr>
              <w:pStyle w:val="TableLeftAlign"/>
              <w:spacing w:before="0" w:after="0"/>
              <w:rPr>
                <w:rFonts w:ascii="Arial Narrow" w:eastAsia="Batang" w:hAnsi="Arial Narrow"/>
                <w:lang w:val="en-AU"/>
              </w:rPr>
            </w:pPr>
            <w:r w:rsidRPr="004F29AA">
              <w:rPr>
                <w:rFonts w:ascii="Arial Narrow" w:eastAsia="Batang" w:hAnsi="Arial Narrow"/>
                <w:lang w:val="en-AU"/>
              </w:rPr>
              <w:t>Secondary analysis: An open-label, multicentre, Phase II study to evaluate efficacy and safety of the bi-specific T cell engager (BiTE®) antibody blinatumomab in adult patients with relapsed/refractory B-precursor ALL.</w:t>
            </w: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b/>
                <w:sz w:val="20"/>
              </w:rPr>
            </w:pPr>
            <w:r w:rsidRPr="004F29AA">
              <w:rPr>
                <w:rFonts w:ascii="Arial Narrow" w:hAnsi="Arial Narrow"/>
                <w:sz w:val="20"/>
              </w:rPr>
              <w:t xml:space="preserve">Topp MS, Gokbuget N, Stein AS, </w:t>
            </w:r>
            <w:r w:rsidRPr="004F29AA">
              <w:rPr>
                <w:rFonts w:ascii="Arial Narrow" w:hAnsi="Arial Narrow"/>
                <w:i/>
                <w:sz w:val="20"/>
              </w:rPr>
              <w:t>et al</w:t>
            </w:r>
            <w:r w:rsidRPr="004F29AA">
              <w:rPr>
                <w:rFonts w:ascii="Arial Narrow" w:hAnsi="Arial Narrow"/>
                <w:sz w:val="20"/>
              </w:rPr>
              <w:t>. Safety and activity of blinatumomab for adult patient with relapsed or refractory B-precursor acute lymphoblastic leukaemia: A multicentre, single-arm, Phase II study.</w:t>
            </w:r>
          </w:p>
        </w:tc>
        <w:tc>
          <w:tcPr>
            <w:tcW w:w="1093" w:type="pct"/>
          </w:tcPr>
          <w:p w:rsidR="007F2D50" w:rsidRPr="004F29AA" w:rsidRDefault="007F2D50" w:rsidP="007F2D50">
            <w:pPr>
              <w:keepNext/>
              <w:jc w:val="left"/>
              <w:rPr>
                <w:rFonts w:ascii="Arial Narrow" w:hAnsi="Arial Narrow"/>
                <w:sz w:val="20"/>
              </w:rPr>
            </w:pPr>
            <w:r w:rsidRPr="004F29AA">
              <w:rPr>
                <w:rFonts w:ascii="Arial Narrow" w:hAnsi="Arial Narrow"/>
                <w:sz w:val="20"/>
              </w:rPr>
              <w:t>11 July 2014</w:t>
            </w: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sz w:val="20"/>
              </w:rPr>
            </w:pPr>
            <w:r w:rsidRPr="004F29AA">
              <w:rPr>
                <w:rFonts w:ascii="Arial Narrow" w:hAnsi="Arial Narrow"/>
                <w:sz w:val="20"/>
              </w:rPr>
              <w:t>19 February 2015</w:t>
            </w: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sz w:val="20"/>
              </w:rPr>
            </w:pPr>
          </w:p>
          <w:p w:rsidR="007F2D50" w:rsidRPr="004F29AA" w:rsidRDefault="007F2D50" w:rsidP="007F2D50">
            <w:pPr>
              <w:keepNext/>
              <w:jc w:val="left"/>
              <w:rPr>
                <w:rFonts w:ascii="Arial Narrow" w:hAnsi="Arial Narrow"/>
                <w:sz w:val="20"/>
              </w:rPr>
            </w:pPr>
            <w:r w:rsidRPr="004F29AA">
              <w:rPr>
                <w:rFonts w:ascii="Arial Narrow" w:hAnsi="Arial Narrow"/>
                <w:sz w:val="20"/>
              </w:rPr>
              <w:t>2014</w:t>
            </w:r>
          </w:p>
          <w:p w:rsidR="007F2D50" w:rsidRPr="004F29AA" w:rsidRDefault="007F2D50" w:rsidP="007F2D50">
            <w:pPr>
              <w:keepNext/>
              <w:jc w:val="left"/>
              <w:rPr>
                <w:rFonts w:ascii="Arial Narrow" w:hAnsi="Arial Narrow"/>
                <w:b/>
                <w:sz w:val="20"/>
              </w:rPr>
            </w:pPr>
            <w:r w:rsidRPr="004F29AA">
              <w:rPr>
                <w:rFonts w:ascii="Arial Narrow" w:hAnsi="Arial Narrow"/>
                <w:i/>
                <w:sz w:val="20"/>
              </w:rPr>
              <w:t xml:space="preserve">Lancet Oncol. </w:t>
            </w:r>
            <w:r w:rsidRPr="004F29AA">
              <w:rPr>
                <w:rFonts w:ascii="Arial Narrow" w:hAnsi="Arial Narrow"/>
                <w:sz w:val="20"/>
              </w:rPr>
              <w:t>16(1);57-66.</w:t>
            </w:r>
          </w:p>
        </w:tc>
      </w:tr>
      <w:tr w:rsidR="007F2D50" w:rsidRPr="004F29AA">
        <w:trPr>
          <w:cantSplit/>
        </w:trPr>
        <w:tc>
          <w:tcPr>
            <w:tcW w:w="679" w:type="pct"/>
          </w:tcPr>
          <w:p w:rsidR="007F2D50" w:rsidRPr="004F29AA" w:rsidRDefault="007F2D50" w:rsidP="007F2D50">
            <w:pPr>
              <w:jc w:val="left"/>
              <w:rPr>
                <w:rFonts w:ascii="Arial Narrow" w:hAnsi="Arial Narrow"/>
                <w:sz w:val="20"/>
              </w:rPr>
            </w:pPr>
            <w:r w:rsidRPr="004F29AA">
              <w:rPr>
                <w:rFonts w:ascii="Arial Narrow" w:hAnsi="Arial Narrow"/>
                <w:sz w:val="20"/>
              </w:rPr>
              <w:t>MT103-206</w:t>
            </w:r>
          </w:p>
        </w:tc>
        <w:tc>
          <w:tcPr>
            <w:tcW w:w="3228" w:type="pct"/>
          </w:tcPr>
          <w:p w:rsidR="007F2D50" w:rsidRPr="004F29AA" w:rsidRDefault="007F2D50" w:rsidP="007F2D50">
            <w:pPr>
              <w:pStyle w:val="TableLeftAlign"/>
              <w:keepNext w:val="0"/>
              <w:spacing w:before="0" w:after="0"/>
              <w:rPr>
                <w:rFonts w:ascii="Arial Narrow" w:eastAsia="Batang" w:hAnsi="Arial Narrow"/>
                <w:lang w:val="en-AU"/>
              </w:rPr>
            </w:pPr>
            <w:r w:rsidRPr="004F29AA">
              <w:rPr>
                <w:rFonts w:ascii="Arial Narrow" w:eastAsia="Batang" w:hAnsi="Arial Narrow"/>
                <w:lang w:val="en-AU"/>
              </w:rPr>
              <w:t xml:space="preserve">An open-label, multicentre, exploratory Phase II study to evaluate the efficacy, safety, and tolerability of the BiTE® antibody blinatumomab in adult patients with relapsed/refractory B-precursor ALL. </w:t>
            </w:r>
          </w:p>
          <w:p w:rsidR="007F2D50" w:rsidRPr="004F29AA" w:rsidRDefault="007F2D50" w:rsidP="007F2D50">
            <w:pPr>
              <w:pStyle w:val="TableLeftAlign"/>
              <w:keepNext w:val="0"/>
              <w:spacing w:before="0" w:after="0"/>
              <w:rPr>
                <w:rFonts w:ascii="Arial Narrow" w:eastAsia="Batang" w:hAnsi="Arial Narrow"/>
                <w:lang w:val="en-AU"/>
              </w:rPr>
            </w:pPr>
          </w:p>
          <w:p w:rsidR="007F2D50" w:rsidRPr="004F29AA" w:rsidRDefault="007F2D50" w:rsidP="007F2D50">
            <w:pPr>
              <w:pStyle w:val="TableLeftAlign"/>
              <w:keepNext w:val="0"/>
              <w:spacing w:before="0" w:after="0"/>
              <w:rPr>
                <w:rFonts w:ascii="Arial Narrow" w:eastAsia="Batang" w:hAnsi="Arial Narrow"/>
                <w:lang w:val="en-AU"/>
              </w:rPr>
            </w:pPr>
            <w:r w:rsidRPr="004F29AA">
              <w:rPr>
                <w:rFonts w:ascii="Arial Narrow" w:eastAsia="Batang" w:hAnsi="Arial Narrow"/>
                <w:lang w:val="en-AU"/>
              </w:rPr>
              <w:t xml:space="preserve">Topp MS, Gokbuget N, Zugmaier G, </w:t>
            </w:r>
            <w:r w:rsidRPr="004F29AA">
              <w:rPr>
                <w:rFonts w:ascii="Arial Narrow" w:eastAsia="Batang" w:hAnsi="Arial Narrow"/>
                <w:i/>
                <w:lang w:val="en-AU"/>
              </w:rPr>
              <w:t>et al</w:t>
            </w:r>
            <w:r w:rsidRPr="004F29AA">
              <w:rPr>
                <w:rFonts w:ascii="Arial Narrow" w:eastAsia="Batang" w:hAnsi="Arial Narrow"/>
                <w:lang w:val="en-AU"/>
              </w:rPr>
              <w:t>. Phase II trial of the anti-CD19 bispecific T cell-engager blinatumomab shows hematologic and molecular remissions in patients with relapsed or refractory B-precursor acute lymphoblastic leukemia.</w:t>
            </w:r>
          </w:p>
        </w:tc>
        <w:tc>
          <w:tcPr>
            <w:tcW w:w="1093" w:type="pct"/>
          </w:tcPr>
          <w:p w:rsidR="007F2D50" w:rsidRPr="004F29AA" w:rsidRDefault="007F2D50" w:rsidP="007F2D50">
            <w:pPr>
              <w:jc w:val="left"/>
              <w:rPr>
                <w:rFonts w:ascii="Arial Narrow" w:hAnsi="Arial Narrow"/>
                <w:sz w:val="20"/>
              </w:rPr>
            </w:pPr>
            <w:r w:rsidRPr="004F29AA">
              <w:rPr>
                <w:rFonts w:ascii="Arial Narrow" w:hAnsi="Arial Narrow"/>
                <w:sz w:val="20"/>
              </w:rPr>
              <w:t>2013</w:t>
            </w:r>
          </w:p>
          <w:p w:rsidR="007F2D50" w:rsidRPr="004F29AA" w:rsidRDefault="007F2D50" w:rsidP="007F2D50">
            <w:pPr>
              <w:jc w:val="left"/>
              <w:rPr>
                <w:rFonts w:ascii="Arial Narrow" w:hAnsi="Arial Narrow"/>
                <w:sz w:val="20"/>
              </w:rPr>
            </w:pPr>
          </w:p>
          <w:p w:rsidR="007F2D50" w:rsidRPr="004F29AA" w:rsidRDefault="007F2D50" w:rsidP="007F2D50">
            <w:pPr>
              <w:jc w:val="left"/>
              <w:rPr>
                <w:rFonts w:ascii="Arial Narrow" w:hAnsi="Arial Narrow"/>
                <w:sz w:val="20"/>
              </w:rPr>
            </w:pPr>
          </w:p>
          <w:p w:rsidR="007F2D50" w:rsidRPr="004F29AA" w:rsidRDefault="007F2D50" w:rsidP="007F2D50">
            <w:pPr>
              <w:jc w:val="left"/>
              <w:rPr>
                <w:rFonts w:ascii="Arial Narrow" w:hAnsi="Arial Narrow"/>
                <w:sz w:val="20"/>
              </w:rPr>
            </w:pPr>
          </w:p>
          <w:p w:rsidR="007F2D50" w:rsidRPr="004F29AA" w:rsidRDefault="007F2D50" w:rsidP="007F2D50">
            <w:pPr>
              <w:jc w:val="left"/>
              <w:rPr>
                <w:rFonts w:ascii="Arial Narrow" w:hAnsi="Arial Narrow"/>
                <w:sz w:val="20"/>
              </w:rPr>
            </w:pPr>
            <w:r w:rsidRPr="004F29AA">
              <w:rPr>
                <w:rFonts w:ascii="Arial Narrow" w:hAnsi="Arial Narrow"/>
                <w:sz w:val="20"/>
              </w:rPr>
              <w:t>2014</w:t>
            </w:r>
          </w:p>
          <w:p w:rsidR="007F2D50" w:rsidRPr="004F29AA" w:rsidRDefault="007F2D50" w:rsidP="007F2D50">
            <w:pPr>
              <w:jc w:val="left"/>
              <w:rPr>
                <w:rFonts w:ascii="Arial Narrow" w:hAnsi="Arial Narrow"/>
                <w:sz w:val="20"/>
              </w:rPr>
            </w:pPr>
            <w:r w:rsidRPr="004F29AA">
              <w:rPr>
                <w:rFonts w:ascii="Arial Narrow" w:hAnsi="Arial Narrow"/>
                <w:i/>
                <w:sz w:val="20"/>
              </w:rPr>
              <w:t>J Clin Oncol.</w:t>
            </w:r>
            <w:r w:rsidRPr="004F29AA">
              <w:rPr>
                <w:rFonts w:ascii="Arial Narrow" w:hAnsi="Arial Narrow"/>
                <w:sz w:val="20"/>
              </w:rPr>
              <w:t xml:space="preserve"> 32(36):4134-4142</w:t>
            </w:r>
          </w:p>
        </w:tc>
      </w:tr>
      <w:tr w:rsidR="007F2D50" w:rsidRPr="004F29AA">
        <w:trPr>
          <w:cantSplit/>
        </w:trPr>
        <w:tc>
          <w:tcPr>
            <w:tcW w:w="5000" w:type="pct"/>
            <w:gridSpan w:val="3"/>
          </w:tcPr>
          <w:p w:rsidR="007F2D50" w:rsidRPr="004F29AA" w:rsidRDefault="007F2D50" w:rsidP="009B6367">
            <w:pPr>
              <w:keepNext/>
              <w:jc w:val="left"/>
              <w:rPr>
                <w:rFonts w:ascii="Arial Narrow" w:hAnsi="Arial Narrow"/>
                <w:b/>
                <w:sz w:val="20"/>
              </w:rPr>
            </w:pPr>
            <w:r w:rsidRPr="004F29AA">
              <w:rPr>
                <w:rFonts w:ascii="Arial Narrow" w:hAnsi="Arial Narrow"/>
                <w:b/>
                <w:sz w:val="20"/>
              </w:rPr>
              <w:t>Retrospective historical study</w:t>
            </w:r>
          </w:p>
        </w:tc>
      </w:tr>
      <w:tr w:rsidR="007F2D50" w:rsidRPr="004F29AA">
        <w:trPr>
          <w:cantSplit/>
        </w:trPr>
        <w:tc>
          <w:tcPr>
            <w:tcW w:w="679" w:type="pct"/>
          </w:tcPr>
          <w:p w:rsidR="007F2D50" w:rsidRPr="004F29AA" w:rsidRDefault="007F2D50" w:rsidP="009B6367">
            <w:pPr>
              <w:keepNext/>
              <w:jc w:val="left"/>
              <w:rPr>
                <w:rFonts w:ascii="Arial Narrow" w:hAnsi="Arial Narrow"/>
                <w:sz w:val="20"/>
              </w:rPr>
            </w:pPr>
            <w:r w:rsidRPr="004F29AA">
              <w:rPr>
                <w:rFonts w:ascii="Arial Narrow" w:hAnsi="Arial Narrow"/>
                <w:sz w:val="20"/>
              </w:rPr>
              <w:t>20120310</w:t>
            </w:r>
          </w:p>
        </w:tc>
        <w:tc>
          <w:tcPr>
            <w:tcW w:w="3228" w:type="pct"/>
          </w:tcPr>
          <w:p w:rsidR="007F2D50" w:rsidRPr="004F29AA" w:rsidRDefault="007F2D50" w:rsidP="009B6367">
            <w:pPr>
              <w:pStyle w:val="TableText0"/>
              <w:spacing w:before="0" w:after="0"/>
              <w:rPr>
                <w:rFonts w:cs="Arial"/>
                <w:lang w:eastAsia="en-AU"/>
              </w:rPr>
            </w:pPr>
            <w:r w:rsidRPr="004F29AA">
              <w:rPr>
                <w:rFonts w:cs="Arial"/>
                <w:lang w:eastAsia="en-AU"/>
              </w:rPr>
              <w:t>An analysis of historical data on haematological remission rates and survival among adult patients with relapsed or refractory B-precursor ALL.</w:t>
            </w:r>
          </w:p>
        </w:tc>
        <w:tc>
          <w:tcPr>
            <w:tcW w:w="1093" w:type="pct"/>
          </w:tcPr>
          <w:p w:rsidR="007F2D50" w:rsidRPr="004F29AA" w:rsidRDefault="007F2D50" w:rsidP="009B6367">
            <w:pPr>
              <w:pStyle w:val="TableText0"/>
              <w:spacing w:before="0" w:after="0"/>
              <w:rPr>
                <w:rFonts w:cs="Arial"/>
                <w:lang w:eastAsia="en-AU"/>
              </w:rPr>
            </w:pPr>
            <w:r w:rsidRPr="004F29AA">
              <w:rPr>
                <w:rFonts w:cs="Arial"/>
                <w:lang w:eastAsia="en-AU"/>
              </w:rPr>
              <w:t>2014</w:t>
            </w:r>
          </w:p>
        </w:tc>
      </w:tr>
    </w:tbl>
    <w:p w:rsidR="007F2D50" w:rsidRPr="004F29AA" w:rsidRDefault="007F2D50" w:rsidP="007F2D50">
      <w:pPr>
        <w:pStyle w:val="TableFooter"/>
        <w:ind w:firstLine="720"/>
      </w:pPr>
      <w:r w:rsidRPr="004F29AA">
        <w:t>Source: Table B.2-2, p52 of the submission</w:t>
      </w:r>
    </w:p>
    <w:p w:rsidR="007F2D50" w:rsidRPr="004F29AA" w:rsidRDefault="007F2D50" w:rsidP="007F2D50">
      <w:pPr>
        <w:pStyle w:val="TableFooter"/>
        <w:ind w:firstLine="720"/>
      </w:pPr>
      <w:r w:rsidRPr="004F29AA">
        <w:t>ALL = acute lymphoblastic leukaemia</w:t>
      </w:r>
    </w:p>
    <w:p w:rsidR="00EA1871" w:rsidRPr="004F29AA" w:rsidRDefault="00EA1871" w:rsidP="007F2D50">
      <w:pPr>
        <w:pStyle w:val="TableFooter"/>
        <w:ind w:firstLine="720"/>
      </w:pPr>
    </w:p>
    <w:p w:rsidR="004971D4" w:rsidRPr="00964A10" w:rsidRDefault="004971D4" w:rsidP="00964A10">
      <w:pPr>
        <w:pStyle w:val="ListParagraph"/>
        <w:keepNext/>
        <w:widowControl/>
        <w:numPr>
          <w:ilvl w:val="1"/>
          <w:numId w:val="1"/>
        </w:numPr>
        <w:rPr>
          <w:szCs w:val="22"/>
        </w:rPr>
      </w:pPr>
      <w:r w:rsidRPr="004F29AA">
        <w:t>Currently, a randomised controlled trial is being conducted (TOWER) comparing blinatumomab with standard of care chemotherapy. This trial was excluded by the submission as no results were available. The expected primary completion date of this trial is August 2016.</w:t>
      </w:r>
      <w:r w:rsidR="00035BB9" w:rsidRPr="004F29AA">
        <w:t xml:space="preserve"> The PSCR (p6) advised the results will not be available until June 2017.</w:t>
      </w:r>
      <w:r w:rsidR="00620021" w:rsidRPr="004F29AA">
        <w:t xml:space="preserve"> The </w:t>
      </w:r>
      <w:r w:rsidR="000413AE" w:rsidRPr="004F29AA">
        <w:t>Pre-PBAC response (p2)</w:t>
      </w:r>
      <w:r w:rsidR="00620021" w:rsidRPr="004F29AA">
        <w:t xml:space="preserve"> provide</w:t>
      </w:r>
      <w:r w:rsidR="000413AE" w:rsidRPr="004F29AA">
        <w:t>d</w:t>
      </w:r>
      <w:r w:rsidR="00620021" w:rsidRPr="004F29AA">
        <w:t xml:space="preserve"> information on what data from the TOWER trial will be reported to help further inform PBAC.</w:t>
      </w:r>
      <w:r w:rsidR="000413AE" w:rsidRPr="004F29AA">
        <w:t xml:space="preserve"> The primary endpoint of the TOWER study is overall survival and key secondary endpoints include complete response within 12 weeks, event free survival, duration of complete response, minimal residual disease remission within 12 weeks, quality of life, HSCT with or </w:t>
      </w:r>
      <w:r w:rsidR="000413AE" w:rsidRPr="004F29AA">
        <w:lastRenderedPageBreak/>
        <w:t xml:space="preserve">without </w:t>
      </w:r>
      <w:r w:rsidR="00416D17" w:rsidRPr="004F29AA">
        <w:t xml:space="preserve">blinatumomab treatment, incidence of adverse events and 100-day mortality after HSCT. </w:t>
      </w:r>
    </w:p>
    <w:p w:rsidR="00964A10" w:rsidRPr="004F29AA" w:rsidRDefault="00964A10" w:rsidP="00964A10">
      <w:pPr>
        <w:pStyle w:val="ListParagraph"/>
        <w:keepNext/>
        <w:widowControl/>
        <w:rPr>
          <w:szCs w:val="22"/>
        </w:rPr>
      </w:pPr>
    </w:p>
    <w:p w:rsidR="00964A10" w:rsidRDefault="004971D4" w:rsidP="00964A10">
      <w:pPr>
        <w:pStyle w:val="ListParagraph"/>
        <w:keepNext/>
        <w:widowControl/>
        <w:numPr>
          <w:ilvl w:val="1"/>
          <w:numId w:val="1"/>
        </w:numPr>
        <w:rPr>
          <w:szCs w:val="22"/>
        </w:rPr>
      </w:pPr>
      <w:r w:rsidRPr="004F29AA">
        <w:rPr>
          <w:szCs w:val="22"/>
        </w:rPr>
        <w:t>The key features of the non-randomised studies are summarised in the table below.</w:t>
      </w:r>
    </w:p>
    <w:p w:rsidR="00964A10" w:rsidRPr="00964A10" w:rsidRDefault="00964A10" w:rsidP="00964A10">
      <w:pPr>
        <w:keepNext/>
        <w:widowControl/>
        <w:rPr>
          <w:rStyle w:val="CommentReference"/>
          <w:rFonts w:ascii="Arial" w:hAnsi="Arial"/>
          <w:b w:val="0"/>
          <w:sz w:val="22"/>
          <w:szCs w:val="22"/>
        </w:rPr>
      </w:pPr>
    </w:p>
    <w:p w:rsidR="007F2D50" w:rsidRPr="004F29AA" w:rsidRDefault="007F2D50" w:rsidP="007F2D50">
      <w:pPr>
        <w:keepNext/>
        <w:ind w:firstLine="720"/>
        <w:rPr>
          <w:rStyle w:val="CommentReference"/>
        </w:rPr>
      </w:pPr>
      <w:r w:rsidRPr="004F29AA">
        <w:rPr>
          <w:rStyle w:val="CommentReference"/>
        </w:rPr>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991"/>
        <w:gridCol w:w="991"/>
        <w:gridCol w:w="1305"/>
        <w:gridCol w:w="683"/>
        <w:gridCol w:w="2550"/>
        <w:gridCol w:w="955"/>
        <w:gridCol w:w="870"/>
      </w:tblGrid>
      <w:tr w:rsidR="002C3284" w:rsidRPr="004F29AA" w:rsidTr="00566E9F">
        <w:trPr>
          <w:cantSplit/>
          <w:tblHeader/>
        </w:trPr>
        <w:tc>
          <w:tcPr>
            <w:tcW w:w="593" w:type="pct"/>
            <w:shd w:val="clear" w:color="auto" w:fill="auto"/>
            <w:vAlign w:val="center"/>
          </w:tcPr>
          <w:p w:rsidR="007F2D50" w:rsidRPr="004F29AA" w:rsidRDefault="007F2D50" w:rsidP="007F2D50">
            <w:pPr>
              <w:keepNext/>
              <w:jc w:val="left"/>
              <w:rPr>
                <w:rFonts w:ascii="Arial Narrow" w:hAnsi="Arial Narrow"/>
                <w:b/>
                <w:sz w:val="20"/>
              </w:rPr>
            </w:pPr>
            <w:r w:rsidRPr="004F29AA">
              <w:rPr>
                <w:rFonts w:ascii="Arial Narrow" w:hAnsi="Arial Narrow"/>
                <w:b/>
                <w:sz w:val="20"/>
              </w:rPr>
              <w:t>Study</w:t>
            </w:r>
          </w:p>
        </w:tc>
        <w:tc>
          <w:tcPr>
            <w:tcW w:w="594"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N</w:t>
            </w:r>
          </w:p>
        </w:tc>
        <w:tc>
          <w:tcPr>
            <w:tcW w:w="782"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Design/duration</w:t>
            </w:r>
          </w:p>
        </w:tc>
        <w:tc>
          <w:tcPr>
            <w:tcW w:w="409"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Risk of bias</w:t>
            </w:r>
          </w:p>
        </w:tc>
        <w:tc>
          <w:tcPr>
            <w:tcW w:w="1528"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Patient population</w:t>
            </w:r>
          </w:p>
        </w:tc>
        <w:tc>
          <w:tcPr>
            <w:tcW w:w="572"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Outcomes</w:t>
            </w:r>
          </w:p>
        </w:tc>
        <w:tc>
          <w:tcPr>
            <w:tcW w:w="521"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Use in modelled evaluation</w:t>
            </w:r>
          </w:p>
        </w:tc>
      </w:tr>
      <w:tr w:rsidR="002C3284" w:rsidRPr="004F29AA" w:rsidTr="00566E9F">
        <w:trPr>
          <w:cantSplit/>
        </w:trPr>
        <w:tc>
          <w:tcPr>
            <w:tcW w:w="593" w:type="pct"/>
            <w:shd w:val="clear" w:color="auto" w:fill="auto"/>
          </w:tcPr>
          <w:p w:rsidR="007F2D50" w:rsidRPr="004F29AA" w:rsidRDefault="007F2D50" w:rsidP="007F2D50">
            <w:pPr>
              <w:keepNext/>
              <w:jc w:val="left"/>
              <w:rPr>
                <w:rFonts w:ascii="Arial Narrow" w:hAnsi="Arial Narrow"/>
                <w:sz w:val="20"/>
              </w:rPr>
            </w:pPr>
            <w:r w:rsidRPr="004F29AA">
              <w:rPr>
                <w:rFonts w:ascii="Arial Narrow" w:hAnsi="Arial Narrow"/>
                <w:sz w:val="20"/>
              </w:rPr>
              <w:t>MT103-211</w:t>
            </w:r>
          </w:p>
        </w:tc>
        <w:tc>
          <w:tcPr>
            <w:tcW w:w="594" w:type="pct"/>
            <w:shd w:val="clear" w:color="auto" w:fill="auto"/>
          </w:tcPr>
          <w:p w:rsidR="007F2D50" w:rsidRPr="004F29AA" w:rsidRDefault="007F2D50" w:rsidP="007F2D50">
            <w:pPr>
              <w:keepNext/>
              <w:jc w:val="center"/>
              <w:rPr>
                <w:rFonts w:ascii="Arial Narrow" w:hAnsi="Arial Narrow"/>
                <w:sz w:val="20"/>
              </w:rPr>
            </w:pPr>
            <w:r w:rsidRPr="004F29AA">
              <w:rPr>
                <w:rFonts w:ascii="Arial Narrow" w:hAnsi="Arial Narrow"/>
                <w:sz w:val="20"/>
              </w:rPr>
              <w:t>FAS = 225</w:t>
            </w:r>
          </w:p>
          <w:p w:rsidR="007F2D50" w:rsidRPr="004F29AA" w:rsidRDefault="007F2D50" w:rsidP="007F2D50">
            <w:pPr>
              <w:keepNext/>
              <w:jc w:val="center"/>
              <w:rPr>
                <w:rFonts w:ascii="Arial Narrow" w:hAnsi="Arial Narrow"/>
                <w:sz w:val="20"/>
              </w:rPr>
            </w:pPr>
            <w:r w:rsidRPr="004F29AA">
              <w:rPr>
                <w:rFonts w:ascii="Arial Narrow" w:hAnsi="Arial Narrow"/>
                <w:sz w:val="20"/>
              </w:rPr>
              <w:t>PAS = 189</w:t>
            </w:r>
          </w:p>
        </w:tc>
        <w:tc>
          <w:tcPr>
            <w:tcW w:w="782" w:type="pct"/>
            <w:shd w:val="clear" w:color="auto" w:fill="auto"/>
          </w:tcPr>
          <w:p w:rsidR="007F2D50" w:rsidRPr="004F29AA" w:rsidRDefault="007F2D50" w:rsidP="007F2D50">
            <w:pPr>
              <w:keepNext/>
              <w:jc w:val="center"/>
              <w:rPr>
                <w:rFonts w:ascii="Arial Narrow" w:hAnsi="Arial Narrow"/>
                <w:sz w:val="20"/>
              </w:rPr>
            </w:pPr>
            <w:r w:rsidRPr="004F29AA">
              <w:rPr>
                <w:rFonts w:ascii="Arial Narrow" w:hAnsi="Arial Narrow"/>
                <w:sz w:val="20"/>
              </w:rPr>
              <w:t>Single-arm, OL, MC</w:t>
            </w:r>
          </w:p>
          <w:p w:rsidR="007F2D50" w:rsidRPr="004F29AA" w:rsidRDefault="007F2D50" w:rsidP="007F2D50">
            <w:pPr>
              <w:keepNext/>
              <w:jc w:val="center"/>
              <w:rPr>
                <w:rFonts w:ascii="Arial Narrow" w:hAnsi="Arial Narrow"/>
                <w:sz w:val="20"/>
              </w:rPr>
            </w:pPr>
            <w:r w:rsidRPr="004F29AA">
              <w:rPr>
                <w:rFonts w:ascii="Arial Narrow" w:hAnsi="Arial Narrow"/>
                <w:sz w:val="20"/>
              </w:rPr>
              <w:t>33 weeks</w:t>
            </w:r>
          </w:p>
          <w:p w:rsidR="007F2D50" w:rsidRPr="004F29AA" w:rsidRDefault="007F2D50" w:rsidP="007F2D50">
            <w:pPr>
              <w:keepNext/>
              <w:jc w:val="center"/>
              <w:rPr>
                <w:rFonts w:ascii="Arial Narrow" w:hAnsi="Arial Narrow"/>
                <w:sz w:val="20"/>
              </w:rPr>
            </w:pPr>
            <w:r w:rsidRPr="004F29AA">
              <w:rPr>
                <w:rFonts w:ascii="Arial Narrow" w:hAnsi="Arial Narrow"/>
                <w:sz w:val="20"/>
              </w:rPr>
              <w:t>(Follow-up to 3 years)</w:t>
            </w:r>
          </w:p>
        </w:tc>
        <w:tc>
          <w:tcPr>
            <w:tcW w:w="409" w:type="pct"/>
            <w:shd w:val="clear" w:color="auto" w:fill="auto"/>
          </w:tcPr>
          <w:p w:rsidR="007F2D50" w:rsidRPr="004F29AA" w:rsidRDefault="007F2D50" w:rsidP="007F2D50">
            <w:pPr>
              <w:keepNext/>
              <w:jc w:val="center"/>
              <w:rPr>
                <w:rFonts w:ascii="Arial Narrow" w:hAnsi="Arial Narrow"/>
                <w:sz w:val="20"/>
                <w:highlight w:val="yellow"/>
              </w:rPr>
            </w:pPr>
            <w:r w:rsidRPr="004F29AA">
              <w:rPr>
                <w:rFonts w:ascii="Arial Narrow" w:hAnsi="Arial Narrow"/>
                <w:sz w:val="20"/>
              </w:rPr>
              <w:t>High</w:t>
            </w:r>
          </w:p>
        </w:tc>
        <w:tc>
          <w:tcPr>
            <w:tcW w:w="1528" w:type="pct"/>
            <w:shd w:val="clear" w:color="auto" w:fill="auto"/>
          </w:tcPr>
          <w:p w:rsidR="007F2D50" w:rsidRPr="004F29AA" w:rsidRDefault="007F2D50" w:rsidP="000A100A">
            <w:pPr>
              <w:pStyle w:val="ListParagraph"/>
              <w:keepNext/>
              <w:numPr>
                <w:ilvl w:val="0"/>
                <w:numId w:val="14"/>
              </w:numPr>
              <w:ind w:left="261" w:hanging="142"/>
              <w:jc w:val="left"/>
              <w:rPr>
                <w:rFonts w:ascii="Arial Narrow" w:hAnsi="Arial Narrow"/>
                <w:sz w:val="20"/>
              </w:rPr>
            </w:pPr>
            <w:r w:rsidRPr="004F29AA">
              <w:rPr>
                <w:rFonts w:ascii="Arial Narrow" w:hAnsi="Arial Narrow"/>
                <w:sz w:val="20"/>
              </w:rPr>
              <w:t xml:space="preserve">Adult; </w:t>
            </w:r>
          </w:p>
          <w:p w:rsidR="007F2D50" w:rsidRPr="004F29AA" w:rsidRDefault="007F2D50" w:rsidP="000A100A">
            <w:pPr>
              <w:pStyle w:val="ListParagraph"/>
              <w:keepNext/>
              <w:numPr>
                <w:ilvl w:val="0"/>
                <w:numId w:val="14"/>
              </w:numPr>
              <w:ind w:left="261" w:hanging="142"/>
              <w:jc w:val="left"/>
              <w:rPr>
                <w:rFonts w:ascii="Arial Narrow" w:hAnsi="Arial Narrow"/>
                <w:sz w:val="20"/>
              </w:rPr>
            </w:pPr>
            <w:r w:rsidRPr="004F29AA">
              <w:rPr>
                <w:rFonts w:ascii="Arial Narrow" w:hAnsi="Arial Narrow"/>
                <w:sz w:val="20"/>
              </w:rPr>
              <w:t>&gt; 10% blasts in bone marrow;</w:t>
            </w:r>
          </w:p>
          <w:p w:rsidR="007F2D50" w:rsidRPr="004F29AA" w:rsidRDefault="007F2D50" w:rsidP="000A100A">
            <w:pPr>
              <w:pStyle w:val="ListParagraph"/>
              <w:keepNext/>
              <w:numPr>
                <w:ilvl w:val="0"/>
                <w:numId w:val="14"/>
              </w:numPr>
              <w:ind w:left="261" w:hanging="142"/>
              <w:jc w:val="left"/>
              <w:rPr>
                <w:rFonts w:ascii="Arial Narrow" w:hAnsi="Arial Narrow"/>
                <w:sz w:val="20"/>
              </w:rPr>
            </w:pPr>
            <w:r w:rsidRPr="004F29AA">
              <w:rPr>
                <w:rFonts w:ascii="Arial Narrow" w:hAnsi="Arial Narrow"/>
                <w:sz w:val="20"/>
              </w:rPr>
              <w:t>Refractory disease;</w:t>
            </w:r>
          </w:p>
          <w:p w:rsidR="007F2D50" w:rsidRPr="004F29AA" w:rsidRDefault="007F2D50" w:rsidP="000A100A">
            <w:pPr>
              <w:pStyle w:val="ListParagraph"/>
              <w:keepNext/>
              <w:numPr>
                <w:ilvl w:val="0"/>
                <w:numId w:val="14"/>
              </w:numPr>
              <w:ind w:left="261" w:hanging="142"/>
              <w:jc w:val="left"/>
              <w:rPr>
                <w:rFonts w:ascii="Arial Narrow" w:hAnsi="Arial Narrow"/>
                <w:sz w:val="20"/>
              </w:rPr>
            </w:pPr>
            <w:r w:rsidRPr="004F29AA">
              <w:rPr>
                <w:rFonts w:ascii="Arial Narrow" w:hAnsi="Arial Narrow"/>
                <w:sz w:val="20"/>
              </w:rPr>
              <w:t>Relapsed disease with 1</w:t>
            </w:r>
            <w:r w:rsidRPr="004F29AA">
              <w:rPr>
                <w:rFonts w:ascii="Arial Narrow" w:hAnsi="Arial Narrow"/>
                <w:sz w:val="20"/>
                <w:vertAlign w:val="superscript"/>
              </w:rPr>
              <w:t>st</w:t>
            </w:r>
            <w:r w:rsidRPr="004F29AA">
              <w:rPr>
                <w:rFonts w:ascii="Arial Narrow" w:hAnsi="Arial Narrow"/>
                <w:sz w:val="20"/>
              </w:rPr>
              <w:t xml:space="preserve"> remission duration of ≤ 12 months; relapse after 1</w:t>
            </w:r>
            <w:r w:rsidRPr="004F29AA">
              <w:rPr>
                <w:rFonts w:ascii="Arial Narrow" w:hAnsi="Arial Narrow"/>
                <w:sz w:val="20"/>
                <w:vertAlign w:val="superscript"/>
              </w:rPr>
              <w:t>st</w:t>
            </w:r>
            <w:r w:rsidRPr="004F29AA">
              <w:rPr>
                <w:rFonts w:ascii="Arial Narrow" w:hAnsi="Arial Narrow"/>
                <w:sz w:val="20"/>
              </w:rPr>
              <w:t xml:space="preserve"> salvage therapy; or relapse ≤ 12 months after allogeneic HSCT</w:t>
            </w:r>
          </w:p>
        </w:tc>
        <w:tc>
          <w:tcPr>
            <w:tcW w:w="572" w:type="pct"/>
            <w:shd w:val="clear" w:color="auto" w:fill="auto"/>
          </w:tcPr>
          <w:p w:rsidR="007F2D50" w:rsidRPr="004F29AA" w:rsidRDefault="007F2D50" w:rsidP="007F2D50">
            <w:pPr>
              <w:keepNext/>
              <w:jc w:val="center"/>
              <w:rPr>
                <w:rFonts w:ascii="Arial Narrow" w:hAnsi="Arial Narrow"/>
                <w:sz w:val="20"/>
              </w:rPr>
            </w:pPr>
            <w:r w:rsidRPr="004F29AA">
              <w:rPr>
                <w:rFonts w:ascii="Arial Narrow" w:hAnsi="Arial Narrow"/>
                <w:sz w:val="20"/>
              </w:rPr>
              <w:t>CR, CRh*; HSCT rate; OS</w:t>
            </w:r>
          </w:p>
        </w:tc>
        <w:tc>
          <w:tcPr>
            <w:tcW w:w="521" w:type="pct"/>
            <w:shd w:val="clear" w:color="auto" w:fill="auto"/>
          </w:tcPr>
          <w:p w:rsidR="007F2D50" w:rsidRPr="004F29AA" w:rsidRDefault="007F2D50" w:rsidP="007F2D50">
            <w:pPr>
              <w:keepNext/>
              <w:jc w:val="center"/>
              <w:rPr>
                <w:rFonts w:ascii="Arial Narrow" w:hAnsi="Arial Narrow"/>
                <w:sz w:val="20"/>
              </w:rPr>
            </w:pPr>
            <w:r w:rsidRPr="004F29AA">
              <w:rPr>
                <w:rFonts w:ascii="Arial Narrow" w:hAnsi="Arial Narrow"/>
                <w:sz w:val="20"/>
              </w:rPr>
              <w:t>Yes</w:t>
            </w:r>
          </w:p>
        </w:tc>
      </w:tr>
      <w:tr w:rsidR="002C3284" w:rsidRPr="004F29AA" w:rsidTr="00566E9F">
        <w:trPr>
          <w:cantSplit/>
        </w:trPr>
        <w:tc>
          <w:tcPr>
            <w:tcW w:w="593" w:type="pct"/>
            <w:shd w:val="clear" w:color="auto" w:fill="auto"/>
          </w:tcPr>
          <w:p w:rsidR="007F2D50" w:rsidRPr="004F29AA" w:rsidRDefault="007F2D50" w:rsidP="007F2D50">
            <w:pPr>
              <w:jc w:val="left"/>
              <w:rPr>
                <w:rFonts w:ascii="Arial Narrow" w:hAnsi="Arial Narrow"/>
                <w:sz w:val="20"/>
              </w:rPr>
            </w:pPr>
            <w:r w:rsidRPr="004F29AA">
              <w:rPr>
                <w:rFonts w:ascii="Arial Narrow" w:hAnsi="Arial Narrow"/>
                <w:sz w:val="20"/>
              </w:rPr>
              <w:t>MT103-206</w:t>
            </w:r>
          </w:p>
        </w:tc>
        <w:tc>
          <w:tcPr>
            <w:tcW w:w="594"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36</w:t>
            </w:r>
          </w:p>
        </w:tc>
        <w:tc>
          <w:tcPr>
            <w:tcW w:w="782"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Single-arm, OL, MC</w:t>
            </w:r>
          </w:p>
          <w:p w:rsidR="007F2D50" w:rsidRPr="004F29AA" w:rsidRDefault="007F2D50" w:rsidP="007F2D50">
            <w:pPr>
              <w:jc w:val="center"/>
              <w:rPr>
                <w:rFonts w:ascii="Arial Narrow" w:hAnsi="Arial Narrow"/>
                <w:sz w:val="20"/>
              </w:rPr>
            </w:pPr>
            <w:r w:rsidRPr="004F29AA">
              <w:rPr>
                <w:rFonts w:ascii="Arial Narrow" w:hAnsi="Arial Narrow"/>
                <w:sz w:val="20"/>
              </w:rPr>
              <w:t>33 weeks</w:t>
            </w:r>
          </w:p>
          <w:p w:rsidR="007F2D50" w:rsidRPr="004F29AA" w:rsidRDefault="007F2D50" w:rsidP="007F2D50">
            <w:pPr>
              <w:jc w:val="center"/>
              <w:rPr>
                <w:rFonts w:ascii="Arial Narrow" w:hAnsi="Arial Narrow"/>
                <w:sz w:val="20"/>
              </w:rPr>
            </w:pPr>
            <w:r w:rsidRPr="004F29AA">
              <w:rPr>
                <w:rFonts w:ascii="Arial Narrow" w:hAnsi="Arial Narrow"/>
                <w:sz w:val="20"/>
              </w:rPr>
              <w:t>(Follow-up to 3 years)</w:t>
            </w:r>
          </w:p>
        </w:tc>
        <w:tc>
          <w:tcPr>
            <w:tcW w:w="409"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High</w:t>
            </w:r>
          </w:p>
        </w:tc>
        <w:tc>
          <w:tcPr>
            <w:tcW w:w="1528" w:type="pct"/>
            <w:shd w:val="clear" w:color="auto" w:fill="auto"/>
          </w:tcPr>
          <w:p w:rsidR="007F2D50" w:rsidRPr="004F29AA" w:rsidRDefault="007F2D50" w:rsidP="000A100A">
            <w:pPr>
              <w:pStyle w:val="ListParagraph"/>
              <w:numPr>
                <w:ilvl w:val="0"/>
                <w:numId w:val="15"/>
              </w:numPr>
              <w:ind w:left="261" w:hanging="142"/>
              <w:jc w:val="left"/>
              <w:rPr>
                <w:rFonts w:ascii="Arial Narrow" w:hAnsi="Arial Narrow"/>
                <w:sz w:val="20"/>
              </w:rPr>
            </w:pPr>
            <w:r w:rsidRPr="004F29AA">
              <w:rPr>
                <w:rFonts w:ascii="Arial Narrow" w:hAnsi="Arial Narrow"/>
                <w:sz w:val="20"/>
              </w:rPr>
              <w:t>Adult;</w:t>
            </w:r>
          </w:p>
          <w:p w:rsidR="007F2D50" w:rsidRPr="004F29AA" w:rsidRDefault="007F2D50" w:rsidP="000A100A">
            <w:pPr>
              <w:pStyle w:val="ListParagraph"/>
              <w:numPr>
                <w:ilvl w:val="0"/>
                <w:numId w:val="15"/>
              </w:numPr>
              <w:ind w:left="261" w:hanging="142"/>
              <w:jc w:val="left"/>
              <w:rPr>
                <w:rFonts w:ascii="Arial Narrow" w:hAnsi="Arial Narrow"/>
                <w:sz w:val="20"/>
              </w:rPr>
            </w:pPr>
            <w:r w:rsidRPr="004F29AA">
              <w:rPr>
                <w:rFonts w:ascii="Arial Narrow" w:hAnsi="Arial Narrow"/>
                <w:sz w:val="20"/>
              </w:rPr>
              <w:t>&gt; 5% blasts in bone marrow;</w:t>
            </w:r>
          </w:p>
          <w:p w:rsidR="007F2D50" w:rsidRPr="004F29AA" w:rsidRDefault="007F2D50" w:rsidP="000A100A">
            <w:pPr>
              <w:pStyle w:val="ListParagraph"/>
              <w:numPr>
                <w:ilvl w:val="0"/>
                <w:numId w:val="15"/>
              </w:numPr>
              <w:ind w:left="261" w:hanging="142"/>
              <w:jc w:val="left"/>
              <w:rPr>
                <w:rFonts w:ascii="Arial Narrow" w:hAnsi="Arial Narrow"/>
                <w:sz w:val="20"/>
              </w:rPr>
            </w:pPr>
            <w:r w:rsidRPr="004F29AA">
              <w:rPr>
                <w:rFonts w:ascii="Arial Narrow" w:hAnsi="Arial Narrow"/>
                <w:sz w:val="20"/>
              </w:rPr>
              <w:t>Refractory disease;</w:t>
            </w:r>
          </w:p>
          <w:p w:rsidR="007F2D50" w:rsidRPr="004F29AA" w:rsidRDefault="007F2D50" w:rsidP="000A100A">
            <w:pPr>
              <w:pStyle w:val="ListParagraph"/>
              <w:numPr>
                <w:ilvl w:val="0"/>
                <w:numId w:val="15"/>
              </w:numPr>
              <w:ind w:left="261" w:hanging="142"/>
              <w:jc w:val="left"/>
              <w:rPr>
                <w:rFonts w:ascii="Arial Narrow" w:hAnsi="Arial Narrow"/>
                <w:sz w:val="20"/>
              </w:rPr>
            </w:pPr>
            <w:r w:rsidRPr="004F29AA">
              <w:rPr>
                <w:rFonts w:ascii="Arial Narrow" w:hAnsi="Arial Narrow"/>
                <w:sz w:val="20"/>
              </w:rPr>
              <w:t>Relapsed disease with CR of &gt; 28 days</w:t>
            </w:r>
          </w:p>
        </w:tc>
        <w:tc>
          <w:tcPr>
            <w:tcW w:w="572"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CR, CRh*; HSCT rate; OS</w:t>
            </w:r>
          </w:p>
        </w:tc>
        <w:tc>
          <w:tcPr>
            <w:tcW w:w="521" w:type="pct"/>
            <w:shd w:val="clear" w:color="auto" w:fill="auto"/>
          </w:tcPr>
          <w:p w:rsidR="007F2D50" w:rsidRPr="004F29AA" w:rsidRDefault="0054702C" w:rsidP="007F2D50">
            <w:pPr>
              <w:jc w:val="center"/>
              <w:rPr>
                <w:rFonts w:ascii="Arial Narrow" w:hAnsi="Arial Narrow"/>
                <w:sz w:val="20"/>
              </w:rPr>
            </w:pPr>
            <w:r w:rsidRPr="004F29AA">
              <w:rPr>
                <w:rFonts w:ascii="Arial Narrow" w:hAnsi="Arial Narrow"/>
                <w:sz w:val="20"/>
              </w:rPr>
              <w:t>No</w:t>
            </w:r>
          </w:p>
        </w:tc>
      </w:tr>
      <w:tr w:rsidR="002C3284" w:rsidRPr="004F29AA" w:rsidTr="00566E9F">
        <w:trPr>
          <w:cantSplit/>
        </w:trPr>
        <w:tc>
          <w:tcPr>
            <w:tcW w:w="593" w:type="pct"/>
            <w:shd w:val="clear" w:color="auto" w:fill="auto"/>
          </w:tcPr>
          <w:p w:rsidR="007F2D50" w:rsidRPr="004F29AA" w:rsidRDefault="007F2D50" w:rsidP="007F2D50">
            <w:pPr>
              <w:jc w:val="left"/>
              <w:rPr>
                <w:rFonts w:ascii="Arial Narrow" w:hAnsi="Arial Narrow"/>
                <w:sz w:val="20"/>
              </w:rPr>
            </w:pPr>
            <w:r w:rsidRPr="004F29AA">
              <w:rPr>
                <w:rFonts w:ascii="Arial Narrow" w:hAnsi="Arial Narrow"/>
                <w:sz w:val="20"/>
              </w:rPr>
              <w:t>20120310</w:t>
            </w:r>
          </w:p>
        </w:tc>
        <w:tc>
          <w:tcPr>
            <w:tcW w:w="594"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1,139</w:t>
            </w:r>
          </w:p>
        </w:tc>
        <w:tc>
          <w:tcPr>
            <w:tcW w:w="782"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Retrospective historical control, pooled analysis, MC</w:t>
            </w:r>
          </w:p>
          <w:p w:rsidR="007F2D50" w:rsidRPr="004F29AA" w:rsidRDefault="007F2D50" w:rsidP="007F2D50">
            <w:pPr>
              <w:jc w:val="center"/>
              <w:rPr>
                <w:rFonts w:ascii="Arial Narrow" w:hAnsi="Arial Narrow"/>
                <w:sz w:val="20"/>
              </w:rPr>
            </w:pPr>
            <w:r w:rsidRPr="004F29AA">
              <w:rPr>
                <w:rFonts w:ascii="Arial Narrow" w:hAnsi="Arial Narrow"/>
                <w:sz w:val="20"/>
              </w:rPr>
              <w:t>(Follow-up to 5 years)</w:t>
            </w:r>
          </w:p>
        </w:tc>
        <w:tc>
          <w:tcPr>
            <w:tcW w:w="409"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High</w:t>
            </w:r>
          </w:p>
        </w:tc>
        <w:tc>
          <w:tcPr>
            <w:tcW w:w="1528" w:type="pct"/>
            <w:shd w:val="clear" w:color="auto" w:fill="auto"/>
          </w:tcPr>
          <w:p w:rsidR="007F2D50" w:rsidRPr="004F29AA" w:rsidRDefault="007F2D50" w:rsidP="000A100A">
            <w:pPr>
              <w:pStyle w:val="ListParagraph"/>
              <w:numPr>
                <w:ilvl w:val="0"/>
                <w:numId w:val="16"/>
              </w:numPr>
              <w:ind w:left="261" w:hanging="176"/>
              <w:jc w:val="left"/>
              <w:rPr>
                <w:rFonts w:ascii="Arial Narrow" w:hAnsi="Arial Narrow"/>
                <w:sz w:val="20"/>
              </w:rPr>
            </w:pPr>
            <w:r w:rsidRPr="004F29AA">
              <w:rPr>
                <w:rFonts w:ascii="Arial Narrow" w:hAnsi="Arial Narrow"/>
                <w:sz w:val="20"/>
              </w:rPr>
              <w:t xml:space="preserve">Adult; </w:t>
            </w:r>
          </w:p>
          <w:p w:rsidR="007F2D50" w:rsidRPr="004F29AA" w:rsidRDefault="007F2D50" w:rsidP="000A100A">
            <w:pPr>
              <w:pStyle w:val="ListParagraph"/>
              <w:numPr>
                <w:ilvl w:val="0"/>
                <w:numId w:val="16"/>
              </w:numPr>
              <w:ind w:left="261" w:hanging="176"/>
              <w:jc w:val="left"/>
              <w:rPr>
                <w:rFonts w:ascii="Arial Narrow" w:hAnsi="Arial Narrow"/>
                <w:sz w:val="20"/>
              </w:rPr>
            </w:pPr>
            <w:r w:rsidRPr="004F29AA">
              <w:rPr>
                <w:rFonts w:ascii="Arial Narrow" w:hAnsi="Arial Narrow"/>
                <w:sz w:val="20"/>
              </w:rPr>
              <w:t>In first relapse or salvage treatment after first remission of ≥ 12 months;</w:t>
            </w:r>
          </w:p>
          <w:p w:rsidR="007F2D50" w:rsidRPr="004F29AA" w:rsidRDefault="007F2D50" w:rsidP="000A100A">
            <w:pPr>
              <w:pStyle w:val="ListParagraph"/>
              <w:numPr>
                <w:ilvl w:val="0"/>
                <w:numId w:val="16"/>
              </w:numPr>
              <w:ind w:left="261" w:hanging="176"/>
              <w:jc w:val="left"/>
              <w:rPr>
                <w:rFonts w:ascii="Arial Narrow" w:hAnsi="Arial Narrow"/>
                <w:sz w:val="20"/>
              </w:rPr>
            </w:pPr>
            <w:r w:rsidRPr="004F29AA">
              <w:rPr>
                <w:rFonts w:ascii="Arial Narrow" w:hAnsi="Arial Narrow"/>
                <w:sz w:val="20"/>
              </w:rPr>
              <w:t>Refractory to initial treatment;</w:t>
            </w:r>
          </w:p>
          <w:p w:rsidR="007F2D50" w:rsidRPr="004F29AA" w:rsidRDefault="007F2D50" w:rsidP="000A100A">
            <w:pPr>
              <w:pStyle w:val="ListParagraph"/>
              <w:numPr>
                <w:ilvl w:val="0"/>
                <w:numId w:val="16"/>
              </w:numPr>
              <w:ind w:left="261" w:hanging="176"/>
              <w:jc w:val="left"/>
              <w:rPr>
                <w:rFonts w:ascii="Arial Narrow" w:hAnsi="Arial Narrow"/>
                <w:sz w:val="20"/>
              </w:rPr>
            </w:pPr>
            <w:r w:rsidRPr="004F29AA">
              <w:rPr>
                <w:rFonts w:ascii="Arial Narrow" w:hAnsi="Arial Narrow"/>
                <w:sz w:val="20"/>
              </w:rPr>
              <w:t>Relapse ≤ 12 months after HSCT</w:t>
            </w:r>
          </w:p>
        </w:tc>
        <w:tc>
          <w:tcPr>
            <w:tcW w:w="572"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 xml:space="preserve">CRsg </w:t>
            </w:r>
          </w:p>
        </w:tc>
        <w:tc>
          <w:tcPr>
            <w:tcW w:w="521" w:type="pct"/>
            <w:shd w:val="clear" w:color="auto" w:fill="auto"/>
          </w:tcPr>
          <w:p w:rsidR="007F2D50" w:rsidRPr="004F29AA" w:rsidRDefault="007F2D50" w:rsidP="007F2D50">
            <w:pPr>
              <w:jc w:val="center"/>
              <w:rPr>
                <w:rFonts w:ascii="Arial Narrow" w:hAnsi="Arial Narrow"/>
                <w:sz w:val="20"/>
              </w:rPr>
            </w:pPr>
            <w:r w:rsidRPr="004F29AA">
              <w:rPr>
                <w:rFonts w:ascii="Arial Narrow" w:hAnsi="Arial Narrow"/>
                <w:sz w:val="20"/>
              </w:rPr>
              <w:t>Yes</w:t>
            </w:r>
          </w:p>
        </w:tc>
      </w:tr>
    </w:tbl>
    <w:p w:rsidR="007F2D50" w:rsidRPr="004F29AA" w:rsidRDefault="007F2D50" w:rsidP="007F2D50">
      <w:pPr>
        <w:ind w:left="720"/>
        <w:rPr>
          <w:rFonts w:ascii="Arial Narrow" w:hAnsi="Arial Narrow"/>
          <w:sz w:val="18"/>
          <w:szCs w:val="18"/>
        </w:rPr>
      </w:pPr>
      <w:r w:rsidRPr="004F29AA">
        <w:rPr>
          <w:rFonts w:ascii="Arial Narrow" w:hAnsi="Arial Narrow"/>
          <w:sz w:val="18"/>
          <w:szCs w:val="18"/>
        </w:rPr>
        <w:t>Source:</w:t>
      </w:r>
      <w:r w:rsidR="006C7C31" w:rsidRPr="004F29AA">
        <w:rPr>
          <w:rFonts w:ascii="Arial Narrow" w:hAnsi="Arial Narrow"/>
          <w:i/>
          <w:sz w:val="18"/>
          <w:szCs w:val="18"/>
        </w:rPr>
        <w:t xml:space="preserve"> </w:t>
      </w:r>
      <w:r w:rsidR="006C7C31" w:rsidRPr="004F29AA">
        <w:rPr>
          <w:rFonts w:ascii="Arial Narrow" w:hAnsi="Arial Narrow"/>
          <w:sz w:val="18"/>
          <w:szCs w:val="18"/>
        </w:rPr>
        <w:t xml:space="preserve">compiled during </w:t>
      </w:r>
      <w:r w:rsidR="00061DFD" w:rsidRPr="004F29AA">
        <w:rPr>
          <w:rFonts w:ascii="Arial Narrow" w:hAnsi="Arial Narrow"/>
          <w:sz w:val="18"/>
          <w:szCs w:val="18"/>
        </w:rPr>
        <w:t xml:space="preserve">the </w:t>
      </w:r>
      <w:r w:rsidR="006C7C31" w:rsidRPr="004F29AA">
        <w:rPr>
          <w:rFonts w:ascii="Arial Narrow" w:hAnsi="Arial Narrow"/>
          <w:sz w:val="18"/>
          <w:szCs w:val="18"/>
        </w:rPr>
        <w:t>evaluation</w:t>
      </w:r>
    </w:p>
    <w:p w:rsidR="007F2D50" w:rsidRPr="004F29AA" w:rsidRDefault="007F2D50" w:rsidP="007F2D50">
      <w:pPr>
        <w:ind w:left="720"/>
        <w:rPr>
          <w:rFonts w:ascii="Arial Narrow" w:hAnsi="Arial Narrow"/>
          <w:sz w:val="18"/>
          <w:szCs w:val="18"/>
        </w:rPr>
      </w:pPr>
      <w:r w:rsidRPr="004F29AA">
        <w:rPr>
          <w:rFonts w:ascii="Arial Narrow" w:hAnsi="Arial Narrow"/>
          <w:sz w:val="18"/>
          <w:szCs w:val="18"/>
        </w:rPr>
        <w:t>CR = complete remission; CRh* = complete remission with partial haematological recovery; CRsg = complete remission as per study definition; FAS = full analysis set; HSCT = haematopoietic stem cell transplant; MC = multi</w:t>
      </w:r>
      <w:r w:rsidR="0023226F" w:rsidRPr="004F29AA">
        <w:rPr>
          <w:rFonts w:ascii="Arial Narrow" w:hAnsi="Arial Narrow"/>
          <w:sz w:val="18"/>
          <w:szCs w:val="18"/>
        </w:rPr>
        <w:t>-</w:t>
      </w:r>
      <w:r w:rsidRPr="004F29AA">
        <w:rPr>
          <w:rFonts w:ascii="Arial Narrow" w:hAnsi="Arial Narrow"/>
          <w:sz w:val="18"/>
          <w:szCs w:val="18"/>
        </w:rPr>
        <w:t>centre; OL = open</w:t>
      </w:r>
      <w:r w:rsidR="0023226F" w:rsidRPr="004F29AA">
        <w:rPr>
          <w:rFonts w:ascii="Arial Narrow" w:hAnsi="Arial Narrow"/>
          <w:sz w:val="18"/>
          <w:szCs w:val="18"/>
        </w:rPr>
        <w:t>-</w:t>
      </w:r>
      <w:r w:rsidRPr="004F29AA">
        <w:rPr>
          <w:rFonts w:ascii="Arial Narrow" w:hAnsi="Arial Narrow"/>
          <w:sz w:val="18"/>
          <w:szCs w:val="18"/>
        </w:rPr>
        <w:t>label; OS</w:t>
      </w:r>
      <w:r w:rsidR="003B35DE" w:rsidRPr="004F29AA">
        <w:rPr>
          <w:rFonts w:ascii="Arial Narrow" w:hAnsi="Arial Narrow"/>
          <w:sz w:val="18"/>
          <w:szCs w:val="18"/>
        </w:rPr>
        <w:t> </w:t>
      </w:r>
      <w:r w:rsidRPr="004F29AA">
        <w:rPr>
          <w:rFonts w:ascii="Arial Narrow" w:hAnsi="Arial Narrow"/>
          <w:sz w:val="18"/>
          <w:szCs w:val="18"/>
        </w:rPr>
        <w:t>=</w:t>
      </w:r>
      <w:r w:rsidR="003B35DE" w:rsidRPr="004F29AA">
        <w:rPr>
          <w:rFonts w:ascii="Arial Narrow" w:hAnsi="Arial Narrow"/>
          <w:sz w:val="18"/>
          <w:szCs w:val="18"/>
        </w:rPr>
        <w:t> </w:t>
      </w:r>
      <w:r w:rsidRPr="004F29AA">
        <w:rPr>
          <w:rFonts w:ascii="Arial Narrow" w:hAnsi="Arial Narrow"/>
          <w:sz w:val="18"/>
          <w:szCs w:val="18"/>
        </w:rPr>
        <w:t>overall survival; PAS = primary analysis set</w:t>
      </w:r>
    </w:p>
    <w:p w:rsidR="007F2D50" w:rsidRPr="004F29AA" w:rsidRDefault="007F2D50" w:rsidP="007F2D50">
      <w:pPr>
        <w:ind w:left="720"/>
      </w:pPr>
    </w:p>
    <w:p w:rsidR="00350511" w:rsidRPr="004F29AA" w:rsidRDefault="00350511" w:rsidP="000A100A">
      <w:pPr>
        <w:pStyle w:val="ListParagraph"/>
        <w:widowControl/>
        <w:numPr>
          <w:ilvl w:val="1"/>
          <w:numId w:val="1"/>
        </w:numPr>
        <w:rPr>
          <w:szCs w:val="22"/>
        </w:rPr>
      </w:pPr>
      <w:r w:rsidRPr="004F29AA">
        <w:rPr>
          <w:szCs w:val="22"/>
        </w:rPr>
        <w:t xml:space="preserve">The MT103-211 and MT103-206 studies were </w:t>
      </w:r>
      <w:r w:rsidR="00D5568F" w:rsidRPr="004F29AA">
        <w:rPr>
          <w:szCs w:val="22"/>
        </w:rPr>
        <w:t>prospective</w:t>
      </w:r>
      <w:r w:rsidRPr="004F29AA">
        <w:rPr>
          <w:szCs w:val="22"/>
        </w:rPr>
        <w:t xml:space="preserve">, open-label, single arm studies. </w:t>
      </w:r>
      <w:r w:rsidRPr="004F29AA">
        <w:t xml:space="preserve">Study 20120310 was a retrospective study which sought to identify response rate and overall survival in a comparable patient population to MT103-211. Analyses of this study were performed using a weighted distribution of key patient prognostic factors to match MT103-211, </w:t>
      </w:r>
      <w:r w:rsidR="00B47C42" w:rsidRPr="004F29AA">
        <w:t>(</w:t>
      </w:r>
      <w:r w:rsidRPr="004F29AA">
        <w:t>i.e. age (&lt;35 year</w:t>
      </w:r>
      <w:r w:rsidR="00B47C42" w:rsidRPr="004F29AA">
        <w:t>s</w:t>
      </w:r>
      <w:r w:rsidRPr="004F29AA">
        <w:t>, ≥35 year</w:t>
      </w:r>
      <w:r w:rsidR="00B47C42" w:rsidRPr="004F29AA">
        <w:t>s</w:t>
      </w:r>
      <w:r w:rsidRPr="004F29AA">
        <w:t xml:space="preserve">); prior lines of treatment; and prior </w:t>
      </w:r>
      <w:r w:rsidR="00E878F6" w:rsidRPr="004F29AA">
        <w:t xml:space="preserve">allogeneic </w:t>
      </w:r>
      <w:r w:rsidRPr="004F29AA">
        <w:t>HSCT</w:t>
      </w:r>
      <w:r w:rsidR="00B47C42" w:rsidRPr="004F29AA">
        <w:t>)</w:t>
      </w:r>
      <w:r w:rsidR="00726C4F" w:rsidRPr="004F29AA">
        <w:t>.</w:t>
      </w:r>
      <w:r w:rsidR="00024F40" w:rsidRPr="004F29AA">
        <w:t xml:space="preserve"> The submission and </w:t>
      </w:r>
      <w:r w:rsidR="00A84E57" w:rsidRPr="004F29AA">
        <w:t>study protocol for 20120310</w:t>
      </w:r>
      <w:r w:rsidR="00024F40" w:rsidRPr="004F29AA">
        <w:t xml:space="preserve"> do not justify why these variables were chosen.</w:t>
      </w:r>
    </w:p>
    <w:p w:rsidR="00350511" w:rsidRPr="004F29AA" w:rsidRDefault="00350511" w:rsidP="007F2D50">
      <w:pPr>
        <w:ind w:left="720"/>
      </w:pPr>
    </w:p>
    <w:p w:rsidR="00A84E57" w:rsidRPr="004F29AA" w:rsidRDefault="00024F40" w:rsidP="000442E2">
      <w:pPr>
        <w:pStyle w:val="ListParagraph"/>
        <w:widowControl/>
        <w:numPr>
          <w:ilvl w:val="1"/>
          <w:numId w:val="1"/>
        </w:numPr>
        <w:rPr>
          <w:szCs w:val="22"/>
        </w:rPr>
      </w:pPr>
      <w:r w:rsidRPr="004F29AA">
        <w:rPr>
          <w:szCs w:val="22"/>
        </w:rPr>
        <w:t xml:space="preserve">The ESC considered there is likely significant bias due to residual confounding, despite the adjustment to the patient prognostic factors listed above. </w:t>
      </w:r>
      <w:r w:rsidR="00A84E57" w:rsidRPr="004F29AA">
        <w:rPr>
          <w:szCs w:val="22"/>
        </w:rPr>
        <w:t xml:space="preserve">Bone marrow blast at baseline </w:t>
      </w:r>
      <w:r w:rsidR="00565BCC" w:rsidRPr="004F29AA">
        <w:rPr>
          <w:szCs w:val="22"/>
        </w:rPr>
        <w:t>was a significant pre-specified prognostic</w:t>
      </w:r>
      <w:r w:rsidR="00A84E57" w:rsidRPr="004F29AA">
        <w:rPr>
          <w:szCs w:val="22"/>
        </w:rPr>
        <w:t xml:space="preserve"> factor </w:t>
      </w:r>
      <w:r w:rsidR="00565BCC" w:rsidRPr="004F29AA">
        <w:rPr>
          <w:szCs w:val="22"/>
        </w:rPr>
        <w:t xml:space="preserve">for response and the OS </w:t>
      </w:r>
      <w:r w:rsidR="00A84E57" w:rsidRPr="004F29AA">
        <w:rPr>
          <w:szCs w:val="22"/>
        </w:rPr>
        <w:t xml:space="preserve">in MT103-211, with </w:t>
      </w:r>
      <w:r w:rsidR="00035BB9" w:rsidRPr="004F29AA">
        <w:rPr>
          <w:szCs w:val="22"/>
        </w:rPr>
        <w:t xml:space="preserve">a </w:t>
      </w:r>
      <w:r w:rsidR="00A84E57" w:rsidRPr="004F29AA">
        <w:rPr>
          <w:szCs w:val="22"/>
        </w:rPr>
        <w:t>lower response rate in patients with &gt;50%</w:t>
      </w:r>
      <w:r w:rsidR="00035BB9" w:rsidRPr="004F29AA">
        <w:rPr>
          <w:szCs w:val="22"/>
        </w:rPr>
        <w:t xml:space="preserve"> blasts</w:t>
      </w:r>
      <w:r w:rsidR="00A84E57" w:rsidRPr="004F29AA">
        <w:rPr>
          <w:szCs w:val="22"/>
        </w:rPr>
        <w:t>. In the historical controls, there are a lower percentage of patients with &lt;50% blasts and it is therefore unclear whether the response rate would have been different. This may underestimate the efficacy of standard of care.</w:t>
      </w:r>
    </w:p>
    <w:p w:rsidR="00A84E57" w:rsidRPr="004F29AA" w:rsidRDefault="00A84E57" w:rsidP="00A84E57">
      <w:pPr>
        <w:pStyle w:val="ListParagraph"/>
        <w:rPr>
          <w:szCs w:val="22"/>
        </w:rPr>
      </w:pPr>
    </w:p>
    <w:p w:rsidR="003967AE" w:rsidRPr="00964A10" w:rsidRDefault="00A84E57" w:rsidP="003967AE">
      <w:pPr>
        <w:pStyle w:val="ListParagraph"/>
        <w:widowControl/>
        <w:numPr>
          <w:ilvl w:val="1"/>
          <w:numId w:val="1"/>
        </w:numPr>
        <w:rPr>
          <w:szCs w:val="22"/>
        </w:rPr>
      </w:pPr>
      <w:r w:rsidRPr="004F29AA">
        <w:rPr>
          <w:szCs w:val="22"/>
        </w:rPr>
        <w:t xml:space="preserve">Platelet levels were another </w:t>
      </w:r>
      <w:r w:rsidR="00565BCC" w:rsidRPr="004F29AA">
        <w:rPr>
          <w:szCs w:val="22"/>
        </w:rPr>
        <w:t xml:space="preserve">significant prognostic factor of response and OS </w:t>
      </w:r>
      <w:r w:rsidRPr="004F29AA">
        <w:rPr>
          <w:szCs w:val="22"/>
        </w:rPr>
        <w:t xml:space="preserve">highlighted by MT103-211. This was also not included in the ‘key’ variables adjusted </w:t>
      </w:r>
      <w:r w:rsidRPr="004F29AA">
        <w:rPr>
          <w:szCs w:val="22"/>
        </w:rPr>
        <w:lastRenderedPageBreak/>
        <w:t xml:space="preserve">for. Insufficient detail is </w:t>
      </w:r>
      <w:r w:rsidR="00565BCC" w:rsidRPr="004F29AA">
        <w:rPr>
          <w:szCs w:val="22"/>
        </w:rPr>
        <w:t>provided</w:t>
      </w:r>
      <w:r w:rsidRPr="004F29AA">
        <w:rPr>
          <w:szCs w:val="22"/>
        </w:rPr>
        <w:t xml:space="preserve"> to assess whether </w:t>
      </w:r>
      <w:r w:rsidR="00565BCC" w:rsidRPr="004F29AA">
        <w:rPr>
          <w:szCs w:val="22"/>
        </w:rPr>
        <w:t xml:space="preserve">or </w:t>
      </w:r>
      <w:r w:rsidRPr="004F29AA">
        <w:rPr>
          <w:szCs w:val="22"/>
        </w:rPr>
        <w:t>not adjusting for this variable has significantly biased the estimate of treatment effect.</w:t>
      </w:r>
      <w:r w:rsidR="00565BCC" w:rsidRPr="004F29AA">
        <w:rPr>
          <w:szCs w:val="22"/>
        </w:rPr>
        <w:t xml:space="preserve"> Sufficient sensitivity analyses were not undertaken regarding the effect of adjusting for </w:t>
      </w:r>
      <w:r w:rsidR="003967AE" w:rsidRPr="004F29AA">
        <w:rPr>
          <w:szCs w:val="22"/>
        </w:rPr>
        <w:t xml:space="preserve">these </w:t>
      </w:r>
      <w:r w:rsidR="00565BCC" w:rsidRPr="004F29AA">
        <w:rPr>
          <w:szCs w:val="22"/>
        </w:rPr>
        <w:t>other variables on the treatment effect estimate (and subseq</w:t>
      </w:r>
      <w:r w:rsidR="00964A10">
        <w:rPr>
          <w:szCs w:val="22"/>
        </w:rPr>
        <w:t>uently on the estimated ICER).</w:t>
      </w:r>
    </w:p>
    <w:p w:rsidR="00964A10" w:rsidRPr="00B242D3" w:rsidRDefault="00964A10" w:rsidP="00B242D3">
      <w:bookmarkStart w:id="15" w:name="_Toc426958211"/>
      <w:bookmarkStart w:id="16" w:name="_Toc430079469"/>
    </w:p>
    <w:p w:rsidR="007F2D50" w:rsidRPr="004F29AA" w:rsidRDefault="007F2D50" w:rsidP="007F2D50">
      <w:pPr>
        <w:pStyle w:val="Heading2"/>
        <w:rPr>
          <w:i/>
        </w:rPr>
      </w:pPr>
      <w:r w:rsidRPr="004F29AA">
        <w:rPr>
          <w:i/>
        </w:rPr>
        <w:t>Comparative effectiveness</w:t>
      </w:r>
      <w:bookmarkEnd w:id="15"/>
      <w:bookmarkEnd w:id="16"/>
    </w:p>
    <w:p w:rsidR="007F2D50" w:rsidRPr="004F29AA" w:rsidRDefault="007F2D50" w:rsidP="007F2D50">
      <w:pPr>
        <w:rPr>
          <w:szCs w:val="22"/>
        </w:rPr>
      </w:pPr>
    </w:p>
    <w:p w:rsidR="000238C9" w:rsidRPr="004F29AA" w:rsidRDefault="007F2D50" w:rsidP="000442E2">
      <w:pPr>
        <w:pStyle w:val="ListParagraph"/>
        <w:widowControl/>
        <w:numPr>
          <w:ilvl w:val="1"/>
          <w:numId w:val="1"/>
        </w:numPr>
      </w:pPr>
      <w:r w:rsidRPr="004F29AA">
        <w:rPr>
          <w:szCs w:val="22"/>
        </w:rPr>
        <w:t xml:space="preserve">The key outcomes from the non-randomised studies used in the submission are presented in the table below. </w:t>
      </w:r>
      <w:r w:rsidR="000238C9" w:rsidRPr="004F29AA">
        <w:t xml:space="preserve">Approximately </w:t>
      </w:r>
      <w:r w:rsidR="001503CE">
        <w:rPr>
          <w:noProof/>
          <w:color w:val="000000"/>
          <w:highlight w:val="black"/>
        </w:rPr>
        <w:t>'''''''''''''''''''</w:t>
      </w:r>
      <w:r w:rsidR="000238C9" w:rsidRPr="004F29AA">
        <w:t xml:space="preserve"> of patients in the historical control study were diagnosed between the year 1990 and 1999 when treatment practices were different. The blinatumomab studies were conducted in 2010 and 2011. This may have resulted in an underestimation of the effects of standard of care chemotherapy. The PSCR (p2) argue</w:t>
      </w:r>
      <w:r w:rsidR="003613EE" w:rsidRPr="004F29AA">
        <w:t>d</w:t>
      </w:r>
      <w:r w:rsidR="000238C9" w:rsidRPr="004F29AA">
        <w:t xml:space="preserve"> that given the rarity of ALL it was important to include as much historical control data as was considered comparable. To justify the inclusion of the ‘earlier’ historical data (1990-1999), the PSCR presented an analysis of outcomes by calendar period from the historical comparator data, which showed that there was </w:t>
      </w:r>
      <w:r w:rsidR="001503CE">
        <w:rPr>
          <w:noProof/>
          <w:color w:val="000000"/>
          <w:highlight w:val="black"/>
        </w:rPr>
        <w:t>'''''' ''''''''''''''''''''''''</w:t>
      </w:r>
      <w:r w:rsidR="000238C9" w:rsidRPr="004F29AA">
        <w:t xml:space="preserve"> in terms of complete remission (CR), and </w:t>
      </w:r>
      <w:r w:rsidR="001503CE">
        <w:rPr>
          <w:noProof/>
          <w:color w:val="000000"/>
          <w:highlight w:val="black"/>
        </w:rPr>
        <w:t>''''''''' '''' ''''''''''''' '''''''''''''''''''''''''</w:t>
      </w:r>
      <w:r w:rsidR="000238C9" w:rsidRPr="004F29AA">
        <w:t xml:space="preserve"> in overall survival, when data from the earlier (1990-1999) and later (2000+) time periods are compared. The ESC noted the analysis, but remained concerned that the historical data may underestimate response in the comparator arm (and therefore overestimate the relative benefit of blinatumomab treatment).</w:t>
      </w:r>
    </w:p>
    <w:p w:rsidR="000238C9" w:rsidRPr="004F29AA" w:rsidRDefault="000238C9" w:rsidP="000238C9">
      <w:pPr>
        <w:pStyle w:val="ListParagraph"/>
        <w:widowControl/>
      </w:pPr>
    </w:p>
    <w:p w:rsidR="00E97A31" w:rsidRPr="004F29AA" w:rsidRDefault="00924D44" w:rsidP="000442E2">
      <w:pPr>
        <w:pStyle w:val="ListParagraph"/>
        <w:widowControl/>
        <w:numPr>
          <w:ilvl w:val="1"/>
          <w:numId w:val="1"/>
        </w:numPr>
      </w:pPr>
      <w:r w:rsidRPr="004F29AA">
        <w:rPr>
          <w:szCs w:val="22"/>
        </w:rPr>
        <w:t xml:space="preserve">The ESC noted the PSCR (p1) suggestion that </w:t>
      </w:r>
      <w:r w:rsidR="00024F40" w:rsidRPr="004F29AA">
        <w:rPr>
          <w:szCs w:val="22"/>
        </w:rPr>
        <w:t xml:space="preserve">the historical cohort data are considered comparable as no significantly new treatments or improvements for </w:t>
      </w:r>
      <w:r w:rsidR="00035BB9" w:rsidRPr="004F29AA">
        <w:rPr>
          <w:szCs w:val="22"/>
        </w:rPr>
        <w:t>relapsed or refractory</w:t>
      </w:r>
      <w:r w:rsidR="00024F40" w:rsidRPr="004F29AA">
        <w:rPr>
          <w:szCs w:val="22"/>
        </w:rPr>
        <w:t xml:space="preserve"> ALL had emerged since the 1990’s. However, ESC </w:t>
      </w:r>
      <w:r w:rsidR="00E97A31" w:rsidRPr="004F29AA">
        <w:rPr>
          <w:szCs w:val="22"/>
        </w:rPr>
        <w:t>still considered the data post</w:t>
      </w:r>
      <w:r w:rsidR="00D4410C" w:rsidRPr="004F29AA">
        <w:rPr>
          <w:szCs w:val="22"/>
        </w:rPr>
        <w:t>-</w:t>
      </w:r>
      <w:r w:rsidR="00E97A31" w:rsidRPr="004F29AA">
        <w:rPr>
          <w:szCs w:val="22"/>
        </w:rPr>
        <w:t>2000 to be informative</w:t>
      </w:r>
      <w:r w:rsidR="00035BB9" w:rsidRPr="004F29AA">
        <w:rPr>
          <w:szCs w:val="22"/>
        </w:rPr>
        <w:t xml:space="preserve"> (an additional column was added to the results table below)</w:t>
      </w:r>
      <w:r w:rsidR="00E97A31" w:rsidRPr="004F29AA">
        <w:rPr>
          <w:szCs w:val="22"/>
        </w:rPr>
        <w:t xml:space="preserve">. It was noted </w:t>
      </w:r>
      <w:r w:rsidR="00E97A31" w:rsidRPr="004F29AA">
        <w:t>there have been major changes in salvage therapies, supportive care treatments and allogeneic HSCT procedures over the past 25 years, including the introduction of broad spectrum antibiotics (e.g. piperacillin-tazobactam, carbapenems, and third-, fourth-, and fifth-generation cephalosporins), antifungals (e.g. caspofungin, voriconazole, micafungin), advanced blood transfusion techniques and better transplant facilities.</w:t>
      </w:r>
    </w:p>
    <w:p w:rsidR="00E97A31" w:rsidRPr="004F29AA" w:rsidRDefault="00E97A31" w:rsidP="00E97A31">
      <w:pPr>
        <w:pStyle w:val="ListParagraph"/>
        <w:widowControl/>
      </w:pPr>
    </w:p>
    <w:p w:rsidR="00924D44" w:rsidRPr="004F29AA" w:rsidRDefault="00924D44" w:rsidP="00C40409">
      <w:pPr>
        <w:keepNext/>
        <w:spacing w:line="480" w:lineRule="auto"/>
        <w:ind w:firstLine="720"/>
        <w:rPr>
          <w:rStyle w:val="CommentReference"/>
        </w:rPr>
      </w:pPr>
      <w:r w:rsidRPr="004F29AA">
        <w:rPr>
          <w:rStyle w:val="CommentReference"/>
        </w:rPr>
        <w:t>Table 3: Key results across the non-randomised studies</w:t>
      </w:r>
    </w:p>
    <w:tbl>
      <w:tblPr>
        <w:tblW w:w="455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Key results across the non-randomised studies"/>
      </w:tblPr>
      <w:tblGrid>
        <w:gridCol w:w="2046"/>
        <w:gridCol w:w="1200"/>
        <w:gridCol w:w="1326"/>
        <w:gridCol w:w="1326"/>
        <w:gridCol w:w="1184"/>
        <w:gridCol w:w="1184"/>
      </w:tblGrid>
      <w:tr w:rsidR="00924D44" w:rsidRPr="004F29AA" w:rsidTr="00924D44">
        <w:trPr>
          <w:cantSplit/>
          <w:tblHeader/>
        </w:trPr>
        <w:tc>
          <w:tcPr>
            <w:tcW w:w="1237" w:type="pct"/>
            <w:tcBorders>
              <w:top w:val="single" w:sz="4" w:space="0" w:color="auto"/>
              <w:left w:val="single" w:sz="4" w:space="0" w:color="auto"/>
              <w:bottom w:val="single" w:sz="4" w:space="0" w:color="auto"/>
              <w:right w:val="single" w:sz="4" w:space="0" w:color="auto"/>
            </w:tcBorders>
            <w:vAlign w:val="center"/>
          </w:tcPr>
          <w:p w:rsidR="00924D44" w:rsidRPr="004F29AA" w:rsidRDefault="00924D44">
            <w:pPr>
              <w:keepNext/>
              <w:snapToGrid w:val="0"/>
              <w:jc w:val="left"/>
              <w:rPr>
                <w:rFonts w:ascii="Arial Narrow" w:hAnsi="Arial Narrow"/>
                <w:b/>
                <w:sz w:val="20"/>
              </w:rPr>
            </w:pPr>
          </w:p>
        </w:tc>
        <w:tc>
          <w:tcPr>
            <w:tcW w:w="1528" w:type="pct"/>
            <w:gridSpan w:val="2"/>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ind w:right="-108"/>
              <w:jc w:val="center"/>
              <w:rPr>
                <w:rFonts w:ascii="Arial Narrow" w:hAnsi="Arial Narrow"/>
                <w:b/>
                <w:sz w:val="20"/>
              </w:rPr>
            </w:pPr>
            <w:r w:rsidRPr="004F29AA">
              <w:rPr>
                <w:rFonts w:ascii="Arial Narrow" w:hAnsi="Arial Narrow"/>
                <w:b/>
                <w:sz w:val="20"/>
              </w:rPr>
              <w:t xml:space="preserve">MT103-211 </w:t>
            </w:r>
            <w:r w:rsidRPr="004F29AA">
              <w:rPr>
                <w:rFonts w:ascii="Arial Narrow" w:hAnsi="Arial Narrow"/>
                <w:b/>
                <w:sz w:val="20"/>
                <w:vertAlign w:val="superscript"/>
              </w:rPr>
              <w:t>a</w:t>
            </w:r>
          </w:p>
        </w:tc>
        <w:tc>
          <w:tcPr>
            <w:tcW w:w="802"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b/>
                <w:sz w:val="20"/>
              </w:rPr>
            </w:pPr>
            <w:r w:rsidRPr="004F29AA">
              <w:rPr>
                <w:rFonts w:ascii="Arial Narrow" w:hAnsi="Arial Narrow"/>
                <w:b/>
                <w:sz w:val="20"/>
              </w:rPr>
              <w:t>MT103-206</w:t>
            </w:r>
          </w:p>
        </w:tc>
        <w:tc>
          <w:tcPr>
            <w:tcW w:w="1432" w:type="pct"/>
            <w:gridSpan w:val="2"/>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b/>
                <w:sz w:val="20"/>
              </w:rPr>
            </w:pPr>
            <w:r w:rsidRPr="004F29AA">
              <w:rPr>
                <w:rFonts w:ascii="Arial Narrow" w:hAnsi="Arial Narrow"/>
                <w:b/>
                <w:sz w:val="20"/>
              </w:rPr>
              <w:t xml:space="preserve">20120310 </w:t>
            </w:r>
          </w:p>
        </w:tc>
      </w:tr>
      <w:tr w:rsidR="00924D44" w:rsidRPr="004F29AA" w:rsidTr="00924D44">
        <w:trPr>
          <w:cantSplit/>
        </w:trPr>
        <w:tc>
          <w:tcPr>
            <w:tcW w:w="1237" w:type="pct"/>
            <w:tcBorders>
              <w:top w:val="single" w:sz="4" w:space="0" w:color="auto"/>
              <w:left w:val="single" w:sz="4" w:space="0" w:color="auto"/>
              <w:bottom w:val="single" w:sz="4" w:space="0" w:color="auto"/>
              <w:right w:val="single" w:sz="4" w:space="0" w:color="auto"/>
            </w:tcBorders>
          </w:tcPr>
          <w:p w:rsidR="00924D44" w:rsidRPr="004F29AA" w:rsidRDefault="00924D44">
            <w:pPr>
              <w:keepNext/>
              <w:snapToGrid w:val="0"/>
              <w:jc w:val="left"/>
              <w:rPr>
                <w:rFonts w:ascii="Arial Narrow" w:hAnsi="Arial Narrow"/>
                <w:sz w:val="20"/>
              </w:rPr>
            </w:pPr>
          </w:p>
        </w:tc>
        <w:tc>
          <w:tcPr>
            <w:tcW w:w="726" w:type="pct"/>
            <w:tcBorders>
              <w:top w:val="single" w:sz="4" w:space="0" w:color="auto"/>
              <w:left w:val="single" w:sz="4" w:space="0" w:color="auto"/>
              <w:bottom w:val="single" w:sz="4" w:space="0" w:color="auto"/>
              <w:right w:val="single" w:sz="4" w:space="0" w:color="auto"/>
            </w:tcBorders>
          </w:tcPr>
          <w:p w:rsidR="00924D44" w:rsidRPr="004F29AA" w:rsidRDefault="00924D44">
            <w:pPr>
              <w:keepNext/>
              <w:snapToGrid w:val="0"/>
              <w:jc w:val="center"/>
              <w:rPr>
                <w:rFonts w:ascii="Arial Narrow" w:hAnsi="Arial Narrow"/>
                <w:sz w:val="20"/>
              </w:rPr>
            </w:pPr>
          </w:p>
        </w:tc>
        <w:tc>
          <w:tcPr>
            <w:tcW w:w="802" w:type="pct"/>
            <w:tcBorders>
              <w:top w:val="single" w:sz="4" w:space="0" w:color="auto"/>
              <w:left w:val="single" w:sz="4" w:space="0" w:color="auto"/>
              <w:bottom w:val="single" w:sz="4" w:space="0" w:color="auto"/>
              <w:right w:val="single" w:sz="4" w:space="0" w:color="auto"/>
            </w:tcBorders>
          </w:tcPr>
          <w:p w:rsidR="00924D44" w:rsidRPr="004F29AA" w:rsidRDefault="00924D44">
            <w:pPr>
              <w:keepNext/>
              <w:snapToGrid w:val="0"/>
              <w:jc w:val="center"/>
              <w:rPr>
                <w:rFonts w:ascii="Arial Narrow" w:hAnsi="Arial Narrow"/>
                <w:i/>
                <w:sz w:val="20"/>
              </w:rPr>
            </w:pPr>
          </w:p>
        </w:tc>
        <w:tc>
          <w:tcPr>
            <w:tcW w:w="802" w:type="pct"/>
            <w:tcBorders>
              <w:top w:val="single" w:sz="4" w:space="0" w:color="auto"/>
              <w:left w:val="single" w:sz="4" w:space="0" w:color="auto"/>
              <w:bottom w:val="single" w:sz="4" w:space="0" w:color="auto"/>
              <w:right w:val="single" w:sz="4" w:space="0" w:color="auto"/>
            </w:tcBorders>
          </w:tcPr>
          <w:p w:rsidR="00924D44" w:rsidRPr="004F29AA" w:rsidRDefault="00924D44">
            <w:pPr>
              <w:keepNext/>
              <w:snapToGrid w:val="0"/>
              <w:jc w:val="center"/>
              <w:rPr>
                <w:rFonts w:ascii="Arial Narrow" w:hAnsi="Arial Narrow"/>
                <w:sz w:val="20"/>
              </w:rPr>
            </w:pP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 xml:space="preserve">Weighted </w:t>
            </w:r>
            <w:r w:rsidRPr="004F29AA">
              <w:rPr>
                <w:rFonts w:ascii="Arial Narrow" w:hAnsi="Arial Narrow"/>
                <w:b/>
                <w:sz w:val="20"/>
                <w:vertAlign w:val="superscript"/>
              </w:rPr>
              <w:t>b</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D4410C" w:rsidP="00D4410C">
            <w:pPr>
              <w:keepNext/>
              <w:snapToGrid w:val="0"/>
              <w:jc w:val="center"/>
              <w:rPr>
                <w:rFonts w:ascii="Arial Narrow" w:hAnsi="Arial Narrow"/>
                <w:i/>
                <w:sz w:val="20"/>
              </w:rPr>
            </w:pPr>
            <w:r w:rsidRPr="004F29AA">
              <w:rPr>
                <w:rFonts w:ascii="Arial Narrow" w:hAnsi="Arial Narrow"/>
                <w:i/>
                <w:sz w:val="20"/>
              </w:rPr>
              <w:t>post-</w:t>
            </w:r>
            <w:r w:rsidR="00924D44" w:rsidRPr="00A21B12">
              <w:rPr>
                <w:rFonts w:ascii="Arial Narrow" w:hAnsi="Arial Narrow"/>
                <w:i/>
                <w:sz w:val="20"/>
              </w:rPr>
              <w:t>2000</w:t>
            </w:r>
            <w:r w:rsidR="001503CE">
              <w:rPr>
                <w:rFonts w:ascii="Arial Narrow" w:hAnsi="Arial Narrow"/>
                <w:i/>
                <w:noProof/>
                <w:color w:val="000000"/>
                <w:sz w:val="20"/>
                <w:highlight w:val="black"/>
              </w:rPr>
              <w:t xml:space="preserve"> </w:t>
            </w:r>
            <w:r w:rsidR="00924D44" w:rsidRPr="004F29AA">
              <w:rPr>
                <w:rFonts w:ascii="Arial Narrow" w:hAnsi="Arial Narrow"/>
                <w:i/>
                <w:sz w:val="20"/>
              </w:rPr>
              <w:t>(unweighted)</w:t>
            </w:r>
          </w:p>
        </w:tc>
      </w:tr>
      <w:tr w:rsidR="00924D44" w:rsidRPr="004F29AA" w:rsidTr="00924D44">
        <w:trPr>
          <w:cantSplit/>
        </w:trPr>
        <w:tc>
          <w:tcPr>
            <w:tcW w:w="1237"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left"/>
              <w:rPr>
                <w:rFonts w:ascii="Arial Narrow" w:hAnsi="Arial Narrow"/>
                <w:sz w:val="20"/>
              </w:rPr>
            </w:pPr>
            <w:r w:rsidRPr="004F29AA">
              <w:rPr>
                <w:rFonts w:ascii="Arial Narrow" w:hAnsi="Arial Narrow"/>
                <w:sz w:val="20"/>
              </w:rPr>
              <w:t>N</w:t>
            </w:r>
          </w:p>
        </w:tc>
        <w:tc>
          <w:tcPr>
            <w:tcW w:w="72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 xml:space="preserve">PAS: 189 </w:t>
            </w:r>
          </w:p>
        </w:tc>
        <w:tc>
          <w:tcPr>
            <w:tcW w:w="802"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i/>
                <w:sz w:val="20"/>
              </w:rPr>
            </w:pPr>
            <w:r w:rsidRPr="00A21B12">
              <w:rPr>
                <w:rFonts w:ascii="Arial Narrow" w:hAnsi="Arial Narrow"/>
                <w:i/>
                <w:sz w:val="20"/>
              </w:rPr>
              <w:t>FAS</w:t>
            </w:r>
            <w:r w:rsidRPr="004F29AA">
              <w:rPr>
                <w:rFonts w:ascii="Arial Narrow" w:hAnsi="Arial Narrow"/>
                <w:i/>
                <w:sz w:val="20"/>
              </w:rPr>
              <w:t>: 225</w:t>
            </w:r>
          </w:p>
        </w:tc>
        <w:tc>
          <w:tcPr>
            <w:tcW w:w="802"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36</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i/>
                <w:sz w:val="20"/>
              </w:rPr>
            </w:pPr>
            <w:r w:rsidRPr="004F29AA">
              <w:rPr>
                <w:rFonts w:ascii="Arial Narrow" w:hAnsi="Arial Narrow"/>
                <w:i/>
                <w:sz w:val="20"/>
              </w:rPr>
              <w:t>-</w:t>
            </w:r>
          </w:p>
        </w:tc>
      </w:tr>
      <w:tr w:rsidR="00924D44" w:rsidRPr="004F29AA" w:rsidTr="00924D44">
        <w:trPr>
          <w:cantSplit/>
        </w:trPr>
        <w:tc>
          <w:tcPr>
            <w:tcW w:w="1237"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left"/>
              <w:rPr>
                <w:rFonts w:ascii="Arial Narrow" w:hAnsi="Arial Narrow"/>
                <w:sz w:val="20"/>
              </w:rPr>
            </w:pPr>
            <w:r w:rsidRPr="004F29AA">
              <w:rPr>
                <w:rFonts w:ascii="Arial Narrow" w:hAnsi="Arial Narrow"/>
                <w:sz w:val="20"/>
              </w:rPr>
              <w:t>Median observation time</w:t>
            </w:r>
          </w:p>
        </w:tc>
        <w:tc>
          <w:tcPr>
            <w:tcW w:w="72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17.7 months</w:t>
            </w:r>
          </w:p>
        </w:tc>
        <w:tc>
          <w:tcPr>
            <w:tcW w:w="802"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681D86">
              <w:rPr>
                <w:rFonts w:ascii="Arial Narrow" w:hAnsi="Arial Narrow"/>
                <w:sz w:val="20"/>
              </w:rPr>
              <w:t xml:space="preserve">17.0 </w:t>
            </w:r>
            <w:r w:rsidRPr="004F29AA">
              <w:rPr>
                <w:rFonts w:ascii="Arial Narrow" w:hAnsi="Arial Narrow"/>
                <w:sz w:val="20"/>
              </w:rPr>
              <w:t>months</w:t>
            </w:r>
          </w:p>
        </w:tc>
        <w:tc>
          <w:tcPr>
            <w:tcW w:w="802"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12.1 months</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i/>
                <w:sz w:val="20"/>
              </w:rPr>
            </w:pPr>
            <w:r w:rsidRPr="004F29AA">
              <w:rPr>
                <w:rFonts w:ascii="Arial Narrow" w:hAnsi="Arial Narrow"/>
                <w:i/>
                <w:sz w:val="20"/>
              </w:rPr>
              <w:t>-</w:t>
            </w:r>
          </w:p>
        </w:tc>
      </w:tr>
      <w:tr w:rsidR="00924D44" w:rsidRPr="004F29AA" w:rsidTr="00924D44">
        <w:trPr>
          <w:cantSplit/>
        </w:trPr>
        <w:tc>
          <w:tcPr>
            <w:tcW w:w="1237"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jc w:val="left"/>
              <w:rPr>
                <w:rFonts w:ascii="Arial Narrow" w:hAnsi="Arial Narrow"/>
                <w:sz w:val="20"/>
              </w:rPr>
            </w:pPr>
            <w:r w:rsidRPr="004F29AA">
              <w:rPr>
                <w:rFonts w:ascii="Arial Narrow" w:hAnsi="Arial Narrow"/>
                <w:sz w:val="20"/>
              </w:rPr>
              <w:t xml:space="preserve">CR + CRh* (or CRsg), </w:t>
            </w:r>
          </w:p>
          <w:p w:rsidR="00924D44" w:rsidRPr="004F29AA" w:rsidRDefault="00924D44">
            <w:pPr>
              <w:keepNext/>
              <w:snapToGrid w:val="0"/>
              <w:jc w:val="left"/>
              <w:rPr>
                <w:rFonts w:ascii="Arial Narrow" w:hAnsi="Arial Narrow"/>
                <w:sz w:val="20"/>
              </w:rPr>
            </w:pPr>
            <w:r w:rsidRPr="004F29AA">
              <w:rPr>
                <w:rFonts w:ascii="Arial Narrow" w:hAnsi="Arial Narrow"/>
                <w:sz w:val="20"/>
              </w:rPr>
              <w:t>n (%) (95% CI)</w:t>
            </w:r>
          </w:p>
        </w:tc>
        <w:tc>
          <w:tcPr>
            <w:tcW w:w="72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jc w:val="center"/>
              <w:rPr>
                <w:rFonts w:ascii="Arial Narrow" w:hAnsi="Arial Narrow"/>
                <w:sz w:val="20"/>
              </w:rPr>
            </w:pPr>
            <w:r w:rsidRPr="004F29AA">
              <w:rPr>
                <w:rFonts w:ascii="Arial Narrow" w:hAnsi="Arial Narrow"/>
                <w:sz w:val="20"/>
              </w:rPr>
              <w:t>83 (43.9%)</w:t>
            </w:r>
          </w:p>
          <w:p w:rsidR="00924D44" w:rsidRPr="004F29AA" w:rsidRDefault="00924D44">
            <w:pPr>
              <w:keepNext/>
              <w:snapToGrid w:val="0"/>
              <w:jc w:val="center"/>
              <w:rPr>
                <w:rFonts w:ascii="Arial Narrow" w:hAnsi="Arial Narrow"/>
                <w:sz w:val="20"/>
                <w:highlight w:val="yellow"/>
              </w:rPr>
            </w:pPr>
            <w:r w:rsidRPr="004F29AA">
              <w:rPr>
                <w:rFonts w:ascii="Arial Narrow" w:hAnsi="Arial Narrow"/>
                <w:sz w:val="20"/>
              </w:rPr>
              <w:t>(0.37, 0.51)</w:t>
            </w:r>
          </w:p>
        </w:tc>
        <w:tc>
          <w:tcPr>
            <w:tcW w:w="802" w:type="pct"/>
            <w:tcBorders>
              <w:top w:val="single" w:sz="4" w:space="0" w:color="auto"/>
              <w:left w:val="single" w:sz="4" w:space="0" w:color="auto"/>
              <w:bottom w:val="single" w:sz="4" w:space="0" w:color="auto"/>
              <w:right w:val="single" w:sz="4" w:space="0" w:color="auto"/>
            </w:tcBorders>
            <w:hideMark/>
          </w:tcPr>
          <w:p w:rsidR="00924D44" w:rsidRPr="00681D86" w:rsidRDefault="00924D44">
            <w:pPr>
              <w:keepNext/>
              <w:jc w:val="center"/>
              <w:rPr>
                <w:rFonts w:ascii="Arial Narrow" w:hAnsi="Arial Narrow"/>
                <w:sz w:val="20"/>
              </w:rPr>
            </w:pPr>
            <w:r w:rsidRPr="00681D86">
              <w:rPr>
                <w:rFonts w:ascii="Arial Narrow" w:hAnsi="Arial Narrow"/>
                <w:sz w:val="20"/>
              </w:rPr>
              <w:t>99 (44.0%)</w:t>
            </w:r>
          </w:p>
          <w:p w:rsidR="00924D44" w:rsidRPr="004F29AA" w:rsidRDefault="00924D44">
            <w:pPr>
              <w:keepNext/>
              <w:snapToGrid w:val="0"/>
              <w:jc w:val="center"/>
              <w:rPr>
                <w:rFonts w:ascii="Arial Narrow" w:hAnsi="Arial Narrow"/>
                <w:sz w:val="20"/>
              </w:rPr>
            </w:pPr>
            <w:r w:rsidRPr="00681D86">
              <w:rPr>
                <w:rFonts w:ascii="Arial Narrow" w:hAnsi="Arial Narrow"/>
                <w:sz w:val="20"/>
              </w:rPr>
              <w:t>(0.37, 0.51)</w:t>
            </w:r>
          </w:p>
        </w:tc>
        <w:tc>
          <w:tcPr>
            <w:tcW w:w="802"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jc w:val="center"/>
              <w:rPr>
                <w:rFonts w:ascii="Arial Narrow" w:hAnsi="Arial Narrow"/>
                <w:sz w:val="20"/>
              </w:rPr>
            </w:pPr>
            <w:r w:rsidRPr="004F29AA">
              <w:rPr>
                <w:rFonts w:ascii="Arial Narrow" w:hAnsi="Arial Narrow"/>
                <w:sz w:val="20"/>
              </w:rPr>
              <w:t>25 (69.4%)</w:t>
            </w:r>
          </w:p>
          <w:p w:rsidR="00924D44" w:rsidRPr="004F29AA" w:rsidRDefault="00924D44">
            <w:pPr>
              <w:keepNext/>
              <w:snapToGrid w:val="0"/>
              <w:jc w:val="center"/>
              <w:rPr>
                <w:rFonts w:ascii="Arial Narrow" w:hAnsi="Arial Narrow"/>
                <w:sz w:val="20"/>
              </w:rPr>
            </w:pPr>
            <w:r w:rsidRPr="004F29AA">
              <w:rPr>
                <w:rFonts w:ascii="Arial Narrow" w:hAnsi="Arial Narrow"/>
                <w:sz w:val="20"/>
              </w:rPr>
              <w:t>(0.52, 0.84)</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jc w:val="center"/>
              <w:rPr>
                <w:rFonts w:ascii="Arial Narrow" w:hAnsi="Arial Narrow"/>
                <w:sz w:val="20"/>
              </w:rPr>
            </w:pPr>
            <w:r w:rsidRPr="004F29AA">
              <w:rPr>
                <w:rFonts w:ascii="Arial Narrow" w:hAnsi="Arial Narrow"/>
                <w:sz w:val="20"/>
              </w:rPr>
              <w:t xml:space="preserve">24.0% </w:t>
            </w:r>
          </w:p>
          <w:p w:rsidR="00924D44" w:rsidRPr="004F29AA" w:rsidRDefault="00924D44">
            <w:pPr>
              <w:keepNext/>
              <w:snapToGrid w:val="0"/>
              <w:jc w:val="center"/>
              <w:rPr>
                <w:rFonts w:ascii="Arial Narrow" w:hAnsi="Arial Narrow"/>
                <w:sz w:val="20"/>
              </w:rPr>
            </w:pPr>
            <w:r w:rsidRPr="004F29AA">
              <w:rPr>
                <w:rFonts w:ascii="Arial Narrow" w:hAnsi="Arial Narrow"/>
                <w:sz w:val="20"/>
              </w:rPr>
              <w:t xml:space="preserve">(0.20, 0.27) </w:t>
            </w:r>
            <w:r w:rsidRPr="004F29AA">
              <w:rPr>
                <w:rFonts w:ascii="Arial Narrow" w:hAnsi="Arial Narrow"/>
                <w:sz w:val="20"/>
                <w:vertAlign w:val="superscript"/>
              </w:rPr>
              <w:t>c</w:t>
            </w:r>
          </w:p>
        </w:tc>
        <w:tc>
          <w:tcPr>
            <w:tcW w:w="716" w:type="pct"/>
            <w:tcBorders>
              <w:top w:val="single" w:sz="4" w:space="0" w:color="auto"/>
              <w:left w:val="single" w:sz="4" w:space="0" w:color="auto"/>
              <w:bottom w:val="single" w:sz="4" w:space="0" w:color="auto"/>
              <w:right w:val="single" w:sz="4" w:space="0" w:color="auto"/>
            </w:tcBorders>
            <w:hideMark/>
          </w:tcPr>
          <w:p w:rsidR="00924D44" w:rsidRPr="00681D86" w:rsidRDefault="001503CE">
            <w:pPr>
              <w:keepNext/>
              <w:jc w:val="center"/>
              <w:rPr>
                <w:rFonts w:ascii="Arial Narrow" w:hAnsi="Arial Narrow"/>
                <w:i/>
                <w:sz w:val="20"/>
              </w:rPr>
            </w:pPr>
            <w:r>
              <w:rPr>
                <w:rFonts w:ascii="Arial Narrow" w:hAnsi="Arial Narrow"/>
                <w:i/>
                <w:noProof/>
                <w:color w:val="000000"/>
                <w:sz w:val="20"/>
                <w:highlight w:val="black"/>
              </w:rPr>
              <w:t>''''''</w:t>
            </w:r>
            <w:r w:rsidR="00FD4E30" w:rsidRPr="00681D86">
              <w:rPr>
                <w:rFonts w:ascii="Arial Narrow" w:hAnsi="Arial Narrow"/>
                <w:i/>
                <w:sz w:val="20"/>
              </w:rPr>
              <w:t>%</w:t>
            </w:r>
          </w:p>
          <w:p w:rsidR="00924D44" w:rsidRPr="004F29AA" w:rsidRDefault="00924D44">
            <w:pPr>
              <w:keepNext/>
              <w:snapToGrid w:val="0"/>
              <w:jc w:val="center"/>
              <w:rPr>
                <w:rFonts w:ascii="Arial Narrow" w:hAnsi="Arial Narrow"/>
                <w:i/>
                <w:sz w:val="20"/>
              </w:rPr>
            </w:pPr>
            <w:r w:rsidRPr="00681D86">
              <w:rPr>
                <w:rFonts w:ascii="Arial Narrow" w:hAnsi="Arial Narrow"/>
                <w:i/>
                <w:sz w:val="20"/>
              </w:rPr>
              <w:t>(</w:t>
            </w:r>
            <w:r w:rsidR="001503CE">
              <w:rPr>
                <w:rFonts w:ascii="Arial Narrow" w:hAnsi="Arial Narrow"/>
                <w:i/>
                <w:noProof/>
                <w:color w:val="000000"/>
                <w:sz w:val="20"/>
                <w:highlight w:val="black"/>
              </w:rPr>
              <w:t>''''''''''' ''''''''''</w:t>
            </w:r>
            <w:r w:rsidRPr="00681D86">
              <w:rPr>
                <w:rFonts w:ascii="Arial Narrow" w:hAnsi="Arial Narrow"/>
                <w:i/>
                <w:sz w:val="20"/>
              </w:rPr>
              <w:t xml:space="preserve">) </w:t>
            </w:r>
            <w:r w:rsidRPr="00681D86">
              <w:rPr>
                <w:rFonts w:ascii="Arial Narrow" w:hAnsi="Arial Narrow"/>
                <w:i/>
                <w:sz w:val="20"/>
                <w:vertAlign w:val="superscript"/>
              </w:rPr>
              <w:t>c</w:t>
            </w:r>
          </w:p>
        </w:tc>
      </w:tr>
      <w:tr w:rsidR="00924D44" w:rsidRPr="004F29AA" w:rsidTr="00924D44">
        <w:trPr>
          <w:cantSplit/>
        </w:trPr>
        <w:tc>
          <w:tcPr>
            <w:tcW w:w="1237"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jc w:val="left"/>
              <w:rPr>
                <w:rFonts w:ascii="Arial Narrow" w:hAnsi="Arial Narrow"/>
                <w:sz w:val="20"/>
              </w:rPr>
            </w:pPr>
            <w:r w:rsidRPr="004F29AA">
              <w:rPr>
                <w:rFonts w:ascii="Arial Narrow" w:hAnsi="Arial Narrow"/>
                <w:sz w:val="20"/>
              </w:rPr>
              <w:t xml:space="preserve">Total HSCT rate, </w:t>
            </w:r>
          </w:p>
          <w:p w:rsidR="00924D44" w:rsidRPr="004F29AA" w:rsidRDefault="00924D44">
            <w:pPr>
              <w:keepNext/>
              <w:snapToGrid w:val="0"/>
              <w:jc w:val="left"/>
              <w:rPr>
                <w:rFonts w:ascii="Arial Narrow" w:hAnsi="Arial Narrow"/>
                <w:sz w:val="20"/>
              </w:rPr>
            </w:pPr>
            <w:r w:rsidRPr="004F29AA">
              <w:rPr>
                <w:rFonts w:ascii="Arial Narrow" w:hAnsi="Arial Narrow"/>
                <w:sz w:val="20"/>
              </w:rPr>
              <w:t>n (%) (95% CI)</w:t>
            </w:r>
          </w:p>
        </w:tc>
        <w:tc>
          <w:tcPr>
            <w:tcW w:w="726"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52 (27.5%)</w:t>
            </w:r>
          </w:p>
        </w:tc>
        <w:tc>
          <w:tcPr>
            <w:tcW w:w="802"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sz w:val="20"/>
              </w:rPr>
            </w:pPr>
            <w:r w:rsidRPr="00681D86">
              <w:rPr>
                <w:rFonts w:ascii="Arial Narrow" w:hAnsi="Arial Narrow"/>
                <w:sz w:val="20"/>
              </w:rPr>
              <w:t>60 (26.7%)</w:t>
            </w:r>
          </w:p>
        </w:tc>
        <w:tc>
          <w:tcPr>
            <w:tcW w:w="802"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18 (50.0%)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jc w:val="center"/>
              <w:rPr>
                <w:rFonts w:ascii="Arial Narrow" w:hAnsi="Arial Narrow"/>
                <w:sz w:val="20"/>
              </w:rPr>
            </w:pPr>
            <w:r w:rsidRPr="004F29AA">
              <w:rPr>
                <w:rFonts w:ascii="Arial Narrow" w:hAnsi="Arial Narrow"/>
                <w:sz w:val="20"/>
              </w:rPr>
              <w:t xml:space="preserve">18% </w:t>
            </w:r>
          </w:p>
          <w:p w:rsidR="00924D44" w:rsidRPr="004F29AA" w:rsidRDefault="00924D44">
            <w:pPr>
              <w:keepNext/>
              <w:snapToGrid w:val="0"/>
              <w:jc w:val="center"/>
              <w:rPr>
                <w:rFonts w:ascii="Arial Narrow" w:hAnsi="Arial Narrow"/>
                <w:sz w:val="20"/>
              </w:rPr>
            </w:pPr>
            <w:r w:rsidRPr="004F29AA">
              <w:rPr>
                <w:rFonts w:ascii="Arial Narrow" w:hAnsi="Arial Narrow"/>
                <w:sz w:val="20"/>
              </w:rPr>
              <w:t xml:space="preserve">(0.15, 0.21) </w:t>
            </w:r>
            <w:r w:rsidRPr="004F29AA">
              <w:rPr>
                <w:rFonts w:ascii="Arial Narrow" w:hAnsi="Arial Narrow"/>
                <w:sz w:val="20"/>
                <w:vertAlign w:val="superscript"/>
              </w:rPr>
              <w:t>d</w:t>
            </w:r>
          </w:p>
        </w:tc>
        <w:tc>
          <w:tcPr>
            <w:tcW w:w="716" w:type="pct"/>
            <w:tcBorders>
              <w:top w:val="single" w:sz="4" w:space="0" w:color="auto"/>
              <w:left w:val="single" w:sz="4" w:space="0" w:color="auto"/>
              <w:bottom w:val="single" w:sz="4" w:space="0" w:color="auto"/>
              <w:right w:val="single" w:sz="4" w:space="0" w:color="auto"/>
            </w:tcBorders>
            <w:hideMark/>
          </w:tcPr>
          <w:p w:rsidR="00924D44" w:rsidRPr="00681D86" w:rsidRDefault="001503CE">
            <w:pPr>
              <w:keepNext/>
              <w:jc w:val="center"/>
              <w:rPr>
                <w:rFonts w:ascii="Arial Narrow" w:hAnsi="Arial Narrow"/>
                <w:i/>
                <w:sz w:val="20"/>
              </w:rPr>
            </w:pPr>
            <w:r>
              <w:rPr>
                <w:rFonts w:ascii="Arial Narrow" w:hAnsi="Arial Narrow"/>
                <w:i/>
                <w:noProof/>
                <w:color w:val="000000"/>
                <w:sz w:val="20"/>
                <w:highlight w:val="black"/>
              </w:rPr>
              <w:t>'''''''</w:t>
            </w:r>
            <w:r w:rsidR="00924D44" w:rsidRPr="00681D86">
              <w:rPr>
                <w:rFonts w:ascii="Arial Narrow" w:hAnsi="Arial Narrow"/>
                <w:i/>
                <w:sz w:val="20"/>
              </w:rPr>
              <w:t xml:space="preserve">% </w:t>
            </w:r>
          </w:p>
          <w:p w:rsidR="00924D44" w:rsidRPr="004F29AA" w:rsidRDefault="00924D44">
            <w:pPr>
              <w:keepNext/>
              <w:snapToGrid w:val="0"/>
              <w:jc w:val="center"/>
              <w:rPr>
                <w:rFonts w:ascii="Arial Narrow" w:hAnsi="Arial Narrow"/>
                <w:i/>
                <w:sz w:val="20"/>
              </w:rPr>
            </w:pPr>
            <w:r w:rsidRPr="00681D86">
              <w:rPr>
                <w:rFonts w:ascii="Arial Narrow" w:hAnsi="Arial Narrow"/>
                <w:i/>
                <w:sz w:val="20"/>
              </w:rPr>
              <w:t>(</w:t>
            </w:r>
            <w:r w:rsidR="001503CE">
              <w:rPr>
                <w:rFonts w:ascii="Arial Narrow" w:hAnsi="Arial Narrow"/>
                <w:i/>
                <w:noProof/>
                <w:color w:val="000000"/>
                <w:sz w:val="20"/>
                <w:highlight w:val="black"/>
              </w:rPr>
              <w:t>''''''''''' ''''''''''''</w:t>
            </w:r>
            <w:r w:rsidRPr="00681D86">
              <w:rPr>
                <w:rFonts w:ascii="Arial Narrow" w:hAnsi="Arial Narrow"/>
                <w:i/>
                <w:sz w:val="20"/>
              </w:rPr>
              <w:t xml:space="preserve">) </w:t>
            </w:r>
            <w:r w:rsidRPr="00681D86">
              <w:rPr>
                <w:rFonts w:ascii="Arial Narrow" w:hAnsi="Arial Narrow"/>
                <w:i/>
                <w:sz w:val="20"/>
                <w:vertAlign w:val="superscript"/>
              </w:rPr>
              <w:t>d</w:t>
            </w:r>
          </w:p>
        </w:tc>
      </w:tr>
      <w:tr w:rsidR="00924D44" w:rsidRPr="004F29AA" w:rsidTr="00924D44">
        <w:trPr>
          <w:cantSplit/>
        </w:trPr>
        <w:tc>
          <w:tcPr>
            <w:tcW w:w="1237"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left"/>
              <w:rPr>
                <w:rFonts w:ascii="Arial Narrow" w:hAnsi="Arial Narrow"/>
                <w:sz w:val="20"/>
              </w:rPr>
            </w:pPr>
            <w:r w:rsidRPr="004F29AA">
              <w:rPr>
                <w:rFonts w:ascii="Arial Narrow" w:hAnsi="Arial Narrow"/>
                <w:sz w:val="20"/>
              </w:rPr>
              <w:t>HSCT following CR/CRh*/CRsg, n (%) (95% CI)</w:t>
            </w:r>
          </w:p>
        </w:tc>
        <w:tc>
          <w:tcPr>
            <w:tcW w:w="726"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34 (17.9%)</w:t>
            </w:r>
          </w:p>
        </w:tc>
        <w:tc>
          <w:tcPr>
            <w:tcW w:w="802"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sz w:val="20"/>
              </w:rPr>
            </w:pPr>
            <w:r w:rsidRPr="00681D86">
              <w:rPr>
                <w:rFonts w:ascii="Arial Narrow" w:hAnsi="Arial Narrow"/>
                <w:sz w:val="20"/>
              </w:rPr>
              <w:t>39 (17.3%)</w:t>
            </w:r>
          </w:p>
        </w:tc>
        <w:tc>
          <w:tcPr>
            <w:tcW w:w="802"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13 (52.0%)</w:t>
            </w:r>
          </w:p>
        </w:tc>
        <w:tc>
          <w:tcPr>
            <w:tcW w:w="716"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 xml:space="preserve">7% (0.05, 0.09) </w:t>
            </w:r>
            <w:r w:rsidRPr="004F29AA">
              <w:rPr>
                <w:rFonts w:ascii="Arial Narrow" w:hAnsi="Arial Narrow"/>
                <w:sz w:val="20"/>
                <w:vertAlign w:val="superscript"/>
              </w:rPr>
              <w:t>d</w:t>
            </w:r>
          </w:p>
        </w:tc>
        <w:tc>
          <w:tcPr>
            <w:tcW w:w="716"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center"/>
              <w:rPr>
                <w:rFonts w:ascii="Arial Narrow" w:hAnsi="Arial Narrow"/>
                <w:i/>
                <w:sz w:val="20"/>
              </w:rPr>
            </w:pPr>
            <w:r w:rsidRPr="00681D86">
              <w:rPr>
                <w:rFonts w:ascii="Arial Narrow" w:hAnsi="Arial Narrow"/>
                <w:i/>
                <w:sz w:val="20"/>
              </w:rPr>
              <w:t>NR</w:t>
            </w:r>
          </w:p>
        </w:tc>
      </w:tr>
      <w:tr w:rsidR="00924D44" w:rsidRPr="004F29AA" w:rsidTr="00924D44">
        <w:trPr>
          <w:cantSplit/>
        </w:trPr>
        <w:tc>
          <w:tcPr>
            <w:tcW w:w="1237" w:type="pct"/>
            <w:tcBorders>
              <w:top w:val="single" w:sz="4" w:space="0" w:color="auto"/>
              <w:left w:val="single" w:sz="4" w:space="0" w:color="auto"/>
              <w:bottom w:val="single" w:sz="4" w:space="0" w:color="auto"/>
              <w:right w:val="single" w:sz="4" w:space="0" w:color="auto"/>
            </w:tcBorders>
            <w:vAlign w:val="center"/>
            <w:hideMark/>
          </w:tcPr>
          <w:p w:rsidR="00924D44" w:rsidRPr="004F29AA" w:rsidRDefault="00924D44">
            <w:pPr>
              <w:keepNext/>
              <w:snapToGrid w:val="0"/>
              <w:jc w:val="left"/>
              <w:rPr>
                <w:rFonts w:ascii="Arial Narrow" w:hAnsi="Arial Narrow"/>
                <w:sz w:val="20"/>
              </w:rPr>
            </w:pPr>
            <w:r w:rsidRPr="004F29AA">
              <w:rPr>
                <w:rFonts w:ascii="Arial Narrow" w:hAnsi="Arial Narrow"/>
                <w:sz w:val="20"/>
              </w:rPr>
              <w:t>OS, months (95% CI)</w:t>
            </w:r>
          </w:p>
        </w:tc>
        <w:tc>
          <w:tcPr>
            <w:tcW w:w="72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 xml:space="preserve">6.4 (4.3, 7.7) </w:t>
            </w:r>
          </w:p>
        </w:tc>
        <w:tc>
          <w:tcPr>
            <w:tcW w:w="802"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highlight w:val="yellow"/>
              </w:rPr>
            </w:pPr>
            <w:r w:rsidRPr="00681D86">
              <w:rPr>
                <w:rFonts w:ascii="Arial Narrow" w:hAnsi="Arial Narrow"/>
                <w:sz w:val="20"/>
              </w:rPr>
              <w:t>6.5 (4.7, 7.7)</w:t>
            </w:r>
          </w:p>
        </w:tc>
        <w:tc>
          <w:tcPr>
            <w:tcW w:w="802"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9.8 (8.5, 14.9)</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924D44">
            <w:pPr>
              <w:keepNext/>
              <w:snapToGrid w:val="0"/>
              <w:jc w:val="center"/>
              <w:rPr>
                <w:rFonts w:ascii="Arial Narrow" w:hAnsi="Arial Narrow"/>
                <w:sz w:val="20"/>
              </w:rPr>
            </w:pPr>
            <w:r w:rsidRPr="004F29AA">
              <w:rPr>
                <w:rFonts w:ascii="Arial Narrow" w:hAnsi="Arial Narrow"/>
                <w:sz w:val="20"/>
              </w:rPr>
              <w:t xml:space="preserve">3.3 (2.8, 3.6) </w:t>
            </w:r>
            <w:r w:rsidRPr="004F29AA">
              <w:rPr>
                <w:rFonts w:ascii="Arial Narrow" w:hAnsi="Arial Narrow"/>
                <w:sz w:val="20"/>
                <w:vertAlign w:val="superscript"/>
              </w:rPr>
              <w:t>e</w:t>
            </w:r>
            <w:r w:rsidRPr="004F29AA">
              <w:rPr>
                <w:rFonts w:ascii="Arial Narrow" w:hAnsi="Arial Narrow"/>
                <w:sz w:val="20"/>
              </w:rPr>
              <w:t xml:space="preserve"> </w:t>
            </w:r>
          </w:p>
        </w:tc>
        <w:tc>
          <w:tcPr>
            <w:tcW w:w="716" w:type="pct"/>
            <w:tcBorders>
              <w:top w:val="single" w:sz="4" w:space="0" w:color="auto"/>
              <w:left w:val="single" w:sz="4" w:space="0" w:color="auto"/>
              <w:bottom w:val="single" w:sz="4" w:space="0" w:color="auto"/>
              <w:right w:val="single" w:sz="4" w:space="0" w:color="auto"/>
            </w:tcBorders>
            <w:hideMark/>
          </w:tcPr>
          <w:p w:rsidR="00924D44" w:rsidRPr="004F29AA" w:rsidRDefault="001503CE">
            <w:pPr>
              <w:keepNext/>
              <w:snapToGrid w:val="0"/>
              <w:jc w:val="center"/>
              <w:rPr>
                <w:rFonts w:ascii="Arial Narrow" w:hAnsi="Arial Narrow"/>
                <w:i/>
                <w:sz w:val="20"/>
              </w:rPr>
            </w:pPr>
            <w:r>
              <w:rPr>
                <w:rFonts w:ascii="Arial Narrow" w:hAnsi="Arial Narrow"/>
                <w:i/>
                <w:noProof/>
                <w:color w:val="000000"/>
                <w:sz w:val="20"/>
                <w:highlight w:val="black"/>
              </w:rPr>
              <w:t>''''''''</w:t>
            </w:r>
            <w:r w:rsidR="00924D44" w:rsidRPr="00681D86">
              <w:rPr>
                <w:rFonts w:ascii="Arial Narrow" w:hAnsi="Arial Narrow"/>
                <w:i/>
                <w:sz w:val="20"/>
              </w:rPr>
              <w:t xml:space="preserve"> (</w:t>
            </w:r>
            <w:r>
              <w:rPr>
                <w:rFonts w:ascii="Arial Narrow" w:hAnsi="Arial Narrow"/>
                <w:i/>
                <w:noProof/>
                <w:color w:val="000000"/>
                <w:sz w:val="20"/>
                <w:highlight w:val="black"/>
              </w:rPr>
              <w:t>'''''''''' '''''''</w:t>
            </w:r>
            <w:r w:rsidR="00924D44" w:rsidRPr="00681D86">
              <w:rPr>
                <w:rFonts w:ascii="Arial Narrow" w:hAnsi="Arial Narrow"/>
                <w:i/>
                <w:sz w:val="20"/>
              </w:rPr>
              <w:t xml:space="preserve">) </w:t>
            </w:r>
            <w:r w:rsidR="00924D44" w:rsidRPr="00681D86">
              <w:rPr>
                <w:rFonts w:ascii="Arial Narrow" w:hAnsi="Arial Narrow"/>
                <w:i/>
                <w:sz w:val="20"/>
                <w:vertAlign w:val="superscript"/>
              </w:rPr>
              <w:t>e</w:t>
            </w:r>
          </w:p>
        </w:tc>
      </w:tr>
    </w:tbl>
    <w:p w:rsidR="00924D44" w:rsidRPr="004F29AA" w:rsidRDefault="00924D44" w:rsidP="00924D44">
      <w:pPr>
        <w:pStyle w:val="TableFooter"/>
        <w:ind w:left="720"/>
      </w:pPr>
      <w:r w:rsidRPr="004F29AA">
        <w:t xml:space="preserve">Source: Table B.6-2, p96; Table B.6-4, p99; Table B.6-5, p100; </w:t>
      </w:r>
      <w:r w:rsidRPr="004F29AA">
        <w:rPr>
          <w:szCs w:val="18"/>
        </w:rPr>
        <w:t>Table B.6-7, p102; Table B.6-8, p107 of the submission;</w:t>
      </w:r>
      <w:r w:rsidRPr="004F29AA">
        <w:t xml:space="preserve"> and Table 10-1, p109; Table 14-04-25-1, p521; Table 14-04-25-3, p524; </w:t>
      </w:r>
      <w:r w:rsidRPr="004F29AA">
        <w:rPr>
          <w:szCs w:val="18"/>
        </w:rPr>
        <w:t>Table 14-04-28-3, p538</w:t>
      </w:r>
      <w:r w:rsidRPr="004F29AA">
        <w:t xml:space="preserve"> of study MT103-211 Secondary Analysis CSR</w:t>
      </w:r>
    </w:p>
    <w:p w:rsidR="00924D44" w:rsidRPr="004F29AA" w:rsidRDefault="00924D44" w:rsidP="00924D44">
      <w:pPr>
        <w:pStyle w:val="TableFooter"/>
        <w:ind w:left="720"/>
      </w:pPr>
      <w:r w:rsidRPr="004F29AA">
        <w:t xml:space="preserve">CI = confidence interval; CR = complete remission; CRh* = complete remission with partial haematological recovery; CRsg = complete remission as per study definition; FAS = full analysis set; HSCT = haematopoietic stem cell transplant; </w:t>
      </w:r>
      <w:r w:rsidRPr="004F29AA">
        <w:lastRenderedPageBreak/>
        <w:t>OS = overall survival; PAS = primary analysis set</w:t>
      </w:r>
    </w:p>
    <w:p w:rsidR="00924D44" w:rsidRPr="004F29AA" w:rsidRDefault="00924D44" w:rsidP="00924D44">
      <w:pPr>
        <w:pStyle w:val="TableFooter"/>
        <w:ind w:firstLine="720"/>
      </w:pPr>
      <w:r w:rsidRPr="004F29AA">
        <w:rPr>
          <w:vertAlign w:val="superscript"/>
        </w:rPr>
        <w:t>a</w:t>
      </w:r>
      <w:r w:rsidRPr="004F29AA">
        <w:t xml:space="preserve"> Results from the secondary analysis, which included data collected until 20 June 2014</w:t>
      </w:r>
    </w:p>
    <w:p w:rsidR="00924D44" w:rsidRPr="004F29AA" w:rsidRDefault="00924D44" w:rsidP="00924D44">
      <w:pPr>
        <w:pStyle w:val="TableFooter"/>
        <w:keepNext/>
        <w:ind w:firstLine="720"/>
      </w:pPr>
      <w:r w:rsidRPr="004F29AA">
        <w:rPr>
          <w:vertAlign w:val="superscript"/>
        </w:rPr>
        <w:t>b</w:t>
      </w:r>
      <w:r w:rsidRPr="004F29AA">
        <w:t xml:space="preserve"> Results weighted to study MT103-211 population </w:t>
      </w:r>
    </w:p>
    <w:p w:rsidR="00924D44" w:rsidRPr="004F29AA" w:rsidRDefault="00924D44" w:rsidP="00924D44">
      <w:pPr>
        <w:pStyle w:val="TableFooter"/>
        <w:keepNext/>
        <w:ind w:firstLine="720"/>
        <w:rPr>
          <w:i/>
        </w:rPr>
      </w:pPr>
      <w:r w:rsidRPr="004F29AA">
        <w:rPr>
          <w:i/>
          <w:vertAlign w:val="superscript"/>
        </w:rPr>
        <w:t>c</w:t>
      </w:r>
      <w:r w:rsidRPr="004F29AA">
        <w:rPr>
          <w:i/>
        </w:rPr>
        <w:t xml:space="preserve"> N = 694 for weighted, N=</w:t>
      </w:r>
      <w:r w:rsidR="001503CE">
        <w:rPr>
          <w:i/>
          <w:noProof/>
          <w:color w:val="000000"/>
          <w:highlight w:val="black"/>
        </w:rPr>
        <w:t>''''''''</w:t>
      </w:r>
      <w:r w:rsidRPr="00EE38E0">
        <w:rPr>
          <w:i/>
        </w:rPr>
        <w:t xml:space="preserve"> </w:t>
      </w:r>
      <w:r w:rsidRPr="004F29AA">
        <w:rPr>
          <w:i/>
        </w:rPr>
        <w:t>for 2000+</w:t>
      </w:r>
    </w:p>
    <w:p w:rsidR="00924D44" w:rsidRPr="004F29AA" w:rsidRDefault="00924D44" w:rsidP="00924D44">
      <w:pPr>
        <w:pStyle w:val="TableFooter"/>
        <w:keepNext/>
        <w:ind w:firstLine="720"/>
        <w:rPr>
          <w:i/>
        </w:rPr>
      </w:pPr>
      <w:r w:rsidRPr="004F29AA">
        <w:rPr>
          <w:i/>
          <w:vertAlign w:val="superscript"/>
        </w:rPr>
        <w:t>d</w:t>
      </w:r>
      <w:r w:rsidRPr="004F29AA">
        <w:rPr>
          <w:i/>
        </w:rPr>
        <w:t xml:space="preserve"> N = 808 for weighted, N=</w:t>
      </w:r>
      <w:r w:rsidR="001503CE">
        <w:rPr>
          <w:i/>
          <w:noProof/>
          <w:color w:val="000000"/>
          <w:highlight w:val="black"/>
        </w:rPr>
        <w:t>'''''''''</w:t>
      </w:r>
      <w:r w:rsidRPr="00EE38E0">
        <w:rPr>
          <w:i/>
        </w:rPr>
        <w:t xml:space="preserve"> </w:t>
      </w:r>
      <w:r w:rsidRPr="004F29AA">
        <w:rPr>
          <w:i/>
        </w:rPr>
        <w:t>for 2000+</w:t>
      </w:r>
    </w:p>
    <w:p w:rsidR="00924D44" w:rsidRPr="004F29AA" w:rsidRDefault="00924D44" w:rsidP="00924D44">
      <w:pPr>
        <w:pStyle w:val="TableFooter"/>
        <w:keepNext/>
        <w:ind w:firstLine="720"/>
        <w:rPr>
          <w:i/>
        </w:rPr>
      </w:pPr>
      <w:r w:rsidRPr="004F29AA">
        <w:rPr>
          <w:i/>
          <w:vertAlign w:val="superscript"/>
        </w:rPr>
        <w:t>e</w:t>
      </w:r>
      <w:r w:rsidRPr="004F29AA">
        <w:rPr>
          <w:i/>
        </w:rPr>
        <w:t xml:space="preserve"> N = 1,112 for weighted, N=</w:t>
      </w:r>
      <w:r w:rsidR="001503CE">
        <w:rPr>
          <w:i/>
          <w:noProof/>
          <w:color w:val="000000"/>
          <w:highlight w:val="black"/>
        </w:rPr>
        <w:t>''''''''</w:t>
      </w:r>
      <w:r w:rsidRPr="004F29AA">
        <w:rPr>
          <w:i/>
        </w:rPr>
        <w:t xml:space="preserve"> for 2000+</w:t>
      </w:r>
    </w:p>
    <w:p w:rsidR="007F2D50" w:rsidRPr="004F29AA" w:rsidRDefault="007F2D50" w:rsidP="007F2D50">
      <w:pPr>
        <w:pStyle w:val="TableFooter"/>
        <w:keepNext/>
        <w:rPr>
          <w:rStyle w:val="CommentReference"/>
        </w:rPr>
      </w:pPr>
    </w:p>
    <w:p w:rsidR="00C91665" w:rsidRPr="004F29AA" w:rsidRDefault="007F2D50" w:rsidP="000442E2">
      <w:pPr>
        <w:pStyle w:val="ListParagraph"/>
        <w:widowControl/>
        <w:numPr>
          <w:ilvl w:val="1"/>
          <w:numId w:val="1"/>
        </w:numPr>
        <w:rPr>
          <w:rStyle w:val="CommentReference"/>
          <w:rFonts w:ascii="Arial" w:hAnsi="Arial"/>
          <w:b w:val="0"/>
          <w:sz w:val="22"/>
          <w:szCs w:val="22"/>
        </w:rPr>
      </w:pPr>
      <w:r w:rsidRPr="004F29AA">
        <w:rPr>
          <w:rStyle w:val="CommentReference"/>
          <w:rFonts w:ascii="Arial" w:hAnsi="Arial"/>
          <w:b w:val="0"/>
          <w:sz w:val="22"/>
          <w:szCs w:val="22"/>
        </w:rPr>
        <w:t xml:space="preserve">For the treatment of relapsed or refractory Ph- B-precursor ALL, it appeared that blinatumomab was more effective than standard of care chemotherapy in terms of complete remission (CR) rates, complete remission with partial haematological recovery (CRh*) rates, </w:t>
      </w:r>
      <w:r w:rsidR="00E878F6" w:rsidRPr="004F29AA">
        <w:rPr>
          <w:rStyle w:val="CommentReference"/>
          <w:rFonts w:ascii="Arial" w:hAnsi="Arial"/>
          <w:b w:val="0"/>
          <w:sz w:val="22"/>
          <w:szCs w:val="22"/>
        </w:rPr>
        <w:t>allogeneic HSCT</w:t>
      </w:r>
      <w:r w:rsidRPr="004F29AA">
        <w:rPr>
          <w:rStyle w:val="CommentReference"/>
          <w:rFonts w:ascii="Arial" w:hAnsi="Arial"/>
          <w:b w:val="0"/>
          <w:sz w:val="22"/>
          <w:szCs w:val="22"/>
        </w:rPr>
        <w:t xml:space="preserve"> rates and overall survival. The overall survival in Study 20120310 was somewhat sensitive to subgroup analyses presented in the study report (e.g. USA vs. Europe, 1990-1999 vs. 2000-2012, prior lines of treatment, and age at treatment), with point estimates between </w:t>
      </w:r>
      <w:r w:rsidR="001503CE">
        <w:rPr>
          <w:rStyle w:val="CommentReference"/>
          <w:rFonts w:ascii="Arial" w:hAnsi="Arial"/>
          <w:b w:val="0"/>
          <w:noProof/>
          <w:color w:val="000000"/>
          <w:sz w:val="22"/>
          <w:szCs w:val="22"/>
          <w:highlight w:val="black"/>
        </w:rPr>
        <w:t>'''''''</w:t>
      </w:r>
      <w:r w:rsidRPr="00B016D4">
        <w:rPr>
          <w:rStyle w:val="CommentReference"/>
          <w:rFonts w:ascii="Arial" w:hAnsi="Arial"/>
          <w:b w:val="0"/>
          <w:sz w:val="22"/>
          <w:szCs w:val="22"/>
        </w:rPr>
        <w:t xml:space="preserve"> </w:t>
      </w:r>
      <w:r w:rsidRPr="004F29AA">
        <w:rPr>
          <w:rStyle w:val="CommentReference"/>
          <w:rFonts w:ascii="Arial" w:hAnsi="Arial"/>
          <w:b w:val="0"/>
          <w:sz w:val="22"/>
          <w:szCs w:val="22"/>
        </w:rPr>
        <w:t xml:space="preserve">and </w:t>
      </w:r>
      <w:r w:rsidR="001503CE">
        <w:rPr>
          <w:rStyle w:val="CommentReference"/>
          <w:rFonts w:ascii="Arial" w:hAnsi="Arial"/>
          <w:b w:val="0"/>
          <w:noProof/>
          <w:color w:val="000000"/>
          <w:sz w:val="22"/>
          <w:szCs w:val="22"/>
          <w:highlight w:val="black"/>
        </w:rPr>
        <w:t>'''''''</w:t>
      </w:r>
      <w:r w:rsidRPr="004F29AA">
        <w:rPr>
          <w:rStyle w:val="CommentReference"/>
          <w:rFonts w:ascii="Arial" w:hAnsi="Arial"/>
          <w:b w:val="0"/>
          <w:sz w:val="22"/>
          <w:szCs w:val="22"/>
        </w:rPr>
        <w:t xml:space="preserve"> months. For patients with an initial diagnosis between 1990 and 1999, the median overall survival was </w:t>
      </w:r>
      <w:r w:rsidR="001503CE">
        <w:rPr>
          <w:rStyle w:val="CommentReference"/>
          <w:rFonts w:ascii="Arial" w:hAnsi="Arial"/>
          <w:b w:val="0"/>
          <w:noProof/>
          <w:color w:val="000000"/>
          <w:sz w:val="22"/>
          <w:szCs w:val="22"/>
          <w:highlight w:val="black"/>
        </w:rPr>
        <w:t>''''''''</w:t>
      </w:r>
      <w:r w:rsidRPr="004F29AA">
        <w:rPr>
          <w:rStyle w:val="CommentReference"/>
          <w:rFonts w:ascii="Arial" w:hAnsi="Arial"/>
          <w:b w:val="0"/>
          <w:sz w:val="22"/>
          <w:szCs w:val="22"/>
        </w:rPr>
        <w:t xml:space="preserve"> months (95% confidence interval (CI): </w:t>
      </w:r>
      <w:r w:rsidR="001503CE">
        <w:rPr>
          <w:rStyle w:val="CommentReference"/>
          <w:rFonts w:ascii="Arial" w:hAnsi="Arial"/>
          <w:b w:val="0"/>
          <w:noProof/>
          <w:color w:val="000000"/>
          <w:sz w:val="22"/>
          <w:szCs w:val="22"/>
          <w:highlight w:val="black"/>
        </w:rPr>
        <w:t>''''''''</w:t>
      </w:r>
      <w:r w:rsidRPr="004F29AA">
        <w:rPr>
          <w:rStyle w:val="CommentReference"/>
          <w:rFonts w:ascii="Arial" w:hAnsi="Arial"/>
          <w:b w:val="0"/>
          <w:sz w:val="22"/>
          <w:szCs w:val="22"/>
        </w:rPr>
        <w:t xml:space="preserve"> to </w:t>
      </w:r>
      <w:r w:rsidR="001503CE">
        <w:rPr>
          <w:rStyle w:val="CommentReference"/>
          <w:rFonts w:ascii="Arial" w:hAnsi="Arial"/>
          <w:b w:val="0"/>
          <w:noProof/>
          <w:color w:val="000000"/>
          <w:sz w:val="22"/>
          <w:szCs w:val="22"/>
          <w:highlight w:val="black"/>
        </w:rPr>
        <w:t>''''''''</w:t>
      </w:r>
      <w:r w:rsidRPr="004F29AA">
        <w:rPr>
          <w:rStyle w:val="CommentReference"/>
          <w:rFonts w:ascii="Arial" w:hAnsi="Arial"/>
          <w:b w:val="0"/>
          <w:sz w:val="22"/>
          <w:szCs w:val="22"/>
        </w:rPr>
        <w:t xml:space="preserve"> months), while for those patients diagnosed after 2000 </w:t>
      </w:r>
      <w:r w:rsidR="00B47C42" w:rsidRPr="004F29AA">
        <w:rPr>
          <w:rStyle w:val="CommentReference"/>
          <w:rFonts w:ascii="Arial" w:hAnsi="Arial"/>
          <w:b w:val="0"/>
          <w:sz w:val="22"/>
          <w:szCs w:val="22"/>
        </w:rPr>
        <w:t xml:space="preserve">it </w:t>
      </w:r>
      <w:r w:rsidRPr="004F29AA">
        <w:rPr>
          <w:rStyle w:val="CommentReference"/>
          <w:rFonts w:ascii="Arial" w:hAnsi="Arial"/>
          <w:b w:val="0"/>
          <w:sz w:val="22"/>
          <w:szCs w:val="22"/>
        </w:rPr>
        <w:t xml:space="preserve">was </w:t>
      </w:r>
      <w:r w:rsidR="001503CE">
        <w:rPr>
          <w:rStyle w:val="CommentReference"/>
          <w:rFonts w:ascii="Arial" w:hAnsi="Arial"/>
          <w:b w:val="0"/>
          <w:noProof/>
          <w:color w:val="000000"/>
          <w:sz w:val="22"/>
          <w:szCs w:val="22"/>
          <w:highlight w:val="black"/>
        </w:rPr>
        <w:t>''''''''</w:t>
      </w:r>
      <w:r w:rsidRPr="004F29AA">
        <w:rPr>
          <w:rStyle w:val="CommentReference"/>
          <w:rFonts w:ascii="Arial" w:hAnsi="Arial"/>
          <w:b w:val="0"/>
          <w:sz w:val="22"/>
          <w:szCs w:val="22"/>
        </w:rPr>
        <w:t xml:space="preserve"> months (95% CI: </w:t>
      </w:r>
      <w:r w:rsidR="001503CE">
        <w:rPr>
          <w:rStyle w:val="CommentReference"/>
          <w:rFonts w:ascii="Arial" w:hAnsi="Arial"/>
          <w:b w:val="0"/>
          <w:noProof/>
          <w:color w:val="000000"/>
          <w:sz w:val="22"/>
          <w:szCs w:val="22"/>
          <w:highlight w:val="black"/>
        </w:rPr>
        <w:t>'''''''</w:t>
      </w:r>
      <w:r w:rsidRPr="004F29AA">
        <w:rPr>
          <w:rStyle w:val="CommentReference"/>
          <w:rFonts w:ascii="Arial" w:hAnsi="Arial"/>
          <w:b w:val="0"/>
          <w:sz w:val="22"/>
          <w:szCs w:val="22"/>
        </w:rPr>
        <w:t xml:space="preserve"> to </w:t>
      </w:r>
      <w:r w:rsidR="001503CE">
        <w:rPr>
          <w:rStyle w:val="CommentReference"/>
          <w:rFonts w:ascii="Arial" w:hAnsi="Arial"/>
          <w:b w:val="0"/>
          <w:noProof/>
          <w:color w:val="000000"/>
          <w:sz w:val="22"/>
          <w:szCs w:val="22"/>
          <w:highlight w:val="black"/>
        </w:rPr>
        <w:t>'''''''''</w:t>
      </w:r>
      <w:r w:rsidRPr="004F29AA">
        <w:rPr>
          <w:rStyle w:val="CommentReference"/>
          <w:rFonts w:ascii="Arial" w:hAnsi="Arial"/>
          <w:b w:val="0"/>
          <w:sz w:val="22"/>
          <w:szCs w:val="22"/>
        </w:rPr>
        <w:t xml:space="preserve"> months). Therefore, current standard of care in Australian practice might result in higher effectiveness than that presented in the retrospective historical control study.</w:t>
      </w:r>
    </w:p>
    <w:p w:rsidR="00533FE9" w:rsidRPr="004F29AA" w:rsidRDefault="00533FE9" w:rsidP="00533FE9">
      <w:pPr>
        <w:pStyle w:val="ListParagraph"/>
        <w:widowControl/>
        <w:rPr>
          <w:rStyle w:val="CommentReference"/>
          <w:rFonts w:ascii="Arial" w:hAnsi="Arial"/>
          <w:b w:val="0"/>
          <w:i/>
          <w:sz w:val="22"/>
          <w:szCs w:val="22"/>
        </w:rPr>
      </w:pPr>
    </w:p>
    <w:p w:rsidR="00FC2CA4" w:rsidRPr="004F29AA" w:rsidRDefault="00324E3F" w:rsidP="000442E2">
      <w:pPr>
        <w:pStyle w:val="ListParagraph"/>
        <w:widowControl/>
        <w:numPr>
          <w:ilvl w:val="1"/>
          <w:numId w:val="1"/>
        </w:numPr>
        <w:rPr>
          <w:rStyle w:val="CommentReference"/>
          <w:rFonts w:ascii="Arial" w:hAnsi="Arial"/>
          <w:b w:val="0"/>
          <w:sz w:val="22"/>
          <w:szCs w:val="22"/>
        </w:rPr>
      </w:pPr>
      <w:r w:rsidRPr="004F29AA">
        <w:rPr>
          <w:rStyle w:val="CommentReference"/>
          <w:rFonts w:ascii="Arial" w:hAnsi="Arial"/>
          <w:b w:val="0"/>
          <w:sz w:val="22"/>
          <w:szCs w:val="22"/>
        </w:rPr>
        <w:t>T</w:t>
      </w:r>
      <w:r w:rsidR="00FC2CA4" w:rsidRPr="004F29AA">
        <w:rPr>
          <w:rStyle w:val="CommentReference"/>
          <w:rFonts w:ascii="Arial" w:hAnsi="Arial"/>
          <w:b w:val="0"/>
          <w:sz w:val="22"/>
          <w:szCs w:val="22"/>
        </w:rPr>
        <w:t xml:space="preserve">he PSCR (p2, </w:t>
      </w:r>
      <w:r w:rsidRPr="004F29AA">
        <w:rPr>
          <w:rStyle w:val="CommentReference"/>
          <w:rFonts w:ascii="Arial" w:hAnsi="Arial"/>
          <w:b w:val="0"/>
          <w:sz w:val="22"/>
          <w:szCs w:val="22"/>
        </w:rPr>
        <w:t>T</w:t>
      </w:r>
      <w:r w:rsidR="00FC2CA4" w:rsidRPr="004F29AA">
        <w:rPr>
          <w:rStyle w:val="CommentReference"/>
          <w:rFonts w:ascii="Arial" w:hAnsi="Arial"/>
          <w:b w:val="0"/>
          <w:sz w:val="22"/>
          <w:szCs w:val="22"/>
        </w:rPr>
        <w:t xml:space="preserve">able 1) </w:t>
      </w:r>
      <w:r w:rsidRPr="004F29AA">
        <w:rPr>
          <w:rStyle w:val="CommentReference"/>
          <w:rFonts w:ascii="Arial" w:hAnsi="Arial"/>
          <w:b w:val="0"/>
          <w:sz w:val="22"/>
          <w:szCs w:val="22"/>
        </w:rPr>
        <w:t>provided results of w</w:t>
      </w:r>
      <w:r w:rsidR="00FC2CA4" w:rsidRPr="004F29AA">
        <w:rPr>
          <w:rStyle w:val="CommentReference"/>
          <w:rFonts w:ascii="Arial" w:hAnsi="Arial"/>
          <w:b w:val="0"/>
          <w:sz w:val="22"/>
          <w:szCs w:val="22"/>
        </w:rPr>
        <w:t>eighted OS in &gt;2000 period</w:t>
      </w:r>
      <w:r w:rsidRPr="004F29AA">
        <w:rPr>
          <w:rStyle w:val="CommentReference"/>
          <w:rFonts w:ascii="Arial" w:hAnsi="Arial"/>
          <w:b w:val="0"/>
          <w:sz w:val="22"/>
          <w:szCs w:val="22"/>
        </w:rPr>
        <w:t xml:space="preserve"> of</w:t>
      </w:r>
      <w:r w:rsidR="00FC2CA4" w:rsidRPr="004F29AA">
        <w:rPr>
          <w:rStyle w:val="CommentReference"/>
          <w:rFonts w:ascii="Arial" w:hAnsi="Arial"/>
          <w:b w:val="0"/>
          <w:sz w:val="22"/>
          <w:szCs w:val="22"/>
        </w:rPr>
        <w:t xml:space="preserve"> </w:t>
      </w:r>
      <w:r w:rsidR="001503CE">
        <w:rPr>
          <w:rStyle w:val="CommentReference"/>
          <w:rFonts w:ascii="Arial" w:hAnsi="Arial"/>
          <w:b w:val="0"/>
          <w:noProof/>
          <w:color w:val="000000"/>
          <w:sz w:val="22"/>
          <w:szCs w:val="22"/>
          <w:highlight w:val="black"/>
        </w:rPr>
        <w:t>'''''''</w:t>
      </w:r>
      <w:r w:rsidR="00FC2CA4" w:rsidRPr="004F29AA">
        <w:rPr>
          <w:rStyle w:val="CommentReference"/>
          <w:rFonts w:ascii="Arial" w:hAnsi="Arial"/>
          <w:b w:val="0"/>
          <w:sz w:val="22"/>
          <w:szCs w:val="22"/>
        </w:rPr>
        <w:t xml:space="preserve"> (</w:t>
      </w:r>
      <w:r w:rsidR="001503CE">
        <w:rPr>
          <w:rStyle w:val="CommentReference"/>
          <w:rFonts w:ascii="Arial" w:hAnsi="Arial"/>
          <w:b w:val="0"/>
          <w:noProof/>
          <w:color w:val="000000"/>
          <w:sz w:val="22"/>
          <w:szCs w:val="22"/>
          <w:highlight w:val="black"/>
        </w:rPr>
        <w:t>''''''''</w:t>
      </w:r>
      <w:r w:rsidR="00FC2CA4" w:rsidRPr="004F29AA">
        <w:rPr>
          <w:rStyle w:val="CommentReference"/>
          <w:rFonts w:ascii="Arial" w:hAnsi="Arial"/>
          <w:b w:val="0"/>
          <w:sz w:val="22"/>
          <w:szCs w:val="22"/>
        </w:rPr>
        <w:t xml:space="preserve">, </w:t>
      </w:r>
      <w:r w:rsidR="001503CE">
        <w:rPr>
          <w:rStyle w:val="CommentReference"/>
          <w:rFonts w:ascii="Arial" w:hAnsi="Arial"/>
          <w:b w:val="0"/>
          <w:noProof/>
          <w:color w:val="000000"/>
          <w:sz w:val="22"/>
          <w:szCs w:val="22"/>
          <w:highlight w:val="black"/>
        </w:rPr>
        <w:t>'''''''</w:t>
      </w:r>
      <w:r w:rsidR="00FC2CA4" w:rsidRPr="004F29AA">
        <w:rPr>
          <w:rStyle w:val="CommentReference"/>
          <w:rFonts w:ascii="Arial" w:hAnsi="Arial"/>
          <w:b w:val="0"/>
          <w:sz w:val="22"/>
          <w:szCs w:val="22"/>
        </w:rPr>
        <w:t xml:space="preserve">) months compared to </w:t>
      </w:r>
      <w:r w:rsidR="001503CE">
        <w:rPr>
          <w:rStyle w:val="CommentReference"/>
          <w:rFonts w:ascii="Arial" w:hAnsi="Arial"/>
          <w:b w:val="0"/>
          <w:noProof/>
          <w:color w:val="000000"/>
          <w:sz w:val="22"/>
          <w:szCs w:val="22"/>
          <w:highlight w:val="black"/>
        </w:rPr>
        <w:t>'''''''</w:t>
      </w:r>
      <w:r w:rsidR="00FC2CA4" w:rsidRPr="004F29AA">
        <w:rPr>
          <w:rStyle w:val="CommentReference"/>
          <w:rFonts w:ascii="Arial" w:hAnsi="Arial"/>
          <w:b w:val="0"/>
          <w:sz w:val="22"/>
          <w:szCs w:val="22"/>
        </w:rPr>
        <w:t xml:space="preserve"> (</w:t>
      </w:r>
      <w:r w:rsidR="001503CE">
        <w:rPr>
          <w:rStyle w:val="CommentReference"/>
          <w:rFonts w:ascii="Arial" w:hAnsi="Arial"/>
          <w:b w:val="0"/>
          <w:noProof/>
          <w:color w:val="000000"/>
          <w:sz w:val="22"/>
          <w:szCs w:val="22"/>
          <w:highlight w:val="black"/>
        </w:rPr>
        <w:t>'''''''</w:t>
      </w:r>
      <w:r w:rsidR="00FC2CA4" w:rsidRPr="004F29AA">
        <w:rPr>
          <w:rStyle w:val="CommentReference"/>
          <w:rFonts w:ascii="Arial" w:hAnsi="Arial"/>
          <w:b w:val="0"/>
          <w:sz w:val="22"/>
          <w:szCs w:val="22"/>
        </w:rPr>
        <w:t xml:space="preserve">, </w:t>
      </w:r>
      <w:r w:rsidR="001503CE">
        <w:rPr>
          <w:rStyle w:val="CommentReference"/>
          <w:rFonts w:ascii="Arial" w:hAnsi="Arial"/>
          <w:b w:val="0"/>
          <w:noProof/>
          <w:color w:val="000000"/>
          <w:sz w:val="22"/>
          <w:szCs w:val="22"/>
          <w:highlight w:val="black"/>
        </w:rPr>
        <w:t>'''''''''</w:t>
      </w:r>
      <w:r w:rsidR="00FC2CA4" w:rsidRPr="004F29AA">
        <w:rPr>
          <w:rStyle w:val="CommentReference"/>
          <w:rFonts w:ascii="Arial" w:hAnsi="Arial"/>
          <w:b w:val="0"/>
          <w:sz w:val="22"/>
          <w:szCs w:val="22"/>
        </w:rPr>
        <w:t xml:space="preserve">) with inclusion of data of &lt;2000. </w:t>
      </w:r>
      <w:r w:rsidRPr="004F29AA">
        <w:rPr>
          <w:rStyle w:val="CommentReference"/>
          <w:rFonts w:ascii="Arial" w:hAnsi="Arial"/>
          <w:b w:val="0"/>
          <w:sz w:val="22"/>
          <w:szCs w:val="22"/>
        </w:rPr>
        <w:t xml:space="preserve">The weighted data &gt;2000 could not be verified. </w:t>
      </w:r>
    </w:p>
    <w:p w:rsidR="008B171A" w:rsidRPr="004F29AA" w:rsidRDefault="008B171A" w:rsidP="008B171A">
      <w:pPr>
        <w:pStyle w:val="ListParagraph"/>
        <w:rPr>
          <w:rStyle w:val="CommentReference"/>
          <w:rFonts w:ascii="Arial" w:hAnsi="Arial"/>
          <w:b w:val="0"/>
          <w:sz w:val="22"/>
          <w:szCs w:val="22"/>
        </w:rPr>
      </w:pPr>
    </w:p>
    <w:p w:rsidR="007F2D50" w:rsidRPr="004F29AA" w:rsidRDefault="007F2D50" w:rsidP="000442E2">
      <w:pPr>
        <w:pStyle w:val="ListParagraph"/>
        <w:widowControl/>
        <w:numPr>
          <w:ilvl w:val="1"/>
          <w:numId w:val="1"/>
        </w:numPr>
        <w:rPr>
          <w:szCs w:val="22"/>
        </w:rPr>
      </w:pPr>
      <w:r w:rsidRPr="004F29AA">
        <w:rPr>
          <w:rStyle w:val="CommentReference"/>
          <w:rFonts w:ascii="Arial" w:hAnsi="Arial"/>
          <w:b w:val="0"/>
          <w:sz w:val="22"/>
          <w:szCs w:val="22"/>
        </w:rPr>
        <w:t xml:space="preserve">There was no direct comparative evidence for efficacy, and </w:t>
      </w:r>
      <w:r w:rsidR="00FA4F0B" w:rsidRPr="004F29AA">
        <w:rPr>
          <w:rStyle w:val="CommentReference"/>
          <w:rFonts w:ascii="Arial" w:hAnsi="Arial"/>
          <w:b w:val="0"/>
          <w:sz w:val="22"/>
          <w:szCs w:val="22"/>
        </w:rPr>
        <w:t xml:space="preserve">given the lack of exchangeability between the study data, </w:t>
      </w:r>
      <w:r w:rsidRPr="004F29AA">
        <w:rPr>
          <w:rStyle w:val="CommentReference"/>
          <w:rFonts w:ascii="Arial" w:hAnsi="Arial"/>
          <w:b w:val="0"/>
          <w:sz w:val="22"/>
          <w:szCs w:val="22"/>
        </w:rPr>
        <w:t xml:space="preserve">the submission did not provide any statistical analyses of the naïve indirect comparisons. </w:t>
      </w:r>
      <w:r w:rsidRPr="004F29AA">
        <w:rPr>
          <w:szCs w:val="22"/>
        </w:rPr>
        <w:t xml:space="preserve">Additionally, patients in study MT103-211 had more severe disease than those in the proposed PBS population, therefore the results from this study might be an underestimation of the true effect in the proposed PBS population. </w:t>
      </w:r>
    </w:p>
    <w:p w:rsidR="00AD4256" w:rsidRPr="004F29AA" w:rsidRDefault="00AD4256" w:rsidP="00B242D3">
      <w:pPr>
        <w:pStyle w:val="ListParagraph"/>
        <w:rPr>
          <w:szCs w:val="22"/>
        </w:rPr>
      </w:pPr>
    </w:p>
    <w:p w:rsidR="007F2D50" w:rsidRPr="004F29AA" w:rsidRDefault="007F2D50" w:rsidP="0044570A">
      <w:pPr>
        <w:widowControl/>
        <w:jc w:val="left"/>
        <w:rPr>
          <w:b/>
          <w:szCs w:val="22"/>
        </w:rPr>
      </w:pPr>
      <w:bookmarkStart w:id="17" w:name="_Toc426958212"/>
      <w:bookmarkStart w:id="18" w:name="_Toc430079470"/>
      <w:r w:rsidRPr="004F29AA">
        <w:rPr>
          <w:b/>
          <w:i/>
        </w:rPr>
        <w:t>Comparative harms</w:t>
      </w:r>
      <w:bookmarkEnd w:id="17"/>
      <w:bookmarkEnd w:id="18"/>
    </w:p>
    <w:p w:rsidR="007F2D50" w:rsidRPr="004F29AA" w:rsidRDefault="007F2D50" w:rsidP="007F2D50">
      <w:pPr>
        <w:ind w:left="720" w:hanging="720"/>
        <w:rPr>
          <w:szCs w:val="22"/>
        </w:rPr>
      </w:pPr>
    </w:p>
    <w:p w:rsidR="007F2D50" w:rsidRPr="004F29AA" w:rsidRDefault="007F2D50" w:rsidP="000442E2">
      <w:pPr>
        <w:pStyle w:val="ListParagraph"/>
        <w:widowControl/>
        <w:numPr>
          <w:ilvl w:val="1"/>
          <w:numId w:val="1"/>
        </w:numPr>
        <w:rPr>
          <w:szCs w:val="22"/>
        </w:rPr>
      </w:pPr>
      <w:r w:rsidRPr="004F29AA">
        <w:t xml:space="preserve">There were no safety endpoints in the historical study, 20120310; therefore, the submission did not undertake a comparative safety analysis. Table 4 presents a summary of the treatment emergent adverse events from the blinatumomab studies </w:t>
      </w:r>
      <w:r w:rsidR="00380E6E" w:rsidRPr="004F29AA">
        <w:t>(</w:t>
      </w:r>
      <w:r w:rsidRPr="004F29AA">
        <w:t>MT103-211 and MT103-206</w:t>
      </w:r>
      <w:r w:rsidR="00380E6E" w:rsidRPr="004F29AA">
        <w:t>)</w:t>
      </w:r>
      <w:r w:rsidRPr="004F29AA">
        <w:t>.</w:t>
      </w:r>
    </w:p>
    <w:p w:rsidR="00F12DF0" w:rsidRPr="004F29AA" w:rsidRDefault="00F12DF0" w:rsidP="00F12DF0">
      <w:pPr>
        <w:rPr>
          <w:szCs w:val="22"/>
        </w:rPr>
      </w:pPr>
    </w:p>
    <w:p w:rsidR="007F2D50" w:rsidRPr="004F29AA" w:rsidRDefault="007F2D50" w:rsidP="009B6367">
      <w:pPr>
        <w:pStyle w:val="ListParagraph"/>
        <w:keepNext/>
        <w:rPr>
          <w:rStyle w:val="CommentReference"/>
        </w:rPr>
      </w:pPr>
      <w:r w:rsidRPr="004F29AA">
        <w:rPr>
          <w:rStyle w:val="CommentReference"/>
        </w:rPr>
        <w:t>Table 4: Treatment emergent adverse events from the blinatumomab studies</w:t>
      </w:r>
    </w:p>
    <w:tbl>
      <w:tblPr>
        <w:tblStyle w:val="TableGrid"/>
        <w:tblW w:w="0" w:type="auto"/>
        <w:tblInd w:w="737" w:type="dxa"/>
        <w:tblLook w:val="04A0" w:firstRow="1" w:lastRow="0" w:firstColumn="1" w:lastColumn="0" w:noHBand="0" w:noVBand="1"/>
        <w:tblCaption w:val="Summary of adverse events from studies"/>
      </w:tblPr>
      <w:tblGrid>
        <w:gridCol w:w="3686"/>
        <w:gridCol w:w="1559"/>
        <w:gridCol w:w="1559"/>
        <w:gridCol w:w="1542"/>
      </w:tblGrid>
      <w:tr w:rsidR="007F2D50" w:rsidRPr="004F29AA">
        <w:trPr>
          <w:cantSplit/>
          <w:tblHeader/>
        </w:trPr>
        <w:tc>
          <w:tcPr>
            <w:tcW w:w="3686" w:type="dxa"/>
            <w:tcMar>
              <w:left w:w="28" w:type="dxa"/>
              <w:right w:w="28" w:type="dxa"/>
            </w:tcMar>
          </w:tcPr>
          <w:p w:rsidR="007F2D50" w:rsidRPr="004F29AA" w:rsidRDefault="007F2D50" w:rsidP="00ED40BC">
            <w:pPr>
              <w:keepNext/>
              <w:rPr>
                <w:rFonts w:ascii="Arial Narrow" w:hAnsi="Arial Narrow"/>
                <w:sz w:val="20"/>
              </w:rPr>
            </w:pPr>
          </w:p>
        </w:tc>
        <w:tc>
          <w:tcPr>
            <w:tcW w:w="3118" w:type="dxa"/>
            <w:gridSpan w:val="2"/>
            <w:tcMar>
              <w:left w:w="28" w:type="dxa"/>
              <w:right w:w="28" w:type="dxa"/>
            </w:tcMar>
          </w:tcPr>
          <w:p w:rsidR="007F2D50" w:rsidRPr="004F29AA" w:rsidRDefault="007F2D50" w:rsidP="002D721A">
            <w:pPr>
              <w:keepNext/>
              <w:jc w:val="center"/>
              <w:rPr>
                <w:rFonts w:ascii="Arial Narrow" w:hAnsi="Arial Narrow"/>
                <w:b/>
                <w:sz w:val="20"/>
              </w:rPr>
            </w:pPr>
            <w:r w:rsidRPr="004F29AA">
              <w:rPr>
                <w:rFonts w:ascii="Arial Narrow" w:hAnsi="Arial Narrow"/>
                <w:b/>
                <w:sz w:val="20"/>
              </w:rPr>
              <w:t>MT103-211, n (%)</w:t>
            </w:r>
          </w:p>
        </w:tc>
        <w:tc>
          <w:tcPr>
            <w:tcW w:w="1542" w:type="dxa"/>
            <w:tcMar>
              <w:left w:w="28" w:type="dxa"/>
              <w:right w:w="28" w:type="dxa"/>
            </w:tcMar>
          </w:tcPr>
          <w:p w:rsidR="007F2D50" w:rsidRPr="004F29AA" w:rsidRDefault="007F2D50" w:rsidP="002D721A">
            <w:pPr>
              <w:keepNext/>
              <w:jc w:val="center"/>
              <w:rPr>
                <w:rFonts w:ascii="Arial Narrow" w:hAnsi="Arial Narrow"/>
                <w:b/>
                <w:sz w:val="20"/>
              </w:rPr>
            </w:pPr>
            <w:r w:rsidRPr="004F29AA">
              <w:rPr>
                <w:rFonts w:ascii="Arial Narrow" w:hAnsi="Arial Narrow"/>
                <w:b/>
                <w:sz w:val="20"/>
              </w:rPr>
              <w:t>MT103-206, n (%)</w:t>
            </w:r>
          </w:p>
        </w:tc>
      </w:tr>
      <w:tr w:rsidR="007F2D50" w:rsidRPr="004F29AA">
        <w:trPr>
          <w:cantSplit/>
        </w:trPr>
        <w:tc>
          <w:tcPr>
            <w:tcW w:w="3686" w:type="dxa"/>
            <w:tcMar>
              <w:left w:w="28" w:type="dxa"/>
              <w:right w:w="28" w:type="dxa"/>
            </w:tcMar>
          </w:tcPr>
          <w:p w:rsidR="007F2D50" w:rsidRPr="004F29AA" w:rsidRDefault="007F2D50" w:rsidP="00ED40BC">
            <w:pPr>
              <w:keepNext/>
              <w:rPr>
                <w:rFonts w:ascii="Arial Narrow" w:hAnsi="Arial Narrow"/>
                <w:sz w:val="20"/>
              </w:rPr>
            </w:pPr>
            <w:r w:rsidRPr="004F29AA">
              <w:rPr>
                <w:rFonts w:ascii="Arial Narrow" w:hAnsi="Arial Narrow"/>
                <w:sz w:val="20"/>
              </w:rPr>
              <w:t>N</w:t>
            </w:r>
          </w:p>
        </w:tc>
        <w:tc>
          <w:tcPr>
            <w:tcW w:w="1559" w:type="dxa"/>
            <w:tcMar>
              <w:left w:w="28" w:type="dxa"/>
              <w:right w:w="28" w:type="dxa"/>
            </w:tcMar>
          </w:tcPr>
          <w:p w:rsidR="007F2D50" w:rsidRPr="004F29AA" w:rsidRDefault="007F2D50" w:rsidP="002D721A">
            <w:pPr>
              <w:keepNext/>
              <w:jc w:val="center"/>
              <w:rPr>
                <w:rFonts w:ascii="Arial Narrow" w:hAnsi="Arial Narrow"/>
                <w:sz w:val="20"/>
              </w:rPr>
            </w:pPr>
            <w:r w:rsidRPr="004F29AA">
              <w:rPr>
                <w:rFonts w:ascii="Arial Narrow" w:hAnsi="Arial Narrow"/>
                <w:sz w:val="20"/>
              </w:rPr>
              <w:t xml:space="preserve">PAS = 189 </w:t>
            </w:r>
          </w:p>
        </w:tc>
        <w:tc>
          <w:tcPr>
            <w:tcW w:w="1559" w:type="dxa"/>
            <w:tcMar>
              <w:left w:w="28" w:type="dxa"/>
              <w:right w:w="28" w:type="dxa"/>
            </w:tcMar>
          </w:tcPr>
          <w:p w:rsidR="007F2D50" w:rsidRPr="00B016D4" w:rsidRDefault="007F2D50" w:rsidP="002D721A">
            <w:pPr>
              <w:keepNext/>
              <w:jc w:val="center"/>
              <w:rPr>
                <w:rFonts w:ascii="Arial Narrow" w:hAnsi="Arial Narrow"/>
                <w:sz w:val="20"/>
              </w:rPr>
            </w:pPr>
            <w:r w:rsidRPr="00B016D4">
              <w:rPr>
                <w:rFonts w:ascii="Arial Narrow" w:hAnsi="Arial Narrow"/>
                <w:sz w:val="20"/>
              </w:rPr>
              <w:t>FAS = 225</w:t>
            </w:r>
          </w:p>
        </w:tc>
        <w:tc>
          <w:tcPr>
            <w:tcW w:w="1542" w:type="dxa"/>
            <w:tcMar>
              <w:left w:w="28" w:type="dxa"/>
              <w:right w:w="28" w:type="dxa"/>
            </w:tcMar>
          </w:tcPr>
          <w:p w:rsidR="007F2D50" w:rsidRPr="004F29AA" w:rsidRDefault="007F2D50" w:rsidP="002D721A">
            <w:pPr>
              <w:keepNext/>
              <w:jc w:val="center"/>
              <w:rPr>
                <w:rFonts w:ascii="Arial Narrow" w:hAnsi="Arial Narrow"/>
                <w:sz w:val="20"/>
              </w:rPr>
            </w:pPr>
            <w:r w:rsidRPr="004F29AA">
              <w:rPr>
                <w:rFonts w:ascii="Arial Narrow" w:hAnsi="Arial Narrow"/>
                <w:sz w:val="20"/>
              </w:rPr>
              <w:t>36</w:t>
            </w:r>
          </w:p>
        </w:tc>
      </w:tr>
      <w:tr w:rsidR="007F2D50" w:rsidRPr="004F29AA">
        <w:trPr>
          <w:cantSplit/>
        </w:trPr>
        <w:tc>
          <w:tcPr>
            <w:tcW w:w="8346" w:type="dxa"/>
            <w:gridSpan w:val="4"/>
            <w:tcMar>
              <w:left w:w="28" w:type="dxa"/>
              <w:right w:w="28" w:type="dxa"/>
            </w:tcMar>
          </w:tcPr>
          <w:p w:rsidR="007F2D50" w:rsidRPr="00B016D4" w:rsidRDefault="007F2D50" w:rsidP="00ED40BC">
            <w:pPr>
              <w:keepNext/>
              <w:rPr>
                <w:rFonts w:ascii="Arial Narrow" w:hAnsi="Arial Narrow"/>
                <w:sz w:val="20"/>
              </w:rPr>
            </w:pPr>
            <w:r w:rsidRPr="00B016D4">
              <w:rPr>
                <w:rFonts w:ascii="Arial Narrow" w:hAnsi="Arial Narrow"/>
                <w:sz w:val="20"/>
              </w:rPr>
              <w:t>Treatment emergent adverse events</w:t>
            </w:r>
          </w:p>
        </w:tc>
      </w:tr>
      <w:tr w:rsidR="007F2D50" w:rsidRPr="004F29AA">
        <w:trPr>
          <w:cantSplit/>
        </w:trPr>
        <w:tc>
          <w:tcPr>
            <w:tcW w:w="3686" w:type="dxa"/>
            <w:tcMar>
              <w:left w:w="28" w:type="dxa"/>
              <w:right w:w="28" w:type="dxa"/>
            </w:tcMar>
          </w:tcPr>
          <w:p w:rsidR="007F2D50" w:rsidRPr="004F29AA" w:rsidRDefault="007F2D50" w:rsidP="00ED40BC">
            <w:pPr>
              <w:keepNext/>
              <w:rPr>
                <w:rFonts w:ascii="Arial Narrow" w:hAnsi="Arial Narrow"/>
                <w:sz w:val="20"/>
              </w:rPr>
            </w:pPr>
            <w:r w:rsidRPr="004F29AA">
              <w:rPr>
                <w:rFonts w:ascii="Arial Narrow" w:hAnsi="Arial Narrow"/>
                <w:sz w:val="20"/>
              </w:rPr>
              <w:t>All</w:t>
            </w:r>
          </w:p>
        </w:tc>
        <w:tc>
          <w:tcPr>
            <w:tcW w:w="1559" w:type="dxa"/>
            <w:tcMar>
              <w:left w:w="28" w:type="dxa"/>
              <w:right w:w="28" w:type="dxa"/>
            </w:tcMar>
          </w:tcPr>
          <w:p w:rsidR="007F2D50" w:rsidRPr="004F29AA" w:rsidRDefault="007F2D50" w:rsidP="002D721A">
            <w:pPr>
              <w:keepNext/>
              <w:jc w:val="center"/>
              <w:rPr>
                <w:rFonts w:ascii="Arial Narrow" w:hAnsi="Arial Narrow"/>
                <w:sz w:val="20"/>
              </w:rPr>
            </w:pPr>
            <w:r w:rsidRPr="004F29AA">
              <w:rPr>
                <w:rFonts w:ascii="Arial Narrow" w:hAnsi="Arial Narrow"/>
                <w:sz w:val="20"/>
              </w:rPr>
              <w:t>188 (99.5%)</w:t>
            </w:r>
          </w:p>
        </w:tc>
        <w:tc>
          <w:tcPr>
            <w:tcW w:w="1559" w:type="dxa"/>
            <w:tcMar>
              <w:left w:w="28" w:type="dxa"/>
              <w:right w:w="28" w:type="dxa"/>
            </w:tcMar>
          </w:tcPr>
          <w:p w:rsidR="007F2D50" w:rsidRPr="00B016D4" w:rsidRDefault="00A21B12" w:rsidP="00A21B12">
            <w:pPr>
              <w:keepNext/>
              <w:tabs>
                <w:tab w:val="left" w:pos="288"/>
                <w:tab w:val="center" w:pos="751"/>
              </w:tabs>
              <w:jc w:val="left"/>
              <w:rPr>
                <w:rFonts w:ascii="Arial Narrow" w:hAnsi="Arial Narrow"/>
                <w:sz w:val="20"/>
                <w:highlight w:val="yellow"/>
              </w:rPr>
            </w:pPr>
            <w:r w:rsidRPr="00B016D4">
              <w:rPr>
                <w:rFonts w:ascii="Arial Narrow" w:hAnsi="Arial Narrow"/>
                <w:sz w:val="20"/>
              </w:rPr>
              <w:tab/>
            </w:r>
            <w:r w:rsidRPr="00B016D4">
              <w:rPr>
                <w:rFonts w:ascii="Arial Narrow" w:hAnsi="Arial Narrow"/>
                <w:sz w:val="20"/>
              </w:rPr>
              <w:tab/>
            </w:r>
            <w:r w:rsidR="007F2D50" w:rsidRPr="00B016D4">
              <w:rPr>
                <w:rFonts w:ascii="Arial Narrow" w:hAnsi="Arial Narrow"/>
                <w:sz w:val="20"/>
              </w:rPr>
              <w:t>224 (99.6%)</w:t>
            </w:r>
          </w:p>
        </w:tc>
        <w:tc>
          <w:tcPr>
            <w:tcW w:w="1542" w:type="dxa"/>
            <w:tcMar>
              <w:left w:w="28" w:type="dxa"/>
              <w:right w:w="28" w:type="dxa"/>
            </w:tcMar>
          </w:tcPr>
          <w:p w:rsidR="007F2D50" w:rsidRPr="004F29AA" w:rsidRDefault="007F2D50" w:rsidP="002D721A">
            <w:pPr>
              <w:keepNext/>
              <w:jc w:val="center"/>
              <w:rPr>
                <w:rFonts w:ascii="Arial Narrow" w:hAnsi="Arial Narrow"/>
                <w:sz w:val="20"/>
              </w:rPr>
            </w:pPr>
            <w:r w:rsidRPr="004F29AA">
              <w:rPr>
                <w:rFonts w:ascii="Arial Narrow" w:hAnsi="Arial Narrow"/>
                <w:sz w:val="20"/>
              </w:rPr>
              <w:t>36 (100%)</w:t>
            </w:r>
          </w:p>
        </w:tc>
      </w:tr>
      <w:tr w:rsidR="007F2D50" w:rsidRPr="004F29AA">
        <w:trPr>
          <w:cantSplit/>
        </w:trPr>
        <w:tc>
          <w:tcPr>
            <w:tcW w:w="3686" w:type="dxa"/>
            <w:tcMar>
              <w:left w:w="28" w:type="dxa"/>
              <w:right w:w="28" w:type="dxa"/>
            </w:tcMar>
          </w:tcPr>
          <w:p w:rsidR="007F2D50" w:rsidRPr="004F29AA" w:rsidRDefault="007F2D50" w:rsidP="007F2D50">
            <w:pPr>
              <w:keepNext/>
              <w:rPr>
                <w:rFonts w:ascii="Arial Narrow" w:hAnsi="Arial Narrow"/>
                <w:sz w:val="20"/>
              </w:rPr>
            </w:pPr>
            <w:r w:rsidRPr="004F29AA">
              <w:rPr>
                <w:rFonts w:ascii="Arial Narrow" w:hAnsi="Arial Narrow"/>
                <w:sz w:val="20"/>
              </w:rPr>
              <w:t>Grade ≥ 3</w:t>
            </w:r>
          </w:p>
        </w:tc>
        <w:tc>
          <w:tcPr>
            <w:tcW w:w="1559" w:type="dxa"/>
            <w:tcMar>
              <w:left w:w="28" w:type="dxa"/>
              <w:right w:w="28" w:type="dxa"/>
            </w:tcMar>
          </w:tcPr>
          <w:p w:rsidR="007F2D50" w:rsidRPr="004F29AA" w:rsidRDefault="007F2D50" w:rsidP="007F2D50">
            <w:pPr>
              <w:keepNext/>
              <w:jc w:val="center"/>
              <w:rPr>
                <w:rFonts w:ascii="Arial Narrow" w:hAnsi="Arial Narrow"/>
                <w:sz w:val="20"/>
              </w:rPr>
            </w:pPr>
            <w:r w:rsidRPr="004F29AA">
              <w:rPr>
                <w:rFonts w:ascii="Arial Narrow" w:hAnsi="Arial Narrow"/>
                <w:sz w:val="20"/>
              </w:rPr>
              <w:t>155 (82.0%)</w:t>
            </w:r>
          </w:p>
        </w:tc>
        <w:tc>
          <w:tcPr>
            <w:tcW w:w="1559" w:type="dxa"/>
            <w:tcMar>
              <w:left w:w="28" w:type="dxa"/>
              <w:right w:w="28" w:type="dxa"/>
            </w:tcMar>
          </w:tcPr>
          <w:p w:rsidR="007F2D50" w:rsidRPr="00B016D4" w:rsidRDefault="007F2D50" w:rsidP="007F2D50">
            <w:pPr>
              <w:keepNext/>
              <w:jc w:val="center"/>
              <w:rPr>
                <w:rFonts w:ascii="Arial Narrow" w:hAnsi="Arial Narrow"/>
                <w:sz w:val="20"/>
              </w:rPr>
            </w:pPr>
            <w:r w:rsidRPr="00B016D4">
              <w:rPr>
                <w:rFonts w:ascii="Arial Narrow" w:hAnsi="Arial Narrow"/>
                <w:sz w:val="20"/>
              </w:rPr>
              <w:t>185 (82.2%)</w:t>
            </w:r>
          </w:p>
        </w:tc>
        <w:tc>
          <w:tcPr>
            <w:tcW w:w="1542" w:type="dxa"/>
            <w:tcMar>
              <w:left w:w="28" w:type="dxa"/>
              <w:right w:w="28" w:type="dxa"/>
            </w:tcMar>
          </w:tcPr>
          <w:p w:rsidR="007F2D50" w:rsidRPr="004F29AA" w:rsidRDefault="007F2D50" w:rsidP="007F2D50">
            <w:pPr>
              <w:keepNext/>
              <w:jc w:val="center"/>
              <w:rPr>
                <w:rFonts w:ascii="Arial Narrow" w:hAnsi="Arial Narrow"/>
                <w:sz w:val="20"/>
              </w:rPr>
            </w:pPr>
            <w:r w:rsidRPr="004F29AA">
              <w:rPr>
                <w:rFonts w:ascii="Arial Narrow" w:hAnsi="Arial Narrow"/>
                <w:sz w:val="20"/>
              </w:rPr>
              <w:t>27 (75%)</w:t>
            </w:r>
          </w:p>
        </w:tc>
      </w:tr>
      <w:tr w:rsidR="007F2D50" w:rsidRPr="004F29AA">
        <w:trPr>
          <w:cantSplit/>
        </w:trPr>
        <w:tc>
          <w:tcPr>
            <w:tcW w:w="3686" w:type="dxa"/>
            <w:tcMar>
              <w:left w:w="28" w:type="dxa"/>
              <w:right w:w="28" w:type="dxa"/>
            </w:tcMar>
          </w:tcPr>
          <w:p w:rsidR="007F2D50" w:rsidRPr="004F29AA" w:rsidRDefault="007F2D50" w:rsidP="007F2D50">
            <w:pPr>
              <w:keepNext/>
              <w:rPr>
                <w:rFonts w:ascii="Arial Narrow" w:hAnsi="Arial Narrow"/>
                <w:sz w:val="20"/>
              </w:rPr>
            </w:pPr>
            <w:r w:rsidRPr="004F29AA">
              <w:rPr>
                <w:rFonts w:ascii="Arial Narrow" w:hAnsi="Arial Narrow"/>
                <w:sz w:val="20"/>
              </w:rPr>
              <w:t>Grade ≥ 4</w:t>
            </w:r>
          </w:p>
        </w:tc>
        <w:tc>
          <w:tcPr>
            <w:tcW w:w="1559" w:type="dxa"/>
            <w:tcMar>
              <w:left w:w="28" w:type="dxa"/>
              <w:right w:w="28" w:type="dxa"/>
            </w:tcMar>
          </w:tcPr>
          <w:p w:rsidR="007F2D50" w:rsidRPr="004F29AA" w:rsidRDefault="007F2D50" w:rsidP="007F2D50">
            <w:pPr>
              <w:keepNext/>
              <w:jc w:val="center"/>
              <w:rPr>
                <w:rFonts w:ascii="Arial Narrow" w:hAnsi="Arial Narrow"/>
                <w:sz w:val="20"/>
              </w:rPr>
            </w:pPr>
            <w:r w:rsidRPr="004F29AA">
              <w:rPr>
                <w:rFonts w:ascii="Arial Narrow" w:hAnsi="Arial Narrow"/>
                <w:sz w:val="20"/>
              </w:rPr>
              <w:t>84 (44.4%)</w:t>
            </w:r>
          </w:p>
        </w:tc>
        <w:tc>
          <w:tcPr>
            <w:tcW w:w="1559" w:type="dxa"/>
            <w:tcMar>
              <w:left w:w="28" w:type="dxa"/>
              <w:right w:w="28" w:type="dxa"/>
            </w:tcMar>
          </w:tcPr>
          <w:p w:rsidR="007F2D50" w:rsidRPr="00B016D4" w:rsidRDefault="007F2D50" w:rsidP="007F2D50">
            <w:pPr>
              <w:keepNext/>
              <w:jc w:val="center"/>
              <w:rPr>
                <w:rFonts w:ascii="Arial Narrow" w:hAnsi="Arial Narrow"/>
                <w:sz w:val="20"/>
              </w:rPr>
            </w:pPr>
            <w:r w:rsidRPr="00B016D4">
              <w:rPr>
                <w:rFonts w:ascii="Arial Narrow" w:hAnsi="Arial Narrow"/>
                <w:sz w:val="20"/>
              </w:rPr>
              <w:t>101 (44.9%)</w:t>
            </w:r>
          </w:p>
        </w:tc>
        <w:tc>
          <w:tcPr>
            <w:tcW w:w="1542" w:type="dxa"/>
            <w:tcMar>
              <w:left w:w="28" w:type="dxa"/>
              <w:right w:w="28" w:type="dxa"/>
            </w:tcMar>
          </w:tcPr>
          <w:p w:rsidR="007F2D50" w:rsidRPr="004F29AA" w:rsidRDefault="007F2D50" w:rsidP="007F2D50">
            <w:pPr>
              <w:keepNext/>
              <w:jc w:val="center"/>
              <w:rPr>
                <w:rFonts w:ascii="Arial Narrow" w:hAnsi="Arial Narrow"/>
                <w:sz w:val="20"/>
              </w:rPr>
            </w:pPr>
            <w:r w:rsidRPr="004F29AA">
              <w:rPr>
                <w:rFonts w:ascii="Arial Narrow" w:hAnsi="Arial Narrow"/>
                <w:sz w:val="20"/>
              </w:rPr>
              <w:t>17 (47%)</w:t>
            </w:r>
          </w:p>
        </w:tc>
      </w:tr>
      <w:tr w:rsidR="007F2D50" w:rsidRPr="004F29AA">
        <w:trPr>
          <w:cantSplit/>
        </w:trPr>
        <w:tc>
          <w:tcPr>
            <w:tcW w:w="3686" w:type="dxa"/>
            <w:tcMar>
              <w:left w:w="28" w:type="dxa"/>
              <w:right w:w="28" w:type="dxa"/>
            </w:tcMar>
          </w:tcPr>
          <w:p w:rsidR="007F2D50" w:rsidRPr="004F29AA" w:rsidRDefault="007F2D50" w:rsidP="007F2D50">
            <w:pPr>
              <w:rPr>
                <w:rFonts w:ascii="Arial Narrow" w:hAnsi="Arial Narrow"/>
                <w:sz w:val="20"/>
              </w:rPr>
            </w:pPr>
            <w:r w:rsidRPr="004F29AA">
              <w:rPr>
                <w:rFonts w:ascii="Arial Narrow" w:hAnsi="Arial Narrow"/>
                <w:sz w:val="20"/>
              </w:rPr>
              <w:t>Serious</w:t>
            </w:r>
          </w:p>
        </w:tc>
        <w:tc>
          <w:tcPr>
            <w:tcW w:w="1559"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121 (64.0%)</w:t>
            </w:r>
          </w:p>
        </w:tc>
        <w:tc>
          <w:tcPr>
            <w:tcW w:w="1559" w:type="dxa"/>
            <w:tcMar>
              <w:left w:w="28" w:type="dxa"/>
              <w:right w:w="28" w:type="dxa"/>
            </w:tcMar>
          </w:tcPr>
          <w:p w:rsidR="007F2D50" w:rsidRPr="00B016D4" w:rsidRDefault="007F2D50" w:rsidP="007F2D50">
            <w:pPr>
              <w:jc w:val="center"/>
              <w:rPr>
                <w:rFonts w:ascii="Arial Narrow" w:hAnsi="Arial Narrow"/>
                <w:sz w:val="20"/>
              </w:rPr>
            </w:pPr>
            <w:r w:rsidRPr="00B016D4">
              <w:rPr>
                <w:rFonts w:ascii="Arial Narrow" w:hAnsi="Arial Narrow"/>
                <w:sz w:val="20"/>
              </w:rPr>
              <w:t>145 (64.4%)</w:t>
            </w:r>
          </w:p>
        </w:tc>
        <w:tc>
          <w:tcPr>
            <w:tcW w:w="1542"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25 (69%)</w:t>
            </w:r>
          </w:p>
        </w:tc>
      </w:tr>
      <w:tr w:rsidR="007F2D50" w:rsidRPr="004F29AA">
        <w:trPr>
          <w:cantSplit/>
        </w:trPr>
        <w:tc>
          <w:tcPr>
            <w:tcW w:w="3686" w:type="dxa"/>
            <w:tcMar>
              <w:left w:w="28" w:type="dxa"/>
              <w:right w:w="28" w:type="dxa"/>
            </w:tcMar>
          </w:tcPr>
          <w:p w:rsidR="007F2D50" w:rsidRPr="004F29AA" w:rsidRDefault="007F2D50" w:rsidP="007F2D50">
            <w:pPr>
              <w:rPr>
                <w:rFonts w:ascii="Arial Narrow" w:hAnsi="Arial Narrow"/>
                <w:sz w:val="20"/>
              </w:rPr>
            </w:pPr>
            <w:r w:rsidRPr="004F29AA">
              <w:rPr>
                <w:rFonts w:ascii="Arial Narrow" w:hAnsi="Arial Narrow"/>
                <w:sz w:val="20"/>
              </w:rPr>
              <w:t>Fatal</w:t>
            </w:r>
          </w:p>
        </w:tc>
        <w:tc>
          <w:tcPr>
            <w:tcW w:w="1559"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28 (14.8%)</w:t>
            </w:r>
          </w:p>
        </w:tc>
        <w:tc>
          <w:tcPr>
            <w:tcW w:w="1559" w:type="dxa"/>
            <w:tcMar>
              <w:left w:w="28" w:type="dxa"/>
              <w:right w:w="28" w:type="dxa"/>
            </w:tcMar>
          </w:tcPr>
          <w:p w:rsidR="007F2D50" w:rsidRPr="00B016D4" w:rsidRDefault="007F2D50" w:rsidP="007F2D50">
            <w:pPr>
              <w:jc w:val="center"/>
              <w:rPr>
                <w:rFonts w:ascii="Arial Narrow" w:hAnsi="Arial Narrow"/>
                <w:sz w:val="20"/>
              </w:rPr>
            </w:pPr>
            <w:r w:rsidRPr="00B016D4">
              <w:rPr>
                <w:rFonts w:ascii="Arial Narrow" w:hAnsi="Arial Narrow"/>
                <w:sz w:val="20"/>
              </w:rPr>
              <w:t>34 (15.1%)</w:t>
            </w:r>
          </w:p>
        </w:tc>
        <w:tc>
          <w:tcPr>
            <w:tcW w:w="1542"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6 (17%)</w:t>
            </w:r>
          </w:p>
        </w:tc>
      </w:tr>
      <w:tr w:rsidR="007F2D50" w:rsidRPr="004F29AA">
        <w:trPr>
          <w:cantSplit/>
        </w:trPr>
        <w:tc>
          <w:tcPr>
            <w:tcW w:w="8346" w:type="dxa"/>
            <w:gridSpan w:val="4"/>
            <w:tcMar>
              <w:left w:w="28" w:type="dxa"/>
              <w:right w:w="28" w:type="dxa"/>
            </w:tcMar>
          </w:tcPr>
          <w:p w:rsidR="007F2D50" w:rsidRPr="00B016D4" w:rsidRDefault="007F2D50" w:rsidP="007F2D50">
            <w:pPr>
              <w:rPr>
                <w:rFonts w:ascii="Arial Narrow" w:hAnsi="Arial Narrow"/>
                <w:sz w:val="20"/>
              </w:rPr>
            </w:pPr>
            <w:r w:rsidRPr="00B016D4">
              <w:rPr>
                <w:rFonts w:ascii="Arial Narrow" w:hAnsi="Arial Narrow"/>
                <w:sz w:val="20"/>
              </w:rPr>
              <w:t>Treatment emergent adverse events related to blinatumomab</w:t>
            </w:r>
          </w:p>
        </w:tc>
      </w:tr>
      <w:tr w:rsidR="007F2D50" w:rsidRPr="004F29AA">
        <w:trPr>
          <w:cantSplit/>
        </w:trPr>
        <w:tc>
          <w:tcPr>
            <w:tcW w:w="3686" w:type="dxa"/>
            <w:tcMar>
              <w:left w:w="28" w:type="dxa"/>
              <w:right w:w="28" w:type="dxa"/>
            </w:tcMar>
          </w:tcPr>
          <w:p w:rsidR="007F2D50" w:rsidRPr="004F29AA" w:rsidRDefault="007F2D50" w:rsidP="007F2D50">
            <w:pPr>
              <w:rPr>
                <w:rFonts w:ascii="Arial Narrow" w:hAnsi="Arial Narrow"/>
                <w:sz w:val="20"/>
              </w:rPr>
            </w:pPr>
            <w:r w:rsidRPr="004F29AA">
              <w:rPr>
                <w:rFonts w:ascii="Arial Narrow" w:hAnsi="Arial Narrow"/>
                <w:sz w:val="20"/>
              </w:rPr>
              <w:t>All</w:t>
            </w:r>
          </w:p>
        </w:tc>
        <w:tc>
          <w:tcPr>
            <w:tcW w:w="1559"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166 (87.8%)</w:t>
            </w:r>
          </w:p>
        </w:tc>
        <w:tc>
          <w:tcPr>
            <w:tcW w:w="1559" w:type="dxa"/>
            <w:tcMar>
              <w:left w:w="28" w:type="dxa"/>
              <w:right w:w="28" w:type="dxa"/>
            </w:tcMar>
          </w:tcPr>
          <w:p w:rsidR="007F2D50" w:rsidRPr="00B016D4" w:rsidRDefault="007F2D50" w:rsidP="007F2D50">
            <w:pPr>
              <w:jc w:val="center"/>
              <w:rPr>
                <w:rFonts w:ascii="Arial Narrow" w:hAnsi="Arial Narrow"/>
                <w:sz w:val="20"/>
              </w:rPr>
            </w:pPr>
            <w:r w:rsidRPr="00B016D4">
              <w:rPr>
                <w:rFonts w:ascii="Arial Narrow" w:hAnsi="Arial Narrow"/>
                <w:sz w:val="20"/>
              </w:rPr>
              <w:t>197 (87.6%)</w:t>
            </w:r>
          </w:p>
        </w:tc>
        <w:tc>
          <w:tcPr>
            <w:tcW w:w="1542"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36 (100%)</w:t>
            </w:r>
          </w:p>
        </w:tc>
      </w:tr>
      <w:tr w:rsidR="007F2D50" w:rsidRPr="004F29AA">
        <w:trPr>
          <w:cantSplit/>
        </w:trPr>
        <w:tc>
          <w:tcPr>
            <w:tcW w:w="3686" w:type="dxa"/>
            <w:tcMar>
              <w:left w:w="28" w:type="dxa"/>
              <w:right w:w="28" w:type="dxa"/>
            </w:tcMar>
          </w:tcPr>
          <w:p w:rsidR="007F2D50" w:rsidRPr="004F29AA" w:rsidRDefault="007F2D50" w:rsidP="007F2D50">
            <w:pPr>
              <w:rPr>
                <w:rFonts w:ascii="Arial Narrow" w:hAnsi="Arial Narrow"/>
                <w:sz w:val="20"/>
              </w:rPr>
            </w:pPr>
            <w:r w:rsidRPr="004F29AA">
              <w:rPr>
                <w:rFonts w:ascii="Arial Narrow" w:hAnsi="Arial Narrow"/>
                <w:sz w:val="20"/>
              </w:rPr>
              <w:t>Grade ≥ 3</w:t>
            </w:r>
          </w:p>
        </w:tc>
        <w:tc>
          <w:tcPr>
            <w:tcW w:w="1559"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105 (55.6%)</w:t>
            </w:r>
          </w:p>
        </w:tc>
        <w:tc>
          <w:tcPr>
            <w:tcW w:w="1559" w:type="dxa"/>
            <w:tcMar>
              <w:left w:w="28" w:type="dxa"/>
              <w:right w:w="28" w:type="dxa"/>
            </w:tcMar>
          </w:tcPr>
          <w:p w:rsidR="007F2D50" w:rsidRPr="00B016D4" w:rsidRDefault="007F2D50" w:rsidP="007F2D50">
            <w:pPr>
              <w:jc w:val="center"/>
              <w:rPr>
                <w:rFonts w:ascii="Arial Narrow" w:hAnsi="Arial Narrow"/>
                <w:sz w:val="20"/>
              </w:rPr>
            </w:pPr>
            <w:r w:rsidRPr="00B016D4">
              <w:rPr>
                <w:rFonts w:ascii="Arial Narrow" w:hAnsi="Arial Narrow"/>
                <w:sz w:val="20"/>
              </w:rPr>
              <w:t>124 (55.1%)</w:t>
            </w:r>
          </w:p>
        </w:tc>
        <w:tc>
          <w:tcPr>
            <w:tcW w:w="1542"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23 (64%)</w:t>
            </w:r>
          </w:p>
        </w:tc>
      </w:tr>
      <w:tr w:rsidR="007F2D50" w:rsidRPr="004F29AA">
        <w:trPr>
          <w:cantSplit/>
        </w:trPr>
        <w:tc>
          <w:tcPr>
            <w:tcW w:w="3686" w:type="dxa"/>
            <w:tcMar>
              <w:left w:w="28" w:type="dxa"/>
              <w:right w:w="28" w:type="dxa"/>
            </w:tcMar>
          </w:tcPr>
          <w:p w:rsidR="007F2D50" w:rsidRPr="004F29AA" w:rsidRDefault="007F2D50" w:rsidP="007F2D50">
            <w:pPr>
              <w:rPr>
                <w:rFonts w:ascii="Arial Narrow" w:hAnsi="Arial Narrow"/>
                <w:sz w:val="20"/>
              </w:rPr>
            </w:pPr>
            <w:r w:rsidRPr="004F29AA">
              <w:rPr>
                <w:rFonts w:ascii="Arial Narrow" w:hAnsi="Arial Narrow"/>
                <w:sz w:val="20"/>
              </w:rPr>
              <w:t>Grade ≥ 4</w:t>
            </w:r>
          </w:p>
        </w:tc>
        <w:tc>
          <w:tcPr>
            <w:tcW w:w="1559"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42 (22.2%)</w:t>
            </w:r>
          </w:p>
        </w:tc>
        <w:tc>
          <w:tcPr>
            <w:tcW w:w="1559" w:type="dxa"/>
            <w:tcMar>
              <w:left w:w="28" w:type="dxa"/>
              <w:right w:w="28" w:type="dxa"/>
            </w:tcMar>
          </w:tcPr>
          <w:p w:rsidR="007F2D50" w:rsidRPr="00B016D4" w:rsidRDefault="007F2D50" w:rsidP="007F2D50">
            <w:pPr>
              <w:jc w:val="center"/>
              <w:rPr>
                <w:rFonts w:ascii="Arial Narrow" w:hAnsi="Arial Narrow"/>
                <w:sz w:val="20"/>
              </w:rPr>
            </w:pPr>
            <w:r w:rsidRPr="00B016D4">
              <w:rPr>
                <w:rFonts w:ascii="Arial Narrow" w:hAnsi="Arial Narrow"/>
                <w:sz w:val="20"/>
              </w:rPr>
              <w:t>53 (23.6%)</w:t>
            </w:r>
          </w:p>
        </w:tc>
        <w:tc>
          <w:tcPr>
            <w:tcW w:w="1542"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12 (33%)</w:t>
            </w:r>
          </w:p>
        </w:tc>
      </w:tr>
      <w:tr w:rsidR="007F2D50" w:rsidRPr="004F29AA">
        <w:trPr>
          <w:cantSplit/>
        </w:trPr>
        <w:tc>
          <w:tcPr>
            <w:tcW w:w="3686" w:type="dxa"/>
            <w:tcMar>
              <w:left w:w="28" w:type="dxa"/>
              <w:right w:w="28" w:type="dxa"/>
            </w:tcMar>
          </w:tcPr>
          <w:p w:rsidR="007F2D50" w:rsidRPr="004F29AA" w:rsidRDefault="007F2D50" w:rsidP="007F2D50">
            <w:pPr>
              <w:rPr>
                <w:rFonts w:ascii="Arial Narrow" w:hAnsi="Arial Narrow"/>
                <w:sz w:val="20"/>
              </w:rPr>
            </w:pPr>
            <w:r w:rsidRPr="004F29AA">
              <w:rPr>
                <w:rFonts w:ascii="Arial Narrow" w:hAnsi="Arial Narrow"/>
                <w:sz w:val="20"/>
              </w:rPr>
              <w:t>Serious</w:t>
            </w:r>
          </w:p>
        </w:tc>
        <w:tc>
          <w:tcPr>
            <w:tcW w:w="1559"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69 (36.5%)</w:t>
            </w:r>
          </w:p>
        </w:tc>
        <w:tc>
          <w:tcPr>
            <w:tcW w:w="1559" w:type="dxa"/>
            <w:tcMar>
              <w:left w:w="28" w:type="dxa"/>
              <w:right w:w="28" w:type="dxa"/>
            </w:tcMar>
          </w:tcPr>
          <w:p w:rsidR="007F2D50" w:rsidRPr="00B016D4" w:rsidRDefault="007F2D50" w:rsidP="007F2D50">
            <w:pPr>
              <w:jc w:val="center"/>
              <w:rPr>
                <w:rFonts w:ascii="Arial Narrow" w:hAnsi="Arial Narrow"/>
                <w:sz w:val="20"/>
              </w:rPr>
            </w:pPr>
            <w:r w:rsidRPr="00B016D4">
              <w:rPr>
                <w:rFonts w:ascii="Arial Narrow" w:hAnsi="Arial Narrow"/>
                <w:sz w:val="20"/>
              </w:rPr>
              <w:t>81 (36.0%)</w:t>
            </w:r>
          </w:p>
        </w:tc>
        <w:tc>
          <w:tcPr>
            <w:tcW w:w="1542"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17 (47%)</w:t>
            </w:r>
          </w:p>
        </w:tc>
      </w:tr>
      <w:tr w:rsidR="007F2D50" w:rsidRPr="004F29AA">
        <w:trPr>
          <w:cantSplit/>
        </w:trPr>
        <w:tc>
          <w:tcPr>
            <w:tcW w:w="3686" w:type="dxa"/>
            <w:tcMar>
              <w:left w:w="28" w:type="dxa"/>
              <w:right w:w="28" w:type="dxa"/>
            </w:tcMar>
          </w:tcPr>
          <w:p w:rsidR="007F2D50" w:rsidRPr="004F29AA" w:rsidRDefault="007F2D50" w:rsidP="007F2D50">
            <w:pPr>
              <w:rPr>
                <w:rFonts w:ascii="Arial Narrow" w:hAnsi="Arial Narrow"/>
                <w:sz w:val="20"/>
              </w:rPr>
            </w:pPr>
            <w:r w:rsidRPr="004F29AA">
              <w:rPr>
                <w:rFonts w:ascii="Arial Narrow" w:hAnsi="Arial Narrow"/>
                <w:sz w:val="20"/>
              </w:rPr>
              <w:t>Fatal</w:t>
            </w:r>
          </w:p>
        </w:tc>
        <w:tc>
          <w:tcPr>
            <w:tcW w:w="1559"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3 (1.6%)</w:t>
            </w:r>
          </w:p>
        </w:tc>
        <w:tc>
          <w:tcPr>
            <w:tcW w:w="1559" w:type="dxa"/>
            <w:tcMar>
              <w:left w:w="28" w:type="dxa"/>
              <w:right w:w="28" w:type="dxa"/>
            </w:tcMar>
          </w:tcPr>
          <w:p w:rsidR="007F2D50" w:rsidRPr="00B016D4" w:rsidRDefault="007F2D50" w:rsidP="007F2D50">
            <w:pPr>
              <w:jc w:val="center"/>
              <w:rPr>
                <w:rFonts w:ascii="Arial Narrow" w:hAnsi="Arial Narrow"/>
                <w:sz w:val="20"/>
              </w:rPr>
            </w:pPr>
            <w:r w:rsidRPr="00B016D4">
              <w:rPr>
                <w:rFonts w:ascii="Arial Narrow" w:hAnsi="Arial Narrow"/>
                <w:sz w:val="20"/>
              </w:rPr>
              <w:t>4 (1.8%)</w:t>
            </w:r>
          </w:p>
        </w:tc>
        <w:tc>
          <w:tcPr>
            <w:tcW w:w="1542" w:type="dxa"/>
            <w:tcMar>
              <w:left w:w="28" w:type="dxa"/>
              <w:right w:w="28" w:type="dxa"/>
            </w:tcMar>
          </w:tcPr>
          <w:p w:rsidR="007F2D50" w:rsidRPr="004F29AA" w:rsidRDefault="007F2D50" w:rsidP="007F2D50">
            <w:pPr>
              <w:jc w:val="center"/>
              <w:rPr>
                <w:rFonts w:ascii="Arial Narrow" w:hAnsi="Arial Narrow"/>
                <w:sz w:val="20"/>
              </w:rPr>
            </w:pPr>
            <w:r w:rsidRPr="004F29AA">
              <w:rPr>
                <w:rFonts w:ascii="Arial Narrow" w:hAnsi="Arial Narrow"/>
                <w:sz w:val="20"/>
              </w:rPr>
              <w:t>1 (3%)</w:t>
            </w:r>
          </w:p>
        </w:tc>
      </w:tr>
    </w:tbl>
    <w:p w:rsidR="007F2D50" w:rsidRPr="004F29AA" w:rsidRDefault="007F2D50" w:rsidP="007F2D50">
      <w:pPr>
        <w:ind w:firstLine="720"/>
        <w:rPr>
          <w:rFonts w:ascii="Arial Narrow" w:hAnsi="Arial Narrow"/>
          <w:sz w:val="18"/>
          <w:szCs w:val="18"/>
        </w:rPr>
      </w:pPr>
      <w:r w:rsidRPr="004F29AA">
        <w:rPr>
          <w:rFonts w:ascii="Arial Narrow" w:hAnsi="Arial Narrow"/>
          <w:sz w:val="18"/>
          <w:szCs w:val="18"/>
        </w:rPr>
        <w:lastRenderedPageBreak/>
        <w:t>Source: Table B.6-14, p120 of the submission</w:t>
      </w:r>
    </w:p>
    <w:p w:rsidR="007F2D50" w:rsidRPr="004F29AA" w:rsidRDefault="007F2D50" w:rsidP="007F2D50">
      <w:pPr>
        <w:ind w:firstLine="720"/>
        <w:rPr>
          <w:rFonts w:ascii="Arial Narrow" w:hAnsi="Arial Narrow"/>
          <w:sz w:val="18"/>
          <w:szCs w:val="18"/>
        </w:rPr>
      </w:pPr>
      <w:r w:rsidRPr="004F29AA">
        <w:rPr>
          <w:rFonts w:ascii="Arial Narrow" w:hAnsi="Arial Narrow"/>
          <w:sz w:val="18"/>
          <w:szCs w:val="18"/>
        </w:rPr>
        <w:t>FAS = full analysis set; PAS = primary analysis set</w:t>
      </w:r>
    </w:p>
    <w:p w:rsidR="00F12DF0" w:rsidRPr="004F29AA" w:rsidRDefault="00F12DF0" w:rsidP="007F2D50">
      <w:pPr>
        <w:pStyle w:val="ListParagraph"/>
        <w:ind w:left="0"/>
        <w:rPr>
          <w:szCs w:val="22"/>
        </w:rPr>
      </w:pPr>
    </w:p>
    <w:p w:rsidR="00F12DF0" w:rsidRPr="004F29AA" w:rsidRDefault="00F12DF0" w:rsidP="000442E2">
      <w:pPr>
        <w:pStyle w:val="ListParagraph"/>
        <w:widowControl/>
        <w:numPr>
          <w:ilvl w:val="1"/>
          <w:numId w:val="1"/>
        </w:numPr>
        <w:rPr>
          <w:szCs w:val="22"/>
        </w:rPr>
      </w:pPr>
      <w:r w:rsidRPr="004F29AA">
        <w:rPr>
          <w:szCs w:val="22"/>
        </w:rPr>
        <w:t xml:space="preserve">The most common serious adverse events reported in study MT103-211 and assessed to be related to blinatumomab were pneumonia (8.5%) and febrile neutropenia (3.2%). In study </w:t>
      </w:r>
      <w:r w:rsidRPr="004F29AA">
        <w:t>MT103-206 the most common serious adverse events attributed to blinatumomab therapy were cytokine release syndrome, encephalopathy and tremor, each experienced by 8.3% of patients.</w:t>
      </w:r>
    </w:p>
    <w:p w:rsidR="00F12DF0" w:rsidRPr="004F29AA" w:rsidRDefault="00F12DF0" w:rsidP="00F12DF0">
      <w:pPr>
        <w:pStyle w:val="ListParagraph"/>
        <w:widowControl/>
        <w:rPr>
          <w:szCs w:val="22"/>
        </w:rPr>
      </w:pPr>
    </w:p>
    <w:p w:rsidR="008B171A" w:rsidRPr="004F29AA" w:rsidRDefault="00F12DF0" w:rsidP="000442E2">
      <w:pPr>
        <w:pStyle w:val="ListParagraph"/>
        <w:widowControl/>
        <w:numPr>
          <w:ilvl w:val="1"/>
          <w:numId w:val="1"/>
        </w:numPr>
        <w:rPr>
          <w:szCs w:val="22"/>
        </w:rPr>
      </w:pPr>
      <w:r w:rsidRPr="004F29AA">
        <w:rPr>
          <w:szCs w:val="22"/>
        </w:rPr>
        <w:t>Common</w:t>
      </w:r>
      <w:r w:rsidRPr="004F29AA">
        <w:t xml:space="preserve"> treatment emergent adverse events considered to be related to blinatumomab treatment were pyrexia, fatigue, nausea, headache and tremor. </w:t>
      </w:r>
    </w:p>
    <w:p w:rsidR="008B171A" w:rsidRPr="004F29AA" w:rsidRDefault="008B171A" w:rsidP="008B171A">
      <w:pPr>
        <w:pStyle w:val="ListParagraph"/>
        <w:rPr>
          <w:szCs w:val="22"/>
        </w:rPr>
      </w:pPr>
    </w:p>
    <w:p w:rsidR="008B171A" w:rsidRPr="004F29AA" w:rsidRDefault="008B171A" w:rsidP="000442E2">
      <w:pPr>
        <w:pStyle w:val="ListParagraph"/>
        <w:widowControl/>
        <w:numPr>
          <w:ilvl w:val="1"/>
          <w:numId w:val="1"/>
        </w:numPr>
        <w:rPr>
          <w:szCs w:val="22"/>
        </w:rPr>
      </w:pPr>
      <w:r w:rsidRPr="004F29AA">
        <w:rPr>
          <w:szCs w:val="22"/>
        </w:rPr>
        <w:t xml:space="preserve">For the comparison with standard of care chemotherapy, the submission presented the rates of serious adverse events as reported in the two blinatumomab studies and in the Australian product information sheets for the medications included in the FLAG ± anthracycline, HiDAC and high-dose methotrexate regimens. The submission reported that the incidence </w:t>
      </w:r>
      <w:r w:rsidR="00402082" w:rsidRPr="004F29AA">
        <w:rPr>
          <w:szCs w:val="22"/>
        </w:rPr>
        <w:t xml:space="preserve">of </w:t>
      </w:r>
      <w:r w:rsidRPr="004F29AA">
        <w:rPr>
          <w:szCs w:val="22"/>
        </w:rPr>
        <w:t xml:space="preserve">severe adverse events for all standard of care chemotherapies were 100%, compared to 36% for blinatumomab. It should be noted that the rate for blinatumomab was for treatment-related emergent adverse events, rather than all serious adverse events. </w:t>
      </w:r>
    </w:p>
    <w:p w:rsidR="008B171A" w:rsidRPr="00964A10" w:rsidRDefault="008B171A" w:rsidP="00964A10">
      <w:bookmarkStart w:id="19" w:name="_Toc426958213"/>
      <w:bookmarkStart w:id="20" w:name="_Toc430079471"/>
    </w:p>
    <w:p w:rsidR="007F2D50" w:rsidRPr="004F29AA" w:rsidRDefault="007F2D50" w:rsidP="00EA6332">
      <w:pPr>
        <w:pStyle w:val="Heading2"/>
        <w:keepNext/>
        <w:rPr>
          <w:i/>
          <w:szCs w:val="22"/>
        </w:rPr>
      </w:pPr>
      <w:r w:rsidRPr="004F29AA">
        <w:rPr>
          <w:i/>
        </w:rPr>
        <w:t>Benefits/harms</w:t>
      </w:r>
      <w:bookmarkEnd w:id="19"/>
      <w:bookmarkEnd w:id="20"/>
    </w:p>
    <w:p w:rsidR="007F2D50" w:rsidRPr="004F29AA" w:rsidRDefault="007F2D50" w:rsidP="00EA6332">
      <w:pPr>
        <w:pStyle w:val="ListParagraph"/>
        <w:keepNext/>
        <w:ind w:left="0"/>
        <w:rPr>
          <w:szCs w:val="22"/>
        </w:rPr>
      </w:pPr>
    </w:p>
    <w:p w:rsidR="007F2D50" w:rsidRPr="004F29AA" w:rsidRDefault="007F2D50" w:rsidP="000442E2">
      <w:pPr>
        <w:pStyle w:val="ListParagraph"/>
        <w:keepNext/>
        <w:widowControl/>
        <w:numPr>
          <w:ilvl w:val="1"/>
          <w:numId w:val="1"/>
        </w:numPr>
        <w:rPr>
          <w:szCs w:val="22"/>
        </w:rPr>
      </w:pPr>
      <w:r w:rsidRPr="004F29AA">
        <w:t>A summary of the comparative benefits of blinatumomab versus standard of care chemotherapy is presented in the table below. There were no comparative harms presented in the submission.</w:t>
      </w:r>
    </w:p>
    <w:p w:rsidR="00964A10" w:rsidRDefault="00964A10" w:rsidP="00C40409">
      <w:pPr>
        <w:widowControl/>
        <w:spacing w:line="480" w:lineRule="auto"/>
        <w:ind w:firstLine="720"/>
        <w:jc w:val="left"/>
        <w:rPr>
          <w:rStyle w:val="CommentReference"/>
        </w:rPr>
      </w:pPr>
      <w:r>
        <w:rPr>
          <w:rStyle w:val="CommentReference"/>
        </w:rPr>
        <w:br w:type="page"/>
      </w:r>
    </w:p>
    <w:p w:rsidR="007F2D50" w:rsidRPr="004F29AA" w:rsidRDefault="007F2D50" w:rsidP="00DD3EC3">
      <w:pPr>
        <w:widowControl/>
        <w:ind w:left="720"/>
        <w:jc w:val="left"/>
        <w:rPr>
          <w:rStyle w:val="CommentReference"/>
          <w:rFonts w:ascii="Arial" w:hAnsi="Arial"/>
          <w:sz w:val="22"/>
          <w:szCs w:val="22"/>
        </w:rPr>
      </w:pPr>
      <w:r w:rsidRPr="004F29AA">
        <w:rPr>
          <w:rStyle w:val="CommentReference"/>
        </w:rPr>
        <w:lastRenderedPageBreak/>
        <w:t xml:space="preserve">Table </w:t>
      </w:r>
      <w:r w:rsidR="008A59F3" w:rsidRPr="004F29AA">
        <w:rPr>
          <w:rStyle w:val="CommentReference"/>
        </w:rPr>
        <w:t>5</w:t>
      </w:r>
      <w:r w:rsidRPr="004F29AA">
        <w:rPr>
          <w:rStyle w:val="CommentReference"/>
        </w:rPr>
        <w:t>: Summary of comparative benefits and harms for blinatumomab and standard of care chemotherapy</w:t>
      </w:r>
    </w:p>
    <w:tbl>
      <w:tblPr>
        <w:tblStyle w:val="TableGrid"/>
        <w:tblW w:w="4700" w:type="pct"/>
        <w:tblInd w:w="698" w:type="dxa"/>
        <w:tblLayout w:type="fixed"/>
        <w:tblCellMar>
          <w:left w:w="28" w:type="dxa"/>
          <w:right w:w="28" w:type="dxa"/>
        </w:tblCellMar>
        <w:tblLook w:val="04A0" w:firstRow="1" w:lastRow="0" w:firstColumn="1" w:lastColumn="0" w:noHBand="0" w:noVBand="1"/>
        <w:tblCaption w:val="Summary of benefits and harms"/>
      </w:tblPr>
      <w:tblGrid>
        <w:gridCol w:w="1456"/>
        <w:gridCol w:w="1276"/>
        <w:gridCol w:w="427"/>
        <w:gridCol w:w="707"/>
        <w:gridCol w:w="994"/>
        <w:gridCol w:w="1276"/>
        <w:gridCol w:w="625"/>
        <w:gridCol w:w="640"/>
        <w:gridCol w:w="15"/>
        <w:gridCol w:w="1122"/>
      </w:tblGrid>
      <w:tr w:rsidR="00720960" w:rsidRPr="004F29AA" w:rsidTr="00163FEF">
        <w:trPr>
          <w:tblHeader/>
        </w:trPr>
        <w:tc>
          <w:tcPr>
            <w:tcW w:w="5000" w:type="pct"/>
            <w:gridSpan w:val="10"/>
            <w:shd w:val="clear" w:color="auto" w:fill="auto"/>
            <w:vAlign w:val="center"/>
          </w:tcPr>
          <w:p w:rsidR="00720960" w:rsidRPr="004F29AA" w:rsidRDefault="00720960" w:rsidP="00CB389D">
            <w:pPr>
              <w:keepNext/>
              <w:rPr>
                <w:rFonts w:ascii="Arial Narrow" w:hAnsi="Arial Narrow"/>
                <w:b/>
                <w:color w:val="000000"/>
                <w:sz w:val="20"/>
                <w:szCs w:val="18"/>
              </w:rPr>
            </w:pPr>
            <w:r w:rsidRPr="004F29AA">
              <w:rPr>
                <w:rFonts w:ascii="Arial Narrow" w:hAnsi="Arial Narrow"/>
                <w:b/>
                <w:color w:val="000000"/>
                <w:sz w:val="20"/>
                <w:szCs w:val="18"/>
              </w:rPr>
              <w:t>BENEFITS</w:t>
            </w:r>
          </w:p>
        </w:tc>
      </w:tr>
      <w:tr w:rsidR="007F2D50" w:rsidRPr="004F29AA">
        <w:trPr>
          <w:trHeight w:val="150"/>
          <w:tblHeader/>
        </w:trPr>
        <w:tc>
          <w:tcPr>
            <w:tcW w:w="853" w:type="pct"/>
            <w:vMerge w:val="restart"/>
            <w:shd w:val="clear" w:color="auto" w:fill="auto"/>
            <w:vAlign w:val="center"/>
          </w:tcPr>
          <w:p w:rsidR="007F2D50" w:rsidRPr="004F29AA" w:rsidRDefault="00B70394" w:rsidP="00CB389D">
            <w:pPr>
              <w:keepNext/>
              <w:rPr>
                <w:rFonts w:ascii="Arial Narrow" w:hAnsi="Arial Narrow"/>
                <w:b/>
                <w:color w:val="000000"/>
                <w:sz w:val="20"/>
                <w:szCs w:val="18"/>
              </w:rPr>
            </w:pPr>
            <w:r w:rsidRPr="004F29AA">
              <w:rPr>
                <w:rFonts w:ascii="Arial Narrow" w:hAnsi="Arial Narrow"/>
                <w:b/>
                <w:color w:val="000000"/>
                <w:sz w:val="20"/>
                <w:szCs w:val="18"/>
              </w:rPr>
              <w:t>Study</w:t>
            </w:r>
          </w:p>
        </w:tc>
        <w:tc>
          <w:tcPr>
            <w:tcW w:w="747" w:type="pct"/>
            <w:vMerge w:val="restart"/>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Blinatumomab</w:t>
            </w:r>
          </w:p>
        </w:tc>
        <w:tc>
          <w:tcPr>
            <w:tcW w:w="664" w:type="pct"/>
            <w:gridSpan w:val="2"/>
            <w:vMerge w:val="restart"/>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SOC</w:t>
            </w:r>
          </w:p>
        </w:tc>
        <w:tc>
          <w:tcPr>
            <w:tcW w:w="582" w:type="pct"/>
            <w:vMerge w:val="restart"/>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RR</w:t>
            </w:r>
          </w:p>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(95% CI)</w:t>
            </w:r>
          </w:p>
        </w:tc>
        <w:tc>
          <w:tcPr>
            <w:tcW w:w="1497" w:type="pct"/>
            <w:gridSpan w:val="4"/>
            <w:vAlign w:val="center"/>
          </w:tcPr>
          <w:p w:rsidR="007F2D50" w:rsidRPr="004F29AA" w:rsidRDefault="007F2D50" w:rsidP="00F1078C">
            <w:pPr>
              <w:keepNext/>
              <w:jc w:val="center"/>
              <w:rPr>
                <w:rFonts w:ascii="Arial Narrow" w:hAnsi="Arial Narrow"/>
                <w:b/>
                <w:color w:val="000000"/>
                <w:sz w:val="20"/>
                <w:szCs w:val="18"/>
              </w:rPr>
            </w:pPr>
            <w:r w:rsidRPr="004F29AA">
              <w:rPr>
                <w:rFonts w:ascii="Arial Narrow" w:hAnsi="Arial Narrow"/>
                <w:b/>
                <w:color w:val="000000"/>
                <w:sz w:val="20"/>
                <w:szCs w:val="18"/>
              </w:rPr>
              <w:t>Event rate/100 patients</w:t>
            </w:r>
            <w:r w:rsidR="00F1078C" w:rsidRPr="004F29AA">
              <w:rPr>
                <w:rFonts w:ascii="Arial Narrow" w:hAnsi="Arial Narrow"/>
                <w:b/>
                <w:color w:val="000000"/>
                <w:sz w:val="20"/>
                <w:szCs w:val="18"/>
              </w:rPr>
              <w:t xml:space="preserve"> </w:t>
            </w:r>
            <w:r w:rsidR="00F1078C" w:rsidRPr="004F29AA">
              <w:rPr>
                <w:rFonts w:ascii="Arial Narrow" w:hAnsi="Arial Narrow"/>
                <w:b/>
                <w:color w:val="000000"/>
                <w:sz w:val="20"/>
                <w:szCs w:val="18"/>
                <w:vertAlign w:val="superscript"/>
              </w:rPr>
              <w:t>a</w:t>
            </w:r>
            <w:r w:rsidRPr="004F29AA">
              <w:rPr>
                <w:rFonts w:ascii="Arial Narrow" w:hAnsi="Arial Narrow"/>
                <w:b/>
                <w:color w:val="000000"/>
                <w:sz w:val="20"/>
                <w:szCs w:val="18"/>
              </w:rPr>
              <w:t xml:space="preserve"> </w:t>
            </w:r>
          </w:p>
        </w:tc>
        <w:tc>
          <w:tcPr>
            <w:tcW w:w="657" w:type="pct"/>
            <w:vMerge w:val="restart"/>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RD</w:t>
            </w:r>
          </w:p>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(95% CI)</w:t>
            </w:r>
          </w:p>
        </w:tc>
      </w:tr>
      <w:tr w:rsidR="008A59F3" w:rsidRPr="004F29AA">
        <w:trPr>
          <w:trHeight w:val="315"/>
          <w:tblHeader/>
        </w:trPr>
        <w:tc>
          <w:tcPr>
            <w:tcW w:w="853" w:type="pct"/>
            <w:vMerge/>
            <w:shd w:val="clear" w:color="auto" w:fill="auto"/>
            <w:vAlign w:val="center"/>
          </w:tcPr>
          <w:p w:rsidR="007F2D50" w:rsidRPr="004F29AA" w:rsidRDefault="007F2D50" w:rsidP="00CB389D">
            <w:pPr>
              <w:keepNext/>
              <w:rPr>
                <w:rFonts w:ascii="Arial Narrow" w:hAnsi="Arial Narrow"/>
                <w:b/>
                <w:color w:val="000000"/>
                <w:sz w:val="20"/>
                <w:szCs w:val="18"/>
              </w:rPr>
            </w:pPr>
          </w:p>
        </w:tc>
        <w:tc>
          <w:tcPr>
            <w:tcW w:w="747" w:type="pct"/>
            <w:vMerge/>
            <w:vAlign w:val="center"/>
          </w:tcPr>
          <w:p w:rsidR="007F2D50" w:rsidRPr="004F29AA" w:rsidRDefault="007F2D50" w:rsidP="00CB389D">
            <w:pPr>
              <w:keepNext/>
              <w:jc w:val="center"/>
              <w:rPr>
                <w:rFonts w:ascii="Arial Narrow" w:hAnsi="Arial Narrow"/>
                <w:b/>
                <w:color w:val="000000"/>
                <w:sz w:val="20"/>
                <w:szCs w:val="18"/>
              </w:rPr>
            </w:pPr>
          </w:p>
        </w:tc>
        <w:tc>
          <w:tcPr>
            <w:tcW w:w="664" w:type="pct"/>
            <w:gridSpan w:val="2"/>
            <w:vMerge/>
            <w:vAlign w:val="center"/>
          </w:tcPr>
          <w:p w:rsidR="007F2D50" w:rsidRPr="004F29AA" w:rsidRDefault="007F2D50" w:rsidP="00CB389D">
            <w:pPr>
              <w:keepNext/>
              <w:jc w:val="center"/>
              <w:rPr>
                <w:rFonts w:ascii="Arial Narrow" w:hAnsi="Arial Narrow"/>
                <w:b/>
                <w:color w:val="000000"/>
                <w:sz w:val="20"/>
                <w:szCs w:val="18"/>
              </w:rPr>
            </w:pPr>
          </w:p>
        </w:tc>
        <w:tc>
          <w:tcPr>
            <w:tcW w:w="582" w:type="pct"/>
            <w:vMerge/>
            <w:vAlign w:val="center"/>
          </w:tcPr>
          <w:p w:rsidR="007F2D50" w:rsidRPr="004F29AA" w:rsidRDefault="007F2D50" w:rsidP="00CB389D">
            <w:pPr>
              <w:keepNext/>
              <w:jc w:val="center"/>
              <w:rPr>
                <w:rFonts w:ascii="Arial Narrow" w:hAnsi="Arial Narrow"/>
                <w:b/>
                <w:color w:val="000000"/>
                <w:sz w:val="20"/>
                <w:szCs w:val="18"/>
              </w:rPr>
            </w:pPr>
          </w:p>
        </w:tc>
        <w:tc>
          <w:tcPr>
            <w:tcW w:w="747" w:type="pct"/>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Blinatumomab</w:t>
            </w:r>
          </w:p>
        </w:tc>
        <w:tc>
          <w:tcPr>
            <w:tcW w:w="750" w:type="pct"/>
            <w:gridSpan w:val="3"/>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SOC</w:t>
            </w:r>
          </w:p>
        </w:tc>
        <w:tc>
          <w:tcPr>
            <w:tcW w:w="657" w:type="pct"/>
            <w:vMerge/>
            <w:vAlign w:val="center"/>
          </w:tcPr>
          <w:p w:rsidR="007F2D50" w:rsidRPr="004F29AA" w:rsidRDefault="007F2D50" w:rsidP="00CB389D">
            <w:pPr>
              <w:keepNext/>
              <w:jc w:val="center"/>
              <w:rPr>
                <w:rFonts w:ascii="Arial Narrow" w:hAnsi="Arial Narrow"/>
                <w:b/>
                <w:color w:val="000000"/>
                <w:sz w:val="20"/>
                <w:szCs w:val="18"/>
              </w:rPr>
            </w:pPr>
          </w:p>
        </w:tc>
      </w:tr>
      <w:tr w:rsidR="007F2D50" w:rsidRPr="004F29AA">
        <w:tc>
          <w:tcPr>
            <w:tcW w:w="5000" w:type="pct"/>
            <w:gridSpan w:val="10"/>
            <w:shd w:val="clear" w:color="auto" w:fill="auto"/>
            <w:vAlign w:val="center"/>
          </w:tcPr>
          <w:p w:rsidR="007F2D50" w:rsidRPr="004F29AA" w:rsidRDefault="007F2D50" w:rsidP="00CB389D">
            <w:pPr>
              <w:keepNext/>
              <w:rPr>
                <w:rFonts w:ascii="Arial Narrow" w:hAnsi="Arial Narrow"/>
                <w:b/>
                <w:color w:val="000000"/>
                <w:sz w:val="20"/>
                <w:szCs w:val="18"/>
              </w:rPr>
            </w:pPr>
            <w:r w:rsidRPr="004F29AA">
              <w:rPr>
                <w:rFonts w:ascii="Arial Narrow" w:hAnsi="Arial Narrow"/>
                <w:b/>
                <w:color w:val="000000"/>
                <w:sz w:val="20"/>
                <w:szCs w:val="18"/>
              </w:rPr>
              <w:t>CR + CRh* (or CRsg)</w:t>
            </w:r>
            <w:r w:rsidR="008A59F3" w:rsidRPr="004F29AA">
              <w:rPr>
                <w:rFonts w:ascii="Arial Narrow" w:hAnsi="Arial Narrow"/>
                <w:b/>
                <w:color w:val="000000"/>
                <w:sz w:val="20"/>
                <w:szCs w:val="18"/>
              </w:rPr>
              <w:t>, n</w:t>
            </w:r>
          </w:p>
        </w:tc>
      </w:tr>
      <w:tr w:rsidR="0072096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MT103-211 (FAS)</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F13D6B">
              <w:rPr>
                <w:rFonts w:ascii="Arial Narrow" w:hAnsi="Arial Narrow"/>
                <w:color w:val="000000"/>
                <w:sz w:val="20"/>
                <w:szCs w:val="18"/>
              </w:rPr>
              <w:t>99/225</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582"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F13D6B">
              <w:rPr>
                <w:rFonts w:ascii="Arial Narrow" w:hAnsi="Arial Narrow"/>
                <w:color w:val="000000"/>
                <w:sz w:val="20"/>
                <w:szCs w:val="18"/>
              </w:rPr>
              <w:t>44</w:t>
            </w:r>
          </w:p>
        </w:tc>
        <w:tc>
          <w:tcPr>
            <w:tcW w:w="750" w:type="pct"/>
            <w:gridSpan w:val="3"/>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5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2096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MT103-206</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25/36</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582"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69</w:t>
            </w:r>
          </w:p>
        </w:tc>
        <w:tc>
          <w:tcPr>
            <w:tcW w:w="750" w:type="pct"/>
            <w:gridSpan w:val="3"/>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5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2096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20120310</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 xml:space="preserve">NR </w:t>
            </w:r>
            <w:r w:rsidR="00F1078C" w:rsidRPr="004F29AA">
              <w:rPr>
                <w:rFonts w:ascii="Arial Narrow" w:hAnsi="Arial Narrow"/>
                <w:color w:val="000000"/>
                <w:sz w:val="20"/>
                <w:szCs w:val="18"/>
                <w:vertAlign w:val="superscript"/>
              </w:rPr>
              <w:t>b</w:t>
            </w:r>
          </w:p>
        </w:tc>
        <w:tc>
          <w:tcPr>
            <w:tcW w:w="582"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50" w:type="pct"/>
            <w:gridSpan w:val="3"/>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24</w:t>
            </w:r>
          </w:p>
        </w:tc>
        <w:tc>
          <w:tcPr>
            <w:tcW w:w="65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5000" w:type="pct"/>
            <w:gridSpan w:val="10"/>
            <w:shd w:val="clear" w:color="auto" w:fill="auto"/>
            <w:vAlign w:val="center"/>
          </w:tcPr>
          <w:p w:rsidR="007F2D50" w:rsidRPr="004F29AA" w:rsidRDefault="007F2D50" w:rsidP="00CB389D">
            <w:pPr>
              <w:keepNext/>
              <w:jc w:val="left"/>
              <w:rPr>
                <w:rFonts w:ascii="Arial Narrow" w:hAnsi="Arial Narrow"/>
                <w:b/>
                <w:color w:val="000000"/>
                <w:sz w:val="20"/>
                <w:szCs w:val="18"/>
              </w:rPr>
            </w:pPr>
            <w:r w:rsidRPr="004F29AA">
              <w:rPr>
                <w:rFonts w:ascii="Arial Narrow" w:hAnsi="Arial Narrow"/>
                <w:b/>
                <w:color w:val="000000"/>
                <w:sz w:val="20"/>
                <w:szCs w:val="18"/>
              </w:rPr>
              <w:t>Total allogeneic HSCT rate</w:t>
            </w:r>
            <w:r w:rsidR="008A59F3" w:rsidRPr="004F29AA">
              <w:rPr>
                <w:rFonts w:ascii="Arial Narrow" w:hAnsi="Arial Narrow"/>
                <w:b/>
                <w:color w:val="000000"/>
                <w:sz w:val="20"/>
                <w:szCs w:val="18"/>
              </w:rPr>
              <w:t>, n</w:t>
            </w:r>
          </w:p>
        </w:tc>
      </w:tr>
      <w:tr w:rsidR="0072096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MT103-211 (FAS)</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F13D6B">
              <w:rPr>
                <w:rFonts w:ascii="Arial Narrow" w:hAnsi="Arial Narrow"/>
                <w:color w:val="000000"/>
                <w:sz w:val="20"/>
                <w:szCs w:val="18"/>
              </w:rPr>
              <w:t>60/225</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582"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F13D6B">
              <w:rPr>
                <w:rFonts w:ascii="Arial Narrow" w:hAnsi="Arial Narrow"/>
                <w:color w:val="000000"/>
                <w:sz w:val="20"/>
                <w:szCs w:val="18"/>
              </w:rPr>
              <w:t>27</w:t>
            </w:r>
          </w:p>
        </w:tc>
        <w:tc>
          <w:tcPr>
            <w:tcW w:w="750" w:type="pct"/>
            <w:gridSpan w:val="3"/>
            <w:vAlign w:val="center"/>
          </w:tcPr>
          <w:p w:rsidR="007F2D50" w:rsidRPr="004F29AA" w:rsidRDefault="007F2D50" w:rsidP="00CB389D">
            <w:pPr>
              <w:keepNext/>
              <w:jc w:val="center"/>
              <w:rPr>
                <w:rFonts w:ascii="Arial Narrow" w:hAnsi="Arial Narrow"/>
                <w:color w:val="000000"/>
                <w:sz w:val="20"/>
                <w:szCs w:val="18"/>
              </w:rPr>
            </w:pPr>
          </w:p>
        </w:tc>
        <w:tc>
          <w:tcPr>
            <w:tcW w:w="65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2096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MT103-206</w:t>
            </w:r>
          </w:p>
        </w:tc>
        <w:tc>
          <w:tcPr>
            <w:tcW w:w="747" w:type="pct"/>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18/36</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582"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50</w:t>
            </w:r>
          </w:p>
        </w:tc>
        <w:tc>
          <w:tcPr>
            <w:tcW w:w="750" w:type="pct"/>
            <w:gridSpan w:val="3"/>
            <w:vAlign w:val="center"/>
          </w:tcPr>
          <w:p w:rsidR="007F2D50" w:rsidRPr="004F29AA" w:rsidRDefault="007F2D50" w:rsidP="00CB389D">
            <w:pPr>
              <w:keepNext/>
              <w:jc w:val="center"/>
              <w:rPr>
                <w:rFonts w:ascii="Arial Narrow" w:hAnsi="Arial Narrow"/>
                <w:color w:val="000000"/>
                <w:sz w:val="20"/>
                <w:szCs w:val="18"/>
              </w:rPr>
            </w:pPr>
          </w:p>
        </w:tc>
        <w:tc>
          <w:tcPr>
            <w:tcW w:w="65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2096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20120310</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 xml:space="preserve">NR </w:t>
            </w:r>
            <w:r w:rsidR="00F1078C" w:rsidRPr="004F29AA">
              <w:rPr>
                <w:rFonts w:ascii="Arial Narrow" w:hAnsi="Arial Narrow"/>
                <w:color w:val="000000"/>
                <w:sz w:val="20"/>
                <w:szCs w:val="18"/>
                <w:vertAlign w:val="superscript"/>
              </w:rPr>
              <w:t>b</w:t>
            </w:r>
          </w:p>
        </w:tc>
        <w:tc>
          <w:tcPr>
            <w:tcW w:w="582"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50" w:type="pct"/>
            <w:gridSpan w:val="3"/>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18</w:t>
            </w:r>
          </w:p>
        </w:tc>
        <w:tc>
          <w:tcPr>
            <w:tcW w:w="65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5000" w:type="pct"/>
            <w:gridSpan w:val="10"/>
            <w:shd w:val="clear" w:color="auto" w:fill="auto"/>
            <w:vAlign w:val="center"/>
          </w:tcPr>
          <w:p w:rsidR="007F2D50" w:rsidRPr="004F29AA" w:rsidRDefault="007F2D50" w:rsidP="00CB389D">
            <w:pPr>
              <w:keepNext/>
              <w:rPr>
                <w:rFonts w:ascii="Arial Narrow" w:hAnsi="Arial Narrow"/>
                <w:b/>
                <w:color w:val="000000"/>
                <w:sz w:val="20"/>
                <w:szCs w:val="18"/>
              </w:rPr>
            </w:pPr>
            <w:r w:rsidRPr="004F29AA">
              <w:rPr>
                <w:rFonts w:ascii="Arial Narrow" w:hAnsi="Arial Narrow"/>
                <w:b/>
                <w:color w:val="000000"/>
                <w:sz w:val="20"/>
                <w:szCs w:val="18"/>
              </w:rPr>
              <w:t>O</w:t>
            </w:r>
            <w:r w:rsidR="008A59F3" w:rsidRPr="004F29AA">
              <w:rPr>
                <w:rFonts w:ascii="Arial Narrow" w:hAnsi="Arial Narrow"/>
                <w:b/>
                <w:color w:val="000000"/>
                <w:sz w:val="20"/>
                <w:szCs w:val="18"/>
              </w:rPr>
              <w:t xml:space="preserve">verall </w:t>
            </w:r>
            <w:r w:rsidRPr="004F29AA">
              <w:rPr>
                <w:rFonts w:ascii="Arial Narrow" w:hAnsi="Arial Narrow"/>
                <w:b/>
                <w:color w:val="000000"/>
                <w:sz w:val="20"/>
                <w:szCs w:val="18"/>
              </w:rPr>
              <w:t>S</w:t>
            </w:r>
            <w:r w:rsidR="008A59F3" w:rsidRPr="004F29AA">
              <w:rPr>
                <w:rFonts w:ascii="Arial Narrow" w:hAnsi="Arial Narrow"/>
                <w:b/>
                <w:color w:val="000000"/>
                <w:sz w:val="20"/>
                <w:szCs w:val="18"/>
              </w:rPr>
              <w:t>urvival</w:t>
            </w:r>
            <w:r w:rsidRPr="004F29AA">
              <w:rPr>
                <w:rFonts w:ascii="Arial Narrow" w:hAnsi="Arial Narrow"/>
                <w:b/>
                <w:color w:val="000000"/>
                <w:sz w:val="20"/>
                <w:szCs w:val="18"/>
              </w:rPr>
              <w:t>, median (m</w:t>
            </w:r>
            <w:r w:rsidR="008A59F3" w:rsidRPr="004F29AA">
              <w:rPr>
                <w:rFonts w:ascii="Arial Narrow" w:hAnsi="Arial Narrow"/>
                <w:b/>
                <w:color w:val="000000"/>
                <w:sz w:val="20"/>
                <w:szCs w:val="18"/>
              </w:rPr>
              <w:t>on</w:t>
            </w:r>
            <w:r w:rsidRPr="004F29AA">
              <w:rPr>
                <w:rFonts w:ascii="Arial Narrow" w:hAnsi="Arial Narrow"/>
                <w:b/>
                <w:color w:val="000000"/>
                <w:sz w:val="20"/>
                <w:szCs w:val="18"/>
              </w:rPr>
              <w:t xml:space="preserve">ths) </w:t>
            </w:r>
          </w:p>
        </w:tc>
      </w:tr>
      <w:tr w:rsidR="007F2D50" w:rsidRPr="004F29AA">
        <w:tc>
          <w:tcPr>
            <w:tcW w:w="853" w:type="pct"/>
            <w:shd w:val="clear" w:color="auto" w:fill="auto"/>
            <w:vAlign w:val="center"/>
          </w:tcPr>
          <w:p w:rsidR="007F2D50" w:rsidRPr="004F29AA" w:rsidRDefault="007F2D50" w:rsidP="00CB389D">
            <w:pPr>
              <w:keepNext/>
              <w:jc w:val="center"/>
              <w:rPr>
                <w:rFonts w:ascii="Arial Narrow" w:hAnsi="Arial Narrow"/>
                <w:color w:val="000000"/>
                <w:sz w:val="20"/>
                <w:szCs w:val="18"/>
              </w:rPr>
            </w:pPr>
          </w:p>
        </w:tc>
        <w:tc>
          <w:tcPr>
            <w:tcW w:w="997" w:type="pct"/>
            <w:gridSpan w:val="2"/>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Blinatumomab</w:t>
            </w:r>
          </w:p>
        </w:tc>
        <w:tc>
          <w:tcPr>
            <w:tcW w:w="996" w:type="pct"/>
            <w:gridSpan w:val="2"/>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SOC</w:t>
            </w:r>
          </w:p>
        </w:tc>
        <w:tc>
          <w:tcPr>
            <w:tcW w:w="1113" w:type="pct"/>
            <w:gridSpan w:val="2"/>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Absolute Difference</w:t>
            </w:r>
          </w:p>
        </w:tc>
        <w:tc>
          <w:tcPr>
            <w:tcW w:w="1041" w:type="pct"/>
            <w:gridSpan w:val="3"/>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HR (95% CI)</w:t>
            </w:r>
          </w:p>
        </w:tc>
      </w:tr>
      <w:tr w:rsidR="007F2D5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MT103-211 (FAS)</w:t>
            </w:r>
          </w:p>
        </w:tc>
        <w:tc>
          <w:tcPr>
            <w:tcW w:w="997" w:type="pct"/>
            <w:gridSpan w:val="2"/>
          </w:tcPr>
          <w:p w:rsidR="007F2D50" w:rsidRPr="004F29AA" w:rsidRDefault="007F2D50" w:rsidP="00CB389D">
            <w:pPr>
              <w:keepNext/>
              <w:jc w:val="center"/>
              <w:rPr>
                <w:rFonts w:ascii="Arial Narrow" w:hAnsi="Arial Narrow"/>
                <w:sz w:val="20"/>
              </w:rPr>
            </w:pPr>
            <w:r w:rsidRPr="00F13D6B">
              <w:rPr>
                <w:rFonts w:ascii="Arial Narrow" w:hAnsi="Arial Narrow"/>
                <w:sz w:val="20"/>
              </w:rPr>
              <w:t>6.5 (4.7, 7.7)</w:t>
            </w:r>
          </w:p>
        </w:tc>
        <w:tc>
          <w:tcPr>
            <w:tcW w:w="996" w:type="pct"/>
            <w:gridSpan w:val="2"/>
          </w:tcPr>
          <w:p w:rsidR="007F2D50" w:rsidRPr="004F29AA" w:rsidRDefault="007F2D50" w:rsidP="00CB389D">
            <w:pPr>
              <w:keepNext/>
              <w:jc w:val="center"/>
              <w:rPr>
                <w:rFonts w:ascii="Arial Narrow" w:hAnsi="Arial Narrow"/>
                <w:sz w:val="20"/>
              </w:rPr>
            </w:pPr>
            <w:r w:rsidRPr="004F29AA">
              <w:rPr>
                <w:rFonts w:ascii="Arial Narrow" w:hAnsi="Arial Narrow"/>
                <w:sz w:val="20"/>
              </w:rPr>
              <w:t>-</w:t>
            </w:r>
          </w:p>
        </w:tc>
        <w:tc>
          <w:tcPr>
            <w:tcW w:w="1113"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1041" w:type="pct"/>
            <w:gridSpan w:val="3"/>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MT103-206</w:t>
            </w:r>
          </w:p>
        </w:tc>
        <w:tc>
          <w:tcPr>
            <w:tcW w:w="997" w:type="pct"/>
            <w:gridSpan w:val="2"/>
          </w:tcPr>
          <w:p w:rsidR="007F2D50" w:rsidRPr="004F29AA" w:rsidRDefault="007F2D50" w:rsidP="00CB389D">
            <w:pPr>
              <w:keepNext/>
              <w:jc w:val="center"/>
              <w:rPr>
                <w:rFonts w:ascii="Arial Narrow" w:hAnsi="Arial Narrow"/>
                <w:sz w:val="20"/>
              </w:rPr>
            </w:pPr>
            <w:r w:rsidRPr="004F29AA">
              <w:rPr>
                <w:rFonts w:ascii="Arial Narrow" w:hAnsi="Arial Narrow"/>
                <w:sz w:val="20"/>
              </w:rPr>
              <w:t>9.8 (8.5, 14.9)</w:t>
            </w:r>
          </w:p>
        </w:tc>
        <w:tc>
          <w:tcPr>
            <w:tcW w:w="996" w:type="pct"/>
            <w:gridSpan w:val="2"/>
          </w:tcPr>
          <w:p w:rsidR="007F2D50" w:rsidRPr="004F29AA" w:rsidRDefault="007F2D50" w:rsidP="00CB389D">
            <w:pPr>
              <w:keepNext/>
              <w:jc w:val="center"/>
              <w:rPr>
                <w:rFonts w:ascii="Arial Narrow" w:hAnsi="Arial Narrow"/>
                <w:sz w:val="20"/>
              </w:rPr>
            </w:pPr>
            <w:r w:rsidRPr="004F29AA">
              <w:rPr>
                <w:rFonts w:ascii="Arial Narrow" w:hAnsi="Arial Narrow"/>
                <w:sz w:val="20"/>
              </w:rPr>
              <w:t>-</w:t>
            </w:r>
          </w:p>
        </w:tc>
        <w:tc>
          <w:tcPr>
            <w:tcW w:w="1113"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1041" w:type="pct"/>
            <w:gridSpan w:val="3"/>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20120310</w:t>
            </w:r>
          </w:p>
        </w:tc>
        <w:tc>
          <w:tcPr>
            <w:tcW w:w="997" w:type="pct"/>
            <w:gridSpan w:val="2"/>
          </w:tcPr>
          <w:p w:rsidR="007F2D50" w:rsidRPr="004F29AA" w:rsidRDefault="007F2D50" w:rsidP="00CB389D">
            <w:pPr>
              <w:keepNext/>
              <w:jc w:val="center"/>
              <w:rPr>
                <w:rFonts w:ascii="Arial Narrow" w:hAnsi="Arial Narrow"/>
                <w:sz w:val="20"/>
              </w:rPr>
            </w:pPr>
            <w:r w:rsidRPr="004F29AA">
              <w:rPr>
                <w:rFonts w:ascii="Arial Narrow" w:hAnsi="Arial Narrow"/>
                <w:sz w:val="20"/>
              </w:rPr>
              <w:t>-</w:t>
            </w:r>
          </w:p>
        </w:tc>
        <w:tc>
          <w:tcPr>
            <w:tcW w:w="996" w:type="pct"/>
            <w:gridSpan w:val="2"/>
          </w:tcPr>
          <w:p w:rsidR="007F2D50" w:rsidRPr="004F29AA" w:rsidRDefault="007F2D50" w:rsidP="00CB389D">
            <w:pPr>
              <w:keepNext/>
              <w:jc w:val="center"/>
              <w:rPr>
                <w:rFonts w:ascii="Arial Narrow" w:hAnsi="Arial Narrow"/>
                <w:sz w:val="20"/>
              </w:rPr>
            </w:pPr>
            <w:r w:rsidRPr="004F29AA">
              <w:rPr>
                <w:rFonts w:ascii="Arial Narrow" w:hAnsi="Arial Narrow"/>
                <w:sz w:val="20"/>
              </w:rPr>
              <w:t>3.3 (2.8, 3.6)</w:t>
            </w:r>
          </w:p>
        </w:tc>
        <w:tc>
          <w:tcPr>
            <w:tcW w:w="1113"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1041" w:type="pct"/>
            <w:gridSpan w:val="3"/>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5000" w:type="pct"/>
            <w:gridSpan w:val="10"/>
            <w:tcBorders>
              <w:top w:val="double" w:sz="4" w:space="0" w:color="auto"/>
            </w:tcBorders>
            <w:shd w:val="clear" w:color="auto" w:fill="auto"/>
            <w:vAlign w:val="center"/>
          </w:tcPr>
          <w:p w:rsidR="007F2D50" w:rsidRPr="004F29AA" w:rsidRDefault="00720960" w:rsidP="00CB389D">
            <w:pPr>
              <w:keepNext/>
              <w:rPr>
                <w:rFonts w:ascii="Arial Narrow" w:hAnsi="Arial Narrow"/>
                <w:b/>
                <w:color w:val="000000"/>
                <w:sz w:val="20"/>
                <w:szCs w:val="18"/>
              </w:rPr>
            </w:pPr>
            <w:r w:rsidRPr="004F29AA">
              <w:rPr>
                <w:rFonts w:ascii="Arial Narrow" w:hAnsi="Arial Narrow"/>
                <w:b/>
                <w:color w:val="000000"/>
                <w:sz w:val="20"/>
                <w:szCs w:val="18"/>
              </w:rPr>
              <w:t>HARMS</w:t>
            </w:r>
          </w:p>
        </w:tc>
      </w:tr>
      <w:tr w:rsidR="007F2D50" w:rsidRPr="004F29AA">
        <w:trPr>
          <w:trHeight w:val="70"/>
        </w:trPr>
        <w:tc>
          <w:tcPr>
            <w:tcW w:w="853" w:type="pct"/>
            <w:vMerge w:val="restart"/>
            <w:shd w:val="clear" w:color="auto" w:fill="auto"/>
            <w:vAlign w:val="center"/>
          </w:tcPr>
          <w:p w:rsidR="007F2D50" w:rsidRPr="004F29AA" w:rsidRDefault="00B70394" w:rsidP="00CB389D">
            <w:pPr>
              <w:keepNext/>
              <w:rPr>
                <w:rFonts w:ascii="Arial Narrow" w:hAnsi="Arial Narrow"/>
                <w:b/>
                <w:color w:val="000000"/>
                <w:sz w:val="20"/>
                <w:szCs w:val="18"/>
              </w:rPr>
            </w:pPr>
            <w:r w:rsidRPr="004F29AA">
              <w:rPr>
                <w:rFonts w:ascii="Arial Narrow" w:hAnsi="Arial Narrow"/>
                <w:b/>
                <w:color w:val="000000"/>
                <w:sz w:val="20"/>
                <w:szCs w:val="18"/>
              </w:rPr>
              <w:t>Study</w:t>
            </w:r>
          </w:p>
        </w:tc>
        <w:tc>
          <w:tcPr>
            <w:tcW w:w="747" w:type="pct"/>
            <w:vMerge w:val="restart"/>
            <w:vAlign w:val="center"/>
          </w:tcPr>
          <w:p w:rsidR="007F2D50" w:rsidRPr="004F29AA" w:rsidRDefault="008A59F3" w:rsidP="00CB389D">
            <w:pPr>
              <w:keepNext/>
              <w:jc w:val="center"/>
              <w:rPr>
                <w:rFonts w:ascii="Arial Narrow" w:hAnsi="Arial Narrow"/>
                <w:b/>
                <w:color w:val="000000"/>
                <w:sz w:val="20"/>
                <w:szCs w:val="18"/>
              </w:rPr>
            </w:pPr>
            <w:r w:rsidRPr="004F29AA">
              <w:rPr>
                <w:rFonts w:ascii="Arial Narrow" w:hAnsi="Arial Narrow"/>
                <w:b/>
                <w:color w:val="000000"/>
                <w:sz w:val="20"/>
                <w:szCs w:val="18"/>
              </w:rPr>
              <w:t>Blinatumomab</w:t>
            </w:r>
          </w:p>
        </w:tc>
        <w:tc>
          <w:tcPr>
            <w:tcW w:w="664" w:type="pct"/>
            <w:gridSpan w:val="2"/>
            <w:vMerge w:val="restart"/>
            <w:vAlign w:val="center"/>
          </w:tcPr>
          <w:p w:rsidR="007F2D50" w:rsidRPr="004F29AA" w:rsidRDefault="008A59F3" w:rsidP="00CB389D">
            <w:pPr>
              <w:keepNext/>
              <w:jc w:val="center"/>
              <w:rPr>
                <w:rFonts w:ascii="Arial Narrow" w:hAnsi="Arial Narrow"/>
                <w:b/>
                <w:color w:val="000000"/>
                <w:sz w:val="20"/>
                <w:szCs w:val="18"/>
              </w:rPr>
            </w:pPr>
            <w:r w:rsidRPr="004F29AA">
              <w:rPr>
                <w:rFonts w:ascii="Arial Narrow" w:hAnsi="Arial Narrow"/>
                <w:b/>
                <w:color w:val="000000"/>
                <w:sz w:val="20"/>
                <w:szCs w:val="18"/>
              </w:rPr>
              <w:t>SOC</w:t>
            </w:r>
          </w:p>
        </w:tc>
        <w:tc>
          <w:tcPr>
            <w:tcW w:w="582" w:type="pct"/>
            <w:vMerge w:val="restart"/>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RR</w:t>
            </w:r>
          </w:p>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(95% CI)</w:t>
            </w:r>
          </w:p>
        </w:tc>
        <w:tc>
          <w:tcPr>
            <w:tcW w:w="1488" w:type="pct"/>
            <w:gridSpan w:val="3"/>
            <w:vAlign w:val="center"/>
          </w:tcPr>
          <w:p w:rsidR="007F2D50" w:rsidRPr="004F29AA" w:rsidRDefault="007F2D50" w:rsidP="00F1078C">
            <w:pPr>
              <w:keepNext/>
              <w:jc w:val="center"/>
              <w:rPr>
                <w:rFonts w:ascii="Arial Narrow" w:hAnsi="Arial Narrow"/>
                <w:b/>
                <w:color w:val="000000"/>
                <w:sz w:val="20"/>
                <w:szCs w:val="18"/>
              </w:rPr>
            </w:pPr>
            <w:r w:rsidRPr="004F29AA">
              <w:rPr>
                <w:rFonts w:ascii="Arial Narrow" w:hAnsi="Arial Narrow"/>
                <w:b/>
                <w:color w:val="000000"/>
                <w:sz w:val="20"/>
                <w:szCs w:val="18"/>
              </w:rPr>
              <w:t>Event rate/100 patients</w:t>
            </w:r>
            <w:r w:rsidR="00F1078C" w:rsidRPr="004F29AA">
              <w:rPr>
                <w:rFonts w:ascii="Arial Narrow" w:hAnsi="Arial Narrow"/>
                <w:b/>
                <w:color w:val="000000"/>
                <w:sz w:val="20"/>
                <w:szCs w:val="18"/>
              </w:rPr>
              <w:t xml:space="preserve"> </w:t>
            </w:r>
            <w:r w:rsidR="00F1078C" w:rsidRPr="004F29AA">
              <w:rPr>
                <w:rFonts w:ascii="Arial Narrow" w:hAnsi="Arial Narrow"/>
                <w:b/>
                <w:color w:val="000000"/>
                <w:sz w:val="20"/>
                <w:szCs w:val="18"/>
                <w:vertAlign w:val="superscript"/>
              </w:rPr>
              <w:t>a</w:t>
            </w:r>
            <w:r w:rsidRPr="004F29AA">
              <w:rPr>
                <w:rFonts w:ascii="Arial Narrow" w:hAnsi="Arial Narrow"/>
                <w:b/>
                <w:color w:val="000000"/>
                <w:sz w:val="20"/>
                <w:szCs w:val="18"/>
              </w:rPr>
              <w:t xml:space="preserve"> </w:t>
            </w:r>
          </w:p>
        </w:tc>
        <w:tc>
          <w:tcPr>
            <w:tcW w:w="666" w:type="pct"/>
            <w:gridSpan w:val="2"/>
            <w:vMerge w:val="restart"/>
            <w:vAlign w:val="center"/>
          </w:tcPr>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RD</w:t>
            </w:r>
          </w:p>
          <w:p w:rsidR="007F2D50" w:rsidRPr="004F29AA" w:rsidRDefault="007F2D50" w:rsidP="00CB389D">
            <w:pPr>
              <w:keepNext/>
              <w:jc w:val="center"/>
              <w:rPr>
                <w:rFonts w:ascii="Arial Narrow" w:hAnsi="Arial Narrow"/>
                <w:b/>
                <w:color w:val="000000"/>
                <w:sz w:val="20"/>
                <w:szCs w:val="18"/>
              </w:rPr>
            </w:pPr>
            <w:r w:rsidRPr="004F29AA">
              <w:rPr>
                <w:rFonts w:ascii="Arial Narrow" w:hAnsi="Arial Narrow"/>
                <w:b/>
                <w:color w:val="000000"/>
                <w:sz w:val="20"/>
                <w:szCs w:val="18"/>
              </w:rPr>
              <w:t>(95% CI)</w:t>
            </w:r>
          </w:p>
        </w:tc>
      </w:tr>
      <w:tr w:rsidR="007F2D50" w:rsidRPr="004F29AA">
        <w:trPr>
          <w:trHeight w:val="390"/>
        </w:trPr>
        <w:tc>
          <w:tcPr>
            <w:tcW w:w="853" w:type="pct"/>
            <w:vMerge/>
            <w:shd w:val="clear" w:color="auto" w:fill="auto"/>
            <w:vAlign w:val="center"/>
          </w:tcPr>
          <w:p w:rsidR="007F2D50" w:rsidRPr="004F29AA" w:rsidRDefault="007F2D50" w:rsidP="00CB389D">
            <w:pPr>
              <w:keepNext/>
              <w:rPr>
                <w:rFonts w:ascii="Arial Narrow" w:hAnsi="Arial Narrow"/>
                <w:b/>
                <w:color w:val="000000"/>
                <w:sz w:val="20"/>
                <w:szCs w:val="18"/>
              </w:rPr>
            </w:pPr>
          </w:p>
        </w:tc>
        <w:tc>
          <w:tcPr>
            <w:tcW w:w="747" w:type="pct"/>
            <w:vMerge/>
            <w:vAlign w:val="center"/>
          </w:tcPr>
          <w:p w:rsidR="007F2D50" w:rsidRPr="004F29AA" w:rsidRDefault="007F2D50" w:rsidP="00CB389D">
            <w:pPr>
              <w:keepNext/>
              <w:jc w:val="center"/>
              <w:rPr>
                <w:rFonts w:ascii="Arial Narrow" w:hAnsi="Arial Narrow"/>
                <w:b/>
                <w:color w:val="000000"/>
                <w:sz w:val="20"/>
                <w:szCs w:val="18"/>
              </w:rPr>
            </w:pPr>
          </w:p>
        </w:tc>
        <w:tc>
          <w:tcPr>
            <w:tcW w:w="664" w:type="pct"/>
            <w:gridSpan w:val="2"/>
            <w:vMerge/>
            <w:vAlign w:val="center"/>
          </w:tcPr>
          <w:p w:rsidR="007F2D50" w:rsidRPr="004F29AA" w:rsidRDefault="007F2D50" w:rsidP="00CB389D">
            <w:pPr>
              <w:keepNext/>
              <w:jc w:val="center"/>
              <w:rPr>
                <w:rFonts w:ascii="Arial Narrow" w:hAnsi="Arial Narrow"/>
                <w:b/>
                <w:color w:val="000000"/>
                <w:sz w:val="20"/>
                <w:szCs w:val="18"/>
              </w:rPr>
            </w:pPr>
          </w:p>
        </w:tc>
        <w:tc>
          <w:tcPr>
            <w:tcW w:w="582" w:type="pct"/>
            <w:vMerge/>
            <w:vAlign w:val="center"/>
          </w:tcPr>
          <w:p w:rsidR="007F2D50" w:rsidRPr="004F29AA" w:rsidRDefault="007F2D50" w:rsidP="00CB389D">
            <w:pPr>
              <w:keepNext/>
              <w:jc w:val="center"/>
              <w:rPr>
                <w:rFonts w:ascii="Arial Narrow" w:hAnsi="Arial Narrow"/>
                <w:b/>
                <w:color w:val="000000"/>
                <w:sz w:val="20"/>
                <w:szCs w:val="18"/>
              </w:rPr>
            </w:pPr>
          </w:p>
        </w:tc>
        <w:tc>
          <w:tcPr>
            <w:tcW w:w="747" w:type="pct"/>
            <w:vAlign w:val="center"/>
          </w:tcPr>
          <w:p w:rsidR="007F2D50" w:rsidRPr="004F29AA" w:rsidRDefault="008A59F3" w:rsidP="00CB389D">
            <w:pPr>
              <w:keepNext/>
              <w:jc w:val="center"/>
              <w:rPr>
                <w:rFonts w:ascii="Arial Narrow" w:hAnsi="Arial Narrow"/>
                <w:b/>
                <w:color w:val="000000"/>
                <w:sz w:val="20"/>
                <w:szCs w:val="18"/>
              </w:rPr>
            </w:pPr>
            <w:r w:rsidRPr="004F29AA">
              <w:rPr>
                <w:rFonts w:ascii="Arial Narrow" w:hAnsi="Arial Narrow"/>
                <w:b/>
                <w:color w:val="000000"/>
                <w:sz w:val="20"/>
                <w:szCs w:val="18"/>
              </w:rPr>
              <w:t>Blinotumomab</w:t>
            </w:r>
          </w:p>
        </w:tc>
        <w:tc>
          <w:tcPr>
            <w:tcW w:w="741" w:type="pct"/>
            <w:gridSpan w:val="2"/>
            <w:vAlign w:val="center"/>
          </w:tcPr>
          <w:p w:rsidR="007F2D50" w:rsidRPr="004F29AA" w:rsidRDefault="008A59F3" w:rsidP="00CB389D">
            <w:pPr>
              <w:keepNext/>
              <w:jc w:val="center"/>
              <w:rPr>
                <w:rFonts w:ascii="Arial Narrow" w:hAnsi="Arial Narrow"/>
                <w:b/>
                <w:color w:val="000000"/>
                <w:sz w:val="20"/>
                <w:szCs w:val="18"/>
              </w:rPr>
            </w:pPr>
            <w:r w:rsidRPr="004F29AA">
              <w:rPr>
                <w:rFonts w:ascii="Arial Narrow" w:hAnsi="Arial Narrow"/>
                <w:b/>
                <w:color w:val="000000"/>
                <w:sz w:val="20"/>
                <w:szCs w:val="18"/>
              </w:rPr>
              <w:t>SOC</w:t>
            </w:r>
          </w:p>
        </w:tc>
        <w:tc>
          <w:tcPr>
            <w:tcW w:w="666" w:type="pct"/>
            <w:gridSpan w:val="2"/>
            <w:vMerge/>
            <w:vAlign w:val="center"/>
          </w:tcPr>
          <w:p w:rsidR="007F2D50" w:rsidRPr="004F29AA" w:rsidRDefault="007F2D50" w:rsidP="00CB389D">
            <w:pPr>
              <w:keepNext/>
              <w:jc w:val="center"/>
              <w:rPr>
                <w:rFonts w:ascii="Arial Narrow" w:hAnsi="Arial Narrow"/>
                <w:b/>
                <w:color w:val="000000"/>
                <w:sz w:val="20"/>
                <w:szCs w:val="18"/>
              </w:rPr>
            </w:pPr>
          </w:p>
        </w:tc>
      </w:tr>
      <w:tr w:rsidR="007F2D50" w:rsidRPr="004F29AA">
        <w:tc>
          <w:tcPr>
            <w:tcW w:w="5000" w:type="pct"/>
            <w:gridSpan w:val="10"/>
            <w:shd w:val="clear" w:color="auto" w:fill="auto"/>
            <w:vAlign w:val="center"/>
          </w:tcPr>
          <w:p w:rsidR="007F2D50" w:rsidRPr="004F29AA" w:rsidRDefault="007F2D50" w:rsidP="00CB389D">
            <w:pPr>
              <w:keepNext/>
              <w:rPr>
                <w:rFonts w:ascii="Arial Narrow" w:hAnsi="Arial Narrow"/>
                <w:b/>
                <w:color w:val="000000"/>
                <w:sz w:val="20"/>
                <w:szCs w:val="18"/>
              </w:rPr>
            </w:pPr>
            <w:r w:rsidRPr="004F29AA">
              <w:rPr>
                <w:rFonts w:ascii="Arial Narrow" w:hAnsi="Arial Narrow"/>
                <w:b/>
                <w:color w:val="000000"/>
                <w:sz w:val="20"/>
                <w:szCs w:val="18"/>
              </w:rPr>
              <w:t xml:space="preserve">Grade </w:t>
            </w:r>
            <w:r w:rsidRPr="004F29AA">
              <w:rPr>
                <w:rFonts w:ascii="Arial Narrow" w:hAnsi="Arial Narrow"/>
                <w:b/>
                <w:sz w:val="20"/>
              </w:rPr>
              <w:t>≥ 3 treatment-related emergent adverse events</w:t>
            </w:r>
            <w:r w:rsidR="008A59F3" w:rsidRPr="004F29AA">
              <w:rPr>
                <w:rFonts w:ascii="Arial Narrow" w:hAnsi="Arial Narrow"/>
                <w:b/>
                <w:sz w:val="20"/>
              </w:rPr>
              <w:t>, n</w:t>
            </w:r>
          </w:p>
        </w:tc>
      </w:tr>
      <w:tr w:rsidR="007F2D5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MT103-211 (FAS)</w:t>
            </w:r>
          </w:p>
        </w:tc>
        <w:tc>
          <w:tcPr>
            <w:tcW w:w="747" w:type="pct"/>
            <w:vAlign w:val="center"/>
          </w:tcPr>
          <w:p w:rsidR="007F2D50" w:rsidRPr="004F29AA" w:rsidRDefault="008A59F3" w:rsidP="00CB389D">
            <w:pPr>
              <w:keepNext/>
              <w:jc w:val="center"/>
              <w:rPr>
                <w:rFonts w:ascii="Arial Narrow" w:hAnsi="Arial Narrow"/>
                <w:color w:val="000000"/>
                <w:sz w:val="20"/>
                <w:szCs w:val="18"/>
              </w:rPr>
            </w:pPr>
            <w:r w:rsidRPr="00F13D6B">
              <w:rPr>
                <w:rFonts w:ascii="Arial Narrow" w:hAnsi="Arial Narrow"/>
                <w:color w:val="000000"/>
                <w:sz w:val="20"/>
                <w:szCs w:val="18"/>
              </w:rPr>
              <w:t>124/225</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p>
        </w:tc>
        <w:tc>
          <w:tcPr>
            <w:tcW w:w="582" w:type="pct"/>
            <w:vAlign w:val="center"/>
          </w:tcPr>
          <w:p w:rsidR="007F2D50" w:rsidRPr="004F29AA" w:rsidRDefault="007F2D50" w:rsidP="00CB389D">
            <w:pPr>
              <w:keepNext/>
              <w:jc w:val="center"/>
              <w:rPr>
                <w:rFonts w:ascii="Arial Narrow" w:hAnsi="Arial Narrow"/>
                <w:color w:val="000000"/>
                <w:sz w:val="20"/>
                <w:szCs w:val="18"/>
              </w:rPr>
            </w:pPr>
          </w:p>
        </w:tc>
        <w:tc>
          <w:tcPr>
            <w:tcW w:w="747" w:type="pct"/>
            <w:vAlign w:val="center"/>
          </w:tcPr>
          <w:p w:rsidR="007F2D50" w:rsidRPr="004F29AA" w:rsidRDefault="008A59F3" w:rsidP="00CB389D">
            <w:pPr>
              <w:keepNext/>
              <w:jc w:val="center"/>
              <w:rPr>
                <w:rFonts w:ascii="Arial Narrow" w:hAnsi="Arial Narrow"/>
                <w:color w:val="000000"/>
                <w:sz w:val="20"/>
                <w:szCs w:val="18"/>
              </w:rPr>
            </w:pPr>
            <w:r w:rsidRPr="00F13D6B">
              <w:rPr>
                <w:rFonts w:ascii="Arial Narrow" w:hAnsi="Arial Narrow"/>
                <w:color w:val="000000"/>
                <w:sz w:val="20"/>
                <w:szCs w:val="18"/>
              </w:rPr>
              <w:t>55</w:t>
            </w:r>
          </w:p>
        </w:tc>
        <w:tc>
          <w:tcPr>
            <w:tcW w:w="741" w:type="pct"/>
            <w:gridSpan w:val="2"/>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MT103-206</w:t>
            </w:r>
          </w:p>
        </w:tc>
        <w:tc>
          <w:tcPr>
            <w:tcW w:w="747" w:type="pct"/>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23/36</w:t>
            </w:r>
          </w:p>
        </w:tc>
        <w:tc>
          <w:tcPr>
            <w:tcW w:w="664" w:type="pct"/>
            <w:gridSpan w:val="2"/>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582" w:type="pct"/>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64</w:t>
            </w:r>
          </w:p>
        </w:tc>
        <w:tc>
          <w:tcPr>
            <w:tcW w:w="741" w:type="pct"/>
            <w:gridSpan w:val="2"/>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853" w:type="pct"/>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color w:val="000000"/>
                <w:sz w:val="20"/>
                <w:szCs w:val="18"/>
              </w:rPr>
              <w:t>20120310</w:t>
            </w:r>
          </w:p>
        </w:tc>
        <w:tc>
          <w:tcPr>
            <w:tcW w:w="747" w:type="pct"/>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4" w:type="pct"/>
            <w:gridSpan w:val="2"/>
            <w:vAlign w:val="center"/>
          </w:tcPr>
          <w:p w:rsidR="007F2D50" w:rsidRPr="004F29AA" w:rsidRDefault="007F2D50" w:rsidP="00CB389D">
            <w:pPr>
              <w:keepNext/>
              <w:jc w:val="center"/>
              <w:rPr>
                <w:rFonts w:ascii="Arial Narrow" w:hAnsi="Arial Narrow"/>
                <w:color w:val="000000"/>
                <w:sz w:val="20"/>
                <w:szCs w:val="18"/>
              </w:rPr>
            </w:pPr>
            <w:r w:rsidRPr="004F29AA">
              <w:rPr>
                <w:rFonts w:ascii="Arial Narrow" w:hAnsi="Arial Narrow"/>
                <w:color w:val="000000"/>
                <w:sz w:val="20"/>
                <w:szCs w:val="18"/>
              </w:rPr>
              <w:t>NR</w:t>
            </w:r>
          </w:p>
        </w:tc>
        <w:tc>
          <w:tcPr>
            <w:tcW w:w="582" w:type="pct"/>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1" w:type="pct"/>
            <w:gridSpan w:val="2"/>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7F2D50"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5000" w:type="pct"/>
            <w:gridSpan w:val="10"/>
            <w:shd w:val="clear" w:color="auto" w:fill="auto"/>
            <w:vAlign w:val="center"/>
          </w:tcPr>
          <w:p w:rsidR="007F2D50" w:rsidRPr="004F29AA" w:rsidRDefault="007F2D50" w:rsidP="00CB389D">
            <w:pPr>
              <w:keepNext/>
              <w:rPr>
                <w:rFonts w:ascii="Arial Narrow" w:hAnsi="Arial Narrow"/>
                <w:b/>
                <w:color w:val="000000"/>
                <w:sz w:val="20"/>
                <w:szCs w:val="18"/>
              </w:rPr>
            </w:pPr>
            <w:r w:rsidRPr="004F29AA">
              <w:rPr>
                <w:rFonts w:ascii="Arial Narrow" w:hAnsi="Arial Narrow"/>
                <w:b/>
                <w:color w:val="000000"/>
                <w:sz w:val="20"/>
                <w:szCs w:val="18"/>
              </w:rPr>
              <w:t xml:space="preserve">Grade ≥4 </w:t>
            </w:r>
            <w:r w:rsidRPr="004F29AA">
              <w:rPr>
                <w:rFonts w:ascii="Arial Narrow" w:hAnsi="Arial Narrow"/>
                <w:b/>
                <w:sz w:val="20"/>
              </w:rPr>
              <w:t>treatment-related emergent adverse events</w:t>
            </w:r>
            <w:r w:rsidR="008A59F3" w:rsidRPr="004F29AA">
              <w:rPr>
                <w:rFonts w:ascii="Arial Narrow" w:hAnsi="Arial Narrow"/>
                <w:b/>
                <w:sz w:val="20"/>
              </w:rPr>
              <w:t>, n</w:t>
            </w:r>
          </w:p>
        </w:tc>
      </w:tr>
      <w:tr w:rsidR="008A59F3" w:rsidRPr="004F29AA">
        <w:tc>
          <w:tcPr>
            <w:tcW w:w="853" w:type="pct"/>
            <w:shd w:val="clear" w:color="auto" w:fill="auto"/>
            <w:vAlign w:val="center"/>
          </w:tcPr>
          <w:p w:rsidR="008A59F3" w:rsidRPr="004F29AA" w:rsidRDefault="008A59F3" w:rsidP="00CB389D">
            <w:pPr>
              <w:keepNext/>
              <w:rPr>
                <w:rFonts w:ascii="Arial Narrow" w:hAnsi="Arial Narrow"/>
                <w:color w:val="000000"/>
                <w:sz w:val="20"/>
                <w:szCs w:val="18"/>
              </w:rPr>
            </w:pPr>
            <w:r w:rsidRPr="004F29AA">
              <w:rPr>
                <w:rFonts w:ascii="Arial Narrow" w:hAnsi="Arial Narrow"/>
                <w:color w:val="000000"/>
                <w:sz w:val="20"/>
                <w:szCs w:val="18"/>
              </w:rPr>
              <w:t>MT103-211 (FAS)</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F13D6B">
              <w:rPr>
                <w:rFonts w:ascii="Arial Narrow" w:hAnsi="Arial Narrow"/>
                <w:color w:val="000000"/>
                <w:sz w:val="20"/>
                <w:szCs w:val="18"/>
              </w:rPr>
              <w:t>53/225</w:t>
            </w:r>
          </w:p>
        </w:tc>
        <w:tc>
          <w:tcPr>
            <w:tcW w:w="664" w:type="pct"/>
            <w:gridSpan w:val="2"/>
            <w:vAlign w:val="center"/>
          </w:tcPr>
          <w:p w:rsidR="008A59F3" w:rsidRPr="004F29AA" w:rsidRDefault="008A59F3" w:rsidP="00CB389D">
            <w:pPr>
              <w:keepNext/>
              <w:jc w:val="center"/>
              <w:rPr>
                <w:rFonts w:ascii="Arial Narrow" w:hAnsi="Arial Narrow"/>
                <w:color w:val="000000"/>
                <w:sz w:val="20"/>
                <w:szCs w:val="18"/>
              </w:rPr>
            </w:pPr>
          </w:p>
        </w:tc>
        <w:tc>
          <w:tcPr>
            <w:tcW w:w="582" w:type="pct"/>
            <w:vAlign w:val="center"/>
          </w:tcPr>
          <w:p w:rsidR="008A59F3" w:rsidRPr="004F29AA" w:rsidRDefault="008A59F3" w:rsidP="00CB389D">
            <w:pPr>
              <w:keepNext/>
              <w:jc w:val="center"/>
              <w:rPr>
                <w:rFonts w:ascii="Arial Narrow" w:hAnsi="Arial Narrow"/>
                <w:color w:val="000000"/>
                <w:sz w:val="20"/>
                <w:szCs w:val="18"/>
              </w:rPr>
            </w:pP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F13D6B">
              <w:rPr>
                <w:rFonts w:ascii="Arial Narrow" w:hAnsi="Arial Narrow"/>
                <w:color w:val="000000"/>
                <w:sz w:val="20"/>
                <w:szCs w:val="18"/>
              </w:rPr>
              <w:t>24</w:t>
            </w:r>
          </w:p>
        </w:tc>
        <w:tc>
          <w:tcPr>
            <w:tcW w:w="741"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8A59F3" w:rsidRPr="004F29AA">
        <w:tc>
          <w:tcPr>
            <w:tcW w:w="853" w:type="pct"/>
            <w:shd w:val="clear" w:color="auto" w:fill="auto"/>
            <w:vAlign w:val="center"/>
          </w:tcPr>
          <w:p w:rsidR="008A59F3" w:rsidRPr="004F29AA" w:rsidRDefault="008A59F3" w:rsidP="00CB389D">
            <w:pPr>
              <w:keepNext/>
              <w:rPr>
                <w:rFonts w:ascii="Arial Narrow" w:hAnsi="Arial Narrow"/>
                <w:color w:val="000000"/>
                <w:sz w:val="20"/>
                <w:szCs w:val="18"/>
              </w:rPr>
            </w:pPr>
            <w:r w:rsidRPr="004F29AA">
              <w:rPr>
                <w:rFonts w:ascii="Arial Narrow" w:hAnsi="Arial Narrow"/>
                <w:color w:val="000000"/>
                <w:sz w:val="20"/>
                <w:szCs w:val="18"/>
              </w:rPr>
              <w:t>MT103-206</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12/36</w:t>
            </w:r>
          </w:p>
        </w:tc>
        <w:tc>
          <w:tcPr>
            <w:tcW w:w="664"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582"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33</w:t>
            </w:r>
          </w:p>
        </w:tc>
        <w:tc>
          <w:tcPr>
            <w:tcW w:w="741"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8A59F3" w:rsidRPr="004F29AA">
        <w:tc>
          <w:tcPr>
            <w:tcW w:w="853" w:type="pct"/>
            <w:shd w:val="clear" w:color="auto" w:fill="auto"/>
            <w:vAlign w:val="center"/>
          </w:tcPr>
          <w:p w:rsidR="008A59F3" w:rsidRPr="004F29AA" w:rsidRDefault="008A59F3" w:rsidP="00CB389D">
            <w:pPr>
              <w:keepNext/>
              <w:rPr>
                <w:rFonts w:ascii="Arial Narrow" w:hAnsi="Arial Narrow"/>
                <w:color w:val="000000"/>
                <w:sz w:val="20"/>
                <w:szCs w:val="18"/>
              </w:rPr>
            </w:pPr>
            <w:r w:rsidRPr="004F29AA">
              <w:rPr>
                <w:rFonts w:ascii="Arial Narrow" w:hAnsi="Arial Narrow"/>
                <w:color w:val="000000"/>
                <w:sz w:val="20"/>
                <w:szCs w:val="18"/>
              </w:rPr>
              <w:t>20120310</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4"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NR</w:t>
            </w:r>
          </w:p>
        </w:tc>
        <w:tc>
          <w:tcPr>
            <w:tcW w:w="582"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1"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7F2D50" w:rsidRPr="004F29AA">
        <w:tc>
          <w:tcPr>
            <w:tcW w:w="5000" w:type="pct"/>
            <w:gridSpan w:val="10"/>
            <w:shd w:val="clear" w:color="auto" w:fill="auto"/>
            <w:vAlign w:val="center"/>
          </w:tcPr>
          <w:p w:rsidR="007F2D50" w:rsidRPr="004F29AA" w:rsidRDefault="007F2D50" w:rsidP="00CB389D">
            <w:pPr>
              <w:keepNext/>
              <w:rPr>
                <w:rFonts w:ascii="Arial Narrow" w:hAnsi="Arial Narrow"/>
                <w:color w:val="000000"/>
                <w:sz w:val="20"/>
                <w:szCs w:val="18"/>
              </w:rPr>
            </w:pPr>
            <w:r w:rsidRPr="004F29AA">
              <w:rPr>
                <w:rFonts w:ascii="Arial Narrow" w:hAnsi="Arial Narrow"/>
                <w:b/>
                <w:color w:val="000000"/>
                <w:sz w:val="20"/>
                <w:szCs w:val="18"/>
              </w:rPr>
              <w:t>Fatal treated-related events</w:t>
            </w:r>
            <w:r w:rsidR="008A59F3" w:rsidRPr="004F29AA">
              <w:rPr>
                <w:rFonts w:ascii="Arial Narrow" w:hAnsi="Arial Narrow"/>
                <w:b/>
                <w:color w:val="000000"/>
                <w:sz w:val="20"/>
                <w:szCs w:val="18"/>
              </w:rPr>
              <w:t>, n</w:t>
            </w:r>
          </w:p>
        </w:tc>
      </w:tr>
      <w:tr w:rsidR="008A59F3" w:rsidRPr="004F29AA">
        <w:tc>
          <w:tcPr>
            <w:tcW w:w="853" w:type="pct"/>
            <w:shd w:val="clear" w:color="auto" w:fill="auto"/>
            <w:vAlign w:val="center"/>
          </w:tcPr>
          <w:p w:rsidR="008A59F3" w:rsidRPr="004F29AA" w:rsidRDefault="008A59F3" w:rsidP="00CB389D">
            <w:pPr>
              <w:keepNext/>
              <w:rPr>
                <w:rFonts w:ascii="Arial Narrow" w:hAnsi="Arial Narrow"/>
                <w:color w:val="000000"/>
                <w:sz w:val="20"/>
                <w:szCs w:val="18"/>
              </w:rPr>
            </w:pPr>
            <w:r w:rsidRPr="004F29AA">
              <w:rPr>
                <w:rFonts w:ascii="Arial Narrow" w:hAnsi="Arial Narrow"/>
                <w:color w:val="000000"/>
                <w:sz w:val="20"/>
                <w:szCs w:val="18"/>
              </w:rPr>
              <w:t>MT103-211 (FAS)</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F13D6B">
              <w:rPr>
                <w:rFonts w:ascii="Arial Narrow" w:hAnsi="Arial Narrow"/>
                <w:color w:val="000000"/>
                <w:sz w:val="20"/>
                <w:szCs w:val="18"/>
              </w:rPr>
              <w:t>4/225</w:t>
            </w:r>
          </w:p>
        </w:tc>
        <w:tc>
          <w:tcPr>
            <w:tcW w:w="664" w:type="pct"/>
            <w:gridSpan w:val="2"/>
            <w:vAlign w:val="center"/>
          </w:tcPr>
          <w:p w:rsidR="008A59F3" w:rsidRPr="004F29AA" w:rsidRDefault="008A59F3" w:rsidP="00CB389D">
            <w:pPr>
              <w:keepNext/>
              <w:jc w:val="center"/>
              <w:rPr>
                <w:rFonts w:ascii="Arial Narrow" w:hAnsi="Arial Narrow"/>
                <w:color w:val="000000"/>
                <w:sz w:val="20"/>
                <w:szCs w:val="18"/>
              </w:rPr>
            </w:pPr>
          </w:p>
        </w:tc>
        <w:tc>
          <w:tcPr>
            <w:tcW w:w="582" w:type="pct"/>
            <w:vAlign w:val="center"/>
          </w:tcPr>
          <w:p w:rsidR="008A59F3" w:rsidRPr="004F29AA" w:rsidRDefault="008A59F3" w:rsidP="00CB389D">
            <w:pPr>
              <w:keepNext/>
              <w:jc w:val="center"/>
              <w:rPr>
                <w:rFonts w:ascii="Arial Narrow" w:hAnsi="Arial Narrow"/>
                <w:color w:val="000000"/>
                <w:sz w:val="20"/>
                <w:szCs w:val="18"/>
              </w:rPr>
            </w:pP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F13D6B">
              <w:rPr>
                <w:rFonts w:ascii="Arial Narrow" w:hAnsi="Arial Narrow"/>
                <w:color w:val="000000"/>
                <w:sz w:val="20"/>
                <w:szCs w:val="18"/>
              </w:rPr>
              <w:t>2</w:t>
            </w:r>
          </w:p>
        </w:tc>
        <w:tc>
          <w:tcPr>
            <w:tcW w:w="741"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8A59F3" w:rsidRPr="004F29AA">
        <w:tc>
          <w:tcPr>
            <w:tcW w:w="853" w:type="pct"/>
            <w:shd w:val="clear" w:color="auto" w:fill="auto"/>
            <w:vAlign w:val="center"/>
          </w:tcPr>
          <w:p w:rsidR="008A59F3" w:rsidRPr="004F29AA" w:rsidRDefault="008A59F3" w:rsidP="00CB389D">
            <w:pPr>
              <w:keepNext/>
              <w:rPr>
                <w:rFonts w:ascii="Arial Narrow" w:hAnsi="Arial Narrow"/>
                <w:color w:val="000000"/>
                <w:sz w:val="20"/>
                <w:szCs w:val="18"/>
              </w:rPr>
            </w:pPr>
            <w:r w:rsidRPr="004F29AA">
              <w:rPr>
                <w:rFonts w:ascii="Arial Narrow" w:hAnsi="Arial Narrow"/>
                <w:color w:val="000000"/>
                <w:sz w:val="20"/>
                <w:szCs w:val="18"/>
              </w:rPr>
              <w:t>MT103-206</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1/36</w:t>
            </w:r>
          </w:p>
        </w:tc>
        <w:tc>
          <w:tcPr>
            <w:tcW w:w="664"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582"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1</w:t>
            </w:r>
          </w:p>
        </w:tc>
        <w:tc>
          <w:tcPr>
            <w:tcW w:w="741"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r w:rsidR="008A59F3" w:rsidRPr="004F29AA">
        <w:tc>
          <w:tcPr>
            <w:tcW w:w="853" w:type="pct"/>
            <w:shd w:val="clear" w:color="auto" w:fill="auto"/>
            <w:vAlign w:val="center"/>
          </w:tcPr>
          <w:p w:rsidR="008A59F3" w:rsidRPr="004F29AA" w:rsidRDefault="008A59F3" w:rsidP="00CB389D">
            <w:pPr>
              <w:keepNext/>
              <w:rPr>
                <w:rFonts w:ascii="Arial Narrow" w:hAnsi="Arial Narrow"/>
                <w:color w:val="000000"/>
                <w:sz w:val="20"/>
                <w:szCs w:val="18"/>
              </w:rPr>
            </w:pPr>
            <w:r w:rsidRPr="004F29AA">
              <w:rPr>
                <w:rFonts w:ascii="Arial Narrow" w:hAnsi="Arial Narrow"/>
                <w:color w:val="000000"/>
                <w:sz w:val="20"/>
                <w:szCs w:val="18"/>
              </w:rPr>
              <w:t>20120310</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4"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NR</w:t>
            </w:r>
          </w:p>
        </w:tc>
        <w:tc>
          <w:tcPr>
            <w:tcW w:w="582"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7" w:type="pct"/>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741"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c>
          <w:tcPr>
            <w:tcW w:w="666" w:type="pct"/>
            <w:gridSpan w:val="2"/>
            <w:vAlign w:val="center"/>
          </w:tcPr>
          <w:p w:rsidR="008A59F3" w:rsidRPr="004F29AA" w:rsidRDefault="008A59F3" w:rsidP="00CB389D">
            <w:pPr>
              <w:keepNext/>
              <w:jc w:val="center"/>
              <w:rPr>
                <w:rFonts w:ascii="Arial Narrow" w:hAnsi="Arial Narrow"/>
                <w:color w:val="000000"/>
                <w:sz w:val="20"/>
                <w:szCs w:val="18"/>
              </w:rPr>
            </w:pPr>
            <w:r w:rsidRPr="004F29AA">
              <w:rPr>
                <w:rFonts w:ascii="Arial Narrow" w:hAnsi="Arial Narrow"/>
                <w:color w:val="000000"/>
                <w:sz w:val="20"/>
                <w:szCs w:val="18"/>
              </w:rPr>
              <w:t>-</w:t>
            </w:r>
          </w:p>
        </w:tc>
      </w:tr>
    </w:tbl>
    <w:p w:rsidR="00720960" w:rsidRPr="004F29AA" w:rsidRDefault="00720960" w:rsidP="00720960">
      <w:pPr>
        <w:pStyle w:val="TableFooter"/>
        <w:ind w:firstLine="720"/>
        <w:rPr>
          <w:i/>
        </w:rPr>
      </w:pPr>
      <w:r w:rsidRPr="004F29AA">
        <w:t>Source:</w:t>
      </w:r>
      <w:r w:rsidR="00CB389D" w:rsidRPr="004F29AA">
        <w:t xml:space="preserve"> </w:t>
      </w:r>
      <w:r w:rsidR="006C7C31" w:rsidRPr="004F29AA">
        <w:rPr>
          <w:i/>
        </w:rPr>
        <w:t>compiled during the evaluation</w:t>
      </w:r>
    </w:p>
    <w:p w:rsidR="007F2D50" w:rsidRPr="004F29AA" w:rsidRDefault="00CB389D" w:rsidP="00CB389D">
      <w:pPr>
        <w:pStyle w:val="TableFooter"/>
        <w:ind w:left="720"/>
      </w:pPr>
      <w:r w:rsidRPr="004F29AA">
        <w:t>CI = confidence interval; CR = complete remission; CRh* = complete remission with partial haematological recovery; CRsg</w:t>
      </w:r>
      <w:r w:rsidR="003B35DE" w:rsidRPr="004F29AA">
        <w:t> </w:t>
      </w:r>
      <w:r w:rsidRPr="004F29AA">
        <w:t>=</w:t>
      </w:r>
      <w:r w:rsidR="003B35DE" w:rsidRPr="004F29AA">
        <w:t> </w:t>
      </w:r>
      <w:r w:rsidRPr="004F29AA">
        <w:t xml:space="preserve">complete remission per study group definition; FAS = full analysis set; </w:t>
      </w:r>
      <w:r w:rsidR="006070F4" w:rsidRPr="004F29AA">
        <w:t xml:space="preserve">HR = hazard ratio; </w:t>
      </w:r>
      <w:r w:rsidRPr="004F29AA">
        <w:t xml:space="preserve">HSCT = haematopoietic stem cell transplant; </w:t>
      </w:r>
      <w:r w:rsidR="00F1078C" w:rsidRPr="004F29AA">
        <w:t xml:space="preserve">NR = not reported; </w:t>
      </w:r>
      <w:r w:rsidRPr="004F29AA">
        <w:t>RD = risk difference; RR = relative risk; SOC = standard of care</w:t>
      </w:r>
    </w:p>
    <w:p w:rsidR="00F1078C" w:rsidRPr="004F29AA" w:rsidRDefault="00F1078C" w:rsidP="00F1078C">
      <w:pPr>
        <w:pStyle w:val="TableFooter"/>
        <w:ind w:left="720"/>
      </w:pPr>
      <w:r w:rsidRPr="004F29AA">
        <w:rPr>
          <w:vertAlign w:val="superscript"/>
        </w:rPr>
        <w:t>a</w:t>
      </w:r>
      <w:r w:rsidRPr="004F29AA">
        <w:t xml:space="preserve"> Median duration of follow-up: MT103-211 = 6.5 months; MT103-206 = 8.5 months</w:t>
      </w:r>
    </w:p>
    <w:p w:rsidR="00CB389D" w:rsidRPr="004F29AA" w:rsidRDefault="00F1078C" w:rsidP="00CB389D">
      <w:pPr>
        <w:pStyle w:val="TableFooter"/>
        <w:ind w:left="720"/>
      </w:pPr>
      <w:r w:rsidRPr="004F29AA">
        <w:rPr>
          <w:vertAlign w:val="superscript"/>
        </w:rPr>
        <w:t>b</w:t>
      </w:r>
      <w:r w:rsidR="00CB389D" w:rsidRPr="004F29AA">
        <w:t xml:space="preserve"> Results weighted to study MT103-211 population; only patients with available endpoint data were included</w:t>
      </w:r>
    </w:p>
    <w:p w:rsidR="007F2D50" w:rsidRPr="004F29AA" w:rsidRDefault="007F2D50" w:rsidP="007F2D50">
      <w:pPr>
        <w:keepNext/>
        <w:ind w:left="720"/>
        <w:rPr>
          <w:rStyle w:val="CommentReference"/>
        </w:rPr>
      </w:pPr>
    </w:p>
    <w:p w:rsidR="007F2D50" w:rsidRPr="004F29AA" w:rsidRDefault="007F2D50" w:rsidP="000442E2">
      <w:pPr>
        <w:pStyle w:val="ListParagraph"/>
        <w:widowControl/>
        <w:numPr>
          <w:ilvl w:val="1"/>
          <w:numId w:val="1"/>
        </w:numPr>
      </w:pPr>
      <w:r w:rsidRPr="004F29AA">
        <w:t>Based on a naïve indirect comparison with no common comparator, the comparison of blinatumomab with standard of care chemotherapy:</w:t>
      </w:r>
    </w:p>
    <w:p w:rsidR="007F2D50" w:rsidRPr="004F29AA" w:rsidRDefault="008743A5" w:rsidP="000442E2">
      <w:pPr>
        <w:pStyle w:val="ListParagraph"/>
        <w:widowControl/>
        <w:numPr>
          <w:ilvl w:val="0"/>
          <w:numId w:val="4"/>
        </w:numPr>
        <w:ind w:left="1077" w:hanging="357"/>
      </w:pPr>
      <w:r w:rsidRPr="004F29AA">
        <w:t>appeared to result in improved</w:t>
      </w:r>
      <w:r w:rsidR="007F2D50" w:rsidRPr="004F29AA">
        <w:t xml:space="preserve"> CR, CRh*, </w:t>
      </w:r>
      <w:r w:rsidR="00E878F6" w:rsidRPr="004F29AA">
        <w:t xml:space="preserve">allogeneic </w:t>
      </w:r>
      <w:r w:rsidR="007F2D50" w:rsidRPr="004F29AA">
        <w:t>HSCT rates and overall survival</w:t>
      </w:r>
      <w:r w:rsidRPr="004F29AA">
        <w:t>; however, the difference was uncertain as the comparative effectiveness could not be quantified;</w:t>
      </w:r>
      <w:r w:rsidR="00B32030" w:rsidRPr="004F29AA">
        <w:t xml:space="preserve"> </w:t>
      </w:r>
      <w:r w:rsidR="007F2D50" w:rsidRPr="004F29AA">
        <w:t>and</w:t>
      </w:r>
    </w:p>
    <w:p w:rsidR="007F2D50" w:rsidRPr="004F29AA" w:rsidRDefault="00061980" w:rsidP="000442E2">
      <w:pPr>
        <w:pStyle w:val="ListParagraph"/>
        <w:widowControl/>
        <w:numPr>
          <w:ilvl w:val="0"/>
          <w:numId w:val="4"/>
        </w:numPr>
        <w:ind w:left="1080"/>
      </w:pPr>
      <w:r>
        <w:t>was not robustly informative with respect</w:t>
      </w:r>
      <w:r w:rsidR="007F2D50" w:rsidRPr="004F29AA">
        <w:t xml:space="preserve"> adverse events</w:t>
      </w:r>
      <w:r w:rsidR="001F2B52" w:rsidRPr="004F29AA">
        <w:t>; although, th</w:t>
      </w:r>
      <w:r w:rsidR="008743A5" w:rsidRPr="004F29AA">
        <w:t>e risk of uncommon neurologic events</w:t>
      </w:r>
      <w:r w:rsidR="001F2B52" w:rsidRPr="004F29AA">
        <w:t xml:space="preserve"> and cytokine release syndrome at the initiation of blinatumomab treatment requires hospitalisat</w:t>
      </w:r>
      <w:r w:rsidR="00FA4F0B" w:rsidRPr="004F29AA">
        <w:t>ion for the first nine days of C</w:t>
      </w:r>
      <w:r w:rsidR="001F2B52" w:rsidRPr="004F29AA">
        <w:t xml:space="preserve">ycle </w:t>
      </w:r>
      <w:r w:rsidR="00FA4F0B" w:rsidRPr="004F29AA">
        <w:t>1</w:t>
      </w:r>
      <w:r w:rsidR="001F2B52" w:rsidRPr="004F29AA">
        <w:t xml:space="preserve"> and the first two days of </w:t>
      </w:r>
      <w:r w:rsidR="00FA4F0B" w:rsidRPr="004F29AA">
        <w:t>C</w:t>
      </w:r>
      <w:r w:rsidR="001F2B52" w:rsidRPr="004F29AA">
        <w:t xml:space="preserve">ycle </w:t>
      </w:r>
      <w:r w:rsidR="00FA4F0B" w:rsidRPr="004F29AA">
        <w:t>2</w:t>
      </w:r>
      <w:r w:rsidR="001F2B52" w:rsidRPr="004F29AA">
        <w:t>.</w:t>
      </w:r>
    </w:p>
    <w:p w:rsidR="007F2D50" w:rsidRPr="004F29AA" w:rsidRDefault="007F2D50" w:rsidP="007F2D50"/>
    <w:p w:rsidR="007F2D50" w:rsidRPr="004F29AA" w:rsidRDefault="007F2D50" w:rsidP="00F1078C">
      <w:pPr>
        <w:pStyle w:val="Heading2"/>
        <w:keepNext/>
        <w:rPr>
          <w:i/>
        </w:rPr>
      </w:pPr>
      <w:bookmarkStart w:id="21" w:name="_Toc426958214"/>
      <w:bookmarkStart w:id="22" w:name="_Toc430079472"/>
      <w:r w:rsidRPr="004F29AA">
        <w:rPr>
          <w:i/>
        </w:rPr>
        <w:lastRenderedPageBreak/>
        <w:t>Clinical claim</w:t>
      </w:r>
      <w:bookmarkEnd w:id="21"/>
      <w:bookmarkEnd w:id="22"/>
    </w:p>
    <w:p w:rsidR="007F2D50" w:rsidRPr="004F29AA" w:rsidRDefault="007F2D50" w:rsidP="00F1078C">
      <w:pPr>
        <w:keepNext/>
        <w:ind w:left="720" w:hanging="720"/>
        <w:rPr>
          <w:szCs w:val="22"/>
        </w:rPr>
      </w:pPr>
    </w:p>
    <w:p w:rsidR="007F2D50" w:rsidRPr="004F29AA" w:rsidRDefault="007F2D50" w:rsidP="000442E2">
      <w:pPr>
        <w:pStyle w:val="ListParagraph"/>
        <w:keepNext/>
        <w:widowControl/>
        <w:numPr>
          <w:ilvl w:val="1"/>
          <w:numId w:val="1"/>
        </w:numPr>
      </w:pPr>
      <w:r w:rsidRPr="004F29AA">
        <w:t>The submission described blinatumomab as superior in terms of comparative effectiveness and superior in terms of comparative safety over standard of care combination chemotherapies.</w:t>
      </w:r>
    </w:p>
    <w:p w:rsidR="007F2D50" w:rsidRPr="004F29AA" w:rsidRDefault="007F2D50" w:rsidP="007F2D50">
      <w:pPr>
        <w:pStyle w:val="ListParagraph"/>
        <w:widowControl/>
        <w:rPr>
          <w:i/>
        </w:rPr>
      </w:pPr>
    </w:p>
    <w:p w:rsidR="007F2D50" w:rsidRPr="004F29AA" w:rsidRDefault="007654DA" w:rsidP="000442E2">
      <w:pPr>
        <w:pStyle w:val="ListParagraph"/>
        <w:widowControl/>
        <w:numPr>
          <w:ilvl w:val="1"/>
          <w:numId w:val="1"/>
        </w:numPr>
      </w:pPr>
      <w:r w:rsidRPr="004F29AA">
        <w:t>The ESC considered</w:t>
      </w:r>
      <w:r w:rsidRPr="004F29AA">
        <w:rPr>
          <w:i/>
        </w:rPr>
        <w:t xml:space="preserve"> </w:t>
      </w:r>
      <w:r w:rsidRPr="004F29AA">
        <w:t>the</w:t>
      </w:r>
      <w:r w:rsidR="007F2D50" w:rsidRPr="004F29AA">
        <w:t xml:space="preserve"> claim for </w:t>
      </w:r>
      <w:r w:rsidR="00ED40BC" w:rsidRPr="004F29AA">
        <w:t xml:space="preserve">superior </w:t>
      </w:r>
      <w:r w:rsidR="007F2D50" w:rsidRPr="004F29AA">
        <w:t xml:space="preserve">efficacy was </w:t>
      </w:r>
      <w:r w:rsidRPr="004F29AA">
        <w:t>poorly</w:t>
      </w:r>
      <w:r w:rsidR="007F2D50" w:rsidRPr="004F29AA">
        <w:t xml:space="preserve"> supported.</w:t>
      </w:r>
    </w:p>
    <w:p w:rsidR="007F2D50" w:rsidRPr="004F29AA" w:rsidRDefault="007F2D50" w:rsidP="000442E2">
      <w:pPr>
        <w:pStyle w:val="ListParagraph"/>
        <w:numPr>
          <w:ilvl w:val="0"/>
          <w:numId w:val="9"/>
        </w:numPr>
        <w:ind w:hanging="229"/>
      </w:pPr>
      <w:bookmarkStart w:id="23" w:name="_Toc426958215"/>
      <w:r w:rsidRPr="004F29AA">
        <w:t xml:space="preserve">The efficacy of blinatumomab appeared to be better compared to standard of care salvage chemotherapy regimens; however, the submission provided a naïve, indirect comparison using a historical retrospective study as the control, and </w:t>
      </w:r>
      <w:r w:rsidR="003F0DA6" w:rsidRPr="004F29AA">
        <w:t xml:space="preserve">could </w:t>
      </w:r>
      <w:r w:rsidRPr="004F29AA">
        <w:t>not quantify the comparative effectiveness.</w:t>
      </w:r>
      <w:bookmarkEnd w:id="23"/>
    </w:p>
    <w:p w:rsidR="007F2D50" w:rsidRPr="004F29AA" w:rsidRDefault="007F2D50" w:rsidP="000442E2">
      <w:pPr>
        <w:pStyle w:val="ListParagraph"/>
        <w:numPr>
          <w:ilvl w:val="0"/>
          <w:numId w:val="9"/>
        </w:numPr>
        <w:ind w:hanging="229"/>
      </w:pPr>
      <w:bookmarkStart w:id="24" w:name="_Toc426958216"/>
      <w:r w:rsidRPr="004F29AA">
        <w:t>Although the population from the pivotal study, MT103-211, potentially had more severe disease</w:t>
      </w:r>
      <w:r w:rsidR="00B70394" w:rsidRPr="004F29AA">
        <w:t xml:space="preserve"> compared</w:t>
      </w:r>
      <w:r w:rsidRPr="004F29AA">
        <w:t xml:space="preserve"> to the proposed PBS population</w:t>
      </w:r>
      <w:r w:rsidR="00884B9E" w:rsidRPr="004F29AA">
        <w:t>,</w:t>
      </w:r>
      <w:r w:rsidRPr="004F29AA">
        <w:t xml:space="preserve"> and </w:t>
      </w:r>
      <w:r w:rsidR="00F47F7B" w:rsidRPr="004F29AA">
        <w:t>t</w:t>
      </w:r>
      <w:r w:rsidRPr="004F29AA">
        <w:t xml:space="preserve">he efficacy results from this study </w:t>
      </w:r>
      <w:r w:rsidR="00A74437" w:rsidRPr="004F29AA">
        <w:t xml:space="preserve">might </w:t>
      </w:r>
      <w:r w:rsidRPr="004F29AA">
        <w:t xml:space="preserve">have been an underestimation of the true effect of blinatumomab, bias </w:t>
      </w:r>
      <w:r w:rsidR="00A74437" w:rsidRPr="004F29AA">
        <w:t xml:space="preserve">might </w:t>
      </w:r>
      <w:r w:rsidRPr="004F29AA">
        <w:t>have favoured blinatumomab.</w:t>
      </w:r>
      <w:bookmarkEnd w:id="24"/>
      <w:r w:rsidRPr="004F29AA">
        <w:t xml:space="preserve"> </w:t>
      </w:r>
    </w:p>
    <w:p w:rsidR="007F2D50" w:rsidRPr="004F29AA" w:rsidRDefault="007F2D50" w:rsidP="000442E2">
      <w:pPr>
        <w:pStyle w:val="ListParagraph"/>
        <w:numPr>
          <w:ilvl w:val="0"/>
          <w:numId w:val="9"/>
        </w:numPr>
        <w:ind w:hanging="229"/>
      </w:pPr>
      <w:bookmarkStart w:id="25" w:name="_Toc426958217"/>
      <w:r w:rsidRPr="004F29AA">
        <w:t>In addition, as patients in the historical study were included if they were diagnosed in 1990 or later, the results of the comparative study may have been an underestimation of the true effect of current standard of care chemotherapy regimens.</w:t>
      </w:r>
      <w:bookmarkEnd w:id="25"/>
    </w:p>
    <w:p w:rsidR="007F2D50" w:rsidRPr="004F29AA" w:rsidRDefault="007F2D50" w:rsidP="007F2D50">
      <w:pPr>
        <w:rPr>
          <w:i/>
        </w:rPr>
      </w:pPr>
    </w:p>
    <w:p w:rsidR="007F2D50" w:rsidRPr="004F29AA" w:rsidRDefault="007654DA" w:rsidP="000442E2">
      <w:pPr>
        <w:pStyle w:val="ListParagraph"/>
        <w:widowControl/>
        <w:numPr>
          <w:ilvl w:val="1"/>
          <w:numId w:val="1"/>
        </w:numPr>
      </w:pPr>
      <w:r w:rsidRPr="004F29AA">
        <w:t xml:space="preserve">The ESC considered </w:t>
      </w:r>
      <w:r w:rsidR="000238C9" w:rsidRPr="004F29AA">
        <w:t xml:space="preserve">the claim of superior comparative safety </w:t>
      </w:r>
      <w:r w:rsidRPr="004F29AA">
        <w:t>is difficult to assess given the difference in the type and timing of adverse events between blinatumomab and standard of care.</w:t>
      </w:r>
    </w:p>
    <w:p w:rsidR="007F2D50" w:rsidRPr="004F29AA" w:rsidRDefault="007F2D50" w:rsidP="000442E2">
      <w:pPr>
        <w:pStyle w:val="ListParagraph"/>
        <w:numPr>
          <w:ilvl w:val="0"/>
          <w:numId w:val="10"/>
        </w:numPr>
        <w:ind w:hanging="229"/>
        <w:rPr>
          <w:szCs w:val="22"/>
        </w:rPr>
      </w:pPr>
      <w:r w:rsidRPr="004F29AA">
        <w:t xml:space="preserve">The submission did not present any safety outcomes for the comparator arm as no safety endpoints were available from the historical retrospective study. </w:t>
      </w:r>
    </w:p>
    <w:p w:rsidR="00EF31C2" w:rsidRPr="004F29AA" w:rsidRDefault="00EF31C2" w:rsidP="000442E2">
      <w:pPr>
        <w:pStyle w:val="ListParagraph"/>
        <w:numPr>
          <w:ilvl w:val="0"/>
          <w:numId w:val="10"/>
        </w:numPr>
        <w:ind w:hanging="229"/>
      </w:pPr>
      <w:r w:rsidRPr="004F29AA">
        <w:t xml:space="preserve">Blinatumomab requires hospitalisation for the first nine days of Cycle </w:t>
      </w:r>
      <w:r w:rsidR="00CB3186" w:rsidRPr="004F29AA">
        <w:t>1</w:t>
      </w:r>
      <w:r w:rsidRPr="004F29AA">
        <w:t xml:space="preserve"> and the first two days of Cycle </w:t>
      </w:r>
      <w:r w:rsidR="00CB3186" w:rsidRPr="004F29AA">
        <w:t>2</w:t>
      </w:r>
      <w:r w:rsidRPr="004F29AA">
        <w:t xml:space="preserve"> due to the risk of neurologic adverse events and of cytokine release syndrome.</w:t>
      </w:r>
      <w:r w:rsidR="00ED40BC" w:rsidRPr="004F29AA">
        <w:t xml:space="preserve"> </w:t>
      </w:r>
    </w:p>
    <w:p w:rsidR="00ED40BC" w:rsidRPr="004F29AA" w:rsidRDefault="00ED40BC" w:rsidP="00F056AB">
      <w:pPr>
        <w:rPr>
          <w:i/>
        </w:rPr>
      </w:pPr>
    </w:p>
    <w:p w:rsidR="00F056AB" w:rsidRPr="00C40409" w:rsidRDefault="00F056AB" w:rsidP="00F056AB">
      <w:pPr>
        <w:pStyle w:val="ListParagraph"/>
        <w:widowControl/>
        <w:numPr>
          <w:ilvl w:val="1"/>
          <w:numId w:val="1"/>
        </w:numPr>
      </w:pPr>
      <w:r w:rsidRPr="00C40409">
        <w:t xml:space="preserve">The PBAC considered that the claim of superior comparative effectiveness and superior comparative safety was unable to be determined from the data presented. </w:t>
      </w:r>
    </w:p>
    <w:p w:rsidR="00F056AB" w:rsidRPr="004F29AA" w:rsidRDefault="00F056AB" w:rsidP="00F056AB">
      <w:pPr>
        <w:rPr>
          <w:i/>
        </w:rPr>
      </w:pPr>
    </w:p>
    <w:p w:rsidR="00F056AB" w:rsidRPr="004F29AA" w:rsidRDefault="00F056AB" w:rsidP="00F056AB">
      <w:pPr>
        <w:ind w:firstLine="720"/>
        <w:rPr>
          <w:szCs w:val="22"/>
        </w:rPr>
      </w:pPr>
      <w:r w:rsidRPr="004F29AA">
        <w:rPr>
          <w:i/>
          <w:szCs w:val="22"/>
        </w:rPr>
        <w:t>For more detail on PBAC’s view, see section 7 “PBAC outcome”</w:t>
      </w:r>
    </w:p>
    <w:p w:rsidR="00F056AB" w:rsidRPr="004F29AA" w:rsidRDefault="00F056AB" w:rsidP="00F056AB">
      <w:pPr>
        <w:rPr>
          <w:i/>
        </w:rPr>
      </w:pPr>
    </w:p>
    <w:p w:rsidR="007F2D50" w:rsidRPr="004F29AA" w:rsidRDefault="007F2D50" w:rsidP="007F2D50">
      <w:pPr>
        <w:pStyle w:val="Heading2"/>
        <w:rPr>
          <w:i/>
        </w:rPr>
      </w:pPr>
      <w:bookmarkStart w:id="26" w:name="_Toc426958219"/>
      <w:bookmarkStart w:id="27" w:name="_Toc430079473"/>
      <w:r w:rsidRPr="004F29AA">
        <w:rPr>
          <w:i/>
        </w:rPr>
        <w:t>Economic analysis</w:t>
      </w:r>
      <w:bookmarkEnd w:id="26"/>
      <w:bookmarkEnd w:id="27"/>
      <w:r w:rsidRPr="004F29AA">
        <w:rPr>
          <w:i/>
        </w:rPr>
        <w:t xml:space="preserve"> </w:t>
      </w:r>
    </w:p>
    <w:p w:rsidR="007F2D50" w:rsidRPr="004F29AA" w:rsidRDefault="007F2D50" w:rsidP="007F2D50">
      <w:pPr>
        <w:ind w:left="720" w:hanging="720"/>
        <w:rPr>
          <w:szCs w:val="22"/>
        </w:rPr>
      </w:pPr>
    </w:p>
    <w:p w:rsidR="004767E7" w:rsidRPr="004F29AA" w:rsidRDefault="003B13C4" w:rsidP="000442E2">
      <w:pPr>
        <w:pStyle w:val="ListParagraph"/>
        <w:numPr>
          <w:ilvl w:val="1"/>
          <w:numId w:val="1"/>
        </w:numPr>
      </w:pPr>
      <w:r w:rsidRPr="004F29AA">
        <w:t xml:space="preserve">The ESC considered </w:t>
      </w:r>
      <w:r w:rsidR="004767E7" w:rsidRPr="004F29AA">
        <w:t>the model was not reliable and likely optimistic given the estimated extent of benefit relies on non-comparative historical clinical data.</w:t>
      </w:r>
    </w:p>
    <w:p w:rsidR="003B13C4" w:rsidRPr="00964A10" w:rsidRDefault="003B13C4" w:rsidP="004767E7">
      <w:pPr>
        <w:widowControl/>
        <w:rPr>
          <w:szCs w:val="22"/>
        </w:rPr>
      </w:pPr>
    </w:p>
    <w:p w:rsidR="007F2D50" w:rsidRPr="004F29AA" w:rsidRDefault="007F2D50" w:rsidP="000442E2">
      <w:pPr>
        <w:pStyle w:val="ListParagraph"/>
        <w:widowControl/>
        <w:numPr>
          <w:ilvl w:val="1"/>
          <w:numId w:val="1"/>
        </w:numPr>
        <w:rPr>
          <w:szCs w:val="22"/>
        </w:rPr>
      </w:pPr>
      <w:r w:rsidRPr="004F29AA">
        <w:t>The submission presented a decision analytic model that used area under the curve methods to estimate overall survival. The stepped economic evaluation was a cost-utility analysis. Blinatumomab treatment was compared with standard of care chemotherapy in patients with relapsed or refractory Ph- B-precursor ALL. A summary of the model structure is presented below.</w:t>
      </w:r>
    </w:p>
    <w:p w:rsidR="00964A10" w:rsidRDefault="00964A10" w:rsidP="00384F06">
      <w:pPr>
        <w:widowControl/>
        <w:jc w:val="left"/>
        <w:rPr>
          <w:rStyle w:val="CommentReference"/>
        </w:rPr>
      </w:pPr>
      <w:r>
        <w:rPr>
          <w:rStyle w:val="CommentReference"/>
        </w:rPr>
        <w:br w:type="page"/>
      </w:r>
    </w:p>
    <w:p w:rsidR="006778EB" w:rsidRPr="004F29AA" w:rsidRDefault="006778EB" w:rsidP="00384F06">
      <w:pPr>
        <w:widowControl/>
        <w:jc w:val="left"/>
        <w:rPr>
          <w:rStyle w:val="CommentReference"/>
        </w:rPr>
      </w:pPr>
    </w:p>
    <w:p w:rsidR="007F2D50" w:rsidRPr="004F29AA" w:rsidRDefault="007F2D50" w:rsidP="006778EB">
      <w:pPr>
        <w:widowControl/>
        <w:ind w:firstLine="720"/>
        <w:jc w:val="left"/>
        <w:rPr>
          <w:rStyle w:val="CommentReference"/>
        </w:rPr>
      </w:pPr>
      <w:r w:rsidRPr="004F29AA">
        <w:rPr>
          <w:rStyle w:val="CommentReference"/>
        </w:rPr>
        <w:t xml:space="preserve">Table </w:t>
      </w:r>
      <w:r w:rsidR="008A59F3" w:rsidRPr="004F29AA">
        <w:rPr>
          <w:rStyle w:val="CommentReference"/>
        </w:rPr>
        <w:t>6</w:t>
      </w:r>
      <w:r w:rsidRPr="004F29A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the economic model"/>
      </w:tblPr>
      <w:tblGrid>
        <w:gridCol w:w="1843"/>
        <w:gridCol w:w="6502"/>
      </w:tblGrid>
      <w:tr w:rsidR="007F2D50" w:rsidRPr="004F29AA">
        <w:trPr>
          <w:tblHeader/>
        </w:trPr>
        <w:tc>
          <w:tcPr>
            <w:tcW w:w="1104" w:type="pct"/>
            <w:shd w:val="clear" w:color="auto" w:fill="auto"/>
          </w:tcPr>
          <w:p w:rsidR="007F2D50" w:rsidRPr="004F29AA" w:rsidRDefault="007F2D50" w:rsidP="007F2D50">
            <w:pPr>
              <w:keepNext/>
              <w:jc w:val="left"/>
              <w:rPr>
                <w:rFonts w:ascii="Arial Narrow" w:hAnsi="Arial Narrow"/>
                <w:sz w:val="20"/>
              </w:rPr>
            </w:pPr>
            <w:r w:rsidRPr="004F29AA">
              <w:rPr>
                <w:rFonts w:ascii="Arial Narrow" w:hAnsi="Arial Narrow"/>
                <w:sz w:val="20"/>
              </w:rPr>
              <w:t>Time horizon</w:t>
            </w:r>
          </w:p>
        </w:tc>
        <w:tc>
          <w:tcPr>
            <w:tcW w:w="3896" w:type="pct"/>
            <w:shd w:val="clear" w:color="auto" w:fill="auto"/>
          </w:tcPr>
          <w:p w:rsidR="007F2D50" w:rsidRPr="004F29AA" w:rsidRDefault="007F2D50" w:rsidP="007F2D50">
            <w:pPr>
              <w:keepNext/>
              <w:rPr>
                <w:rFonts w:ascii="Arial Narrow" w:hAnsi="Arial Narrow"/>
                <w:color w:val="3366FF"/>
                <w:sz w:val="20"/>
              </w:rPr>
            </w:pPr>
            <w:r w:rsidRPr="004F29AA">
              <w:rPr>
                <w:rFonts w:ascii="Arial Narrow" w:hAnsi="Arial Narrow"/>
                <w:sz w:val="20"/>
              </w:rPr>
              <w:t>20 years in the model versus 25 months in study MT103-211 and 60 months in study 20120310</w:t>
            </w:r>
            <w:r w:rsidR="003B13C4" w:rsidRPr="004F29AA">
              <w:rPr>
                <w:rFonts w:ascii="Arial Narrow" w:hAnsi="Arial Narrow"/>
                <w:sz w:val="20"/>
              </w:rPr>
              <w:t>.</w:t>
            </w:r>
            <w:r w:rsidR="003B13C4" w:rsidRPr="004F29AA">
              <w:rPr>
                <w:rFonts w:ascii="Arial Narrow" w:hAnsi="Arial Narrow"/>
                <w:i/>
                <w:sz w:val="20"/>
              </w:rPr>
              <w:t xml:space="preserve"> </w:t>
            </w:r>
            <w:r w:rsidR="003B13C4" w:rsidRPr="004F29AA">
              <w:rPr>
                <w:rFonts w:ascii="Arial Narrow" w:hAnsi="Arial Narrow"/>
                <w:sz w:val="20"/>
              </w:rPr>
              <w:t>The PSCR (p3) suggested the 20 year time horizon is appropriate as the median age of patients is 35 and a proportion is expected to achieve normal life expectancy.</w:t>
            </w:r>
          </w:p>
        </w:tc>
      </w:tr>
      <w:tr w:rsidR="007F2D50" w:rsidRPr="004F29AA">
        <w:tc>
          <w:tcPr>
            <w:tcW w:w="1104" w:type="pct"/>
            <w:shd w:val="clear" w:color="auto" w:fill="auto"/>
          </w:tcPr>
          <w:p w:rsidR="007F2D50" w:rsidRPr="004F29AA" w:rsidRDefault="007F2D50" w:rsidP="007F2D50">
            <w:pPr>
              <w:keepNext/>
              <w:jc w:val="left"/>
              <w:rPr>
                <w:rFonts w:ascii="Arial Narrow" w:hAnsi="Arial Narrow"/>
                <w:sz w:val="20"/>
              </w:rPr>
            </w:pPr>
            <w:r w:rsidRPr="004F29AA">
              <w:rPr>
                <w:rFonts w:ascii="Arial Narrow" w:hAnsi="Arial Narrow"/>
                <w:sz w:val="20"/>
              </w:rPr>
              <w:t>Outcomes</w:t>
            </w:r>
          </w:p>
        </w:tc>
        <w:tc>
          <w:tcPr>
            <w:tcW w:w="3896" w:type="pct"/>
            <w:shd w:val="clear" w:color="auto" w:fill="auto"/>
          </w:tcPr>
          <w:p w:rsidR="007F2D50" w:rsidRPr="004F29AA" w:rsidRDefault="007F2D50" w:rsidP="007F2D50">
            <w:pPr>
              <w:keepNext/>
              <w:rPr>
                <w:rFonts w:ascii="Arial Narrow" w:hAnsi="Arial Narrow"/>
                <w:color w:val="3366FF"/>
                <w:sz w:val="20"/>
              </w:rPr>
            </w:pPr>
            <w:r w:rsidRPr="004F29AA">
              <w:rPr>
                <w:rFonts w:ascii="Arial Narrow" w:hAnsi="Arial Narrow"/>
                <w:sz w:val="20"/>
              </w:rPr>
              <w:t>Life years gained and QALYs</w:t>
            </w:r>
          </w:p>
        </w:tc>
      </w:tr>
      <w:tr w:rsidR="007F2D50" w:rsidRPr="004F29AA">
        <w:tc>
          <w:tcPr>
            <w:tcW w:w="1104" w:type="pct"/>
            <w:shd w:val="clear" w:color="auto" w:fill="auto"/>
          </w:tcPr>
          <w:p w:rsidR="007F2D50" w:rsidRPr="004F29AA" w:rsidRDefault="007F2D50" w:rsidP="007F2D50">
            <w:pPr>
              <w:keepNext/>
              <w:jc w:val="left"/>
              <w:rPr>
                <w:rFonts w:ascii="Arial Narrow" w:hAnsi="Arial Narrow"/>
                <w:sz w:val="20"/>
              </w:rPr>
            </w:pPr>
            <w:r w:rsidRPr="004F29AA">
              <w:rPr>
                <w:rFonts w:ascii="Arial Narrow" w:hAnsi="Arial Narrow"/>
                <w:sz w:val="20"/>
              </w:rPr>
              <w:t>Methods used to generate results</w:t>
            </w:r>
          </w:p>
        </w:tc>
        <w:tc>
          <w:tcPr>
            <w:tcW w:w="3896" w:type="pct"/>
            <w:shd w:val="clear" w:color="auto" w:fill="auto"/>
          </w:tcPr>
          <w:p w:rsidR="007F2D50" w:rsidRPr="004F29AA" w:rsidRDefault="007F2D50" w:rsidP="007F2D50">
            <w:pPr>
              <w:keepNext/>
              <w:rPr>
                <w:rFonts w:ascii="Arial Narrow" w:hAnsi="Arial Narrow"/>
                <w:color w:val="3366FF"/>
                <w:sz w:val="20"/>
              </w:rPr>
            </w:pPr>
            <w:r w:rsidRPr="004F29AA">
              <w:rPr>
                <w:rFonts w:ascii="Arial Narrow" w:hAnsi="Arial Narrow"/>
                <w:sz w:val="20"/>
              </w:rPr>
              <w:t>Decision analytic model that used area under the curve methods (trapezoidal method) to estimate overall survival.</w:t>
            </w:r>
          </w:p>
        </w:tc>
      </w:tr>
      <w:tr w:rsidR="007F2D50" w:rsidRPr="004F29AA">
        <w:tc>
          <w:tcPr>
            <w:tcW w:w="1104" w:type="pct"/>
            <w:shd w:val="clear" w:color="auto" w:fill="auto"/>
          </w:tcPr>
          <w:p w:rsidR="007F2D50" w:rsidRPr="004F29AA" w:rsidRDefault="007F2D50" w:rsidP="007F2D50">
            <w:pPr>
              <w:keepNext/>
              <w:jc w:val="left"/>
              <w:rPr>
                <w:rFonts w:ascii="Arial Narrow" w:hAnsi="Arial Narrow"/>
                <w:sz w:val="20"/>
              </w:rPr>
            </w:pPr>
            <w:r w:rsidRPr="004F29AA">
              <w:rPr>
                <w:rFonts w:ascii="Arial Narrow" w:hAnsi="Arial Narrow"/>
                <w:sz w:val="20"/>
              </w:rPr>
              <w:t>Cycle length</w:t>
            </w:r>
          </w:p>
        </w:tc>
        <w:tc>
          <w:tcPr>
            <w:tcW w:w="3896" w:type="pct"/>
            <w:shd w:val="clear" w:color="auto" w:fill="auto"/>
          </w:tcPr>
          <w:p w:rsidR="007F2D50" w:rsidRPr="004F29AA" w:rsidRDefault="007F2D50" w:rsidP="003B13C4">
            <w:pPr>
              <w:keepNext/>
              <w:rPr>
                <w:rFonts w:ascii="Arial Narrow" w:hAnsi="Arial Narrow"/>
                <w:color w:val="3366FF"/>
                <w:sz w:val="20"/>
              </w:rPr>
            </w:pPr>
            <w:r w:rsidRPr="004F29AA">
              <w:rPr>
                <w:rFonts w:ascii="Arial Narrow" w:hAnsi="Arial Narrow"/>
                <w:sz w:val="20"/>
              </w:rPr>
              <w:t>Monthly for the first 5 years and then yearly until 20 years, with half-cycle correction</w:t>
            </w:r>
            <w:r w:rsidR="003B13C4" w:rsidRPr="004F29AA">
              <w:rPr>
                <w:rFonts w:ascii="Arial Narrow" w:hAnsi="Arial Narrow"/>
                <w:sz w:val="20"/>
              </w:rPr>
              <w:t xml:space="preserve">. </w:t>
            </w:r>
          </w:p>
        </w:tc>
      </w:tr>
      <w:tr w:rsidR="007F2D50" w:rsidRPr="004F29AA">
        <w:tc>
          <w:tcPr>
            <w:tcW w:w="1104" w:type="pct"/>
            <w:shd w:val="clear" w:color="auto" w:fill="auto"/>
          </w:tcPr>
          <w:p w:rsidR="007F2D50" w:rsidRPr="004F29AA" w:rsidRDefault="007F2D50" w:rsidP="007F2D50">
            <w:pPr>
              <w:keepNext/>
              <w:jc w:val="left"/>
              <w:rPr>
                <w:rFonts w:ascii="Arial Narrow" w:hAnsi="Arial Narrow"/>
                <w:sz w:val="20"/>
              </w:rPr>
            </w:pPr>
            <w:r w:rsidRPr="004F29AA">
              <w:rPr>
                <w:rFonts w:ascii="Arial Narrow" w:hAnsi="Arial Narrow"/>
                <w:sz w:val="20"/>
              </w:rPr>
              <w:t>Discount rate</w:t>
            </w:r>
          </w:p>
        </w:tc>
        <w:tc>
          <w:tcPr>
            <w:tcW w:w="3896" w:type="pct"/>
            <w:shd w:val="clear" w:color="auto" w:fill="auto"/>
          </w:tcPr>
          <w:p w:rsidR="007F2D50" w:rsidRPr="004F29AA" w:rsidRDefault="007F2D50" w:rsidP="007F2D50">
            <w:pPr>
              <w:keepNext/>
              <w:rPr>
                <w:rFonts w:ascii="Arial Narrow" w:hAnsi="Arial Narrow"/>
                <w:sz w:val="20"/>
              </w:rPr>
            </w:pPr>
            <w:r w:rsidRPr="004F29AA">
              <w:rPr>
                <w:rFonts w:ascii="Arial Narrow" w:hAnsi="Arial Narrow"/>
                <w:sz w:val="20"/>
              </w:rPr>
              <w:t>5% for benefits and costs</w:t>
            </w:r>
          </w:p>
        </w:tc>
      </w:tr>
      <w:tr w:rsidR="007F2D50" w:rsidRPr="004F29AA">
        <w:tc>
          <w:tcPr>
            <w:tcW w:w="1104" w:type="pct"/>
            <w:shd w:val="clear" w:color="auto" w:fill="auto"/>
          </w:tcPr>
          <w:p w:rsidR="007F2D50" w:rsidRPr="004F29AA" w:rsidRDefault="007F2D50" w:rsidP="007F2D50">
            <w:pPr>
              <w:keepNext/>
              <w:jc w:val="left"/>
              <w:rPr>
                <w:rFonts w:ascii="Arial Narrow" w:hAnsi="Arial Narrow"/>
                <w:sz w:val="20"/>
              </w:rPr>
            </w:pPr>
            <w:r w:rsidRPr="004F29AA">
              <w:rPr>
                <w:rFonts w:ascii="Arial Narrow" w:hAnsi="Arial Narrow"/>
                <w:sz w:val="20"/>
              </w:rPr>
              <w:t>Software package</w:t>
            </w:r>
          </w:p>
        </w:tc>
        <w:tc>
          <w:tcPr>
            <w:tcW w:w="3896" w:type="pct"/>
            <w:shd w:val="clear" w:color="auto" w:fill="auto"/>
          </w:tcPr>
          <w:p w:rsidR="007F2D50" w:rsidRPr="004F29AA" w:rsidRDefault="007F2D50" w:rsidP="007F2D50">
            <w:pPr>
              <w:keepNext/>
              <w:rPr>
                <w:rFonts w:ascii="Arial Narrow" w:hAnsi="Arial Narrow"/>
                <w:sz w:val="20"/>
              </w:rPr>
            </w:pPr>
            <w:r w:rsidRPr="004F29AA">
              <w:rPr>
                <w:rFonts w:ascii="Arial Narrow" w:hAnsi="Arial Narrow"/>
                <w:sz w:val="20"/>
              </w:rPr>
              <w:t>Excel 2010 (v14)</w:t>
            </w:r>
          </w:p>
        </w:tc>
      </w:tr>
    </w:tbl>
    <w:p w:rsidR="007F2D50" w:rsidRPr="004F29AA" w:rsidRDefault="007F2D50" w:rsidP="007F2D50">
      <w:pPr>
        <w:pStyle w:val="TableFooter"/>
        <w:ind w:firstLine="720"/>
      </w:pPr>
      <w:r w:rsidRPr="004F29AA">
        <w:t>Source:</w:t>
      </w:r>
      <w:r w:rsidR="006C7C31" w:rsidRPr="004F29AA">
        <w:rPr>
          <w:i/>
        </w:rPr>
        <w:t xml:space="preserve"> </w:t>
      </w:r>
      <w:r w:rsidR="006C7C31" w:rsidRPr="004F29AA">
        <w:t>compiled during the evaluation</w:t>
      </w:r>
    </w:p>
    <w:p w:rsidR="006778EB" w:rsidRPr="004F29AA" w:rsidRDefault="007F2D50" w:rsidP="00384F06">
      <w:pPr>
        <w:pStyle w:val="TableFooter"/>
        <w:ind w:firstLine="720"/>
      </w:pPr>
      <w:r w:rsidRPr="004F29AA">
        <w:t>QALY = quality</w:t>
      </w:r>
      <w:r w:rsidR="00F1078C" w:rsidRPr="004F29AA">
        <w:t>-</w:t>
      </w:r>
      <w:r w:rsidRPr="004F29AA">
        <w:t>adjusted life year</w:t>
      </w:r>
    </w:p>
    <w:p w:rsidR="006778EB" w:rsidRPr="004F29AA" w:rsidRDefault="006778EB" w:rsidP="00384F06">
      <w:pPr>
        <w:pStyle w:val="TableFooter"/>
        <w:ind w:firstLine="720"/>
      </w:pPr>
    </w:p>
    <w:p w:rsidR="006778EB" w:rsidRPr="004F29AA" w:rsidRDefault="00583713" w:rsidP="006778EB">
      <w:pPr>
        <w:pStyle w:val="ListParagraph"/>
        <w:widowControl/>
        <w:numPr>
          <w:ilvl w:val="1"/>
          <w:numId w:val="1"/>
        </w:numPr>
        <w:rPr>
          <w:szCs w:val="22"/>
        </w:rPr>
      </w:pPr>
      <w:r w:rsidRPr="004F29AA">
        <w:t>A number of the model inputs could not be verified (e.g. non-responder mean survival, time to death for initial responders who relapse, percentage of patients without a response, the proportion of patients who had a second cycle of standard of care chemotherapy, cost of HSCT follow-up).</w:t>
      </w:r>
      <w:r w:rsidR="003B13C4" w:rsidRPr="004F29AA">
        <w:rPr>
          <w:szCs w:val="22"/>
        </w:rPr>
        <w:t xml:space="preserve">The structure of the economic model omitted the following key factors: </w:t>
      </w:r>
    </w:p>
    <w:p w:rsidR="006778EB" w:rsidRPr="004F29AA" w:rsidRDefault="006778EB" w:rsidP="006778EB">
      <w:pPr>
        <w:pStyle w:val="ListParagraph"/>
        <w:widowControl/>
        <w:rPr>
          <w:szCs w:val="22"/>
        </w:rPr>
      </w:pPr>
    </w:p>
    <w:p w:rsidR="006778EB" w:rsidRPr="004F29AA" w:rsidRDefault="003B13C4" w:rsidP="006778EB">
      <w:pPr>
        <w:pStyle w:val="ListParagraph"/>
        <w:widowControl/>
        <w:numPr>
          <w:ilvl w:val="1"/>
          <w:numId w:val="36"/>
        </w:numPr>
        <w:ind w:left="1276" w:hanging="567"/>
        <w:rPr>
          <w:szCs w:val="22"/>
        </w:rPr>
      </w:pPr>
      <w:r w:rsidRPr="004F29AA">
        <w:rPr>
          <w:szCs w:val="22"/>
        </w:rPr>
        <w:t xml:space="preserve">it did not consider patients who received further salvage therapies after not responding to or relapsing after treatment. The PSCR states (p.2) that subsequent therapies will occur similarly in both arms and as stated in the commentary there are some overestimates as well as underestimates which would neutralise cost differences. The ESC considered that the cost differences should still be included in the model along with utility consequences. </w:t>
      </w:r>
    </w:p>
    <w:p w:rsidR="006778EB" w:rsidRPr="004F29AA" w:rsidRDefault="003B13C4" w:rsidP="006778EB">
      <w:pPr>
        <w:pStyle w:val="ListParagraph"/>
        <w:widowControl/>
        <w:numPr>
          <w:ilvl w:val="1"/>
          <w:numId w:val="36"/>
        </w:numPr>
        <w:ind w:left="1276" w:hanging="567"/>
        <w:rPr>
          <w:szCs w:val="22"/>
        </w:rPr>
      </w:pPr>
      <w:r w:rsidRPr="004F29AA">
        <w:rPr>
          <w:szCs w:val="22"/>
        </w:rPr>
        <w:t xml:space="preserve">it did not consider allogeneic haematopoietic stem cell transplant (HSCT) as a separate health state – it could be expected that patients undergoing HSCT would have a lower utility than the ‘before relapse’ utility of </w:t>
      </w:r>
      <w:r w:rsidR="001503CE">
        <w:rPr>
          <w:noProof/>
          <w:color w:val="000000"/>
          <w:szCs w:val="22"/>
          <w:highlight w:val="black"/>
        </w:rPr>
        <w:t>''''''''''</w:t>
      </w:r>
      <w:r w:rsidRPr="004F29AA">
        <w:rPr>
          <w:szCs w:val="22"/>
        </w:rPr>
        <w:t xml:space="preserve">. The PSCR (p.3) used utility values from a </w:t>
      </w:r>
      <w:r w:rsidR="001503CE">
        <w:rPr>
          <w:noProof/>
          <w:color w:val="000000"/>
          <w:szCs w:val="22"/>
          <w:highlight w:val="black"/>
        </w:rPr>
        <w:t>'''''''''''''' '''''''''''''''''''''''''' ''''' ''''''''''''''''''''''''</w:t>
      </w:r>
      <w:r w:rsidRPr="004F29AA">
        <w:rPr>
          <w:szCs w:val="22"/>
        </w:rPr>
        <w:t xml:space="preserve"> to assess the impact of any utility decrement associated with HSCT.  </w:t>
      </w:r>
    </w:p>
    <w:p w:rsidR="006778EB" w:rsidRPr="004F29AA" w:rsidRDefault="003B13C4" w:rsidP="006778EB">
      <w:pPr>
        <w:pStyle w:val="ListParagraph"/>
        <w:widowControl/>
        <w:numPr>
          <w:ilvl w:val="1"/>
          <w:numId w:val="36"/>
        </w:numPr>
        <w:ind w:left="1276" w:hanging="567"/>
        <w:rPr>
          <w:szCs w:val="22"/>
        </w:rPr>
      </w:pPr>
      <w:r w:rsidRPr="004F29AA">
        <w:rPr>
          <w:szCs w:val="22"/>
        </w:rPr>
        <w:t xml:space="preserve">the assumption that patients who responded would do so immediately (and have utility of </w:t>
      </w:r>
      <w:r w:rsidR="001503CE">
        <w:rPr>
          <w:noProof/>
          <w:color w:val="000000"/>
          <w:szCs w:val="22"/>
          <w:highlight w:val="black"/>
        </w:rPr>
        <w:t>'''''''''''</w:t>
      </w:r>
      <w:r w:rsidRPr="004F29AA">
        <w:rPr>
          <w:szCs w:val="22"/>
        </w:rPr>
        <w:t>).</w:t>
      </w:r>
    </w:p>
    <w:p w:rsidR="006778EB" w:rsidRPr="004F29AA" w:rsidRDefault="003B13C4" w:rsidP="006778EB">
      <w:pPr>
        <w:pStyle w:val="ListParagraph"/>
        <w:widowControl/>
        <w:numPr>
          <w:ilvl w:val="1"/>
          <w:numId w:val="36"/>
        </w:numPr>
        <w:ind w:left="1276" w:hanging="567"/>
        <w:rPr>
          <w:szCs w:val="22"/>
        </w:rPr>
      </w:pPr>
      <w:r w:rsidRPr="004F29AA">
        <w:rPr>
          <w:szCs w:val="22"/>
        </w:rPr>
        <w:t>disutilities and costs for AEs are selectively included.</w:t>
      </w:r>
    </w:p>
    <w:p w:rsidR="006778EB" w:rsidRPr="004F29AA" w:rsidRDefault="006778EB" w:rsidP="006778EB">
      <w:pPr>
        <w:pStyle w:val="ListParagraph"/>
        <w:widowControl/>
        <w:ind w:left="1276"/>
        <w:rPr>
          <w:szCs w:val="22"/>
        </w:rPr>
      </w:pPr>
    </w:p>
    <w:p w:rsidR="007F2D50" w:rsidRPr="004F29AA" w:rsidRDefault="008A59F3" w:rsidP="006778EB">
      <w:pPr>
        <w:pStyle w:val="ListParagraph"/>
        <w:widowControl/>
        <w:numPr>
          <w:ilvl w:val="1"/>
          <w:numId w:val="1"/>
        </w:numPr>
        <w:rPr>
          <w:szCs w:val="22"/>
        </w:rPr>
      </w:pPr>
      <w:r w:rsidRPr="004F29AA">
        <w:t>Table 7</w:t>
      </w:r>
      <w:r w:rsidR="007F2D50" w:rsidRPr="004F29AA">
        <w:t xml:space="preserve"> presents the key drivers of the economic model. </w:t>
      </w:r>
    </w:p>
    <w:p w:rsidR="007F2D50" w:rsidRPr="004F29AA" w:rsidRDefault="007F2D50" w:rsidP="00F1078C">
      <w:pPr>
        <w:pStyle w:val="ListParagraph"/>
        <w:keepNext/>
        <w:widowControl/>
        <w:rPr>
          <w:szCs w:val="22"/>
        </w:rPr>
      </w:pPr>
    </w:p>
    <w:p w:rsidR="007F2D50" w:rsidRPr="004F29AA" w:rsidRDefault="007F2D50" w:rsidP="00F1078C">
      <w:pPr>
        <w:keepNext/>
        <w:ind w:firstLine="720"/>
        <w:rPr>
          <w:rStyle w:val="CommentReference"/>
        </w:rPr>
      </w:pPr>
      <w:r w:rsidRPr="004F29AA">
        <w:rPr>
          <w:rStyle w:val="CommentReference"/>
        </w:rPr>
        <w:t xml:space="preserve">Table </w:t>
      </w:r>
      <w:r w:rsidR="008A59F3" w:rsidRPr="004F29AA">
        <w:rPr>
          <w:rStyle w:val="CommentReference"/>
        </w:rPr>
        <w:t>7</w:t>
      </w:r>
      <w:r w:rsidRPr="004F29A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1418"/>
        <w:gridCol w:w="4677"/>
        <w:gridCol w:w="2250"/>
      </w:tblGrid>
      <w:tr w:rsidR="002C3284" w:rsidRPr="004F29AA" w:rsidTr="002C3284">
        <w:trPr>
          <w:tblHeader/>
        </w:trPr>
        <w:tc>
          <w:tcPr>
            <w:tcW w:w="850" w:type="pct"/>
            <w:shd w:val="clear" w:color="auto" w:fill="auto"/>
            <w:vAlign w:val="center"/>
          </w:tcPr>
          <w:p w:rsidR="007F2D50" w:rsidRPr="004F29AA" w:rsidRDefault="007F2D50" w:rsidP="00F1078C">
            <w:pPr>
              <w:keepNext/>
              <w:jc w:val="left"/>
              <w:rPr>
                <w:rFonts w:ascii="Arial Narrow" w:hAnsi="Arial Narrow"/>
                <w:b/>
                <w:sz w:val="20"/>
              </w:rPr>
            </w:pPr>
            <w:r w:rsidRPr="004F29AA">
              <w:rPr>
                <w:rFonts w:ascii="Arial Narrow" w:hAnsi="Arial Narrow"/>
                <w:b/>
                <w:sz w:val="20"/>
              </w:rPr>
              <w:t>Description</w:t>
            </w:r>
          </w:p>
        </w:tc>
        <w:tc>
          <w:tcPr>
            <w:tcW w:w="2802" w:type="pct"/>
            <w:shd w:val="clear" w:color="auto" w:fill="auto"/>
            <w:vAlign w:val="center"/>
          </w:tcPr>
          <w:p w:rsidR="007F2D50" w:rsidRPr="004F29AA" w:rsidRDefault="007F2D50" w:rsidP="00EC33AA">
            <w:pPr>
              <w:keepNext/>
              <w:jc w:val="left"/>
              <w:rPr>
                <w:rFonts w:ascii="Arial Narrow" w:hAnsi="Arial Narrow"/>
                <w:b/>
                <w:sz w:val="20"/>
              </w:rPr>
            </w:pPr>
            <w:r w:rsidRPr="004F29AA">
              <w:rPr>
                <w:rFonts w:ascii="Arial Narrow" w:hAnsi="Arial Narrow"/>
                <w:b/>
                <w:sz w:val="20"/>
              </w:rPr>
              <w:t>Method/Value</w:t>
            </w:r>
          </w:p>
        </w:tc>
        <w:tc>
          <w:tcPr>
            <w:tcW w:w="1348" w:type="pct"/>
            <w:shd w:val="clear" w:color="auto" w:fill="auto"/>
            <w:vAlign w:val="center"/>
          </w:tcPr>
          <w:p w:rsidR="007F2D50" w:rsidRPr="004F29AA" w:rsidRDefault="007F2D50" w:rsidP="00EC33AA">
            <w:pPr>
              <w:keepNext/>
              <w:jc w:val="left"/>
              <w:rPr>
                <w:rFonts w:ascii="Arial Narrow" w:hAnsi="Arial Narrow"/>
                <w:b/>
                <w:sz w:val="20"/>
              </w:rPr>
            </w:pPr>
            <w:r w:rsidRPr="004F29AA">
              <w:rPr>
                <w:rFonts w:ascii="Arial Narrow" w:hAnsi="Arial Narrow"/>
                <w:b/>
                <w:sz w:val="20"/>
              </w:rPr>
              <w:t>Impact</w:t>
            </w:r>
          </w:p>
        </w:tc>
      </w:tr>
      <w:tr w:rsidR="002C3284" w:rsidRPr="004F29AA" w:rsidTr="002C3284">
        <w:tc>
          <w:tcPr>
            <w:tcW w:w="850" w:type="pct"/>
            <w:shd w:val="clear" w:color="auto" w:fill="auto"/>
          </w:tcPr>
          <w:p w:rsidR="007F2D50" w:rsidRPr="004F29AA" w:rsidRDefault="007F2D50" w:rsidP="004D7FAC">
            <w:pPr>
              <w:keepNext/>
              <w:jc w:val="left"/>
              <w:rPr>
                <w:rFonts w:ascii="Arial Narrow" w:hAnsi="Arial Narrow"/>
                <w:sz w:val="20"/>
              </w:rPr>
            </w:pPr>
            <w:r w:rsidRPr="004F29AA">
              <w:rPr>
                <w:rFonts w:ascii="Arial Narrow" w:hAnsi="Arial Narrow"/>
                <w:sz w:val="20"/>
              </w:rPr>
              <w:t>Time horizon</w:t>
            </w:r>
          </w:p>
        </w:tc>
        <w:tc>
          <w:tcPr>
            <w:tcW w:w="2802" w:type="pct"/>
            <w:shd w:val="clear" w:color="auto" w:fill="auto"/>
            <w:vAlign w:val="center"/>
          </w:tcPr>
          <w:p w:rsidR="007F2D50" w:rsidRPr="004F29AA" w:rsidRDefault="007F2D50" w:rsidP="00EC33AA">
            <w:pPr>
              <w:keepNext/>
              <w:jc w:val="left"/>
              <w:rPr>
                <w:rFonts w:ascii="Arial Narrow" w:hAnsi="Arial Narrow"/>
                <w:sz w:val="20"/>
              </w:rPr>
            </w:pPr>
            <w:r w:rsidRPr="004F29AA">
              <w:rPr>
                <w:rFonts w:ascii="Arial Narrow" w:hAnsi="Arial Narrow"/>
                <w:sz w:val="20"/>
              </w:rPr>
              <w:t>20 years; assumed from 2 year and 5 year study durations</w:t>
            </w:r>
          </w:p>
        </w:tc>
        <w:tc>
          <w:tcPr>
            <w:tcW w:w="1348" w:type="pct"/>
            <w:shd w:val="clear" w:color="auto" w:fill="auto"/>
          </w:tcPr>
          <w:p w:rsidR="007F2D50" w:rsidRPr="004F29AA" w:rsidRDefault="007F2D50" w:rsidP="0029459B">
            <w:pPr>
              <w:keepNext/>
              <w:jc w:val="left"/>
              <w:rPr>
                <w:rFonts w:ascii="Arial Narrow" w:hAnsi="Arial Narrow"/>
                <w:sz w:val="20"/>
              </w:rPr>
            </w:pPr>
            <w:r w:rsidRPr="004F29AA">
              <w:rPr>
                <w:rFonts w:ascii="Arial Narrow" w:hAnsi="Arial Narrow"/>
                <w:sz w:val="20"/>
              </w:rPr>
              <w:t>High</w:t>
            </w:r>
            <w:r w:rsidR="0029459B" w:rsidRPr="004F29AA">
              <w:rPr>
                <w:rFonts w:ascii="Arial Narrow" w:hAnsi="Arial Narrow"/>
                <w:sz w:val="20"/>
              </w:rPr>
              <w:t>;</w:t>
            </w:r>
            <w:r w:rsidRPr="004F29AA">
              <w:rPr>
                <w:rFonts w:ascii="Arial Narrow" w:hAnsi="Arial Narrow"/>
                <w:sz w:val="20"/>
              </w:rPr>
              <w:t xml:space="preserve"> favours blinatumomab</w:t>
            </w:r>
          </w:p>
        </w:tc>
      </w:tr>
      <w:tr w:rsidR="002C3284" w:rsidRPr="004F29AA" w:rsidTr="002C3284">
        <w:tc>
          <w:tcPr>
            <w:tcW w:w="850" w:type="pct"/>
            <w:shd w:val="clear" w:color="auto" w:fill="auto"/>
          </w:tcPr>
          <w:p w:rsidR="007F2D50" w:rsidRPr="004F29AA" w:rsidRDefault="007F2D50" w:rsidP="00BD2062">
            <w:pPr>
              <w:keepNext/>
              <w:jc w:val="left"/>
              <w:rPr>
                <w:rFonts w:ascii="Arial Narrow" w:hAnsi="Arial Narrow"/>
                <w:sz w:val="20"/>
              </w:rPr>
            </w:pPr>
            <w:r w:rsidRPr="004F29AA">
              <w:rPr>
                <w:rFonts w:ascii="Arial Narrow" w:hAnsi="Arial Narrow"/>
                <w:sz w:val="20"/>
              </w:rPr>
              <w:t xml:space="preserve">Utility </w:t>
            </w:r>
            <w:r w:rsidR="00BD2062" w:rsidRPr="004F29AA">
              <w:rPr>
                <w:rFonts w:ascii="Arial Narrow" w:hAnsi="Arial Narrow"/>
                <w:sz w:val="20"/>
              </w:rPr>
              <w:t>values</w:t>
            </w:r>
          </w:p>
        </w:tc>
        <w:tc>
          <w:tcPr>
            <w:tcW w:w="2802" w:type="pct"/>
            <w:shd w:val="clear" w:color="auto" w:fill="auto"/>
            <w:vAlign w:val="center"/>
          </w:tcPr>
          <w:p w:rsidR="007F2D50" w:rsidRPr="004F29AA" w:rsidRDefault="007F2D50" w:rsidP="00BD2062">
            <w:pPr>
              <w:keepNext/>
              <w:jc w:val="left"/>
              <w:rPr>
                <w:rFonts w:ascii="Arial Narrow" w:hAnsi="Arial Narrow"/>
                <w:sz w:val="20"/>
              </w:rPr>
            </w:pPr>
            <w:r w:rsidRPr="004F29AA">
              <w:rPr>
                <w:rFonts w:ascii="Arial Narrow" w:hAnsi="Arial Narrow"/>
                <w:sz w:val="20"/>
              </w:rPr>
              <w:t>TTO study</w:t>
            </w:r>
            <w:r w:rsidR="00BD2062" w:rsidRPr="004F29AA">
              <w:rPr>
                <w:rFonts w:ascii="Arial Narrow" w:hAnsi="Arial Narrow"/>
                <w:sz w:val="20"/>
              </w:rPr>
              <w:t xml:space="preserve"> did not provide health state vignettes; therefore it was not possible to confirm whether the health states were appropriately described. </w:t>
            </w:r>
            <w:r w:rsidR="003B13C4" w:rsidRPr="004F29AA">
              <w:rPr>
                <w:rFonts w:ascii="Arial Narrow" w:hAnsi="Arial Narrow"/>
                <w:sz w:val="20"/>
              </w:rPr>
              <w:t xml:space="preserve">The vignettes provided in the PSCR (p.5, Table 2) may not adequately capture the experience. For instance, it may have been more appropriate to have everyone start as relapsed or refractory with the opportunity to improve from that health state rather than collapsing into ‘before relapse’ (C &amp; D) and ‘after relapse’ (A, E &amp; B). </w:t>
            </w:r>
            <w:r w:rsidR="00BD2062" w:rsidRPr="004F29AA">
              <w:rPr>
                <w:rFonts w:ascii="Arial Narrow" w:hAnsi="Arial Narrow"/>
                <w:sz w:val="20"/>
              </w:rPr>
              <w:t>Also, the model did not</w:t>
            </w:r>
            <w:r w:rsidRPr="004F29AA">
              <w:rPr>
                <w:rFonts w:ascii="Arial Narrow" w:hAnsi="Arial Narrow"/>
                <w:sz w:val="20"/>
              </w:rPr>
              <w:t xml:space="preserve"> consider </w:t>
            </w:r>
            <w:r w:rsidR="00BD2062" w:rsidRPr="004F29AA">
              <w:rPr>
                <w:rFonts w:ascii="Arial Narrow" w:hAnsi="Arial Narrow"/>
                <w:sz w:val="20"/>
              </w:rPr>
              <w:t xml:space="preserve">the utility of </w:t>
            </w:r>
            <w:r w:rsidRPr="004F29AA">
              <w:rPr>
                <w:rFonts w:ascii="Arial Narrow" w:hAnsi="Arial Narrow"/>
                <w:sz w:val="20"/>
              </w:rPr>
              <w:t xml:space="preserve">patients undergoing </w:t>
            </w:r>
            <w:r w:rsidR="004D7FAC" w:rsidRPr="004F29AA">
              <w:rPr>
                <w:rFonts w:ascii="Arial Narrow" w:hAnsi="Arial Narrow"/>
                <w:sz w:val="20"/>
              </w:rPr>
              <w:t xml:space="preserve">allogeneic </w:t>
            </w:r>
            <w:r w:rsidRPr="004F29AA">
              <w:rPr>
                <w:rFonts w:ascii="Arial Narrow" w:hAnsi="Arial Narrow"/>
                <w:sz w:val="20"/>
              </w:rPr>
              <w:t>HSCT</w:t>
            </w:r>
            <w:r w:rsidR="00BD2062" w:rsidRPr="004F29AA">
              <w:rPr>
                <w:rFonts w:ascii="Arial Narrow" w:hAnsi="Arial Narrow"/>
                <w:sz w:val="20"/>
              </w:rPr>
              <w:t>.</w:t>
            </w:r>
          </w:p>
        </w:tc>
        <w:tc>
          <w:tcPr>
            <w:tcW w:w="1348" w:type="pct"/>
            <w:shd w:val="clear" w:color="auto" w:fill="auto"/>
          </w:tcPr>
          <w:p w:rsidR="007F2D50" w:rsidRPr="004F29AA" w:rsidRDefault="0029459B" w:rsidP="00BD2062">
            <w:pPr>
              <w:keepNext/>
              <w:jc w:val="left"/>
              <w:rPr>
                <w:rFonts w:ascii="Arial Narrow" w:hAnsi="Arial Narrow"/>
                <w:sz w:val="20"/>
              </w:rPr>
            </w:pPr>
            <w:r w:rsidRPr="004F29AA">
              <w:rPr>
                <w:rFonts w:ascii="Arial Narrow" w:hAnsi="Arial Narrow"/>
                <w:sz w:val="20"/>
              </w:rPr>
              <w:t>Unclear;</w:t>
            </w:r>
            <w:r w:rsidR="007F2D50" w:rsidRPr="004F29AA">
              <w:rPr>
                <w:rFonts w:ascii="Arial Narrow" w:hAnsi="Arial Narrow"/>
                <w:sz w:val="20"/>
              </w:rPr>
              <w:t xml:space="preserve"> </w:t>
            </w:r>
            <w:r w:rsidR="00BD2062" w:rsidRPr="004F29AA">
              <w:rPr>
                <w:rFonts w:ascii="Arial Narrow" w:hAnsi="Arial Narrow"/>
                <w:sz w:val="20"/>
              </w:rPr>
              <w:t xml:space="preserve">likely to </w:t>
            </w:r>
            <w:r w:rsidR="007F2D50" w:rsidRPr="004F29AA">
              <w:rPr>
                <w:rFonts w:ascii="Arial Narrow" w:hAnsi="Arial Narrow"/>
                <w:sz w:val="20"/>
              </w:rPr>
              <w:t>favour blinatumomab</w:t>
            </w:r>
          </w:p>
        </w:tc>
      </w:tr>
      <w:tr w:rsidR="002C3284" w:rsidRPr="004F29AA" w:rsidTr="002C3284">
        <w:tc>
          <w:tcPr>
            <w:tcW w:w="850" w:type="pct"/>
            <w:shd w:val="clear" w:color="auto" w:fill="auto"/>
          </w:tcPr>
          <w:p w:rsidR="007F2D50" w:rsidRPr="004F29AA" w:rsidRDefault="007F2D50" w:rsidP="004D7FAC">
            <w:pPr>
              <w:keepNext/>
              <w:jc w:val="left"/>
              <w:rPr>
                <w:rFonts w:ascii="Arial Narrow" w:hAnsi="Arial Narrow"/>
                <w:sz w:val="20"/>
              </w:rPr>
            </w:pPr>
            <w:r w:rsidRPr="004F29AA">
              <w:rPr>
                <w:rFonts w:ascii="Arial Narrow" w:hAnsi="Arial Narrow"/>
                <w:sz w:val="20"/>
              </w:rPr>
              <w:t>Inpatient costs</w:t>
            </w:r>
          </w:p>
        </w:tc>
        <w:tc>
          <w:tcPr>
            <w:tcW w:w="2802" w:type="pct"/>
            <w:shd w:val="clear" w:color="auto" w:fill="auto"/>
            <w:vAlign w:val="center"/>
          </w:tcPr>
          <w:p w:rsidR="007F2D50" w:rsidRPr="004F29AA" w:rsidRDefault="007F2D50" w:rsidP="009D7C35">
            <w:pPr>
              <w:keepNext/>
              <w:jc w:val="left"/>
              <w:rPr>
                <w:rFonts w:ascii="Arial Narrow" w:hAnsi="Arial Narrow"/>
                <w:sz w:val="20"/>
              </w:rPr>
            </w:pPr>
            <w:r w:rsidRPr="004F29AA">
              <w:rPr>
                <w:rFonts w:ascii="Arial Narrow" w:hAnsi="Arial Narrow"/>
                <w:sz w:val="20"/>
              </w:rPr>
              <w:t>Blinatumomab = $</w:t>
            </w:r>
            <w:r w:rsidR="001503CE">
              <w:rPr>
                <w:rFonts w:ascii="Arial Narrow" w:hAnsi="Arial Narrow"/>
                <w:noProof/>
                <w:color w:val="000000"/>
                <w:sz w:val="20"/>
                <w:highlight w:val="black"/>
              </w:rPr>
              <w:t>'''''''''''''''</w:t>
            </w:r>
            <w:r w:rsidR="009D7C35" w:rsidRPr="004F29AA">
              <w:rPr>
                <w:rFonts w:ascii="Arial Narrow" w:hAnsi="Arial Narrow"/>
                <w:sz w:val="20"/>
              </w:rPr>
              <w:t xml:space="preserve"> (</w:t>
            </w:r>
            <w:r w:rsidR="006D16BF" w:rsidRPr="004F29AA">
              <w:rPr>
                <w:rFonts w:ascii="Arial Narrow" w:hAnsi="Arial Narrow"/>
                <w:sz w:val="20"/>
              </w:rPr>
              <w:t>did not include prophylactic and treatment costs associated with neurologic events and cytokine release syndrome, therefore likely to be</w:t>
            </w:r>
            <w:r w:rsidR="009D7C35" w:rsidRPr="004F29AA">
              <w:rPr>
                <w:rFonts w:ascii="Arial Narrow" w:hAnsi="Arial Narrow"/>
                <w:sz w:val="20"/>
              </w:rPr>
              <w:t xml:space="preserve"> an</w:t>
            </w:r>
            <w:r w:rsidR="006D16BF" w:rsidRPr="004F29AA">
              <w:rPr>
                <w:rFonts w:ascii="Arial Narrow" w:hAnsi="Arial Narrow"/>
                <w:sz w:val="20"/>
              </w:rPr>
              <w:t xml:space="preserve"> underestimate</w:t>
            </w:r>
            <w:r w:rsidR="009D7C35" w:rsidRPr="004F29AA">
              <w:rPr>
                <w:rFonts w:ascii="Arial Narrow" w:hAnsi="Arial Narrow"/>
                <w:sz w:val="20"/>
              </w:rPr>
              <w:t>)</w:t>
            </w:r>
            <w:r w:rsidRPr="004F29AA">
              <w:rPr>
                <w:rFonts w:ascii="Arial Narrow" w:hAnsi="Arial Narrow"/>
                <w:sz w:val="20"/>
              </w:rPr>
              <w:t>; SOC = $</w:t>
            </w:r>
            <w:r w:rsidR="001503CE">
              <w:rPr>
                <w:rFonts w:ascii="Arial Narrow" w:hAnsi="Arial Narrow"/>
                <w:noProof/>
                <w:color w:val="000000"/>
                <w:sz w:val="20"/>
                <w:highlight w:val="black"/>
              </w:rPr>
              <w:t>''''''''''''''''</w:t>
            </w:r>
          </w:p>
        </w:tc>
        <w:tc>
          <w:tcPr>
            <w:tcW w:w="1348" w:type="pct"/>
            <w:shd w:val="clear" w:color="auto" w:fill="auto"/>
          </w:tcPr>
          <w:p w:rsidR="007F2D50" w:rsidRPr="004F29AA" w:rsidRDefault="006D16BF" w:rsidP="0029459B">
            <w:pPr>
              <w:keepNext/>
              <w:jc w:val="left"/>
              <w:rPr>
                <w:rFonts w:ascii="Arial Narrow" w:hAnsi="Arial Narrow"/>
                <w:sz w:val="20"/>
              </w:rPr>
            </w:pPr>
            <w:r w:rsidRPr="004F29AA">
              <w:rPr>
                <w:rFonts w:ascii="Arial Narrow" w:hAnsi="Arial Narrow"/>
                <w:sz w:val="20"/>
              </w:rPr>
              <w:t>High</w:t>
            </w:r>
            <w:r w:rsidR="0029459B" w:rsidRPr="004F29AA">
              <w:rPr>
                <w:rFonts w:ascii="Arial Narrow" w:hAnsi="Arial Narrow"/>
                <w:sz w:val="20"/>
              </w:rPr>
              <w:t>;</w:t>
            </w:r>
            <w:r w:rsidR="007F2D50" w:rsidRPr="004F29AA">
              <w:rPr>
                <w:rFonts w:ascii="Arial Narrow" w:hAnsi="Arial Narrow"/>
                <w:sz w:val="20"/>
              </w:rPr>
              <w:t xml:space="preserve"> favours b</w:t>
            </w:r>
            <w:r w:rsidR="00CB389D" w:rsidRPr="004F29AA">
              <w:rPr>
                <w:rFonts w:ascii="Arial Narrow" w:hAnsi="Arial Narrow"/>
                <w:sz w:val="20"/>
              </w:rPr>
              <w:t>l</w:t>
            </w:r>
            <w:r w:rsidR="007F2D50" w:rsidRPr="004F29AA">
              <w:rPr>
                <w:rFonts w:ascii="Arial Narrow" w:hAnsi="Arial Narrow"/>
                <w:sz w:val="20"/>
              </w:rPr>
              <w:t>inatumomab</w:t>
            </w:r>
          </w:p>
        </w:tc>
      </w:tr>
    </w:tbl>
    <w:p w:rsidR="007F2D50" w:rsidRPr="004F29AA" w:rsidRDefault="007F2D50" w:rsidP="007F2D50">
      <w:pPr>
        <w:pStyle w:val="TableFooter"/>
        <w:ind w:firstLine="720"/>
      </w:pPr>
      <w:r w:rsidRPr="004F29AA">
        <w:t xml:space="preserve">Source: </w:t>
      </w:r>
      <w:r w:rsidR="006C7C31" w:rsidRPr="004F29AA">
        <w:t>compiled during the evaluation</w:t>
      </w:r>
    </w:p>
    <w:p w:rsidR="007F2D50" w:rsidRPr="004F29AA" w:rsidRDefault="00CB389D" w:rsidP="007F2D50">
      <w:pPr>
        <w:pStyle w:val="TableFooter"/>
        <w:ind w:firstLine="720"/>
      </w:pPr>
      <w:r w:rsidRPr="004F29AA">
        <w:t xml:space="preserve">HSCT = haematopoietic stem cell transplant; </w:t>
      </w:r>
      <w:r w:rsidR="007F2D50" w:rsidRPr="004F29AA">
        <w:t xml:space="preserve">SOC = standard of care; </w:t>
      </w:r>
      <w:r w:rsidRPr="004F29AA">
        <w:t>TTO = time</w:t>
      </w:r>
      <w:r w:rsidR="00F1078C" w:rsidRPr="004F29AA">
        <w:t xml:space="preserve"> </w:t>
      </w:r>
      <w:r w:rsidRPr="004F29AA">
        <w:t>trade</w:t>
      </w:r>
      <w:r w:rsidR="00F1078C" w:rsidRPr="004F29AA">
        <w:t>-</w:t>
      </w:r>
      <w:r w:rsidRPr="004F29AA">
        <w:t>off</w:t>
      </w:r>
    </w:p>
    <w:p w:rsidR="007F2D50" w:rsidRPr="004F29AA" w:rsidRDefault="007F2D50" w:rsidP="007F2D50">
      <w:pPr>
        <w:widowControl/>
        <w:rPr>
          <w:szCs w:val="22"/>
        </w:rPr>
      </w:pPr>
    </w:p>
    <w:p w:rsidR="00F47F7B" w:rsidRPr="004F29AA" w:rsidRDefault="00F47F7B" w:rsidP="000442E2">
      <w:pPr>
        <w:pStyle w:val="ListParagraph"/>
        <w:widowControl/>
        <w:numPr>
          <w:ilvl w:val="1"/>
          <w:numId w:val="1"/>
        </w:numPr>
        <w:rPr>
          <w:szCs w:val="22"/>
        </w:rPr>
      </w:pPr>
      <w:r w:rsidRPr="004F29AA">
        <w:rPr>
          <w:szCs w:val="22"/>
        </w:rPr>
        <w:t xml:space="preserve">Based on the number of patients commencing each cycle of blinatumomab in study MT103-211, the submission estimated that 52% of patients would receive </w:t>
      </w:r>
      <w:r w:rsidR="00EC33AA" w:rsidRPr="004F29AA">
        <w:rPr>
          <w:szCs w:val="22"/>
        </w:rPr>
        <w:t>C</w:t>
      </w:r>
      <w:r w:rsidRPr="004F29AA">
        <w:rPr>
          <w:szCs w:val="22"/>
        </w:rPr>
        <w:t xml:space="preserve">ycle </w:t>
      </w:r>
      <w:r w:rsidR="00CB3186" w:rsidRPr="004F29AA">
        <w:rPr>
          <w:szCs w:val="22"/>
        </w:rPr>
        <w:t>2</w:t>
      </w:r>
      <w:r w:rsidRPr="004F29AA">
        <w:rPr>
          <w:szCs w:val="22"/>
        </w:rPr>
        <w:t xml:space="preserve"> of blinatumomab and 41% of patients would receive additional cycles </w:t>
      </w:r>
      <w:r w:rsidRPr="004F29AA">
        <w:t xml:space="preserve">(41% = 22.8% of patients commence </w:t>
      </w:r>
      <w:r w:rsidR="00EC33AA" w:rsidRPr="004F29AA">
        <w:t>C</w:t>
      </w:r>
      <w:r w:rsidRPr="004F29AA">
        <w:t xml:space="preserve">ycle </w:t>
      </w:r>
      <w:r w:rsidR="00CB3186" w:rsidRPr="004F29AA">
        <w:t>3</w:t>
      </w:r>
      <w:r w:rsidR="004B70E4" w:rsidRPr="004F29AA">
        <w:t xml:space="preserve"> </w:t>
      </w:r>
      <w:r w:rsidRPr="004F29AA">
        <w:t xml:space="preserve">+ 11.6% commence </w:t>
      </w:r>
      <w:r w:rsidR="00EC33AA" w:rsidRPr="004F29AA">
        <w:t>C</w:t>
      </w:r>
      <w:r w:rsidRPr="004F29AA">
        <w:t xml:space="preserve">ycle </w:t>
      </w:r>
      <w:r w:rsidR="00CB3186" w:rsidRPr="004F29AA">
        <w:t>4</w:t>
      </w:r>
      <w:r w:rsidR="004B70E4" w:rsidRPr="004F29AA">
        <w:t xml:space="preserve"> </w:t>
      </w:r>
      <w:r w:rsidRPr="004F29AA">
        <w:t xml:space="preserve">+ 6.9% commence </w:t>
      </w:r>
      <w:r w:rsidR="00EC33AA" w:rsidRPr="004F29AA">
        <w:t>C</w:t>
      </w:r>
      <w:r w:rsidRPr="004F29AA">
        <w:t xml:space="preserve">ycle </w:t>
      </w:r>
      <w:r w:rsidR="00CB3186" w:rsidRPr="004F29AA">
        <w:t>5</w:t>
      </w:r>
      <w:r w:rsidRPr="004F29AA">
        <w:t>).</w:t>
      </w:r>
    </w:p>
    <w:p w:rsidR="003B13C4" w:rsidRPr="004F29AA" w:rsidRDefault="003B13C4" w:rsidP="003B13C4">
      <w:pPr>
        <w:pStyle w:val="ListParagraph"/>
        <w:widowControl/>
        <w:rPr>
          <w:szCs w:val="22"/>
        </w:rPr>
      </w:pPr>
    </w:p>
    <w:p w:rsidR="003B13C4" w:rsidRPr="004F29AA" w:rsidRDefault="00E322B7" w:rsidP="000442E2">
      <w:pPr>
        <w:pStyle w:val="ListParagraph"/>
        <w:numPr>
          <w:ilvl w:val="1"/>
          <w:numId w:val="1"/>
        </w:numPr>
        <w:rPr>
          <w:szCs w:val="22"/>
        </w:rPr>
      </w:pPr>
      <w:r w:rsidRPr="004F29AA">
        <w:rPr>
          <w:szCs w:val="22"/>
        </w:rPr>
        <w:t xml:space="preserve">The ESC considered the cost of blinatumomab administration was underestimated as the submission did not consider that patients would be hospitalised due to risk of very serious adverse events. The comments in the PSCR (p3) describing the difference between hospital costs for very high risk patients only increasing the ICER by </w:t>
      </w:r>
      <w:r w:rsidR="001503CE">
        <w:rPr>
          <w:noProof/>
          <w:color w:val="000000"/>
          <w:szCs w:val="22"/>
          <w:highlight w:val="black"/>
        </w:rPr>
        <w:t>'''</w:t>
      </w:r>
      <w:r w:rsidRPr="004F29AA">
        <w:rPr>
          <w:szCs w:val="22"/>
        </w:rPr>
        <w:t>% were considered unhelpful in the context of an unreliable base case. This may also still underestimate the true cost, as expensive medications might be required for these adverse events. For instance, treatment of cytokine release syndrome often requires more than blinatumomab discontinuation or corticosteroids. It has been reported in the literature (Maude 2014)</w:t>
      </w:r>
      <w:r w:rsidRPr="004F29AA">
        <w:rPr>
          <w:rStyle w:val="FootnoteReference"/>
          <w:szCs w:val="22"/>
        </w:rPr>
        <w:footnoteReference w:id="2"/>
      </w:r>
      <w:r w:rsidRPr="004F29AA">
        <w:rPr>
          <w:szCs w:val="22"/>
        </w:rPr>
        <w:t xml:space="preserve"> that the interleukin-6 inhibitor tocilizumab might be successful in treatment of this condition. Tocilizumab is not TGA registered or PBS listed for this indication.</w:t>
      </w:r>
    </w:p>
    <w:p w:rsidR="00F47F7B" w:rsidRPr="004F29AA" w:rsidRDefault="00F47F7B" w:rsidP="00F47F7B">
      <w:pPr>
        <w:pStyle w:val="ListParagraph"/>
        <w:widowControl/>
        <w:rPr>
          <w:szCs w:val="22"/>
        </w:rPr>
      </w:pPr>
    </w:p>
    <w:p w:rsidR="004D7FAC" w:rsidRPr="004F29AA" w:rsidRDefault="007F2D50" w:rsidP="000442E2">
      <w:pPr>
        <w:pStyle w:val="ListParagraph"/>
        <w:widowControl/>
        <w:numPr>
          <w:ilvl w:val="1"/>
          <w:numId w:val="1"/>
        </w:numPr>
        <w:rPr>
          <w:szCs w:val="22"/>
        </w:rPr>
      </w:pPr>
      <w:r w:rsidRPr="004F29AA">
        <w:t xml:space="preserve">The results of the stepped economic evaluation are presented in the table below. </w:t>
      </w:r>
    </w:p>
    <w:p w:rsidR="004D7FAC" w:rsidRPr="00964A10" w:rsidRDefault="004D7FAC" w:rsidP="00964A10"/>
    <w:p w:rsidR="004D7FAC" w:rsidRPr="004F29AA" w:rsidRDefault="004D7FAC" w:rsidP="00DB6090">
      <w:pPr>
        <w:keepNext/>
        <w:ind w:firstLine="720"/>
        <w:jc w:val="left"/>
        <w:rPr>
          <w:rStyle w:val="CommentReference"/>
        </w:rPr>
      </w:pPr>
      <w:r w:rsidRPr="004F29AA">
        <w:rPr>
          <w:rStyle w:val="CommentReference"/>
        </w:rPr>
        <w:lastRenderedPageBreak/>
        <w:t>Table 8: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Pr>
      <w:tblGrid>
        <w:gridCol w:w="2836"/>
        <w:gridCol w:w="1844"/>
        <w:gridCol w:w="1984"/>
        <w:gridCol w:w="1681"/>
      </w:tblGrid>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b/>
                <w:sz w:val="20"/>
              </w:rPr>
            </w:pPr>
            <w:r w:rsidRPr="004F29AA">
              <w:rPr>
                <w:rFonts w:ascii="Arial Narrow" w:hAnsi="Arial Narrow" w:cs="Times New Roman"/>
                <w:b/>
                <w:sz w:val="20"/>
              </w:rPr>
              <w:t>Step and component</w:t>
            </w:r>
          </w:p>
        </w:tc>
        <w:tc>
          <w:tcPr>
            <w:tcW w:w="1105" w:type="pct"/>
          </w:tcPr>
          <w:p w:rsidR="004D7FAC" w:rsidRPr="004F29AA" w:rsidRDefault="004D7FAC" w:rsidP="00B53C60">
            <w:pPr>
              <w:keepNext/>
              <w:jc w:val="center"/>
              <w:rPr>
                <w:rFonts w:ascii="Arial Narrow" w:hAnsi="Arial Narrow" w:cs="Times New Roman"/>
                <w:b/>
                <w:sz w:val="20"/>
              </w:rPr>
            </w:pPr>
            <w:r w:rsidRPr="004F29AA">
              <w:rPr>
                <w:rFonts w:ascii="Arial Narrow" w:hAnsi="Arial Narrow" w:cs="Times New Roman"/>
                <w:b/>
                <w:sz w:val="20"/>
              </w:rPr>
              <w:t>Blinatumomab</w:t>
            </w:r>
          </w:p>
        </w:tc>
        <w:tc>
          <w:tcPr>
            <w:tcW w:w="1189" w:type="pct"/>
            <w:vAlign w:val="center"/>
          </w:tcPr>
          <w:p w:rsidR="004D7FAC" w:rsidRPr="004F29AA" w:rsidRDefault="004D7FAC" w:rsidP="00B53C60">
            <w:pPr>
              <w:keepNext/>
              <w:jc w:val="center"/>
              <w:rPr>
                <w:rFonts w:ascii="Arial Narrow" w:hAnsi="Arial Narrow" w:cs="Times New Roman"/>
                <w:b/>
                <w:sz w:val="20"/>
              </w:rPr>
            </w:pPr>
            <w:r w:rsidRPr="004F29AA">
              <w:rPr>
                <w:rFonts w:ascii="Arial Narrow" w:hAnsi="Arial Narrow" w:cs="Times New Roman"/>
                <w:b/>
                <w:sz w:val="20"/>
              </w:rPr>
              <w:t>Standard of care</w:t>
            </w:r>
          </w:p>
        </w:tc>
        <w:tc>
          <w:tcPr>
            <w:tcW w:w="1007" w:type="pct"/>
          </w:tcPr>
          <w:p w:rsidR="004D7FAC" w:rsidRPr="004F29AA" w:rsidRDefault="004D7FAC" w:rsidP="00B53C60">
            <w:pPr>
              <w:keepNext/>
              <w:jc w:val="center"/>
              <w:rPr>
                <w:rFonts w:ascii="Arial Narrow" w:hAnsi="Arial Narrow" w:cs="Times New Roman"/>
                <w:b/>
                <w:sz w:val="20"/>
              </w:rPr>
            </w:pPr>
            <w:r w:rsidRPr="004F29AA">
              <w:rPr>
                <w:rFonts w:ascii="Arial Narrow" w:hAnsi="Arial Narrow" w:cs="Times New Roman"/>
                <w:b/>
                <w:sz w:val="20"/>
              </w:rPr>
              <w:t>Increment</w:t>
            </w:r>
          </w:p>
        </w:tc>
      </w:tr>
      <w:tr w:rsidR="004D7FAC" w:rsidRPr="004F29AA" w:rsidTr="00B53C60">
        <w:tc>
          <w:tcPr>
            <w:tcW w:w="5000" w:type="pct"/>
            <w:gridSpan w:val="4"/>
            <w:vAlign w:val="center"/>
          </w:tcPr>
          <w:p w:rsidR="004D7FAC" w:rsidRPr="004F29AA" w:rsidRDefault="004D7FAC" w:rsidP="00B53C60">
            <w:pPr>
              <w:keepNext/>
              <w:jc w:val="left"/>
              <w:rPr>
                <w:rFonts w:ascii="Arial Narrow" w:hAnsi="Arial Narrow" w:cs="Arial Narrow"/>
                <w:b/>
                <w:bCs/>
                <w:sz w:val="20"/>
              </w:rPr>
            </w:pPr>
            <w:r w:rsidRPr="004F29AA">
              <w:rPr>
                <w:rFonts w:ascii="Arial Narrow" w:hAnsi="Arial Narrow" w:cs="Arial Narrow"/>
                <w:b/>
                <w:bCs/>
                <w:sz w:val="20"/>
              </w:rPr>
              <w:t>Step 1: Study-based costs and outcomes (2 year time horizon)</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Costs</w:t>
            </w:r>
          </w:p>
        </w:tc>
        <w:tc>
          <w:tcPr>
            <w:tcW w:w="1105"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189" w:type="pct"/>
            <w:vAlign w:val="center"/>
          </w:tcPr>
          <w:p w:rsidR="004D7FAC" w:rsidRPr="004F29AA" w:rsidRDefault="004D7FAC" w:rsidP="00B53C60">
            <w:pPr>
              <w:keepNext/>
              <w:jc w:val="center"/>
              <w:rPr>
                <w:rFonts w:ascii="Arial Narrow" w:hAnsi="Arial Narrow" w:cs="Times New Roman"/>
                <w:sz w:val="20"/>
              </w:rPr>
            </w:pPr>
            <w:r w:rsidRPr="00B211D2">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Life years gained</w:t>
            </w:r>
          </w:p>
        </w:tc>
        <w:tc>
          <w:tcPr>
            <w:tcW w:w="1105"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0.794</w:t>
            </w:r>
          </w:p>
        </w:tc>
        <w:tc>
          <w:tcPr>
            <w:tcW w:w="1189" w:type="pct"/>
            <w:vAlign w:val="center"/>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0.50</w:t>
            </w:r>
          </w:p>
        </w:tc>
        <w:tc>
          <w:tcPr>
            <w:tcW w:w="1007"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0.29</w:t>
            </w:r>
          </w:p>
        </w:tc>
      </w:tr>
      <w:tr w:rsidR="004D7FAC" w:rsidRPr="004F29AA" w:rsidTr="00B53C60">
        <w:tc>
          <w:tcPr>
            <w:tcW w:w="3993" w:type="pct"/>
            <w:gridSpan w:val="3"/>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b/>
                <w:snapToGrid/>
                <w:sz w:val="20"/>
              </w:rPr>
              <w:t>Incremental cost/extra life year gained</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b/>
                <w:sz w:val="20"/>
              </w:rPr>
              <w:t>$</w:t>
            </w:r>
            <w:r w:rsidR="001503CE">
              <w:rPr>
                <w:rFonts w:ascii="Arial Narrow" w:hAnsi="Arial Narrow" w:cs="Times New Roman"/>
                <w:b/>
                <w:noProof/>
                <w:color w:val="000000"/>
                <w:sz w:val="20"/>
                <w:highlight w:val="black"/>
              </w:rPr>
              <w:t>''''''''''''''''''</w:t>
            </w:r>
          </w:p>
        </w:tc>
      </w:tr>
      <w:tr w:rsidR="004D7FAC" w:rsidRPr="004F29AA" w:rsidTr="00B53C60">
        <w:tc>
          <w:tcPr>
            <w:tcW w:w="5000" w:type="pct"/>
            <w:gridSpan w:val="4"/>
            <w:vAlign w:val="center"/>
          </w:tcPr>
          <w:p w:rsidR="004D7FAC" w:rsidRPr="004F29AA" w:rsidRDefault="004D7FAC" w:rsidP="00B53C60">
            <w:pPr>
              <w:keepNext/>
              <w:jc w:val="left"/>
              <w:rPr>
                <w:rFonts w:ascii="Arial Narrow" w:hAnsi="Arial Narrow" w:cs="Arial Narrow"/>
                <w:b/>
                <w:bCs/>
                <w:sz w:val="20"/>
              </w:rPr>
            </w:pPr>
            <w:r w:rsidRPr="004F29AA">
              <w:rPr>
                <w:rFonts w:ascii="Arial Narrow" w:hAnsi="Arial Narrow" w:cs="Arial Narrow"/>
                <w:b/>
                <w:bCs/>
                <w:sz w:val="20"/>
              </w:rPr>
              <w:t>Step 2: Modelled evaluation (time horizon increased to 20 years)</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Costs</w:t>
            </w:r>
          </w:p>
        </w:tc>
        <w:tc>
          <w:tcPr>
            <w:tcW w:w="1105"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189" w:type="pct"/>
            <w:vAlign w:val="center"/>
          </w:tcPr>
          <w:p w:rsidR="004D7FAC" w:rsidRPr="004F29AA" w:rsidRDefault="004D7FAC" w:rsidP="00B53C60">
            <w:pPr>
              <w:keepNext/>
              <w:jc w:val="center"/>
              <w:rPr>
                <w:rFonts w:ascii="Arial Narrow" w:hAnsi="Arial Narrow" w:cs="Times New Roman"/>
                <w:sz w:val="20"/>
              </w:rPr>
            </w:pPr>
            <w:r w:rsidRPr="00B211D2">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Life years gained</w:t>
            </w:r>
          </w:p>
        </w:tc>
        <w:tc>
          <w:tcPr>
            <w:tcW w:w="1105"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3.085</w:t>
            </w:r>
          </w:p>
        </w:tc>
        <w:tc>
          <w:tcPr>
            <w:tcW w:w="1189" w:type="pct"/>
            <w:vAlign w:val="center"/>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1.49</w:t>
            </w:r>
          </w:p>
        </w:tc>
        <w:tc>
          <w:tcPr>
            <w:tcW w:w="1007"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1.60</w:t>
            </w:r>
          </w:p>
        </w:tc>
      </w:tr>
      <w:tr w:rsidR="004D7FAC" w:rsidRPr="004F29AA" w:rsidTr="00B53C60">
        <w:trPr>
          <w:trHeight w:val="70"/>
        </w:trPr>
        <w:tc>
          <w:tcPr>
            <w:tcW w:w="3993" w:type="pct"/>
            <w:gridSpan w:val="3"/>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b/>
                <w:snapToGrid/>
                <w:sz w:val="20"/>
              </w:rPr>
              <w:t>Incremental cost/extra life year gained</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b/>
                <w:sz w:val="20"/>
              </w:rPr>
              <w:t>$</w:t>
            </w:r>
            <w:r w:rsidR="001503CE">
              <w:rPr>
                <w:rFonts w:ascii="Arial Narrow" w:hAnsi="Arial Narrow" w:cs="Times New Roman"/>
                <w:b/>
                <w:noProof/>
                <w:color w:val="000000"/>
                <w:sz w:val="20"/>
                <w:highlight w:val="black"/>
              </w:rPr>
              <w:t>'''''''''''''''</w:t>
            </w:r>
          </w:p>
        </w:tc>
      </w:tr>
      <w:tr w:rsidR="004D7FAC" w:rsidRPr="004F29AA" w:rsidTr="00B53C60">
        <w:tc>
          <w:tcPr>
            <w:tcW w:w="5000" w:type="pct"/>
            <w:gridSpan w:val="4"/>
            <w:vAlign w:val="center"/>
          </w:tcPr>
          <w:p w:rsidR="004D7FAC" w:rsidRPr="004F29AA" w:rsidRDefault="004D7FAC" w:rsidP="00B53C60">
            <w:pPr>
              <w:keepNext/>
              <w:jc w:val="left"/>
              <w:rPr>
                <w:rFonts w:ascii="Arial Narrow" w:hAnsi="Arial Narrow" w:cs="Arial Narrow"/>
                <w:b/>
                <w:bCs/>
                <w:sz w:val="20"/>
              </w:rPr>
            </w:pPr>
            <w:r w:rsidRPr="004F29AA">
              <w:rPr>
                <w:rFonts w:ascii="Arial Narrow" w:hAnsi="Arial Narrow" w:cs="Arial Narrow"/>
                <w:b/>
                <w:bCs/>
                <w:sz w:val="20"/>
              </w:rPr>
              <w:t>Step 3: Modelled evaluation (discount rate of 5% applied)</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Costs</w:t>
            </w:r>
          </w:p>
        </w:tc>
        <w:tc>
          <w:tcPr>
            <w:tcW w:w="1105"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189" w:type="pct"/>
            <w:vAlign w:val="center"/>
          </w:tcPr>
          <w:p w:rsidR="004D7FAC" w:rsidRPr="004F29AA" w:rsidRDefault="004D7FAC" w:rsidP="00B53C60">
            <w:pPr>
              <w:keepNext/>
              <w:jc w:val="center"/>
              <w:rPr>
                <w:rFonts w:ascii="Arial Narrow" w:hAnsi="Arial Narrow" w:cs="Times New Roman"/>
                <w:sz w:val="20"/>
              </w:rPr>
            </w:pPr>
            <w:r w:rsidRPr="00B211D2">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Life years gained</w:t>
            </w:r>
          </w:p>
        </w:tc>
        <w:tc>
          <w:tcPr>
            <w:tcW w:w="1105"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2.219</w:t>
            </w:r>
          </w:p>
        </w:tc>
        <w:tc>
          <w:tcPr>
            <w:tcW w:w="1189" w:type="pct"/>
            <w:vAlign w:val="center"/>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1.11</w:t>
            </w:r>
          </w:p>
        </w:tc>
        <w:tc>
          <w:tcPr>
            <w:tcW w:w="1007"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1.11</w:t>
            </w:r>
          </w:p>
        </w:tc>
      </w:tr>
      <w:tr w:rsidR="004D7FAC" w:rsidRPr="004F29AA" w:rsidTr="00B53C60">
        <w:tc>
          <w:tcPr>
            <w:tcW w:w="3993" w:type="pct"/>
            <w:gridSpan w:val="3"/>
            <w:vAlign w:val="center"/>
          </w:tcPr>
          <w:p w:rsidR="004D7FAC" w:rsidRPr="004F29AA" w:rsidRDefault="004D7FAC" w:rsidP="00B53C60">
            <w:pPr>
              <w:keepNext/>
              <w:jc w:val="left"/>
              <w:rPr>
                <w:rFonts w:ascii="Arial Narrow" w:hAnsi="Arial Narrow" w:cs="Times New Roman"/>
                <w:b/>
                <w:sz w:val="20"/>
              </w:rPr>
            </w:pPr>
            <w:r w:rsidRPr="004F29AA">
              <w:rPr>
                <w:rFonts w:ascii="Arial Narrow" w:hAnsi="Arial Narrow" w:cs="Times New Roman"/>
                <w:b/>
                <w:sz w:val="20"/>
              </w:rPr>
              <w:t>Incremental cost/extra life year gained</w:t>
            </w:r>
          </w:p>
        </w:tc>
        <w:tc>
          <w:tcPr>
            <w:tcW w:w="1007" w:type="pct"/>
          </w:tcPr>
          <w:p w:rsidR="004D7FAC" w:rsidRPr="004F29AA" w:rsidRDefault="004D7FAC" w:rsidP="00B53C60">
            <w:pPr>
              <w:keepNext/>
              <w:jc w:val="center"/>
              <w:rPr>
                <w:rFonts w:ascii="Arial Narrow" w:hAnsi="Arial Narrow" w:cs="Times New Roman"/>
                <w:b/>
                <w:sz w:val="20"/>
              </w:rPr>
            </w:pPr>
            <w:r w:rsidRPr="004F29AA">
              <w:rPr>
                <w:rFonts w:ascii="Arial Narrow" w:hAnsi="Arial Narrow" w:cs="Times New Roman"/>
                <w:b/>
                <w:sz w:val="20"/>
              </w:rPr>
              <w:t>$</w:t>
            </w:r>
            <w:r w:rsidR="001503CE">
              <w:rPr>
                <w:rFonts w:ascii="Arial Narrow" w:hAnsi="Arial Narrow" w:cs="Times New Roman"/>
                <w:b/>
                <w:noProof/>
                <w:color w:val="000000"/>
                <w:sz w:val="20"/>
                <w:highlight w:val="black"/>
              </w:rPr>
              <w:t>''''''''''''</w:t>
            </w:r>
          </w:p>
        </w:tc>
      </w:tr>
      <w:tr w:rsidR="004D7FAC" w:rsidRPr="004F29AA" w:rsidTr="00B53C60">
        <w:tc>
          <w:tcPr>
            <w:tcW w:w="5000" w:type="pct"/>
            <w:gridSpan w:val="4"/>
            <w:vAlign w:val="center"/>
          </w:tcPr>
          <w:p w:rsidR="004D7FAC" w:rsidRPr="004F29AA" w:rsidRDefault="004D7FAC" w:rsidP="00B53C60">
            <w:pPr>
              <w:keepNext/>
              <w:jc w:val="left"/>
              <w:rPr>
                <w:rFonts w:ascii="Arial Narrow" w:hAnsi="Arial Narrow" w:cs="Arial Narrow"/>
                <w:b/>
                <w:bCs/>
                <w:sz w:val="20"/>
              </w:rPr>
            </w:pPr>
            <w:r w:rsidRPr="004F29AA">
              <w:rPr>
                <w:rFonts w:ascii="Arial Narrow" w:hAnsi="Arial Narrow" w:cs="Arial Narrow"/>
                <w:b/>
                <w:bCs/>
                <w:sz w:val="20"/>
              </w:rPr>
              <w:t>Step 4: Modelled evaluation (additional costs included: HSCT, CR follow-up, palliative care)</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Costs</w:t>
            </w:r>
          </w:p>
        </w:tc>
        <w:tc>
          <w:tcPr>
            <w:tcW w:w="1105"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189" w:type="pct"/>
            <w:vAlign w:val="center"/>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$123,456</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Life years gained</w:t>
            </w:r>
          </w:p>
        </w:tc>
        <w:tc>
          <w:tcPr>
            <w:tcW w:w="1105"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2.219</w:t>
            </w:r>
          </w:p>
        </w:tc>
        <w:tc>
          <w:tcPr>
            <w:tcW w:w="1189" w:type="pct"/>
            <w:vAlign w:val="center"/>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1.11</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1.11</w:t>
            </w:r>
          </w:p>
        </w:tc>
      </w:tr>
      <w:tr w:rsidR="004D7FAC" w:rsidRPr="004F29AA" w:rsidTr="00B53C60">
        <w:tc>
          <w:tcPr>
            <w:tcW w:w="3993" w:type="pct"/>
            <w:gridSpan w:val="3"/>
            <w:vAlign w:val="center"/>
          </w:tcPr>
          <w:p w:rsidR="004D7FAC" w:rsidRPr="004F29AA" w:rsidRDefault="004D7FAC" w:rsidP="00B53C60">
            <w:pPr>
              <w:keepNext/>
              <w:jc w:val="left"/>
              <w:rPr>
                <w:rFonts w:ascii="Arial Narrow" w:hAnsi="Arial Narrow" w:cs="Times New Roman"/>
                <w:b/>
                <w:sz w:val="20"/>
              </w:rPr>
            </w:pPr>
            <w:r w:rsidRPr="004F29AA">
              <w:rPr>
                <w:rFonts w:ascii="Arial Narrow" w:hAnsi="Arial Narrow" w:cs="Times New Roman"/>
                <w:b/>
                <w:sz w:val="20"/>
              </w:rPr>
              <w:t>Incremental cost/extra life year gained</w:t>
            </w:r>
          </w:p>
        </w:tc>
        <w:tc>
          <w:tcPr>
            <w:tcW w:w="1007" w:type="pct"/>
          </w:tcPr>
          <w:p w:rsidR="004D7FAC" w:rsidRPr="004F29AA" w:rsidRDefault="004D7FAC" w:rsidP="00B53C60">
            <w:pPr>
              <w:keepNext/>
              <w:jc w:val="center"/>
              <w:rPr>
                <w:rFonts w:ascii="Arial Narrow" w:hAnsi="Arial Narrow" w:cs="Times New Roman"/>
                <w:b/>
                <w:sz w:val="20"/>
              </w:rPr>
            </w:pPr>
            <w:r w:rsidRPr="004F29AA">
              <w:rPr>
                <w:rFonts w:ascii="Arial Narrow" w:hAnsi="Arial Narrow" w:cs="Times New Roman"/>
                <w:b/>
                <w:sz w:val="20"/>
              </w:rPr>
              <w:t>$</w:t>
            </w:r>
            <w:r w:rsidR="001503CE">
              <w:rPr>
                <w:rFonts w:ascii="Arial Narrow" w:hAnsi="Arial Narrow" w:cs="Times New Roman"/>
                <w:b/>
                <w:noProof/>
                <w:color w:val="000000"/>
                <w:sz w:val="20"/>
                <w:highlight w:val="black"/>
              </w:rPr>
              <w:t>''''''''''''</w:t>
            </w:r>
          </w:p>
        </w:tc>
      </w:tr>
      <w:tr w:rsidR="004D7FAC" w:rsidRPr="004F29AA" w:rsidTr="00B53C60">
        <w:tc>
          <w:tcPr>
            <w:tcW w:w="5000" w:type="pct"/>
            <w:gridSpan w:val="4"/>
            <w:vAlign w:val="center"/>
          </w:tcPr>
          <w:p w:rsidR="004D7FAC" w:rsidRPr="004F29AA" w:rsidRDefault="004D7FAC" w:rsidP="00B53C60">
            <w:pPr>
              <w:keepNext/>
              <w:jc w:val="left"/>
              <w:rPr>
                <w:rFonts w:ascii="Arial Narrow" w:hAnsi="Arial Narrow" w:cs="Arial Narrow"/>
                <w:b/>
                <w:bCs/>
                <w:sz w:val="20"/>
              </w:rPr>
            </w:pPr>
            <w:r w:rsidRPr="004F29AA">
              <w:rPr>
                <w:rFonts w:ascii="Arial Narrow" w:hAnsi="Arial Narrow" w:cs="Arial Narrow"/>
                <w:b/>
                <w:bCs/>
                <w:sz w:val="20"/>
              </w:rPr>
              <w:t>Step 5: Modelled evaluation (average utility of 0.728 applied to ‘before relapse’ and ‘after relapse’ states)</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Costs</w:t>
            </w:r>
          </w:p>
        </w:tc>
        <w:tc>
          <w:tcPr>
            <w:tcW w:w="1105"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189" w:type="pct"/>
            <w:vAlign w:val="center"/>
          </w:tcPr>
          <w:p w:rsidR="004D7FAC" w:rsidRPr="004F29AA" w:rsidRDefault="004D7FAC" w:rsidP="00B53C60">
            <w:pPr>
              <w:keepNext/>
              <w:jc w:val="center"/>
              <w:rPr>
                <w:rFonts w:ascii="Arial Narrow" w:hAnsi="Arial Narrow" w:cs="Times New Roman"/>
                <w:sz w:val="20"/>
              </w:rPr>
            </w:pPr>
            <w:r w:rsidRPr="00B211D2">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QALYs</w:t>
            </w:r>
          </w:p>
        </w:tc>
        <w:tc>
          <w:tcPr>
            <w:tcW w:w="1105"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1.615</w:t>
            </w:r>
          </w:p>
        </w:tc>
        <w:tc>
          <w:tcPr>
            <w:tcW w:w="1189" w:type="pct"/>
            <w:vAlign w:val="center"/>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0.811</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0.80</w:t>
            </w:r>
          </w:p>
        </w:tc>
      </w:tr>
      <w:tr w:rsidR="004D7FAC" w:rsidRPr="004F29AA" w:rsidTr="00B53C60">
        <w:tc>
          <w:tcPr>
            <w:tcW w:w="3993" w:type="pct"/>
            <w:gridSpan w:val="3"/>
            <w:vAlign w:val="center"/>
          </w:tcPr>
          <w:p w:rsidR="004D7FAC" w:rsidRPr="004F29AA" w:rsidRDefault="004D7FAC" w:rsidP="00B53C60">
            <w:pPr>
              <w:keepNext/>
              <w:jc w:val="left"/>
              <w:rPr>
                <w:rFonts w:ascii="Arial Narrow" w:hAnsi="Arial Narrow" w:cs="Times New Roman"/>
                <w:b/>
                <w:sz w:val="20"/>
              </w:rPr>
            </w:pPr>
            <w:r w:rsidRPr="004F29AA">
              <w:rPr>
                <w:rFonts w:ascii="Arial Narrow" w:hAnsi="Arial Narrow" w:cs="Times New Roman"/>
                <w:b/>
                <w:sz w:val="20"/>
              </w:rPr>
              <w:t>Incremental cost/extra QALY gained</w:t>
            </w:r>
          </w:p>
        </w:tc>
        <w:tc>
          <w:tcPr>
            <w:tcW w:w="1007" w:type="pct"/>
          </w:tcPr>
          <w:p w:rsidR="004D7FAC" w:rsidRPr="004F29AA" w:rsidRDefault="004D7FAC" w:rsidP="00B53C60">
            <w:pPr>
              <w:keepNext/>
              <w:jc w:val="center"/>
              <w:rPr>
                <w:rFonts w:ascii="Arial Narrow" w:hAnsi="Arial Narrow" w:cs="Times New Roman"/>
                <w:b/>
                <w:sz w:val="20"/>
              </w:rPr>
            </w:pPr>
            <w:r w:rsidRPr="004F29AA">
              <w:rPr>
                <w:rFonts w:ascii="Arial Narrow" w:hAnsi="Arial Narrow" w:cs="Times New Roman"/>
                <w:b/>
                <w:sz w:val="20"/>
              </w:rPr>
              <w:t>$</w:t>
            </w:r>
            <w:r w:rsidR="001503CE">
              <w:rPr>
                <w:rFonts w:ascii="Arial Narrow" w:hAnsi="Arial Narrow" w:cs="Times New Roman"/>
                <w:b/>
                <w:noProof/>
                <w:color w:val="000000"/>
                <w:sz w:val="20"/>
                <w:highlight w:val="black"/>
              </w:rPr>
              <w:t>'''''''''''''''</w:t>
            </w:r>
          </w:p>
        </w:tc>
      </w:tr>
      <w:tr w:rsidR="004D7FAC" w:rsidRPr="004F29AA" w:rsidTr="00B53C60">
        <w:tc>
          <w:tcPr>
            <w:tcW w:w="5000" w:type="pct"/>
            <w:gridSpan w:val="4"/>
            <w:vAlign w:val="center"/>
          </w:tcPr>
          <w:p w:rsidR="004D7FAC" w:rsidRPr="004F29AA" w:rsidRDefault="004D7FAC" w:rsidP="00B53C60">
            <w:pPr>
              <w:keepNext/>
              <w:jc w:val="left"/>
              <w:rPr>
                <w:rFonts w:ascii="Arial Narrow" w:hAnsi="Arial Narrow" w:cs="Arial Narrow"/>
                <w:b/>
                <w:bCs/>
                <w:sz w:val="20"/>
              </w:rPr>
            </w:pPr>
            <w:r w:rsidRPr="004F29AA">
              <w:rPr>
                <w:rFonts w:ascii="Arial Narrow" w:hAnsi="Arial Narrow" w:cs="Arial Narrow"/>
                <w:b/>
                <w:bCs/>
                <w:sz w:val="20"/>
              </w:rPr>
              <w:t>Step 6: Modelled evaluation (utility of 0.84 for ‘before relapse’ and 0.35 for ‘after relapse’ applied)</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Costs</w:t>
            </w:r>
          </w:p>
        </w:tc>
        <w:tc>
          <w:tcPr>
            <w:tcW w:w="1105"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189" w:type="pct"/>
            <w:vAlign w:val="center"/>
          </w:tcPr>
          <w:p w:rsidR="004D7FAC" w:rsidRPr="004F29AA" w:rsidRDefault="004D7FAC" w:rsidP="00B53C60">
            <w:pPr>
              <w:keepNext/>
              <w:jc w:val="center"/>
              <w:rPr>
                <w:rFonts w:ascii="Arial Narrow" w:hAnsi="Arial Narrow" w:cs="Times New Roman"/>
                <w:sz w:val="20"/>
              </w:rPr>
            </w:pPr>
            <w:r w:rsidRPr="00B211D2">
              <w:rPr>
                <w:rFonts w:ascii="Arial Narrow" w:hAnsi="Arial Narrow" w:cs="Times New Roman"/>
                <w:sz w:val="20"/>
              </w:rPr>
              <w:t>$</w:t>
            </w:r>
            <w:r w:rsidR="001503CE">
              <w:rPr>
                <w:rFonts w:ascii="Arial Narrow" w:hAnsi="Arial Narrow" w:cs="Times New Roman"/>
                <w:noProof/>
                <w:color w:val="000000"/>
                <w:sz w:val="20"/>
                <w:highlight w:val="black"/>
              </w:rPr>
              <w:t>''''''''''''''''''</w:t>
            </w:r>
          </w:p>
        </w:tc>
        <w:tc>
          <w:tcPr>
            <w:tcW w:w="1007" w:type="pct"/>
          </w:tcPr>
          <w:p w:rsidR="004D7FAC" w:rsidRPr="004F29AA" w:rsidRDefault="004D7FAC" w:rsidP="00B53C60">
            <w:pPr>
              <w:keepNext/>
              <w:jc w:val="center"/>
              <w:rPr>
                <w:rFonts w:ascii="Arial Narrow" w:hAnsi="Arial Narrow" w:cs="Times New Roman"/>
                <w:sz w:val="20"/>
              </w:rPr>
            </w:pPr>
            <w:r w:rsidRPr="004F29AA">
              <w:rPr>
                <w:rFonts w:ascii="Arial Narrow" w:hAnsi="Arial Narrow" w:cs="Times New Roman"/>
                <w:sz w:val="20"/>
              </w:rPr>
              <w:t>$</w:t>
            </w:r>
            <w:r w:rsidR="001503CE">
              <w:rPr>
                <w:rFonts w:ascii="Arial Narrow" w:hAnsi="Arial Narrow" w:cs="Times New Roman"/>
                <w:noProof/>
                <w:color w:val="000000"/>
                <w:sz w:val="20"/>
                <w:highlight w:val="black"/>
              </w:rPr>
              <w:t>'''''''''''''''''</w:t>
            </w:r>
          </w:p>
        </w:tc>
      </w:tr>
      <w:tr w:rsidR="004D7FAC" w:rsidRPr="004F29AA" w:rsidTr="00B53C60">
        <w:tc>
          <w:tcPr>
            <w:tcW w:w="1699" w:type="pct"/>
            <w:vAlign w:val="center"/>
          </w:tcPr>
          <w:p w:rsidR="004D7FAC" w:rsidRPr="004F29AA" w:rsidRDefault="004D7FAC" w:rsidP="00B53C60">
            <w:pPr>
              <w:keepNext/>
              <w:jc w:val="left"/>
              <w:rPr>
                <w:rFonts w:ascii="Arial Narrow" w:hAnsi="Arial Narrow" w:cs="Times New Roman"/>
                <w:sz w:val="20"/>
              </w:rPr>
            </w:pPr>
            <w:r w:rsidRPr="004F29AA">
              <w:rPr>
                <w:rFonts w:ascii="Arial Narrow" w:hAnsi="Arial Narrow" w:cs="Times New Roman"/>
                <w:sz w:val="20"/>
              </w:rPr>
              <w:t>QALYs</w:t>
            </w:r>
          </w:p>
        </w:tc>
        <w:tc>
          <w:tcPr>
            <w:tcW w:w="1105"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1.679</w:t>
            </w:r>
          </w:p>
        </w:tc>
        <w:tc>
          <w:tcPr>
            <w:tcW w:w="1189" w:type="pct"/>
            <w:vAlign w:val="center"/>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0.75</w:t>
            </w:r>
          </w:p>
        </w:tc>
        <w:tc>
          <w:tcPr>
            <w:tcW w:w="1007" w:type="pct"/>
          </w:tcPr>
          <w:p w:rsidR="004D7FAC" w:rsidRPr="004F29AA" w:rsidRDefault="004D7FAC" w:rsidP="00B53C60">
            <w:pPr>
              <w:keepNext/>
              <w:jc w:val="center"/>
              <w:rPr>
                <w:rFonts w:ascii="Arial Narrow" w:hAnsi="Arial Narrow" w:cs="Times New Roman"/>
                <w:sz w:val="20"/>
              </w:rPr>
            </w:pPr>
            <w:r w:rsidRPr="00E6126F">
              <w:rPr>
                <w:rFonts w:ascii="Arial Narrow" w:hAnsi="Arial Narrow" w:cs="Times New Roman"/>
                <w:sz w:val="20"/>
              </w:rPr>
              <w:t>0.93</w:t>
            </w:r>
          </w:p>
        </w:tc>
      </w:tr>
      <w:tr w:rsidR="004D7FAC" w:rsidRPr="004F29AA" w:rsidTr="00B53C60">
        <w:tc>
          <w:tcPr>
            <w:tcW w:w="3993" w:type="pct"/>
            <w:gridSpan w:val="3"/>
            <w:vAlign w:val="center"/>
          </w:tcPr>
          <w:p w:rsidR="004D7FAC" w:rsidRPr="004F29AA" w:rsidRDefault="004D7FAC" w:rsidP="00B53C60">
            <w:pPr>
              <w:keepNext/>
              <w:jc w:val="left"/>
              <w:rPr>
                <w:rFonts w:ascii="Arial Narrow" w:hAnsi="Arial Narrow" w:cs="Times New Roman"/>
                <w:b/>
                <w:sz w:val="20"/>
              </w:rPr>
            </w:pPr>
            <w:r w:rsidRPr="004F29AA">
              <w:rPr>
                <w:rFonts w:ascii="Arial Narrow" w:hAnsi="Arial Narrow" w:cs="Times New Roman"/>
                <w:b/>
                <w:sz w:val="20"/>
              </w:rPr>
              <w:t>Incremental cost/extra QALY gained</w:t>
            </w:r>
          </w:p>
        </w:tc>
        <w:tc>
          <w:tcPr>
            <w:tcW w:w="1007" w:type="pct"/>
          </w:tcPr>
          <w:p w:rsidR="004D7FAC" w:rsidRPr="004F29AA" w:rsidRDefault="004D7FAC" w:rsidP="00B53C60">
            <w:pPr>
              <w:keepNext/>
              <w:jc w:val="center"/>
              <w:rPr>
                <w:rFonts w:ascii="Arial Narrow" w:hAnsi="Arial Narrow" w:cs="Times New Roman"/>
                <w:b/>
                <w:sz w:val="20"/>
              </w:rPr>
            </w:pPr>
            <w:r w:rsidRPr="004F29AA">
              <w:rPr>
                <w:rFonts w:ascii="Arial Narrow" w:hAnsi="Arial Narrow" w:cs="Times New Roman"/>
                <w:b/>
                <w:sz w:val="20"/>
              </w:rPr>
              <w:t>$</w:t>
            </w:r>
            <w:r w:rsidR="001503CE">
              <w:rPr>
                <w:rFonts w:ascii="Arial Narrow" w:hAnsi="Arial Narrow" w:cs="Times New Roman"/>
                <w:b/>
                <w:noProof/>
                <w:color w:val="000000"/>
                <w:sz w:val="20"/>
                <w:highlight w:val="black"/>
              </w:rPr>
              <w:t>'''''''''''''</w:t>
            </w:r>
          </w:p>
        </w:tc>
      </w:tr>
    </w:tbl>
    <w:p w:rsidR="004D7FAC" w:rsidRPr="004F29AA" w:rsidRDefault="004D7FAC" w:rsidP="00DB6090">
      <w:pPr>
        <w:pStyle w:val="TableFooter"/>
        <w:ind w:firstLine="720"/>
        <w:rPr>
          <w:b/>
        </w:rPr>
      </w:pPr>
      <w:r w:rsidRPr="004F29AA">
        <w:t>Source: Table D.5-2, p238 of the submission; and Blin_v_1_0.j.xlsm Excel workbook</w:t>
      </w:r>
    </w:p>
    <w:p w:rsidR="004D7FAC" w:rsidRPr="004F29AA" w:rsidRDefault="004D7FAC" w:rsidP="00DB6090">
      <w:pPr>
        <w:pStyle w:val="TableFooter"/>
        <w:ind w:firstLine="720"/>
        <w:rPr>
          <w:b/>
        </w:rPr>
      </w:pPr>
      <w:r w:rsidRPr="004F29AA">
        <w:t>CR = complete remission; HSCT = haematopoietic stem cell transplant; QALY = quality-adjusted life year</w:t>
      </w:r>
    </w:p>
    <w:p w:rsidR="004D7FAC" w:rsidRPr="004F29AA" w:rsidDel="00352D75" w:rsidRDefault="004D7FAC" w:rsidP="00964A10">
      <w:r w:rsidRPr="004F29AA">
        <w:tab/>
      </w:r>
    </w:p>
    <w:p w:rsidR="004D7FAC" w:rsidRPr="004F29AA" w:rsidRDefault="004D7FAC" w:rsidP="000442E2">
      <w:pPr>
        <w:pStyle w:val="ListParagraph"/>
        <w:widowControl/>
        <w:numPr>
          <w:ilvl w:val="1"/>
          <w:numId w:val="1"/>
        </w:numPr>
        <w:rPr>
          <w:szCs w:val="22"/>
        </w:rPr>
      </w:pPr>
      <w:r w:rsidRPr="004F29AA">
        <w:t xml:space="preserve">The submission estimated an incremental cost-effectiveness ratio (ICER) of </w:t>
      </w:r>
      <w:r w:rsidR="000A0B3B" w:rsidRPr="00E6126F">
        <w:t>$75,000 - $105,000</w:t>
      </w:r>
      <w:r w:rsidR="000A0B3B">
        <w:t xml:space="preserve"> </w:t>
      </w:r>
      <w:r w:rsidRPr="004F29AA">
        <w:t xml:space="preserve">per life year gained and of </w:t>
      </w:r>
      <w:r w:rsidR="000A0B3B" w:rsidRPr="00E6126F">
        <w:t>$75,000/QALY - $105,000/QALY</w:t>
      </w:r>
      <w:r w:rsidRPr="00E6126F">
        <w:t>.</w:t>
      </w:r>
      <w:r w:rsidRPr="004F29AA">
        <w:t xml:space="preserve"> </w:t>
      </w:r>
      <w:r w:rsidR="003B13C4" w:rsidRPr="004F29AA">
        <w:t>The ESC agreed with the commentary that t</w:t>
      </w:r>
      <w:r w:rsidRPr="004F29AA">
        <w:t>he results of the economic model were unreliable due to a number of assumptions</w:t>
      </w:r>
      <w:r w:rsidR="00791D40" w:rsidRPr="004F29AA">
        <w:t xml:space="preserve"> and </w:t>
      </w:r>
      <w:r w:rsidR="00583713" w:rsidRPr="004F29AA">
        <w:t>omissions</w:t>
      </w:r>
      <w:r w:rsidRPr="004F29AA">
        <w:t xml:space="preserve"> made in the </w:t>
      </w:r>
      <w:r w:rsidR="00791D40" w:rsidRPr="004F29AA">
        <w:t>model</w:t>
      </w:r>
      <w:r w:rsidRPr="004F29AA">
        <w:t xml:space="preserve">. </w:t>
      </w:r>
    </w:p>
    <w:p w:rsidR="00E83197" w:rsidRPr="004F29AA" w:rsidRDefault="00E83197" w:rsidP="00E83197">
      <w:pPr>
        <w:pStyle w:val="ListParagraph"/>
        <w:widowControl/>
        <w:rPr>
          <w:szCs w:val="22"/>
        </w:rPr>
      </w:pPr>
    </w:p>
    <w:p w:rsidR="007F2D50" w:rsidRPr="004F29AA" w:rsidRDefault="007F2D50" w:rsidP="000442E2">
      <w:pPr>
        <w:pStyle w:val="ListParagraph"/>
        <w:widowControl/>
        <w:numPr>
          <w:ilvl w:val="1"/>
          <w:numId w:val="1"/>
        </w:numPr>
        <w:rPr>
          <w:szCs w:val="22"/>
        </w:rPr>
      </w:pPr>
      <w:r w:rsidRPr="004F29AA">
        <w:t>The table below provides the results of the key univariate sensitivity analyses presented by the submission and conducted during the evaluation.</w:t>
      </w:r>
      <w:r w:rsidR="006C734B" w:rsidRPr="004F29AA">
        <w:t xml:space="preserve"> ESC considered these one-way sensitivity analyses to have limited value given they </w:t>
      </w:r>
      <w:r w:rsidR="004767E7" w:rsidRPr="004F29AA">
        <w:t>rely on an uncertain and optimistic base case.</w:t>
      </w:r>
    </w:p>
    <w:p w:rsidR="007F2D50" w:rsidRPr="00964A10" w:rsidRDefault="007F2D50" w:rsidP="007F2D50">
      <w:pPr>
        <w:widowControl/>
        <w:rPr>
          <w:szCs w:val="22"/>
        </w:rPr>
      </w:pPr>
    </w:p>
    <w:p w:rsidR="007F2D50" w:rsidRPr="004F29AA" w:rsidRDefault="007F2D50" w:rsidP="007F2D50">
      <w:pPr>
        <w:keepNext/>
        <w:ind w:firstLine="720"/>
        <w:jc w:val="left"/>
        <w:rPr>
          <w:rStyle w:val="CommentReference"/>
        </w:rPr>
      </w:pPr>
      <w:r w:rsidRPr="004F29AA">
        <w:rPr>
          <w:rStyle w:val="CommentReference"/>
        </w:rPr>
        <w:t xml:space="preserve">Table </w:t>
      </w:r>
      <w:r w:rsidR="008A59F3" w:rsidRPr="004F29AA">
        <w:rPr>
          <w:rStyle w:val="CommentReference"/>
        </w:rPr>
        <w:t>9</w:t>
      </w:r>
      <w:r w:rsidRPr="004F29AA">
        <w:rPr>
          <w:rStyle w:val="CommentReference"/>
        </w:rPr>
        <w:t xml:space="preserve">: Key sensitivity analyses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Key sensitivity analyses"/>
      </w:tblPr>
      <w:tblGrid>
        <w:gridCol w:w="4903"/>
        <w:gridCol w:w="1132"/>
        <w:gridCol w:w="1503"/>
        <w:gridCol w:w="808"/>
      </w:tblGrid>
      <w:tr w:rsidR="007F2D50" w:rsidRPr="004F29AA">
        <w:trPr>
          <w:cantSplit/>
          <w:tblHeader/>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left"/>
              <w:rPr>
                <w:rFonts w:ascii="Arial Narrow" w:hAnsi="Arial Narrow"/>
                <w:sz w:val="20"/>
              </w:rPr>
            </w:pPr>
            <w:r w:rsidRPr="004F29AA">
              <w:rPr>
                <w:rFonts w:ascii="Arial Narrow" w:hAnsi="Arial Narrow"/>
                <w:b/>
                <w:sz w:val="20"/>
              </w:rPr>
              <w:t>Univariate analyses</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 xml:space="preserve">Incremental </w:t>
            </w:r>
          </w:p>
          <w:p w:rsidR="007F2D50" w:rsidRPr="004F29AA" w:rsidRDefault="007F2D50" w:rsidP="007F2D50">
            <w:pPr>
              <w:keepNext/>
              <w:jc w:val="center"/>
              <w:rPr>
                <w:rFonts w:ascii="Arial Narrow" w:hAnsi="Arial Narrow"/>
                <w:sz w:val="20"/>
              </w:rPr>
            </w:pPr>
            <w:r w:rsidRPr="004F29AA">
              <w:rPr>
                <w:rFonts w:ascii="Arial Narrow" w:hAnsi="Arial Narrow"/>
                <w:b/>
                <w:sz w:val="20"/>
              </w:rPr>
              <w:t>cost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center"/>
              <w:rPr>
                <w:rFonts w:ascii="Arial Narrow" w:hAnsi="Arial Narrow"/>
                <w:sz w:val="20"/>
              </w:rPr>
            </w:pPr>
            <w:r w:rsidRPr="004F29AA">
              <w:rPr>
                <w:rFonts w:ascii="Arial Narrow" w:hAnsi="Arial Narrow"/>
                <w:b/>
                <w:sz w:val="20"/>
              </w:rPr>
              <w:t>Incremental effectiveness</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center"/>
              <w:rPr>
                <w:rFonts w:ascii="Arial Narrow" w:hAnsi="Arial Narrow"/>
                <w:sz w:val="20"/>
              </w:rPr>
            </w:pPr>
            <w:r w:rsidRPr="004F29AA">
              <w:rPr>
                <w:rFonts w:ascii="Arial Narrow" w:hAnsi="Arial Narrow"/>
                <w:b/>
                <w:sz w:val="20"/>
              </w:rPr>
              <w:t>ICER</w:t>
            </w:r>
          </w:p>
        </w:tc>
      </w:tr>
      <w:tr w:rsidR="007F2D50" w:rsidRPr="004F29AA">
        <w:trPr>
          <w:cantSplit/>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left"/>
              <w:rPr>
                <w:rFonts w:ascii="Arial Narrow" w:hAnsi="Arial Narrow"/>
                <w:b/>
                <w:sz w:val="20"/>
              </w:rPr>
            </w:pPr>
            <w:r w:rsidRPr="004F29AA">
              <w:rPr>
                <w:rFonts w:ascii="Arial Narrow" w:hAnsi="Arial Narrow"/>
                <w:b/>
                <w:sz w:val="20"/>
              </w:rPr>
              <w:t>Base case</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0.934</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r>
      <w:tr w:rsidR="007F2D50" w:rsidRPr="004F29AA">
        <w:trPr>
          <w:cantSplit/>
        </w:trPr>
        <w:tc>
          <w:tcPr>
            <w:tcW w:w="0" w:type="auto"/>
            <w:gridSpan w:val="4"/>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left"/>
              <w:rPr>
                <w:rFonts w:ascii="Arial Narrow" w:hAnsi="Arial Narrow"/>
                <w:b/>
                <w:sz w:val="20"/>
              </w:rPr>
            </w:pPr>
            <w:r w:rsidRPr="004F29AA">
              <w:rPr>
                <w:rFonts w:ascii="Arial Narrow" w:hAnsi="Arial Narrow"/>
                <w:b/>
                <w:sz w:val="20"/>
              </w:rPr>
              <w:t>Structural issues</w:t>
            </w:r>
          </w:p>
        </w:tc>
      </w:tr>
      <w:tr w:rsidR="007F2D50" w:rsidRPr="004F29AA">
        <w:trPr>
          <w:cantSplit/>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left"/>
              <w:rPr>
                <w:rFonts w:ascii="Arial Narrow" w:hAnsi="Arial Narrow"/>
                <w:sz w:val="20"/>
              </w:rPr>
            </w:pPr>
            <w:r w:rsidRPr="004F29AA">
              <w:rPr>
                <w:rFonts w:ascii="Arial Narrow" w:hAnsi="Arial Narrow"/>
                <w:sz w:val="20"/>
              </w:rPr>
              <w:t>Time horizon (base case = 20 years)</w:t>
            </w:r>
          </w:p>
          <w:p w:rsidR="003E276F" w:rsidRPr="004F29AA" w:rsidRDefault="003E276F" w:rsidP="007F2D50">
            <w:pPr>
              <w:keepNext/>
              <w:ind w:firstLine="142"/>
              <w:jc w:val="left"/>
              <w:rPr>
                <w:rFonts w:ascii="Arial Narrow" w:hAnsi="Arial Narrow"/>
                <w:sz w:val="20"/>
              </w:rPr>
            </w:pPr>
            <w:r w:rsidRPr="004F29AA">
              <w:rPr>
                <w:rFonts w:ascii="Arial Narrow" w:hAnsi="Arial Narrow"/>
                <w:sz w:val="20"/>
              </w:rPr>
              <w:t>5 years</w:t>
            </w:r>
          </w:p>
          <w:p w:rsidR="007F2D50" w:rsidRPr="004F29AA" w:rsidRDefault="007F2D50" w:rsidP="007F2D50">
            <w:pPr>
              <w:keepNext/>
              <w:ind w:firstLine="142"/>
              <w:jc w:val="left"/>
              <w:rPr>
                <w:rFonts w:ascii="Arial Narrow" w:hAnsi="Arial Narrow"/>
                <w:sz w:val="20"/>
              </w:rPr>
            </w:pPr>
            <w:r w:rsidRPr="004F29AA">
              <w:rPr>
                <w:rFonts w:ascii="Arial Narrow" w:hAnsi="Arial Narrow"/>
                <w:sz w:val="20"/>
              </w:rPr>
              <w:t>10 years</w:t>
            </w:r>
          </w:p>
          <w:p w:rsidR="007F2D50" w:rsidRPr="004F29AA" w:rsidRDefault="007F2D50" w:rsidP="007F2D50">
            <w:pPr>
              <w:keepNext/>
              <w:ind w:firstLine="142"/>
              <w:jc w:val="left"/>
              <w:rPr>
                <w:rFonts w:ascii="Arial Narrow" w:hAnsi="Arial Narrow"/>
                <w:sz w:val="20"/>
              </w:rPr>
            </w:pPr>
            <w:r w:rsidRPr="004F29AA">
              <w:rPr>
                <w:rFonts w:ascii="Arial Narrow" w:hAnsi="Arial Narrow"/>
                <w:sz w:val="20"/>
              </w:rPr>
              <w:t>40 years</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right"/>
              <w:rPr>
                <w:rFonts w:ascii="Arial Narrow" w:hAnsi="Arial Narrow"/>
                <w:sz w:val="20"/>
              </w:rPr>
            </w:pPr>
          </w:p>
          <w:p w:rsidR="003E276F" w:rsidRPr="004F29AA" w:rsidRDefault="003E276F" w:rsidP="007F2D50">
            <w:pPr>
              <w:keepNext/>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keepNext/>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keepNext/>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keepNext/>
              <w:jc w:val="center"/>
              <w:rPr>
                <w:rFonts w:ascii="Arial Narrow" w:hAnsi="Arial Narrow"/>
                <w:sz w:val="20"/>
              </w:rPr>
            </w:pPr>
          </w:p>
          <w:p w:rsidR="003E276F" w:rsidRPr="00D54D7E" w:rsidRDefault="003E276F" w:rsidP="007F2D50">
            <w:pPr>
              <w:keepNext/>
              <w:jc w:val="center"/>
              <w:rPr>
                <w:rFonts w:ascii="Arial Narrow" w:hAnsi="Arial Narrow"/>
                <w:sz w:val="20"/>
              </w:rPr>
            </w:pPr>
            <w:r w:rsidRPr="00D54D7E">
              <w:rPr>
                <w:rFonts w:ascii="Arial Narrow" w:hAnsi="Arial Narrow"/>
                <w:sz w:val="20"/>
              </w:rPr>
              <w:t>0.43</w:t>
            </w:r>
          </w:p>
          <w:p w:rsidR="007F2D50" w:rsidRPr="00D54D7E" w:rsidRDefault="003E276F" w:rsidP="007F2D50">
            <w:pPr>
              <w:keepNext/>
              <w:jc w:val="center"/>
              <w:rPr>
                <w:rFonts w:ascii="Arial Narrow" w:hAnsi="Arial Narrow"/>
                <w:sz w:val="20"/>
              </w:rPr>
            </w:pPr>
            <w:r w:rsidRPr="00D54D7E">
              <w:rPr>
                <w:rFonts w:ascii="Arial Narrow" w:hAnsi="Arial Narrow"/>
                <w:sz w:val="20"/>
              </w:rPr>
              <w:t>0.64</w:t>
            </w:r>
          </w:p>
          <w:p w:rsidR="007F2D50" w:rsidRPr="004F29AA" w:rsidRDefault="007F2D50" w:rsidP="007F2D50">
            <w:pPr>
              <w:keepNext/>
              <w:jc w:val="center"/>
              <w:rPr>
                <w:rFonts w:ascii="Arial Narrow" w:hAnsi="Arial Narrow"/>
                <w:sz w:val="20"/>
              </w:rPr>
            </w:pPr>
            <w:r w:rsidRPr="00D54D7E">
              <w:rPr>
                <w:rFonts w:ascii="Arial Narrow" w:hAnsi="Arial Narrow"/>
                <w:sz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pStyle w:val="Tabletext"/>
              <w:jc w:val="right"/>
            </w:pPr>
          </w:p>
          <w:p w:rsidR="003E276F" w:rsidRPr="004F29AA" w:rsidRDefault="003E276F"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tc>
      </w:tr>
      <w:tr w:rsidR="007F2D50" w:rsidRPr="004F29AA">
        <w:trPr>
          <w:cantSplit/>
        </w:trPr>
        <w:tc>
          <w:tcPr>
            <w:tcW w:w="0" w:type="auto"/>
            <w:gridSpan w:val="4"/>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pStyle w:val="Tabletext"/>
              <w:rPr>
                <w:b/>
              </w:rPr>
            </w:pPr>
            <w:r w:rsidRPr="004F29AA">
              <w:rPr>
                <w:b/>
              </w:rPr>
              <w:t>Parameter changes</w:t>
            </w:r>
          </w:p>
        </w:tc>
      </w:tr>
      <w:tr w:rsidR="007F2D50" w:rsidRPr="004F29AA">
        <w:trPr>
          <w:cantSplit/>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left"/>
              <w:rPr>
                <w:rFonts w:ascii="Arial Narrow" w:hAnsi="Arial Narrow"/>
                <w:sz w:val="20"/>
              </w:rPr>
            </w:pPr>
            <w:r w:rsidRPr="004F29AA">
              <w:rPr>
                <w:rFonts w:ascii="Arial Narrow" w:hAnsi="Arial Narrow"/>
                <w:sz w:val="20"/>
              </w:rPr>
              <w:t>Blinatumomab inpatient cost (base case = $</w:t>
            </w:r>
            <w:r w:rsidR="001503CE">
              <w:rPr>
                <w:rFonts w:ascii="Arial Narrow" w:hAnsi="Arial Narrow"/>
                <w:noProof/>
                <w:color w:val="000000"/>
                <w:sz w:val="20"/>
                <w:highlight w:val="black"/>
              </w:rPr>
              <w:t>''''''''''''''''</w:t>
            </w:r>
            <w:r w:rsidRPr="004F29AA">
              <w:rPr>
                <w:rFonts w:ascii="Arial Narrow" w:hAnsi="Arial Narrow"/>
                <w:sz w:val="20"/>
              </w:rPr>
              <w:t>)</w:t>
            </w:r>
          </w:p>
          <w:p w:rsidR="007F2D50" w:rsidRPr="004F29AA" w:rsidRDefault="007F2D50" w:rsidP="007F2D50">
            <w:pPr>
              <w:ind w:firstLine="142"/>
              <w:jc w:val="lef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r w:rsidRPr="004F29AA">
              <w:rPr>
                <w:rFonts w:ascii="Arial Narrow" w:hAnsi="Arial Narrow"/>
                <w:sz w:val="20"/>
              </w:rPr>
              <w:t xml:space="preserve"> (i.e. x 0.5)</w:t>
            </w:r>
          </w:p>
          <w:p w:rsidR="007F2D50" w:rsidRPr="004F29AA" w:rsidRDefault="007F2D50" w:rsidP="007F2D50">
            <w:pPr>
              <w:ind w:firstLine="142"/>
              <w:jc w:val="lef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r w:rsidRPr="004F29AA">
              <w:rPr>
                <w:rFonts w:ascii="Arial Narrow" w:hAnsi="Arial Narrow"/>
                <w:sz w:val="20"/>
              </w:rPr>
              <w:t xml:space="preserve"> (i.e. x 1.5)</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right"/>
              <w:rPr>
                <w:rFonts w:ascii="Arial Narrow" w:hAnsi="Arial Narrow"/>
                <w:sz w:val="20"/>
              </w:rPr>
            </w:pP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2D444D">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center"/>
              <w:rPr>
                <w:rFonts w:ascii="Arial Narrow" w:hAnsi="Arial Narrow"/>
                <w:sz w:val="20"/>
              </w:rPr>
            </w:pPr>
          </w:p>
          <w:p w:rsidR="007F2D50" w:rsidRPr="00D54D7E" w:rsidRDefault="003E276F" w:rsidP="007F2D50">
            <w:pPr>
              <w:jc w:val="center"/>
              <w:rPr>
                <w:rFonts w:ascii="Arial Narrow" w:hAnsi="Arial Narrow"/>
                <w:sz w:val="20"/>
              </w:rPr>
            </w:pPr>
            <w:r w:rsidRPr="00D54D7E">
              <w:rPr>
                <w:rFonts w:ascii="Arial Narrow" w:hAnsi="Arial Narrow"/>
                <w:sz w:val="20"/>
              </w:rPr>
              <w:t>0.93</w:t>
            </w:r>
          </w:p>
          <w:p w:rsidR="007F2D50" w:rsidRPr="004F29AA" w:rsidRDefault="007F2D50" w:rsidP="007F2D50">
            <w:pPr>
              <w:jc w:val="center"/>
              <w:rPr>
                <w:rFonts w:ascii="Arial Narrow" w:hAnsi="Arial Narrow"/>
                <w:sz w:val="20"/>
              </w:rPr>
            </w:pPr>
            <w:r w:rsidRPr="00D54D7E">
              <w:rPr>
                <w:rFonts w:ascii="Arial Narrow" w:hAnsi="Arial Narrow"/>
                <w:sz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pStyle w:val="Tabletext"/>
              <w:jc w:val="right"/>
            </w:pP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tc>
      </w:tr>
      <w:tr w:rsidR="007F2D50" w:rsidRPr="004F29AA">
        <w:trPr>
          <w:cantSplit/>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left"/>
              <w:rPr>
                <w:rFonts w:ascii="Arial Narrow" w:hAnsi="Arial Narrow"/>
                <w:sz w:val="20"/>
              </w:rPr>
            </w:pPr>
            <w:r w:rsidRPr="004F29AA">
              <w:rPr>
                <w:rFonts w:ascii="Arial Narrow" w:hAnsi="Arial Narrow"/>
                <w:sz w:val="20"/>
              </w:rPr>
              <w:t>Blinatumomab AR-DRG code R60A in cycle 1 (base case = no)</w:t>
            </w:r>
            <w:r w:rsidR="00C501D1" w:rsidRPr="004F29AA">
              <w:rPr>
                <w:rFonts w:ascii="Arial Narrow" w:hAnsi="Arial Narrow"/>
                <w:sz w:val="20"/>
              </w:rPr>
              <w:t xml:space="preserve"> </w:t>
            </w:r>
            <w:r w:rsidR="00C501D1" w:rsidRPr="004F29AA">
              <w:rPr>
                <w:rFonts w:ascii="Arial Narrow" w:hAnsi="Arial Narrow"/>
                <w:sz w:val="20"/>
                <w:vertAlign w:val="superscript"/>
              </w:rPr>
              <w:t>a</w:t>
            </w:r>
          </w:p>
          <w:p w:rsidR="007F2D50" w:rsidRPr="004F29AA" w:rsidRDefault="007F2D50" w:rsidP="007F2D50">
            <w:pPr>
              <w:ind w:firstLine="142"/>
              <w:jc w:val="left"/>
              <w:rPr>
                <w:rFonts w:ascii="Arial Narrow" w:hAnsi="Arial Narrow"/>
                <w:sz w:val="20"/>
              </w:rPr>
            </w:pPr>
            <w:r w:rsidRPr="004F29AA">
              <w:rPr>
                <w:rFonts w:ascii="Arial Narrow" w:hAnsi="Arial Narrow"/>
                <w:sz w:val="20"/>
              </w:rPr>
              <w:t>Yes</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right"/>
              <w:rPr>
                <w:rFonts w:ascii="Arial Narrow" w:hAnsi="Arial Narrow"/>
                <w:sz w:val="20"/>
              </w:rPr>
            </w:pP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center"/>
              <w:rPr>
                <w:rFonts w:ascii="Arial Narrow" w:hAnsi="Arial Narrow"/>
                <w:sz w:val="20"/>
              </w:rPr>
            </w:pPr>
          </w:p>
          <w:p w:rsidR="007F2D50" w:rsidRPr="004F29AA" w:rsidRDefault="007F2D50" w:rsidP="007F2D50">
            <w:pPr>
              <w:jc w:val="center"/>
              <w:rPr>
                <w:rFonts w:ascii="Arial Narrow" w:hAnsi="Arial Narrow"/>
                <w:sz w:val="20"/>
              </w:rPr>
            </w:pPr>
            <w:r w:rsidRPr="00D54D7E">
              <w:rPr>
                <w:rFonts w:ascii="Arial Narrow" w:hAnsi="Arial Narrow"/>
                <w:sz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pStyle w:val="Tabletext"/>
              <w:jc w:val="right"/>
            </w:pPr>
          </w:p>
          <w:p w:rsidR="007F2D50" w:rsidRPr="004F29AA" w:rsidRDefault="007F2D50" w:rsidP="007F2D50">
            <w:pPr>
              <w:pStyle w:val="Tabletext"/>
              <w:jc w:val="right"/>
            </w:pPr>
            <w:r w:rsidRPr="004F29AA">
              <w:t>$</w:t>
            </w:r>
            <w:r w:rsidR="001503CE">
              <w:rPr>
                <w:noProof/>
                <w:color w:val="000000"/>
                <w:highlight w:val="black"/>
              </w:rPr>
              <w:t>'''''''''''''''''''''</w:t>
            </w:r>
          </w:p>
        </w:tc>
      </w:tr>
      <w:tr w:rsidR="007F2D50" w:rsidRPr="004F29AA">
        <w:trPr>
          <w:cantSplit/>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left"/>
              <w:rPr>
                <w:rFonts w:ascii="Arial Narrow" w:hAnsi="Arial Narrow"/>
                <w:sz w:val="20"/>
              </w:rPr>
            </w:pPr>
            <w:r w:rsidRPr="004F29AA">
              <w:rPr>
                <w:rFonts w:ascii="Arial Narrow" w:hAnsi="Arial Narrow"/>
                <w:sz w:val="20"/>
              </w:rPr>
              <w:lastRenderedPageBreak/>
              <w:t>SOC inpat</w:t>
            </w:r>
            <w:r w:rsidR="009D7C35" w:rsidRPr="004F29AA">
              <w:rPr>
                <w:rFonts w:ascii="Arial Narrow" w:hAnsi="Arial Narrow"/>
                <w:sz w:val="20"/>
              </w:rPr>
              <w:t>ient cost (base case = $</w:t>
            </w:r>
            <w:r w:rsidR="001503CE">
              <w:rPr>
                <w:rFonts w:ascii="Arial Narrow" w:hAnsi="Arial Narrow"/>
                <w:noProof/>
                <w:color w:val="000000"/>
                <w:sz w:val="20"/>
                <w:highlight w:val="black"/>
              </w:rPr>
              <w:t>''''''''''''''''</w:t>
            </w:r>
            <w:r w:rsidR="009D7C35" w:rsidRPr="004F29AA">
              <w:rPr>
                <w:rFonts w:ascii="Arial Narrow" w:hAnsi="Arial Narrow"/>
                <w:sz w:val="20"/>
              </w:rPr>
              <w:t>)</w:t>
            </w:r>
          </w:p>
          <w:p w:rsidR="007F2D50" w:rsidRPr="004F29AA" w:rsidRDefault="007F2D50" w:rsidP="007F2D50">
            <w:pPr>
              <w:ind w:firstLine="142"/>
              <w:jc w:val="lef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r w:rsidRPr="004F29AA">
              <w:rPr>
                <w:rFonts w:ascii="Arial Narrow" w:hAnsi="Arial Narrow"/>
                <w:sz w:val="20"/>
              </w:rPr>
              <w:t xml:space="preserve"> (i.e.</w:t>
            </w:r>
            <w:r w:rsidR="00AB1716" w:rsidRPr="004F29AA">
              <w:rPr>
                <w:rFonts w:ascii="Arial Narrow" w:hAnsi="Arial Narrow"/>
                <w:sz w:val="20"/>
              </w:rPr>
              <w:t xml:space="preserve"> </w:t>
            </w:r>
            <w:r w:rsidRPr="004F29AA">
              <w:rPr>
                <w:rFonts w:ascii="Arial Narrow" w:hAnsi="Arial Narrow"/>
                <w:sz w:val="20"/>
              </w:rPr>
              <w:t>x 0.5)</w:t>
            </w:r>
          </w:p>
          <w:p w:rsidR="007F2D50" w:rsidRPr="004F29AA" w:rsidRDefault="007F2D50" w:rsidP="007F2D50">
            <w:pPr>
              <w:ind w:firstLine="142"/>
              <w:jc w:val="lef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r w:rsidRPr="004F29AA">
              <w:rPr>
                <w:rFonts w:ascii="Arial Narrow" w:hAnsi="Arial Narrow"/>
                <w:sz w:val="20"/>
              </w:rPr>
              <w:t xml:space="preserve"> (i.e. x 1.5)</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right"/>
              <w:rPr>
                <w:rFonts w:ascii="Arial Narrow" w:hAnsi="Arial Narrow"/>
                <w:sz w:val="20"/>
              </w:rPr>
            </w:pP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center"/>
              <w:rPr>
                <w:rFonts w:ascii="Arial Narrow" w:hAnsi="Arial Narrow"/>
                <w:sz w:val="20"/>
              </w:rPr>
            </w:pPr>
          </w:p>
          <w:p w:rsidR="007F2D50" w:rsidRPr="00D54D7E" w:rsidRDefault="003E276F" w:rsidP="007F2D50">
            <w:pPr>
              <w:jc w:val="center"/>
              <w:rPr>
                <w:rFonts w:ascii="Arial Narrow" w:hAnsi="Arial Narrow"/>
                <w:sz w:val="20"/>
              </w:rPr>
            </w:pPr>
            <w:r w:rsidRPr="00D54D7E">
              <w:rPr>
                <w:rFonts w:ascii="Arial Narrow" w:hAnsi="Arial Narrow"/>
                <w:sz w:val="20"/>
              </w:rPr>
              <w:t>0.93</w:t>
            </w:r>
          </w:p>
          <w:p w:rsidR="007F2D50" w:rsidRPr="004F29AA" w:rsidRDefault="007F2D50" w:rsidP="007F2D50">
            <w:pPr>
              <w:jc w:val="center"/>
              <w:rPr>
                <w:rFonts w:ascii="Arial Narrow" w:hAnsi="Arial Narrow"/>
                <w:sz w:val="20"/>
              </w:rPr>
            </w:pPr>
            <w:r w:rsidRPr="00D54D7E">
              <w:rPr>
                <w:rFonts w:ascii="Arial Narrow" w:hAnsi="Arial Narrow"/>
                <w:sz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pStyle w:val="Tabletext"/>
              <w:jc w:val="right"/>
            </w:pP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tc>
      </w:tr>
      <w:tr w:rsidR="007F2D50" w:rsidRPr="004F29AA">
        <w:trPr>
          <w:cantSplit/>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left"/>
              <w:rPr>
                <w:rFonts w:ascii="Arial Narrow" w:hAnsi="Arial Narrow"/>
                <w:sz w:val="20"/>
              </w:rPr>
            </w:pPr>
            <w:r w:rsidRPr="004F29AA">
              <w:rPr>
                <w:rFonts w:ascii="Arial Narrow" w:hAnsi="Arial Narrow"/>
                <w:sz w:val="20"/>
              </w:rPr>
              <w:t>Blinatumomab drug cost (base case = $</w:t>
            </w:r>
            <w:r w:rsidR="008946F7">
              <w:rPr>
                <w:rFonts w:ascii="Arial Narrow" w:hAnsi="Arial Narrow"/>
                <w:noProof/>
                <w:color w:val="000000"/>
                <w:sz w:val="20"/>
                <w:highlight w:val="black"/>
              </w:rPr>
              <w:t>''''''''''''''''''''''</w:t>
            </w:r>
            <w:r w:rsidRPr="004F29AA">
              <w:rPr>
                <w:rFonts w:ascii="Arial Narrow" w:hAnsi="Arial Narrow"/>
                <w:sz w:val="20"/>
              </w:rPr>
              <w:t>/1,156 µg/46 vials)</w:t>
            </w:r>
          </w:p>
          <w:p w:rsidR="007F2D50" w:rsidRPr="004F29AA" w:rsidRDefault="007F2D50" w:rsidP="007F2D50">
            <w:pPr>
              <w:ind w:firstLine="142"/>
              <w:jc w:val="left"/>
              <w:rPr>
                <w:rFonts w:ascii="Arial Narrow" w:hAnsi="Arial Narrow"/>
                <w:sz w:val="20"/>
              </w:rPr>
            </w:pPr>
            <w:r w:rsidRPr="004F29AA">
              <w:rPr>
                <w:rFonts w:ascii="Arial Narrow" w:hAnsi="Arial Narrow"/>
                <w:sz w:val="20"/>
              </w:rPr>
              <w:t>$</w:t>
            </w:r>
            <w:r w:rsidR="00145D5C">
              <w:rPr>
                <w:rFonts w:ascii="Arial Narrow" w:hAnsi="Arial Narrow"/>
                <w:noProof/>
                <w:color w:val="000000"/>
                <w:sz w:val="20"/>
                <w:highlight w:val="black"/>
              </w:rPr>
              <w:t>'''''''''''''''''''</w:t>
            </w:r>
            <w:r w:rsidRPr="004F29AA">
              <w:rPr>
                <w:rFonts w:ascii="Arial Narrow" w:hAnsi="Arial Narrow"/>
                <w:sz w:val="20"/>
              </w:rPr>
              <w:t xml:space="preserve"> (i.e. x 0.9)</w:t>
            </w:r>
          </w:p>
          <w:p w:rsidR="007F2D50" w:rsidRPr="004F29AA" w:rsidRDefault="007F2D50" w:rsidP="007F2D50">
            <w:pPr>
              <w:ind w:firstLine="142"/>
              <w:jc w:val="lef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r w:rsidRPr="004F29AA">
              <w:rPr>
                <w:rFonts w:ascii="Arial Narrow" w:hAnsi="Arial Narrow"/>
                <w:sz w:val="20"/>
              </w:rPr>
              <w:t xml:space="preserve"> (i.e. x 1.1)</w:t>
            </w:r>
          </w:p>
          <w:p w:rsidR="007F2D50" w:rsidRPr="004F29AA" w:rsidRDefault="007F2D50" w:rsidP="007F2D50">
            <w:pPr>
              <w:ind w:firstLine="142"/>
              <w:jc w:val="left"/>
              <w:rPr>
                <w:rFonts w:ascii="Arial Narrow" w:hAnsi="Arial Narrow"/>
                <w:sz w:val="20"/>
              </w:rPr>
            </w:pPr>
            <w:r w:rsidRPr="000A4EE6">
              <w:rPr>
                <w:rFonts w:ascii="Arial Narrow" w:hAnsi="Arial Narrow"/>
                <w:sz w:val="20"/>
              </w:rPr>
              <w:t>$</w:t>
            </w:r>
            <w:r w:rsidR="001503CE">
              <w:rPr>
                <w:rFonts w:ascii="Arial Narrow" w:hAnsi="Arial Narrow"/>
                <w:noProof/>
                <w:color w:val="000000"/>
                <w:sz w:val="20"/>
                <w:highlight w:val="black"/>
              </w:rPr>
              <w:t>''''''''''''''''''</w:t>
            </w:r>
            <w:r w:rsidRPr="004F29AA">
              <w:rPr>
                <w:rFonts w:ascii="Arial Narrow" w:hAnsi="Arial Narrow"/>
                <w:sz w:val="20"/>
              </w:rPr>
              <w:t xml:space="preserve"> (assuming no wastage/</w:t>
            </w:r>
            <w:r w:rsidR="001503CE">
              <w:rPr>
                <w:rFonts w:ascii="Arial Narrow" w:hAnsi="Arial Narrow"/>
                <w:noProof/>
                <w:color w:val="000000"/>
                <w:sz w:val="20"/>
                <w:highlight w:val="black"/>
              </w:rPr>
              <w:t>''''''</w:t>
            </w:r>
            <w:r w:rsidRPr="004F29AA">
              <w:rPr>
                <w:rFonts w:ascii="Arial Narrow" w:hAnsi="Arial Narrow"/>
                <w:sz w:val="20"/>
              </w:rPr>
              <w:t xml:space="preserve"> vials)</w:t>
            </w:r>
          </w:p>
          <w:p w:rsidR="007F2D50" w:rsidRPr="004F29AA" w:rsidRDefault="007F2D50" w:rsidP="007F2D50">
            <w:pPr>
              <w:ind w:firstLine="142"/>
              <w:jc w:val="left"/>
              <w:rPr>
                <w:rFonts w:ascii="Arial Narrow" w:hAnsi="Arial Narrow"/>
                <w:sz w:val="20"/>
              </w:rPr>
            </w:pPr>
            <w:r w:rsidRPr="000A4EE6">
              <w:rPr>
                <w:rFonts w:ascii="Arial Narrow" w:hAnsi="Arial Narrow"/>
                <w:sz w:val="20"/>
              </w:rPr>
              <w:t>$</w:t>
            </w:r>
            <w:r w:rsidR="001503CE">
              <w:rPr>
                <w:rFonts w:ascii="Arial Narrow" w:hAnsi="Arial Narrow"/>
                <w:noProof/>
                <w:color w:val="000000"/>
                <w:sz w:val="20"/>
                <w:highlight w:val="black"/>
              </w:rPr>
              <w:t>'''''''''''''''''''</w:t>
            </w:r>
            <w:r w:rsidRPr="004F29AA">
              <w:rPr>
                <w:rFonts w:ascii="Arial Narrow" w:hAnsi="Arial Narrow"/>
                <w:sz w:val="20"/>
              </w:rPr>
              <w:t xml:space="preserve"> (assuming average use of </w:t>
            </w:r>
            <w:r w:rsidR="001503CE">
              <w:rPr>
                <w:rFonts w:ascii="Arial Narrow" w:hAnsi="Arial Narrow"/>
                <w:noProof/>
                <w:color w:val="000000"/>
                <w:sz w:val="20"/>
                <w:highlight w:val="black"/>
              </w:rPr>
              <w:t>'''''''''''''</w:t>
            </w:r>
            <w:r w:rsidRPr="004F29AA">
              <w:rPr>
                <w:rFonts w:ascii="Arial Narrow" w:hAnsi="Arial Narrow"/>
                <w:sz w:val="20"/>
              </w:rPr>
              <w:t xml:space="preserve"> µg/</w:t>
            </w:r>
            <w:r w:rsidR="001503CE">
              <w:rPr>
                <w:rFonts w:ascii="Arial Narrow" w:hAnsi="Arial Narrow"/>
                <w:noProof/>
                <w:color w:val="000000"/>
                <w:sz w:val="20"/>
                <w:highlight w:val="black"/>
              </w:rPr>
              <w:t>''''''</w:t>
            </w:r>
            <w:r w:rsidRPr="004F29AA">
              <w:rPr>
                <w:rFonts w:ascii="Arial Narrow" w:hAnsi="Arial Narrow"/>
                <w:sz w:val="20"/>
              </w:rPr>
              <w:t xml:space="preserve"> vials)</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right"/>
              <w:rPr>
                <w:rFonts w:ascii="Arial Narrow" w:hAnsi="Arial Narrow"/>
                <w:sz w:val="20"/>
              </w:rPr>
            </w:pP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center"/>
              <w:rPr>
                <w:rFonts w:ascii="Arial Narrow" w:hAnsi="Arial Narrow"/>
                <w:sz w:val="20"/>
              </w:rPr>
            </w:pPr>
          </w:p>
          <w:p w:rsidR="007F2D50" w:rsidRPr="00D54D7E" w:rsidRDefault="003E276F" w:rsidP="007F2D50">
            <w:pPr>
              <w:jc w:val="center"/>
              <w:rPr>
                <w:rFonts w:ascii="Arial Narrow" w:hAnsi="Arial Narrow"/>
                <w:sz w:val="20"/>
              </w:rPr>
            </w:pPr>
            <w:r w:rsidRPr="00D54D7E">
              <w:rPr>
                <w:rFonts w:ascii="Arial Narrow" w:hAnsi="Arial Narrow"/>
                <w:sz w:val="20"/>
              </w:rPr>
              <w:t>0.93</w:t>
            </w:r>
          </w:p>
          <w:p w:rsidR="007F2D50" w:rsidRPr="00D54D7E" w:rsidRDefault="003E276F" w:rsidP="007F2D50">
            <w:pPr>
              <w:jc w:val="center"/>
              <w:rPr>
                <w:rFonts w:ascii="Arial Narrow" w:hAnsi="Arial Narrow"/>
                <w:sz w:val="20"/>
              </w:rPr>
            </w:pPr>
            <w:r w:rsidRPr="00D54D7E">
              <w:rPr>
                <w:rFonts w:ascii="Arial Narrow" w:hAnsi="Arial Narrow"/>
                <w:sz w:val="20"/>
              </w:rPr>
              <w:t>0.93</w:t>
            </w:r>
          </w:p>
          <w:p w:rsidR="007F2D50" w:rsidRPr="00D54D7E" w:rsidRDefault="007F2D50" w:rsidP="007F2D50">
            <w:pPr>
              <w:jc w:val="center"/>
              <w:rPr>
                <w:rFonts w:ascii="Arial Narrow" w:hAnsi="Arial Narrow"/>
                <w:sz w:val="20"/>
              </w:rPr>
            </w:pPr>
            <w:r w:rsidRPr="00D54D7E">
              <w:rPr>
                <w:rFonts w:ascii="Arial Narrow" w:hAnsi="Arial Narrow"/>
                <w:sz w:val="20"/>
              </w:rPr>
              <w:t>0.93</w:t>
            </w:r>
          </w:p>
          <w:p w:rsidR="007F2D50" w:rsidRPr="004F29AA" w:rsidRDefault="007F2D50" w:rsidP="003E276F">
            <w:pPr>
              <w:jc w:val="center"/>
              <w:rPr>
                <w:rFonts w:ascii="Arial Narrow" w:hAnsi="Arial Narrow"/>
                <w:sz w:val="20"/>
              </w:rPr>
            </w:pPr>
            <w:r w:rsidRPr="00D54D7E">
              <w:rPr>
                <w:rFonts w:ascii="Arial Narrow" w:hAnsi="Arial Narrow"/>
                <w:sz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pStyle w:val="Tabletext"/>
              <w:jc w:val="right"/>
            </w:pP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tc>
      </w:tr>
      <w:tr w:rsidR="007F2D50" w:rsidRPr="004F29AA">
        <w:trPr>
          <w:cantSplit/>
        </w:trPr>
        <w:tc>
          <w:tcPr>
            <w:tcW w:w="4961"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left"/>
              <w:rPr>
                <w:rFonts w:ascii="Arial Narrow" w:hAnsi="Arial Narrow"/>
                <w:sz w:val="20"/>
              </w:rPr>
            </w:pPr>
            <w:r w:rsidRPr="004F29AA">
              <w:rPr>
                <w:rFonts w:ascii="Arial Narrow" w:hAnsi="Arial Narrow"/>
                <w:sz w:val="20"/>
              </w:rPr>
              <w:t>% of blinatumomab non-responders (base case = 0.572)</w:t>
            </w:r>
          </w:p>
          <w:p w:rsidR="007F2D50" w:rsidRPr="004F29AA" w:rsidRDefault="007F2D50" w:rsidP="007F2D50">
            <w:pPr>
              <w:ind w:firstLine="142"/>
              <w:jc w:val="left"/>
              <w:rPr>
                <w:rFonts w:ascii="Arial Narrow" w:hAnsi="Arial Narrow"/>
                <w:sz w:val="20"/>
              </w:rPr>
            </w:pPr>
            <w:r w:rsidRPr="004F29AA">
              <w:rPr>
                <w:rFonts w:ascii="Arial Narrow" w:hAnsi="Arial Narrow"/>
                <w:sz w:val="20"/>
              </w:rPr>
              <w:t>0.458 (i.e. x 0.8)</w:t>
            </w:r>
          </w:p>
          <w:p w:rsidR="007F2D50" w:rsidRPr="004F29AA" w:rsidRDefault="007F2D50" w:rsidP="007F2D50">
            <w:pPr>
              <w:ind w:firstLine="142"/>
              <w:jc w:val="left"/>
              <w:rPr>
                <w:rFonts w:ascii="Arial Narrow" w:hAnsi="Arial Narrow"/>
                <w:sz w:val="20"/>
              </w:rPr>
            </w:pPr>
            <w:r w:rsidRPr="004F29AA">
              <w:rPr>
                <w:rFonts w:ascii="Arial Narrow" w:hAnsi="Arial Narrow"/>
                <w:sz w:val="20"/>
              </w:rPr>
              <w:t>0.686 (i.e. x 1.2)</w:t>
            </w:r>
          </w:p>
          <w:p w:rsidR="007F2D50" w:rsidRPr="004F29AA" w:rsidRDefault="007F2D50" w:rsidP="007F2D50">
            <w:pPr>
              <w:ind w:firstLine="142"/>
              <w:jc w:val="left"/>
              <w:rPr>
                <w:rFonts w:ascii="Arial Narrow" w:hAnsi="Arial Narrow"/>
                <w:sz w:val="20"/>
              </w:rPr>
            </w:pPr>
            <w:r w:rsidRPr="00D54D7E">
              <w:rPr>
                <w:rFonts w:ascii="Arial Narrow" w:hAnsi="Arial Narrow"/>
                <w:sz w:val="20"/>
              </w:rPr>
              <w:t>0.56</w:t>
            </w:r>
            <w:r w:rsidRPr="004F29AA">
              <w:rPr>
                <w:rFonts w:ascii="Arial Narrow" w:hAnsi="Arial Narrow"/>
                <w:sz w:val="20"/>
              </w:rPr>
              <w:t xml:space="preserve"> (FAS population in MT103-211)</w:t>
            </w:r>
          </w:p>
        </w:tc>
        <w:tc>
          <w:tcPr>
            <w:tcW w:w="1134"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right"/>
              <w:rPr>
                <w:rFonts w:ascii="Arial Narrow" w:hAnsi="Arial Narrow"/>
                <w:sz w:val="20"/>
              </w:rPr>
            </w:pP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p w:rsidR="007F2D50" w:rsidRPr="004F29AA" w:rsidRDefault="007F2D50" w:rsidP="007F2D50">
            <w:pPr>
              <w:jc w:val="right"/>
              <w:rPr>
                <w:rFonts w:ascii="Arial Narrow" w:hAnsi="Arial Narrow"/>
                <w:sz w:val="20"/>
              </w:rPr>
            </w:pPr>
            <w:r w:rsidRPr="004F29AA">
              <w:rPr>
                <w:rFonts w:ascii="Arial Narrow" w:hAnsi="Arial Narrow"/>
                <w:sz w:val="20"/>
              </w:rPr>
              <w:t>$</w:t>
            </w:r>
            <w:r w:rsidR="001503CE">
              <w:rPr>
                <w:rFonts w:ascii="Arial Narrow" w:hAnsi="Arial Narrow"/>
                <w:noProof/>
                <w:color w:val="000000"/>
                <w:sz w:val="20"/>
                <w:highlight w:val="black"/>
              </w:rPr>
              <w:t>'''''''''''''''</w:t>
            </w:r>
          </w:p>
        </w:tc>
        <w:tc>
          <w:tcPr>
            <w:tcW w:w="1510" w:type="dxa"/>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jc w:val="center"/>
              <w:rPr>
                <w:rFonts w:ascii="Arial Narrow" w:hAnsi="Arial Narrow"/>
                <w:sz w:val="20"/>
              </w:rPr>
            </w:pPr>
          </w:p>
          <w:p w:rsidR="007F2D50" w:rsidRPr="00D54D7E" w:rsidRDefault="003E276F" w:rsidP="007F2D50">
            <w:pPr>
              <w:jc w:val="center"/>
              <w:rPr>
                <w:rFonts w:ascii="Arial Narrow" w:hAnsi="Arial Narrow"/>
                <w:sz w:val="20"/>
              </w:rPr>
            </w:pPr>
            <w:r w:rsidRPr="00D54D7E">
              <w:rPr>
                <w:rFonts w:ascii="Arial Narrow" w:hAnsi="Arial Narrow"/>
                <w:sz w:val="20"/>
              </w:rPr>
              <w:t>0.93</w:t>
            </w:r>
          </w:p>
          <w:p w:rsidR="007F2D50" w:rsidRPr="00D54D7E" w:rsidRDefault="003E276F" w:rsidP="007F2D50">
            <w:pPr>
              <w:jc w:val="center"/>
              <w:rPr>
                <w:rFonts w:ascii="Arial Narrow" w:hAnsi="Arial Narrow"/>
                <w:sz w:val="20"/>
              </w:rPr>
            </w:pPr>
            <w:r w:rsidRPr="00D54D7E">
              <w:rPr>
                <w:rFonts w:ascii="Arial Narrow" w:hAnsi="Arial Narrow"/>
                <w:sz w:val="20"/>
              </w:rPr>
              <w:t>0.94</w:t>
            </w:r>
          </w:p>
          <w:p w:rsidR="007F2D50" w:rsidRPr="004F29AA" w:rsidRDefault="007F2D50" w:rsidP="003E276F">
            <w:pPr>
              <w:jc w:val="center"/>
              <w:rPr>
                <w:rFonts w:ascii="Arial Narrow" w:hAnsi="Arial Narrow"/>
                <w:sz w:val="20"/>
              </w:rPr>
            </w:pPr>
            <w:r w:rsidRPr="00D54D7E">
              <w:rPr>
                <w:rFonts w:ascii="Arial Narrow" w:hAnsi="Arial Narrow"/>
                <w:sz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7F2D50" w:rsidRPr="004F29AA" w:rsidRDefault="007F2D50" w:rsidP="007F2D50">
            <w:pPr>
              <w:pStyle w:val="Tabletext"/>
              <w:jc w:val="right"/>
            </w:pP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p w:rsidR="007F2D50" w:rsidRPr="004F29AA" w:rsidRDefault="007F2D50" w:rsidP="007F2D50">
            <w:pPr>
              <w:pStyle w:val="Tabletext"/>
              <w:jc w:val="right"/>
            </w:pPr>
            <w:r w:rsidRPr="004F29AA">
              <w:t>$</w:t>
            </w:r>
            <w:r w:rsidR="001503CE">
              <w:rPr>
                <w:noProof/>
                <w:color w:val="000000"/>
                <w:highlight w:val="black"/>
              </w:rPr>
              <w:t>'''''''''''''''''''''</w:t>
            </w:r>
          </w:p>
        </w:tc>
      </w:tr>
    </w:tbl>
    <w:p w:rsidR="007F2D50" w:rsidRPr="004F29AA" w:rsidRDefault="007F2D50" w:rsidP="007F2D50">
      <w:pPr>
        <w:pStyle w:val="TableFooter"/>
        <w:ind w:firstLine="720"/>
      </w:pPr>
      <w:r w:rsidRPr="004F29AA">
        <w:t>Source: Blin_v_03j.xlsm, Excel Economic Model file</w:t>
      </w:r>
    </w:p>
    <w:p w:rsidR="007F2D50" w:rsidRPr="004F29AA" w:rsidRDefault="00CB389D" w:rsidP="007F2D50">
      <w:pPr>
        <w:pStyle w:val="TableFooter"/>
        <w:ind w:left="720"/>
      </w:pPr>
      <w:r w:rsidRPr="004F29AA">
        <w:t xml:space="preserve">AR-DRG = Australian refined </w:t>
      </w:r>
      <w:r w:rsidR="00352D75" w:rsidRPr="004F29AA">
        <w:t>diagnosis</w:t>
      </w:r>
      <w:r w:rsidRPr="004F29AA">
        <w:t xml:space="preserve">-related group; FAS = full analysis set; </w:t>
      </w:r>
      <w:r w:rsidR="007F2D50" w:rsidRPr="004F29AA">
        <w:t>ICER = incremental cost-effectiveness ratio; SOC = standard of care; FAS = full analysis set</w:t>
      </w:r>
    </w:p>
    <w:p w:rsidR="00C501D1" w:rsidRPr="004F29AA" w:rsidRDefault="00C501D1" w:rsidP="007F2D50">
      <w:pPr>
        <w:pStyle w:val="TableFooter"/>
        <w:ind w:left="720"/>
      </w:pPr>
      <w:r w:rsidRPr="004F29AA">
        <w:rPr>
          <w:vertAlign w:val="superscript"/>
        </w:rPr>
        <w:t>a</w:t>
      </w:r>
      <w:r w:rsidRPr="004F29AA">
        <w:t xml:space="preserve"> This was to reflect the serious safety risk for patients treated with blinatumomab in the first cycle, i.e. uncommon neurologic events and cytokine release syndrome; R60A = acute leukaemia with catastrophic complication or co-morbidity</w:t>
      </w:r>
    </w:p>
    <w:p w:rsidR="007F2D50" w:rsidRPr="004F29AA" w:rsidRDefault="007F2D50" w:rsidP="007F2D50">
      <w:pPr>
        <w:pStyle w:val="ListParagraph"/>
        <w:widowControl/>
        <w:rPr>
          <w:szCs w:val="22"/>
        </w:rPr>
      </w:pPr>
    </w:p>
    <w:p w:rsidR="007F2D50" w:rsidRPr="004F29AA" w:rsidRDefault="007F2D50" w:rsidP="000442E2">
      <w:pPr>
        <w:pStyle w:val="ListParagraph"/>
        <w:widowControl/>
        <w:numPr>
          <w:ilvl w:val="1"/>
          <w:numId w:val="1"/>
        </w:numPr>
        <w:rPr>
          <w:szCs w:val="22"/>
        </w:rPr>
      </w:pPr>
      <w:r w:rsidRPr="004F29AA">
        <w:t xml:space="preserve">The results of the sensitivity analyses showed that the economic model was most sensitive to the time horizon, inpatient costs associated with standard of care chemotherapy, inpatient costs associated with blinatumomab (specifically whether </w:t>
      </w:r>
      <w:r w:rsidR="00EC33AA" w:rsidRPr="004F29AA">
        <w:t>Australian refined diagnosis-related group (</w:t>
      </w:r>
      <w:r w:rsidRPr="004F29AA">
        <w:t>AR-DRG</w:t>
      </w:r>
      <w:r w:rsidR="00EC33AA" w:rsidRPr="004F29AA">
        <w:t>)</w:t>
      </w:r>
      <w:r w:rsidRPr="004F29AA">
        <w:t xml:space="preserve"> R60A was included)</w:t>
      </w:r>
      <w:r w:rsidR="00C501D1" w:rsidRPr="004F29AA">
        <w:t>, and number of blinatumomab vials required</w:t>
      </w:r>
      <w:r w:rsidRPr="004F29AA">
        <w:t>.</w:t>
      </w:r>
    </w:p>
    <w:p w:rsidR="006778EB" w:rsidRPr="004F29AA" w:rsidRDefault="006778EB" w:rsidP="006778EB">
      <w:pPr>
        <w:widowControl/>
        <w:rPr>
          <w:i/>
          <w:szCs w:val="22"/>
        </w:rPr>
      </w:pPr>
      <w:bookmarkStart w:id="28" w:name="_Toc426958220"/>
      <w:bookmarkStart w:id="29" w:name="_Toc430079474"/>
    </w:p>
    <w:p w:rsidR="006778EB" w:rsidRPr="004F29AA" w:rsidRDefault="006778EB" w:rsidP="006778EB">
      <w:pPr>
        <w:widowControl/>
        <w:rPr>
          <w:szCs w:val="22"/>
        </w:rPr>
      </w:pPr>
      <w:r w:rsidRPr="004F29AA">
        <w:rPr>
          <w:i/>
          <w:szCs w:val="22"/>
        </w:rPr>
        <w:t>For more detail on PBAC’s view, see section 7 “PBAC outcome”</w:t>
      </w:r>
    </w:p>
    <w:p w:rsidR="00732C32" w:rsidRPr="004F29AA" w:rsidRDefault="00732C32" w:rsidP="00C91665">
      <w:pPr>
        <w:widowControl/>
        <w:jc w:val="left"/>
        <w:rPr>
          <w:i/>
        </w:rPr>
      </w:pPr>
    </w:p>
    <w:p w:rsidR="007F2D50" w:rsidRPr="004F29AA" w:rsidRDefault="007F2D50" w:rsidP="00C91665">
      <w:pPr>
        <w:widowControl/>
        <w:jc w:val="left"/>
        <w:rPr>
          <w:b/>
          <w:i/>
        </w:rPr>
      </w:pPr>
      <w:r w:rsidRPr="004F29AA">
        <w:rPr>
          <w:b/>
          <w:i/>
        </w:rPr>
        <w:t>Drug cost/patient</w:t>
      </w:r>
      <w:r w:rsidR="00FB4219" w:rsidRPr="004F29AA">
        <w:rPr>
          <w:b/>
          <w:i/>
        </w:rPr>
        <w:t>/</w:t>
      </w:r>
      <w:r w:rsidR="001F2B52" w:rsidRPr="004F29AA">
        <w:rPr>
          <w:b/>
          <w:i/>
        </w:rPr>
        <w:t>treatment</w:t>
      </w:r>
      <w:r w:rsidRPr="004F29AA">
        <w:rPr>
          <w:b/>
          <w:i/>
        </w:rPr>
        <w:t>: $</w:t>
      </w:r>
      <w:bookmarkEnd w:id="28"/>
      <w:bookmarkEnd w:id="29"/>
      <w:r w:rsidR="001503CE">
        <w:rPr>
          <w:b/>
          <w:i/>
          <w:noProof/>
          <w:color w:val="000000"/>
          <w:highlight w:val="black"/>
        </w:rPr>
        <w:t>'''''''''''''''''</w:t>
      </w:r>
    </w:p>
    <w:p w:rsidR="007F2D50" w:rsidRPr="004F29AA" w:rsidRDefault="007F2D50" w:rsidP="007F2D50">
      <w:pPr>
        <w:widowControl/>
        <w:rPr>
          <w:szCs w:val="22"/>
        </w:rPr>
      </w:pPr>
    </w:p>
    <w:p w:rsidR="007F2D50" w:rsidRPr="004F29AA" w:rsidRDefault="007F2D50" w:rsidP="000442E2">
      <w:pPr>
        <w:pStyle w:val="ListParagraph"/>
        <w:widowControl/>
        <w:numPr>
          <w:ilvl w:val="1"/>
          <w:numId w:val="1"/>
        </w:numPr>
        <w:rPr>
          <w:szCs w:val="22"/>
        </w:rPr>
      </w:pPr>
      <w:r w:rsidRPr="004F29AA">
        <w:rPr>
          <w:szCs w:val="22"/>
        </w:rPr>
        <w:t xml:space="preserve">The estimated cost per blinatumomab treatment would </w:t>
      </w:r>
      <w:r w:rsidR="00FC5EAC" w:rsidRPr="004F29AA">
        <w:rPr>
          <w:szCs w:val="22"/>
        </w:rPr>
        <w:t xml:space="preserve">be </w:t>
      </w:r>
      <w:r w:rsidRPr="004F29AA">
        <w:rPr>
          <w:szCs w:val="22"/>
        </w:rPr>
        <w:t>$</w:t>
      </w:r>
      <w:r w:rsidR="001503CE">
        <w:rPr>
          <w:noProof/>
          <w:color w:val="000000"/>
          <w:szCs w:val="22"/>
          <w:highlight w:val="black"/>
        </w:rPr>
        <w:t>''''''''''''''''''</w:t>
      </w:r>
      <w:r w:rsidRPr="004F29AA">
        <w:rPr>
          <w:szCs w:val="22"/>
        </w:rPr>
        <w:t xml:space="preserve">, assuming an average total dose of </w:t>
      </w:r>
      <w:r w:rsidR="001503CE">
        <w:rPr>
          <w:noProof/>
          <w:color w:val="000000"/>
          <w:szCs w:val="22"/>
          <w:highlight w:val="black"/>
        </w:rPr>
        <w:t xml:space="preserve">'''''''''''''' </w:t>
      </w:r>
      <w:r w:rsidRPr="004F29AA">
        <w:rPr>
          <w:szCs w:val="22"/>
        </w:rPr>
        <w:t xml:space="preserve">µg </w:t>
      </w:r>
      <w:r w:rsidR="00C501D1" w:rsidRPr="004F29AA">
        <w:rPr>
          <w:szCs w:val="22"/>
        </w:rPr>
        <w:t xml:space="preserve">supplied in </w:t>
      </w:r>
      <w:r w:rsidR="001503CE">
        <w:rPr>
          <w:noProof/>
          <w:color w:val="000000"/>
          <w:szCs w:val="22"/>
          <w:highlight w:val="black"/>
        </w:rPr>
        <w:t>''''''</w:t>
      </w:r>
      <w:r w:rsidRPr="004F29AA">
        <w:rPr>
          <w:szCs w:val="22"/>
        </w:rPr>
        <w:t xml:space="preserve"> vials</w:t>
      </w:r>
      <w:r w:rsidR="004B70E4" w:rsidRPr="004F29AA">
        <w:rPr>
          <w:szCs w:val="22"/>
        </w:rPr>
        <w:t>.</w:t>
      </w:r>
      <w:r w:rsidRPr="004F29AA">
        <w:rPr>
          <w:szCs w:val="22"/>
        </w:rPr>
        <w:t xml:space="preserve"> </w:t>
      </w:r>
      <w:r w:rsidR="004B70E4" w:rsidRPr="004F29AA">
        <w:rPr>
          <w:szCs w:val="22"/>
        </w:rPr>
        <w:t>T</w:t>
      </w:r>
      <w:r w:rsidRPr="004F29AA">
        <w:rPr>
          <w:szCs w:val="22"/>
        </w:rPr>
        <w:t xml:space="preserve">his was based on the dose in the key clinical study MT103-211, where all patients </w:t>
      </w:r>
      <w:r w:rsidR="009D7C35" w:rsidRPr="004F29AA">
        <w:rPr>
          <w:szCs w:val="22"/>
        </w:rPr>
        <w:t>commenced</w:t>
      </w:r>
      <w:r w:rsidRPr="004F29AA">
        <w:rPr>
          <w:szCs w:val="22"/>
        </w:rPr>
        <w:t xml:space="preserve"> </w:t>
      </w:r>
      <w:r w:rsidR="004B70E4" w:rsidRPr="004F29AA">
        <w:rPr>
          <w:szCs w:val="22"/>
        </w:rPr>
        <w:t>C</w:t>
      </w:r>
      <w:r w:rsidRPr="004F29AA">
        <w:rPr>
          <w:szCs w:val="22"/>
        </w:rPr>
        <w:t xml:space="preserve">ycle </w:t>
      </w:r>
      <w:r w:rsidR="00CB3186" w:rsidRPr="004F29AA">
        <w:rPr>
          <w:szCs w:val="22"/>
        </w:rPr>
        <w:t>1</w:t>
      </w:r>
      <w:r w:rsidRPr="004F29AA">
        <w:rPr>
          <w:szCs w:val="22"/>
        </w:rPr>
        <w:t xml:space="preserve">, 51% </w:t>
      </w:r>
      <w:r w:rsidR="009D7C35" w:rsidRPr="004F29AA">
        <w:rPr>
          <w:szCs w:val="22"/>
        </w:rPr>
        <w:t>commenced</w:t>
      </w:r>
      <w:r w:rsidRPr="004F29AA">
        <w:rPr>
          <w:szCs w:val="22"/>
        </w:rPr>
        <w:t xml:space="preserve"> the second cycle and </w:t>
      </w:r>
      <w:r w:rsidR="00C501D1" w:rsidRPr="004F29AA">
        <w:rPr>
          <w:szCs w:val="22"/>
        </w:rPr>
        <w:t xml:space="preserve">41% of patients would receive additional cycles </w:t>
      </w:r>
      <w:r w:rsidR="00C501D1" w:rsidRPr="004F29AA">
        <w:t xml:space="preserve">(41% = 22.8% of patients commence Cycle </w:t>
      </w:r>
      <w:r w:rsidR="00CB3186" w:rsidRPr="004F29AA">
        <w:t>3</w:t>
      </w:r>
      <w:r w:rsidR="00C501D1" w:rsidRPr="004F29AA">
        <w:t xml:space="preserve"> + 11.6% commence Cycle </w:t>
      </w:r>
      <w:r w:rsidR="00CB3186" w:rsidRPr="004F29AA">
        <w:t>4</w:t>
      </w:r>
      <w:r w:rsidR="00C501D1" w:rsidRPr="004F29AA">
        <w:t xml:space="preserve"> + 6.9% commence Cycle </w:t>
      </w:r>
      <w:r w:rsidR="00CB3186" w:rsidRPr="004F29AA">
        <w:t>5</w:t>
      </w:r>
      <w:r w:rsidR="00C501D1" w:rsidRPr="004F29AA">
        <w:t>)</w:t>
      </w:r>
      <w:r w:rsidRPr="004F29AA">
        <w:rPr>
          <w:szCs w:val="22"/>
        </w:rPr>
        <w:t xml:space="preserve">. </w:t>
      </w:r>
      <w:r w:rsidR="00FB4219" w:rsidRPr="004F29AA">
        <w:rPr>
          <w:szCs w:val="22"/>
        </w:rPr>
        <w:t>This cost should be once per lifetime as retreatment is not recommended in the NCCN guidelines.</w:t>
      </w:r>
    </w:p>
    <w:p w:rsidR="002928FC" w:rsidRPr="004F29AA" w:rsidRDefault="002928FC" w:rsidP="002928FC">
      <w:pPr>
        <w:pStyle w:val="ListParagraph"/>
        <w:widowControl/>
        <w:rPr>
          <w:szCs w:val="22"/>
        </w:rPr>
      </w:pPr>
    </w:p>
    <w:p w:rsidR="002928FC" w:rsidRPr="004F29AA" w:rsidRDefault="002928FC" w:rsidP="000442E2">
      <w:pPr>
        <w:pStyle w:val="ListParagraph"/>
        <w:widowControl/>
        <w:numPr>
          <w:ilvl w:val="1"/>
          <w:numId w:val="1"/>
        </w:numPr>
        <w:rPr>
          <w:szCs w:val="22"/>
        </w:rPr>
      </w:pPr>
      <w:r w:rsidRPr="004F29AA">
        <w:rPr>
          <w:szCs w:val="22"/>
        </w:rPr>
        <w:t xml:space="preserve">The ESC considered it would be informative to know how many patients in the trial remained on treatment after the first cycle and what were the reasons for discontinuing therapy (ie no response, response-then HSCT, relapse, death). </w:t>
      </w:r>
      <w:r w:rsidR="00EE23EC" w:rsidRPr="004F29AA">
        <w:rPr>
          <w:szCs w:val="22"/>
        </w:rPr>
        <w:t xml:space="preserve">This was provided in the Pre-PBAC response (p3). </w:t>
      </w:r>
    </w:p>
    <w:p w:rsidR="007F2D50" w:rsidRPr="004F29AA" w:rsidRDefault="007F2D50" w:rsidP="007F2D50">
      <w:pPr>
        <w:pStyle w:val="ListParagraph"/>
        <w:widowControl/>
        <w:rPr>
          <w:szCs w:val="22"/>
        </w:rPr>
      </w:pPr>
    </w:p>
    <w:p w:rsidR="007F2D50" w:rsidRPr="004F29AA" w:rsidRDefault="007F2D50" w:rsidP="007F2D50">
      <w:pPr>
        <w:pStyle w:val="Heading2"/>
        <w:rPr>
          <w:i/>
        </w:rPr>
      </w:pPr>
      <w:bookmarkStart w:id="30" w:name="_Toc426958221"/>
      <w:bookmarkStart w:id="31" w:name="_Toc430079475"/>
      <w:r w:rsidRPr="004F29AA">
        <w:rPr>
          <w:i/>
        </w:rPr>
        <w:t>Estimated PBS usage &amp; financial implications</w:t>
      </w:r>
      <w:bookmarkEnd w:id="30"/>
      <w:bookmarkEnd w:id="31"/>
    </w:p>
    <w:p w:rsidR="007F2D50" w:rsidRPr="004F29AA" w:rsidRDefault="007F2D50" w:rsidP="007F2D50">
      <w:pPr>
        <w:ind w:left="720" w:hanging="720"/>
        <w:rPr>
          <w:b/>
          <w:i/>
          <w:szCs w:val="22"/>
        </w:rPr>
      </w:pPr>
    </w:p>
    <w:p w:rsidR="007F2D50" w:rsidRPr="004F29AA" w:rsidRDefault="007F2D50" w:rsidP="000442E2">
      <w:pPr>
        <w:pStyle w:val="ListParagraph"/>
        <w:widowControl/>
        <w:numPr>
          <w:ilvl w:val="1"/>
          <w:numId w:val="1"/>
        </w:numPr>
        <w:rPr>
          <w:szCs w:val="22"/>
        </w:rPr>
      </w:pPr>
      <w:r w:rsidRPr="004F29AA">
        <w:t>T</w:t>
      </w:r>
      <w:r w:rsidR="00B65175" w:rsidRPr="004F29AA">
        <w:t xml:space="preserve">his submission </w:t>
      </w:r>
      <w:r w:rsidR="005A3A1D" w:rsidRPr="004F29AA">
        <w:t>was</w:t>
      </w:r>
      <w:r w:rsidR="00B65175" w:rsidRPr="004F29AA">
        <w:t xml:space="preserve"> not</w:t>
      </w:r>
      <w:r w:rsidRPr="004F29AA">
        <w:t xml:space="preserve"> considered by DUSC</w:t>
      </w:r>
      <w:r w:rsidRPr="004F29AA">
        <w:rPr>
          <w:color w:val="0070C0"/>
        </w:rPr>
        <w:t xml:space="preserve">. </w:t>
      </w:r>
      <w:r w:rsidRPr="004F29AA">
        <w:t>The submission used an epidemiological approach</w:t>
      </w:r>
      <w:r w:rsidR="00566E9F" w:rsidRPr="004F29AA">
        <w:t xml:space="preserve"> (incidence population)</w:t>
      </w:r>
      <w:r w:rsidRPr="004F29AA">
        <w:t xml:space="preserve"> to estimate the extent of use of blinatumomab and the financial implications to the PBS/RPBS and MBS. </w:t>
      </w:r>
    </w:p>
    <w:p w:rsidR="007F2D50" w:rsidRPr="004F29AA" w:rsidRDefault="007F2D50" w:rsidP="007F2D50">
      <w:pPr>
        <w:pStyle w:val="ListParagraph"/>
        <w:widowControl/>
        <w:rPr>
          <w:szCs w:val="22"/>
        </w:rPr>
      </w:pPr>
    </w:p>
    <w:p w:rsidR="007F2D50" w:rsidRPr="004F29AA" w:rsidRDefault="007F2D50" w:rsidP="007F2D50">
      <w:pPr>
        <w:keepNext/>
        <w:ind w:firstLine="709"/>
        <w:rPr>
          <w:rStyle w:val="CommentReference"/>
        </w:rPr>
      </w:pPr>
      <w:r w:rsidRPr="004F29AA">
        <w:rPr>
          <w:rStyle w:val="CommentReference"/>
        </w:rPr>
        <w:lastRenderedPageBreak/>
        <w:t xml:space="preserve">Table </w:t>
      </w:r>
      <w:r w:rsidR="008A59F3" w:rsidRPr="004F29AA">
        <w:rPr>
          <w:rStyle w:val="CommentReference"/>
        </w:rPr>
        <w:t>10</w:t>
      </w:r>
      <w:r w:rsidRPr="004F29AA">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269"/>
        <w:gridCol w:w="1134"/>
        <w:gridCol w:w="1134"/>
        <w:gridCol w:w="1275"/>
        <w:gridCol w:w="1275"/>
        <w:gridCol w:w="1260"/>
      </w:tblGrid>
      <w:tr w:rsidR="007F2D50" w:rsidRPr="004F29AA">
        <w:trPr>
          <w:cantSplit/>
          <w:tblHeader/>
        </w:trPr>
        <w:tc>
          <w:tcPr>
            <w:tcW w:w="1359" w:type="pct"/>
            <w:shd w:val="clear" w:color="auto" w:fill="auto"/>
            <w:vAlign w:val="center"/>
          </w:tcPr>
          <w:p w:rsidR="007F2D50" w:rsidRPr="004F29AA" w:rsidRDefault="007F2D50" w:rsidP="007F2D50">
            <w:pPr>
              <w:keepNext/>
              <w:tabs>
                <w:tab w:val="left" w:pos="142"/>
              </w:tabs>
              <w:jc w:val="left"/>
              <w:rPr>
                <w:rFonts w:ascii="Arial Narrow" w:hAnsi="Arial Narrow"/>
                <w:b/>
                <w:sz w:val="20"/>
              </w:rPr>
            </w:pPr>
          </w:p>
        </w:tc>
        <w:tc>
          <w:tcPr>
            <w:tcW w:w="679"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Year 1</w:t>
            </w:r>
          </w:p>
        </w:tc>
        <w:tc>
          <w:tcPr>
            <w:tcW w:w="679"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Year 2</w:t>
            </w:r>
          </w:p>
        </w:tc>
        <w:tc>
          <w:tcPr>
            <w:tcW w:w="764"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Year 3</w:t>
            </w:r>
          </w:p>
        </w:tc>
        <w:tc>
          <w:tcPr>
            <w:tcW w:w="764"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Year 4</w:t>
            </w:r>
          </w:p>
        </w:tc>
        <w:tc>
          <w:tcPr>
            <w:tcW w:w="755" w:type="pct"/>
            <w:shd w:val="clear" w:color="auto" w:fill="auto"/>
            <w:vAlign w:val="center"/>
          </w:tcPr>
          <w:p w:rsidR="007F2D50" w:rsidRPr="004F29AA" w:rsidRDefault="007F2D50" w:rsidP="007F2D50">
            <w:pPr>
              <w:keepNext/>
              <w:jc w:val="center"/>
              <w:rPr>
                <w:rFonts w:ascii="Arial Narrow" w:hAnsi="Arial Narrow"/>
                <w:b/>
                <w:sz w:val="20"/>
              </w:rPr>
            </w:pPr>
            <w:r w:rsidRPr="004F29AA">
              <w:rPr>
                <w:rFonts w:ascii="Arial Narrow" w:hAnsi="Arial Narrow"/>
                <w:b/>
                <w:sz w:val="20"/>
              </w:rPr>
              <w:t>Year 5</w:t>
            </w:r>
          </w:p>
        </w:tc>
      </w:tr>
      <w:tr w:rsidR="007F2D50" w:rsidRPr="004F29AA">
        <w:trPr>
          <w:cantSplit/>
        </w:trPr>
        <w:tc>
          <w:tcPr>
            <w:tcW w:w="5000" w:type="pct"/>
            <w:gridSpan w:val="6"/>
            <w:shd w:val="clear" w:color="auto" w:fill="auto"/>
            <w:vAlign w:val="center"/>
          </w:tcPr>
          <w:p w:rsidR="007F2D50" w:rsidRPr="004F29AA" w:rsidRDefault="007F2D50" w:rsidP="007F2D50">
            <w:pPr>
              <w:keepNext/>
              <w:jc w:val="left"/>
              <w:rPr>
                <w:rFonts w:ascii="Arial Narrow" w:hAnsi="Arial Narrow"/>
                <w:b/>
                <w:bCs/>
                <w:color w:val="000000"/>
                <w:sz w:val="20"/>
              </w:rPr>
            </w:pPr>
            <w:r w:rsidRPr="004F29AA">
              <w:rPr>
                <w:rFonts w:ascii="Arial Narrow" w:hAnsi="Arial Narrow"/>
                <w:b/>
                <w:bCs/>
                <w:color w:val="000000"/>
                <w:sz w:val="20"/>
              </w:rPr>
              <w:t>Estimated extent of use</w:t>
            </w:r>
          </w:p>
        </w:tc>
      </w:tr>
      <w:tr w:rsidR="007F2D50" w:rsidRPr="004F29AA">
        <w:trPr>
          <w:cantSplit/>
        </w:trPr>
        <w:tc>
          <w:tcPr>
            <w:tcW w:w="1359" w:type="pct"/>
            <w:shd w:val="clear" w:color="auto" w:fill="auto"/>
            <w:vAlign w:val="center"/>
          </w:tcPr>
          <w:p w:rsidR="007F2D50" w:rsidRPr="004F29AA" w:rsidRDefault="007F2D50" w:rsidP="007F2D50">
            <w:pPr>
              <w:keepNext/>
              <w:tabs>
                <w:tab w:val="left" w:pos="142"/>
              </w:tabs>
              <w:jc w:val="left"/>
              <w:rPr>
                <w:rFonts w:ascii="Arial Narrow" w:hAnsi="Arial Narrow"/>
                <w:sz w:val="20"/>
              </w:rPr>
            </w:pPr>
            <w:r w:rsidRPr="004F29AA">
              <w:rPr>
                <w:rFonts w:ascii="Arial Narrow" w:hAnsi="Arial Narrow"/>
                <w:sz w:val="20"/>
              </w:rPr>
              <w:t>Number treated</w:t>
            </w:r>
          </w:p>
        </w:tc>
        <w:tc>
          <w:tcPr>
            <w:tcW w:w="679"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7F2D50" w:rsidRPr="004F29AA">
        <w:trPr>
          <w:cantSplit/>
        </w:trPr>
        <w:tc>
          <w:tcPr>
            <w:tcW w:w="1359" w:type="pct"/>
            <w:shd w:val="clear" w:color="auto" w:fill="auto"/>
            <w:vAlign w:val="center"/>
          </w:tcPr>
          <w:p w:rsidR="007F2D50" w:rsidRPr="004F29AA" w:rsidRDefault="007F2D50" w:rsidP="007F2D50">
            <w:pPr>
              <w:keepNext/>
              <w:tabs>
                <w:tab w:val="left" w:pos="142"/>
              </w:tabs>
              <w:jc w:val="left"/>
              <w:rPr>
                <w:rFonts w:ascii="Arial Narrow" w:hAnsi="Arial Narrow"/>
                <w:sz w:val="20"/>
              </w:rPr>
            </w:pPr>
            <w:r w:rsidRPr="004F29AA">
              <w:rPr>
                <w:rFonts w:ascii="Arial Narrow" w:hAnsi="Arial Narrow"/>
                <w:sz w:val="20"/>
              </w:rPr>
              <w:t xml:space="preserve">Vials </w:t>
            </w:r>
            <w:r w:rsidRPr="004F29AA">
              <w:rPr>
                <w:rFonts w:ascii="Arial Narrow" w:hAnsi="Arial Narrow"/>
                <w:sz w:val="20"/>
                <w:vertAlign w:val="superscript"/>
              </w:rPr>
              <w:t>a</w:t>
            </w:r>
          </w:p>
        </w:tc>
        <w:tc>
          <w:tcPr>
            <w:tcW w:w="679"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7F2D50" w:rsidRPr="001503CE" w:rsidRDefault="001503CE" w:rsidP="007F2D50">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7F2D50" w:rsidRPr="004F29AA">
        <w:trPr>
          <w:cantSplit/>
        </w:trPr>
        <w:tc>
          <w:tcPr>
            <w:tcW w:w="5000" w:type="pct"/>
            <w:gridSpan w:val="6"/>
            <w:shd w:val="clear" w:color="auto" w:fill="auto"/>
            <w:vAlign w:val="center"/>
          </w:tcPr>
          <w:p w:rsidR="007F2D50" w:rsidRPr="004F29AA" w:rsidRDefault="007F2D50" w:rsidP="007F2D50">
            <w:pPr>
              <w:jc w:val="left"/>
              <w:rPr>
                <w:rFonts w:ascii="Arial Narrow" w:hAnsi="Arial Narrow"/>
                <w:b/>
                <w:bCs/>
                <w:color w:val="000000"/>
                <w:sz w:val="20"/>
              </w:rPr>
            </w:pPr>
            <w:r w:rsidRPr="004F29AA">
              <w:rPr>
                <w:rFonts w:ascii="Arial Narrow" w:hAnsi="Arial Narrow"/>
                <w:b/>
                <w:bCs/>
                <w:color w:val="000000"/>
                <w:sz w:val="20"/>
              </w:rPr>
              <w:t>Estimated net cost to PBS/RPBS/MBS</w:t>
            </w:r>
          </w:p>
        </w:tc>
      </w:tr>
      <w:tr w:rsidR="007F2D50" w:rsidRPr="004F29AA">
        <w:trPr>
          <w:cantSplit/>
        </w:trPr>
        <w:tc>
          <w:tcPr>
            <w:tcW w:w="1359" w:type="pct"/>
            <w:shd w:val="clear" w:color="auto" w:fill="auto"/>
            <w:vAlign w:val="center"/>
          </w:tcPr>
          <w:p w:rsidR="007F2D50" w:rsidRPr="004F29AA" w:rsidRDefault="007F2D50" w:rsidP="007F2D50">
            <w:pPr>
              <w:tabs>
                <w:tab w:val="left" w:pos="142"/>
              </w:tabs>
              <w:jc w:val="left"/>
              <w:rPr>
                <w:rFonts w:ascii="Arial Narrow" w:hAnsi="Arial Narrow"/>
                <w:sz w:val="20"/>
              </w:rPr>
            </w:pPr>
            <w:r w:rsidRPr="004F29AA">
              <w:rPr>
                <w:rFonts w:ascii="Arial Narrow" w:hAnsi="Arial Narrow"/>
                <w:sz w:val="19"/>
                <w:szCs w:val="19"/>
              </w:rPr>
              <w:t>Net cost to PBS/RPBS</w:t>
            </w:r>
          </w:p>
        </w:tc>
        <w:tc>
          <w:tcPr>
            <w:tcW w:w="679"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679"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764"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764"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755"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r>
      <w:tr w:rsidR="007F2D50" w:rsidRPr="004F29AA">
        <w:trPr>
          <w:cantSplit/>
        </w:trPr>
        <w:tc>
          <w:tcPr>
            <w:tcW w:w="1359" w:type="pct"/>
            <w:shd w:val="clear" w:color="auto" w:fill="auto"/>
            <w:vAlign w:val="center"/>
          </w:tcPr>
          <w:p w:rsidR="007F2D50" w:rsidRPr="004F29AA" w:rsidRDefault="007F2D50" w:rsidP="007F2D50">
            <w:pPr>
              <w:tabs>
                <w:tab w:val="left" w:pos="142"/>
              </w:tabs>
              <w:jc w:val="left"/>
              <w:rPr>
                <w:rFonts w:ascii="Arial Narrow" w:hAnsi="Arial Narrow"/>
                <w:sz w:val="20"/>
              </w:rPr>
            </w:pPr>
            <w:r w:rsidRPr="004F29AA">
              <w:rPr>
                <w:rFonts w:ascii="Arial Narrow" w:hAnsi="Arial Narrow"/>
                <w:sz w:val="19"/>
                <w:szCs w:val="19"/>
              </w:rPr>
              <w:t>Net cost to MBS</w:t>
            </w:r>
          </w:p>
        </w:tc>
        <w:tc>
          <w:tcPr>
            <w:tcW w:w="679" w:type="pct"/>
            <w:shd w:val="clear" w:color="auto" w:fill="auto"/>
            <w:vAlign w:val="bottom"/>
          </w:tcPr>
          <w:p w:rsidR="007F2D50" w:rsidRPr="004F29AA" w:rsidRDefault="007F2D50" w:rsidP="007F2D50">
            <w:pPr>
              <w:jc w:val="right"/>
              <w:rPr>
                <w:rFonts w:ascii="Arial Narrow" w:hAnsi="Arial Narrow"/>
                <w:sz w:val="20"/>
              </w:rPr>
            </w:pPr>
            <w:r w:rsidRPr="004F29AA">
              <w:rPr>
                <w:rFonts w:ascii="Arial Narrow" w:hAnsi="Arial Narrow"/>
                <w:sz w:val="20"/>
              </w:rPr>
              <w:t xml:space="preserve"> $</w:t>
            </w:r>
            <w:r w:rsidR="001503CE">
              <w:rPr>
                <w:rFonts w:ascii="Arial Narrow" w:hAnsi="Arial Narrow"/>
                <w:noProof/>
                <w:color w:val="000000"/>
                <w:sz w:val="20"/>
                <w:highlight w:val="black"/>
              </w:rPr>
              <w:t>''''''''''''''''</w:t>
            </w:r>
            <w:r w:rsidRPr="004F29AA">
              <w:rPr>
                <w:rFonts w:ascii="Arial Narrow" w:hAnsi="Arial Narrow"/>
                <w:sz w:val="20"/>
              </w:rPr>
              <w:t xml:space="preserve"> </w:t>
            </w:r>
          </w:p>
        </w:tc>
        <w:tc>
          <w:tcPr>
            <w:tcW w:w="679" w:type="pct"/>
            <w:shd w:val="clear" w:color="auto" w:fill="auto"/>
            <w:vAlign w:val="bottom"/>
          </w:tcPr>
          <w:p w:rsidR="007F2D50" w:rsidRPr="004F29AA" w:rsidRDefault="007F2D50" w:rsidP="007F2D50">
            <w:pPr>
              <w:jc w:val="right"/>
              <w:rPr>
                <w:rFonts w:ascii="Arial Narrow" w:hAnsi="Arial Narrow"/>
                <w:sz w:val="20"/>
              </w:rPr>
            </w:pPr>
            <w:r w:rsidRPr="004F29AA">
              <w:rPr>
                <w:rFonts w:ascii="Arial Narrow" w:hAnsi="Arial Narrow"/>
                <w:sz w:val="20"/>
              </w:rPr>
              <w:t xml:space="preserve"> $</w:t>
            </w:r>
            <w:r w:rsidR="001503CE">
              <w:rPr>
                <w:rFonts w:ascii="Arial Narrow" w:hAnsi="Arial Narrow"/>
                <w:noProof/>
                <w:color w:val="000000"/>
                <w:sz w:val="20"/>
                <w:highlight w:val="black"/>
              </w:rPr>
              <w:t>'''''''''''''''''</w:t>
            </w:r>
            <w:r w:rsidRPr="004F29AA">
              <w:rPr>
                <w:rFonts w:ascii="Arial Narrow" w:hAnsi="Arial Narrow"/>
                <w:sz w:val="20"/>
              </w:rPr>
              <w:t xml:space="preserve"> </w:t>
            </w:r>
          </w:p>
        </w:tc>
        <w:tc>
          <w:tcPr>
            <w:tcW w:w="764" w:type="pct"/>
            <w:shd w:val="clear" w:color="auto" w:fill="auto"/>
            <w:vAlign w:val="bottom"/>
          </w:tcPr>
          <w:p w:rsidR="007F2D50" w:rsidRPr="004F29AA" w:rsidRDefault="007F2D50" w:rsidP="007F2D50">
            <w:pPr>
              <w:jc w:val="right"/>
              <w:rPr>
                <w:rFonts w:ascii="Arial Narrow" w:hAnsi="Arial Narrow"/>
                <w:sz w:val="20"/>
              </w:rPr>
            </w:pPr>
            <w:r w:rsidRPr="004F29AA">
              <w:rPr>
                <w:rFonts w:ascii="Arial Narrow" w:hAnsi="Arial Narrow"/>
                <w:sz w:val="20"/>
              </w:rPr>
              <w:t xml:space="preserve"> $</w:t>
            </w:r>
            <w:r w:rsidR="001503CE">
              <w:rPr>
                <w:rFonts w:ascii="Arial Narrow" w:hAnsi="Arial Narrow"/>
                <w:noProof/>
                <w:color w:val="000000"/>
                <w:sz w:val="20"/>
                <w:highlight w:val="black"/>
              </w:rPr>
              <w:t>''''''''''''''''</w:t>
            </w:r>
            <w:r w:rsidRPr="004F29AA">
              <w:rPr>
                <w:rFonts w:ascii="Arial Narrow" w:hAnsi="Arial Narrow"/>
                <w:sz w:val="20"/>
              </w:rPr>
              <w:t xml:space="preserve"> </w:t>
            </w:r>
          </w:p>
        </w:tc>
        <w:tc>
          <w:tcPr>
            <w:tcW w:w="764" w:type="pct"/>
            <w:shd w:val="clear" w:color="auto" w:fill="auto"/>
            <w:vAlign w:val="bottom"/>
          </w:tcPr>
          <w:p w:rsidR="007F2D50" w:rsidRPr="004F29AA" w:rsidRDefault="007F2D50" w:rsidP="007F2D50">
            <w:pPr>
              <w:jc w:val="right"/>
              <w:rPr>
                <w:rFonts w:ascii="Arial Narrow" w:hAnsi="Arial Narrow"/>
                <w:sz w:val="20"/>
              </w:rPr>
            </w:pPr>
            <w:r w:rsidRPr="004F29AA">
              <w:rPr>
                <w:rFonts w:ascii="Arial Narrow" w:hAnsi="Arial Narrow"/>
                <w:sz w:val="20"/>
              </w:rPr>
              <w:t xml:space="preserve"> $</w:t>
            </w:r>
            <w:r w:rsidR="001503CE">
              <w:rPr>
                <w:rFonts w:ascii="Arial Narrow" w:hAnsi="Arial Narrow"/>
                <w:noProof/>
                <w:color w:val="000000"/>
                <w:sz w:val="20"/>
                <w:highlight w:val="black"/>
              </w:rPr>
              <w:t>'''''''''''''''</w:t>
            </w:r>
            <w:r w:rsidRPr="004F29AA">
              <w:rPr>
                <w:rFonts w:ascii="Arial Narrow" w:hAnsi="Arial Narrow"/>
                <w:sz w:val="20"/>
              </w:rPr>
              <w:t xml:space="preserve"> </w:t>
            </w:r>
          </w:p>
        </w:tc>
        <w:tc>
          <w:tcPr>
            <w:tcW w:w="755" w:type="pct"/>
            <w:shd w:val="clear" w:color="auto" w:fill="auto"/>
            <w:vAlign w:val="bottom"/>
          </w:tcPr>
          <w:p w:rsidR="007F2D50" w:rsidRPr="004F29AA" w:rsidRDefault="007F2D50" w:rsidP="007F2D50">
            <w:pPr>
              <w:jc w:val="right"/>
              <w:rPr>
                <w:rFonts w:ascii="Arial Narrow" w:hAnsi="Arial Narrow"/>
                <w:sz w:val="20"/>
              </w:rPr>
            </w:pPr>
            <w:r w:rsidRPr="004F29AA">
              <w:rPr>
                <w:rFonts w:ascii="Arial Narrow" w:hAnsi="Arial Narrow"/>
                <w:sz w:val="20"/>
              </w:rPr>
              <w:t xml:space="preserve"> $</w:t>
            </w:r>
            <w:r w:rsidR="001503CE">
              <w:rPr>
                <w:rFonts w:ascii="Arial Narrow" w:hAnsi="Arial Narrow"/>
                <w:noProof/>
                <w:color w:val="000000"/>
                <w:sz w:val="20"/>
                <w:highlight w:val="black"/>
              </w:rPr>
              <w:t>''''''''''''''''</w:t>
            </w:r>
            <w:r w:rsidRPr="004F29AA">
              <w:rPr>
                <w:rFonts w:ascii="Arial Narrow" w:hAnsi="Arial Narrow"/>
                <w:sz w:val="20"/>
              </w:rPr>
              <w:t xml:space="preserve"> </w:t>
            </w:r>
          </w:p>
        </w:tc>
      </w:tr>
      <w:tr w:rsidR="007F2D50" w:rsidRPr="004F29AA">
        <w:trPr>
          <w:cantSplit/>
        </w:trPr>
        <w:tc>
          <w:tcPr>
            <w:tcW w:w="5000" w:type="pct"/>
            <w:gridSpan w:val="6"/>
            <w:shd w:val="clear" w:color="auto" w:fill="auto"/>
            <w:vAlign w:val="center"/>
          </w:tcPr>
          <w:p w:rsidR="007F2D50" w:rsidRPr="004F29AA" w:rsidRDefault="007F2D50" w:rsidP="007F2D50">
            <w:pPr>
              <w:jc w:val="left"/>
              <w:rPr>
                <w:rFonts w:ascii="Arial Narrow" w:hAnsi="Arial Narrow"/>
                <w:b/>
                <w:color w:val="000000"/>
                <w:sz w:val="20"/>
              </w:rPr>
            </w:pPr>
            <w:r w:rsidRPr="004F29AA">
              <w:rPr>
                <w:rFonts w:ascii="Arial Narrow" w:hAnsi="Arial Narrow"/>
                <w:b/>
                <w:color w:val="000000"/>
                <w:sz w:val="20"/>
              </w:rPr>
              <w:t>Estimated total net cost</w:t>
            </w:r>
          </w:p>
        </w:tc>
      </w:tr>
      <w:tr w:rsidR="007F2D50" w:rsidRPr="004F29AA">
        <w:trPr>
          <w:cantSplit/>
        </w:trPr>
        <w:tc>
          <w:tcPr>
            <w:tcW w:w="1359" w:type="pct"/>
            <w:shd w:val="clear" w:color="auto" w:fill="auto"/>
            <w:vAlign w:val="center"/>
          </w:tcPr>
          <w:p w:rsidR="007F2D50" w:rsidRPr="004F29AA" w:rsidRDefault="007F2D50" w:rsidP="007F2D50">
            <w:pPr>
              <w:tabs>
                <w:tab w:val="left" w:pos="142"/>
              </w:tabs>
              <w:jc w:val="left"/>
              <w:rPr>
                <w:rFonts w:ascii="Arial Narrow" w:hAnsi="Arial Narrow"/>
                <w:b/>
                <w:sz w:val="20"/>
              </w:rPr>
            </w:pPr>
            <w:r w:rsidRPr="004F29AA">
              <w:rPr>
                <w:rFonts w:ascii="Arial Narrow" w:hAnsi="Arial Narrow"/>
                <w:b/>
                <w:bCs/>
                <w:color w:val="000000"/>
                <w:sz w:val="20"/>
              </w:rPr>
              <w:t>Net cost to PBS/RPBS/MBS</w:t>
            </w:r>
          </w:p>
        </w:tc>
        <w:tc>
          <w:tcPr>
            <w:tcW w:w="679"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679"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764"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764"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c>
          <w:tcPr>
            <w:tcW w:w="755" w:type="pct"/>
            <w:shd w:val="clear" w:color="auto" w:fill="auto"/>
            <w:vAlign w:val="center"/>
          </w:tcPr>
          <w:p w:rsidR="007F2D50" w:rsidRPr="004F29AA" w:rsidRDefault="007F2D50" w:rsidP="007F2D50">
            <w:pPr>
              <w:jc w:val="right"/>
              <w:rPr>
                <w:rFonts w:ascii="Arial Narrow" w:hAnsi="Arial Narrow"/>
                <w:b/>
                <w:sz w:val="20"/>
              </w:rPr>
            </w:pPr>
            <w:r w:rsidRPr="004F29AA">
              <w:rPr>
                <w:rFonts w:ascii="Arial Narrow" w:hAnsi="Arial Narrow"/>
                <w:b/>
                <w:sz w:val="20"/>
              </w:rPr>
              <w:t>$</w:t>
            </w:r>
            <w:r w:rsidR="001503CE">
              <w:rPr>
                <w:rFonts w:ascii="Arial Narrow" w:hAnsi="Arial Narrow"/>
                <w:b/>
                <w:noProof/>
                <w:color w:val="000000"/>
                <w:sz w:val="20"/>
                <w:highlight w:val="black"/>
              </w:rPr>
              <w:t>''''''''''''''''''''</w:t>
            </w:r>
          </w:p>
        </w:tc>
      </w:tr>
    </w:tbl>
    <w:p w:rsidR="00A7566E" w:rsidRPr="004F29AA" w:rsidRDefault="00A7566E" w:rsidP="00A7566E">
      <w:pPr>
        <w:pStyle w:val="TableFooter"/>
        <w:ind w:firstLine="720"/>
        <w:rPr>
          <w:szCs w:val="18"/>
        </w:rPr>
      </w:pPr>
      <w:r w:rsidRPr="004F29AA">
        <w:rPr>
          <w:szCs w:val="18"/>
        </w:rPr>
        <w:t>Source: Table E.2-4, p262; Table E.4-1, p263 of the submission</w:t>
      </w:r>
    </w:p>
    <w:p w:rsidR="007F2D50" w:rsidRPr="004F29AA" w:rsidDel="00A7566E" w:rsidRDefault="007F2D50" w:rsidP="00321446">
      <w:pPr>
        <w:pStyle w:val="TableFooter"/>
        <w:ind w:left="720"/>
        <w:rPr>
          <w:szCs w:val="18"/>
        </w:rPr>
      </w:pPr>
      <w:r w:rsidRPr="004F29AA">
        <w:rPr>
          <w:szCs w:val="18"/>
        </w:rPr>
        <w:t>MBS = Medicare Benefits Schedule; PBS = Pharmaceutical Benefits Scheme; RPBS = Repatriation Pharmaceutical Benefits Scheme</w:t>
      </w:r>
    </w:p>
    <w:p w:rsidR="007F2D50" w:rsidRPr="004F29AA" w:rsidRDefault="007F2D50" w:rsidP="007F2D50">
      <w:pPr>
        <w:pStyle w:val="TableFooter"/>
        <w:ind w:firstLine="720"/>
        <w:rPr>
          <w:szCs w:val="18"/>
        </w:rPr>
      </w:pPr>
      <w:r w:rsidRPr="004F29AA">
        <w:rPr>
          <w:szCs w:val="18"/>
          <w:vertAlign w:val="superscript"/>
        </w:rPr>
        <w:t xml:space="preserve">a </w:t>
      </w:r>
      <w:r w:rsidRPr="004F29AA">
        <w:rPr>
          <w:szCs w:val="18"/>
        </w:rPr>
        <w:t>Assuming 46 vials per treatment course as estimated by the submission</w:t>
      </w:r>
    </w:p>
    <w:p w:rsidR="007F2D50" w:rsidRDefault="007F2D50" w:rsidP="007F2D50">
      <w:pPr>
        <w:widowControl/>
        <w:rPr>
          <w:szCs w:val="22"/>
        </w:rPr>
      </w:pPr>
    </w:p>
    <w:p w:rsidR="000A0B3B" w:rsidRPr="000A0B3B" w:rsidRDefault="000A0B3B" w:rsidP="000A0B3B">
      <w:pPr>
        <w:widowControl/>
        <w:ind w:left="720"/>
        <w:rPr>
          <w:i/>
          <w:szCs w:val="22"/>
        </w:rPr>
      </w:pPr>
      <w:r>
        <w:rPr>
          <w:i/>
          <w:szCs w:val="22"/>
        </w:rPr>
        <w:t>The redacted table above shows that the number of patients treated with blinatumomab is estimated to be less than 10,000 per year at a net cost to the PBS of less than $10 million per year.</w:t>
      </w:r>
    </w:p>
    <w:p w:rsidR="000A0B3B" w:rsidRPr="004F29AA" w:rsidRDefault="000A0B3B" w:rsidP="007F2D50">
      <w:pPr>
        <w:widowControl/>
        <w:rPr>
          <w:szCs w:val="22"/>
        </w:rPr>
      </w:pPr>
    </w:p>
    <w:p w:rsidR="00F47F7B" w:rsidRPr="004F29AA" w:rsidRDefault="00F47F7B" w:rsidP="000442E2">
      <w:pPr>
        <w:pStyle w:val="ListParagraph"/>
        <w:widowControl/>
        <w:numPr>
          <w:ilvl w:val="1"/>
          <w:numId w:val="1"/>
        </w:numPr>
        <w:rPr>
          <w:szCs w:val="22"/>
        </w:rPr>
      </w:pPr>
      <w:r w:rsidRPr="004F29AA">
        <w:rPr>
          <w:szCs w:val="24"/>
        </w:rPr>
        <w:t>The cost to the PBS/RPBS could be higher or lower than presented in the submission</w:t>
      </w:r>
      <w:r w:rsidR="000108A9" w:rsidRPr="004F29AA">
        <w:rPr>
          <w:szCs w:val="24"/>
        </w:rPr>
        <w:t xml:space="preserve"> </w:t>
      </w:r>
      <w:r w:rsidR="00130182" w:rsidRPr="004F29AA">
        <w:rPr>
          <w:szCs w:val="24"/>
        </w:rPr>
        <w:t>because</w:t>
      </w:r>
      <w:r w:rsidRPr="004F29AA">
        <w:rPr>
          <w:szCs w:val="24"/>
        </w:rPr>
        <w:t>:</w:t>
      </w:r>
    </w:p>
    <w:p w:rsidR="00F47F7B" w:rsidRPr="004F29AA" w:rsidRDefault="00130182" w:rsidP="000442E2">
      <w:pPr>
        <w:pStyle w:val="ListParagraph"/>
        <w:numPr>
          <w:ilvl w:val="0"/>
          <w:numId w:val="5"/>
        </w:numPr>
        <w:ind w:left="1077" w:hanging="226"/>
        <w:rPr>
          <w:szCs w:val="24"/>
        </w:rPr>
      </w:pPr>
      <w:r w:rsidRPr="004F29AA">
        <w:rPr>
          <w:szCs w:val="24"/>
        </w:rPr>
        <w:t>For the</w:t>
      </w:r>
      <w:r w:rsidR="00A65EF9" w:rsidRPr="004F29AA">
        <w:rPr>
          <w:szCs w:val="24"/>
        </w:rPr>
        <w:t xml:space="preserve"> estimate of</w:t>
      </w:r>
      <w:r w:rsidR="00F47F7B" w:rsidRPr="004F29AA">
        <w:rPr>
          <w:szCs w:val="24"/>
        </w:rPr>
        <w:t xml:space="preserve"> patients with relapsed</w:t>
      </w:r>
      <w:r w:rsidR="000108A9" w:rsidRPr="004F29AA">
        <w:rPr>
          <w:szCs w:val="24"/>
        </w:rPr>
        <w:t xml:space="preserve"> or </w:t>
      </w:r>
      <w:r w:rsidR="00F47F7B" w:rsidRPr="004F29AA">
        <w:rPr>
          <w:szCs w:val="24"/>
        </w:rPr>
        <w:t>refractory Ph- B-precursor ALL:</w:t>
      </w:r>
    </w:p>
    <w:p w:rsidR="00F47F7B" w:rsidRPr="004F29AA" w:rsidRDefault="000108A9" w:rsidP="000442E2">
      <w:pPr>
        <w:pStyle w:val="ListParagraph"/>
        <w:numPr>
          <w:ilvl w:val="1"/>
          <w:numId w:val="12"/>
        </w:numPr>
        <w:ind w:left="1508" w:hanging="226"/>
        <w:rPr>
          <w:szCs w:val="24"/>
        </w:rPr>
      </w:pPr>
      <w:r w:rsidRPr="004F29AA">
        <w:rPr>
          <w:szCs w:val="24"/>
        </w:rPr>
        <w:t xml:space="preserve">the </w:t>
      </w:r>
      <w:r w:rsidR="00F47F7B" w:rsidRPr="004F29AA">
        <w:rPr>
          <w:szCs w:val="24"/>
        </w:rPr>
        <w:t>number of patients cured after first line treatment may be higher or lower</w:t>
      </w:r>
      <w:r w:rsidRPr="004F29AA">
        <w:rPr>
          <w:szCs w:val="24"/>
        </w:rPr>
        <w:t>;</w:t>
      </w:r>
    </w:p>
    <w:p w:rsidR="00F47F7B" w:rsidRPr="004F29AA" w:rsidRDefault="00F47F7B" w:rsidP="000442E2">
      <w:pPr>
        <w:pStyle w:val="ListParagraph"/>
        <w:numPr>
          <w:ilvl w:val="1"/>
          <w:numId w:val="12"/>
        </w:numPr>
        <w:ind w:left="1508" w:hanging="226"/>
        <w:rPr>
          <w:szCs w:val="24"/>
        </w:rPr>
      </w:pPr>
      <w:r w:rsidRPr="004F29AA">
        <w:rPr>
          <w:szCs w:val="24"/>
        </w:rPr>
        <w:t>there may be a small number of patients who had relapsed after more than one line of treatment that were not included in the calculations</w:t>
      </w:r>
      <w:r w:rsidR="000108A9" w:rsidRPr="004F29AA">
        <w:rPr>
          <w:szCs w:val="24"/>
        </w:rPr>
        <w:t>.</w:t>
      </w:r>
    </w:p>
    <w:p w:rsidR="00F47F7B" w:rsidRPr="004F29AA" w:rsidRDefault="000108A9" w:rsidP="000442E2">
      <w:pPr>
        <w:pStyle w:val="ListParagraph"/>
        <w:numPr>
          <w:ilvl w:val="0"/>
          <w:numId w:val="5"/>
        </w:numPr>
        <w:ind w:left="1077" w:hanging="226"/>
        <w:rPr>
          <w:szCs w:val="24"/>
        </w:rPr>
      </w:pPr>
      <w:r w:rsidRPr="004F29AA">
        <w:rPr>
          <w:szCs w:val="24"/>
        </w:rPr>
        <w:t>The n</w:t>
      </w:r>
      <w:r w:rsidR="00F47F7B" w:rsidRPr="004F29AA">
        <w:rPr>
          <w:szCs w:val="24"/>
        </w:rPr>
        <w:t>umber of patients treated with blinatumomab might be higher</w:t>
      </w:r>
      <w:r w:rsidRPr="004F29AA">
        <w:rPr>
          <w:szCs w:val="24"/>
        </w:rPr>
        <w:t xml:space="preserve"> (t</w:t>
      </w:r>
      <w:r w:rsidR="00F47F7B" w:rsidRPr="004F29AA">
        <w:rPr>
          <w:szCs w:val="24"/>
        </w:rPr>
        <w:t>he submission assumed a</w:t>
      </w:r>
      <w:r w:rsidRPr="004F29AA">
        <w:rPr>
          <w:szCs w:val="24"/>
        </w:rPr>
        <w:t>n</w:t>
      </w:r>
      <w:r w:rsidR="00F47F7B" w:rsidRPr="004F29AA">
        <w:rPr>
          <w:szCs w:val="24"/>
        </w:rPr>
        <w:t xml:space="preserve"> </w:t>
      </w:r>
      <w:r w:rsidR="001503CE">
        <w:rPr>
          <w:noProof/>
          <w:color w:val="000000"/>
          <w:szCs w:val="24"/>
          <w:highlight w:val="black"/>
        </w:rPr>
        <w:t>'''''''</w:t>
      </w:r>
      <w:r w:rsidR="00F47F7B" w:rsidRPr="004F29AA">
        <w:rPr>
          <w:szCs w:val="24"/>
        </w:rPr>
        <w:t>% market uptake</w:t>
      </w:r>
      <w:r w:rsidRPr="004F29AA">
        <w:rPr>
          <w:szCs w:val="24"/>
        </w:rPr>
        <w:t>).</w:t>
      </w:r>
    </w:p>
    <w:p w:rsidR="00F47F7B" w:rsidRPr="004F29AA" w:rsidRDefault="000108A9" w:rsidP="000442E2">
      <w:pPr>
        <w:pStyle w:val="ListParagraph"/>
        <w:numPr>
          <w:ilvl w:val="0"/>
          <w:numId w:val="5"/>
        </w:numPr>
        <w:ind w:left="1077" w:hanging="226"/>
        <w:rPr>
          <w:szCs w:val="24"/>
        </w:rPr>
      </w:pPr>
      <w:r w:rsidRPr="004F29AA">
        <w:rPr>
          <w:szCs w:val="24"/>
        </w:rPr>
        <w:t>T</w:t>
      </w:r>
      <w:r w:rsidR="00F47F7B" w:rsidRPr="004F29AA">
        <w:rPr>
          <w:szCs w:val="24"/>
        </w:rPr>
        <w:t xml:space="preserve">he number of </w:t>
      </w:r>
      <w:r w:rsidRPr="004F29AA">
        <w:rPr>
          <w:szCs w:val="24"/>
        </w:rPr>
        <w:t>vials of blinatumomab dispensed</w:t>
      </w:r>
      <w:r w:rsidR="00F47F7B" w:rsidRPr="004F29AA">
        <w:rPr>
          <w:szCs w:val="24"/>
        </w:rPr>
        <w:t xml:space="preserve"> </w:t>
      </w:r>
      <w:r w:rsidRPr="004F29AA">
        <w:rPr>
          <w:szCs w:val="24"/>
        </w:rPr>
        <w:t>may have been</w:t>
      </w:r>
      <w:r w:rsidR="00F47F7B" w:rsidRPr="004F29AA">
        <w:rPr>
          <w:szCs w:val="24"/>
        </w:rPr>
        <w:t xml:space="preserve"> under or overestimated</w:t>
      </w:r>
      <w:r w:rsidRPr="004F29AA">
        <w:rPr>
          <w:szCs w:val="24"/>
        </w:rPr>
        <w:t xml:space="preserve"> as:</w:t>
      </w:r>
    </w:p>
    <w:p w:rsidR="00F47F7B" w:rsidRPr="004F29AA" w:rsidRDefault="00F47F7B" w:rsidP="000442E2">
      <w:pPr>
        <w:pStyle w:val="ListParagraph"/>
        <w:numPr>
          <w:ilvl w:val="1"/>
          <w:numId w:val="13"/>
        </w:numPr>
        <w:ind w:left="1508" w:hanging="226"/>
        <w:rPr>
          <w:szCs w:val="24"/>
        </w:rPr>
      </w:pPr>
      <w:r w:rsidRPr="004F29AA">
        <w:rPr>
          <w:szCs w:val="24"/>
        </w:rPr>
        <w:t xml:space="preserve">efficient use of </w:t>
      </w:r>
      <w:r w:rsidR="000108A9" w:rsidRPr="004F29AA">
        <w:rPr>
          <w:szCs w:val="24"/>
        </w:rPr>
        <w:t>vials</w:t>
      </w:r>
      <w:r w:rsidRPr="004F29AA">
        <w:rPr>
          <w:szCs w:val="24"/>
        </w:rPr>
        <w:t xml:space="preserve"> in the first cycle was not considered</w:t>
      </w:r>
      <w:r w:rsidR="000108A9" w:rsidRPr="004F29AA">
        <w:rPr>
          <w:szCs w:val="24"/>
        </w:rPr>
        <w:t>;</w:t>
      </w:r>
    </w:p>
    <w:p w:rsidR="00F47F7B" w:rsidRPr="004F29AA" w:rsidRDefault="00F47F7B" w:rsidP="000442E2">
      <w:pPr>
        <w:pStyle w:val="ListParagraph"/>
        <w:numPr>
          <w:ilvl w:val="1"/>
          <w:numId w:val="13"/>
        </w:numPr>
        <w:ind w:left="1508" w:hanging="226"/>
        <w:rPr>
          <w:szCs w:val="24"/>
        </w:rPr>
      </w:pPr>
      <w:r w:rsidRPr="004F29AA">
        <w:rPr>
          <w:szCs w:val="24"/>
        </w:rPr>
        <w:t xml:space="preserve">the submission assumed that all </w:t>
      </w:r>
      <w:r w:rsidR="000108A9" w:rsidRPr="004F29AA">
        <w:rPr>
          <w:szCs w:val="24"/>
        </w:rPr>
        <w:t>vials</w:t>
      </w:r>
      <w:r w:rsidRPr="004F29AA">
        <w:rPr>
          <w:szCs w:val="24"/>
        </w:rPr>
        <w:t xml:space="preserve"> would be dispensed through the PBS</w:t>
      </w:r>
      <w:r w:rsidR="000108A9" w:rsidRPr="004F29AA">
        <w:rPr>
          <w:szCs w:val="24"/>
        </w:rPr>
        <w:t>. T</w:t>
      </w:r>
      <w:r w:rsidRPr="004F29AA">
        <w:rPr>
          <w:szCs w:val="24"/>
        </w:rPr>
        <w:t xml:space="preserve">his may not be valid as patients would be in hospital for 11 days, and PBAC might decide that these </w:t>
      </w:r>
      <w:r w:rsidR="000108A9" w:rsidRPr="004F29AA">
        <w:rPr>
          <w:szCs w:val="24"/>
        </w:rPr>
        <w:t xml:space="preserve">vials </w:t>
      </w:r>
      <w:r w:rsidRPr="004F29AA">
        <w:rPr>
          <w:szCs w:val="24"/>
        </w:rPr>
        <w:t xml:space="preserve">would not </w:t>
      </w:r>
      <w:r w:rsidR="000108A9" w:rsidRPr="004F29AA">
        <w:rPr>
          <w:szCs w:val="24"/>
        </w:rPr>
        <w:t>be reimbursed by the PBS;</w:t>
      </w:r>
      <w:r w:rsidRPr="004F29AA">
        <w:rPr>
          <w:szCs w:val="24"/>
        </w:rPr>
        <w:t xml:space="preserve"> </w:t>
      </w:r>
    </w:p>
    <w:p w:rsidR="00F47F7B" w:rsidRPr="004F29AA" w:rsidRDefault="00F47F7B" w:rsidP="000442E2">
      <w:pPr>
        <w:pStyle w:val="ListParagraph"/>
        <w:numPr>
          <w:ilvl w:val="1"/>
          <w:numId w:val="13"/>
        </w:numPr>
        <w:ind w:left="1508" w:hanging="226"/>
        <w:rPr>
          <w:szCs w:val="24"/>
        </w:rPr>
      </w:pPr>
      <w:r w:rsidRPr="004F29AA">
        <w:rPr>
          <w:szCs w:val="24"/>
        </w:rPr>
        <w:t>the proportion eligible for HSCT and the time before a patient would receive HSCT in clinical practice might be different from the values in t</w:t>
      </w:r>
      <w:r w:rsidR="000108A9" w:rsidRPr="004F29AA">
        <w:rPr>
          <w:szCs w:val="24"/>
        </w:rPr>
        <w:t>he key clinical study MT103-211, resulting in patients receiving more</w:t>
      </w:r>
      <w:r w:rsidR="00807E72" w:rsidRPr="004F29AA">
        <w:rPr>
          <w:szCs w:val="24"/>
        </w:rPr>
        <w:t xml:space="preserve"> or less</w:t>
      </w:r>
      <w:r w:rsidR="000108A9" w:rsidRPr="004F29AA">
        <w:rPr>
          <w:szCs w:val="24"/>
        </w:rPr>
        <w:t xml:space="preserve"> cycles of blinatumomab.</w:t>
      </w:r>
    </w:p>
    <w:p w:rsidR="00F47F7B" w:rsidRPr="004F29AA" w:rsidRDefault="00F47F7B" w:rsidP="000442E2">
      <w:pPr>
        <w:pStyle w:val="ListParagraph"/>
        <w:numPr>
          <w:ilvl w:val="0"/>
          <w:numId w:val="5"/>
        </w:numPr>
        <w:ind w:left="1077" w:hanging="226"/>
        <w:rPr>
          <w:szCs w:val="24"/>
        </w:rPr>
      </w:pPr>
      <w:r w:rsidRPr="004F29AA">
        <w:t xml:space="preserve">Increased </w:t>
      </w:r>
      <w:r w:rsidR="00807E72" w:rsidRPr="004F29AA">
        <w:t xml:space="preserve">allogeneic </w:t>
      </w:r>
      <w:r w:rsidRPr="004F29AA">
        <w:t xml:space="preserve">HSCT rates following CR or CRh* with blinatumomab therapy would be expected to result in an increase in PBS costs for </w:t>
      </w:r>
      <w:r w:rsidR="00807E72" w:rsidRPr="004F29AA">
        <w:t xml:space="preserve">post HSCT </w:t>
      </w:r>
      <w:r w:rsidRPr="004F29AA">
        <w:t>medications.</w:t>
      </w:r>
    </w:p>
    <w:p w:rsidR="007F2D50" w:rsidRPr="004F29AA" w:rsidRDefault="007F2D50" w:rsidP="007F2D50">
      <w:pPr>
        <w:widowControl/>
        <w:rPr>
          <w:szCs w:val="22"/>
        </w:rPr>
      </w:pPr>
    </w:p>
    <w:p w:rsidR="007F2D50" w:rsidRPr="004F29AA" w:rsidRDefault="007F2D50" w:rsidP="00827E35">
      <w:pPr>
        <w:widowControl/>
        <w:jc w:val="left"/>
        <w:rPr>
          <w:b/>
          <w:i/>
        </w:rPr>
      </w:pPr>
      <w:bookmarkStart w:id="32" w:name="_Toc426958223"/>
      <w:bookmarkStart w:id="33" w:name="_Toc430079477"/>
      <w:r w:rsidRPr="004F29AA">
        <w:rPr>
          <w:b/>
          <w:i/>
        </w:rPr>
        <w:t>Financial Management – Risk Sharing Arrangements</w:t>
      </w:r>
      <w:bookmarkEnd w:id="32"/>
      <w:bookmarkEnd w:id="33"/>
    </w:p>
    <w:p w:rsidR="007F2D50" w:rsidRPr="004F29AA" w:rsidRDefault="007F2D50" w:rsidP="007F2D50">
      <w:pPr>
        <w:widowControl/>
        <w:rPr>
          <w:szCs w:val="22"/>
        </w:rPr>
      </w:pPr>
    </w:p>
    <w:p w:rsidR="007F2D50" w:rsidRPr="004F29AA" w:rsidRDefault="007F2D50" w:rsidP="000442E2">
      <w:pPr>
        <w:pStyle w:val="ListParagraph"/>
        <w:widowControl/>
        <w:numPr>
          <w:ilvl w:val="1"/>
          <w:numId w:val="1"/>
        </w:numPr>
        <w:rPr>
          <w:szCs w:val="22"/>
        </w:rPr>
      </w:pPr>
      <w:r w:rsidRPr="004F29AA">
        <w:t xml:space="preserve">The submission argued that the patient population was likely to be small (approximately </w:t>
      </w:r>
      <w:r w:rsidR="001503CE">
        <w:rPr>
          <w:noProof/>
          <w:color w:val="000000"/>
          <w:highlight w:val="black"/>
        </w:rPr>
        <w:t>''''''</w:t>
      </w:r>
      <w:r w:rsidRPr="004F29AA">
        <w:t xml:space="preserve"> patients per year) and noted that the PBAC may consider whether the rule of rescue would apply. Blinatumomab </w:t>
      </w:r>
      <w:r w:rsidR="00B70394" w:rsidRPr="004F29AA">
        <w:t>may not meet criterion one for rule of rescue</w:t>
      </w:r>
      <w:r w:rsidRPr="004F29AA">
        <w:t xml:space="preserve">, because alternative therapies are available. </w:t>
      </w:r>
    </w:p>
    <w:p w:rsidR="00170E50" w:rsidRPr="00964A10" w:rsidRDefault="00170E50" w:rsidP="00964A10"/>
    <w:p w:rsidR="006778EB" w:rsidRPr="004F29AA" w:rsidRDefault="006778EB" w:rsidP="006778EB">
      <w:pPr>
        <w:widowControl/>
        <w:rPr>
          <w:szCs w:val="22"/>
        </w:rPr>
      </w:pPr>
      <w:r w:rsidRPr="004F29AA">
        <w:rPr>
          <w:i/>
          <w:szCs w:val="22"/>
        </w:rPr>
        <w:t>For more detail on PBAC’s view, see section 7 “PBAC outcome”</w:t>
      </w:r>
    </w:p>
    <w:p w:rsidR="005422FB" w:rsidRPr="00964A10" w:rsidRDefault="005422FB" w:rsidP="00964A10"/>
    <w:p w:rsidR="006778EB" w:rsidRPr="004F29AA" w:rsidRDefault="006778EB">
      <w:pPr>
        <w:widowControl/>
        <w:jc w:val="left"/>
        <w:rPr>
          <w:b/>
          <w:szCs w:val="22"/>
        </w:rPr>
      </w:pPr>
      <w:r w:rsidRPr="004F29AA">
        <w:br w:type="page"/>
      </w:r>
    </w:p>
    <w:p w:rsidR="00923AC2" w:rsidRPr="004F29AA" w:rsidRDefault="00923AC2" w:rsidP="000442E2">
      <w:pPr>
        <w:pStyle w:val="PBACHeading1"/>
        <w:ind w:left="0" w:firstLine="0"/>
      </w:pPr>
      <w:r w:rsidRPr="004F29AA">
        <w:lastRenderedPageBreak/>
        <w:t xml:space="preserve">PBAC Outcome </w:t>
      </w:r>
    </w:p>
    <w:p w:rsidR="00923AC2" w:rsidRPr="00964A10" w:rsidRDefault="00923AC2" w:rsidP="00964A10"/>
    <w:p w:rsidR="00923AC2" w:rsidRPr="004F29AA" w:rsidRDefault="00923AC2" w:rsidP="000442E2">
      <w:pPr>
        <w:pStyle w:val="ListParagraph"/>
        <w:widowControl/>
        <w:numPr>
          <w:ilvl w:val="1"/>
          <w:numId w:val="1"/>
        </w:numPr>
      </w:pPr>
      <w:r w:rsidRPr="004F29AA">
        <w:t xml:space="preserve">The PBAC did not recommend the listing of blinatumomab for the treatment of relapsed or refractory Ph- B-precursor acute lymphoblastic leukaemia (ALL) due to uncertainties in </w:t>
      </w:r>
      <w:r w:rsidR="00061980">
        <w:t xml:space="preserve">comparative </w:t>
      </w:r>
      <w:r w:rsidRPr="004F29AA">
        <w:t xml:space="preserve">clinical effectiveness and a high and uncertain ICER. </w:t>
      </w:r>
    </w:p>
    <w:p w:rsidR="00923AC2" w:rsidRPr="004F29AA" w:rsidRDefault="00923AC2" w:rsidP="00923AC2">
      <w:pPr>
        <w:pStyle w:val="ListParagraph"/>
        <w:widowControl/>
      </w:pPr>
    </w:p>
    <w:p w:rsidR="00F94F3E" w:rsidRPr="004F29AA" w:rsidRDefault="00F94F3E" w:rsidP="000442E2">
      <w:pPr>
        <w:pStyle w:val="ListParagraph"/>
        <w:widowControl/>
        <w:numPr>
          <w:ilvl w:val="1"/>
          <w:numId w:val="1"/>
        </w:numPr>
      </w:pPr>
      <w:r w:rsidRPr="004F29AA">
        <w:t xml:space="preserve">The PBAC noted the high clinical need for an effective alternative to chemotherapy in this patient population, noting that blinatumomab may not be a cure for many patients, but rather provide a “bridge” to enable some patients to undergo a potentially curative </w:t>
      </w:r>
      <w:r w:rsidRPr="004F29AA">
        <w:rPr>
          <w:szCs w:val="22"/>
        </w:rPr>
        <w:t xml:space="preserve">allogeneic haematopoietic stem cell transplant (HSCT). </w:t>
      </w:r>
      <w:r w:rsidR="00312831" w:rsidRPr="004F29AA">
        <w:rPr>
          <w:szCs w:val="22"/>
        </w:rPr>
        <w:t>The PBAC considered that the high clinical need for blinatumomab meant a resubmission should not wait until the results of the phase 3 randomised study, TOWER, are available in mid-2017.</w:t>
      </w:r>
    </w:p>
    <w:p w:rsidR="00F94F3E" w:rsidRPr="004F29AA" w:rsidRDefault="00F94F3E" w:rsidP="00F94F3E">
      <w:pPr>
        <w:widowControl/>
      </w:pPr>
    </w:p>
    <w:p w:rsidR="00923AC2" w:rsidRPr="004F29AA" w:rsidRDefault="00EF7576" w:rsidP="008A6F94">
      <w:pPr>
        <w:pStyle w:val="ListParagraph"/>
        <w:widowControl/>
        <w:numPr>
          <w:ilvl w:val="1"/>
          <w:numId w:val="1"/>
        </w:numPr>
      </w:pPr>
      <w:r w:rsidRPr="004F29AA">
        <w:t xml:space="preserve">The PBAC agreed with ESC that </w:t>
      </w:r>
      <w:r w:rsidRPr="004F29AA">
        <w:rPr>
          <w:szCs w:val="22"/>
        </w:rPr>
        <w:t>blinatumomab is more analogous to infliximab for the treatment of patients with acute ulcerative colitis, which is not subsidised in the inpatient setting, than to eculizumab for atypical haemolytic uraemic syndrome (aHUS) which is subsidised in the inpatient setting. Given t</w:t>
      </w:r>
      <w:r w:rsidR="00923AC2" w:rsidRPr="004F29AA">
        <w:t xml:space="preserve">he PBAC considered that </w:t>
      </w:r>
      <w:r w:rsidR="005129E8">
        <w:t xml:space="preserve">PBS subsidised </w:t>
      </w:r>
      <w:r w:rsidR="00923AC2" w:rsidRPr="004F29AA">
        <w:t xml:space="preserve">blinatumomab should not be provided to inpatients, the maximum </w:t>
      </w:r>
      <w:r w:rsidR="008A6F94" w:rsidRPr="004F29AA">
        <w:t xml:space="preserve">quantities and repeats </w:t>
      </w:r>
      <w:r w:rsidRPr="004F29AA">
        <w:t xml:space="preserve">should </w:t>
      </w:r>
      <w:r w:rsidR="008A6F94" w:rsidRPr="004F29AA">
        <w:t>be adjusted</w:t>
      </w:r>
      <w:r w:rsidR="00923AC2" w:rsidRPr="004F29AA">
        <w:t xml:space="preserve"> to account for the first two cycles of treat</w:t>
      </w:r>
      <w:r w:rsidR="005129E8">
        <w:t>ment being provided in hospital, i.e.</w:t>
      </w:r>
      <w:r w:rsidR="008A6F94" w:rsidRPr="004F29AA">
        <w:t xml:space="preserve"> maximum quantity</w:t>
      </w:r>
      <w:r w:rsidRPr="004F29AA">
        <w:t xml:space="preserve"> of</w:t>
      </w:r>
      <w:r w:rsidR="008A6F94" w:rsidRPr="004F29AA">
        <w:t xml:space="preserve"> 1</w:t>
      </w:r>
      <w:r w:rsidR="00312831" w:rsidRPr="004F29AA">
        <w:t> </w:t>
      </w:r>
      <w:r w:rsidR="008A6F94" w:rsidRPr="004F29AA">
        <w:t xml:space="preserve">vial </w:t>
      </w:r>
      <w:r w:rsidR="00312831" w:rsidRPr="004F29AA">
        <w:t>and</w:t>
      </w:r>
      <w:r w:rsidR="008A6F94" w:rsidRPr="004F29AA">
        <w:t xml:space="preserve"> 22 repeats for cycle 1; 27 repeats for cycle 2; </w:t>
      </w:r>
      <w:r w:rsidRPr="004F29AA">
        <w:t xml:space="preserve">and </w:t>
      </w:r>
      <w:r w:rsidR="008A6F94" w:rsidRPr="004F29AA">
        <w:t xml:space="preserve">28 </w:t>
      </w:r>
      <w:r w:rsidRPr="004F29AA">
        <w:t>repeats</w:t>
      </w:r>
      <w:r w:rsidR="008A6F94" w:rsidRPr="004F29AA">
        <w:t xml:space="preserve"> for cycles 3-5.</w:t>
      </w:r>
      <w:r w:rsidR="00923AC2" w:rsidRPr="004F29AA">
        <w:t xml:space="preserve"> </w:t>
      </w:r>
      <w:r w:rsidR="008A6F94" w:rsidRPr="004F29AA">
        <w:rPr>
          <w:szCs w:val="22"/>
        </w:rPr>
        <w:t xml:space="preserve">This </w:t>
      </w:r>
      <w:r w:rsidR="00913CF5">
        <w:rPr>
          <w:szCs w:val="22"/>
        </w:rPr>
        <w:t xml:space="preserve">avoids </w:t>
      </w:r>
      <w:r w:rsidR="008A6F94" w:rsidRPr="004F29AA">
        <w:rPr>
          <w:szCs w:val="22"/>
        </w:rPr>
        <w:t xml:space="preserve">delays in </w:t>
      </w:r>
      <w:r w:rsidR="00913CF5" w:rsidRPr="004F29AA">
        <w:rPr>
          <w:szCs w:val="22"/>
        </w:rPr>
        <w:t>commenci</w:t>
      </w:r>
      <w:r w:rsidR="00913CF5">
        <w:rPr>
          <w:szCs w:val="22"/>
        </w:rPr>
        <w:t xml:space="preserve">ng treatment </w:t>
      </w:r>
      <w:r w:rsidR="005129E8">
        <w:rPr>
          <w:szCs w:val="22"/>
        </w:rPr>
        <w:t xml:space="preserve">while </w:t>
      </w:r>
      <w:r w:rsidR="00913CF5" w:rsidRPr="004F29AA">
        <w:rPr>
          <w:szCs w:val="22"/>
        </w:rPr>
        <w:t>waiting</w:t>
      </w:r>
      <w:r w:rsidR="008A6F94" w:rsidRPr="004F29AA">
        <w:rPr>
          <w:szCs w:val="22"/>
        </w:rPr>
        <w:t xml:space="preserve"> </w:t>
      </w:r>
      <w:r w:rsidR="00913CF5">
        <w:rPr>
          <w:szCs w:val="22"/>
        </w:rPr>
        <w:t xml:space="preserve">for approval of a </w:t>
      </w:r>
      <w:r w:rsidR="00913CF5" w:rsidRPr="004F29AA">
        <w:rPr>
          <w:szCs w:val="22"/>
        </w:rPr>
        <w:t>writ</w:t>
      </w:r>
      <w:r w:rsidR="00913CF5">
        <w:rPr>
          <w:szCs w:val="22"/>
        </w:rPr>
        <w:t>ten</w:t>
      </w:r>
      <w:r w:rsidR="00913CF5" w:rsidRPr="004F29AA">
        <w:rPr>
          <w:szCs w:val="22"/>
        </w:rPr>
        <w:t xml:space="preserve"> </w:t>
      </w:r>
      <w:r w:rsidR="008A6F94" w:rsidRPr="004F29AA">
        <w:rPr>
          <w:szCs w:val="22"/>
        </w:rPr>
        <w:t>authority</w:t>
      </w:r>
      <w:r w:rsidR="00061980">
        <w:rPr>
          <w:szCs w:val="22"/>
        </w:rPr>
        <w:t xml:space="preserve"> while </w:t>
      </w:r>
      <w:r w:rsidR="008A6F94" w:rsidRPr="004F29AA">
        <w:rPr>
          <w:szCs w:val="22"/>
        </w:rPr>
        <w:t>minimis</w:t>
      </w:r>
      <w:r w:rsidR="00061980">
        <w:rPr>
          <w:szCs w:val="22"/>
        </w:rPr>
        <w:t>ing the risks of</w:t>
      </w:r>
      <w:r w:rsidR="008A6F94" w:rsidRPr="004F29AA">
        <w:rPr>
          <w:szCs w:val="22"/>
        </w:rPr>
        <w:t xml:space="preserve"> </w:t>
      </w:r>
      <w:r w:rsidR="00061980">
        <w:rPr>
          <w:szCs w:val="22"/>
        </w:rPr>
        <w:t xml:space="preserve">longer term </w:t>
      </w:r>
      <w:r w:rsidR="008A6F94" w:rsidRPr="004F29AA">
        <w:rPr>
          <w:szCs w:val="22"/>
        </w:rPr>
        <w:t>cost exposure to public hospitals or health funds,</w:t>
      </w:r>
      <w:r w:rsidR="00061980">
        <w:rPr>
          <w:szCs w:val="22"/>
        </w:rPr>
        <w:t xml:space="preserve"> as</w:t>
      </w:r>
      <w:r w:rsidR="004D5F3F">
        <w:rPr>
          <w:szCs w:val="22"/>
        </w:rPr>
        <w:t xml:space="preserve"> ambulatory treatment can be PBS-subsidised. This arrangement also</w:t>
      </w:r>
      <w:r w:rsidR="008A6F94" w:rsidRPr="004F29AA">
        <w:rPr>
          <w:szCs w:val="22"/>
        </w:rPr>
        <w:t xml:space="preserve"> avoids a precedent </w:t>
      </w:r>
      <w:r w:rsidR="004D5F3F">
        <w:rPr>
          <w:szCs w:val="22"/>
        </w:rPr>
        <w:t>for PBS</w:t>
      </w:r>
      <w:r w:rsidR="004D5F3F" w:rsidRPr="004F29AA">
        <w:rPr>
          <w:szCs w:val="22"/>
        </w:rPr>
        <w:t xml:space="preserve"> </w:t>
      </w:r>
      <w:r w:rsidR="008A6F94" w:rsidRPr="004F29AA">
        <w:rPr>
          <w:szCs w:val="22"/>
        </w:rPr>
        <w:t xml:space="preserve">funding </w:t>
      </w:r>
      <w:r w:rsidR="004D5F3F">
        <w:rPr>
          <w:szCs w:val="22"/>
        </w:rPr>
        <w:t xml:space="preserve">of </w:t>
      </w:r>
      <w:r w:rsidR="008A6F94" w:rsidRPr="004F29AA">
        <w:rPr>
          <w:szCs w:val="22"/>
        </w:rPr>
        <w:t>inpatient chemotherapy in public hospitals.</w:t>
      </w:r>
      <w:r w:rsidRPr="004F29AA">
        <w:rPr>
          <w:color w:val="FF0000"/>
          <w:szCs w:val="22"/>
        </w:rPr>
        <w:t xml:space="preserve"> </w:t>
      </w:r>
    </w:p>
    <w:p w:rsidR="0077653C" w:rsidRPr="004F29AA" w:rsidRDefault="0077653C" w:rsidP="0077653C">
      <w:pPr>
        <w:pStyle w:val="ListParagraph"/>
      </w:pPr>
    </w:p>
    <w:p w:rsidR="00416D17" w:rsidRPr="004F29AA" w:rsidRDefault="0077653C" w:rsidP="0052120D">
      <w:pPr>
        <w:pStyle w:val="ListParagraph"/>
        <w:widowControl/>
        <w:numPr>
          <w:ilvl w:val="1"/>
          <w:numId w:val="1"/>
        </w:numPr>
      </w:pPr>
      <w:r w:rsidRPr="004F29AA">
        <w:t>The PBAC noted the proposed restriction and considered that an initial written authority would be appropriate, with a telephone authority suitable for first and second continuation. The PBAC considered that the restriction should explicitly exclude patients with CNS disease</w:t>
      </w:r>
      <w:r w:rsidR="00EF7576" w:rsidRPr="004F29AA">
        <w:t>, as per the clinical studies</w:t>
      </w:r>
      <w:r w:rsidRPr="004F29AA">
        <w:t xml:space="preserve">. </w:t>
      </w:r>
      <w:r w:rsidR="00416D17" w:rsidRPr="004F29AA">
        <w:t xml:space="preserve">The PBAC </w:t>
      </w:r>
      <w:r w:rsidR="0052120D" w:rsidRPr="004F29AA">
        <w:t xml:space="preserve">further </w:t>
      </w:r>
      <w:r w:rsidR="00416D17" w:rsidRPr="004F29AA">
        <w:t xml:space="preserve">considered that retreatment following relapse should not be </w:t>
      </w:r>
      <w:r w:rsidR="0052120D" w:rsidRPr="004F29AA">
        <w:t xml:space="preserve">permitted </w:t>
      </w:r>
      <w:r w:rsidR="00416D17" w:rsidRPr="004F29AA">
        <w:t xml:space="preserve">based on current evidence and guidelines. </w:t>
      </w:r>
    </w:p>
    <w:p w:rsidR="0077653C" w:rsidRPr="004F29AA" w:rsidRDefault="0077653C" w:rsidP="0077653C">
      <w:pPr>
        <w:pStyle w:val="ListParagraph"/>
      </w:pPr>
    </w:p>
    <w:p w:rsidR="0077653C" w:rsidRPr="004F29AA" w:rsidRDefault="0077653C" w:rsidP="000442E2">
      <w:pPr>
        <w:pStyle w:val="ListParagraph"/>
        <w:widowControl/>
        <w:numPr>
          <w:ilvl w:val="1"/>
          <w:numId w:val="1"/>
        </w:numPr>
      </w:pPr>
      <w:r w:rsidRPr="004F29AA">
        <w:t xml:space="preserve">The PBAC agreed with the ESC that standard of care chemotherapies were the appropriate comparator. </w:t>
      </w:r>
    </w:p>
    <w:p w:rsidR="00923AC2" w:rsidRPr="00964A10" w:rsidRDefault="00923AC2" w:rsidP="00964A10"/>
    <w:p w:rsidR="0077653C" w:rsidRPr="004F29AA" w:rsidRDefault="009F1C1C" w:rsidP="00EA1871">
      <w:pPr>
        <w:pStyle w:val="ListParagraph"/>
        <w:widowControl/>
        <w:numPr>
          <w:ilvl w:val="1"/>
          <w:numId w:val="1"/>
        </w:numPr>
      </w:pPr>
      <w:r w:rsidRPr="004F29AA">
        <w:t>In assessing the clinical evidence, t</w:t>
      </w:r>
      <w:r w:rsidR="00416D17" w:rsidRPr="004F29AA">
        <w:t xml:space="preserve">he PBAC considered that the most informative analysis </w:t>
      </w:r>
      <w:r w:rsidR="006778EB" w:rsidRPr="004F29AA">
        <w:t>for estimating</w:t>
      </w:r>
      <w:r w:rsidR="00EA1871" w:rsidRPr="004F29AA">
        <w:t xml:space="preserve"> comparative effectiveness </w:t>
      </w:r>
      <w:r w:rsidR="00416D17" w:rsidRPr="004F29AA">
        <w:t>would be against the weighted post-2000 control data, noting that the analysis completed in th</w:t>
      </w:r>
      <w:r w:rsidR="0077653C" w:rsidRPr="004F29AA">
        <w:t>e Pre-PBAC response (Table 1, p</w:t>
      </w:r>
      <w:r w:rsidR="00416D17" w:rsidRPr="004F29AA">
        <w:t xml:space="preserve">1) </w:t>
      </w:r>
      <w:r w:rsidR="00913CF5" w:rsidRPr="004F29AA">
        <w:t>ha</w:t>
      </w:r>
      <w:r w:rsidR="00913CF5">
        <w:t>d</w:t>
      </w:r>
      <w:r w:rsidR="00913CF5" w:rsidRPr="004F29AA">
        <w:t xml:space="preserve"> </w:t>
      </w:r>
      <w:r w:rsidR="00416D17" w:rsidRPr="004F29AA">
        <w:t xml:space="preserve">not been evaluated. </w:t>
      </w:r>
      <w:r w:rsidR="0077653C" w:rsidRPr="004F29AA">
        <w:t xml:space="preserve">The PBAC agreed with the ESC that bone marrow blast count and platelet levels should be matched in the weighted comparison. </w:t>
      </w:r>
    </w:p>
    <w:p w:rsidR="00416D17" w:rsidRPr="00964A10" w:rsidRDefault="00416D17" w:rsidP="00964A10"/>
    <w:p w:rsidR="009F1C1C" w:rsidRPr="004F29AA" w:rsidRDefault="009F1C1C" w:rsidP="005422FB">
      <w:pPr>
        <w:pStyle w:val="ListParagraph"/>
        <w:widowControl/>
        <w:numPr>
          <w:ilvl w:val="1"/>
          <w:numId w:val="1"/>
        </w:numPr>
      </w:pPr>
      <w:r w:rsidRPr="004F29AA">
        <w:t xml:space="preserve">The PBAC considered that the clinical claim of superior efficacy was difficult to assess, noting that blinatumomab has clear efficacy in a minority of patients and appears superior to current salvage therapy, however the magnitude of improvement in long-term outcomes cannot be determined readily from the data presented. </w:t>
      </w:r>
    </w:p>
    <w:p w:rsidR="00312831" w:rsidRPr="004F29AA" w:rsidRDefault="00312831" w:rsidP="00312831">
      <w:pPr>
        <w:pStyle w:val="ListParagraph"/>
      </w:pPr>
    </w:p>
    <w:p w:rsidR="005422FB" w:rsidRPr="004F29AA" w:rsidRDefault="00416D17" w:rsidP="005422FB">
      <w:pPr>
        <w:pStyle w:val="ListParagraph"/>
        <w:widowControl/>
        <w:numPr>
          <w:ilvl w:val="1"/>
          <w:numId w:val="1"/>
        </w:numPr>
      </w:pPr>
      <w:r w:rsidRPr="004F29AA">
        <w:t>The PBAC noted that no comparative safety outcomes were provided</w:t>
      </w:r>
      <w:r w:rsidR="00F056AB" w:rsidRPr="004F29AA">
        <w:t xml:space="preserve">. </w:t>
      </w:r>
      <w:r w:rsidRPr="004F29AA">
        <w:t xml:space="preserve">The PBAC considered that blinatumomab and standard of care chemotherapy have different yet </w:t>
      </w:r>
      <w:r w:rsidRPr="004F29AA">
        <w:lastRenderedPageBreak/>
        <w:t>significant adverse event profiles, and as such the comparative adverse event data from TOWER will be informative</w:t>
      </w:r>
      <w:r w:rsidR="00F056AB" w:rsidRPr="004F29AA">
        <w:t xml:space="preserve"> for a robust assessment of comparative harms</w:t>
      </w:r>
      <w:r w:rsidRPr="004F29AA">
        <w:t xml:space="preserve">. </w:t>
      </w:r>
    </w:p>
    <w:p w:rsidR="001104CE" w:rsidRPr="00964A10" w:rsidRDefault="001104CE" w:rsidP="00964A10"/>
    <w:p w:rsidR="001104CE" w:rsidRPr="004F29AA" w:rsidRDefault="001104CE" w:rsidP="005422FB">
      <w:pPr>
        <w:pStyle w:val="ListParagraph"/>
        <w:widowControl/>
        <w:numPr>
          <w:ilvl w:val="1"/>
          <w:numId w:val="1"/>
        </w:numPr>
      </w:pPr>
      <w:r w:rsidRPr="004F29AA">
        <w:t xml:space="preserve">The PBAC considered that the claim of superior safety was difficult to assess and </w:t>
      </w:r>
      <w:r w:rsidR="004D5F3F">
        <w:t>that toxicity would</w:t>
      </w:r>
      <w:r w:rsidR="004D5F3F" w:rsidRPr="004F29AA">
        <w:t xml:space="preserve"> </w:t>
      </w:r>
      <w:r w:rsidRPr="004F29AA">
        <w:t>vary depending on the clinical state of a patient when treatment is commenced</w:t>
      </w:r>
      <w:r w:rsidR="009F1C1C" w:rsidRPr="004F29AA">
        <w:t>. The PBAC noted</w:t>
      </w:r>
      <w:r w:rsidRPr="004F29AA">
        <w:t xml:space="preserve"> </w:t>
      </w:r>
      <w:r w:rsidR="00F14126" w:rsidRPr="004F29AA">
        <w:t xml:space="preserve">blinatumomab is associated with </w:t>
      </w:r>
      <w:r w:rsidRPr="004F29AA">
        <w:t xml:space="preserve">the </w:t>
      </w:r>
      <w:r w:rsidR="009F1C1C" w:rsidRPr="004F29AA">
        <w:t xml:space="preserve">important </w:t>
      </w:r>
      <w:r w:rsidRPr="004F29AA">
        <w:t>major toxicit</w:t>
      </w:r>
      <w:r w:rsidR="009F1C1C" w:rsidRPr="004F29AA">
        <w:t>y</w:t>
      </w:r>
      <w:r w:rsidRPr="004F29AA">
        <w:t xml:space="preserve"> </w:t>
      </w:r>
      <w:r w:rsidR="009F1C1C" w:rsidRPr="004F29AA">
        <w:t xml:space="preserve">of cytokine release syndrome </w:t>
      </w:r>
      <w:r w:rsidR="00F14126" w:rsidRPr="004F29AA">
        <w:t xml:space="preserve">and this requires access to non-conventional therapy and inpatient support. </w:t>
      </w:r>
    </w:p>
    <w:p w:rsidR="00416D17" w:rsidRPr="00964A10" w:rsidRDefault="00416D17" w:rsidP="00964A10"/>
    <w:p w:rsidR="00416D17" w:rsidRPr="004F29AA" w:rsidRDefault="00416D17" w:rsidP="005422FB">
      <w:pPr>
        <w:pStyle w:val="ListParagraph"/>
        <w:widowControl/>
        <w:numPr>
          <w:ilvl w:val="1"/>
          <w:numId w:val="1"/>
        </w:numPr>
      </w:pPr>
      <w:r w:rsidRPr="004F29AA">
        <w:t xml:space="preserve">The PBAC agreed with concerns raised by the </w:t>
      </w:r>
      <w:r w:rsidR="00A9127B" w:rsidRPr="004F29AA">
        <w:t xml:space="preserve">evaluation and the </w:t>
      </w:r>
      <w:r w:rsidRPr="004F29AA">
        <w:t xml:space="preserve">ESC regarding the economic model, considering that it was likely to be optimistic and was not reliable for decision making. </w:t>
      </w:r>
      <w:r w:rsidR="001104CE" w:rsidRPr="004F29AA">
        <w:t>The PBAC considered that refinement of the weighted analysis and better definition of costs of toxicity of treatment would generate a more reliable estimate of the incremental costs and benefits of blinatumomab</w:t>
      </w:r>
      <w:r w:rsidR="00312831" w:rsidRPr="004F29AA">
        <w:t>.</w:t>
      </w:r>
      <w:r w:rsidR="001104CE" w:rsidRPr="004F29AA">
        <w:t xml:space="preserve"> </w:t>
      </w:r>
      <w:r w:rsidR="00312831" w:rsidRPr="004F29AA">
        <w:t>Without the comparative results of the TOWER study</w:t>
      </w:r>
      <w:r w:rsidR="007E17CD" w:rsidRPr="004F29AA">
        <w:t>,</w:t>
      </w:r>
      <w:r w:rsidR="00312831" w:rsidRPr="004F29AA">
        <w:t xml:space="preserve"> which would be the preferred input into the economic model</w:t>
      </w:r>
      <w:r w:rsidR="00C318B6" w:rsidRPr="004F29AA">
        <w:t xml:space="preserve">, residual uncertainty in a revised model could be dealt with </w:t>
      </w:r>
      <w:r w:rsidR="004D5F3F">
        <w:t>by adjusting the</w:t>
      </w:r>
      <w:r w:rsidR="004D5F3F" w:rsidRPr="004F29AA">
        <w:t xml:space="preserve"> </w:t>
      </w:r>
      <w:r w:rsidR="00C318B6" w:rsidRPr="004F29AA">
        <w:t>price</w:t>
      </w:r>
      <w:r w:rsidR="004D5F3F">
        <w:t xml:space="preserve"> to mitigate risk to the Commonwealth</w:t>
      </w:r>
      <w:r w:rsidR="00C318B6" w:rsidRPr="004F29AA">
        <w:t>.</w:t>
      </w:r>
      <w:r w:rsidR="00312831" w:rsidRPr="004F29AA">
        <w:t xml:space="preserve"> </w:t>
      </w:r>
    </w:p>
    <w:p w:rsidR="006D0C20" w:rsidRPr="00964A10" w:rsidRDefault="006D0C20" w:rsidP="00964A10"/>
    <w:p w:rsidR="006D0C20" w:rsidRPr="004F29AA" w:rsidRDefault="006D0C20" w:rsidP="005422FB">
      <w:pPr>
        <w:pStyle w:val="ListParagraph"/>
        <w:widowControl/>
        <w:numPr>
          <w:ilvl w:val="1"/>
          <w:numId w:val="1"/>
        </w:numPr>
      </w:pPr>
      <w:r w:rsidRPr="004F29AA">
        <w:t xml:space="preserve">The PBAC agreed with the ESC that the economic model should consider cost differences and utility consequences in patients who received further salvage therapies after not responding to or relapsing after treatment. The PBAC also noted the assumption in the economic model that patients who respond would do so immediately, but considered that this should be further justified. </w:t>
      </w:r>
    </w:p>
    <w:p w:rsidR="00416D17" w:rsidRPr="00964A10" w:rsidRDefault="00416D17" w:rsidP="00964A10"/>
    <w:p w:rsidR="00EA41F6" w:rsidRPr="004F29AA" w:rsidRDefault="00EA41F6" w:rsidP="005422FB">
      <w:pPr>
        <w:pStyle w:val="ListParagraph"/>
        <w:widowControl/>
        <w:numPr>
          <w:ilvl w:val="1"/>
          <w:numId w:val="1"/>
        </w:numPr>
      </w:pPr>
      <w:r w:rsidRPr="004F29AA">
        <w:t>The PBAC considered that the cost of blinatumomab administration was likely to be underestimated</w:t>
      </w:r>
      <w:r w:rsidR="006D0C20" w:rsidRPr="004F29AA">
        <w:t xml:space="preserve">, particularly surrounding </w:t>
      </w:r>
      <w:r w:rsidR="00B3687A" w:rsidRPr="004F29AA">
        <w:t xml:space="preserve">costs of managing adverse events. </w:t>
      </w:r>
    </w:p>
    <w:p w:rsidR="00EA41F6" w:rsidRPr="00964A10" w:rsidRDefault="00EA41F6" w:rsidP="00964A10"/>
    <w:p w:rsidR="00EA41F6" w:rsidRPr="004F29AA" w:rsidRDefault="00EA41F6" w:rsidP="005422FB">
      <w:pPr>
        <w:pStyle w:val="ListParagraph"/>
        <w:widowControl/>
        <w:numPr>
          <w:ilvl w:val="1"/>
          <w:numId w:val="1"/>
        </w:numPr>
      </w:pPr>
      <w:r w:rsidRPr="004F29AA">
        <w:t>The PBAC considered that the 20 year time horizon in the economic model was appropriate, however considered that more detailed input data on the costs of allogeneic HSCT</w:t>
      </w:r>
      <w:r w:rsidR="00D845FF" w:rsidRPr="004F29AA">
        <w:t xml:space="preserve">, and evidence based estimates of life expectancy post </w:t>
      </w:r>
      <w:r w:rsidR="00E93588" w:rsidRPr="004F29AA">
        <w:t xml:space="preserve">allogeneic </w:t>
      </w:r>
      <w:r w:rsidR="00D845FF" w:rsidRPr="004F29AA">
        <w:t>H</w:t>
      </w:r>
      <w:r w:rsidR="00A9127B" w:rsidRPr="004F29AA">
        <w:t>S</w:t>
      </w:r>
      <w:r w:rsidR="00D845FF" w:rsidRPr="004F29AA">
        <w:t>CT</w:t>
      </w:r>
      <w:r w:rsidRPr="004F29AA">
        <w:t xml:space="preserve"> </w:t>
      </w:r>
      <w:r w:rsidR="00D845FF" w:rsidRPr="004F29AA">
        <w:t xml:space="preserve">would be required to improve reliability of the model. </w:t>
      </w:r>
    </w:p>
    <w:p w:rsidR="00B3687A" w:rsidRPr="00964A10" w:rsidRDefault="00B3687A" w:rsidP="00964A10"/>
    <w:p w:rsidR="00C318B6" w:rsidRPr="004F29AA" w:rsidRDefault="00B3687A" w:rsidP="00C318B6">
      <w:pPr>
        <w:pStyle w:val="ListParagraph"/>
        <w:widowControl/>
        <w:numPr>
          <w:ilvl w:val="1"/>
          <w:numId w:val="1"/>
        </w:numPr>
      </w:pPr>
      <w:r w:rsidRPr="004F29AA">
        <w:t>The P</w:t>
      </w:r>
      <w:r w:rsidR="00B242D3">
        <w:t xml:space="preserve">BAC considered that an ICER of </w:t>
      </w:r>
      <w:r w:rsidR="005B633C" w:rsidRPr="00D54D7E">
        <w:t>$75,000/QALY - $105,000/QALY</w:t>
      </w:r>
      <w:r w:rsidRPr="004F29AA">
        <w:t xml:space="preserve"> gained was u</w:t>
      </w:r>
      <w:r w:rsidR="00EE23EC" w:rsidRPr="004F29AA">
        <w:t>nacceptably high, particularly as this is highly uncertain and likely to underestimate the true ICER.</w:t>
      </w:r>
      <w:r w:rsidR="00C318B6" w:rsidRPr="004F29AA">
        <w:t xml:space="preserve"> </w:t>
      </w:r>
      <w:r w:rsidR="00E93588" w:rsidRPr="004F29AA">
        <w:t>The PBAC determined the request to consider the rule of rescue was p</w:t>
      </w:r>
      <w:r w:rsidR="00C318B6" w:rsidRPr="004F29AA">
        <w:t xml:space="preserve">remature </w:t>
      </w:r>
      <w:r w:rsidR="00E93588" w:rsidRPr="004F29AA">
        <w:t>without</w:t>
      </w:r>
      <w:r w:rsidR="00C318B6" w:rsidRPr="004F29AA">
        <w:t xml:space="preserve"> more definitive evidence of rescue. Even then, </w:t>
      </w:r>
      <w:r w:rsidR="00E93588" w:rsidRPr="004F29AA">
        <w:t xml:space="preserve">rule of rescue would be difficult to justify </w:t>
      </w:r>
      <w:r w:rsidR="00C318B6" w:rsidRPr="004F29AA">
        <w:t xml:space="preserve">unless </w:t>
      </w:r>
      <w:r w:rsidR="00E93588" w:rsidRPr="004F29AA">
        <w:t xml:space="preserve">a </w:t>
      </w:r>
      <w:r w:rsidR="00C318B6" w:rsidRPr="004F29AA">
        <w:t xml:space="preserve">major difference in </w:t>
      </w:r>
      <w:r w:rsidR="00E93588" w:rsidRPr="004F29AA">
        <w:t xml:space="preserve">the </w:t>
      </w:r>
      <w:r w:rsidR="00C318B6" w:rsidRPr="004F29AA">
        <w:t>rate of allo</w:t>
      </w:r>
      <w:r w:rsidR="00E93588" w:rsidRPr="004F29AA">
        <w:t xml:space="preserve">genic </w:t>
      </w:r>
      <w:r w:rsidR="00C318B6" w:rsidRPr="004F29AA">
        <w:t xml:space="preserve">HSCT </w:t>
      </w:r>
      <w:r w:rsidR="00E93588" w:rsidRPr="004F29AA">
        <w:t xml:space="preserve">is </w:t>
      </w:r>
      <w:r w:rsidR="00C318B6" w:rsidRPr="004F29AA">
        <w:t>demonstrated.</w:t>
      </w:r>
    </w:p>
    <w:p w:rsidR="00D845FF" w:rsidRPr="00964A10" w:rsidRDefault="00D845FF" w:rsidP="00964A10"/>
    <w:p w:rsidR="00D845FF" w:rsidRPr="004F29AA" w:rsidRDefault="00EE23EC" w:rsidP="005422FB">
      <w:pPr>
        <w:pStyle w:val="ListParagraph"/>
        <w:widowControl/>
        <w:numPr>
          <w:ilvl w:val="1"/>
          <w:numId w:val="1"/>
        </w:numPr>
      </w:pPr>
      <w:r w:rsidRPr="004F29AA">
        <w:t xml:space="preserve">The PBAC considered that estimates of use and financial implications are highly uncertain but noted that total numbers are likely to be small. </w:t>
      </w:r>
    </w:p>
    <w:p w:rsidR="00E40BCE" w:rsidRPr="004F29AA" w:rsidRDefault="00E40BCE" w:rsidP="00E40BCE">
      <w:pPr>
        <w:pStyle w:val="ListParagraph"/>
      </w:pPr>
    </w:p>
    <w:p w:rsidR="00E40BCE" w:rsidRPr="004F29AA" w:rsidRDefault="00C318B6" w:rsidP="005422FB">
      <w:pPr>
        <w:pStyle w:val="ListParagraph"/>
        <w:widowControl/>
        <w:numPr>
          <w:ilvl w:val="1"/>
          <w:numId w:val="1"/>
        </w:numPr>
      </w:pPr>
      <w:r w:rsidRPr="004F29AA">
        <w:t xml:space="preserve">The PBAC is supportive of expediting the listing of blinatumomab with a managed access program, or similar arrangement, if the weighted post-2000 control data can be used to inform a revised economic evaluation. </w:t>
      </w:r>
      <w:r w:rsidR="00E40BCE" w:rsidRPr="004F29AA">
        <w:t>The PBAC considered that, due to the various issues with the model, any resubmission should be a major submission to allow for evaluation</w:t>
      </w:r>
      <w:r w:rsidRPr="004F29AA">
        <w:t>.</w:t>
      </w:r>
    </w:p>
    <w:p w:rsidR="00E40BCE" w:rsidRPr="004F29AA" w:rsidRDefault="00E40BCE" w:rsidP="00E40BCE">
      <w:pPr>
        <w:pStyle w:val="ListParagraph"/>
      </w:pPr>
    </w:p>
    <w:p w:rsidR="00416D17" w:rsidRPr="00964A10" w:rsidRDefault="00E40BCE" w:rsidP="00964A10">
      <w:pPr>
        <w:pStyle w:val="ListParagraph"/>
        <w:widowControl/>
        <w:numPr>
          <w:ilvl w:val="1"/>
          <w:numId w:val="1"/>
        </w:numPr>
      </w:pPr>
      <w:r w:rsidRPr="004F29AA">
        <w:t xml:space="preserve">The PBAC noted that the submission is eligible for an Independent Review. </w:t>
      </w:r>
    </w:p>
    <w:p w:rsidR="00964A10" w:rsidRPr="00B242D3" w:rsidRDefault="00964A10" w:rsidP="00B242D3"/>
    <w:p w:rsidR="00923AC2" w:rsidRPr="004F29AA" w:rsidRDefault="00923AC2" w:rsidP="00B242D3">
      <w:pPr>
        <w:pStyle w:val="BodyText"/>
      </w:pPr>
      <w:r w:rsidRPr="004F29AA">
        <w:t xml:space="preserve">Outcome: </w:t>
      </w:r>
    </w:p>
    <w:p w:rsidR="00923AC2" w:rsidRPr="004F29AA" w:rsidRDefault="00923AC2" w:rsidP="00B242D3">
      <w:pPr>
        <w:pStyle w:val="BodyText"/>
      </w:pPr>
      <w:r w:rsidRPr="004F29AA">
        <w:lastRenderedPageBreak/>
        <w:t>Rejected</w:t>
      </w:r>
    </w:p>
    <w:p w:rsidR="00923AC2" w:rsidRPr="004F29AA" w:rsidRDefault="00923AC2" w:rsidP="003B6BDA">
      <w:pPr>
        <w:rPr>
          <w:b/>
          <w:i/>
          <w:szCs w:val="22"/>
          <w:u w:val="single"/>
        </w:rPr>
      </w:pPr>
    </w:p>
    <w:p w:rsidR="00FC1DA1" w:rsidRPr="006D54A5" w:rsidRDefault="00FC1DA1" w:rsidP="00FC1DA1">
      <w:pPr>
        <w:widowControl/>
        <w:jc w:val="left"/>
        <w:rPr>
          <w:bCs/>
          <w:szCs w:val="22"/>
        </w:rPr>
      </w:pPr>
    </w:p>
    <w:p w:rsidR="00FC1DA1" w:rsidRPr="002A5741" w:rsidRDefault="00FC1DA1" w:rsidP="00FC1DA1">
      <w:pPr>
        <w:pStyle w:val="PBACHeading1"/>
        <w:ind w:left="720"/>
        <w:rPr>
          <w:rFonts w:eastAsia="SimSun"/>
        </w:rPr>
      </w:pPr>
      <w:r w:rsidRPr="002A5741">
        <w:rPr>
          <w:rFonts w:eastAsia="SimSun"/>
        </w:rPr>
        <w:t>Context for Decision</w:t>
      </w:r>
    </w:p>
    <w:p w:rsidR="00FC1DA1" w:rsidRDefault="00FC1DA1" w:rsidP="00FC1DA1">
      <w:pPr>
        <w:ind w:left="720"/>
        <w:contextualSpacing/>
        <w:rPr>
          <w:rFonts w:ascii="Times New Roman" w:hAnsi="Times New Roman" w:cs="Times New Roman"/>
          <w:b/>
          <w:sz w:val="24"/>
          <w:szCs w:val="24"/>
          <w:lang w:eastAsia="en-AU"/>
        </w:rPr>
      </w:pPr>
    </w:p>
    <w:p w:rsidR="00FC1DA1" w:rsidRDefault="00FC1DA1" w:rsidP="00FC1DA1">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C1DA1" w:rsidRDefault="00FC1DA1" w:rsidP="00FC1DA1">
      <w:pPr>
        <w:rPr>
          <w:rFonts w:ascii="Times New Roman" w:hAnsi="Times New Roman" w:cs="Times New Roman"/>
          <w:snapToGrid/>
          <w:sz w:val="24"/>
          <w:szCs w:val="24"/>
        </w:rPr>
      </w:pPr>
    </w:p>
    <w:p w:rsidR="00FC1DA1" w:rsidRDefault="00FC1DA1" w:rsidP="00FC1DA1">
      <w:pPr>
        <w:pStyle w:val="PBACHeading1"/>
        <w:ind w:left="720"/>
        <w:rPr>
          <w:rFonts w:eastAsia="SimSun"/>
        </w:rPr>
      </w:pPr>
      <w:r w:rsidRPr="002A5741">
        <w:rPr>
          <w:rFonts w:eastAsia="SimSun"/>
        </w:rPr>
        <w:t>Sponsor’s Comment</w:t>
      </w:r>
    </w:p>
    <w:p w:rsidR="0033583A" w:rsidRPr="00964A10" w:rsidRDefault="0033583A" w:rsidP="00964A10">
      <w:pPr>
        <w:rPr>
          <w:rFonts w:eastAsia="SimSun"/>
        </w:rPr>
      </w:pPr>
    </w:p>
    <w:p w:rsidR="0033583A" w:rsidRDefault="0033583A" w:rsidP="0033583A">
      <w:pPr>
        <w:ind w:left="720"/>
        <w:rPr>
          <w:bCs/>
          <w:szCs w:val="22"/>
        </w:rPr>
      </w:pPr>
      <w:r w:rsidRPr="0033583A">
        <w:rPr>
          <w:bCs/>
          <w:szCs w:val="22"/>
        </w:rPr>
        <w:t xml:space="preserve">Amgen is pleased with the PBACs acknowledgement of the high clinical need and that blinatumomab will provide a “bridge” to enable some patients to undergo a potentially curative allogeneic haematopoietic stem cell transplant. </w:t>
      </w:r>
    </w:p>
    <w:p w:rsidR="00272D68" w:rsidRPr="0033583A" w:rsidRDefault="00272D68" w:rsidP="0033583A">
      <w:pPr>
        <w:ind w:left="720"/>
        <w:rPr>
          <w:bCs/>
          <w:szCs w:val="22"/>
        </w:rPr>
      </w:pPr>
    </w:p>
    <w:p w:rsidR="00B86AB4" w:rsidRPr="00964A10" w:rsidRDefault="0033583A" w:rsidP="00964A10">
      <w:pPr>
        <w:ind w:left="720"/>
        <w:rPr>
          <w:bCs/>
          <w:szCs w:val="22"/>
        </w:rPr>
      </w:pPr>
      <w:r w:rsidRPr="0033583A">
        <w:rPr>
          <w:bCs/>
          <w:szCs w:val="22"/>
        </w:rPr>
        <w:t>While Amgen is disappointed with the PBAC’s initial recommendation, we will continue to seek reimbursed access at the earliest possible opportunity for adults with acute lymphoblastic leukaemia.  Amgen agrees with the PBAC that an innovative solution may be the most expeditious alternative to provide access as soon as possible t</w:t>
      </w:r>
      <w:r w:rsidR="00964A10">
        <w:rPr>
          <w:bCs/>
          <w:szCs w:val="22"/>
        </w:rPr>
        <w:t>o patients in significant need.</w:t>
      </w:r>
    </w:p>
    <w:sectPr w:rsidR="00B86AB4" w:rsidRPr="00964A10" w:rsidSect="002C328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6953B" w15:done="0"/>
  <w15:commentEx w15:paraId="6B341C76" w15:done="0"/>
  <w15:commentEx w15:paraId="6B849A51" w15:done="0"/>
  <w15:commentEx w15:paraId="758C4D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5C" w:rsidRDefault="00145D5C" w:rsidP="00124A51">
      <w:r>
        <w:separator/>
      </w:r>
    </w:p>
  </w:endnote>
  <w:endnote w:type="continuationSeparator" w:id="0">
    <w:p w:rsidR="00145D5C" w:rsidRDefault="00145D5C" w:rsidP="00124A51">
      <w:r>
        <w:continuationSeparator/>
      </w:r>
    </w:p>
  </w:endnote>
  <w:endnote w:type="continuationNotice" w:id="1">
    <w:p w:rsidR="00145D5C" w:rsidRDefault="00145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T">
    <w:altName w:val="Frutiger LT"/>
    <w:panose1 w:val="00000000000000000000"/>
    <w:charset w:val="00"/>
    <w:family w:val="swiss"/>
    <w:notTrueType/>
    <w:pitch w:val="default"/>
    <w:sig w:usb0="00000003" w:usb1="00000000" w:usb2="00000000" w:usb3="00000000" w:csb0="00000001" w:csb1="00000000"/>
  </w:font>
  <w:font w:name="Frutiger LT 65 Bold">
    <w:altName w:val="Frutiger LT 65 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10" w:rsidRDefault="00964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1593"/>
      <w:docPartObj>
        <w:docPartGallery w:val="Page Numbers (Bottom of Page)"/>
        <w:docPartUnique/>
      </w:docPartObj>
    </w:sdtPr>
    <w:sdtEndPr>
      <w:rPr>
        <w:noProof/>
      </w:rPr>
    </w:sdtEndPr>
    <w:sdtContent>
      <w:p w:rsidR="00964A10" w:rsidRDefault="00964A10">
        <w:pPr>
          <w:pStyle w:val="Footer"/>
          <w:jc w:val="center"/>
        </w:pPr>
        <w:r>
          <w:fldChar w:fldCharType="begin"/>
        </w:r>
        <w:r>
          <w:instrText xml:space="preserve"> PAGE   \* MERGEFORMAT </w:instrText>
        </w:r>
        <w:r>
          <w:fldChar w:fldCharType="separate"/>
        </w:r>
        <w:r w:rsidR="00145D5C">
          <w:rPr>
            <w:noProof/>
          </w:rPr>
          <w:t>14</w:t>
        </w:r>
        <w:r>
          <w:rPr>
            <w:noProof/>
          </w:rPr>
          <w:fldChar w:fldCharType="end"/>
        </w:r>
      </w:p>
    </w:sdtContent>
  </w:sdt>
  <w:p w:rsidR="00964A10" w:rsidRDefault="00964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10" w:rsidRDefault="00964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5C" w:rsidRDefault="00145D5C" w:rsidP="00124A51">
      <w:r>
        <w:separator/>
      </w:r>
    </w:p>
  </w:footnote>
  <w:footnote w:type="continuationSeparator" w:id="0">
    <w:p w:rsidR="00145D5C" w:rsidRDefault="00145D5C" w:rsidP="00124A51">
      <w:r>
        <w:continuationSeparator/>
      </w:r>
    </w:p>
  </w:footnote>
  <w:footnote w:type="continuationNotice" w:id="1">
    <w:p w:rsidR="00145D5C" w:rsidRDefault="00145D5C"/>
  </w:footnote>
  <w:footnote w:id="2">
    <w:p w:rsidR="00964A10" w:rsidRPr="00583713" w:rsidRDefault="00964A10">
      <w:pPr>
        <w:pStyle w:val="FootnoteText"/>
      </w:pPr>
      <w:r w:rsidRPr="00583713">
        <w:rPr>
          <w:rStyle w:val="FootnoteReference"/>
          <w:sz w:val="18"/>
        </w:rPr>
        <w:footnoteRef/>
      </w:r>
      <w:r w:rsidRPr="00583713">
        <w:rPr>
          <w:sz w:val="18"/>
        </w:rPr>
        <w:t xml:space="preserve"> </w:t>
      </w:r>
      <w:r w:rsidRPr="00583713">
        <w:rPr>
          <w:rFonts w:ascii="Arial Narrow" w:hAnsi="Arial Narrow"/>
          <w:sz w:val="18"/>
        </w:rPr>
        <w:t>Maude SL, Barret D, Teachey DT et al. Managing cytokine release syndrome associated with novel T cell-engaging therapies. Cancer J. 2014:20(2):119-122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10" w:rsidRDefault="00964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10" w:rsidRPr="00450015" w:rsidRDefault="00964A10" w:rsidP="004132EB">
    <w:pPr>
      <w:pStyle w:val="Header"/>
      <w:jc w:val="center"/>
    </w:pPr>
    <w:r w:rsidRPr="00C666B2">
      <w:rPr>
        <w:i/>
        <w:color w:val="808080"/>
      </w:rPr>
      <w:t>Public Summary Document – November 2015 PBAC Meeting</w:t>
    </w:r>
  </w:p>
  <w:p w:rsidR="00964A10" w:rsidRDefault="00964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10" w:rsidRDefault="00964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F9B"/>
    <w:multiLevelType w:val="hybridMultilevel"/>
    <w:tmpl w:val="5648A0F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nsid w:val="0F765C3C"/>
    <w:multiLevelType w:val="multilevel"/>
    <w:tmpl w:val="62AE179A"/>
    <w:lvl w:ilvl="0">
      <w:start w:val="1"/>
      <w:numFmt w:val="decimal"/>
      <w:lvlText w:val="%1"/>
      <w:lvlJc w:val="left"/>
      <w:pPr>
        <w:ind w:left="1854" w:hanging="720"/>
      </w:pPr>
      <w:rPr>
        <w:rFonts w:hint="default"/>
        <w:b/>
        <w:i w:val="0"/>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5DD036C"/>
    <w:multiLevelType w:val="hybridMultilevel"/>
    <w:tmpl w:val="CD9E9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AA2160"/>
    <w:multiLevelType w:val="multilevel"/>
    <w:tmpl w:val="0B68E8E8"/>
    <w:lvl w:ilvl="0">
      <w:numFmt w:val="bullet"/>
      <w:lvlText w:val="−"/>
      <w:lvlJc w:val="left"/>
      <w:pPr>
        <w:ind w:left="1437" w:hanging="360"/>
      </w:pPr>
      <w:rPr>
        <w:rFonts w:ascii="Arial" w:eastAsia="Times New Roman" w:hAnsi="Arial" w:cs="Arial" w:hint="default"/>
      </w:rPr>
    </w:lvl>
    <w:lvl w:ilvl="1">
      <w:start w:val="1"/>
      <w:numFmt w:val="bullet"/>
      <w:lvlText w:val=""/>
      <w:lvlJc w:val="left"/>
      <w:pPr>
        <w:ind w:left="357" w:hanging="360"/>
      </w:pPr>
      <w:rPr>
        <w:rFonts w:ascii="Symbol" w:hAnsi="Symbol" w:hint="default"/>
      </w:rPr>
    </w:lvl>
    <w:lvl w:ilvl="2" w:tentative="1">
      <w:start w:val="1"/>
      <w:numFmt w:val="bullet"/>
      <w:lvlText w:val=""/>
      <w:lvlJc w:val="left"/>
      <w:pPr>
        <w:ind w:left="1077" w:hanging="360"/>
      </w:pPr>
      <w:rPr>
        <w:rFonts w:ascii="Wingdings" w:hAnsi="Wingdings" w:hint="default"/>
      </w:rPr>
    </w:lvl>
    <w:lvl w:ilvl="3" w:tentative="1">
      <w:start w:val="1"/>
      <w:numFmt w:val="bullet"/>
      <w:lvlText w:val=""/>
      <w:lvlJc w:val="left"/>
      <w:pPr>
        <w:ind w:left="1797" w:hanging="360"/>
      </w:pPr>
      <w:rPr>
        <w:rFonts w:ascii="Symbol" w:hAnsi="Symbol" w:hint="default"/>
      </w:rPr>
    </w:lvl>
    <w:lvl w:ilvl="4" w:tentative="1">
      <w:start w:val="1"/>
      <w:numFmt w:val="bullet"/>
      <w:lvlText w:val="o"/>
      <w:lvlJc w:val="left"/>
      <w:pPr>
        <w:ind w:left="2517" w:hanging="360"/>
      </w:pPr>
      <w:rPr>
        <w:rFonts w:ascii="Courier New" w:hAnsi="Courier New" w:cs="Courier New" w:hint="default"/>
      </w:rPr>
    </w:lvl>
    <w:lvl w:ilvl="5" w:tentative="1">
      <w:start w:val="1"/>
      <w:numFmt w:val="bullet"/>
      <w:lvlText w:val=""/>
      <w:lvlJc w:val="left"/>
      <w:pPr>
        <w:ind w:left="3237" w:hanging="360"/>
      </w:pPr>
      <w:rPr>
        <w:rFonts w:ascii="Wingdings" w:hAnsi="Wingdings" w:hint="default"/>
      </w:rPr>
    </w:lvl>
    <w:lvl w:ilvl="6" w:tentative="1">
      <w:start w:val="1"/>
      <w:numFmt w:val="bullet"/>
      <w:lvlText w:val=""/>
      <w:lvlJc w:val="left"/>
      <w:pPr>
        <w:ind w:left="3957" w:hanging="360"/>
      </w:pPr>
      <w:rPr>
        <w:rFonts w:ascii="Symbol" w:hAnsi="Symbol" w:hint="default"/>
      </w:rPr>
    </w:lvl>
    <w:lvl w:ilvl="7" w:tentative="1">
      <w:start w:val="1"/>
      <w:numFmt w:val="bullet"/>
      <w:lvlText w:val="o"/>
      <w:lvlJc w:val="left"/>
      <w:pPr>
        <w:ind w:left="4677" w:hanging="360"/>
      </w:pPr>
      <w:rPr>
        <w:rFonts w:ascii="Courier New" w:hAnsi="Courier New" w:cs="Courier New" w:hint="default"/>
      </w:rPr>
    </w:lvl>
    <w:lvl w:ilvl="8" w:tentative="1">
      <w:start w:val="1"/>
      <w:numFmt w:val="bullet"/>
      <w:lvlText w:val=""/>
      <w:lvlJc w:val="left"/>
      <w:pPr>
        <w:ind w:left="5397" w:hanging="360"/>
      </w:pPr>
      <w:rPr>
        <w:rFonts w:ascii="Wingdings" w:hAnsi="Wingdings" w:hint="default"/>
      </w:rPr>
    </w:lvl>
  </w:abstractNum>
  <w:abstractNum w:abstractNumId="5">
    <w:nsid w:val="18547236"/>
    <w:multiLevelType w:val="multilevel"/>
    <w:tmpl w:val="A51477CC"/>
    <w:lvl w:ilvl="0">
      <w:start w:val="1"/>
      <w:numFmt w:val="bullet"/>
      <w:lvlText w:val=""/>
      <w:lvlJc w:val="left"/>
      <w:pPr>
        <w:ind w:left="1440" w:hanging="720"/>
      </w:pPr>
      <w:rPr>
        <w:rFonts w:ascii="Symbol" w:hAnsi="Symbol" w:hint="default"/>
        <w:b w:val="0"/>
        <w:i w:val="0"/>
      </w:rPr>
    </w:lvl>
    <w:lvl w:ilvl="1">
      <w:start w:val="1"/>
      <w:numFmt w:val="bullet"/>
      <w:lvlText w:val=""/>
      <w:lvlJc w:val="left"/>
      <w:pPr>
        <w:ind w:left="306" w:hanging="720"/>
      </w:pPr>
      <w:rPr>
        <w:rFonts w:ascii="Symbol" w:hAnsi="Symbol" w:hint="default"/>
      </w:rPr>
    </w:lvl>
    <w:lvl w:ilvl="2">
      <w:start w:val="1"/>
      <w:numFmt w:val="decimal"/>
      <w:lvlText w:val="%1.%2.%3"/>
      <w:lvlJc w:val="left"/>
      <w:pPr>
        <w:ind w:left="306" w:hanging="720"/>
      </w:pPr>
      <w:rPr>
        <w:rFonts w:hint="default"/>
      </w:rPr>
    </w:lvl>
    <w:lvl w:ilvl="3">
      <w:start w:val="1"/>
      <w:numFmt w:val="decimal"/>
      <w:lvlText w:val="%1.%2.%3.%4"/>
      <w:lvlJc w:val="left"/>
      <w:pPr>
        <w:ind w:left="666" w:hanging="1080"/>
      </w:pPr>
      <w:rPr>
        <w:rFonts w:hint="default"/>
      </w:rPr>
    </w:lvl>
    <w:lvl w:ilvl="4">
      <w:start w:val="1"/>
      <w:numFmt w:val="decimal"/>
      <w:lvlText w:val="%1.%2.%3.%4.%5"/>
      <w:lvlJc w:val="left"/>
      <w:pPr>
        <w:ind w:left="666" w:hanging="1080"/>
      </w:pPr>
      <w:rPr>
        <w:rFonts w:hint="default"/>
      </w:rPr>
    </w:lvl>
    <w:lvl w:ilvl="5">
      <w:start w:val="1"/>
      <w:numFmt w:val="decimal"/>
      <w:lvlText w:val="%1.%2.%3.%4.%5.%6"/>
      <w:lvlJc w:val="left"/>
      <w:pPr>
        <w:ind w:left="1026" w:hanging="1440"/>
      </w:pPr>
      <w:rPr>
        <w:rFonts w:hint="default"/>
      </w:rPr>
    </w:lvl>
    <w:lvl w:ilvl="6">
      <w:start w:val="1"/>
      <w:numFmt w:val="decimal"/>
      <w:lvlText w:val="%1.%2.%3.%4.%5.%6.%7"/>
      <w:lvlJc w:val="left"/>
      <w:pPr>
        <w:ind w:left="1026" w:hanging="1440"/>
      </w:pPr>
      <w:rPr>
        <w:rFonts w:hint="default"/>
      </w:rPr>
    </w:lvl>
    <w:lvl w:ilvl="7">
      <w:start w:val="1"/>
      <w:numFmt w:val="decimal"/>
      <w:lvlText w:val="%1.%2.%3.%4.%5.%6.%7.%8"/>
      <w:lvlJc w:val="left"/>
      <w:pPr>
        <w:ind w:left="1386" w:hanging="1800"/>
      </w:pPr>
      <w:rPr>
        <w:rFonts w:hint="default"/>
      </w:rPr>
    </w:lvl>
    <w:lvl w:ilvl="8">
      <w:start w:val="1"/>
      <w:numFmt w:val="decimal"/>
      <w:lvlText w:val="%1.%2.%3.%4.%5.%6.%7.%8.%9"/>
      <w:lvlJc w:val="left"/>
      <w:pPr>
        <w:ind w:left="1386" w:hanging="1800"/>
      </w:pPr>
      <w:rPr>
        <w:rFonts w:hint="default"/>
      </w:rPr>
    </w:lvl>
  </w:abstractNum>
  <w:abstractNum w:abstractNumId="6">
    <w:nsid w:val="1E5F4C8B"/>
    <w:multiLevelType w:val="multilevel"/>
    <w:tmpl w:val="4A3067F2"/>
    <w:lvl w:ilvl="0">
      <w:start w:val="1"/>
      <w:numFmt w:val="decimal"/>
      <w:lvlText w:val="%1"/>
      <w:lvlJc w:val="left"/>
      <w:pPr>
        <w:ind w:left="1854" w:hanging="720"/>
      </w:pPr>
      <w:rPr>
        <w:rFonts w:hint="default"/>
        <w:b/>
        <w:i w:val="0"/>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EC5D5D"/>
    <w:multiLevelType w:val="hybridMultilevel"/>
    <w:tmpl w:val="F274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002616"/>
    <w:multiLevelType w:val="hybridMultilevel"/>
    <w:tmpl w:val="A4A4920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87C224C"/>
    <w:multiLevelType w:val="hybridMultilevel"/>
    <w:tmpl w:val="E05CC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8E2806"/>
    <w:multiLevelType w:val="hybridMultilevel"/>
    <w:tmpl w:val="37345332"/>
    <w:lvl w:ilvl="0" w:tplc="5FB8AF14">
      <w:start w:val="100"/>
      <w:numFmt w:val="bullet"/>
      <w:lvlText w:val="-"/>
      <w:lvlJc w:val="left"/>
      <w:pPr>
        <w:ind w:left="1800" w:hanging="360"/>
      </w:pPr>
      <w:rPr>
        <w:rFonts w:ascii="Arial" w:eastAsia="Times New Roman" w:hAnsi="Arial" w:cs="Aria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nsid w:val="49C07D94"/>
    <w:multiLevelType w:val="multilevel"/>
    <w:tmpl w:val="F5B6CC2E"/>
    <w:lvl w:ilvl="0">
      <w:start w:val="1"/>
      <w:numFmt w:val="bullet"/>
      <w:lvlText w:val=""/>
      <w:lvlJc w:val="left"/>
      <w:pPr>
        <w:ind w:left="1440" w:hanging="720"/>
      </w:pPr>
      <w:rPr>
        <w:rFonts w:ascii="Symbol" w:hAnsi="Symbol" w:hint="default"/>
        <w:b w:val="0"/>
        <w:i w:val="0"/>
      </w:rPr>
    </w:lvl>
    <w:lvl w:ilvl="1">
      <w:start w:val="1"/>
      <w:numFmt w:val="bullet"/>
      <w:lvlText w:val=""/>
      <w:lvlJc w:val="left"/>
      <w:pPr>
        <w:ind w:left="306" w:hanging="720"/>
      </w:pPr>
      <w:rPr>
        <w:rFonts w:ascii="Symbol" w:hAnsi="Symbol" w:hint="default"/>
      </w:rPr>
    </w:lvl>
    <w:lvl w:ilvl="2">
      <w:start w:val="1"/>
      <w:numFmt w:val="decimal"/>
      <w:lvlText w:val="%1.%2.%3"/>
      <w:lvlJc w:val="left"/>
      <w:pPr>
        <w:ind w:left="306" w:hanging="720"/>
      </w:pPr>
      <w:rPr>
        <w:rFonts w:hint="default"/>
      </w:rPr>
    </w:lvl>
    <w:lvl w:ilvl="3">
      <w:start w:val="1"/>
      <w:numFmt w:val="decimal"/>
      <w:lvlText w:val="%1.%2.%3.%4"/>
      <w:lvlJc w:val="left"/>
      <w:pPr>
        <w:ind w:left="666" w:hanging="1080"/>
      </w:pPr>
      <w:rPr>
        <w:rFonts w:hint="default"/>
      </w:rPr>
    </w:lvl>
    <w:lvl w:ilvl="4">
      <w:start w:val="1"/>
      <w:numFmt w:val="decimal"/>
      <w:lvlText w:val="%1.%2.%3.%4.%5"/>
      <w:lvlJc w:val="left"/>
      <w:pPr>
        <w:ind w:left="666" w:hanging="1080"/>
      </w:pPr>
      <w:rPr>
        <w:rFonts w:hint="default"/>
      </w:rPr>
    </w:lvl>
    <w:lvl w:ilvl="5">
      <w:start w:val="1"/>
      <w:numFmt w:val="decimal"/>
      <w:lvlText w:val="%1.%2.%3.%4.%5.%6"/>
      <w:lvlJc w:val="left"/>
      <w:pPr>
        <w:ind w:left="1026" w:hanging="1440"/>
      </w:pPr>
      <w:rPr>
        <w:rFonts w:hint="default"/>
      </w:rPr>
    </w:lvl>
    <w:lvl w:ilvl="6">
      <w:start w:val="1"/>
      <w:numFmt w:val="decimal"/>
      <w:lvlText w:val="%1.%2.%3.%4.%5.%6.%7"/>
      <w:lvlJc w:val="left"/>
      <w:pPr>
        <w:ind w:left="1026" w:hanging="1440"/>
      </w:pPr>
      <w:rPr>
        <w:rFonts w:hint="default"/>
      </w:rPr>
    </w:lvl>
    <w:lvl w:ilvl="7">
      <w:start w:val="1"/>
      <w:numFmt w:val="decimal"/>
      <w:lvlText w:val="%1.%2.%3.%4.%5.%6.%7.%8"/>
      <w:lvlJc w:val="left"/>
      <w:pPr>
        <w:ind w:left="1386" w:hanging="1800"/>
      </w:pPr>
      <w:rPr>
        <w:rFonts w:hint="default"/>
      </w:rPr>
    </w:lvl>
    <w:lvl w:ilvl="8">
      <w:start w:val="1"/>
      <w:numFmt w:val="decimal"/>
      <w:lvlText w:val="%1.%2.%3.%4.%5.%6.%7.%8.%9"/>
      <w:lvlJc w:val="left"/>
      <w:pPr>
        <w:ind w:left="1386" w:hanging="1800"/>
      </w:pPr>
      <w:rPr>
        <w:rFonts w:hint="default"/>
      </w:rPr>
    </w:lvl>
  </w:abstractNum>
  <w:abstractNum w:abstractNumId="12">
    <w:nsid w:val="59E27C7F"/>
    <w:multiLevelType w:val="hybridMultilevel"/>
    <w:tmpl w:val="F3D24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6494ED7"/>
    <w:multiLevelType w:val="multilevel"/>
    <w:tmpl w:val="8CD680EE"/>
    <w:lvl w:ilvl="0">
      <w:start w:val="1"/>
      <w:numFmt w:val="bullet"/>
      <w:lvlText w:val=""/>
      <w:lvlJc w:val="left"/>
      <w:pPr>
        <w:ind w:left="180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nsid w:val="6D5E0E65"/>
    <w:multiLevelType w:val="multilevel"/>
    <w:tmpl w:val="DBD2813A"/>
    <w:lvl w:ilvl="0">
      <w:start w:val="1"/>
      <w:numFmt w:val="bullet"/>
      <w:lvlText w:val=""/>
      <w:lvlJc w:val="left"/>
      <w:pPr>
        <w:ind w:left="1437" w:hanging="360"/>
      </w:pPr>
      <w:rPr>
        <w:rFonts w:ascii="Symbol" w:hAnsi="Symbol" w:hint="default"/>
      </w:rPr>
    </w:lvl>
    <w:lvl w:ilvl="1">
      <w:start w:val="1"/>
      <w:numFmt w:val="bullet"/>
      <w:lvlText w:val=""/>
      <w:lvlJc w:val="left"/>
      <w:pPr>
        <w:ind w:left="357" w:hanging="360"/>
      </w:pPr>
      <w:rPr>
        <w:rFonts w:ascii="Symbol" w:hAnsi="Symbol" w:hint="default"/>
      </w:rPr>
    </w:lvl>
    <w:lvl w:ilvl="2" w:tentative="1">
      <w:start w:val="1"/>
      <w:numFmt w:val="bullet"/>
      <w:lvlText w:val=""/>
      <w:lvlJc w:val="left"/>
      <w:pPr>
        <w:ind w:left="1077" w:hanging="360"/>
      </w:pPr>
      <w:rPr>
        <w:rFonts w:ascii="Wingdings" w:hAnsi="Wingdings" w:hint="default"/>
      </w:rPr>
    </w:lvl>
    <w:lvl w:ilvl="3" w:tentative="1">
      <w:start w:val="1"/>
      <w:numFmt w:val="bullet"/>
      <w:lvlText w:val=""/>
      <w:lvlJc w:val="left"/>
      <w:pPr>
        <w:ind w:left="1797" w:hanging="360"/>
      </w:pPr>
      <w:rPr>
        <w:rFonts w:ascii="Symbol" w:hAnsi="Symbol" w:hint="default"/>
      </w:rPr>
    </w:lvl>
    <w:lvl w:ilvl="4" w:tentative="1">
      <w:start w:val="1"/>
      <w:numFmt w:val="bullet"/>
      <w:lvlText w:val="o"/>
      <w:lvlJc w:val="left"/>
      <w:pPr>
        <w:ind w:left="2517" w:hanging="360"/>
      </w:pPr>
      <w:rPr>
        <w:rFonts w:ascii="Courier New" w:hAnsi="Courier New" w:cs="Courier New" w:hint="default"/>
      </w:rPr>
    </w:lvl>
    <w:lvl w:ilvl="5" w:tentative="1">
      <w:start w:val="1"/>
      <w:numFmt w:val="bullet"/>
      <w:lvlText w:val=""/>
      <w:lvlJc w:val="left"/>
      <w:pPr>
        <w:ind w:left="3237" w:hanging="360"/>
      </w:pPr>
      <w:rPr>
        <w:rFonts w:ascii="Wingdings" w:hAnsi="Wingdings" w:hint="default"/>
      </w:rPr>
    </w:lvl>
    <w:lvl w:ilvl="6" w:tentative="1">
      <w:start w:val="1"/>
      <w:numFmt w:val="bullet"/>
      <w:lvlText w:val=""/>
      <w:lvlJc w:val="left"/>
      <w:pPr>
        <w:ind w:left="3957" w:hanging="360"/>
      </w:pPr>
      <w:rPr>
        <w:rFonts w:ascii="Symbol" w:hAnsi="Symbol" w:hint="default"/>
      </w:rPr>
    </w:lvl>
    <w:lvl w:ilvl="7" w:tentative="1">
      <w:start w:val="1"/>
      <w:numFmt w:val="bullet"/>
      <w:lvlText w:val="o"/>
      <w:lvlJc w:val="left"/>
      <w:pPr>
        <w:ind w:left="4677" w:hanging="360"/>
      </w:pPr>
      <w:rPr>
        <w:rFonts w:ascii="Courier New" w:hAnsi="Courier New" w:cs="Courier New" w:hint="default"/>
      </w:rPr>
    </w:lvl>
    <w:lvl w:ilvl="8" w:tentative="1">
      <w:start w:val="1"/>
      <w:numFmt w:val="bullet"/>
      <w:lvlText w:val=""/>
      <w:lvlJc w:val="left"/>
      <w:pPr>
        <w:ind w:left="5397" w:hanging="360"/>
      </w:pPr>
      <w:rPr>
        <w:rFonts w:ascii="Wingdings" w:hAnsi="Wingdings" w:hint="default"/>
      </w:rPr>
    </w:lvl>
  </w:abstractNum>
  <w:abstractNum w:abstractNumId="15">
    <w:nsid w:val="6F915477"/>
    <w:multiLevelType w:val="multilevel"/>
    <w:tmpl w:val="3CD40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FAD1BE2"/>
    <w:multiLevelType w:val="multilevel"/>
    <w:tmpl w:val="DE0632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0" w:hanging="360"/>
      </w:pPr>
      <w:rPr>
        <w:rFonts w:ascii="Wingdings" w:hAnsi="Wingdings" w:hint="default"/>
      </w:rPr>
    </w:lvl>
    <w:lvl w:ilvl="3" w:tentative="1">
      <w:start w:val="1"/>
      <w:numFmt w:val="bullet"/>
      <w:lvlText w:val=""/>
      <w:lvlJc w:val="left"/>
      <w:pPr>
        <w:ind w:left="72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880" w:hanging="360"/>
      </w:pPr>
      <w:rPr>
        <w:rFonts w:ascii="Symbol" w:hAnsi="Symbol" w:hint="default"/>
      </w:rPr>
    </w:lvl>
    <w:lvl w:ilvl="7" w:tentative="1">
      <w:start w:val="1"/>
      <w:numFmt w:val="bullet"/>
      <w:lvlText w:val="o"/>
      <w:lvlJc w:val="left"/>
      <w:pPr>
        <w:ind w:left="3600" w:hanging="360"/>
      </w:pPr>
      <w:rPr>
        <w:rFonts w:ascii="Courier New" w:hAnsi="Courier New" w:cs="Courier New" w:hint="default"/>
      </w:rPr>
    </w:lvl>
    <w:lvl w:ilvl="8" w:tentative="1">
      <w:start w:val="1"/>
      <w:numFmt w:val="bullet"/>
      <w:lvlText w:val=""/>
      <w:lvlJc w:val="left"/>
      <w:pPr>
        <w:ind w:left="4320" w:hanging="360"/>
      </w:pPr>
      <w:rPr>
        <w:rFonts w:ascii="Wingdings" w:hAnsi="Wingdings" w:hint="default"/>
      </w:rPr>
    </w:lvl>
  </w:abstractNum>
  <w:abstractNum w:abstractNumId="17">
    <w:nsid w:val="722A1252"/>
    <w:multiLevelType w:val="multilevel"/>
    <w:tmpl w:val="F4DA01B4"/>
    <w:lvl w:ilvl="0">
      <w:start w:val="1"/>
      <w:numFmt w:val="bullet"/>
      <w:lvlText w:val=""/>
      <w:lvlJc w:val="left"/>
      <w:pPr>
        <w:ind w:left="1440" w:hanging="720"/>
      </w:pPr>
      <w:rPr>
        <w:rFonts w:ascii="Symbol" w:hAnsi="Symbol" w:hint="default"/>
        <w:b w:val="0"/>
        <w:i w:val="0"/>
      </w:rPr>
    </w:lvl>
    <w:lvl w:ilvl="1">
      <w:start w:val="1"/>
      <w:numFmt w:val="bullet"/>
      <w:lvlText w:val=""/>
      <w:lvlJc w:val="left"/>
      <w:pPr>
        <w:ind w:left="306" w:hanging="720"/>
      </w:pPr>
      <w:rPr>
        <w:rFonts w:ascii="Symbol" w:hAnsi="Symbol" w:hint="default"/>
      </w:rPr>
    </w:lvl>
    <w:lvl w:ilvl="2">
      <w:start w:val="1"/>
      <w:numFmt w:val="decimal"/>
      <w:lvlText w:val="%1.%2.%3"/>
      <w:lvlJc w:val="left"/>
      <w:pPr>
        <w:ind w:left="306" w:hanging="720"/>
      </w:pPr>
      <w:rPr>
        <w:rFonts w:hint="default"/>
      </w:rPr>
    </w:lvl>
    <w:lvl w:ilvl="3">
      <w:start w:val="1"/>
      <w:numFmt w:val="decimal"/>
      <w:lvlText w:val="%1.%2.%3.%4"/>
      <w:lvlJc w:val="left"/>
      <w:pPr>
        <w:ind w:left="666" w:hanging="1080"/>
      </w:pPr>
      <w:rPr>
        <w:rFonts w:hint="default"/>
      </w:rPr>
    </w:lvl>
    <w:lvl w:ilvl="4">
      <w:start w:val="1"/>
      <w:numFmt w:val="decimal"/>
      <w:lvlText w:val="%1.%2.%3.%4.%5"/>
      <w:lvlJc w:val="left"/>
      <w:pPr>
        <w:ind w:left="666" w:hanging="1080"/>
      </w:pPr>
      <w:rPr>
        <w:rFonts w:hint="default"/>
      </w:rPr>
    </w:lvl>
    <w:lvl w:ilvl="5">
      <w:start w:val="1"/>
      <w:numFmt w:val="decimal"/>
      <w:lvlText w:val="%1.%2.%3.%4.%5.%6"/>
      <w:lvlJc w:val="left"/>
      <w:pPr>
        <w:ind w:left="1026" w:hanging="1440"/>
      </w:pPr>
      <w:rPr>
        <w:rFonts w:hint="default"/>
      </w:rPr>
    </w:lvl>
    <w:lvl w:ilvl="6">
      <w:start w:val="1"/>
      <w:numFmt w:val="decimal"/>
      <w:lvlText w:val="%1.%2.%3.%4.%5.%6.%7"/>
      <w:lvlJc w:val="left"/>
      <w:pPr>
        <w:ind w:left="1026" w:hanging="1440"/>
      </w:pPr>
      <w:rPr>
        <w:rFonts w:hint="default"/>
      </w:rPr>
    </w:lvl>
    <w:lvl w:ilvl="7">
      <w:start w:val="1"/>
      <w:numFmt w:val="decimal"/>
      <w:lvlText w:val="%1.%2.%3.%4.%5.%6.%7.%8"/>
      <w:lvlJc w:val="left"/>
      <w:pPr>
        <w:ind w:left="1386" w:hanging="1800"/>
      </w:pPr>
      <w:rPr>
        <w:rFonts w:hint="default"/>
      </w:rPr>
    </w:lvl>
    <w:lvl w:ilvl="8">
      <w:start w:val="1"/>
      <w:numFmt w:val="decimal"/>
      <w:lvlText w:val="%1.%2.%3.%4.%5.%6.%7.%8.%9"/>
      <w:lvlJc w:val="left"/>
      <w:pPr>
        <w:ind w:left="1386" w:hanging="1800"/>
      </w:pPr>
      <w:rPr>
        <w:rFonts w:hint="default"/>
      </w:rPr>
    </w:lvl>
  </w:abstractNum>
  <w:abstractNum w:abstractNumId="18">
    <w:nsid w:val="75E70066"/>
    <w:multiLevelType w:val="hybridMultilevel"/>
    <w:tmpl w:val="CAAE13CC"/>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9">
    <w:nsid w:val="784D033C"/>
    <w:multiLevelType w:val="multilevel"/>
    <w:tmpl w:val="8E560BDA"/>
    <w:lvl w:ilvl="0">
      <w:start w:val="1"/>
      <w:numFmt w:val="decimal"/>
      <w:pStyle w:val="PBACHeading1"/>
      <w:lvlText w:val="%1"/>
      <w:lvlJc w:val="left"/>
      <w:pPr>
        <w:ind w:left="1854"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CE0654B"/>
    <w:multiLevelType w:val="hybridMultilevel"/>
    <w:tmpl w:val="690C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0"/>
  </w:num>
  <w:num w:numId="4">
    <w:abstractNumId w:val="18"/>
  </w:num>
  <w:num w:numId="5">
    <w:abstractNumId w:val="17"/>
  </w:num>
  <w:num w:numId="6">
    <w:abstractNumId w:val="13"/>
  </w:num>
  <w:num w:numId="7">
    <w:abstractNumId w:val="4"/>
  </w:num>
  <w:num w:numId="8">
    <w:abstractNumId w:val="14"/>
  </w:num>
  <w:num w:numId="9">
    <w:abstractNumId w:val="12"/>
  </w:num>
  <w:num w:numId="10">
    <w:abstractNumId w:val="3"/>
  </w:num>
  <w:num w:numId="11">
    <w:abstractNumId w:val="16"/>
  </w:num>
  <w:num w:numId="12">
    <w:abstractNumId w:val="5"/>
  </w:num>
  <w:num w:numId="13">
    <w:abstractNumId w:val="11"/>
  </w:num>
  <w:num w:numId="14">
    <w:abstractNumId w:val="7"/>
  </w:num>
  <w:num w:numId="15">
    <w:abstractNumId w:val="20"/>
  </w:num>
  <w:num w:numId="16">
    <w:abstractNumId w:val="9"/>
  </w:num>
  <w:num w:numId="17">
    <w:abstractNumId w:val="8"/>
  </w:num>
  <w:num w:numId="18">
    <w:abstractNumId w:val="6"/>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S">
    <w15:presenceInfo w15:providerId="None" w15:userId="Paul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02"/>
    <w:rsid w:val="00000790"/>
    <w:rsid w:val="00000E5B"/>
    <w:rsid w:val="0000110B"/>
    <w:rsid w:val="00003499"/>
    <w:rsid w:val="00003B45"/>
    <w:rsid w:val="00006A5D"/>
    <w:rsid w:val="00006B61"/>
    <w:rsid w:val="000108A9"/>
    <w:rsid w:val="00010900"/>
    <w:rsid w:val="00013247"/>
    <w:rsid w:val="00013C66"/>
    <w:rsid w:val="00014AE5"/>
    <w:rsid w:val="00015886"/>
    <w:rsid w:val="000162EF"/>
    <w:rsid w:val="000167BF"/>
    <w:rsid w:val="00016ABF"/>
    <w:rsid w:val="00017594"/>
    <w:rsid w:val="0002079D"/>
    <w:rsid w:val="0002225F"/>
    <w:rsid w:val="000229B0"/>
    <w:rsid w:val="00023763"/>
    <w:rsid w:val="000238C9"/>
    <w:rsid w:val="000238E7"/>
    <w:rsid w:val="00024F40"/>
    <w:rsid w:val="0002595E"/>
    <w:rsid w:val="00026CC4"/>
    <w:rsid w:val="0002743E"/>
    <w:rsid w:val="000277D9"/>
    <w:rsid w:val="00030B3E"/>
    <w:rsid w:val="0003169A"/>
    <w:rsid w:val="0003171A"/>
    <w:rsid w:val="00035BB9"/>
    <w:rsid w:val="00040895"/>
    <w:rsid w:val="000413AE"/>
    <w:rsid w:val="00043C37"/>
    <w:rsid w:val="000442E2"/>
    <w:rsid w:val="00045686"/>
    <w:rsid w:val="00046156"/>
    <w:rsid w:val="000519F7"/>
    <w:rsid w:val="000528EA"/>
    <w:rsid w:val="00052CB8"/>
    <w:rsid w:val="000546D7"/>
    <w:rsid w:val="00055AC2"/>
    <w:rsid w:val="000577D4"/>
    <w:rsid w:val="0005799E"/>
    <w:rsid w:val="00061980"/>
    <w:rsid w:val="00061DFD"/>
    <w:rsid w:val="00064B59"/>
    <w:rsid w:val="00066785"/>
    <w:rsid w:val="0006719C"/>
    <w:rsid w:val="00070397"/>
    <w:rsid w:val="00071248"/>
    <w:rsid w:val="000720B9"/>
    <w:rsid w:val="00072683"/>
    <w:rsid w:val="00073787"/>
    <w:rsid w:val="0007486D"/>
    <w:rsid w:val="000809CA"/>
    <w:rsid w:val="00080A07"/>
    <w:rsid w:val="000812CA"/>
    <w:rsid w:val="000819FC"/>
    <w:rsid w:val="00082E08"/>
    <w:rsid w:val="00083E6D"/>
    <w:rsid w:val="00085213"/>
    <w:rsid w:val="00087F8A"/>
    <w:rsid w:val="00090C7E"/>
    <w:rsid w:val="00090FE2"/>
    <w:rsid w:val="00092397"/>
    <w:rsid w:val="00092C09"/>
    <w:rsid w:val="00094AF4"/>
    <w:rsid w:val="00094D0B"/>
    <w:rsid w:val="00096382"/>
    <w:rsid w:val="000A0B3B"/>
    <w:rsid w:val="000A100A"/>
    <w:rsid w:val="000A1B5C"/>
    <w:rsid w:val="000A2DD1"/>
    <w:rsid w:val="000A4EE6"/>
    <w:rsid w:val="000B0FB6"/>
    <w:rsid w:val="000B40B1"/>
    <w:rsid w:val="000B6D29"/>
    <w:rsid w:val="000C29D8"/>
    <w:rsid w:val="000C4DBC"/>
    <w:rsid w:val="000C55BA"/>
    <w:rsid w:val="000C59B7"/>
    <w:rsid w:val="000D1BFC"/>
    <w:rsid w:val="000D69EC"/>
    <w:rsid w:val="000D6EB4"/>
    <w:rsid w:val="000E7012"/>
    <w:rsid w:val="000F0B0C"/>
    <w:rsid w:val="000F4220"/>
    <w:rsid w:val="000F4BB8"/>
    <w:rsid w:val="000F6705"/>
    <w:rsid w:val="000F7127"/>
    <w:rsid w:val="000F7616"/>
    <w:rsid w:val="000F77AD"/>
    <w:rsid w:val="00100F8A"/>
    <w:rsid w:val="00101455"/>
    <w:rsid w:val="00102A41"/>
    <w:rsid w:val="00102C95"/>
    <w:rsid w:val="0010455E"/>
    <w:rsid w:val="0011032E"/>
    <w:rsid w:val="001104CE"/>
    <w:rsid w:val="00110A88"/>
    <w:rsid w:val="00110F26"/>
    <w:rsid w:val="0011348B"/>
    <w:rsid w:val="00113C8F"/>
    <w:rsid w:val="0011515B"/>
    <w:rsid w:val="00115C53"/>
    <w:rsid w:val="00117728"/>
    <w:rsid w:val="00120EE1"/>
    <w:rsid w:val="00121799"/>
    <w:rsid w:val="001222FC"/>
    <w:rsid w:val="00122DEA"/>
    <w:rsid w:val="00124A51"/>
    <w:rsid w:val="00124C75"/>
    <w:rsid w:val="00126621"/>
    <w:rsid w:val="00130182"/>
    <w:rsid w:val="001301E9"/>
    <w:rsid w:val="00130A73"/>
    <w:rsid w:val="00133FA6"/>
    <w:rsid w:val="00135202"/>
    <w:rsid w:val="00136C4A"/>
    <w:rsid w:val="00136F71"/>
    <w:rsid w:val="00137645"/>
    <w:rsid w:val="0014015A"/>
    <w:rsid w:val="00140E99"/>
    <w:rsid w:val="00145540"/>
    <w:rsid w:val="00145615"/>
    <w:rsid w:val="001456B0"/>
    <w:rsid w:val="00145D5C"/>
    <w:rsid w:val="001468F7"/>
    <w:rsid w:val="001503CE"/>
    <w:rsid w:val="0015052C"/>
    <w:rsid w:val="00150B1A"/>
    <w:rsid w:val="001535B4"/>
    <w:rsid w:val="00157130"/>
    <w:rsid w:val="0016261E"/>
    <w:rsid w:val="00162913"/>
    <w:rsid w:val="00162DE6"/>
    <w:rsid w:val="00163EFF"/>
    <w:rsid w:val="00163FEF"/>
    <w:rsid w:val="00164F99"/>
    <w:rsid w:val="001661FB"/>
    <w:rsid w:val="00167E1F"/>
    <w:rsid w:val="001707D3"/>
    <w:rsid w:val="00170D01"/>
    <w:rsid w:val="00170E50"/>
    <w:rsid w:val="00171032"/>
    <w:rsid w:val="00172E85"/>
    <w:rsid w:val="00175532"/>
    <w:rsid w:val="001768B5"/>
    <w:rsid w:val="0018424E"/>
    <w:rsid w:val="00184FDC"/>
    <w:rsid w:val="0018752F"/>
    <w:rsid w:val="00187E3A"/>
    <w:rsid w:val="00190A86"/>
    <w:rsid w:val="001915F7"/>
    <w:rsid w:val="001946EA"/>
    <w:rsid w:val="001951C4"/>
    <w:rsid w:val="00195222"/>
    <w:rsid w:val="00196014"/>
    <w:rsid w:val="00196D6C"/>
    <w:rsid w:val="0019733B"/>
    <w:rsid w:val="001975D8"/>
    <w:rsid w:val="001A0323"/>
    <w:rsid w:val="001A318F"/>
    <w:rsid w:val="001A5380"/>
    <w:rsid w:val="001A5E4A"/>
    <w:rsid w:val="001A5F0D"/>
    <w:rsid w:val="001A7382"/>
    <w:rsid w:val="001B0587"/>
    <w:rsid w:val="001B11F3"/>
    <w:rsid w:val="001B1AF4"/>
    <w:rsid w:val="001B2BEE"/>
    <w:rsid w:val="001B3443"/>
    <w:rsid w:val="001B4A39"/>
    <w:rsid w:val="001C0845"/>
    <w:rsid w:val="001C3DC6"/>
    <w:rsid w:val="001C4821"/>
    <w:rsid w:val="001C6E66"/>
    <w:rsid w:val="001C7722"/>
    <w:rsid w:val="001D0B1C"/>
    <w:rsid w:val="001D2294"/>
    <w:rsid w:val="001D4FA7"/>
    <w:rsid w:val="001D6F75"/>
    <w:rsid w:val="001E17E9"/>
    <w:rsid w:val="001E2221"/>
    <w:rsid w:val="001E238E"/>
    <w:rsid w:val="001E2B1E"/>
    <w:rsid w:val="001E52EB"/>
    <w:rsid w:val="001E542A"/>
    <w:rsid w:val="001E68FD"/>
    <w:rsid w:val="001E7096"/>
    <w:rsid w:val="001E740C"/>
    <w:rsid w:val="001F1235"/>
    <w:rsid w:val="001F1CB3"/>
    <w:rsid w:val="001F2B52"/>
    <w:rsid w:val="001F5507"/>
    <w:rsid w:val="001F6364"/>
    <w:rsid w:val="001F7361"/>
    <w:rsid w:val="0020108F"/>
    <w:rsid w:val="0020265A"/>
    <w:rsid w:val="0020385F"/>
    <w:rsid w:val="00204164"/>
    <w:rsid w:val="002045E9"/>
    <w:rsid w:val="002045EE"/>
    <w:rsid w:val="00207021"/>
    <w:rsid w:val="00207D00"/>
    <w:rsid w:val="00207E47"/>
    <w:rsid w:val="002105C1"/>
    <w:rsid w:val="00210C37"/>
    <w:rsid w:val="0021177B"/>
    <w:rsid w:val="00212402"/>
    <w:rsid w:val="00213913"/>
    <w:rsid w:val="002154F7"/>
    <w:rsid w:val="00216ED0"/>
    <w:rsid w:val="0021785F"/>
    <w:rsid w:val="00220A3E"/>
    <w:rsid w:val="0022342D"/>
    <w:rsid w:val="00223B49"/>
    <w:rsid w:val="0022452A"/>
    <w:rsid w:val="00224DD4"/>
    <w:rsid w:val="00227861"/>
    <w:rsid w:val="002309CC"/>
    <w:rsid w:val="0023226F"/>
    <w:rsid w:val="002355FB"/>
    <w:rsid w:val="002445DB"/>
    <w:rsid w:val="00246856"/>
    <w:rsid w:val="00246C40"/>
    <w:rsid w:val="00247982"/>
    <w:rsid w:val="002500DF"/>
    <w:rsid w:val="0025495A"/>
    <w:rsid w:val="002549C7"/>
    <w:rsid w:val="00254DCF"/>
    <w:rsid w:val="0025531C"/>
    <w:rsid w:val="0025534B"/>
    <w:rsid w:val="00255BB7"/>
    <w:rsid w:val="00256D76"/>
    <w:rsid w:val="00257251"/>
    <w:rsid w:val="00262A87"/>
    <w:rsid w:val="00265C6A"/>
    <w:rsid w:val="00267824"/>
    <w:rsid w:val="00267CB8"/>
    <w:rsid w:val="002725A3"/>
    <w:rsid w:val="00272D3E"/>
    <w:rsid w:val="00272D68"/>
    <w:rsid w:val="0027353C"/>
    <w:rsid w:val="00274505"/>
    <w:rsid w:val="00275C5A"/>
    <w:rsid w:val="00276E61"/>
    <w:rsid w:val="00281014"/>
    <w:rsid w:val="00286B41"/>
    <w:rsid w:val="00287DC5"/>
    <w:rsid w:val="002905B1"/>
    <w:rsid w:val="002928FC"/>
    <w:rsid w:val="00293BEA"/>
    <w:rsid w:val="0029459B"/>
    <w:rsid w:val="002A025A"/>
    <w:rsid w:val="002A14AB"/>
    <w:rsid w:val="002A2B43"/>
    <w:rsid w:val="002A426A"/>
    <w:rsid w:val="002A69FB"/>
    <w:rsid w:val="002A72DE"/>
    <w:rsid w:val="002B0D1C"/>
    <w:rsid w:val="002B1C1F"/>
    <w:rsid w:val="002B3D47"/>
    <w:rsid w:val="002B4048"/>
    <w:rsid w:val="002B432F"/>
    <w:rsid w:val="002B6CCE"/>
    <w:rsid w:val="002B7A1B"/>
    <w:rsid w:val="002C2775"/>
    <w:rsid w:val="002C27C1"/>
    <w:rsid w:val="002C3284"/>
    <w:rsid w:val="002C58C8"/>
    <w:rsid w:val="002C5CD7"/>
    <w:rsid w:val="002D0F4A"/>
    <w:rsid w:val="002D444D"/>
    <w:rsid w:val="002D49D6"/>
    <w:rsid w:val="002D4C4B"/>
    <w:rsid w:val="002D59FD"/>
    <w:rsid w:val="002D5AB6"/>
    <w:rsid w:val="002D721A"/>
    <w:rsid w:val="002E18A8"/>
    <w:rsid w:val="002E6218"/>
    <w:rsid w:val="002E7743"/>
    <w:rsid w:val="002F782D"/>
    <w:rsid w:val="00300936"/>
    <w:rsid w:val="00301017"/>
    <w:rsid w:val="003025E9"/>
    <w:rsid w:val="00303534"/>
    <w:rsid w:val="00307524"/>
    <w:rsid w:val="0030786C"/>
    <w:rsid w:val="0031031A"/>
    <w:rsid w:val="00310981"/>
    <w:rsid w:val="00311C24"/>
    <w:rsid w:val="00312831"/>
    <w:rsid w:val="00312C5D"/>
    <w:rsid w:val="00313B53"/>
    <w:rsid w:val="0031413E"/>
    <w:rsid w:val="00315498"/>
    <w:rsid w:val="003161A8"/>
    <w:rsid w:val="00320570"/>
    <w:rsid w:val="00321446"/>
    <w:rsid w:val="00322E6E"/>
    <w:rsid w:val="00324E3F"/>
    <w:rsid w:val="00331379"/>
    <w:rsid w:val="00332420"/>
    <w:rsid w:val="0033583A"/>
    <w:rsid w:val="0033605F"/>
    <w:rsid w:val="003366C9"/>
    <w:rsid w:val="003371B0"/>
    <w:rsid w:val="0034274B"/>
    <w:rsid w:val="0034312D"/>
    <w:rsid w:val="003446C3"/>
    <w:rsid w:val="00345869"/>
    <w:rsid w:val="003476F8"/>
    <w:rsid w:val="00350511"/>
    <w:rsid w:val="00352521"/>
    <w:rsid w:val="00352D75"/>
    <w:rsid w:val="00352D8D"/>
    <w:rsid w:val="00354883"/>
    <w:rsid w:val="00355828"/>
    <w:rsid w:val="00355CD9"/>
    <w:rsid w:val="0035620E"/>
    <w:rsid w:val="00356D91"/>
    <w:rsid w:val="003613EE"/>
    <w:rsid w:val="003710A6"/>
    <w:rsid w:val="0037117E"/>
    <w:rsid w:val="00371986"/>
    <w:rsid w:val="00373464"/>
    <w:rsid w:val="00380E6E"/>
    <w:rsid w:val="0038189A"/>
    <w:rsid w:val="0038365C"/>
    <w:rsid w:val="00384F06"/>
    <w:rsid w:val="00384F2A"/>
    <w:rsid w:val="003857E0"/>
    <w:rsid w:val="00391D64"/>
    <w:rsid w:val="00395F0D"/>
    <w:rsid w:val="00396642"/>
    <w:rsid w:val="003967AE"/>
    <w:rsid w:val="00396C21"/>
    <w:rsid w:val="00396FD0"/>
    <w:rsid w:val="003A13C7"/>
    <w:rsid w:val="003A1A7A"/>
    <w:rsid w:val="003A25FF"/>
    <w:rsid w:val="003A64D6"/>
    <w:rsid w:val="003B132A"/>
    <w:rsid w:val="003B13C4"/>
    <w:rsid w:val="003B1E7A"/>
    <w:rsid w:val="003B35DE"/>
    <w:rsid w:val="003B4D13"/>
    <w:rsid w:val="003B6BDA"/>
    <w:rsid w:val="003C09FC"/>
    <w:rsid w:val="003C4432"/>
    <w:rsid w:val="003C47B9"/>
    <w:rsid w:val="003C54E7"/>
    <w:rsid w:val="003D0A2E"/>
    <w:rsid w:val="003D12F1"/>
    <w:rsid w:val="003D1828"/>
    <w:rsid w:val="003D2422"/>
    <w:rsid w:val="003D2CB7"/>
    <w:rsid w:val="003D47C3"/>
    <w:rsid w:val="003D550E"/>
    <w:rsid w:val="003E0153"/>
    <w:rsid w:val="003E276F"/>
    <w:rsid w:val="003E303B"/>
    <w:rsid w:val="003E5E3B"/>
    <w:rsid w:val="003E5FFE"/>
    <w:rsid w:val="003E6ACF"/>
    <w:rsid w:val="003E6D98"/>
    <w:rsid w:val="003E70A0"/>
    <w:rsid w:val="003E76F7"/>
    <w:rsid w:val="003F0673"/>
    <w:rsid w:val="003F0735"/>
    <w:rsid w:val="003F0DA6"/>
    <w:rsid w:val="003F141E"/>
    <w:rsid w:val="003F254D"/>
    <w:rsid w:val="003F3763"/>
    <w:rsid w:val="003F4156"/>
    <w:rsid w:val="003F713B"/>
    <w:rsid w:val="003F7B5B"/>
    <w:rsid w:val="00401502"/>
    <w:rsid w:val="00401CFB"/>
    <w:rsid w:val="00402082"/>
    <w:rsid w:val="0040520D"/>
    <w:rsid w:val="00405620"/>
    <w:rsid w:val="00410708"/>
    <w:rsid w:val="00410EC7"/>
    <w:rsid w:val="00412174"/>
    <w:rsid w:val="004132EB"/>
    <w:rsid w:val="00413806"/>
    <w:rsid w:val="00414020"/>
    <w:rsid w:val="00414476"/>
    <w:rsid w:val="00415E0D"/>
    <w:rsid w:val="00415EFC"/>
    <w:rsid w:val="00416D17"/>
    <w:rsid w:val="00417410"/>
    <w:rsid w:val="00417D7A"/>
    <w:rsid w:val="00420B9F"/>
    <w:rsid w:val="00422108"/>
    <w:rsid w:val="00423FAE"/>
    <w:rsid w:val="004252E7"/>
    <w:rsid w:val="004256C8"/>
    <w:rsid w:val="00427C10"/>
    <w:rsid w:val="00431805"/>
    <w:rsid w:val="004319F8"/>
    <w:rsid w:val="00433044"/>
    <w:rsid w:val="00435DA9"/>
    <w:rsid w:val="0043698B"/>
    <w:rsid w:val="0044088B"/>
    <w:rsid w:val="00442122"/>
    <w:rsid w:val="00442B13"/>
    <w:rsid w:val="004443A7"/>
    <w:rsid w:val="00444416"/>
    <w:rsid w:val="0044570A"/>
    <w:rsid w:val="004458C5"/>
    <w:rsid w:val="00445EF4"/>
    <w:rsid w:val="004464EB"/>
    <w:rsid w:val="00446CD8"/>
    <w:rsid w:val="00447706"/>
    <w:rsid w:val="00447B0B"/>
    <w:rsid w:val="00450407"/>
    <w:rsid w:val="00454F44"/>
    <w:rsid w:val="00455A14"/>
    <w:rsid w:val="00455D45"/>
    <w:rsid w:val="00460424"/>
    <w:rsid w:val="004631C4"/>
    <w:rsid w:val="00464595"/>
    <w:rsid w:val="00470806"/>
    <w:rsid w:val="0047297F"/>
    <w:rsid w:val="0047404F"/>
    <w:rsid w:val="00474505"/>
    <w:rsid w:val="004767E7"/>
    <w:rsid w:val="00483452"/>
    <w:rsid w:val="00483E68"/>
    <w:rsid w:val="00484E47"/>
    <w:rsid w:val="004867E2"/>
    <w:rsid w:val="00490849"/>
    <w:rsid w:val="00491B3A"/>
    <w:rsid w:val="00492CFD"/>
    <w:rsid w:val="004959F4"/>
    <w:rsid w:val="00495B36"/>
    <w:rsid w:val="004962D2"/>
    <w:rsid w:val="004971D4"/>
    <w:rsid w:val="004975EA"/>
    <w:rsid w:val="00497B06"/>
    <w:rsid w:val="004A0DA1"/>
    <w:rsid w:val="004A20DE"/>
    <w:rsid w:val="004A246A"/>
    <w:rsid w:val="004A4B2F"/>
    <w:rsid w:val="004A6597"/>
    <w:rsid w:val="004A7E4A"/>
    <w:rsid w:val="004B012D"/>
    <w:rsid w:val="004B0585"/>
    <w:rsid w:val="004B1CB4"/>
    <w:rsid w:val="004B2F18"/>
    <w:rsid w:val="004B3DDB"/>
    <w:rsid w:val="004B44FD"/>
    <w:rsid w:val="004B46EA"/>
    <w:rsid w:val="004B5CEC"/>
    <w:rsid w:val="004B5CFC"/>
    <w:rsid w:val="004B677C"/>
    <w:rsid w:val="004B70E4"/>
    <w:rsid w:val="004C0D25"/>
    <w:rsid w:val="004C13DF"/>
    <w:rsid w:val="004C4585"/>
    <w:rsid w:val="004C4AED"/>
    <w:rsid w:val="004C7723"/>
    <w:rsid w:val="004D1F19"/>
    <w:rsid w:val="004D26BE"/>
    <w:rsid w:val="004D48F5"/>
    <w:rsid w:val="004D5CE5"/>
    <w:rsid w:val="004D5F3F"/>
    <w:rsid w:val="004D7FAC"/>
    <w:rsid w:val="004E0EB8"/>
    <w:rsid w:val="004E1D4C"/>
    <w:rsid w:val="004E2ADC"/>
    <w:rsid w:val="004E391E"/>
    <w:rsid w:val="004E43B2"/>
    <w:rsid w:val="004E57FF"/>
    <w:rsid w:val="004F064A"/>
    <w:rsid w:val="004F1D02"/>
    <w:rsid w:val="004F2679"/>
    <w:rsid w:val="004F29AA"/>
    <w:rsid w:val="004F4782"/>
    <w:rsid w:val="004F7865"/>
    <w:rsid w:val="004F7D5D"/>
    <w:rsid w:val="005012DD"/>
    <w:rsid w:val="005063B2"/>
    <w:rsid w:val="00506451"/>
    <w:rsid w:val="00506928"/>
    <w:rsid w:val="00512854"/>
    <w:rsid w:val="005129E8"/>
    <w:rsid w:val="00514A15"/>
    <w:rsid w:val="00514D96"/>
    <w:rsid w:val="005152B5"/>
    <w:rsid w:val="00515824"/>
    <w:rsid w:val="0052120D"/>
    <w:rsid w:val="00521319"/>
    <w:rsid w:val="00522040"/>
    <w:rsid w:val="0052367A"/>
    <w:rsid w:val="00523C28"/>
    <w:rsid w:val="00526F6E"/>
    <w:rsid w:val="005305D8"/>
    <w:rsid w:val="0053093F"/>
    <w:rsid w:val="00533FE9"/>
    <w:rsid w:val="00535148"/>
    <w:rsid w:val="005422FB"/>
    <w:rsid w:val="00542B1E"/>
    <w:rsid w:val="00544C6C"/>
    <w:rsid w:val="00546278"/>
    <w:rsid w:val="0054702C"/>
    <w:rsid w:val="0055125A"/>
    <w:rsid w:val="00551ABD"/>
    <w:rsid w:val="0055293A"/>
    <w:rsid w:val="00552BD3"/>
    <w:rsid w:val="00555109"/>
    <w:rsid w:val="00556A3A"/>
    <w:rsid w:val="00556DEE"/>
    <w:rsid w:val="005630DD"/>
    <w:rsid w:val="00565BCC"/>
    <w:rsid w:val="0056696F"/>
    <w:rsid w:val="00566E9F"/>
    <w:rsid w:val="00571BA7"/>
    <w:rsid w:val="00575307"/>
    <w:rsid w:val="005755F5"/>
    <w:rsid w:val="00575D8D"/>
    <w:rsid w:val="00576972"/>
    <w:rsid w:val="00580860"/>
    <w:rsid w:val="00582B1C"/>
    <w:rsid w:val="00583599"/>
    <w:rsid w:val="00583699"/>
    <w:rsid w:val="00583713"/>
    <w:rsid w:val="0058476F"/>
    <w:rsid w:val="00587BC7"/>
    <w:rsid w:val="00590C08"/>
    <w:rsid w:val="005930E4"/>
    <w:rsid w:val="00593314"/>
    <w:rsid w:val="005A2452"/>
    <w:rsid w:val="005A3A1D"/>
    <w:rsid w:val="005A4DA3"/>
    <w:rsid w:val="005A4F4C"/>
    <w:rsid w:val="005B1D4C"/>
    <w:rsid w:val="005B5857"/>
    <w:rsid w:val="005B5F18"/>
    <w:rsid w:val="005B633C"/>
    <w:rsid w:val="005C134D"/>
    <w:rsid w:val="005C1779"/>
    <w:rsid w:val="005C1B83"/>
    <w:rsid w:val="005C2A4C"/>
    <w:rsid w:val="005C346B"/>
    <w:rsid w:val="005C4FE5"/>
    <w:rsid w:val="005C57B9"/>
    <w:rsid w:val="005D044D"/>
    <w:rsid w:val="005D18AD"/>
    <w:rsid w:val="005D776F"/>
    <w:rsid w:val="005E1C0C"/>
    <w:rsid w:val="005E1F39"/>
    <w:rsid w:val="005E480F"/>
    <w:rsid w:val="005E4EA4"/>
    <w:rsid w:val="005E5E70"/>
    <w:rsid w:val="005E73C0"/>
    <w:rsid w:val="005E7E9D"/>
    <w:rsid w:val="005E7EB9"/>
    <w:rsid w:val="005F2706"/>
    <w:rsid w:val="005F2B1B"/>
    <w:rsid w:val="005F3129"/>
    <w:rsid w:val="005F416F"/>
    <w:rsid w:val="005F5E6A"/>
    <w:rsid w:val="005F6A3F"/>
    <w:rsid w:val="005F6A8F"/>
    <w:rsid w:val="00604B9B"/>
    <w:rsid w:val="006070F4"/>
    <w:rsid w:val="00607669"/>
    <w:rsid w:val="006103AA"/>
    <w:rsid w:val="0061184C"/>
    <w:rsid w:val="00612237"/>
    <w:rsid w:val="00612F97"/>
    <w:rsid w:val="00616498"/>
    <w:rsid w:val="00616802"/>
    <w:rsid w:val="00616B57"/>
    <w:rsid w:val="00617E12"/>
    <w:rsid w:val="00620021"/>
    <w:rsid w:val="00621477"/>
    <w:rsid w:val="00621EC4"/>
    <w:rsid w:val="00625F67"/>
    <w:rsid w:val="00626983"/>
    <w:rsid w:val="006319B2"/>
    <w:rsid w:val="00631D6B"/>
    <w:rsid w:val="00631DED"/>
    <w:rsid w:val="006327CA"/>
    <w:rsid w:val="0063479F"/>
    <w:rsid w:val="006364A1"/>
    <w:rsid w:val="00637BFD"/>
    <w:rsid w:val="006410B8"/>
    <w:rsid w:val="00641EA9"/>
    <w:rsid w:val="00644048"/>
    <w:rsid w:val="00644646"/>
    <w:rsid w:val="006471CC"/>
    <w:rsid w:val="0065001A"/>
    <w:rsid w:val="0065079F"/>
    <w:rsid w:val="0065571A"/>
    <w:rsid w:val="00655D95"/>
    <w:rsid w:val="006565AE"/>
    <w:rsid w:val="006566F3"/>
    <w:rsid w:val="006634AC"/>
    <w:rsid w:val="0067441F"/>
    <w:rsid w:val="00674E42"/>
    <w:rsid w:val="0067788F"/>
    <w:rsid w:val="006778EB"/>
    <w:rsid w:val="00681D86"/>
    <w:rsid w:val="00681E3A"/>
    <w:rsid w:val="00682112"/>
    <w:rsid w:val="006837FB"/>
    <w:rsid w:val="00686238"/>
    <w:rsid w:val="0068669F"/>
    <w:rsid w:val="006872BA"/>
    <w:rsid w:val="006876A6"/>
    <w:rsid w:val="006917D7"/>
    <w:rsid w:val="00691EC3"/>
    <w:rsid w:val="00694F44"/>
    <w:rsid w:val="006956B7"/>
    <w:rsid w:val="00697BE1"/>
    <w:rsid w:val="006A085E"/>
    <w:rsid w:val="006A4945"/>
    <w:rsid w:val="006A4B5B"/>
    <w:rsid w:val="006A7A5C"/>
    <w:rsid w:val="006B0582"/>
    <w:rsid w:val="006B1473"/>
    <w:rsid w:val="006B516B"/>
    <w:rsid w:val="006C2874"/>
    <w:rsid w:val="006C2A8E"/>
    <w:rsid w:val="006C5D8B"/>
    <w:rsid w:val="006C5FBD"/>
    <w:rsid w:val="006C734B"/>
    <w:rsid w:val="006C7C31"/>
    <w:rsid w:val="006D0C20"/>
    <w:rsid w:val="006D1398"/>
    <w:rsid w:val="006D16BF"/>
    <w:rsid w:val="006D1BDF"/>
    <w:rsid w:val="006D3783"/>
    <w:rsid w:val="006D3B1A"/>
    <w:rsid w:val="006D3C7D"/>
    <w:rsid w:val="006D432B"/>
    <w:rsid w:val="006D4E67"/>
    <w:rsid w:val="006D5D5F"/>
    <w:rsid w:val="006E4B03"/>
    <w:rsid w:val="006F0717"/>
    <w:rsid w:val="006F4FCD"/>
    <w:rsid w:val="006F63A5"/>
    <w:rsid w:val="00700219"/>
    <w:rsid w:val="007003A5"/>
    <w:rsid w:val="0070276E"/>
    <w:rsid w:val="0070294C"/>
    <w:rsid w:val="00702F8F"/>
    <w:rsid w:val="00703925"/>
    <w:rsid w:val="00704ADB"/>
    <w:rsid w:val="00706E00"/>
    <w:rsid w:val="00710BD1"/>
    <w:rsid w:val="00711A36"/>
    <w:rsid w:val="00716876"/>
    <w:rsid w:val="007172AD"/>
    <w:rsid w:val="0071750B"/>
    <w:rsid w:val="00720960"/>
    <w:rsid w:val="00720B9E"/>
    <w:rsid w:val="0072416F"/>
    <w:rsid w:val="0072466F"/>
    <w:rsid w:val="00724D1B"/>
    <w:rsid w:val="00726C4F"/>
    <w:rsid w:val="00726D8D"/>
    <w:rsid w:val="00727339"/>
    <w:rsid w:val="00732C32"/>
    <w:rsid w:val="00733604"/>
    <w:rsid w:val="00735328"/>
    <w:rsid w:val="0073685B"/>
    <w:rsid w:val="007416C7"/>
    <w:rsid w:val="00750263"/>
    <w:rsid w:val="007506C8"/>
    <w:rsid w:val="007536E4"/>
    <w:rsid w:val="00754C6E"/>
    <w:rsid w:val="00756177"/>
    <w:rsid w:val="007561BC"/>
    <w:rsid w:val="0075676A"/>
    <w:rsid w:val="00756E73"/>
    <w:rsid w:val="007654DA"/>
    <w:rsid w:val="00766A35"/>
    <w:rsid w:val="00770BE6"/>
    <w:rsid w:val="0077173B"/>
    <w:rsid w:val="0077303C"/>
    <w:rsid w:val="0077653C"/>
    <w:rsid w:val="00780C74"/>
    <w:rsid w:val="00780ED5"/>
    <w:rsid w:val="00780EE3"/>
    <w:rsid w:val="00784010"/>
    <w:rsid w:val="00785CF2"/>
    <w:rsid w:val="00786524"/>
    <w:rsid w:val="00791D40"/>
    <w:rsid w:val="007921AD"/>
    <w:rsid w:val="007A057F"/>
    <w:rsid w:val="007A0A12"/>
    <w:rsid w:val="007A39F3"/>
    <w:rsid w:val="007A4F84"/>
    <w:rsid w:val="007A70F4"/>
    <w:rsid w:val="007A7316"/>
    <w:rsid w:val="007B19A2"/>
    <w:rsid w:val="007B1DD5"/>
    <w:rsid w:val="007B251D"/>
    <w:rsid w:val="007B2EDD"/>
    <w:rsid w:val="007B32A0"/>
    <w:rsid w:val="007B77D1"/>
    <w:rsid w:val="007B79FE"/>
    <w:rsid w:val="007B7C16"/>
    <w:rsid w:val="007C0883"/>
    <w:rsid w:val="007C145D"/>
    <w:rsid w:val="007C361D"/>
    <w:rsid w:val="007C4735"/>
    <w:rsid w:val="007C6BD3"/>
    <w:rsid w:val="007C7313"/>
    <w:rsid w:val="007D03D2"/>
    <w:rsid w:val="007D06CD"/>
    <w:rsid w:val="007D0B38"/>
    <w:rsid w:val="007E17CD"/>
    <w:rsid w:val="007E2BAB"/>
    <w:rsid w:val="007E3E20"/>
    <w:rsid w:val="007E62D0"/>
    <w:rsid w:val="007F1017"/>
    <w:rsid w:val="007F1FCA"/>
    <w:rsid w:val="007F2D50"/>
    <w:rsid w:val="007F4A3F"/>
    <w:rsid w:val="007F67DB"/>
    <w:rsid w:val="007F7BED"/>
    <w:rsid w:val="0080235D"/>
    <w:rsid w:val="00803AFF"/>
    <w:rsid w:val="00805142"/>
    <w:rsid w:val="00805B5F"/>
    <w:rsid w:val="00807A8B"/>
    <w:rsid w:val="00807BC6"/>
    <w:rsid w:val="00807E72"/>
    <w:rsid w:val="00807EEB"/>
    <w:rsid w:val="008117D4"/>
    <w:rsid w:val="00811C22"/>
    <w:rsid w:val="00811ED4"/>
    <w:rsid w:val="00812149"/>
    <w:rsid w:val="0081313D"/>
    <w:rsid w:val="008166EF"/>
    <w:rsid w:val="00817E88"/>
    <w:rsid w:val="00821481"/>
    <w:rsid w:val="00823861"/>
    <w:rsid w:val="00823C9C"/>
    <w:rsid w:val="00824058"/>
    <w:rsid w:val="0082508C"/>
    <w:rsid w:val="008264EB"/>
    <w:rsid w:val="00827E35"/>
    <w:rsid w:val="008302B3"/>
    <w:rsid w:val="0083037A"/>
    <w:rsid w:val="00832171"/>
    <w:rsid w:val="0083270A"/>
    <w:rsid w:val="00832B87"/>
    <w:rsid w:val="00833B05"/>
    <w:rsid w:val="008401C3"/>
    <w:rsid w:val="00840CA2"/>
    <w:rsid w:val="00844B7E"/>
    <w:rsid w:val="00844D89"/>
    <w:rsid w:val="00846F6D"/>
    <w:rsid w:val="00847B1B"/>
    <w:rsid w:val="00854458"/>
    <w:rsid w:val="008554DF"/>
    <w:rsid w:val="00856E9A"/>
    <w:rsid w:val="00857E4F"/>
    <w:rsid w:val="00857F9A"/>
    <w:rsid w:val="008600B0"/>
    <w:rsid w:val="00861699"/>
    <w:rsid w:val="00862502"/>
    <w:rsid w:val="0087240C"/>
    <w:rsid w:val="008743A5"/>
    <w:rsid w:val="00874AB7"/>
    <w:rsid w:val="008768B5"/>
    <w:rsid w:val="00877573"/>
    <w:rsid w:val="008809FB"/>
    <w:rsid w:val="00882874"/>
    <w:rsid w:val="00883787"/>
    <w:rsid w:val="008849ED"/>
    <w:rsid w:val="00884B9E"/>
    <w:rsid w:val="00885221"/>
    <w:rsid w:val="00887D5B"/>
    <w:rsid w:val="00894489"/>
    <w:rsid w:val="008946F7"/>
    <w:rsid w:val="00896319"/>
    <w:rsid w:val="008963A5"/>
    <w:rsid w:val="008966FB"/>
    <w:rsid w:val="00897229"/>
    <w:rsid w:val="008A071D"/>
    <w:rsid w:val="008A205F"/>
    <w:rsid w:val="008A3C3E"/>
    <w:rsid w:val="008A59F3"/>
    <w:rsid w:val="008A5D85"/>
    <w:rsid w:val="008A6F94"/>
    <w:rsid w:val="008A79DE"/>
    <w:rsid w:val="008A7BE5"/>
    <w:rsid w:val="008B164B"/>
    <w:rsid w:val="008B171A"/>
    <w:rsid w:val="008B6028"/>
    <w:rsid w:val="008B7D7E"/>
    <w:rsid w:val="008C4014"/>
    <w:rsid w:val="008C4499"/>
    <w:rsid w:val="008C6A24"/>
    <w:rsid w:val="008C78A3"/>
    <w:rsid w:val="008C7ECB"/>
    <w:rsid w:val="008D6E85"/>
    <w:rsid w:val="008E0504"/>
    <w:rsid w:val="008E0EF4"/>
    <w:rsid w:val="008E1B9E"/>
    <w:rsid w:val="008E3842"/>
    <w:rsid w:val="008E40C6"/>
    <w:rsid w:val="008F120A"/>
    <w:rsid w:val="008F48EB"/>
    <w:rsid w:val="008F4E08"/>
    <w:rsid w:val="008F4F0B"/>
    <w:rsid w:val="009033AA"/>
    <w:rsid w:val="009036AF"/>
    <w:rsid w:val="009043BA"/>
    <w:rsid w:val="00905278"/>
    <w:rsid w:val="009062A5"/>
    <w:rsid w:val="00911272"/>
    <w:rsid w:val="00913CF5"/>
    <w:rsid w:val="009150FF"/>
    <w:rsid w:val="009179DD"/>
    <w:rsid w:val="009205D9"/>
    <w:rsid w:val="00920CCA"/>
    <w:rsid w:val="00923AC2"/>
    <w:rsid w:val="00924D44"/>
    <w:rsid w:val="00925B1B"/>
    <w:rsid w:val="00926EE9"/>
    <w:rsid w:val="009279B1"/>
    <w:rsid w:val="009327AB"/>
    <w:rsid w:val="00934F5C"/>
    <w:rsid w:val="00937EE5"/>
    <w:rsid w:val="00942D66"/>
    <w:rsid w:val="009440A4"/>
    <w:rsid w:val="0094600A"/>
    <w:rsid w:val="009473F4"/>
    <w:rsid w:val="00950951"/>
    <w:rsid w:val="00950D09"/>
    <w:rsid w:val="009536AA"/>
    <w:rsid w:val="0095432F"/>
    <w:rsid w:val="009543F1"/>
    <w:rsid w:val="00957360"/>
    <w:rsid w:val="0096001D"/>
    <w:rsid w:val="009620D2"/>
    <w:rsid w:val="00962CB9"/>
    <w:rsid w:val="00962F22"/>
    <w:rsid w:val="00964312"/>
    <w:rsid w:val="00964A10"/>
    <w:rsid w:val="009661E4"/>
    <w:rsid w:val="00966CFE"/>
    <w:rsid w:val="009674A0"/>
    <w:rsid w:val="00972379"/>
    <w:rsid w:val="009727F2"/>
    <w:rsid w:val="00973EF0"/>
    <w:rsid w:val="00981477"/>
    <w:rsid w:val="00983E57"/>
    <w:rsid w:val="00987F9C"/>
    <w:rsid w:val="009913A5"/>
    <w:rsid w:val="00996B1A"/>
    <w:rsid w:val="009A0093"/>
    <w:rsid w:val="009A01A0"/>
    <w:rsid w:val="009A2F28"/>
    <w:rsid w:val="009A344B"/>
    <w:rsid w:val="009A364E"/>
    <w:rsid w:val="009B25EF"/>
    <w:rsid w:val="009B3E26"/>
    <w:rsid w:val="009B6367"/>
    <w:rsid w:val="009C4A9E"/>
    <w:rsid w:val="009C6878"/>
    <w:rsid w:val="009C746E"/>
    <w:rsid w:val="009C7FC4"/>
    <w:rsid w:val="009D25D8"/>
    <w:rsid w:val="009D3A2A"/>
    <w:rsid w:val="009D5678"/>
    <w:rsid w:val="009D5A35"/>
    <w:rsid w:val="009D5B91"/>
    <w:rsid w:val="009D6546"/>
    <w:rsid w:val="009D71E6"/>
    <w:rsid w:val="009D7C35"/>
    <w:rsid w:val="009E19EB"/>
    <w:rsid w:val="009E4179"/>
    <w:rsid w:val="009E4C07"/>
    <w:rsid w:val="009E66DA"/>
    <w:rsid w:val="009F06CC"/>
    <w:rsid w:val="009F1A8E"/>
    <w:rsid w:val="009F1C1C"/>
    <w:rsid w:val="009F494A"/>
    <w:rsid w:val="009F733C"/>
    <w:rsid w:val="009F7874"/>
    <w:rsid w:val="009F7AAD"/>
    <w:rsid w:val="009F7EDD"/>
    <w:rsid w:val="00A00EFD"/>
    <w:rsid w:val="00A02651"/>
    <w:rsid w:val="00A03D43"/>
    <w:rsid w:val="00A04380"/>
    <w:rsid w:val="00A111F9"/>
    <w:rsid w:val="00A13948"/>
    <w:rsid w:val="00A219CD"/>
    <w:rsid w:val="00A21B12"/>
    <w:rsid w:val="00A23BD8"/>
    <w:rsid w:val="00A2547A"/>
    <w:rsid w:val="00A27AEC"/>
    <w:rsid w:val="00A3187C"/>
    <w:rsid w:val="00A31FF8"/>
    <w:rsid w:val="00A3353B"/>
    <w:rsid w:val="00A34FBF"/>
    <w:rsid w:val="00A350BB"/>
    <w:rsid w:val="00A35D16"/>
    <w:rsid w:val="00A3699F"/>
    <w:rsid w:val="00A4053B"/>
    <w:rsid w:val="00A40D5C"/>
    <w:rsid w:val="00A43C59"/>
    <w:rsid w:val="00A4497D"/>
    <w:rsid w:val="00A46D77"/>
    <w:rsid w:val="00A47672"/>
    <w:rsid w:val="00A50ECD"/>
    <w:rsid w:val="00A5139D"/>
    <w:rsid w:val="00A52729"/>
    <w:rsid w:val="00A53675"/>
    <w:rsid w:val="00A544F4"/>
    <w:rsid w:val="00A56B6A"/>
    <w:rsid w:val="00A578DC"/>
    <w:rsid w:val="00A57EB8"/>
    <w:rsid w:val="00A603B5"/>
    <w:rsid w:val="00A64671"/>
    <w:rsid w:val="00A65A6A"/>
    <w:rsid w:val="00A65AC8"/>
    <w:rsid w:val="00A65EF9"/>
    <w:rsid w:val="00A6725B"/>
    <w:rsid w:val="00A67A23"/>
    <w:rsid w:val="00A705F5"/>
    <w:rsid w:val="00A70AF9"/>
    <w:rsid w:val="00A73FEE"/>
    <w:rsid w:val="00A74437"/>
    <w:rsid w:val="00A7566E"/>
    <w:rsid w:val="00A77D58"/>
    <w:rsid w:val="00A84E57"/>
    <w:rsid w:val="00A863A5"/>
    <w:rsid w:val="00A86680"/>
    <w:rsid w:val="00A86E8B"/>
    <w:rsid w:val="00A9127B"/>
    <w:rsid w:val="00A93014"/>
    <w:rsid w:val="00A93072"/>
    <w:rsid w:val="00A94B96"/>
    <w:rsid w:val="00A952C0"/>
    <w:rsid w:val="00A9588C"/>
    <w:rsid w:val="00A959D8"/>
    <w:rsid w:val="00A97B13"/>
    <w:rsid w:val="00AA5F77"/>
    <w:rsid w:val="00AA750B"/>
    <w:rsid w:val="00AB042A"/>
    <w:rsid w:val="00AB1716"/>
    <w:rsid w:val="00AB2CAC"/>
    <w:rsid w:val="00AB2D34"/>
    <w:rsid w:val="00AB3430"/>
    <w:rsid w:val="00AB7CFA"/>
    <w:rsid w:val="00AC0D30"/>
    <w:rsid w:val="00AC3700"/>
    <w:rsid w:val="00AC5354"/>
    <w:rsid w:val="00AD0C7C"/>
    <w:rsid w:val="00AD0D1F"/>
    <w:rsid w:val="00AD352A"/>
    <w:rsid w:val="00AD4074"/>
    <w:rsid w:val="00AD4256"/>
    <w:rsid w:val="00AD50ED"/>
    <w:rsid w:val="00AD58B8"/>
    <w:rsid w:val="00AD5B88"/>
    <w:rsid w:val="00AD6A1A"/>
    <w:rsid w:val="00AE4B75"/>
    <w:rsid w:val="00AE54F2"/>
    <w:rsid w:val="00AE60C5"/>
    <w:rsid w:val="00AE63EA"/>
    <w:rsid w:val="00AE7430"/>
    <w:rsid w:val="00AF35A3"/>
    <w:rsid w:val="00AF5A38"/>
    <w:rsid w:val="00AF693F"/>
    <w:rsid w:val="00AF7D77"/>
    <w:rsid w:val="00B00C16"/>
    <w:rsid w:val="00B016D4"/>
    <w:rsid w:val="00B02CA4"/>
    <w:rsid w:val="00B03A7B"/>
    <w:rsid w:val="00B1111D"/>
    <w:rsid w:val="00B128F1"/>
    <w:rsid w:val="00B12A29"/>
    <w:rsid w:val="00B12F44"/>
    <w:rsid w:val="00B14D48"/>
    <w:rsid w:val="00B15C6E"/>
    <w:rsid w:val="00B174DB"/>
    <w:rsid w:val="00B21107"/>
    <w:rsid w:val="00B211D2"/>
    <w:rsid w:val="00B218DA"/>
    <w:rsid w:val="00B21C52"/>
    <w:rsid w:val="00B242D3"/>
    <w:rsid w:val="00B25ECE"/>
    <w:rsid w:val="00B2663C"/>
    <w:rsid w:val="00B27C3D"/>
    <w:rsid w:val="00B32030"/>
    <w:rsid w:val="00B34628"/>
    <w:rsid w:val="00B34F4A"/>
    <w:rsid w:val="00B3687A"/>
    <w:rsid w:val="00B3707B"/>
    <w:rsid w:val="00B41AA2"/>
    <w:rsid w:val="00B42851"/>
    <w:rsid w:val="00B42B5E"/>
    <w:rsid w:val="00B47C42"/>
    <w:rsid w:val="00B50DB8"/>
    <w:rsid w:val="00B52C7C"/>
    <w:rsid w:val="00B53659"/>
    <w:rsid w:val="00B53905"/>
    <w:rsid w:val="00B53C60"/>
    <w:rsid w:val="00B5467C"/>
    <w:rsid w:val="00B54B5B"/>
    <w:rsid w:val="00B54C62"/>
    <w:rsid w:val="00B5562E"/>
    <w:rsid w:val="00B55A29"/>
    <w:rsid w:val="00B57000"/>
    <w:rsid w:val="00B5726C"/>
    <w:rsid w:val="00B60939"/>
    <w:rsid w:val="00B60AFD"/>
    <w:rsid w:val="00B61377"/>
    <w:rsid w:val="00B6167B"/>
    <w:rsid w:val="00B626C8"/>
    <w:rsid w:val="00B62715"/>
    <w:rsid w:val="00B64CE0"/>
    <w:rsid w:val="00B65175"/>
    <w:rsid w:val="00B70394"/>
    <w:rsid w:val="00B77BEB"/>
    <w:rsid w:val="00B803C8"/>
    <w:rsid w:val="00B818A4"/>
    <w:rsid w:val="00B820B6"/>
    <w:rsid w:val="00B83FC4"/>
    <w:rsid w:val="00B85B39"/>
    <w:rsid w:val="00B8649C"/>
    <w:rsid w:val="00B86AB4"/>
    <w:rsid w:val="00B91C55"/>
    <w:rsid w:val="00B92D0B"/>
    <w:rsid w:val="00B9427C"/>
    <w:rsid w:val="00B94945"/>
    <w:rsid w:val="00B95531"/>
    <w:rsid w:val="00BA1C02"/>
    <w:rsid w:val="00BA2239"/>
    <w:rsid w:val="00BA2D48"/>
    <w:rsid w:val="00BA4531"/>
    <w:rsid w:val="00BA7A83"/>
    <w:rsid w:val="00BB1B00"/>
    <w:rsid w:val="00BB3830"/>
    <w:rsid w:val="00BB3ABE"/>
    <w:rsid w:val="00BB58A8"/>
    <w:rsid w:val="00BB7405"/>
    <w:rsid w:val="00BC1DCD"/>
    <w:rsid w:val="00BD2062"/>
    <w:rsid w:val="00BD6CF3"/>
    <w:rsid w:val="00BE2180"/>
    <w:rsid w:val="00BE3854"/>
    <w:rsid w:val="00BE4275"/>
    <w:rsid w:val="00BE68BD"/>
    <w:rsid w:val="00BF0D09"/>
    <w:rsid w:val="00BF2433"/>
    <w:rsid w:val="00BF61C9"/>
    <w:rsid w:val="00BF663D"/>
    <w:rsid w:val="00BF6F69"/>
    <w:rsid w:val="00BF76C7"/>
    <w:rsid w:val="00C03B68"/>
    <w:rsid w:val="00C064CA"/>
    <w:rsid w:val="00C0675D"/>
    <w:rsid w:val="00C06884"/>
    <w:rsid w:val="00C10292"/>
    <w:rsid w:val="00C129D2"/>
    <w:rsid w:val="00C137A1"/>
    <w:rsid w:val="00C1577B"/>
    <w:rsid w:val="00C21C81"/>
    <w:rsid w:val="00C21D6A"/>
    <w:rsid w:val="00C2258C"/>
    <w:rsid w:val="00C25418"/>
    <w:rsid w:val="00C25D9C"/>
    <w:rsid w:val="00C27AC2"/>
    <w:rsid w:val="00C31649"/>
    <w:rsid w:val="00C31650"/>
    <w:rsid w:val="00C318B6"/>
    <w:rsid w:val="00C40385"/>
    <w:rsid w:val="00C40409"/>
    <w:rsid w:val="00C404AC"/>
    <w:rsid w:val="00C425D7"/>
    <w:rsid w:val="00C46D50"/>
    <w:rsid w:val="00C501D1"/>
    <w:rsid w:val="00C50F40"/>
    <w:rsid w:val="00C52667"/>
    <w:rsid w:val="00C554E7"/>
    <w:rsid w:val="00C57A04"/>
    <w:rsid w:val="00C616B1"/>
    <w:rsid w:val="00C64CE9"/>
    <w:rsid w:val="00C65576"/>
    <w:rsid w:val="00C66165"/>
    <w:rsid w:val="00C661BA"/>
    <w:rsid w:val="00C6707E"/>
    <w:rsid w:val="00C7052F"/>
    <w:rsid w:val="00C73236"/>
    <w:rsid w:val="00C750C8"/>
    <w:rsid w:val="00C7751D"/>
    <w:rsid w:val="00C8213F"/>
    <w:rsid w:val="00C83A73"/>
    <w:rsid w:val="00C8797A"/>
    <w:rsid w:val="00C91665"/>
    <w:rsid w:val="00C934C2"/>
    <w:rsid w:val="00C938CF"/>
    <w:rsid w:val="00CA027C"/>
    <w:rsid w:val="00CA24D3"/>
    <w:rsid w:val="00CA4AB0"/>
    <w:rsid w:val="00CA5245"/>
    <w:rsid w:val="00CA7B09"/>
    <w:rsid w:val="00CB1816"/>
    <w:rsid w:val="00CB3186"/>
    <w:rsid w:val="00CB389D"/>
    <w:rsid w:val="00CB3959"/>
    <w:rsid w:val="00CB477F"/>
    <w:rsid w:val="00CB4E2C"/>
    <w:rsid w:val="00CB5063"/>
    <w:rsid w:val="00CB548C"/>
    <w:rsid w:val="00CB5B1A"/>
    <w:rsid w:val="00CD190B"/>
    <w:rsid w:val="00CD1F05"/>
    <w:rsid w:val="00CD296C"/>
    <w:rsid w:val="00CD4035"/>
    <w:rsid w:val="00CD4C22"/>
    <w:rsid w:val="00CD6ADC"/>
    <w:rsid w:val="00CE00AF"/>
    <w:rsid w:val="00CE1C8B"/>
    <w:rsid w:val="00CE1EB1"/>
    <w:rsid w:val="00CE6274"/>
    <w:rsid w:val="00CF456B"/>
    <w:rsid w:val="00CF5A22"/>
    <w:rsid w:val="00D000A4"/>
    <w:rsid w:val="00D0202C"/>
    <w:rsid w:val="00D02097"/>
    <w:rsid w:val="00D02536"/>
    <w:rsid w:val="00D0262E"/>
    <w:rsid w:val="00D02E6B"/>
    <w:rsid w:val="00D04FEE"/>
    <w:rsid w:val="00D05527"/>
    <w:rsid w:val="00D05772"/>
    <w:rsid w:val="00D057B2"/>
    <w:rsid w:val="00D07599"/>
    <w:rsid w:val="00D07952"/>
    <w:rsid w:val="00D110BD"/>
    <w:rsid w:val="00D1187D"/>
    <w:rsid w:val="00D14E53"/>
    <w:rsid w:val="00D165AA"/>
    <w:rsid w:val="00D17D6C"/>
    <w:rsid w:val="00D2272A"/>
    <w:rsid w:val="00D240D3"/>
    <w:rsid w:val="00D2553E"/>
    <w:rsid w:val="00D25F8B"/>
    <w:rsid w:val="00D31BFD"/>
    <w:rsid w:val="00D31E27"/>
    <w:rsid w:val="00D3239D"/>
    <w:rsid w:val="00D32F71"/>
    <w:rsid w:val="00D357FF"/>
    <w:rsid w:val="00D37DE8"/>
    <w:rsid w:val="00D43FB1"/>
    <w:rsid w:val="00D4410C"/>
    <w:rsid w:val="00D451BA"/>
    <w:rsid w:val="00D4741D"/>
    <w:rsid w:val="00D518EA"/>
    <w:rsid w:val="00D53900"/>
    <w:rsid w:val="00D54D7E"/>
    <w:rsid w:val="00D5568F"/>
    <w:rsid w:val="00D57B00"/>
    <w:rsid w:val="00D57C66"/>
    <w:rsid w:val="00D60E19"/>
    <w:rsid w:val="00D61F6B"/>
    <w:rsid w:val="00D646C3"/>
    <w:rsid w:val="00D65BA9"/>
    <w:rsid w:val="00D65D1B"/>
    <w:rsid w:val="00D675ED"/>
    <w:rsid w:val="00D730EE"/>
    <w:rsid w:val="00D76A44"/>
    <w:rsid w:val="00D77742"/>
    <w:rsid w:val="00D805CF"/>
    <w:rsid w:val="00D839BF"/>
    <w:rsid w:val="00D845FF"/>
    <w:rsid w:val="00D84B26"/>
    <w:rsid w:val="00D912B7"/>
    <w:rsid w:val="00D913EC"/>
    <w:rsid w:val="00D93252"/>
    <w:rsid w:val="00D93753"/>
    <w:rsid w:val="00D96046"/>
    <w:rsid w:val="00D96A98"/>
    <w:rsid w:val="00DA1513"/>
    <w:rsid w:val="00DA77A5"/>
    <w:rsid w:val="00DB090D"/>
    <w:rsid w:val="00DB10BC"/>
    <w:rsid w:val="00DB5718"/>
    <w:rsid w:val="00DB6090"/>
    <w:rsid w:val="00DB6C69"/>
    <w:rsid w:val="00DC028C"/>
    <w:rsid w:val="00DC2D4B"/>
    <w:rsid w:val="00DC339A"/>
    <w:rsid w:val="00DC485B"/>
    <w:rsid w:val="00DC5501"/>
    <w:rsid w:val="00DC5C81"/>
    <w:rsid w:val="00DD3EC3"/>
    <w:rsid w:val="00DD3F28"/>
    <w:rsid w:val="00DD4537"/>
    <w:rsid w:val="00DD4E15"/>
    <w:rsid w:val="00DE39A5"/>
    <w:rsid w:val="00DE4784"/>
    <w:rsid w:val="00DE4FCB"/>
    <w:rsid w:val="00DF19A2"/>
    <w:rsid w:val="00DF1B5A"/>
    <w:rsid w:val="00DF37FD"/>
    <w:rsid w:val="00DF4BE9"/>
    <w:rsid w:val="00DF5D2B"/>
    <w:rsid w:val="00E00150"/>
    <w:rsid w:val="00E0107A"/>
    <w:rsid w:val="00E025C9"/>
    <w:rsid w:val="00E02C43"/>
    <w:rsid w:val="00E0429C"/>
    <w:rsid w:val="00E0464B"/>
    <w:rsid w:val="00E053FA"/>
    <w:rsid w:val="00E10149"/>
    <w:rsid w:val="00E123AF"/>
    <w:rsid w:val="00E16372"/>
    <w:rsid w:val="00E20ED6"/>
    <w:rsid w:val="00E21358"/>
    <w:rsid w:val="00E21D8B"/>
    <w:rsid w:val="00E2249B"/>
    <w:rsid w:val="00E22A0D"/>
    <w:rsid w:val="00E2771E"/>
    <w:rsid w:val="00E322B7"/>
    <w:rsid w:val="00E37569"/>
    <w:rsid w:val="00E37B49"/>
    <w:rsid w:val="00E40A4E"/>
    <w:rsid w:val="00E40BCE"/>
    <w:rsid w:val="00E41E30"/>
    <w:rsid w:val="00E422B7"/>
    <w:rsid w:val="00E43D70"/>
    <w:rsid w:val="00E44AC8"/>
    <w:rsid w:val="00E44C03"/>
    <w:rsid w:val="00E44D90"/>
    <w:rsid w:val="00E465EB"/>
    <w:rsid w:val="00E47A71"/>
    <w:rsid w:val="00E47B2C"/>
    <w:rsid w:val="00E501DC"/>
    <w:rsid w:val="00E503BC"/>
    <w:rsid w:val="00E51560"/>
    <w:rsid w:val="00E52E5E"/>
    <w:rsid w:val="00E52FC5"/>
    <w:rsid w:val="00E55424"/>
    <w:rsid w:val="00E55BB5"/>
    <w:rsid w:val="00E57D32"/>
    <w:rsid w:val="00E611B5"/>
    <w:rsid w:val="00E6126F"/>
    <w:rsid w:val="00E626E7"/>
    <w:rsid w:val="00E63602"/>
    <w:rsid w:val="00E6402A"/>
    <w:rsid w:val="00E655F9"/>
    <w:rsid w:val="00E65E79"/>
    <w:rsid w:val="00E67416"/>
    <w:rsid w:val="00E7059D"/>
    <w:rsid w:val="00E718B6"/>
    <w:rsid w:val="00E73581"/>
    <w:rsid w:val="00E7463A"/>
    <w:rsid w:val="00E768F1"/>
    <w:rsid w:val="00E76E55"/>
    <w:rsid w:val="00E806E3"/>
    <w:rsid w:val="00E83197"/>
    <w:rsid w:val="00E83BDF"/>
    <w:rsid w:val="00E85109"/>
    <w:rsid w:val="00E878F6"/>
    <w:rsid w:val="00E93588"/>
    <w:rsid w:val="00E97A31"/>
    <w:rsid w:val="00E97AB5"/>
    <w:rsid w:val="00EA1871"/>
    <w:rsid w:val="00EA3864"/>
    <w:rsid w:val="00EA41F6"/>
    <w:rsid w:val="00EA4820"/>
    <w:rsid w:val="00EA6332"/>
    <w:rsid w:val="00EA6DA2"/>
    <w:rsid w:val="00EB0204"/>
    <w:rsid w:val="00EB15B6"/>
    <w:rsid w:val="00EB1F98"/>
    <w:rsid w:val="00EB468B"/>
    <w:rsid w:val="00EB4916"/>
    <w:rsid w:val="00EB49A0"/>
    <w:rsid w:val="00EB655A"/>
    <w:rsid w:val="00EC00C9"/>
    <w:rsid w:val="00EC11C0"/>
    <w:rsid w:val="00EC33AA"/>
    <w:rsid w:val="00EC41F4"/>
    <w:rsid w:val="00EC4498"/>
    <w:rsid w:val="00EC5068"/>
    <w:rsid w:val="00EC5879"/>
    <w:rsid w:val="00EC7A02"/>
    <w:rsid w:val="00ED40BC"/>
    <w:rsid w:val="00ED7FD0"/>
    <w:rsid w:val="00EE06EE"/>
    <w:rsid w:val="00EE07D3"/>
    <w:rsid w:val="00EE23EC"/>
    <w:rsid w:val="00EE31C5"/>
    <w:rsid w:val="00EE364D"/>
    <w:rsid w:val="00EE38E0"/>
    <w:rsid w:val="00EE4120"/>
    <w:rsid w:val="00EE4F89"/>
    <w:rsid w:val="00EE523B"/>
    <w:rsid w:val="00EF31C2"/>
    <w:rsid w:val="00EF3E7E"/>
    <w:rsid w:val="00EF4A37"/>
    <w:rsid w:val="00EF4E41"/>
    <w:rsid w:val="00EF7576"/>
    <w:rsid w:val="00F00FD2"/>
    <w:rsid w:val="00F022DA"/>
    <w:rsid w:val="00F02E5C"/>
    <w:rsid w:val="00F04D8B"/>
    <w:rsid w:val="00F05194"/>
    <w:rsid w:val="00F056AB"/>
    <w:rsid w:val="00F067A2"/>
    <w:rsid w:val="00F07D6F"/>
    <w:rsid w:val="00F1078C"/>
    <w:rsid w:val="00F10B7C"/>
    <w:rsid w:val="00F10E71"/>
    <w:rsid w:val="00F11282"/>
    <w:rsid w:val="00F1168D"/>
    <w:rsid w:val="00F12DF0"/>
    <w:rsid w:val="00F13D6B"/>
    <w:rsid w:val="00F13E3D"/>
    <w:rsid w:val="00F14126"/>
    <w:rsid w:val="00F15298"/>
    <w:rsid w:val="00F15D1A"/>
    <w:rsid w:val="00F168C0"/>
    <w:rsid w:val="00F17DA2"/>
    <w:rsid w:val="00F23843"/>
    <w:rsid w:val="00F247FF"/>
    <w:rsid w:val="00F24837"/>
    <w:rsid w:val="00F2575F"/>
    <w:rsid w:val="00F25B3A"/>
    <w:rsid w:val="00F270BD"/>
    <w:rsid w:val="00F33DE9"/>
    <w:rsid w:val="00F3619A"/>
    <w:rsid w:val="00F365B9"/>
    <w:rsid w:val="00F37F95"/>
    <w:rsid w:val="00F41331"/>
    <w:rsid w:val="00F41764"/>
    <w:rsid w:val="00F4548F"/>
    <w:rsid w:val="00F45EAE"/>
    <w:rsid w:val="00F45F8F"/>
    <w:rsid w:val="00F46CB6"/>
    <w:rsid w:val="00F46DB0"/>
    <w:rsid w:val="00F47732"/>
    <w:rsid w:val="00F47F7B"/>
    <w:rsid w:val="00F52094"/>
    <w:rsid w:val="00F52A96"/>
    <w:rsid w:val="00F53833"/>
    <w:rsid w:val="00F55E73"/>
    <w:rsid w:val="00F567C7"/>
    <w:rsid w:val="00F57CB1"/>
    <w:rsid w:val="00F60092"/>
    <w:rsid w:val="00F6088F"/>
    <w:rsid w:val="00F63FAC"/>
    <w:rsid w:val="00F66DEE"/>
    <w:rsid w:val="00F73568"/>
    <w:rsid w:val="00F80E5D"/>
    <w:rsid w:val="00F81D61"/>
    <w:rsid w:val="00F8280E"/>
    <w:rsid w:val="00F82EE8"/>
    <w:rsid w:val="00F84978"/>
    <w:rsid w:val="00F851CE"/>
    <w:rsid w:val="00F85B80"/>
    <w:rsid w:val="00F9009B"/>
    <w:rsid w:val="00F92A39"/>
    <w:rsid w:val="00F94E14"/>
    <w:rsid w:val="00F94F3E"/>
    <w:rsid w:val="00F97A78"/>
    <w:rsid w:val="00FA1E54"/>
    <w:rsid w:val="00FA24E7"/>
    <w:rsid w:val="00FA31D4"/>
    <w:rsid w:val="00FA383F"/>
    <w:rsid w:val="00FA4F0B"/>
    <w:rsid w:val="00FA6721"/>
    <w:rsid w:val="00FA70BE"/>
    <w:rsid w:val="00FA77EE"/>
    <w:rsid w:val="00FB2B47"/>
    <w:rsid w:val="00FB2FCB"/>
    <w:rsid w:val="00FB4219"/>
    <w:rsid w:val="00FC1074"/>
    <w:rsid w:val="00FC1884"/>
    <w:rsid w:val="00FC1DA1"/>
    <w:rsid w:val="00FC1E42"/>
    <w:rsid w:val="00FC2491"/>
    <w:rsid w:val="00FC26ED"/>
    <w:rsid w:val="00FC2CA4"/>
    <w:rsid w:val="00FC43B8"/>
    <w:rsid w:val="00FC5EAC"/>
    <w:rsid w:val="00FC66A2"/>
    <w:rsid w:val="00FD2100"/>
    <w:rsid w:val="00FD446D"/>
    <w:rsid w:val="00FD4E30"/>
    <w:rsid w:val="00FE0744"/>
    <w:rsid w:val="00FE47F3"/>
    <w:rsid w:val="00FE7B67"/>
    <w:rsid w:val="00FF3DCF"/>
    <w:rsid w:val="00FF4A9C"/>
    <w:rsid w:val="00FF5AA3"/>
    <w:rsid w:val="00FF6484"/>
    <w:rsid w:val="00FF6D6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964A10"/>
    <w:rPr>
      <w:sz w:val="28"/>
    </w:rPr>
  </w:style>
  <w:style w:type="character" w:customStyle="1" w:styleId="TitleChar">
    <w:name w:val="Title Char"/>
    <w:basedOn w:val="DefaultParagraphFont"/>
    <w:link w:val="Title"/>
    <w:rsid w:val="00964A10"/>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64A10"/>
    <w:pPr>
      <w:numPr>
        <w:numId w:val="1"/>
      </w:numPr>
      <w:outlineLvl w:val="0"/>
    </w:pPr>
    <w:rPr>
      <w:rFonts w:ascii="Arial" w:hAnsi="Arial" w:cs="Arial"/>
      <w:b/>
      <w:snapToGrid w:val="0"/>
      <w:sz w:val="22"/>
      <w:szCs w:val="22"/>
      <w:lang w:eastAsia="en-US"/>
    </w:rPr>
  </w:style>
  <w:style w:type="paragraph" w:customStyle="1" w:styleId="TableLeftAlign">
    <w:name w:val="TableLeftAlign"/>
    <w:basedOn w:val="TableText0"/>
    <w:rsid w:val="00A952C0"/>
    <w:rPr>
      <w:rFonts w:ascii="Arial" w:hAnsi="Arial"/>
      <w:lang w:val="en-US"/>
    </w:rPr>
  </w:style>
  <w:style w:type="paragraph" w:customStyle="1" w:styleId="Pa6">
    <w:name w:val="Pa6"/>
    <w:basedOn w:val="Normal"/>
    <w:next w:val="Normal"/>
    <w:uiPriority w:val="99"/>
    <w:rsid w:val="00267CB8"/>
    <w:pPr>
      <w:widowControl/>
      <w:autoSpaceDE w:val="0"/>
      <w:autoSpaceDN w:val="0"/>
      <w:adjustRightInd w:val="0"/>
      <w:spacing w:line="201" w:lineRule="atLeast"/>
      <w:jc w:val="left"/>
    </w:pPr>
    <w:rPr>
      <w:rFonts w:ascii="Frutiger LT" w:hAnsi="Frutiger LT" w:cs="Times New Roman"/>
      <w:snapToGrid/>
      <w:sz w:val="24"/>
      <w:szCs w:val="24"/>
      <w:lang w:eastAsia="en-AU"/>
    </w:rPr>
  </w:style>
  <w:style w:type="character" w:customStyle="1" w:styleId="A1">
    <w:name w:val="A1"/>
    <w:rsid w:val="00423FAE"/>
    <w:rPr>
      <w:rFonts w:cs="Frutiger LT 65 Bold"/>
      <w:color w:val="000000"/>
      <w:sz w:val="28"/>
      <w:szCs w:val="28"/>
    </w:rPr>
  </w:style>
  <w:style w:type="character" w:customStyle="1" w:styleId="TableText1">
    <w:name w:val="Table Text"/>
    <w:basedOn w:val="DefaultParagraphFont"/>
    <w:uiPriority w:val="4"/>
    <w:qFormat/>
    <w:rsid w:val="00082E08"/>
    <w:rPr>
      <w:rFonts w:ascii="Arial Narrow" w:hAnsi="Arial Narrow"/>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54883"/>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E322B7"/>
    <w:rPr>
      <w:sz w:val="20"/>
    </w:rPr>
  </w:style>
  <w:style w:type="character" w:customStyle="1" w:styleId="FootnoteTextChar">
    <w:name w:val="Footnote Text Char"/>
    <w:basedOn w:val="DefaultParagraphFont"/>
    <w:link w:val="FootnoteText"/>
    <w:semiHidden/>
    <w:rsid w:val="00E322B7"/>
    <w:rPr>
      <w:rFonts w:ascii="Arial" w:hAnsi="Arial" w:cs="Arial"/>
      <w:snapToGrid w:val="0"/>
      <w:lang w:eastAsia="en-US"/>
    </w:rPr>
  </w:style>
  <w:style w:type="character" w:styleId="FootnoteReference">
    <w:name w:val="footnote reference"/>
    <w:basedOn w:val="DefaultParagraphFont"/>
    <w:semiHidden/>
    <w:unhideWhenUsed/>
    <w:rsid w:val="00E322B7"/>
    <w:rPr>
      <w:vertAlign w:val="superscript"/>
    </w:rPr>
  </w:style>
  <w:style w:type="character" w:styleId="IntenseReference">
    <w:name w:val="Intense Reference"/>
    <w:basedOn w:val="DefaultParagraphFont"/>
    <w:uiPriority w:val="32"/>
    <w:qFormat/>
    <w:rsid w:val="00B86AB4"/>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964A10"/>
    <w:rPr>
      <w:sz w:val="28"/>
    </w:rPr>
  </w:style>
  <w:style w:type="character" w:customStyle="1" w:styleId="TitleChar">
    <w:name w:val="Title Char"/>
    <w:basedOn w:val="DefaultParagraphFont"/>
    <w:link w:val="Title"/>
    <w:rsid w:val="00964A10"/>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64A10"/>
    <w:pPr>
      <w:numPr>
        <w:numId w:val="1"/>
      </w:numPr>
      <w:outlineLvl w:val="0"/>
    </w:pPr>
    <w:rPr>
      <w:rFonts w:ascii="Arial" w:hAnsi="Arial" w:cs="Arial"/>
      <w:b/>
      <w:snapToGrid w:val="0"/>
      <w:sz w:val="22"/>
      <w:szCs w:val="22"/>
      <w:lang w:eastAsia="en-US"/>
    </w:rPr>
  </w:style>
  <w:style w:type="paragraph" w:customStyle="1" w:styleId="TableLeftAlign">
    <w:name w:val="TableLeftAlign"/>
    <w:basedOn w:val="TableText0"/>
    <w:rsid w:val="00A952C0"/>
    <w:rPr>
      <w:rFonts w:ascii="Arial" w:hAnsi="Arial"/>
      <w:lang w:val="en-US"/>
    </w:rPr>
  </w:style>
  <w:style w:type="paragraph" w:customStyle="1" w:styleId="Pa6">
    <w:name w:val="Pa6"/>
    <w:basedOn w:val="Normal"/>
    <w:next w:val="Normal"/>
    <w:uiPriority w:val="99"/>
    <w:rsid w:val="00267CB8"/>
    <w:pPr>
      <w:widowControl/>
      <w:autoSpaceDE w:val="0"/>
      <w:autoSpaceDN w:val="0"/>
      <w:adjustRightInd w:val="0"/>
      <w:spacing w:line="201" w:lineRule="atLeast"/>
      <w:jc w:val="left"/>
    </w:pPr>
    <w:rPr>
      <w:rFonts w:ascii="Frutiger LT" w:hAnsi="Frutiger LT" w:cs="Times New Roman"/>
      <w:snapToGrid/>
      <w:sz w:val="24"/>
      <w:szCs w:val="24"/>
      <w:lang w:eastAsia="en-AU"/>
    </w:rPr>
  </w:style>
  <w:style w:type="character" w:customStyle="1" w:styleId="A1">
    <w:name w:val="A1"/>
    <w:rsid w:val="00423FAE"/>
    <w:rPr>
      <w:rFonts w:cs="Frutiger LT 65 Bold"/>
      <w:color w:val="000000"/>
      <w:sz w:val="28"/>
      <w:szCs w:val="28"/>
    </w:rPr>
  </w:style>
  <w:style w:type="character" w:customStyle="1" w:styleId="TableText1">
    <w:name w:val="Table Text"/>
    <w:basedOn w:val="DefaultParagraphFont"/>
    <w:uiPriority w:val="4"/>
    <w:qFormat/>
    <w:rsid w:val="00082E08"/>
    <w:rPr>
      <w:rFonts w:ascii="Arial Narrow" w:hAnsi="Arial Narrow"/>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54883"/>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E322B7"/>
    <w:rPr>
      <w:sz w:val="20"/>
    </w:rPr>
  </w:style>
  <w:style w:type="character" w:customStyle="1" w:styleId="FootnoteTextChar">
    <w:name w:val="Footnote Text Char"/>
    <w:basedOn w:val="DefaultParagraphFont"/>
    <w:link w:val="FootnoteText"/>
    <w:semiHidden/>
    <w:rsid w:val="00E322B7"/>
    <w:rPr>
      <w:rFonts w:ascii="Arial" w:hAnsi="Arial" w:cs="Arial"/>
      <w:snapToGrid w:val="0"/>
      <w:lang w:eastAsia="en-US"/>
    </w:rPr>
  </w:style>
  <w:style w:type="character" w:styleId="FootnoteReference">
    <w:name w:val="footnote reference"/>
    <w:basedOn w:val="DefaultParagraphFont"/>
    <w:semiHidden/>
    <w:unhideWhenUsed/>
    <w:rsid w:val="00E322B7"/>
    <w:rPr>
      <w:vertAlign w:val="superscript"/>
    </w:rPr>
  </w:style>
  <w:style w:type="character" w:styleId="IntenseReference">
    <w:name w:val="Intense Reference"/>
    <w:basedOn w:val="DefaultParagraphFont"/>
    <w:uiPriority w:val="32"/>
    <w:qFormat/>
    <w:rsid w:val="00B86AB4"/>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7156">
      <w:bodyDiv w:val="1"/>
      <w:marLeft w:val="0"/>
      <w:marRight w:val="0"/>
      <w:marTop w:val="0"/>
      <w:marBottom w:val="0"/>
      <w:divBdr>
        <w:top w:val="none" w:sz="0" w:space="0" w:color="auto"/>
        <w:left w:val="none" w:sz="0" w:space="0" w:color="auto"/>
        <w:bottom w:val="none" w:sz="0" w:space="0" w:color="auto"/>
        <w:right w:val="none" w:sz="0" w:space="0" w:color="auto"/>
      </w:divBdr>
    </w:div>
    <w:div w:id="810439722">
      <w:bodyDiv w:val="1"/>
      <w:marLeft w:val="0"/>
      <w:marRight w:val="0"/>
      <w:marTop w:val="0"/>
      <w:marBottom w:val="0"/>
      <w:divBdr>
        <w:top w:val="none" w:sz="0" w:space="0" w:color="auto"/>
        <w:left w:val="none" w:sz="0" w:space="0" w:color="auto"/>
        <w:bottom w:val="none" w:sz="0" w:space="0" w:color="auto"/>
        <w:right w:val="none" w:sz="0" w:space="0" w:color="auto"/>
      </w:divBdr>
    </w:div>
    <w:div w:id="990210515">
      <w:bodyDiv w:val="1"/>
      <w:marLeft w:val="0"/>
      <w:marRight w:val="0"/>
      <w:marTop w:val="0"/>
      <w:marBottom w:val="0"/>
      <w:divBdr>
        <w:top w:val="none" w:sz="0" w:space="0" w:color="auto"/>
        <w:left w:val="none" w:sz="0" w:space="0" w:color="auto"/>
        <w:bottom w:val="none" w:sz="0" w:space="0" w:color="auto"/>
        <w:right w:val="none" w:sz="0" w:space="0" w:color="auto"/>
      </w:divBdr>
    </w:div>
    <w:div w:id="1066874372">
      <w:bodyDiv w:val="1"/>
      <w:marLeft w:val="0"/>
      <w:marRight w:val="0"/>
      <w:marTop w:val="0"/>
      <w:marBottom w:val="0"/>
      <w:divBdr>
        <w:top w:val="none" w:sz="0" w:space="0" w:color="auto"/>
        <w:left w:val="none" w:sz="0" w:space="0" w:color="auto"/>
        <w:bottom w:val="none" w:sz="0" w:space="0" w:color="auto"/>
        <w:right w:val="none" w:sz="0" w:space="0" w:color="auto"/>
      </w:divBdr>
    </w:div>
    <w:div w:id="1086919565">
      <w:bodyDiv w:val="1"/>
      <w:marLeft w:val="0"/>
      <w:marRight w:val="0"/>
      <w:marTop w:val="0"/>
      <w:marBottom w:val="0"/>
      <w:divBdr>
        <w:top w:val="none" w:sz="0" w:space="0" w:color="auto"/>
        <w:left w:val="none" w:sz="0" w:space="0" w:color="auto"/>
        <w:bottom w:val="none" w:sz="0" w:space="0" w:color="auto"/>
        <w:right w:val="none" w:sz="0" w:space="0" w:color="auto"/>
      </w:divBdr>
    </w:div>
    <w:div w:id="1262297159">
      <w:bodyDiv w:val="1"/>
      <w:marLeft w:val="0"/>
      <w:marRight w:val="0"/>
      <w:marTop w:val="0"/>
      <w:marBottom w:val="0"/>
      <w:divBdr>
        <w:top w:val="none" w:sz="0" w:space="0" w:color="auto"/>
        <w:left w:val="none" w:sz="0" w:space="0" w:color="auto"/>
        <w:bottom w:val="none" w:sz="0" w:space="0" w:color="auto"/>
        <w:right w:val="none" w:sz="0" w:space="0" w:color="auto"/>
      </w:divBdr>
    </w:div>
    <w:div w:id="1470827351">
      <w:bodyDiv w:val="1"/>
      <w:marLeft w:val="0"/>
      <w:marRight w:val="0"/>
      <w:marTop w:val="0"/>
      <w:marBottom w:val="0"/>
      <w:divBdr>
        <w:top w:val="none" w:sz="0" w:space="0" w:color="auto"/>
        <w:left w:val="none" w:sz="0" w:space="0" w:color="auto"/>
        <w:bottom w:val="none" w:sz="0" w:space="0" w:color="auto"/>
        <w:right w:val="none" w:sz="0" w:space="0" w:color="auto"/>
      </w:divBdr>
    </w:div>
    <w:div w:id="1490974339">
      <w:bodyDiv w:val="1"/>
      <w:marLeft w:val="0"/>
      <w:marRight w:val="0"/>
      <w:marTop w:val="0"/>
      <w:marBottom w:val="0"/>
      <w:divBdr>
        <w:top w:val="none" w:sz="0" w:space="0" w:color="auto"/>
        <w:left w:val="none" w:sz="0" w:space="0" w:color="auto"/>
        <w:bottom w:val="none" w:sz="0" w:space="0" w:color="auto"/>
        <w:right w:val="none" w:sz="0" w:space="0" w:color="auto"/>
      </w:divBdr>
    </w:div>
    <w:div w:id="1516191565">
      <w:bodyDiv w:val="1"/>
      <w:marLeft w:val="0"/>
      <w:marRight w:val="0"/>
      <w:marTop w:val="0"/>
      <w:marBottom w:val="0"/>
      <w:divBdr>
        <w:top w:val="none" w:sz="0" w:space="0" w:color="auto"/>
        <w:left w:val="none" w:sz="0" w:space="0" w:color="auto"/>
        <w:bottom w:val="none" w:sz="0" w:space="0" w:color="auto"/>
        <w:right w:val="none" w:sz="0" w:space="0" w:color="auto"/>
      </w:divBdr>
    </w:div>
    <w:div w:id="1580868594">
      <w:bodyDiv w:val="1"/>
      <w:marLeft w:val="0"/>
      <w:marRight w:val="0"/>
      <w:marTop w:val="0"/>
      <w:marBottom w:val="0"/>
      <w:divBdr>
        <w:top w:val="none" w:sz="0" w:space="0" w:color="auto"/>
        <w:left w:val="none" w:sz="0" w:space="0" w:color="auto"/>
        <w:bottom w:val="none" w:sz="0" w:space="0" w:color="auto"/>
        <w:right w:val="none" w:sz="0" w:space="0" w:color="auto"/>
      </w:divBdr>
      <w:divsChild>
        <w:div w:id="1321082250">
          <w:marLeft w:val="1166"/>
          <w:marRight w:val="0"/>
          <w:marTop w:val="134"/>
          <w:marBottom w:val="0"/>
          <w:divBdr>
            <w:top w:val="none" w:sz="0" w:space="0" w:color="auto"/>
            <w:left w:val="none" w:sz="0" w:space="0" w:color="auto"/>
            <w:bottom w:val="none" w:sz="0" w:space="0" w:color="auto"/>
            <w:right w:val="none" w:sz="0" w:space="0" w:color="auto"/>
          </w:divBdr>
        </w:div>
        <w:div w:id="739206864">
          <w:marLeft w:val="1800"/>
          <w:marRight w:val="0"/>
          <w:marTop w:val="115"/>
          <w:marBottom w:val="0"/>
          <w:divBdr>
            <w:top w:val="none" w:sz="0" w:space="0" w:color="auto"/>
            <w:left w:val="none" w:sz="0" w:space="0" w:color="auto"/>
            <w:bottom w:val="none" w:sz="0" w:space="0" w:color="auto"/>
            <w:right w:val="none" w:sz="0" w:space="0" w:color="auto"/>
          </w:divBdr>
        </w:div>
      </w:divsChild>
    </w:div>
    <w:div w:id="1633634410">
      <w:bodyDiv w:val="1"/>
      <w:marLeft w:val="0"/>
      <w:marRight w:val="0"/>
      <w:marTop w:val="0"/>
      <w:marBottom w:val="0"/>
      <w:divBdr>
        <w:top w:val="none" w:sz="0" w:space="0" w:color="auto"/>
        <w:left w:val="none" w:sz="0" w:space="0" w:color="auto"/>
        <w:bottom w:val="none" w:sz="0" w:space="0" w:color="auto"/>
        <w:right w:val="none" w:sz="0" w:space="0" w:color="auto"/>
      </w:divBdr>
    </w:div>
    <w:div w:id="1809860813">
      <w:bodyDiv w:val="1"/>
      <w:marLeft w:val="0"/>
      <w:marRight w:val="0"/>
      <w:marTop w:val="0"/>
      <w:marBottom w:val="0"/>
      <w:divBdr>
        <w:top w:val="none" w:sz="0" w:space="0" w:color="auto"/>
        <w:left w:val="none" w:sz="0" w:space="0" w:color="auto"/>
        <w:bottom w:val="none" w:sz="0" w:space="0" w:color="auto"/>
        <w:right w:val="none" w:sz="0" w:space="0" w:color="auto"/>
      </w:divBdr>
    </w:div>
    <w:div w:id="1927222968">
      <w:bodyDiv w:val="1"/>
      <w:marLeft w:val="0"/>
      <w:marRight w:val="0"/>
      <w:marTop w:val="0"/>
      <w:marBottom w:val="0"/>
      <w:divBdr>
        <w:top w:val="none" w:sz="0" w:space="0" w:color="auto"/>
        <w:left w:val="none" w:sz="0" w:space="0" w:color="auto"/>
        <w:bottom w:val="none" w:sz="0" w:space="0" w:color="auto"/>
        <w:right w:val="none" w:sz="0" w:space="0" w:color="auto"/>
      </w:divBdr>
    </w:div>
    <w:div w:id="2051610163">
      <w:bodyDiv w:val="1"/>
      <w:marLeft w:val="0"/>
      <w:marRight w:val="0"/>
      <w:marTop w:val="0"/>
      <w:marBottom w:val="0"/>
      <w:divBdr>
        <w:top w:val="none" w:sz="0" w:space="0" w:color="auto"/>
        <w:left w:val="none" w:sz="0" w:space="0" w:color="auto"/>
        <w:bottom w:val="none" w:sz="0" w:space="0" w:color="auto"/>
        <w:right w:val="none" w:sz="0" w:space="0" w:color="auto"/>
      </w:divBdr>
    </w:div>
    <w:div w:id="2097902918">
      <w:bodyDiv w:val="1"/>
      <w:marLeft w:val="0"/>
      <w:marRight w:val="0"/>
      <w:marTop w:val="0"/>
      <w:marBottom w:val="0"/>
      <w:divBdr>
        <w:top w:val="none" w:sz="0" w:space="0" w:color="auto"/>
        <w:left w:val="none" w:sz="0" w:space="0" w:color="auto"/>
        <w:bottom w:val="none" w:sz="0" w:space="0" w:color="auto"/>
        <w:right w:val="none" w:sz="0" w:space="0" w:color="auto"/>
      </w:divBdr>
    </w:div>
    <w:div w:id="21172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Gok12</b:Tag>
    <b:SourceType>JournalArticle</b:SourceType>
    <b:Guid>{8122D68D-CDEA-4C25-B770-74FB70F61541}</b:Guid>
    <b:Title>Outcome of relapsed adult lymphoblastic leukemia depends on response to salvage chemotherapy, prognostic factors, and performance of stem cell transplantation</b:Title>
    <b:JournalName>Blood</b:JournalName>
    <b:Year>2012</b:Year>
    <b:Pages>120(10):2</b:Pages>
    <b:Author>
      <b:Author>
        <b:NameList>
          <b:Person>
            <b:Last>Gokbuget</b:Last>
            <b:First>N</b:First>
          </b:Person>
        </b:NameList>
      </b:Author>
    </b:Author>
    <b:RefOrder>17</b:RefOrder>
  </b:Source>
  <b:Source>
    <b:Tag>Fie07</b:Tag>
    <b:SourceType>JournalArticle</b:SourceType>
    <b:Guid>{CAAA9FCF-D9CD-4C41-ABAE-5C48D5AE2FAF}</b:Guid>
    <b:Title>Outcome of 609 adults after relapse of acute lymphoblastic leukemia (ALL); an MRC UKALL 12/ECOG 2993 study</b:Title>
    <b:JournalName>Blood</b:JournalName>
    <b:Year>2007</b:Year>
    <b:Pages>109(3):944-50.</b:Pages>
    <b:Author>
      <b:Author>
        <b:NameList>
          <b:Person>
            <b:Last>Fielding</b:Last>
            <b:Middle>K</b:Middle>
            <b:First>A</b:First>
          </b:Person>
        </b:NameList>
      </b:Author>
    </b:Author>
    <b:RefOrder>18</b:RefOrder>
  </b:Source>
  <b:Source>
    <b:Tag>Placeholder1</b:Tag>
    <b:SourceType>JournalArticle</b:SourceType>
    <b:Guid>{D9F45674-3FB6-4746-9355-E073E1580093}</b:Guid>
    <b:Author>
      <b:Author>
        <b:NameList>
          <b:Person>
            <b:Last>Oriol</b:Last>
          </b:Person>
        </b:NameList>
      </b:Author>
    </b:Author>
    <b:Title>Outcome after relapse of acute lymphoblastic leukemia in adult patients included in four consecutive risk-adapted trials by the PETHEMA Study Group</b:Title>
    <b:JournalName>Haematologica</b:JournalName>
    <b:Year>2010</b:Year>
    <b:Pages>95(4):589-9</b:Pages>
    <b:RefOrder>29</b:RefOrder>
  </b:Source>
  <b:Source>
    <b:Tag>Moo07</b:Tag>
    <b:SourceType>JournalArticle</b:SourceType>
    <b:Guid>{06B40A2E-D540-461B-BD78-5E4B8BC671E0}</b:Guid>
    <b:Title>Karyotype is an independent prognostic factor in adult acute lymphoblastic leukemia (ALL): analysis of cytogenetic data from patients treated on the Medical Research Council (MRC) UKALLXII/Eastern Cooperative Oncology Group (ECOG) 2993 trial.</b:Title>
    <b:JournalName>Blood</b:JournalName>
    <b:Year>2007</b:Year>
    <b:Pages>109(8):3189-97</b:Pages>
    <b:Author>
      <b:Author>
        <b:NameList>
          <b:Person>
            <b:Last>Moorman</b:Last>
            <b:First>A</b:First>
          </b:Person>
        </b:NameList>
      </b:Author>
    </b:Author>
    <b:RefOrder>62</b:RefOrder>
  </b:Source>
  <b:Source>
    <b:Tag>App072</b:Tag>
    <b:SourceType>JournalArticle</b:SourceType>
    <b:Guid>{B5BC5910-149F-4892-BCC5-59850274E99B}</b:Guid>
    <b:Title>End points to establish the efficacy of new agents in the treatment of acute leukemia</b:Title>
    <b:JournalName>Blood</b:JournalName>
    <b:Year>2007</b:Year>
    <b:Pages>109:1810-1816</b:Pages>
    <b:Author>
      <b:Author>
        <b:NameList>
          <b:Person>
            <b:Last>Appelbaum</b:Last>
            <b:Middle>R</b:Middle>
            <b:First>F</b:First>
          </b:Person>
        </b:NameList>
      </b:Author>
    </b:Author>
    <b:RefOrder>28</b:RefOrder>
  </b:Source>
  <b:Source>
    <b:Tag>Kan04</b:Tag>
    <b:SourceType>BookSection</b:SourceType>
    <b:Guid>{45617832-276F-4324-8C78-FCB729FB0244}</b:Guid>
    <b:Title>Acute lymphoid leukemia in adults</b:Title>
    <b:JournalName>Clinical Oncology</b:JournalName>
    <b:Year>2004</b:Year>
    <b:Pages>2793-2824</b:Pages>
    <b:Author>
      <b:Author>
        <b:NameList>
          <b:Person>
            <b:Last>Kantarjian</b:Last>
            <b:First>H</b:First>
          </b:Person>
        </b:NameList>
      </b:Author>
      <b:BookAuthor>
        <b:NameList>
          <b:Person>
            <b:Last>Abeloff</b:Last>
            <b:First>M</b:First>
          </b:Person>
        </b:NameList>
      </b:BookAuthor>
    </b:Author>
    <b:BookTitle>Clinical Oncology</b:BookTitle>
    <b:RefOrder>27</b:RefOrder>
  </b:Source>
  <b:Source>
    <b:Tag>Tho99</b:Tag>
    <b:SourceType>JournalArticle</b:SourceType>
    <b:Guid>{7813BC8A-CFF1-4135-BC3B-300E7A16D986}</b:Guid>
    <b:Title> Primary refractory and relapsed adult acute lymphoblastic leukemia: characteristics, treatment results, and prognosis with salvage therapy. </b:Title>
    <b:JournalName>Cancer</b:JournalName>
    <b:Year>1999</b:Year>
    <b:Pages>86:1216-1230.</b:Pages>
    <b:Author>
      <b:Author>
        <b:NameList>
          <b:Person>
            <b:Last>Thomas</b:Last>
            <b:First>D</b:First>
          </b:Person>
        </b:NameList>
      </b:Author>
    </b:Author>
    <b:RefOrder>8</b:RefOrder>
  </b:Source>
</b:Sources>
</file>

<file path=customXml/itemProps1.xml><?xml version="1.0" encoding="utf-8"?>
<ds:datastoreItem xmlns:ds="http://schemas.openxmlformats.org/officeDocument/2006/customXml" ds:itemID="{A9AD4D6A-6C81-4AB5-86C4-AC028B8B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7007</Words>
  <Characters>39945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5.03 blinatumomab</vt:lpstr>
    </vt:vector>
  </TitlesOfParts>
  <LinksUpToDate>false</LinksUpToDate>
  <CharactersWithSpaces>46859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 blinatumomab</dc:title>
  <dc:creator/>
  <cp:lastModifiedBy/>
  <cp:revision>1</cp:revision>
  <dcterms:created xsi:type="dcterms:W3CDTF">2016-04-14T02:55:00Z</dcterms:created>
  <dcterms:modified xsi:type="dcterms:W3CDTF">2016-04-14T02:56:00Z</dcterms:modified>
</cp:coreProperties>
</file>