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BC" w:rsidRPr="00CE5969" w:rsidRDefault="001B3B85" w:rsidP="00CE5969">
      <w:pPr>
        <w:pStyle w:val="Title"/>
      </w:pPr>
      <w:bookmarkStart w:id="0" w:name="_Toc430073835"/>
      <w:bookmarkStart w:id="1" w:name="_GoBack"/>
      <w:bookmarkEnd w:id="1"/>
      <w:r w:rsidRPr="00CE5969">
        <w:t>7</w:t>
      </w:r>
      <w:r w:rsidR="009E08C4" w:rsidRPr="00CE5969">
        <w:t>.02</w:t>
      </w:r>
      <w:r w:rsidR="00B60939" w:rsidRPr="00CE5969">
        <w:tab/>
      </w:r>
      <w:r w:rsidR="00F307BB" w:rsidRPr="00CE5969">
        <w:t>D</w:t>
      </w:r>
      <w:r w:rsidR="004B249A" w:rsidRPr="00CE5969">
        <w:t>aclatasvir</w:t>
      </w:r>
      <w:r w:rsidR="00C274C3" w:rsidRPr="00CE5969">
        <w:t>,</w:t>
      </w:r>
    </w:p>
    <w:p w:rsidR="005641BC" w:rsidRPr="00CE5969" w:rsidRDefault="004B249A" w:rsidP="00CE5969">
      <w:pPr>
        <w:pStyle w:val="Title"/>
        <w:ind w:firstLine="0"/>
        <w:rPr>
          <w:caps w:val="0"/>
        </w:rPr>
      </w:pPr>
      <w:r w:rsidRPr="00CE5969">
        <w:rPr>
          <w:caps w:val="0"/>
        </w:rPr>
        <w:t>tablet</w:t>
      </w:r>
      <w:r w:rsidR="00B60939" w:rsidRPr="00CE5969">
        <w:rPr>
          <w:caps w:val="0"/>
        </w:rPr>
        <w:t xml:space="preserve">, </w:t>
      </w:r>
      <w:r w:rsidRPr="00CE5969">
        <w:rPr>
          <w:caps w:val="0"/>
        </w:rPr>
        <w:t>60mg or 30mg</w:t>
      </w:r>
      <w:r w:rsidR="00C274C3" w:rsidRPr="00CE5969">
        <w:rPr>
          <w:caps w:val="0"/>
        </w:rPr>
        <w:t>,</w:t>
      </w:r>
    </w:p>
    <w:p w:rsidR="00B60939" w:rsidRPr="00CE5969" w:rsidRDefault="004B249A" w:rsidP="00CE5969">
      <w:pPr>
        <w:pStyle w:val="Title"/>
        <w:ind w:firstLine="0"/>
        <w:rPr>
          <w:caps w:val="0"/>
        </w:rPr>
      </w:pPr>
      <w:r w:rsidRPr="00CE5969">
        <w:rPr>
          <w:caps w:val="0"/>
        </w:rPr>
        <w:t>Daklinza</w:t>
      </w:r>
      <w:r w:rsidR="00B60939" w:rsidRPr="00CE5969">
        <w:rPr>
          <w:caps w:val="0"/>
        </w:rPr>
        <w:t>®</w:t>
      </w:r>
      <w:r w:rsidR="00C274C3" w:rsidRPr="00CE5969">
        <w:rPr>
          <w:caps w:val="0"/>
        </w:rPr>
        <w:t>,</w:t>
      </w:r>
      <w:r w:rsidR="00E356DE" w:rsidRPr="00CE5969">
        <w:rPr>
          <w:caps w:val="0"/>
        </w:rPr>
        <w:t xml:space="preserve"> </w:t>
      </w:r>
      <w:r w:rsidRPr="00CE5969">
        <w:rPr>
          <w:caps w:val="0"/>
        </w:rPr>
        <w:t>Bristol-Myers</w:t>
      </w:r>
      <w:r w:rsidR="00E356DE" w:rsidRPr="00CE5969">
        <w:rPr>
          <w:caps w:val="0"/>
        </w:rPr>
        <w:t xml:space="preserve"> </w:t>
      </w:r>
      <w:r w:rsidRPr="00CE5969">
        <w:rPr>
          <w:caps w:val="0"/>
        </w:rPr>
        <w:t>Squibb</w:t>
      </w:r>
      <w:r w:rsidR="00B60939" w:rsidRPr="00CE5969">
        <w:rPr>
          <w:caps w:val="0"/>
        </w:rPr>
        <w:t>.</w:t>
      </w:r>
      <w:bookmarkEnd w:id="0"/>
    </w:p>
    <w:p w:rsidR="00B60939" w:rsidRDefault="00B60939" w:rsidP="00577717"/>
    <w:p w:rsidR="00877B5C" w:rsidRPr="00CE5969" w:rsidRDefault="00877B5C" w:rsidP="00CE5969">
      <w:pPr>
        <w:pStyle w:val="PBACheading1"/>
        <w:rPr>
          <w:b/>
        </w:rPr>
      </w:pPr>
      <w:bookmarkStart w:id="2" w:name="_Toc430073837"/>
      <w:r w:rsidRPr="00CE5969">
        <w:rPr>
          <w:b/>
        </w:rPr>
        <w:t>Purpose of Application</w:t>
      </w:r>
      <w:bookmarkEnd w:id="2"/>
    </w:p>
    <w:p w:rsidR="00877B5C" w:rsidRPr="00882085" w:rsidRDefault="00877B5C" w:rsidP="00877B5C">
      <w:pPr>
        <w:rPr>
          <w:szCs w:val="22"/>
        </w:rPr>
      </w:pPr>
    </w:p>
    <w:p w:rsidR="00877B5C" w:rsidRPr="00F338FF" w:rsidRDefault="00877B5C" w:rsidP="00C71E74">
      <w:pPr>
        <w:pStyle w:val="ListParagraph"/>
        <w:widowControl/>
        <w:numPr>
          <w:ilvl w:val="1"/>
          <w:numId w:val="5"/>
        </w:numPr>
        <w:rPr>
          <w:szCs w:val="22"/>
        </w:rPr>
      </w:pPr>
      <w:r>
        <w:t>In March 2015, the PBAC recommended a</w:t>
      </w:r>
      <w:r w:rsidR="008F0B3B">
        <w:t xml:space="preserve"> general schedule</w:t>
      </w:r>
      <w:r>
        <w:t xml:space="preserve"> Authority Required PBS listing for daclatasvir (DCV) in combination with sofosbuvir (SOF) for the treatment of genotype 1 chronic hepatitis C (CHC) infection in treatment naïve non-cirrhotic patients</w:t>
      </w:r>
      <w:r w:rsidR="004A2799">
        <w:t>,</w:t>
      </w:r>
      <w:r>
        <w:t xml:space="preserve"> and for the treatment of genotype 3 CHC</w:t>
      </w:r>
      <w:r w:rsidR="004A2799">
        <w:t xml:space="preserve"> infection</w:t>
      </w:r>
      <w:r>
        <w:t xml:space="preserve">. The current re-submission sought an extension of the recommended PBS listings to include all CHC genotypes, irrespective of previous treatment history or cirrhosis status. </w:t>
      </w:r>
      <w:r w:rsidR="006942F4">
        <w:t>The March 2015 submission was the only previous submission considered by PBAC.</w:t>
      </w:r>
    </w:p>
    <w:p w:rsidR="00877B5C" w:rsidRPr="00882085" w:rsidRDefault="00877B5C" w:rsidP="00877B5C"/>
    <w:p w:rsidR="00877B5C" w:rsidRPr="00407F2D" w:rsidRDefault="00877B5C" w:rsidP="00877B5C">
      <w:pPr>
        <w:pStyle w:val="PBACheading1"/>
        <w:rPr>
          <w:b/>
        </w:rPr>
      </w:pPr>
      <w:bookmarkStart w:id="3" w:name="_Toc430073838"/>
      <w:r w:rsidRPr="00407F2D">
        <w:rPr>
          <w:b/>
        </w:rPr>
        <w:t>Requested listing</w:t>
      </w:r>
      <w:bookmarkEnd w:id="3"/>
    </w:p>
    <w:p w:rsidR="00877B5C" w:rsidRPr="00882085" w:rsidRDefault="00877B5C" w:rsidP="00877B5C"/>
    <w:p w:rsidR="00877B5C" w:rsidRPr="00E976F1" w:rsidRDefault="00805133" w:rsidP="00C71E74">
      <w:pPr>
        <w:pStyle w:val="ListParagraph"/>
        <w:widowControl/>
        <w:numPr>
          <w:ilvl w:val="1"/>
          <w:numId w:val="5"/>
        </w:numPr>
        <w:rPr>
          <w:szCs w:val="22"/>
        </w:rPr>
      </w:pPr>
      <w:r>
        <w:t>The requested listing</w:t>
      </w:r>
      <w:r w:rsidR="00877B5C">
        <w:t xml:space="preserve"> from March 2015 </w:t>
      </w:r>
      <w:r>
        <w:t>is</w:t>
      </w:r>
      <w:r w:rsidR="00877B5C">
        <w:t xml:space="preserve"> reproduced below:</w:t>
      </w:r>
    </w:p>
    <w:p w:rsidR="00877B5C" w:rsidRPr="00E976F1" w:rsidRDefault="00877B5C" w:rsidP="00877B5C">
      <w:pPr>
        <w:pStyle w:val="ListParagraph"/>
        <w:widowControl/>
        <w:rPr>
          <w:szCs w:val="22"/>
        </w:rPr>
      </w:pPr>
    </w:p>
    <w:tbl>
      <w:tblPr>
        <w:tblW w:w="4591" w:type="pct"/>
        <w:tblInd w:w="742" w:type="dxa"/>
        <w:tblCellMar>
          <w:left w:w="28" w:type="dxa"/>
          <w:right w:w="28" w:type="dxa"/>
        </w:tblCellMar>
        <w:tblLook w:val="04A0" w:firstRow="1" w:lastRow="0" w:firstColumn="1" w:lastColumn="0" w:noHBand="0" w:noVBand="1"/>
      </w:tblPr>
      <w:tblGrid>
        <w:gridCol w:w="1596"/>
        <w:gridCol w:w="6743"/>
      </w:tblGrid>
      <w:tr w:rsidR="00877B5C" w:rsidRPr="00731E48" w:rsidTr="00E71AC2">
        <w:trPr>
          <w:trHeight w:val="20"/>
        </w:trPr>
        <w:tc>
          <w:tcPr>
            <w:tcW w:w="957" w:type="pct"/>
            <w:tcBorders>
              <w:top w:val="single" w:sz="4" w:space="0" w:color="auto"/>
              <w:left w:val="single" w:sz="4" w:space="0" w:color="auto"/>
              <w:bottom w:val="single" w:sz="4" w:space="0" w:color="auto"/>
              <w:right w:val="single" w:sz="4" w:space="0" w:color="auto"/>
            </w:tcBorders>
            <w:hideMark/>
          </w:tcPr>
          <w:p w:rsidR="00877B5C" w:rsidRPr="00731E48" w:rsidRDefault="00877B5C" w:rsidP="00E71AC2">
            <w:pPr>
              <w:snapToGrid w:val="0"/>
              <w:spacing w:line="20" w:lineRule="atLeast"/>
              <w:rPr>
                <w:sz w:val="20"/>
                <w:lang w:eastAsia="en-AU"/>
              </w:rPr>
            </w:pPr>
            <w:r w:rsidRPr="00731E48">
              <w:rPr>
                <w:rFonts w:ascii="Arial Narrow" w:hAnsi="Arial Narrow"/>
                <w:sz w:val="20"/>
                <w:lang w:eastAsia="en-AU"/>
              </w:rPr>
              <w:t>Condition</w:t>
            </w:r>
          </w:p>
        </w:tc>
        <w:tc>
          <w:tcPr>
            <w:tcW w:w="4043" w:type="pct"/>
            <w:tcBorders>
              <w:top w:val="single" w:sz="4" w:space="0" w:color="auto"/>
              <w:left w:val="single" w:sz="4" w:space="0" w:color="auto"/>
              <w:bottom w:val="single" w:sz="4" w:space="0" w:color="auto"/>
              <w:right w:val="single" w:sz="4" w:space="0" w:color="auto"/>
            </w:tcBorders>
          </w:tcPr>
          <w:p w:rsidR="00877B5C" w:rsidRPr="00731E48" w:rsidRDefault="00877B5C" w:rsidP="00E71AC2">
            <w:pPr>
              <w:snapToGrid w:val="0"/>
              <w:spacing w:line="20" w:lineRule="atLeast"/>
              <w:rPr>
                <w:rFonts w:ascii="Arial Narrow" w:hAnsi="Arial Narrow"/>
                <w:sz w:val="20"/>
                <w:lang w:eastAsia="en-AU"/>
              </w:rPr>
            </w:pPr>
            <w:r w:rsidRPr="00731E48">
              <w:rPr>
                <w:rFonts w:ascii="Arial Narrow" w:hAnsi="Arial Narrow"/>
                <w:sz w:val="20"/>
                <w:lang w:eastAsia="en-AU"/>
              </w:rPr>
              <w:t>Chronic hepatitis C infection</w:t>
            </w:r>
          </w:p>
        </w:tc>
      </w:tr>
      <w:tr w:rsidR="00877B5C" w:rsidRPr="00731E48" w:rsidTr="00E71AC2">
        <w:trPr>
          <w:trHeight w:val="20"/>
        </w:trPr>
        <w:tc>
          <w:tcPr>
            <w:tcW w:w="957" w:type="pct"/>
            <w:tcBorders>
              <w:top w:val="single" w:sz="4" w:space="0" w:color="auto"/>
              <w:left w:val="single" w:sz="4" w:space="0" w:color="auto"/>
              <w:bottom w:val="single" w:sz="4" w:space="0" w:color="auto"/>
              <w:right w:val="single" w:sz="4" w:space="0" w:color="auto"/>
            </w:tcBorders>
            <w:hideMark/>
          </w:tcPr>
          <w:p w:rsidR="00877B5C" w:rsidRPr="00731E48" w:rsidRDefault="00877B5C" w:rsidP="00E71AC2">
            <w:pPr>
              <w:snapToGrid w:val="0"/>
              <w:spacing w:line="20" w:lineRule="atLeast"/>
              <w:rPr>
                <w:sz w:val="20"/>
                <w:lang w:eastAsia="en-AU"/>
              </w:rPr>
            </w:pPr>
            <w:r w:rsidRPr="00731E48">
              <w:rPr>
                <w:rFonts w:ascii="Arial Narrow" w:hAnsi="Arial Narrow"/>
                <w:sz w:val="20"/>
                <w:lang w:eastAsia="en-AU"/>
              </w:rPr>
              <w:t>Restriction</w:t>
            </w:r>
          </w:p>
        </w:tc>
        <w:tc>
          <w:tcPr>
            <w:tcW w:w="4043" w:type="pct"/>
            <w:tcBorders>
              <w:top w:val="single" w:sz="4" w:space="0" w:color="auto"/>
              <w:left w:val="single" w:sz="4" w:space="0" w:color="auto"/>
              <w:bottom w:val="single" w:sz="4" w:space="0" w:color="auto"/>
              <w:right w:val="single" w:sz="4" w:space="0" w:color="auto"/>
            </w:tcBorders>
          </w:tcPr>
          <w:p w:rsidR="00877B5C" w:rsidRDefault="00877B5C" w:rsidP="00E71AC2">
            <w:pPr>
              <w:snapToGrid w:val="0"/>
              <w:spacing w:line="20" w:lineRule="atLeast"/>
              <w:rPr>
                <w:rFonts w:ascii="Arial Narrow" w:hAnsi="Arial Narrow"/>
                <w:sz w:val="20"/>
                <w:lang w:eastAsia="en-AU"/>
              </w:rPr>
            </w:pPr>
            <w:r w:rsidRPr="00731E48">
              <w:rPr>
                <w:rFonts w:ascii="Arial Narrow" w:hAnsi="Arial Narrow"/>
                <w:sz w:val="20"/>
                <w:lang w:eastAsia="en-AU"/>
              </w:rPr>
              <w:t>Section 85 Au</w:t>
            </w:r>
            <w:r>
              <w:rPr>
                <w:rFonts w:ascii="Arial Narrow" w:hAnsi="Arial Narrow"/>
                <w:sz w:val="20"/>
                <w:lang w:eastAsia="en-AU"/>
              </w:rPr>
              <w:t>thority required (STREAMLINED)</w:t>
            </w:r>
          </w:p>
          <w:p w:rsidR="00877B5C" w:rsidRPr="00731E48" w:rsidRDefault="00877B5C" w:rsidP="00E71AC2">
            <w:pPr>
              <w:snapToGrid w:val="0"/>
              <w:spacing w:line="20" w:lineRule="atLeast"/>
              <w:rPr>
                <w:rFonts w:ascii="Arial Narrow" w:hAnsi="Arial Narrow"/>
                <w:sz w:val="20"/>
                <w:lang w:eastAsia="en-AU"/>
              </w:rPr>
            </w:pPr>
            <w:r>
              <w:rPr>
                <w:rFonts w:ascii="Arial Narrow" w:hAnsi="Arial Narrow"/>
                <w:sz w:val="20"/>
                <w:lang w:eastAsia="en-AU"/>
              </w:rPr>
              <w:t>Chronic hepatitis C infection</w:t>
            </w:r>
          </w:p>
        </w:tc>
      </w:tr>
      <w:tr w:rsidR="00877B5C" w:rsidRPr="00731E48" w:rsidTr="00E71AC2">
        <w:trPr>
          <w:trHeight w:val="20"/>
        </w:trPr>
        <w:tc>
          <w:tcPr>
            <w:tcW w:w="957" w:type="pct"/>
            <w:tcBorders>
              <w:top w:val="single" w:sz="4" w:space="0" w:color="auto"/>
              <w:left w:val="single" w:sz="4" w:space="0" w:color="auto"/>
              <w:bottom w:val="single" w:sz="4" w:space="0" w:color="auto"/>
              <w:right w:val="single" w:sz="4" w:space="0" w:color="auto"/>
            </w:tcBorders>
            <w:hideMark/>
          </w:tcPr>
          <w:p w:rsidR="00877B5C" w:rsidRPr="00731E48" w:rsidRDefault="00877B5C" w:rsidP="00E71AC2">
            <w:pPr>
              <w:snapToGrid w:val="0"/>
              <w:spacing w:line="20" w:lineRule="atLeast"/>
              <w:rPr>
                <w:sz w:val="20"/>
                <w:lang w:eastAsia="en-AU"/>
              </w:rPr>
            </w:pPr>
            <w:r w:rsidRPr="00731E48">
              <w:rPr>
                <w:rFonts w:ascii="Arial Narrow" w:hAnsi="Arial Narrow"/>
                <w:sz w:val="20"/>
                <w:lang w:eastAsia="en-AU"/>
              </w:rPr>
              <w:t>Treatment criteria</w:t>
            </w:r>
          </w:p>
        </w:tc>
        <w:tc>
          <w:tcPr>
            <w:tcW w:w="4043" w:type="pct"/>
            <w:tcBorders>
              <w:top w:val="single" w:sz="4" w:space="0" w:color="auto"/>
              <w:left w:val="single" w:sz="4" w:space="0" w:color="auto"/>
              <w:bottom w:val="single" w:sz="4" w:space="0" w:color="auto"/>
              <w:right w:val="single" w:sz="4" w:space="0" w:color="auto"/>
            </w:tcBorders>
          </w:tcPr>
          <w:p w:rsidR="00877B5C" w:rsidRPr="00731E48" w:rsidRDefault="00877B5C" w:rsidP="00E71AC2">
            <w:pPr>
              <w:snapToGrid w:val="0"/>
              <w:spacing w:line="20" w:lineRule="atLeast"/>
              <w:rPr>
                <w:rFonts w:ascii="Arial Narrow" w:hAnsi="Arial Narrow"/>
                <w:sz w:val="20"/>
                <w:lang w:eastAsia="en-AU"/>
              </w:rPr>
            </w:pPr>
            <w:r>
              <w:rPr>
                <w:rFonts w:ascii="Arial Narrow" w:hAnsi="Arial Narrow"/>
                <w:sz w:val="20"/>
                <w:lang w:eastAsia="en-AU"/>
              </w:rPr>
              <w:t>Evidence of chronic hepatitis C infection (repeatedly anti-HCV positive and HCV RNA positive) must be documented in the patient’s medical records.</w:t>
            </w:r>
          </w:p>
        </w:tc>
      </w:tr>
      <w:tr w:rsidR="00877B5C" w:rsidRPr="00731E48" w:rsidTr="00E71AC2">
        <w:trPr>
          <w:trHeight w:val="20"/>
        </w:trPr>
        <w:tc>
          <w:tcPr>
            <w:tcW w:w="957" w:type="pct"/>
            <w:tcBorders>
              <w:top w:val="single" w:sz="4" w:space="0" w:color="auto"/>
              <w:left w:val="single" w:sz="4" w:space="0" w:color="auto"/>
              <w:bottom w:val="single" w:sz="4" w:space="0" w:color="auto"/>
              <w:right w:val="single" w:sz="4" w:space="0" w:color="auto"/>
            </w:tcBorders>
            <w:hideMark/>
          </w:tcPr>
          <w:p w:rsidR="00877B5C" w:rsidRPr="00731E48" w:rsidRDefault="00877B5C" w:rsidP="00E71AC2">
            <w:pPr>
              <w:snapToGrid w:val="0"/>
              <w:spacing w:line="20" w:lineRule="atLeast"/>
              <w:rPr>
                <w:sz w:val="20"/>
                <w:lang w:eastAsia="en-AU"/>
              </w:rPr>
            </w:pPr>
            <w:r w:rsidRPr="00731E48">
              <w:rPr>
                <w:rFonts w:ascii="Arial Narrow" w:hAnsi="Arial Narrow"/>
                <w:sz w:val="20"/>
                <w:lang w:eastAsia="en-AU"/>
              </w:rPr>
              <w:t>Clinical criteria</w:t>
            </w:r>
          </w:p>
        </w:tc>
        <w:tc>
          <w:tcPr>
            <w:tcW w:w="4043" w:type="pct"/>
            <w:tcBorders>
              <w:top w:val="single" w:sz="4" w:space="0" w:color="auto"/>
              <w:left w:val="single" w:sz="4" w:space="0" w:color="auto"/>
              <w:bottom w:val="single" w:sz="4" w:space="0" w:color="auto"/>
              <w:right w:val="single" w:sz="4" w:space="0" w:color="auto"/>
            </w:tcBorders>
          </w:tcPr>
          <w:p w:rsidR="00877B5C" w:rsidRPr="00DE2988" w:rsidRDefault="00877B5C" w:rsidP="00E71AC2">
            <w:pPr>
              <w:snapToGrid w:val="0"/>
              <w:spacing w:line="20" w:lineRule="atLeast"/>
              <w:rPr>
                <w:rFonts w:ascii="Arial Narrow" w:hAnsi="Arial Narrow"/>
                <w:sz w:val="20"/>
                <w:u w:val="single"/>
                <w:lang w:eastAsia="en-AU"/>
              </w:rPr>
            </w:pPr>
            <w:r>
              <w:rPr>
                <w:rFonts w:ascii="Arial Narrow" w:hAnsi="Arial Narrow"/>
                <w:sz w:val="20"/>
                <w:u w:val="single"/>
                <w:lang w:eastAsia="en-AU"/>
              </w:rPr>
              <w:t>60mg tablet</w:t>
            </w:r>
          </w:p>
          <w:p w:rsidR="00877B5C" w:rsidRDefault="00877B5C" w:rsidP="00E71AC2">
            <w:pPr>
              <w:snapToGrid w:val="0"/>
              <w:spacing w:line="20" w:lineRule="atLeast"/>
              <w:rPr>
                <w:rFonts w:ascii="Arial Narrow" w:hAnsi="Arial Narrow"/>
                <w:sz w:val="20"/>
                <w:lang w:eastAsia="en-AU"/>
              </w:rPr>
            </w:pPr>
            <w:r>
              <w:rPr>
                <w:rFonts w:ascii="Arial Narrow" w:hAnsi="Arial Narrow"/>
                <w:sz w:val="20"/>
                <w:lang w:eastAsia="en-AU"/>
              </w:rPr>
              <w:t>Patient must have compensated liver disease,</w:t>
            </w:r>
          </w:p>
          <w:p w:rsidR="00877B5C" w:rsidRDefault="00877B5C" w:rsidP="00E71AC2">
            <w:pPr>
              <w:snapToGrid w:val="0"/>
              <w:spacing w:line="20" w:lineRule="atLeast"/>
              <w:rPr>
                <w:rFonts w:ascii="Arial Narrow" w:hAnsi="Arial Narrow"/>
                <w:sz w:val="20"/>
                <w:lang w:eastAsia="en-AU"/>
              </w:rPr>
            </w:pPr>
            <w:r>
              <w:rPr>
                <w:rFonts w:ascii="Arial Narrow" w:hAnsi="Arial Narrow"/>
                <w:sz w:val="20"/>
                <w:lang w:eastAsia="en-AU"/>
              </w:rPr>
              <w:t>The treatment must be limited to a maximum duration of 24 weeks</w:t>
            </w:r>
            <w:r w:rsidR="006640EA">
              <w:rPr>
                <w:rFonts w:ascii="Arial Narrow" w:hAnsi="Arial Narrow"/>
                <w:sz w:val="20"/>
                <w:vertAlign w:val="superscript"/>
                <w:lang w:eastAsia="en-AU"/>
              </w:rPr>
              <w:t>a</w:t>
            </w:r>
            <w:r>
              <w:rPr>
                <w:rFonts w:ascii="Arial Narrow" w:hAnsi="Arial Narrow"/>
                <w:sz w:val="20"/>
                <w:lang w:eastAsia="en-AU"/>
              </w:rPr>
              <w:t>,</w:t>
            </w:r>
          </w:p>
          <w:p w:rsidR="00877B5C" w:rsidRPr="00731E48" w:rsidRDefault="00877B5C" w:rsidP="00E71AC2">
            <w:pPr>
              <w:snapToGrid w:val="0"/>
              <w:spacing w:line="20" w:lineRule="atLeast"/>
              <w:rPr>
                <w:rFonts w:ascii="Arial Narrow" w:hAnsi="Arial Narrow"/>
                <w:sz w:val="20"/>
                <w:lang w:eastAsia="en-AU"/>
              </w:rPr>
            </w:pPr>
            <w:r>
              <w:rPr>
                <w:rFonts w:ascii="Arial Narrow" w:hAnsi="Arial Narrow"/>
                <w:sz w:val="20"/>
                <w:lang w:eastAsia="en-AU"/>
              </w:rPr>
              <w:t xml:space="preserve">The treatment must cease if the </w:t>
            </w:r>
            <w:r w:rsidRPr="00731E48">
              <w:rPr>
                <w:rFonts w:ascii="Arial Narrow" w:hAnsi="Arial Narrow"/>
                <w:sz w:val="20"/>
                <w:lang w:eastAsia="en-AU"/>
              </w:rPr>
              <w:t>results of an HCV RNA quantitative assay at Week 8 show that the plasma HCV RNA is greater than 1000IU/mL,</w:t>
            </w:r>
          </w:p>
          <w:p w:rsidR="00FF02BE" w:rsidRDefault="00FF02BE" w:rsidP="00FF02BE">
            <w:pPr>
              <w:snapToGrid w:val="0"/>
              <w:spacing w:line="20" w:lineRule="atLeast"/>
              <w:rPr>
                <w:rFonts w:ascii="Arial Narrow" w:hAnsi="Arial Narrow"/>
                <w:sz w:val="20"/>
                <w:lang w:eastAsia="en-AU"/>
              </w:rPr>
            </w:pPr>
            <w:r w:rsidRPr="00731E48">
              <w:rPr>
                <w:rFonts w:ascii="Arial Narrow" w:hAnsi="Arial Narrow"/>
                <w:sz w:val="20"/>
                <w:lang w:eastAsia="en-AU"/>
              </w:rPr>
              <w:t>The treatment must be given with sofosbuvir</w:t>
            </w:r>
          </w:p>
          <w:p w:rsidR="00877B5C" w:rsidRPr="00667A12" w:rsidRDefault="00877B5C" w:rsidP="00E71AC2">
            <w:pPr>
              <w:snapToGrid w:val="0"/>
              <w:spacing w:line="20" w:lineRule="atLeast"/>
              <w:rPr>
                <w:rFonts w:ascii="Arial Narrow" w:hAnsi="Arial Narrow"/>
                <w:sz w:val="20"/>
                <w:vertAlign w:val="superscript"/>
                <w:lang w:eastAsia="en-AU"/>
              </w:rPr>
            </w:pPr>
            <w:r w:rsidRPr="00DE2988">
              <w:rPr>
                <w:rFonts w:ascii="Arial Narrow" w:hAnsi="Arial Narrow"/>
                <w:sz w:val="20"/>
                <w:u w:val="single"/>
                <w:lang w:eastAsia="en-AU"/>
              </w:rPr>
              <w:t>30mg tablet</w:t>
            </w:r>
          </w:p>
          <w:p w:rsidR="00877B5C" w:rsidRDefault="00877B5C" w:rsidP="00E71AC2">
            <w:pPr>
              <w:snapToGrid w:val="0"/>
              <w:spacing w:line="20" w:lineRule="atLeast"/>
              <w:rPr>
                <w:rFonts w:ascii="Arial Narrow" w:hAnsi="Arial Narrow"/>
                <w:sz w:val="20"/>
                <w:lang w:eastAsia="en-AU"/>
              </w:rPr>
            </w:pPr>
            <w:r w:rsidRPr="00731E48">
              <w:rPr>
                <w:rFonts w:ascii="Arial Narrow" w:hAnsi="Arial Narrow"/>
                <w:sz w:val="20"/>
                <w:lang w:eastAsia="en-AU"/>
              </w:rPr>
              <w:t>Patient must have compensated liver disease requiring dose adjustment due to CYP3A4 inhibitors or inducers,</w:t>
            </w:r>
          </w:p>
          <w:p w:rsidR="00877B5C" w:rsidRDefault="00877B5C" w:rsidP="00E71AC2">
            <w:pPr>
              <w:snapToGrid w:val="0"/>
              <w:spacing w:line="20" w:lineRule="atLeast"/>
              <w:rPr>
                <w:rFonts w:ascii="Arial Narrow" w:hAnsi="Arial Narrow"/>
                <w:sz w:val="20"/>
                <w:lang w:eastAsia="en-AU"/>
              </w:rPr>
            </w:pPr>
            <w:r>
              <w:rPr>
                <w:rFonts w:ascii="Arial Narrow" w:hAnsi="Arial Narrow"/>
                <w:sz w:val="20"/>
                <w:lang w:eastAsia="en-AU"/>
              </w:rPr>
              <w:t>The treatment must be limited to a maximum duration of 12 weeks,</w:t>
            </w:r>
          </w:p>
          <w:p w:rsidR="00877B5C" w:rsidRPr="00731E48" w:rsidRDefault="00877B5C" w:rsidP="00E71AC2">
            <w:pPr>
              <w:snapToGrid w:val="0"/>
              <w:spacing w:line="20" w:lineRule="atLeast"/>
              <w:rPr>
                <w:rFonts w:ascii="Arial Narrow" w:hAnsi="Arial Narrow"/>
                <w:sz w:val="20"/>
                <w:lang w:eastAsia="en-AU"/>
              </w:rPr>
            </w:pPr>
            <w:r>
              <w:rPr>
                <w:rFonts w:ascii="Arial Narrow" w:hAnsi="Arial Narrow"/>
                <w:sz w:val="20"/>
                <w:lang w:eastAsia="en-AU"/>
              </w:rPr>
              <w:t xml:space="preserve">The treatment must cease if the </w:t>
            </w:r>
            <w:r w:rsidRPr="00731E48">
              <w:rPr>
                <w:rFonts w:ascii="Arial Narrow" w:hAnsi="Arial Narrow"/>
                <w:sz w:val="20"/>
                <w:lang w:eastAsia="en-AU"/>
              </w:rPr>
              <w:t>results of an HCV RNA quantitative assay at Week 8 show that the plasma HCV RNA is greater than 1000IU/mL,</w:t>
            </w:r>
          </w:p>
          <w:p w:rsidR="00877B5C" w:rsidRPr="00300D80" w:rsidRDefault="00877B5C" w:rsidP="00E71AC2">
            <w:pPr>
              <w:snapToGrid w:val="0"/>
              <w:spacing w:line="20" w:lineRule="atLeast"/>
              <w:rPr>
                <w:rFonts w:ascii="Arial Narrow" w:hAnsi="Arial Narrow"/>
                <w:sz w:val="20"/>
                <w:vertAlign w:val="superscript"/>
                <w:lang w:eastAsia="en-AU"/>
              </w:rPr>
            </w:pPr>
            <w:r w:rsidRPr="00731E48">
              <w:rPr>
                <w:rFonts w:ascii="Arial Narrow" w:hAnsi="Arial Narrow"/>
                <w:sz w:val="20"/>
                <w:lang w:eastAsia="en-AU"/>
              </w:rPr>
              <w:t>The t</w:t>
            </w:r>
            <w:r>
              <w:rPr>
                <w:rFonts w:ascii="Arial Narrow" w:hAnsi="Arial Narrow"/>
                <w:sz w:val="20"/>
                <w:lang w:eastAsia="en-AU"/>
              </w:rPr>
              <w:t>reatment must be given with</w:t>
            </w:r>
            <w:r w:rsidRPr="00731E48">
              <w:rPr>
                <w:rFonts w:ascii="Arial Narrow" w:hAnsi="Arial Narrow"/>
                <w:sz w:val="20"/>
                <w:lang w:eastAsia="en-AU"/>
              </w:rPr>
              <w:t xml:space="preserve"> sofosbuvir</w:t>
            </w:r>
          </w:p>
        </w:tc>
      </w:tr>
      <w:tr w:rsidR="00877B5C" w:rsidRPr="00731E48" w:rsidTr="00E71AC2">
        <w:trPr>
          <w:trHeight w:val="20"/>
        </w:trPr>
        <w:tc>
          <w:tcPr>
            <w:tcW w:w="957" w:type="pct"/>
            <w:tcBorders>
              <w:top w:val="single" w:sz="4" w:space="0" w:color="auto"/>
              <w:left w:val="single" w:sz="4" w:space="0" w:color="auto"/>
              <w:bottom w:val="single" w:sz="4" w:space="0" w:color="auto"/>
              <w:right w:val="single" w:sz="4" w:space="0" w:color="auto"/>
            </w:tcBorders>
            <w:hideMark/>
          </w:tcPr>
          <w:p w:rsidR="00877B5C" w:rsidRPr="00731E48" w:rsidRDefault="00877B5C" w:rsidP="00E71AC2">
            <w:pPr>
              <w:snapToGrid w:val="0"/>
              <w:spacing w:line="20" w:lineRule="atLeast"/>
              <w:rPr>
                <w:sz w:val="20"/>
                <w:lang w:eastAsia="en-AU"/>
              </w:rPr>
            </w:pPr>
            <w:r w:rsidRPr="00731E48">
              <w:rPr>
                <w:rFonts w:ascii="Arial Narrow" w:hAnsi="Arial Narrow"/>
                <w:sz w:val="20"/>
                <w:lang w:eastAsia="en-AU"/>
              </w:rPr>
              <w:t>Population criteria</w:t>
            </w:r>
          </w:p>
        </w:tc>
        <w:tc>
          <w:tcPr>
            <w:tcW w:w="4043" w:type="pct"/>
            <w:tcBorders>
              <w:top w:val="single" w:sz="4" w:space="0" w:color="auto"/>
              <w:left w:val="single" w:sz="4" w:space="0" w:color="auto"/>
              <w:bottom w:val="single" w:sz="4" w:space="0" w:color="auto"/>
              <w:right w:val="single" w:sz="4" w:space="0" w:color="auto"/>
            </w:tcBorders>
          </w:tcPr>
          <w:p w:rsidR="00877B5C" w:rsidRPr="00731E48" w:rsidRDefault="00877B5C" w:rsidP="00E71AC2">
            <w:pPr>
              <w:adjustRightInd w:val="0"/>
              <w:spacing w:line="20" w:lineRule="atLeast"/>
              <w:rPr>
                <w:rFonts w:ascii="Arial Narrow" w:hAnsi="Arial Narrow"/>
                <w:color w:val="000000"/>
                <w:sz w:val="20"/>
                <w:lang w:eastAsia="en-AU"/>
              </w:rPr>
            </w:pPr>
            <w:r>
              <w:rPr>
                <w:rFonts w:ascii="Arial Narrow" w:hAnsi="Arial Narrow"/>
                <w:color w:val="000000"/>
                <w:sz w:val="20"/>
                <w:lang w:eastAsia="en-AU"/>
              </w:rPr>
              <w:t>Patient must be 18 years or older</w:t>
            </w:r>
          </w:p>
        </w:tc>
      </w:tr>
    </w:tbl>
    <w:p w:rsidR="00877B5C" w:rsidRPr="00882085" w:rsidRDefault="00877B5C" w:rsidP="00877B5C"/>
    <w:p w:rsidR="00454BF3" w:rsidRDefault="00454BF3" w:rsidP="00454BF3">
      <w:pPr>
        <w:pStyle w:val="ListParagraph"/>
        <w:widowControl/>
        <w:numPr>
          <w:ilvl w:val="1"/>
          <w:numId w:val="6"/>
        </w:numPr>
      </w:pPr>
      <w:r>
        <w:t xml:space="preserve">The re-submission was seeking extension of the recommended listing to include the following patient groups: </w:t>
      </w:r>
    </w:p>
    <w:p w:rsidR="00454BF3" w:rsidRDefault="00454BF3" w:rsidP="00454BF3">
      <w:pPr>
        <w:pStyle w:val="ListParagraph"/>
        <w:widowControl/>
        <w:numPr>
          <w:ilvl w:val="0"/>
          <w:numId w:val="12"/>
        </w:numPr>
      </w:pPr>
      <w:r>
        <w:t xml:space="preserve">Genotype 1 </w:t>
      </w:r>
      <w:r w:rsidR="00A70149">
        <w:t>hepatitis C virus (</w:t>
      </w:r>
      <w:r>
        <w:t>HCV</w:t>
      </w:r>
      <w:r w:rsidR="00A70149">
        <w:t>)</w:t>
      </w:r>
      <w:r>
        <w:t xml:space="preserve"> treatment naïve patients with cirrhosis,</w:t>
      </w:r>
    </w:p>
    <w:p w:rsidR="00454BF3" w:rsidRDefault="00454BF3" w:rsidP="00454BF3">
      <w:pPr>
        <w:pStyle w:val="ListParagraph"/>
        <w:widowControl/>
        <w:numPr>
          <w:ilvl w:val="0"/>
          <w:numId w:val="12"/>
        </w:numPr>
      </w:pPr>
      <w:r>
        <w:t>Genotype 1 HCV treatment experienced patients, irrespective of cirrhosis status,</w:t>
      </w:r>
    </w:p>
    <w:p w:rsidR="00454BF3" w:rsidRDefault="00454BF3" w:rsidP="00454BF3">
      <w:pPr>
        <w:pStyle w:val="ListParagraph"/>
        <w:widowControl/>
        <w:numPr>
          <w:ilvl w:val="0"/>
          <w:numId w:val="12"/>
        </w:numPr>
      </w:pPr>
      <w:r>
        <w:t>Genotypes 2, 4, 5 and 6 HCV patients, irrespective of previous treatment history or cirrhosis status.</w:t>
      </w:r>
    </w:p>
    <w:p w:rsidR="00454BF3" w:rsidRPr="005641BC" w:rsidRDefault="00454BF3" w:rsidP="00454BF3">
      <w:pPr>
        <w:widowControl/>
        <w:rPr>
          <w:szCs w:val="22"/>
        </w:rPr>
      </w:pPr>
    </w:p>
    <w:p w:rsidR="00B15AA3" w:rsidRPr="009A25A9" w:rsidRDefault="000247D4" w:rsidP="00C71E74">
      <w:pPr>
        <w:pStyle w:val="ListParagraph"/>
        <w:widowControl/>
        <w:numPr>
          <w:ilvl w:val="1"/>
          <w:numId w:val="6"/>
        </w:numPr>
        <w:rPr>
          <w:szCs w:val="22"/>
        </w:rPr>
      </w:pPr>
      <w:r w:rsidRPr="005641BC">
        <w:t>There was some uncertainty regarding the proposed dose regimen for DCV+SOF in the patient subgroups for which extension of th</w:t>
      </w:r>
      <w:r w:rsidR="00FD7F0A" w:rsidRPr="005641BC">
        <w:t>e approved listing</w:t>
      </w:r>
      <w:r w:rsidRPr="005641BC">
        <w:t xml:space="preserve"> was requested, as this was not specified in the re-submission. </w:t>
      </w:r>
      <w:r w:rsidR="00FD7F0A" w:rsidRPr="005641BC">
        <w:t>It was assumed that this remained unchanged from the original submission, in which</w:t>
      </w:r>
      <w:r w:rsidR="00877B5C" w:rsidRPr="005641BC">
        <w:t xml:space="preserve"> the proposed dose regimen for all genotypes, irrespective of previous treatment history or cirrhotic status, was </w:t>
      </w:r>
      <w:r w:rsidR="0099195B" w:rsidRPr="005641BC">
        <w:t>daclatasvir</w:t>
      </w:r>
      <w:r w:rsidR="00877B5C" w:rsidRPr="005641BC">
        <w:t xml:space="preserve"> 60mg once daily, in combination with </w:t>
      </w:r>
      <w:r w:rsidR="0076543A" w:rsidRPr="005641BC">
        <w:t>SOF</w:t>
      </w:r>
      <w:r w:rsidR="00877B5C" w:rsidRPr="005641BC">
        <w:t xml:space="preserve"> 400mg once daily with food, </w:t>
      </w:r>
      <w:r w:rsidR="00877B5C" w:rsidRPr="005641BC">
        <w:lastRenderedPageBreak/>
        <w:t>for 12 weeks</w:t>
      </w:r>
      <w:r w:rsidR="0076543A" w:rsidRPr="005641BC">
        <w:t>, without ribavirin</w:t>
      </w:r>
      <w:r w:rsidR="00A70149" w:rsidRPr="005641BC">
        <w:t xml:space="preserve"> (RBV)</w:t>
      </w:r>
      <w:r w:rsidR="00877B5C" w:rsidRPr="005641BC">
        <w:t>.</w:t>
      </w:r>
      <w:r w:rsidR="00FD7F0A" w:rsidRPr="005641BC">
        <w:t xml:space="preserve"> </w:t>
      </w:r>
      <w:r w:rsidR="00877B5C" w:rsidRPr="005641BC">
        <w:t xml:space="preserve">This </w:t>
      </w:r>
      <w:r w:rsidR="00664AFC" w:rsidRPr="005641BC">
        <w:t>regimen wa</w:t>
      </w:r>
      <w:r w:rsidR="006640EA" w:rsidRPr="005641BC">
        <w:t xml:space="preserve">s not consistent </w:t>
      </w:r>
      <w:r w:rsidR="00877B5C" w:rsidRPr="005641BC">
        <w:t xml:space="preserve">with the </w:t>
      </w:r>
      <w:r w:rsidR="006640EA" w:rsidRPr="005641BC">
        <w:t xml:space="preserve">treatment recommendations </w:t>
      </w:r>
      <w:r w:rsidR="00877B5C" w:rsidRPr="005641BC">
        <w:t>in the TGA</w:t>
      </w:r>
      <w:r w:rsidR="006640EA" w:rsidRPr="005641BC">
        <w:t>-</w:t>
      </w:r>
      <w:r w:rsidR="00877B5C" w:rsidRPr="005641BC">
        <w:t>approved Product Information</w:t>
      </w:r>
      <w:r w:rsidR="002B651F" w:rsidRPr="005641BC">
        <w:t xml:space="preserve"> (PI)</w:t>
      </w:r>
      <w:r w:rsidR="00877B5C" w:rsidRPr="005641BC">
        <w:t xml:space="preserve"> or </w:t>
      </w:r>
      <w:r w:rsidR="006640EA" w:rsidRPr="005641BC">
        <w:t xml:space="preserve">with </w:t>
      </w:r>
      <w:r w:rsidR="00877B5C" w:rsidRPr="005641BC">
        <w:t>current treatment guidelines</w:t>
      </w:r>
      <w:r w:rsidR="006640EA" w:rsidRPr="005641BC">
        <w:t>, in which the recommended regimen varie</w:t>
      </w:r>
      <w:r w:rsidR="00664AFC" w:rsidRPr="005641BC">
        <w:t>d</w:t>
      </w:r>
      <w:r w:rsidR="00454BF3" w:rsidRPr="005641BC">
        <w:t xml:space="preserve"> between patient subgroups</w:t>
      </w:r>
      <w:r w:rsidR="006640EA" w:rsidRPr="005641BC">
        <w:t xml:space="preserve"> in respect to treatment duration and concomitant use of </w:t>
      </w:r>
      <w:r w:rsidR="00A22A7F" w:rsidRPr="005641BC">
        <w:t>ribavirin</w:t>
      </w:r>
      <w:r w:rsidR="006640EA" w:rsidRPr="005641BC">
        <w:t>, dependent on HCV genotype, previous treatment history and cirrhosis status</w:t>
      </w:r>
      <w:r w:rsidRPr="000A3A6E">
        <w:rPr>
          <w:rStyle w:val="FootnoteReference"/>
          <w:vertAlign w:val="baseline"/>
        </w:rPr>
        <w:footnoteReference w:id="1"/>
      </w:r>
      <w:r w:rsidR="00877B5C" w:rsidRPr="005641BC">
        <w:t xml:space="preserve">. </w:t>
      </w:r>
      <w:r w:rsidR="00664AFC" w:rsidRPr="005641BC">
        <w:t xml:space="preserve">It was also not consistent with the majority of the evidence presented in Section B of the re-submission. </w:t>
      </w:r>
    </w:p>
    <w:p w:rsidR="00DC0AC1" w:rsidRPr="00B15AA3" w:rsidRDefault="00DC0AC1" w:rsidP="00B15AA3">
      <w:pPr>
        <w:pStyle w:val="ListParagraph"/>
        <w:widowControl/>
        <w:rPr>
          <w:szCs w:val="22"/>
        </w:rPr>
      </w:pPr>
    </w:p>
    <w:p w:rsidR="00877B5C" w:rsidRPr="0046531C" w:rsidRDefault="00595780" w:rsidP="00C71E74">
      <w:pPr>
        <w:pStyle w:val="ListParagraph"/>
        <w:widowControl/>
        <w:numPr>
          <w:ilvl w:val="1"/>
          <w:numId w:val="6"/>
        </w:numPr>
        <w:rPr>
          <w:szCs w:val="22"/>
        </w:rPr>
      </w:pPr>
      <w:r w:rsidRPr="0046531C">
        <w:t xml:space="preserve">The ESC noted the sponsor’s clarification in the PSCR </w:t>
      </w:r>
      <w:r w:rsidR="000E7C8B" w:rsidRPr="0046531C">
        <w:t>(p1</w:t>
      </w:r>
      <w:r w:rsidR="009A25A9" w:rsidRPr="0046531C">
        <w:t>, presented below</w:t>
      </w:r>
      <w:r w:rsidR="000E7C8B" w:rsidRPr="0046531C">
        <w:t xml:space="preserve">) </w:t>
      </w:r>
      <w:r w:rsidRPr="0046531C">
        <w:t>that the intended regimen was DCV12+SOF12 for all genotypes, for treatment naïve and experienced, and for cirrhotic and non-cirrhotic patients, with consideration of adding RBV12 or extending treatment to 24 weeks (without RBV) in cirrhotic patients. The ESC noted that this is consistent with the proposed revised PI submitted to the TGA.</w:t>
      </w:r>
    </w:p>
    <w:p w:rsidR="009A25A9" w:rsidRPr="009A25A9" w:rsidRDefault="009A25A9" w:rsidP="009A25A9">
      <w:pPr>
        <w:widowControl/>
        <w:rPr>
          <w:szCs w:val="22"/>
        </w:rPr>
      </w:pPr>
    </w:p>
    <w:p w:rsidR="009A25A9" w:rsidRPr="0046531C" w:rsidRDefault="009A25A9" w:rsidP="0046531C">
      <w:pPr>
        <w:widowControl/>
        <w:ind w:firstLine="720"/>
        <w:rPr>
          <w:rFonts w:ascii="Arial Narrow" w:hAnsi="Arial Narrow"/>
          <w:b/>
          <w:i/>
          <w:sz w:val="20"/>
        </w:rPr>
      </w:pPr>
      <w:r w:rsidRPr="0046531C">
        <w:rPr>
          <w:rFonts w:ascii="Arial Narrow" w:hAnsi="Arial Narrow"/>
          <w:b/>
          <w:i/>
          <w:sz w:val="20"/>
        </w:rPr>
        <w:t>Table 1: Recommended dose regimens for DCV+SOF by patient subgroup</w:t>
      </w:r>
    </w:p>
    <w:tbl>
      <w:tblPr>
        <w:tblStyle w:val="TableGrid"/>
        <w:tblW w:w="0" w:type="auto"/>
        <w:tblInd w:w="720" w:type="dxa"/>
        <w:tblLook w:val="04A0" w:firstRow="1" w:lastRow="0" w:firstColumn="1" w:lastColumn="0" w:noHBand="0" w:noVBand="1"/>
        <w:tblCaption w:val="Table 1: Recommended dose regimens for DCV+SOF "/>
      </w:tblPr>
      <w:tblGrid>
        <w:gridCol w:w="1721"/>
        <w:gridCol w:w="1692"/>
        <w:gridCol w:w="1710"/>
        <w:gridCol w:w="1708"/>
        <w:gridCol w:w="1691"/>
      </w:tblGrid>
      <w:tr w:rsidR="009A25A9" w:rsidRPr="009A25A9" w:rsidTr="009711A6">
        <w:trPr>
          <w:tblHeader/>
        </w:trPr>
        <w:tc>
          <w:tcPr>
            <w:tcW w:w="1721" w:type="dxa"/>
          </w:tcPr>
          <w:p w:rsidR="009A25A9" w:rsidRPr="009A25A9" w:rsidRDefault="009A25A9" w:rsidP="00E84056">
            <w:pPr>
              <w:snapToGrid w:val="0"/>
              <w:spacing w:line="20" w:lineRule="atLeast"/>
              <w:rPr>
                <w:rFonts w:ascii="Arial Narrow" w:hAnsi="Arial Narrow"/>
                <w:b/>
                <w:i/>
                <w:sz w:val="20"/>
                <w:lang w:eastAsia="en-AU"/>
              </w:rPr>
            </w:pPr>
            <w:r w:rsidRPr="009A25A9">
              <w:rPr>
                <w:rFonts w:ascii="Arial Narrow" w:hAnsi="Arial Narrow"/>
                <w:b/>
                <w:i/>
                <w:sz w:val="20"/>
                <w:lang w:eastAsia="en-AU"/>
              </w:rPr>
              <w:t>Genotype</w:t>
            </w:r>
          </w:p>
        </w:tc>
        <w:tc>
          <w:tcPr>
            <w:tcW w:w="1692" w:type="dxa"/>
          </w:tcPr>
          <w:p w:rsidR="009A25A9" w:rsidRPr="009A25A9" w:rsidRDefault="009A25A9" w:rsidP="00E84056">
            <w:pPr>
              <w:snapToGrid w:val="0"/>
              <w:spacing w:line="20" w:lineRule="atLeast"/>
              <w:rPr>
                <w:rFonts w:ascii="Arial Narrow" w:hAnsi="Arial Narrow"/>
                <w:b/>
                <w:i/>
                <w:sz w:val="20"/>
                <w:lang w:eastAsia="en-AU"/>
              </w:rPr>
            </w:pPr>
            <w:r w:rsidRPr="009A25A9">
              <w:rPr>
                <w:rFonts w:ascii="Arial Narrow" w:hAnsi="Arial Narrow"/>
                <w:b/>
                <w:i/>
                <w:sz w:val="20"/>
                <w:lang w:eastAsia="en-AU"/>
              </w:rPr>
              <w:t>Dosing</w:t>
            </w:r>
          </w:p>
        </w:tc>
        <w:tc>
          <w:tcPr>
            <w:tcW w:w="1710" w:type="dxa"/>
          </w:tcPr>
          <w:p w:rsidR="009A25A9" w:rsidRPr="009A25A9" w:rsidRDefault="009A25A9" w:rsidP="00E84056">
            <w:pPr>
              <w:snapToGrid w:val="0"/>
              <w:spacing w:line="20" w:lineRule="atLeast"/>
              <w:rPr>
                <w:rFonts w:ascii="Arial Narrow" w:hAnsi="Arial Narrow"/>
                <w:b/>
                <w:i/>
                <w:sz w:val="20"/>
                <w:lang w:eastAsia="en-AU"/>
              </w:rPr>
            </w:pPr>
            <w:r w:rsidRPr="009A25A9">
              <w:rPr>
                <w:rFonts w:ascii="Arial Narrow" w:hAnsi="Arial Narrow"/>
                <w:b/>
                <w:i/>
                <w:sz w:val="20"/>
                <w:lang w:eastAsia="en-AU"/>
              </w:rPr>
              <w:t>± Ribavirin</w:t>
            </w:r>
          </w:p>
        </w:tc>
        <w:tc>
          <w:tcPr>
            <w:tcW w:w="1708" w:type="dxa"/>
          </w:tcPr>
          <w:p w:rsidR="009A25A9" w:rsidRPr="009A25A9" w:rsidRDefault="009A25A9" w:rsidP="00E84056">
            <w:pPr>
              <w:snapToGrid w:val="0"/>
              <w:spacing w:line="20" w:lineRule="atLeast"/>
              <w:rPr>
                <w:rFonts w:ascii="Arial Narrow" w:hAnsi="Arial Narrow"/>
                <w:b/>
                <w:i/>
                <w:sz w:val="20"/>
                <w:lang w:eastAsia="en-AU"/>
              </w:rPr>
            </w:pPr>
            <w:r w:rsidRPr="009A25A9">
              <w:rPr>
                <w:rFonts w:ascii="Arial Narrow" w:hAnsi="Arial Narrow"/>
                <w:b/>
                <w:i/>
                <w:sz w:val="20"/>
                <w:lang w:eastAsia="en-AU"/>
              </w:rPr>
              <w:t>Duration</w:t>
            </w:r>
          </w:p>
        </w:tc>
        <w:tc>
          <w:tcPr>
            <w:tcW w:w="1691" w:type="dxa"/>
          </w:tcPr>
          <w:p w:rsidR="009A25A9" w:rsidRPr="009A25A9" w:rsidRDefault="009A25A9" w:rsidP="00E84056">
            <w:pPr>
              <w:snapToGrid w:val="0"/>
              <w:spacing w:line="20" w:lineRule="atLeast"/>
              <w:rPr>
                <w:rFonts w:ascii="Arial Narrow" w:hAnsi="Arial Narrow"/>
                <w:b/>
                <w:i/>
                <w:sz w:val="20"/>
                <w:lang w:eastAsia="en-AU"/>
              </w:rPr>
            </w:pPr>
            <w:r w:rsidRPr="009A25A9">
              <w:rPr>
                <w:rFonts w:ascii="Arial Narrow" w:hAnsi="Arial Narrow"/>
                <w:b/>
                <w:i/>
                <w:sz w:val="20"/>
                <w:lang w:eastAsia="en-AU"/>
              </w:rPr>
              <w:t>Price per patient</w:t>
            </w:r>
          </w:p>
        </w:tc>
      </w:tr>
      <w:tr w:rsidR="009A25A9" w:rsidRPr="009A25A9" w:rsidTr="00E84056">
        <w:tc>
          <w:tcPr>
            <w:tcW w:w="172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GT1</w:t>
            </w:r>
          </w:p>
        </w:tc>
        <w:tc>
          <w:tcPr>
            <w:tcW w:w="1692"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DCV(60mg)+ SOF (400mg)</w:t>
            </w:r>
          </w:p>
        </w:tc>
        <w:tc>
          <w:tcPr>
            <w:tcW w:w="1710"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No§</w:t>
            </w:r>
          </w:p>
        </w:tc>
        <w:tc>
          <w:tcPr>
            <w:tcW w:w="1708"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12 weeks§</w:t>
            </w:r>
          </w:p>
        </w:tc>
        <w:tc>
          <w:tcPr>
            <w:tcW w:w="169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w:t>
            </w:r>
            <w:r w:rsidR="00E971B0">
              <w:rPr>
                <w:rFonts w:ascii="Arial Narrow" w:hAnsi="Arial Narrow"/>
                <w:i/>
                <w:noProof/>
                <w:color w:val="000000"/>
                <w:sz w:val="20"/>
                <w:highlight w:val="black"/>
                <w:lang w:eastAsia="en-AU"/>
              </w:rPr>
              <w:t>''''''''''''''''''</w:t>
            </w:r>
          </w:p>
        </w:tc>
      </w:tr>
      <w:tr w:rsidR="009A25A9" w:rsidRPr="009A25A9" w:rsidTr="00E84056">
        <w:tc>
          <w:tcPr>
            <w:tcW w:w="172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GT2</w:t>
            </w:r>
          </w:p>
        </w:tc>
        <w:tc>
          <w:tcPr>
            <w:tcW w:w="1692"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DCV(60mg)+ SOF (400mg)</w:t>
            </w:r>
          </w:p>
        </w:tc>
        <w:tc>
          <w:tcPr>
            <w:tcW w:w="1710"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No§</w:t>
            </w:r>
          </w:p>
        </w:tc>
        <w:tc>
          <w:tcPr>
            <w:tcW w:w="1708"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12 weeks§</w:t>
            </w:r>
          </w:p>
        </w:tc>
        <w:tc>
          <w:tcPr>
            <w:tcW w:w="169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w:t>
            </w:r>
            <w:r w:rsidR="00E971B0">
              <w:rPr>
                <w:rFonts w:ascii="Arial Narrow" w:hAnsi="Arial Narrow"/>
                <w:i/>
                <w:noProof/>
                <w:color w:val="000000"/>
                <w:sz w:val="20"/>
                <w:highlight w:val="black"/>
                <w:lang w:eastAsia="en-AU"/>
              </w:rPr>
              <w:t>''''''''''''''''''</w:t>
            </w:r>
          </w:p>
        </w:tc>
      </w:tr>
      <w:tr w:rsidR="009A25A9" w:rsidRPr="009A25A9" w:rsidTr="00E84056">
        <w:tc>
          <w:tcPr>
            <w:tcW w:w="172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GT3</w:t>
            </w:r>
          </w:p>
        </w:tc>
        <w:tc>
          <w:tcPr>
            <w:tcW w:w="1692"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DCV(60mg)+ SOF (400mg)</w:t>
            </w:r>
          </w:p>
        </w:tc>
        <w:tc>
          <w:tcPr>
            <w:tcW w:w="1710"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No§</w:t>
            </w:r>
          </w:p>
        </w:tc>
        <w:tc>
          <w:tcPr>
            <w:tcW w:w="1708"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12 weeks§</w:t>
            </w:r>
          </w:p>
        </w:tc>
        <w:tc>
          <w:tcPr>
            <w:tcW w:w="169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w:t>
            </w:r>
            <w:r w:rsidR="00E971B0">
              <w:rPr>
                <w:rFonts w:ascii="Arial Narrow" w:hAnsi="Arial Narrow"/>
                <w:i/>
                <w:noProof/>
                <w:color w:val="000000"/>
                <w:sz w:val="20"/>
                <w:highlight w:val="black"/>
                <w:lang w:eastAsia="en-AU"/>
              </w:rPr>
              <w:t>''''''''''''''''''</w:t>
            </w:r>
          </w:p>
        </w:tc>
      </w:tr>
      <w:tr w:rsidR="009A25A9" w:rsidRPr="009A25A9" w:rsidTr="00E84056">
        <w:tc>
          <w:tcPr>
            <w:tcW w:w="172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GT4</w:t>
            </w:r>
          </w:p>
        </w:tc>
        <w:tc>
          <w:tcPr>
            <w:tcW w:w="1692"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DCV(60mg)+ SOF (400mg)</w:t>
            </w:r>
          </w:p>
        </w:tc>
        <w:tc>
          <w:tcPr>
            <w:tcW w:w="1710"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No§</w:t>
            </w:r>
          </w:p>
        </w:tc>
        <w:tc>
          <w:tcPr>
            <w:tcW w:w="1708"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12 weeks§</w:t>
            </w:r>
          </w:p>
        </w:tc>
        <w:tc>
          <w:tcPr>
            <w:tcW w:w="169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w:t>
            </w:r>
            <w:r w:rsidR="00E971B0">
              <w:rPr>
                <w:rFonts w:ascii="Arial Narrow" w:hAnsi="Arial Narrow"/>
                <w:i/>
                <w:noProof/>
                <w:color w:val="000000"/>
                <w:sz w:val="20"/>
                <w:highlight w:val="black"/>
                <w:lang w:eastAsia="en-AU"/>
              </w:rPr>
              <w:t>'''''''''''''''''</w:t>
            </w:r>
          </w:p>
        </w:tc>
      </w:tr>
      <w:tr w:rsidR="009A25A9" w:rsidRPr="009A25A9" w:rsidTr="00E84056">
        <w:tc>
          <w:tcPr>
            <w:tcW w:w="172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GT5</w:t>
            </w:r>
          </w:p>
        </w:tc>
        <w:tc>
          <w:tcPr>
            <w:tcW w:w="1692"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DCV(60mg)+ SOF (400mg)</w:t>
            </w:r>
          </w:p>
        </w:tc>
        <w:tc>
          <w:tcPr>
            <w:tcW w:w="1710"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No§</w:t>
            </w:r>
          </w:p>
        </w:tc>
        <w:tc>
          <w:tcPr>
            <w:tcW w:w="1708"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12 weeks§</w:t>
            </w:r>
          </w:p>
        </w:tc>
        <w:tc>
          <w:tcPr>
            <w:tcW w:w="169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w:t>
            </w:r>
            <w:r w:rsidR="00E971B0">
              <w:rPr>
                <w:rFonts w:ascii="Arial Narrow" w:hAnsi="Arial Narrow"/>
                <w:i/>
                <w:noProof/>
                <w:color w:val="000000"/>
                <w:sz w:val="20"/>
                <w:highlight w:val="black"/>
                <w:lang w:eastAsia="en-AU"/>
              </w:rPr>
              <w:t>'''''''''''''''''</w:t>
            </w:r>
          </w:p>
        </w:tc>
      </w:tr>
      <w:tr w:rsidR="009A25A9" w:rsidRPr="009A25A9" w:rsidTr="00E84056">
        <w:tc>
          <w:tcPr>
            <w:tcW w:w="172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GT6</w:t>
            </w:r>
          </w:p>
        </w:tc>
        <w:tc>
          <w:tcPr>
            <w:tcW w:w="1692"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DCV(60mg)+ SOF (400mg)</w:t>
            </w:r>
          </w:p>
        </w:tc>
        <w:tc>
          <w:tcPr>
            <w:tcW w:w="1710"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No§</w:t>
            </w:r>
          </w:p>
        </w:tc>
        <w:tc>
          <w:tcPr>
            <w:tcW w:w="1708"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12 weeks§</w:t>
            </w:r>
          </w:p>
        </w:tc>
        <w:tc>
          <w:tcPr>
            <w:tcW w:w="1691" w:type="dxa"/>
            <w:vAlign w:val="center"/>
          </w:tcPr>
          <w:p w:rsidR="009A25A9" w:rsidRPr="009A25A9" w:rsidRDefault="009A25A9" w:rsidP="00E84056">
            <w:pPr>
              <w:snapToGrid w:val="0"/>
              <w:spacing w:line="20" w:lineRule="atLeast"/>
              <w:rPr>
                <w:rFonts w:ascii="Arial Narrow" w:hAnsi="Arial Narrow"/>
                <w:i/>
                <w:sz w:val="20"/>
                <w:lang w:eastAsia="en-AU"/>
              </w:rPr>
            </w:pPr>
            <w:r w:rsidRPr="009A25A9">
              <w:rPr>
                <w:rFonts w:ascii="Arial Narrow" w:hAnsi="Arial Narrow"/>
                <w:i/>
                <w:sz w:val="20"/>
                <w:lang w:eastAsia="en-AU"/>
              </w:rPr>
              <w:t>$</w:t>
            </w:r>
            <w:r w:rsidR="00E971B0">
              <w:rPr>
                <w:rFonts w:ascii="Arial Narrow" w:hAnsi="Arial Narrow"/>
                <w:i/>
                <w:noProof/>
                <w:color w:val="000000"/>
                <w:sz w:val="20"/>
                <w:highlight w:val="black"/>
                <w:lang w:eastAsia="en-AU"/>
              </w:rPr>
              <w:t>''''''''''''''''''''</w:t>
            </w:r>
          </w:p>
        </w:tc>
      </w:tr>
    </w:tbl>
    <w:p w:rsidR="009A25A9" w:rsidRPr="009A25A9" w:rsidRDefault="009A25A9" w:rsidP="000A3A6E">
      <w:pPr>
        <w:pStyle w:val="ListParagraph"/>
        <w:widowControl/>
        <w:rPr>
          <w:rFonts w:ascii="Arial Narrow" w:hAnsi="Arial Narrow"/>
          <w:i/>
          <w:sz w:val="20"/>
        </w:rPr>
      </w:pPr>
      <w:r w:rsidRPr="009A25A9">
        <w:rPr>
          <w:rFonts w:ascii="Arial Narrow" w:eastAsia="Calibri" w:hAnsi="Arial Narrow" w:cs="Times New Roman"/>
          <w:i/>
          <w:snapToGrid/>
          <w:color w:val="000000"/>
          <w:sz w:val="20"/>
        </w:rPr>
        <w:t>§ For cirrhotic patients: 12 weeks with ribavirin or 24 weeks without ribavirin should be considered (EASL guidelines, proposed update to Australian PI).</w:t>
      </w:r>
      <w:r w:rsidR="00E971B0">
        <w:rPr>
          <w:rFonts w:ascii="Arial Narrow" w:eastAsia="Calibri" w:hAnsi="Arial Narrow" w:cs="Times New Roman"/>
          <w:i/>
          <w:noProof/>
          <w:snapToGrid/>
          <w:color w:val="000000"/>
          <w:sz w:val="20"/>
          <w:highlight w:val="black"/>
        </w:rPr>
        <w:t>''' ''''''''''' '''''''' '''''''''''''''' ''''''''''''''' ''''''''''' ''''''''''''''''''''' ''''''''''''''' ''''''''''''''''''''''''' ''''' '''''''''''''''''' '''''''''' ''''''''''''''''''''' ''''''''' ''''' '''''''''''''''''''</w:t>
      </w:r>
    </w:p>
    <w:p w:rsidR="00877B5C" w:rsidRPr="005641BC" w:rsidRDefault="00877B5C" w:rsidP="00877B5C">
      <w:pPr>
        <w:pStyle w:val="ListParagraph"/>
        <w:widowControl/>
        <w:rPr>
          <w:szCs w:val="22"/>
        </w:rPr>
      </w:pPr>
    </w:p>
    <w:p w:rsidR="00877B5C" w:rsidRDefault="00877B5C" w:rsidP="00C71E74">
      <w:pPr>
        <w:pStyle w:val="ListParagraph"/>
        <w:widowControl/>
        <w:numPr>
          <w:ilvl w:val="1"/>
          <w:numId w:val="6"/>
        </w:numPr>
        <w:rPr>
          <w:szCs w:val="22"/>
        </w:rPr>
      </w:pPr>
      <w:r w:rsidRPr="005641BC">
        <w:rPr>
          <w:szCs w:val="22"/>
        </w:rPr>
        <w:t xml:space="preserve">The re-submission did not present Sections A, C, D or E. Only new </w:t>
      </w:r>
      <w:r w:rsidR="00BC5173" w:rsidRPr="005641BC">
        <w:rPr>
          <w:szCs w:val="22"/>
        </w:rPr>
        <w:t xml:space="preserve">clinical </w:t>
      </w:r>
      <w:r w:rsidRPr="005641BC">
        <w:rPr>
          <w:szCs w:val="22"/>
        </w:rPr>
        <w:t xml:space="preserve">evidence was presented. </w:t>
      </w:r>
    </w:p>
    <w:p w:rsidR="0046531C" w:rsidRPr="005641BC" w:rsidRDefault="0046531C" w:rsidP="0046531C">
      <w:pPr>
        <w:pStyle w:val="ListParagraph"/>
        <w:widowControl/>
        <w:rPr>
          <w:szCs w:val="22"/>
        </w:rPr>
      </w:pPr>
    </w:p>
    <w:p w:rsidR="00877B5C" w:rsidRDefault="0046531C" w:rsidP="009569A0">
      <w:pPr>
        <w:widowControl/>
        <w:ind w:firstLine="709"/>
        <w:rPr>
          <w:szCs w:val="22"/>
        </w:rPr>
      </w:pPr>
      <w:r w:rsidRPr="00053F91">
        <w:rPr>
          <w:i/>
          <w:szCs w:val="22"/>
        </w:rPr>
        <w:t>For more detail on PBAC’s view, see section 7 “PBAC outcome”</w:t>
      </w:r>
    </w:p>
    <w:p w:rsidR="00877B5C" w:rsidRPr="00882085" w:rsidRDefault="00877B5C" w:rsidP="00877B5C"/>
    <w:p w:rsidR="00877B5C" w:rsidRPr="00407F2D" w:rsidRDefault="00877B5C" w:rsidP="00877B5C">
      <w:pPr>
        <w:pStyle w:val="PBACheading1"/>
      </w:pPr>
      <w:bookmarkStart w:id="4" w:name="_Toc430073839"/>
      <w:r w:rsidRPr="00407F2D">
        <w:rPr>
          <w:b/>
        </w:rPr>
        <w:t>Background</w:t>
      </w:r>
      <w:bookmarkEnd w:id="4"/>
    </w:p>
    <w:p w:rsidR="00877B5C" w:rsidRPr="00882085" w:rsidRDefault="00877B5C" w:rsidP="00877B5C">
      <w:pPr>
        <w:rPr>
          <w:szCs w:val="22"/>
        </w:rPr>
      </w:pPr>
    </w:p>
    <w:p w:rsidR="00877B5C" w:rsidRPr="009A25A9" w:rsidRDefault="0016688A" w:rsidP="00C71E74">
      <w:pPr>
        <w:pStyle w:val="ListParagraph"/>
        <w:widowControl/>
        <w:numPr>
          <w:ilvl w:val="1"/>
          <w:numId w:val="5"/>
        </w:numPr>
        <w:rPr>
          <w:szCs w:val="22"/>
        </w:rPr>
      </w:pPr>
      <w:r>
        <w:rPr>
          <w:szCs w:val="22"/>
        </w:rPr>
        <w:t xml:space="preserve">TGA status at time of PBAC consideration: </w:t>
      </w:r>
      <w:r w:rsidR="00877B5C" w:rsidRPr="009A25A9">
        <w:rPr>
          <w:szCs w:val="22"/>
        </w:rPr>
        <w:t xml:space="preserve">Daclatasvir was TGA registered in June 2015 for the treatment of </w:t>
      </w:r>
      <w:r w:rsidR="00AE6A07" w:rsidRPr="009A25A9">
        <w:rPr>
          <w:szCs w:val="22"/>
        </w:rPr>
        <w:t>CHC</w:t>
      </w:r>
      <w:r w:rsidR="00877B5C" w:rsidRPr="009A25A9">
        <w:rPr>
          <w:szCs w:val="22"/>
        </w:rPr>
        <w:t xml:space="preserve"> virus infection in adults with compensated liver disease (including cirrhosis) in combination with other medicinal products.</w:t>
      </w:r>
    </w:p>
    <w:p w:rsidR="00877B5C" w:rsidRPr="005641BC" w:rsidRDefault="00877B5C" w:rsidP="00877B5C">
      <w:pPr>
        <w:pStyle w:val="ListParagraph"/>
        <w:rPr>
          <w:szCs w:val="22"/>
        </w:rPr>
      </w:pPr>
    </w:p>
    <w:p w:rsidR="00AE6A07" w:rsidRPr="005641BC" w:rsidRDefault="00877B5C" w:rsidP="00C71E74">
      <w:pPr>
        <w:pStyle w:val="ListParagraph"/>
        <w:widowControl/>
        <w:numPr>
          <w:ilvl w:val="1"/>
          <w:numId w:val="5"/>
        </w:numPr>
        <w:rPr>
          <w:szCs w:val="22"/>
        </w:rPr>
      </w:pPr>
      <w:r w:rsidRPr="005641BC">
        <w:rPr>
          <w:szCs w:val="22"/>
        </w:rPr>
        <w:t>This is the second submission of daclatasvir to the PBAC for the treatment of CHC</w:t>
      </w:r>
      <w:r w:rsidR="00AE6A07" w:rsidRPr="005641BC">
        <w:rPr>
          <w:szCs w:val="22"/>
        </w:rPr>
        <w:t xml:space="preserve"> infection</w:t>
      </w:r>
      <w:r w:rsidRPr="005641BC">
        <w:rPr>
          <w:szCs w:val="22"/>
        </w:rPr>
        <w:t xml:space="preserve">, irrespective </w:t>
      </w:r>
      <w:r w:rsidR="007C38EE" w:rsidRPr="005641BC">
        <w:rPr>
          <w:szCs w:val="22"/>
        </w:rPr>
        <w:t xml:space="preserve">of </w:t>
      </w:r>
      <w:r w:rsidRPr="005641BC">
        <w:rPr>
          <w:szCs w:val="22"/>
        </w:rPr>
        <w:t xml:space="preserve">genotype, treatment history </w:t>
      </w:r>
      <w:r w:rsidR="00A70149" w:rsidRPr="005641BC">
        <w:rPr>
          <w:szCs w:val="22"/>
        </w:rPr>
        <w:t>or</w:t>
      </w:r>
      <w:r w:rsidRPr="005641BC">
        <w:rPr>
          <w:szCs w:val="22"/>
        </w:rPr>
        <w:t xml:space="preserve"> cirrhosis status. </w:t>
      </w:r>
    </w:p>
    <w:p w:rsidR="00AE6A07" w:rsidRPr="005641BC" w:rsidRDefault="00AE6A07" w:rsidP="00AE6A07">
      <w:pPr>
        <w:pStyle w:val="ListParagraph"/>
        <w:widowControl/>
        <w:rPr>
          <w:szCs w:val="22"/>
        </w:rPr>
      </w:pPr>
    </w:p>
    <w:p w:rsidR="00877B5C" w:rsidRPr="005641BC" w:rsidRDefault="00AE6A07" w:rsidP="00C71E74">
      <w:pPr>
        <w:pStyle w:val="ListParagraph"/>
        <w:widowControl/>
        <w:numPr>
          <w:ilvl w:val="1"/>
          <w:numId w:val="5"/>
        </w:numPr>
        <w:rPr>
          <w:szCs w:val="22"/>
        </w:rPr>
      </w:pPr>
      <w:r w:rsidRPr="005641BC">
        <w:rPr>
          <w:szCs w:val="22"/>
        </w:rPr>
        <w:t xml:space="preserve">The first submission was considered by the PBAC in March 2015. PBAC recommended </w:t>
      </w:r>
      <w:r w:rsidR="00053AF1">
        <w:rPr>
          <w:szCs w:val="22"/>
        </w:rPr>
        <w:t xml:space="preserve">the </w:t>
      </w:r>
      <w:r w:rsidRPr="005641BC">
        <w:rPr>
          <w:szCs w:val="22"/>
        </w:rPr>
        <w:t xml:space="preserve">listing of daclatasvir in combination with sofosbuvir for treatment of genotype 1 CHC in treatment naïve non-cirrhotic patients and for the treatment of </w:t>
      </w:r>
      <w:r w:rsidRPr="005641BC">
        <w:rPr>
          <w:szCs w:val="22"/>
        </w:rPr>
        <w:lastRenderedPageBreak/>
        <w:t xml:space="preserve">genotype 3 CHC, on the basis of acceptable cost effectiveness over no treatment (paragraphs 7.1 and 7.2 </w:t>
      </w:r>
      <w:r w:rsidR="00A70149" w:rsidRPr="005641BC">
        <w:rPr>
          <w:szCs w:val="22"/>
        </w:rPr>
        <w:t xml:space="preserve">5.06 Daclatasvir Public Summary Document (PSD) </w:t>
      </w:r>
      <w:r w:rsidRPr="005641BC">
        <w:rPr>
          <w:szCs w:val="22"/>
        </w:rPr>
        <w:t xml:space="preserve">March 2015 PBAC Meeting). The PBAC </w:t>
      </w:r>
      <w:r w:rsidRPr="005641BC">
        <w:t xml:space="preserve">considered that the clinical efficacy of 12 weeks of treatment with </w:t>
      </w:r>
      <w:r w:rsidR="005D649C" w:rsidRPr="005641BC">
        <w:t>daclatasvir</w:t>
      </w:r>
      <w:r w:rsidRPr="005641BC">
        <w:t xml:space="preserve"> in combination with sofosbuvir was not supported </w:t>
      </w:r>
      <w:r w:rsidR="007F1CE3" w:rsidRPr="005641BC">
        <w:rPr>
          <w:szCs w:val="22"/>
        </w:rPr>
        <w:t xml:space="preserve">in the following groups: </w:t>
      </w:r>
      <w:r w:rsidRPr="005641BC">
        <w:rPr>
          <w:szCs w:val="22"/>
        </w:rPr>
        <w:t xml:space="preserve">treatment experienced </w:t>
      </w:r>
      <w:r w:rsidR="00C90D32" w:rsidRPr="005641BC">
        <w:rPr>
          <w:szCs w:val="22"/>
        </w:rPr>
        <w:t>genotype</w:t>
      </w:r>
      <w:r w:rsidRPr="005641BC">
        <w:rPr>
          <w:szCs w:val="22"/>
        </w:rPr>
        <w:t xml:space="preserve"> 1 CHC patients, treatment naïve cirrhotic </w:t>
      </w:r>
      <w:r w:rsidR="00C90D32" w:rsidRPr="005641BC">
        <w:rPr>
          <w:szCs w:val="22"/>
        </w:rPr>
        <w:t>genotype</w:t>
      </w:r>
      <w:r w:rsidRPr="005641BC">
        <w:rPr>
          <w:szCs w:val="22"/>
        </w:rPr>
        <w:t xml:space="preserve"> 1 CHC patients, </w:t>
      </w:r>
      <w:r w:rsidR="00C90D32" w:rsidRPr="005641BC">
        <w:rPr>
          <w:szCs w:val="22"/>
        </w:rPr>
        <w:t>genotype</w:t>
      </w:r>
      <w:r w:rsidRPr="005641BC">
        <w:rPr>
          <w:szCs w:val="22"/>
        </w:rPr>
        <w:t xml:space="preserve"> 2 CHC patients, </w:t>
      </w:r>
      <w:r w:rsidR="00C90D32" w:rsidRPr="005641BC">
        <w:rPr>
          <w:szCs w:val="22"/>
        </w:rPr>
        <w:t>genotype</w:t>
      </w:r>
      <w:r w:rsidRPr="005641BC">
        <w:rPr>
          <w:szCs w:val="22"/>
        </w:rPr>
        <w:t xml:space="preserve"> 4 CHC patients, </w:t>
      </w:r>
      <w:r w:rsidR="00C90D32" w:rsidRPr="005641BC">
        <w:rPr>
          <w:szCs w:val="22"/>
        </w:rPr>
        <w:t>genotype</w:t>
      </w:r>
      <w:r w:rsidRPr="005641BC">
        <w:rPr>
          <w:szCs w:val="22"/>
        </w:rPr>
        <w:t xml:space="preserve"> 5 CHC patients and </w:t>
      </w:r>
      <w:r w:rsidR="00C90D32" w:rsidRPr="005641BC">
        <w:rPr>
          <w:szCs w:val="22"/>
        </w:rPr>
        <w:t>genotype</w:t>
      </w:r>
      <w:r w:rsidRPr="005641BC">
        <w:rPr>
          <w:szCs w:val="22"/>
        </w:rPr>
        <w:t xml:space="preserve"> 6 CHC patients (paragraph 7.4, </w:t>
      </w:r>
      <w:r w:rsidR="00A70149" w:rsidRPr="005641BC">
        <w:rPr>
          <w:bCs/>
          <w:szCs w:val="22"/>
        </w:rPr>
        <w:t xml:space="preserve">5.06 Daclatasvir </w:t>
      </w:r>
      <w:r w:rsidR="00A70149" w:rsidRPr="005641BC">
        <w:rPr>
          <w:szCs w:val="22"/>
        </w:rPr>
        <w:t xml:space="preserve">PSD, </w:t>
      </w:r>
      <w:r w:rsidRPr="005641BC">
        <w:rPr>
          <w:szCs w:val="22"/>
        </w:rPr>
        <w:t>March 2015 PBAC Meeting).</w:t>
      </w:r>
    </w:p>
    <w:p w:rsidR="00AE6A07" w:rsidRPr="005641BC" w:rsidRDefault="00AE6A07" w:rsidP="00AE6A07">
      <w:pPr>
        <w:pStyle w:val="ListParagraph"/>
        <w:widowControl/>
        <w:rPr>
          <w:szCs w:val="22"/>
        </w:rPr>
      </w:pPr>
    </w:p>
    <w:p w:rsidR="00AE6A07" w:rsidRPr="005641BC" w:rsidRDefault="007F1CE3" w:rsidP="00C71E74">
      <w:pPr>
        <w:pStyle w:val="ListParagraph"/>
        <w:widowControl/>
        <w:numPr>
          <w:ilvl w:val="1"/>
          <w:numId w:val="5"/>
        </w:numPr>
        <w:rPr>
          <w:szCs w:val="22"/>
        </w:rPr>
      </w:pPr>
      <w:r w:rsidRPr="005641BC">
        <w:rPr>
          <w:szCs w:val="22"/>
        </w:rPr>
        <w:t>The re-submission presented additional clinical evidence to support the claim that the effectiveness and safety of DCV+SOF is consistent across all genotypes and hard-to-treat patient populations, including treatment experienced patients, patients with cirrhosis, and patients with HCV and human immunodeficiency virus</w:t>
      </w:r>
      <w:r w:rsidR="007C38EE" w:rsidRPr="005641BC">
        <w:rPr>
          <w:szCs w:val="22"/>
        </w:rPr>
        <w:t xml:space="preserve"> (HIV)</w:t>
      </w:r>
      <w:r w:rsidRPr="005641BC">
        <w:rPr>
          <w:szCs w:val="22"/>
        </w:rPr>
        <w:t xml:space="preserve"> co-infection.</w:t>
      </w:r>
    </w:p>
    <w:p w:rsidR="00B60939" w:rsidRPr="00882085" w:rsidRDefault="00B60939" w:rsidP="00B60939">
      <w:pPr>
        <w:rPr>
          <w:szCs w:val="22"/>
        </w:rPr>
      </w:pPr>
    </w:p>
    <w:p w:rsidR="000A3A6E" w:rsidRPr="00053F91" w:rsidRDefault="0046531C" w:rsidP="009569A0">
      <w:pPr>
        <w:ind w:firstLine="709"/>
      </w:pPr>
      <w:r w:rsidRPr="00053F91">
        <w:rPr>
          <w:i/>
          <w:szCs w:val="22"/>
        </w:rPr>
        <w:t>For more detail on PBAC’s view, see section 7 “PBAC outcome”</w:t>
      </w:r>
    </w:p>
    <w:p w:rsidR="000A3A6E" w:rsidRPr="00053F91" w:rsidRDefault="000A3A6E" w:rsidP="00497F10"/>
    <w:p w:rsidR="00496AEA" w:rsidRPr="00053F91" w:rsidRDefault="00496AEA" w:rsidP="00496AEA">
      <w:pPr>
        <w:pStyle w:val="PBACheading1"/>
        <w:rPr>
          <w:b/>
        </w:rPr>
      </w:pPr>
      <w:bookmarkStart w:id="5" w:name="_Toc430073840"/>
      <w:r w:rsidRPr="00053F91">
        <w:rPr>
          <w:b/>
        </w:rPr>
        <w:t>Clinical place for the proposed therapy</w:t>
      </w:r>
      <w:bookmarkEnd w:id="5"/>
    </w:p>
    <w:p w:rsidR="00496AEA" w:rsidRDefault="00496AEA" w:rsidP="00496AEA">
      <w:pPr>
        <w:rPr>
          <w:szCs w:val="22"/>
        </w:rPr>
      </w:pPr>
    </w:p>
    <w:p w:rsidR="00496AEA" w:rsidRPr="005641BC" w:rsidRDefault="00496AEA" w:rsidP="00C71E74">
      <w:pPr>
        <w:pStyle w:val="ListParagraph"/>
        <w:widowControl/>
        <w:numPr>
          <w:ilvl w:val="1"/>
          <w:numId w:val="5"/>
        </w:numPr>
        <w:rPr>
          <w:szCs w:val="22"/>
        </w:rPr>
      </w:pPr>
      <w:r w:rsidRPr="005641BC">
        <w:t>This was not changed from the previous submission.</w:t>
      </w:r>
    </w:p>
    <w:p w:rsidR="009569A0" w:rsidRPr="00053F91" w:rsidRDefault="009569A0" w:rsidP="00053F91">
      <w:pPr>
        <w:rPr>
          <w:szCs w:val="22"/>
        </w:rPr>
      </w:pPr>
    </w:p>
    <w:p w:rsidR="00C71E74" w:rsidRPr="00407F2D" w:rsidRDefault="00C71E74" w:rsidP="00C71E74">
      <w:pPr>
        <w:pStyle w:val="PBACheading1"/>
        <w:rPr>
          <w:b/>
        </w:rPr>
      </w:pPr>
      <w:bookmarkStart w:id="6" w:name="_Toc392857604"/>
      <w:bookmarkStart w:id="7" w:name="_Toc430073841"/>
      <w:r w:rsidRPr="00407F2D">
        <w:rPr>
          <w:b/>
        </w:rPr>
        <w:t>Comparator</w:t>
      </w:r>
      <w:bookmarkEnd w:id="6"/>
      <w:bookmarkEnd w:id="7"/>
    </w:p>
    <w:p w:rsidR="00C71E74" w:rsidRPr="00882085" w:rsidRDefault="00C71E74" w:rsidP="00C71E74"/>
    <w:p w:rsidR="00C71E74" w:rsidRPr="005641BC" w:rsidRDefault="00C71E74" w:rsidP="00C71E74">
      <w:pPr>
        <w:pStyle w:val="ListParagraph"/>
        <w:widowControl/>
        <w:numPr>
          <w:ilvl w:val="1"/>
          <w:numId w:val="5"/>
        </w:numPr>
        <w:rPr>
          <w:szCs w:val="22"/>
        </w:rPr>
      </w:pPr>
      <w:r w:rsidRPr="005641BC">
        <w:t xml:space="preserve">The re-submission did not nominate any comparator. </w:t>
      </w:r>
    </w:p>
    <w:p w:rsidR="00C71E74" w:rsidRPr="005641BC" w:rsidRDefault="00C71E74" w:rsidP="00C71E74">
      <w:pPr>
        <w:pStyle w:val="ListParagraph"/>
        <w:widowControl/>
        <w:rPr>
          <w:szCs w:val="22"/>
        </w:rPr>
      </w:pPr>
    </w:p>
    <w:p w:rsidR="00C71E74" w:rsidRPr="005641BC" w:rsidRDefault="00C71E74" w:rsidP="00C71E74">
      <w:pPr>
        <w:pStyle w:val="ListParagraph"/>
        <w:widowControl/>
        <w:numPr>
          <w:ilvl w:val="1"/>
          <w:numId w:val="5"/>
        </w:numPr>
        <w:rPr>
          <w:szCs w:val="22"/>
        </w:rPr>
      </w:pPr>
      <w:r w:rsidRPr="005641BC">
        <w:t xml:space="preserve">The March 2015 PBAC Meeting </w:t>
      </w:r>
      <w:r w:rsidR="00A70149" w:rsidRPr="005641BC">
        <w:t>PSD</w:t>
      </w:r>
      <w:r w:rsidRPr="005641BC">
        <w:t xml:space="preserve"> for daclatasvir states that, </w:t>
      </w:r>
      <w:r w:rsidRPr="005641BC">
        <w:rPr>
          <w:bCs/>
          <w:szCs w:val="22"/>
        </w:rPr>
        <w:t xml:space="preserve">following the recommendation to list sofosbuvir-containing regimens, the PBAC considered that these sofosbuvir-containing regimens were the most appropriate comparators for the consideration of other all oral HCV treatments, given that ledipasvir/sofosbuvir (LDV/SOF) and </w:t>
      </w:r>
      <w:r w:rsidR="00F11851" w:rsidRPr="005641BC">
        <w:rPr>
          <w:bCs/>
          <w:szCs w:val="22"/>
        </w:rPr>
        <w:t>sofosbuvir</w:t>
      </w:r>
      <w:r w:rsidRPr="005641BC">
        <w:rPr>
          <w:bCs/>
          <w:szCs w:val="22"/>
        </w:rPr>
        <w:t xml:space="preserve"> are likely to become the standard of care for almost all patients treated for CHC and that the listing of </w:t>
      </w:r>
      <w:r w:rsidR="0099195B" w:rsidRPr="005641BC">
        <w:rPr>
          <w:bCs/>
          <w:szCs w:val="22"/>
        </w:rPr>
        <w:t>daclatasvir</w:t>
      </w:r>
      <w:r w:rsidRPr="005641BC">
        <w:rPr>
          <w:bCs/>
          <w:szCs w:val="22"/>
        </w:rPr>
        <w:t xml:space="preserve"> could only progress if sofosbuvir is available on the PBS (paragraph 7.7, 5.06 Daclatasvir PSD – March 2015 PBAC Meeting).</w:t>
      </w:r>
    </w:p>
    <w:p w:rsidR="00C71E74" w:rsidRPr="005641BC" w:rsidRDefault="00C71E74" w:rsidP="00C71E74">
      <w:pPr>
        <w:pStyle w:val="ListParagraph"/>
        <w:rPr>
          <w:szCs w:val="22"/>
        </w:rPr>
      </w:pPr>
    </w:p>
    <w:p w:rsidR="00C71E74" w:rsidRPr="005641BC" w:rsidRDefault="00C71E74" w:rsidP="00C71E74">
      <w:pPr>
        <w:pStyle w:val="ListParagraph"/>
        <w:widowControl/>
        <w:numPr>
          <w:ilvl w:val="1"/>
          <w:numId w:val="5"/>
        </w:numPr>
        <w:rPr>
          <w:szCs w:val="22"/>
        </w:rPr>
      </w:pPr>
      <w:r w:rsidRPr="005641BC">
        <w:t>At</w:t>
      </w:r>
      <w:r w:rsidR="0076543A" w:rsidRPr="005641BC">
        <w:t xml:space="preserve"> the time of the re-submission</w:t>
      </w:r>
      <w:r w:rsidRPr="005641BC">
        <w:t xml:space="preserve">, no interferon-free regimens </w:t>
      </w:r>
      <w:r w:rsidR="0076543A" w:rsidRPr="005641BC">
        <w:t xml:space="preserve">had </w:t>
      </w:r>
      <w:r w:rsidRPr="005641BC">
        <w:t xml:space="preserve">been recommended for listing on the PBS for treatment of CHC patients with HCV genotypes 4-6. Prior to the recommendation </w:t>
      </w:r>
      <w:r w:rsidRPr="005641BC">
        <w:rPr>
          <w:bCs/>
          <w:szCs w:val="22"/>
        </w:rPr>
        <w:t>to list any all-oral CHC treatment regimens, the</w:t>
      </w:r>
      <w:r w:rsidRPr="005641BC">
        <w:rPr>
          <w:szCs w:val="22"/>
        </w:rPr>
        <w:t xml:space="preserve"> PBAC considered that the appropriate comparator </w:t>
      </w:r>
      <w:r w:rsidR="0076543A" w:rsidRPr="005641BC">
        <w:rPr>
          <w:szCs w:val="22"/>
        </w:rPr>
        <w:t xml:space="preserve">was </w:t>
      </w:r>
      <w:r w:rsidRPr="005641BC">
        <w:rPr>
          <w:szCs w:val="22"/>
        </w:rPr>
        <w:t xml:space="preserve">no treatment in view of the broader context of infected individuals whose treatment preference is interferon-free therapies </w:t>
      </w:r>
      <w:r w:rsidRPr="005641BC">
        <w:t>(</w:t>
      </w:r>
      <w:r w:rsidR="004D568F" w:rsidRPr="005641BC">
        <w:rPr>
          <w:szCs w:val="22"/>
        </w:rPr>
        <w:t>p</w:t>
      </w:r>
      <w:r w:rsidRPr="005641BC">
        <w:rPr>
          <w:szCs w:val="22"/>
        </w:rPr>
        <w:t>aragraph 7.5, 5.17 Sofosbuvir, PSD – July 2014 PBAC meeting).</w:t>
      </w:r>
    </w:p>
    <w:p w:rsidR="00C71E74" w:rsidRPr="005641BC" w:rsidRDefault="00C71E74" w:rsidP="00C71E74">
      <w:pPr>
        <w:pStyle w:val="ListParagraph"/>
        <w:rPr>
          <w:szCs w:val="22"/>
        </w:rPr>
      </w:pPr>
    </w:p>
    <w:p w:rsidR="00C71E74" w:rsidRPr="005641BC" w:rsidRDefault="00C71E74" w:rsidP="00C71E74">
      <w:pPr>
        <w:pStyle w:val="ListParagraph"/>
        <w:widowControl/>
        <w:numPr>
          <w:ilvl w:val="1"/>
          <w:numId w:val="5"/>
        </w:numPr>
        <w:rPr>
          <w:szCs w:val="22"/>
        </w:rPr>
      </w:pPr>
      <w:r w:rsidRPr="005641BC">
        <w:rPr>
          <w:szCs w:val="22"/>
        </w:rPr>
        <w:t xml:space="preserve">Therefore, the most appropriate comparators for each of the HCV genotypes for which extension of the approved listing </w:t>
      </w:r>
      <w:r w:rsidR="0076543A" w:rsidRPr="005641BC">
        <w:rPr>
          <w:szCs w:val="22"/>
        </w:rPr>
        <w:t xml:space="preserve">was </w:t>
      </w:r>
      <w:r w:rsidRPr="005641BC">
        <w:rPr>
          <w:szCs w:val="22"/>
        </w:rPr>
        <w:t>requested</w:t>
      </w:r>
      <w:r w:rsidR="002B651F" w:rsidRPr="005641BC">
        <w:rPr>
          <w:szCs w:val="22"/>
        </w:rPr>
        <w:t>, based on the dosage recommendations in the relevant TGA-approved PIs,</w:t>
      </w:r>
      <w:r w:rsidRPr="005641BC">
        <w:rPr>
          <w:szCs w:val="22"/>
        </w:rPr>
        <w:t xml:space="preserve"> </w:t>
      </w:r>
      <w:r w:rsidR="0076543A" w:rsidRPr="005641BC">
        <w:rPr>
          <w:szCs w:val="22"/>
        </w:rPr>
        <w:t>we</w:t>
      </w:r>
      <w:r w:rsidRPr="005641BC">
        <w:rPr>
          <w:szCs w:val="22"/>
        </w:rPr>
        <w:t>re:</w:t>
      </w:r>
    </w:p>
    <w:p w:rsidR="005F34E5" w:rsidRPr="005641BC" w:rsidRDefault="005F34E5" w:rsidP="005F34E5">
      <w:pPr>
        <w:pStyle w:val="ListParagraph"/>
        <w:widowControl/>
        <w:numPr>
          <w:ilvl w:val="0"/>
          <w:numId w:val="13"/>
        </w:numPr>
        <w:rPr>
          <w:szCs w:val="22"/>
        </w:rPr>
      </w:pPr>
      <w:r w:rsidRPr="005641BC">
        <w:rPr>
          <w:szCs w:val="22"/>
        </w:rPr>
        <w:t xml:space="preserve">Genotype 1 </w:t>
      </w:r>
      <w:r w:rsidR="0084759B" w:rsidRPr="005641BC">
        <w:rPr>
          <w:szCs w:val="22"/>
        </w:rPr>
        <w:t>patients:</w:t>
      </w:r>
    </w:p>
    <w:p w:rsidR="00C71E74" w:rsidRPr="005641BC" w:rsidRDefault="00A70149" w:rsidP="00C71E74">
      <w:pPr>
        <w:pStyle w:val="ListParagraph"/>
        <w:widowControl/>
        <w:numPr>
          <w:ilvl w:val="1"/>
          <w:numId w:val="13"/>
        </w:numPr>
        <w:ind w:left="1526" w:hanging="392"/>
        <w:rPr>
          <w:szCs w:val="22"/>
        </w:rPr>
      </w:pPr>
      <w:r w:rsidRPr="005641BC">
        <w:rPr>
          <w:szCs w:val="22"/>
        </w:rPr>
        <w:t xml:space="preserve">Treatment </w:t>
      </w:r>
      <w:r w:rsidR="00C71E74" w:rsidRPr="005641BC">
        <w:rPr>
          <w:szCs w:val="22"/>
        </w:rPr>
        <w:t>naïve patients with cirrhosis: LDV/SOF for 12 weeks;</w:t>
      </w:r>
    </w:p>
    <w:p w:rsidR="00C71E74" w:rsidRPr="005641BC" w:rsidRDefault="00C71E74" w:rsidP="00C71E74">
      <w:pPr>
        <w:pStyle w:val="ListParagraph"/>
        <w:widowControl/>
        <w:numPr>
          <w:ilvl w:val="1"/>
          <w:numId w:val="13"/>
        </w:numPr>
        <w:ind w:left="1526" w:hanging="392"/>
        <w:rPr>
          <w:szCs w:val="22"/>
        </w:rPr>
      </w:pPr>
      <w:r w:rsidRPr="005641BC">
        <w:rPr>
          <w:szCs w:val="22"/>
        </w:rPr>
        <w:t>Treatment experienced patients without cirrhosis: LDV/SOF for 12 weeks;</w:t>
      </w:r>
    </w:p>
    <w:p w:rsidR="00C71E74" w:rsidRPr="005641BC" w:rsidRDefault="00C71E74" w:rsidP="00C71E74">
      <w:pPr>
        <w:pStyle w:val="ListParagraph"/>
        <w:widowControl/>
        <w:numPr>
          <w:ilvl w:val="1"/>
          <w:numId w:val="13"/>
        </w:numPr>
        <w:ind w:left="1526" w:hanging="392"/>
        <w:rPr>
          <w:szCs w:val="22"/>
        </w:rPr>
      </w:pPr>
      <w:r w:rsidRPr="005641BC">
        <w:rPr>
          <w:szCs w:val="22"/>
        </w:rPr>
        <w:t>Treatment experienced patients with cirrhosis: LDV/SOF for 24 weeks;</w:t>
      </w:r>
    </w:p>
    <w:p w:rsidR="00C71E74" w:rsidRPr="005641BC" w:rsidRDefault="00C71E74" w:rsidP="00C71E74">
      <w:pPr>
        <w:pStyle w:val="ListParagraph"/>
        <w:widowControl/>
        <w:numPr>
          <w:ilvl w:val="0"/>
          <w:numId w:val="13"/>
        </w:numPr>
        <w:rPr>
          <w:szCs w:val="22"/>
        </w:rPr>
      </w:pPr>
      <w:r w:rsidRPr="005641BC">
        <w:rPr>
          <w:szCs w:val="22"/>
        </w:rPr>
        <w:t xml:space="preserve">Genotype 2 patients: SOF plus </w:t>
      </w:r>
      <w:r w:rsidR="009F524E" w:rsidRPr="005641BC">
        <w:rPr>
          <w:szCs w:val="22"/>
        </w:rPr>
        <w:t>RBV</w:t>
      </w:r>
      <w:r w:rsidRPr="005641BC">
        <w:rPr>
          <w:szCs w:val="22"/>
        </w:rPr>
        <w:t xml:space="preserve"> for 12 weeks; and</w:t>
      </w:r>
    </w:p>
    <w:p w:rsidR="007F382F" w:rsidRPr="0046531C" w:rsidRDefault="00C71E74" w:rsidP="009A25A9">
      <w:pPr>
        <w:pStyle w:val="ListParagraph"/>
        <w:widowControl/>
        <w:numPr>
          <w:ilvl w:val="0"/>
          <w:numId w:val="13"/>
        </w:numPr>
        <w:rPr>
          <w:szCs w:val="22"/>
        </w:rPr>
      </w:pPr>
      <w:r w:rsidRPr="005641BC">
        <w:rPr>
          <w:szCs w:val="22"/>
        </w:rPr>
        <w:lastRenderedPageBreak/>
        <w:t>Genotype 4-6 patients: no treatment.</w:t>
      </w:r>
      <w:r w:rsidR="009A25A9">
        <w:rPr>
          <w:szCs w:val="22"/>
        </w:rPr>
        <w:t xml:space="preserve"> </w:t>
      </w:r>
      <w:r w:rsidR="009A25A9" w:rsidRPr="0046531C">
        <w:rPr>
          <w:szCs w:val="22"/>
        </w:rPr>
        <w:t xml:space="preserve">The ESC recalled that at </w:t>
      </w:r>
      <w:r w:rsidR="007F382F" w:rsidRPr="0046531C">
        <w:rPr>
          <w:szCs w:val="22"/>
        </w:rPr>
        <w:t>its March 2015 meeting</w:t>
      </w:r>
      <w:r w:rsidR="009A25A9" w:rsidRPr="0046531C">
        <w:rPr>
          <w:szCs w:val="22"/>
        </w:rPr>
        <w:t>,</w:t>
      </w:r>
      <w:r w:rsidR="007F382F" w:rsidRPr="0046531C">
        <w:rPr>
          <w:szCs w:val="22"/>
        </w:rPr>
        <w:t xml:space="preserve"> the PBAC recommended the listing of </w:t>
      </w:r>
      <w:r w:rsidR="009A25A9" w:rsidRPr="0046531C">
        <w:rPr>
          <w:szCs w:val="22"/>
        </w:rPr>
        <w:t>sofosbuvir (when in combination with peg-interferon and ribavirin, 12 weeks) for the treatment of Genotype 3, 4, 5 and 6 CHC</w:t>
      </w:r>
      <w:r w:rsidR="007F382F" w:rsidRPr="0046531C">
        <w:rPr>
          <w:szCs w:val="22"/>
        </w:rPr>
        <w:t xml:space="preserve">. </w:t>
      </w:r>
      <w:r w:rsidR="009A25A9" w:rsidRPr="0046531C">
        <w:rPr>
          <w:szCs w:val="22"/>
        </w:rPr>
        <w:t xml:space="preserve">As this regimen includes peg-interferon, the ESC considered that  </w:t>
      </w:r>
      <w:r w:rsidR="007F382F" w:rsidRPr="0046531C">
        <w:rPr>
          <w:szCs w:val="22"/>
        </w:rPr>
        <w:t xml:space="preserve"> the appropriate comparator</w:t>
      </w:r>
      <w:r w:rsidR="009A25A9" w:rsidRPr="0046531C">
        <w:rPr>
          <w:szCs w:val="22"/>
        </w:rPr>
        <w:t xml:space="preserve"> for this patient </w:t>
      </w:r>
      <w:r w:rsidR="000A3A6E" w:rsidRPr="0046531C">
        <w:rPr>
          <w:szCs w:val="22"/>
        </w:rPr>
        <w:t>population was</w:t>
      </w:r>
      <w:r w:rsidR="007F382F" w:rsidRPr="0046531C">
        <w:rPr>
          <w:szCs w:val="22"/>
        </w:rPr>
        <w:t xml:space="preserve"> ‘no treatment’ in view of the broader context of infected individuals whose treatment preference is interferon-free therapies</w:t>
      </w:r>
      <w:r w:rsidR="009A25A9" w:rsidRPr="0046531C">
        <w:rPr>
          <w:szCs w:val="22"/>
        </w:rPr>
        <w:t xml:space="preserve">. </w:t>
      </w:r>
    </w:p>
    <w:p w:rsidR="00B55C49" w:rsidRPr="00053F91" w:rsidRDefault="00B55C49" w:rsidP="00053F91">
      <w:pPr>
        <w:widowControl/>
        <w:rPr>
          <w:szCs w:val="22"/>
        </w:rPr>
      </w:pPr>
    </w:p>
    <w:p w:rsidR="00C71E74" w:rsidRPr="00407F2D" w:rsidRDefault="0016688A" w:rsidP="00952FEB">
      <w:pPr>
        <w:pStyle w:val="PBACheading1"/>
        <w:rPr>
          <w:b/>
        </w:rPr>
      </w:pPr>
      <w:bookmarkStart w:id="8" w:name="_Toc392857605"/>
      <w:bookmarkStart w:id="9" w:name="_Toc430073842"/>
      <w:r>
        <w:rPr>
          <w:b/>
        </w:rPr>
        <w:t>PBAC c</w:t>
      </w:r>
      <w:r w:rsidR="00C71E74" w:rsidRPr="00407F2D">
        <w:rPr>
          <w:b/>
        </w:rPr>
        <w:t>onsideration of the evidence</w:t>
      </w:r>
      <w:bookmarkEnd w:id="8"/>
      <w:bookmarkEnd w:id="9"/>
    </w:p>
    <w:p w:rsidR="0046531C" w:rsidRPr="00CE5969" w:rsidRDefault="0046531C" w:rsidP="00CE5969">
      <w:bookmarkStart w:id="10" w:name="_Toc392857606"/>
      <w:bookmarkStart w:id="11" w:name="_Toc430073843"/>
    </w:p>
    <w:p w:rsidR="00173183" w:rsidRDefault="00173183" w:rsidP="00CE5969">
      <w:pPr>
        <w:pStyle w:val="Heading2"/>
        <w:rPr>
          <w:lang w:eastAsia="en-AU"/>
        </w:rPr>
      </w:pPr>
      <w:r w:rsidRPr="00173183">
        <w:rPr>
          <w:lang w:eastAsia="en-AU"/>
        </w:rPr>
        <w:t>Sponsor hearing</w:t>
      </w:r>
    </w:p>
    <w:p w:rsidR="00CE5969" w:rsidRPr="00CE5969" w:rsidRDefault="00CE5969" w:rsidP="00CE5969">
      <w:pPr>
        <w:rPr>
          <w:lang w:eastAsia="en-AU"/>
        </w:rPr>
      </w:pPr>
    </w:p>
    <w:p w:rsidR="00173183" w:rsidRPr="004105EE" w:rsidRDefault="00173183" w:rsidP="00173183">
      <w:pPr>
        <w:widowControl/>
        <w:numPr>
          <w:ilvl w:val="1"/>
          <w:numId w:val="5"/>
        </w:numPr>
        <w:contextualSpacing/>
        <w:rPr>
          <w:bCs/>
          <w:lang w:eastAsia="en-AU"/>
        </w:rPr>
      </w:pPr>
      <w:r w:rsidRPr="002B6016">
        <w:rPr>
          <w:bCs/>
          <w:lang w:eastAsia="en-AU"/>
        </w:rPr>
        <w:t xml:space="preserve">There was no hearing for this item. </w:t>
      </w:r>
    </w:p>
    <w:p w:rsidR="00173183" w:rsidRPr="002B6016" w:rsidRDefault="00173183" w:rsidP="00173183">
      <w:pPr>
        <w:widowControl/>
        <w:ind w:left="720" w:hanging="720"/>
        <w:jc w:val="left"/>
        <w:rPr>
          <w:bCs/>
          <w:szCs w:val="22"/>
          <w:lang w:eastAsia="en-AU"/>
        </w:rPr>
      </w:pPr>
    </w:p>
    <w:p w:rsidR="00173183" w:rsidRPr="00CE5969" w:rsidRDefault="00173183" w:rsidP="00CE5969">
      <w:pPr>
        <w:pStyle w:val="Heading2"/>
      </w:pPr>
      <w:r w:rsidRPr="00CE5969">
        <w:t>Consumer comments</w:t>
      </w:r>
    </w:p>
    <w:p w:rsidR="00173183" w:rsidRPr="002B6016" w:rsidRDefault="00173183" w:rsidP="00173183"/>
    <w:p w:rsidR="0046531C" w:rsidRPr="00053F91" w:rsidRDefault="00173183" w:rsidP="00053F91">
      <w:pPr>
        <w:pStyle w:val="ListParagraph"/>
        <w:widowControl/>
        <w:numPr>
          <w:ilvl w:val="1"/>
          <w:numId w:val="5"/>
        </w:numPr>
      </w:pPr>
      <w:r w:rsidRPr="00053F91">
        <w:rPr>
          <w:bCs/>
          <w:szCs w:val="22"/>
        </w:rPr>
        <w:t>The PBAC noted that no consumer comments were received for this item.</w:t>
      </w:r>
    </w:p>
    <w:p w:rsidR="0046531C" w:rsidRPr="00CE5969" w:rsidRDefault="0046531C" w:rsidP="00CE5969"/>
    <w:p w:rsidR="00C71E74" w:rsidRPr="00497F10" w:rsidRDefault="00C71E74" w:rsidP="00C71E74">
      <w:pPr>
        <w:pStyle w:val="Heading2"/>
        <w:rPr>
          <w:i/>
        </w:rPr>
      </w:pPr>
      <w:r w:rsidRPr="00497F10">
        <w:rPr>
          <w:i/>
        </w:rPr>
        <w:t xml:space="preserve">Clinical </w:t>
      </w:r>
      <w:r w:rsidR="00F72118">
        <w:rPr>
          <w:i/>
        </w:rPr>
        <w:t>studie</w:t>
      </w:r>
      <w:r w:rsidRPr="00497F10">
        <w:rPr>
          <w:i/>
        </w:rPr>
        <w:t>s</w:t>
      </w:r>
      <w:bookmarkEnd w:id="10"/>
      <w:bookmarkEnd w:id="11"/>
    </w:p>
    <w:p w:rsidR="00C71E74" w:rsidRPr="00882085" w:rsidRDefault="00C71E74" w:rsidP="00C71E74">
      <w:pPr>
        <w:rPr>
          <w:szCs w:val="22"/>
        </w:rPr>
      </w:pPr>
    </w:p>
    <w:p w:rsidR="00C71E74" w:rsidRPr="005641BC" w:rsidRDefault="00C71E74" w:rsidP="00C71E74">
      <w:pPr>
        <w:pStyle w:val="ListParagraph"/>
        <w:widowControl/>
        <w:numPr>
          <w:ilvl w:val="1"/>
          <w:numId w:val="5"/>
        </w:numPr>
        <w:rPr>
          <w:szCs w:val="22"/>
        </w:rPr>
      </w:pPr>
      <w:r w:rsidRPr="005641BC">
        <w:t>The re-submission was based on two non-comparative studies, and data from European compassionate use programs (CUPs):</w:t>
      </w:r>
    </w:p>
    <w:p w:rsidR="00C71E74" w:rsidRPr="005641BC" w:rsidRDefault="00C71E74" w:rsidP="00C71E74">
      <w:pPr>
        <w:pStyle w:val="ListParagraph"/>
        <w:widowControl/>
        <w:numPr>
          <w:ilvl w:val="0"/>
          <w:numId w:val="13"/>
        </w:numPr>
        <w:rPr>
          <w:szCs w:val="22"/>
        </w:rPr>
      </w:pPr>
      <w:r w:rsidRPr="005641BC">
        <w:rPr>
          <w:szCs w:val="22"/>
        </w:rPr>
        <w:t xml:space="preserve">ALLY 1: A </w:t>
      </w:r>
      <w:r w:rsidR="0051320D" w:rsidRPr="005641BC">
        <w:rPr>
          <w:szCs w:val="22"/>
        </w:rPr>
        <w:t>non-comparative</w:t>
      </w:r>
      <w:r w:rsidRPr="005641BC">
        <w:rPr>
          <w:szCs w:val="22"/>
        </w:rPr>
        <w:t xml:space="preserve"> open-label study of DCV+SOF+RBV for 12 weeks in genotype 1-6 CHC patients with advanced cirrhosis or who </w:t>
      </w:r>
      <w:r w:rsidR="0076543A" w:rsidRPr="005641BC">
        <w:rPr>
          <w:szCs w:val="22"/>
        </w:rPr>
        <w:t xml:space="preserve">were </w:t>
      </w:r>
      <w:r w:rsidRPr="005641BC">
        <w:rPr>
          <w:szCs w:val="22"/>
        </w:rPr>
        <w:t>post-liver transplant;</w:t>
      </w:r>
    </w:p>
    <w:p w:rsidR="00C71E74" w:rsidRPr="005641BC" w:rsidRDefault="00C71E74" w:rsidP="00C71E74">
      <w:pPr>
        <w:pStyle w:val="ListParagraph"/>
        <w:widowControl/>
        <w:numPr>
          <w:ilvl w:val="0"/>
          <w:numId w:val="13"/>
        </w:numPr>
      </w:pPr>
      <w:r w:rsidRPr="005641BC">
        <w:rPr>
          <w:szCs w:val="22"/>
        </w:rPr>
        <w:t xml:space="preserve">ALLY 2: An open-label study of DCV+SOF in HCV </w:t>
      </w:r>
      <w:r w:rsidR="00A70149" w:rsidRPr="005641BC">
        <w:rPr>
          <w:szCs w:val="22"/>
        </w:rPr>
        <w:t>treatment n</w:t>
      </w:r>
      <w:r w:rsidRPr="005641BC">
        <w:rPr>
          <w:szCs w:val="22"/>
        </w:rPr>
        <w:t xml:space="preserve">aïve and </w:t>
      </w:r>
      <w:r w:rsidR="00A70149" w:rsidRPr="005641BC">
        <w:rPr>
          <w:szCs w:val="22"/>
        </w:rPr>
        <w:t>treatment ex</w:t>
      </w:r>
      <w:r w:rsidRPr="005641BC">
        <w:rPr>
          <w:szCs w:val="22"/>
        </w:rPr>
        <w:t xml:space="preserve">perienced patients co-infected with HCV and </w:t>
      </w:r>
      <w:r w:rsidR="007C38EE" w:rsidRPr="005641BC">
        <w:rPr>
          <w:szCs w:val="22"/>
        </w:rPr>
        <w:t>HIV</w:t>
      </w:r>
      <w:r w:rsidRPr="005641BC">
        <w:rPr>
          <w:szCs w:val="22"/>
        </w:rPr>
        <w:t xml:space="preserve">, in which: </w:t>
      </w:r>
    </w:p>
    <w:p w:rsidR="00C71E74" w:rsidRPr="005641BC" w:rsidRDefault="00C71E74" w:rsidP="00C71E74">
      <w:pPr>
        <w:pStyle w:val="ListParagraph"/>
        <w:widowControl/>
        <w:numPr>
          <w:ilvl w:val="1"/>
          <w:numId w:val="13"/>
        </w:numPr>
        <w:ind w:left="1526" w:hanging="392"/>
        <w:rPr>
          <w:szCs w:val="22"/>
        </w:rPr>
      </w:pPr>
      <w:r w:rsidRPr="005641BC">
        <w:rPr>
          <w:szCs w:val="22"/>
        </w:rPr>
        <w:t xml:space="preserve">HCV </w:t>
      </w:r>
      <w:r w:rsidR="00A70149" w:rsidRPr="005641BC">
        <w:rPr>
          <w:szCs w:val="22"/>
        </w:rPr>
        <w:t>treatment n</w:t>
      </w:r>
      <w:r w:rsidRPr="005641BC">
        <w:rPr>
          <w:szCs w:val="22"/>
        </w:rPr>
        <w:t xml:space="preserve">aïve patients were randomised 2:1 to receive DCV+SOF for either 12 or 8 weeks, and </w:t>
      </w:r>
    </w:p>
    <w:p w:rsidR="00C71E74" w:rsidRPr="005641BC" w:rsidRDefault="00C71E74" w:rsidP="00C71E74">
      <w:pPr>
        <w:pStyle w:val="ListParagraph"/>
        <w:widowControl/>
        <w:numPr>
          <w:ilvl w:val="1"/>
          <w:numId w:val="13"/>
        </w:numPr>
        <w:ind w:left="1526" w:hanging="392"/>
        <w:rPr>
          <w:szCs w:val="22"/>
        </w:rPr>
      </w:pPr>
      <w:r w:rsidRPr="005641BC">
        <w:rPr>
          <w:szCs w:val="22"/>
        </w:rPr>
        <w:t xml:space="preserve">HCV </w:t>
      </w:r>
      <w:r w:rsidR="00A70149" w:rsidRPr="005641BC">
        <w:rPr>
          <w:szCs w:val="22"/>
        </w:rPr>
        <w:t>treatment ex</w:t>
      </w:r>
      <w:r w:rsidRPr="005641BC">
        <w:rPr>
          <w:szCs w:val="22"/>
        </w:rPr>
        <w:t>perienced patients received 12 weeks of DCV+SOF;</w:t>
      </w:r>
    </w:p>
    <w:p w:rsidR="00C71E74" w:rsidRPr="005641BC" w:rsidRDefault="00C71E74" w:rsidP="00C71E74">
      <w:pPr>
        <w:pStyle w:val="ListParagraph"/>
        <w:widowControl/>
        <w:numPr>
          <w:ilvl w:val="0"/>
          <w:numId w:val="13"/>
        </w:numPr>
        <w:rPr>
          <w:szCs w:val="22"/>
        </w:rPr>
      </w:pPr>
      <w:r w:rsidRPr="005641BC">
        <w:rPr>
          <w:szCs w:val="22"/>
        </w:rPr>
        <w:t>CUPs:</w:t>
      </w:r>
    </w:p>
    <w:p w:rsidR="00C71E74" w:rsidRPr="005641BC" w:rsidRDefault="00C71E74" w:rsidP="00C71E74">
      <w:pPr>
        <w:pStyle w:val="ListParagraph"/>
        <w:widowControl/>
        <w:numPr>
          <w:ilvl w:val="1"/>
          <w:numId w:val="13"/>
        </w:numPr>
        <w:ind w:left="1526" w:hanging="392"/>
        <w:rPr>
          <w:szCs w:val="22"/>
        </w:rPr>
      </w:pPr>
      <w:r w:rsidRPr="005641BC">
        <w:rPr>
          <w:szCs w:val="22"/>
        </w:rPr>
        <w:t>EU CUP: A multicentre CUP of DCV+SOF±RBV for 24 weeks in patients at high risk of liver decompensation or death within 12 months if left untreated, conducted in 5 European countries;</w:t>
      </w:r>
    </w:p>
    <w:p w:rsidR="00C71E74" w:rsidRPr="005641BC" w:rsidRDefault="00C71E74" w:rsidP="0076543A">
      <w:pPr>
        <w:pStyle w:val="ListParagraph"/>
        <w:widowControl/>
        <w:numPr>
          <w:ilvl w:val="1"/>
          <w:numId w:val="13"/>
        </w:numPr>
        <w:ind w:left="1526" w:hanging="392"/>
        <w:rPr>
          <w:szCs w:val="22"/>
        </w:rPr>
      </w:pPr>
      <w:r w:rsidRPr="005641BC">
        <w:rPr>
          <w:szCs w:val="22"/>
        </w:rPr>
        <w:t>EU CUP - UK cohort: An early access program of SOF+NS5A inhibitors with or without RBV for 12 weeks in patients with decompensated HCV cirrhosis; Patients c</w:t>
      </w:r>
      <w:r w:rsidR="009F524E" w:rsidRPr="005641BC">
        <w:rPr>
          <w:szCs w:val="22"/>
        </w:rPr>
        <w:t>ould be treated with either LDV/SOF</w:t>
      </w:r>
      <w:r w:rsidRPr="005641BC">
        <w:rPr>
          <w:szCs w:val="22"/>
        </w:rPr>
        <w:t xml:space="preserve">, </w:t>
      </w:r>
      <w:r w:rsidR="009F524E" w:rsidRPr="005641BC">
        <w:rPr>
          <w:szCs w:val="22"/>
        </w:rPr>
        <w:t>LDV/SOF</w:t>
      </w:r>
      <w:r w:rsidRPr="005641BC">
        <w:rPr>
          <w:szCs w:val="22"/>
        </w:rPr>
        <w:t xml:space="preserve">+RBV, SOF+DCV or SOF+DCV+RBV, at the clinician’s discretion. </w:t>
      </w:r>
      <w:r w:rsidR="0076543A" w:rsidRPr="005641BC">
        <w:rPr>
          <w:szCs w:val="22"/>
        </w:rPr>
        <w:t>As t</w:t>
      </w:r>
      <w:r w:rsidRPr="005641BC">
        <w:rPr>
          <w:szCs w:val="22"/>
        </w:rPr>
        <w:t xml:space="preserve">he number of patients receiving each particular regimen </w:t>
      </w:r>
      <w:r w:rsidR="0076543A" w:rsidRPr="005641BC">
        <w:rPr>
          <w:szCs w:val="22"/>
        </w:rPr>
        <w:t xml:space="preserve">was </w:t>
      </w:r>
      <w:r w:rsidRPr="005641BC">
        <w:rPr>
          <w:szCs w:val="22"/>
        </w:rPr>
        <w:t>not reported</w:t>
      </w:r>
      <w:r w:rsidR="0076543A" w:rsidRPr="005641BC">
        <w:rPr>
          <w:szCs w:val="22"/>
        </w:rPr>
        <w:t>,</w:t>
      </w:r>
      <w:r w:rsidRPr="005641BC">
        <w:rPr>
          <w:szCs w:val="22"/>
        </w:rPr>
        <w:t xml:space="preserve"> this study </w:t>
      </w:r>
      <w:r w:rsidR="0076543A" w:rsidRPr="005641BC">
        <w:rPr>
          <w:szCs w:val="22"/>
        </w:rPr>
        <w:t xml:space="preserve">was of </w:t>
      </w:r>
      <w:r w:rsidRPr="005641BC">
        <w:rPr>
          <w:szCs w:val="22"/>
        </w:rPr>
        <w:t xml:space="preserve">little relevance to the proposed listing), and </w:t>
      </w:r>
    </w:p>
    <w:p w:rsidR="000A3A6E" w:rsidRDefault="00C71E74" w:rsidP="00C71E74">
      <w:pPr>
        <w:pStyle w:val="ListParagraph"/>
        <w:widowControl/>
        <w:numPr>
          <w:ilvl w:val="1"/>
          <w:numId w:val="13"/>
        </w:numPr>
        <w:ind w:left="1526" w:hanging="392"/>
        <w:rPr>
          <w:szCs w:val="22"/>
        </w:rPr>
      </w:pPr>
      <w:r w:rsidRPr="005641BC">
        <w:rPr>
          <w:szCs w:val="22"/>
        </w:rPr>
        <w:t>French ATU cohort</w:t>
      </w:r>
      <w:r w:rsidRPr="005641BC">
        <w:rPr>
          <w:szCs w:val="22"/>
          <w:vertAlign w:val="superscript"/>
        </w:rPr>
        <w:footnoteReference w:id="2"/>
      </w:r>
      <w:r w:rsidRPr="005641BC">
        <w:rPr>
          <w:szCs w:val="22"/>
        </w:rPr>
        <w:t>: A CUP of DCV+SOF±RBV for 12 or 24 weeks in HCV/HIV co-infected patients with advanced liver disease.</w:t>
      </w:r>
      <w:r w:rsidR="000A3A6E">
        <w:rPr>
          <w:szCs w:val="22"/>
        </w:rPr>
        <w:br w:type="page"/>
      </w:r>
    </w:p>
    <w:p w:rsidR="00C71E74" w:rsidRDefault="00C71E74" w:rsidP="00C71E74">
      <w:pPr>
        <w:pStyle w:val="ListParagraph"/>
        <w:widowControl/>
        <w:numPr>
          <w:ilvl w:val="1"/>
          <w:numId w:val="5"/>
        </w:numPr>
        <w:rPr>
          <w:szCs w:val="22"/>
        </w:rPr>
      </w:pPr>
      <w:r w:rsidRPr="00D06FD4">
        <w:rPr>
          <w:szCs w:val="22"/>
        </w:rPr>
        <w:lastRenderedPageBreak/>
        <w:t xml:space="preserve">Details of the </w:t>
      </w:r>
      <w:r>
        <w:rPr>
          <w:szCs w:val="22"/>
        </w:rPr>
        <w:t>studies</w:t>
      </w:r>
      <w:r w:rsidRPr="00D06FD4">
        <w:rPr>
          <w:szCs w:val="22"/>
        </w:rPr>
        <w:t xml:space="preserve"> presented in the re-submission are provided in the table below.</w:t>
      </w:r>
    </w:p>
    <w:p w:rsidR="009711A6" w:rsidRPr="009711A6" w:rsidRDefault="009711A6" w:rsidP="009711A6">
      <w:pPr>
        <w:widowControl/>
        <w:rPr>
          <w:szCs w:val="22"/>
        </w:rPr>
      </w:pPr>
    </w:p>
    <w:p w:rsidR="00C71E74" w:rsidRDefault="00C71E74" w:rsidP="00C71E74">
      <w:pPr>
        <w:ind w:firstLine="720"/>
        <w:rPr>
          <w:rStyle w:val="CommentReference"/>
        </w:rPr>
      </w:pPr>
      <w:r w:rsidRPr="000812CA">
        <w:rPr>
          <w:rStyle w:val="CommentReference"/>
        </w:rPr>
        <w:t xml:space="preserve">Table </w:t>
      </w:r>
      <w:r w:rsidR="00637F4A">
        <w:rPr>
          <w:rStyle w:val="CommentReference"/>
        </w:rPr>
        <w:t>2</w:t>
      </w:r>
      <w:r w:rsidRPr="000812CA">
        <w:rPr>
          <w:rStyle w:val="CommentReference"/>
        </w:rPr>
        <w:t xml:space="preserve">: </w:t>
      </w:r>
      <w:r>
        <w:rPr>
          <w:rStyle w:val="CommentReference"/>
        </w:rPr>
        <w:t>Studie</w:t>
      </w:r>
      <w:r w:rsidRPr="000812CA">
        <w:rPr>
          <w:rStyle w:val="CommentReference"/>
        </w:rPr>
        <w:t xml:space="preserve">s and associated reports presented in the </w:t>
      </w:r>
      <w:r>
        <w:rPr>
          <w:rStyle w:val="CommentReference"/>
        </w:rPr>
        <w:t>re-</w:t>
      </w:r>
      <w:r w:rsidRPr="000812CA">
        <w:rPr>
          <w:rStyle w:val="CommentReference"/>
        </w:rPr>
        <w:t>submission</w:t>
      </w:r>
    </w:p>
    <w:tbl>
      <w:tblPr>
        <w:tblW w:w="4576"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00"/>
        <w:gridCol w:w="4101"/>
        <w:gridCol w:w="2811"/>
      </w:tblGrid>
      <w:tr w:rsidR="00C71E74" w:rsidRPr="004E2ADC" w:rsidTr="009F1D4D">
        <w:tc>
          <w:tcPr>
            <w:tcW w:w="842" w:type="pct"/>
          </w:tcPr>
          <w:p w:rsidR="00C71E74" w:rsidRPr="004E2ADC" w:rsidRDefault="00483888" w:rsidP="009F1D4D">
            <w:pPr>
              <w:jc w:val="left"/>
              <w:rPr>
                <w:rFonts w:ascii="Arial Narrow" w:hAnsi="Arial Narrow"/>
                <w:b/>
                <w:sz w:val="20"/>
              </w:rPr>
            </w:pPr>
            <w:r>
              <w:rPr>
                <w:rFonts w:ascii="Arial Narrow" w:hAnsi="Arial Narrow"/>
                <w:b/>
                <w:sz w:val="20"/>
              </w:rPr>
              <w:t xml:space="preserve">Study </w:t>
            </w:r>
            <w:r w:rsidR="00C71E74" w:rsidRPr="004E2ADC">
              <w:rPr>
                <w:rFonts w:ascii="Arial Narrow" w:hAnsi="Arial Narrow"/>
                <w:b/>
                <w:sz w:val="20"/>
              </w:rPr>
              <w:t>ID</w:t>
            </w:r>
          </w:p>
        </w:tc>
        <w:tc>
          <w:tcPr>
            <w:tcW w:w="2467" w:type="pct"/>
          </w:tcPr>
          <w:p w:rsidR="00C71E74" w:rsidRPr="004E2ADC" w:rsidRDefault="00C71E74" w:rsidP="009F1D4D">
            <w:pPr>
              <w:jc w:val="center"/>
              <w:rPr>
                <w:rFonts w:ascii="Arial Narrow" w:hAnsi="Arial Narrow"/>
                <w:b/>
                <w:sz w:val="20"/>
              </w:rPr>
            </w:pPr>
            <w:r w:rsidRPr="004E2ADC">
              <w:rPr>
                <w:rFonts w:ascii="Arial Narrow" w:hAnsi="Arial Narrow"/>
                <w:b/>
                <w:sz w:val="20"/>
              </w:rPr>
              <w:t>Protocol title/ Publication title</w:t>
            </w:r>
          </w:p>
        </w:tc>
        <w:tc>
          <w:tcPr>
            <w:tcW w:w="1691" w:type="pct"/>
          </w:tcPr>
          <w:p w:rsidR="00C71E74" w:rsidRPr="004E2ADC" w:rsidRDefault="00C71E74" w:rsidP="009F1D4D">
            <w:pPr>
              <w:jc w:val="center"/>
              <w:rPr>
                <w:rFonts w:ascii="Arial Narrow" w:hAnsi="Arial Narrow"/>
                <w:b/>
                <w:sz w:val="20"/>
              </w:rPr>
            </w:pPr>
            <w:r w:rsidRPr="004E2ADC">
              <w:rPr>
                <w:rFonts w:ascii="Arial Narrow" w:hAnsi="Arial Narrow"/>
                <w:b/>
                <w:sz w:val="20"/>
              </w:rPr>
              <w:t>Publication citation</w:t>
            </w:r>
          </w:p>
        </w:tc>
      </w:tr>
      <w:tr w:rsidR="00C71E74" w:rsidRPr="004E2ADC" w:rsidTr="009F1D4D">
        <w:tc>
          <w:tcPr>
            <w:tcW w:w="5000" w:type="pct"/>
            <w:gridSpan w:val="3"/>
          </w:tcPr>
          <w:p w:rsidR="00C71E74" w:rsidRPr="004E2ADC" w:rsidRDefault="00C71E74" w:rsidP="009F1D4D">
            <w:pPr>
              <w:jc w:val="left"/>
              <w:rPr>
                <w:rFonts w:ascii="Arial Narrow" w:hAnsi="Arial Narrow"/>
                <w:b/>
                <w:sz w:val="20"/>
              </w:rPr>
            </w:pPr>
            <w:r>
              <w:rPr>
                <w:rFonts w:ascii="Arial Narrow" w:hAnsi="Arial Narrow"/>
                <w:b/>
                <w:sz w:val="20"/>
              </w:rPr>
              <w:t>Non-comparative studies</w:t>
            </w:r>
          </w:p>
        </w:tc>
      </w:tr>
      <w:tr w:rsidR="00C71E74" w:rsidRPr="004E2ADC" w:rsidTr="009F1D4D">
        <w:tc>
          <w:tcPr>
            <w:tcW w:w="842" w:type="pct"/>
          </w:tcPr>
          <w:p w:rsidR="00C71E74" w:rsidRPr="004E2ADC" w:rsidRDefault="00C71E74" w:rsidP="009F1D4D">
            <w:pPr>
              <w:jc w:val="left"/>
              <w:rPr>
                <w:rFonts w:ascii="Arial Narrow" w:hAnsi="Arial Narrow"/>
                <w:sz w:val="20"/>
              </w:rPr>
            </w:pPr>
            <w:r>
              <w:rPr>
                <w:rFonts w:ascii="Arial Narrow" w:hAnsi="Arial Narrow"/>
                <w:sz w:val="20"/>
              </w:rPr>
              <w:t>ALLY 1</w:t>
            </w:r>
          </w:p>
        </w:tc>
        <w:tc>
          <w:tcPr>
            <w:tcW w:w="2467" w:type="pct"/>
          </w:tcPr>
          <w:p w:rsidR="00C71E74" w:rsidRPr="004E2ADC" w:rsidRDefault="00C71E74" w:rsidP="009F1D4D">
            <w:pPr>
              <w:jc w:val="left"/>
              <w:rPr>
                <w:rFonts w:ascii="Arial Narrow" w:hAnsi="Arial Narrow"/>
                <w:b/>
                <w:sz w:val="20"/>
              </w:rPr>
            </w:pPr>
            <w:r>
              <w:rPr>
                <w:rFonts w:ascii="Arial Narrow" w:hAnsi="Arial Narrow"/>
                <w:sz w:val="20"/>
              </w:rPr>
              <w:t>Final Clinical Study Report for Study AI444215: A phase 3 evaluation of daclatasvir, sofosbuvir, and ribavirin in genotype 1-6 chronic hepatitis C infection subjects with cirrhosis who may require future liver transplant and subject post-liver transplant.</w:t>
            </w:r>
          </w:p>
        </w:tc>
        <w:tc>
          <w:tcPr>
            <w:tcW w:w="1691" w:type="pct"/>
          </w:tcPr>
          <w:p w:rsidR="00C71E74" w:rsidRPr="004E2ADC" w:rsidRDefault="00C71E74" w:rsidP="009F1D4D">
            <w:pPr>
              <w:jc w:val="left"/>
              <w:rPr>
                <w:rFonts w:ascii="Arial Narrow" w:hAnsi="Arial Narrow"/>
                <w:sz w:val="20"/>
              </w:rPr>
            </w:pPr>
            <w:r>
              <w:rPr>
                <w:rFonts w:ascii="Arial Narrow" w:hAnsi="Arial Narrow"/>
                <w:sz w:val="20"/>
              </w:rPr>
              <w:t>April 2015</w:t>
            </w:r>
          </w:p>
          <w:p w:rsidR="00C71E74" w:rsidRPr="004E2ADC" w:rsidRDefault="00C71E74" w:rsidP="009F1D4D">
            <w:pPr>
              <w:jc w:val="left"/>
              <w:rPr>
                <w:rFonts w:ascii="Arial Narrow" w:hAnsi="Arial Narrow"/>
                <w:b/>
                <w:sz w:val="20"/>
              </w:rPr>
            </w:pPr>
          </w:p>
        </w:tc>
      </w:tr>
      <w:tr w:rsidR="00C71E74" w:rsidRPr="004E2ADC" w:rsidTr="00676A34">
        <w:tc>
          <w:tcPr>
            <w:tcW w:w="842" w:type="pct"/>
            <w:tcBorders>
              <w:bottom w:val="single" w:sz="4" w:space="0" w:color="auto"/>
            </w:tcBorders>
          </w:tcPr>
          <w:p w:rsidR="00C71E74" w:rsidRDefault="00C71E74" w:rsidP="009F1D4D">
            <w:pPr>
              <w:jc w:val="left"/>
              <w:rPr>
                <w:rFonts w:ascii="Arial Narrow" w:hAnsi="Arial Narrow"/>
                <w:sz w:val="20"/>
              </w:rPr>
            </w:pPr>
            <w:r>
              <w:rPr>
                <w:rFonts w:ascii="Arial Narrow" w:hAnsi="Arial Narrow"/>
                <w:sz w:val="20"/>
              </w:rPr>
              <w:t>ALLY 2</w:t>
            </w:r>
          </w:p>
        </w:tc>
        <w:tc>
          <w:tcPr>
            <w:tcW w:w="2467" w:type="pct"/>
            <w:tcBorders>
              <w:bottom w:val="single" w:sz="4" w:space="0" w:color="auto"/>
            </w:tcBorders>
          </w:tcPr>
          <w:p w:rsidR="00C71E74" w:rsidRDefault="00C71E74" w:rsidP="009F1D4D">
            <w:pPr>
              <w:jc w:val="left"/>
              <w:rPr>
                <w:rFonts w:ascii="Arial Narrow" w:hAnsi="Arial Narrow"/>
                <w:sz w:val="20"/>
              </w:rPr>
            </w:pPr>
            <w:r>
              <w:rPr>
                <w:rFonts w:ascii="Arial Narrow" w:hAnsi="Arial Narrow"/>
                <w:sz w:val="20"/>
              </w:rPr>
              <w:t xml:space="preserve">Final Clinical Study Report for Study AI444216: A phase 3 evaluation of daclatasvir plus sofosbuvir in </w:t>
            </w:r>
            <w:r w:rsidR="00A70149">
              <w:rPr>
                <w:rFonts w:ascii="Arial Narrow" w:hAnsi="Arial Narrow"/>
                <w:sz w:val="20"/>
              </w:rPr>
              <w:t>treatment n</w:t>
            </w:r>
            <w:r>
              <w:rPr>
                <w:rFonts w:ascii="Arial Narrow" w:hAnsi="Arial Narrow"/>
                <w:sz w:val="20"/>
              </w:rPr>
              <w:t xml:space="preserve">aïve and </w:t>
            </w:r>
            <w:r w:rsidR="00A70149">
              <w:rPr>
                <w:rFonts w:ascii="Arial Narrow" w:hAnsi="Arial Narrow"/>
                <w:sz w:val="20"/>
              </w:rPr>
              <w:t>treatment ex</w:t>
            </w:r>
            <w:r>
              <w:rPr>
                <w:rFonts w:ascii="Arial Narrow" w:hAnsi="Arial Narrow"/>
                <w:sz w:val="20"/>
              </w:rPr>
              <w:t xml:space="preserve">perienced chronic hepatitis C (genotype 1, 2, 3, 4, 5, or 6) subjects co-infected with human immunodeficiency virus. </w:t>
            </w:r>
          </w:p>
        </w:tc>
        <w:tc>
          <w:tcPr>
            <w:tcW w:w="1691" w:type="pct"/>
            <w:tcBorders>
              <w:bottom w:val="single" w:sz="4" w:space="0" w:color="auto"/>
            </w:tcBorders>
          </w:tcPr>
          <w:p w:rsidR="00C71E74" w:rsidRDefault="00C71E74" w:rsidP="009F1D4D">
            <w:pPr>
              <w:jc w:val="left"/>
              <w:rPr>
                <w:rFonts w:ascii="Arial Narrow" w:hAnsi="Arial Narrow"/>
                <w:sz w:val="20"/>
              </w:rPr>
            </w:pPr>
            <w:r>
              <w:rPr>
                <w:rFonts w:ascii="Arial Narrow" w:hAnsi="Arial Narrow"/>
                <w:sz w:val="20"/>
              </w:rPr>
              <w:t>April 2015</w:t>
            </w:r>
          </w:p>
        </w:tc>
      </w:tr>
      <w:tr w:rsidR="00C71E74" w:rsidRPr="004E2ADC" w:rsidTr="00676A34">
        <w:tc>
          <w:tcPr>
            <w:tcW w:w="842" w:type="pct"/>
            <w:tcBorders>
              <w:bottom w:val="nil"/>
            </w:tcBorders>
          </w:tcPr>
          <w:p w:rsidR="00C71E74" w:rsidRDefault="00C71E74" w:rsidP="009F1D4D">
            <w:pPr>
              <w:jc w:val="left"/>
              <w:rPr>
                <w:rFonts w:ascii="Arial Narrow" w:hAnsi="Arial Narrow"/>
                <w:sz w:val="20"/>
              </w:rPr>
            </w:pPr>
            <w:r>
              <w:rPr>
                <w:rFonts w:ascii="Arial Narrow" w:hAnsi="Arial Narrow"/>
                <w:sz w:val="20"/>
              </w:rPr>
              <w:t>EU CUP</w:t>
            </w:r>
          </w:p>
          <w:p w:rsidR="00C71E74" w:rsidRDefault="00C71E74" w:rsidP="009F1D4D">
            <w:pPr>
              <w:jc w:val="left"/>
              <w:rPr>
                <w:rFonts w:ascii="Arial Narrow" w:hAnsi="Arial Narrow"/>
                <w:sz w:val="20"/>
              </w:rPr>
            </w:pPr>
            <w:r>
              <w:rPr>
                <w:rFonts w:ascii="Arial Narrow" w:hAnsi="Arial Narrow"/>
                <w:sz w:val="20"/>
              </w:rPr>
              <w:t>(EU CUP AI444-237)</w:t>
            </w:r>
            <w:r w:rsidR="00292434">
              <w:rPr>
                <w:rFonts w:ascii="Arial Narrow" w:hAnsi="Arial Narrow"/>
                <w:sz w:val="20"/>
              </w:rPr>
              <w:t xml:space="preserve">, </w:t>
            </w:r>
          </w:p>
          <w:p w:rsidR="00292434" w:rsidRDefault="00292434" w:rsidP="009F1D4D">
            <w:pPr>
              <w:jc w:val="left"/>
              <w:rPr>
                <w:rFonts w:ascii="Arial Narrow" w:hAnsi="Arial Narrow"/>
                <w:sz w:val="20"/>
              </w:rPr>
            </w:pPr>
          </w:p>
        </w:tc>
        <w:tc>
          <w:tcPr>
            <w:tcW w:w="2467" w:type="pct"/>
            <w:tcBorders>
              <w:bottom w:val="nil"/>
            </w:tcBorders>
          </w:tcPr>
          <w:p w:rsidR="00C71E74" w:rsidRDefault="00C71E74" w:rsidP="00F37B53">
            <w:pPr>
              <w:spacing w:after="40"/>
              <w:jc w:val="left"/>
              <w:rPr>
                <w:rFonts w:ascii="Arial Narrow" w:hAnsi="Arial Narrow"/>
                <w:sz w:val="20"/>
              </w:rPr>
            </w:pPr>
            <w:r>
              <w:rPr>
                <w:rFonts w:ascii="Arial Narrow" w:hAnsi="Arial Narrow"/>
                <w:sz w:val="20"/>
              </w:rPr>
              <w:t>European multicentre compassionate use program for daclatasvir in combination with sofosbuvir with or without ribavirin for the treatment of su</w:t>
            </w:r>
            <w:r w:rsidR="00115AD2">
              <w:rPr>
                <w:rFonts w:ascii="Arial Narrow" w:hAnsi="Arial Narrow"/>
                <w:sz w:val="20"/>
              </w:rPr>
              <w:t>bjects with chronic hepatitis C. Interim analysis: cut</w:t>
            </w:r>
            <w:r w:rsidR="00F37B53">
              <w:rPr>
                <w:rFonts w:ascii="Arial Narrow" w:hAnsi="Arial Narrow"/>
                <w:sz w:val="20"/>
              </w:rPr>
              <w:t>-</w:t>
            </w:r>
            <w:r w:rsidR="00115AD2">
              <w:rPr>
                <w:rFonts w:ascii="Arial Narrow" w:hAnsi="Arial Narrow"/>
                <w:sz w:val="20"/>
              </w:rPr>
              <w:t>off date 26 March 2015.</w:t>
            </w:r>
          </w:p>
        </w:tc>
        <w:tc>
          <w:tcPr>
            <w:tcW w:w="1691" w:type="pct"/>
            <w:tcBorders>
              <w:bottom w:val="nil"/>
            </w:tcBorders>
          </w:tcPr>
          <w:p w:rsidR="00C71E74" w:rsidRDefault="00C71E74" w:rsidP="009F1D4D">
            <w:pPr>
              <w:jc w:val="left"/>
              <w:rPr>
                <w:rFonts w:ascii="Arial Narrow" w:hAnsi="Arial Narrow"/>
                <w:sz w:val="20"/>
              </w:rPr>
            </w:pPr>
          </w:p>
        </w:tc>
      </w:tr>
      <w:tr w:rsidR="00115AD2" w:rsidRPr="004E2ADC" w:rsidTr="00676A34">
        <w:tc>
          <w:tcPr>
            <w:tcW w:w="842" w:type="pct"/>
            <w:tcBorders>
              <w:top w:val="nil"/>
            </w:tcBorders>
          </w:tcPr>
          <w:p w:rsidR="00115AD2" w:rsidRDefault="00115AD2" w:rsidP="009F1D4D">
            <w:pPr>
              <w:jc w:val="left"/>
              <w:rPr>
                <w:rFonts w:ascii="Arial Narrow" w:hAnsi="Arial Narrow"/>
                <w:sz w:val="20"/>
              </w:rPr>
            </w:pPr>
          </w:p>
        </w:tc>
        <w:tc>
          <w:tcPr>
            <w:tcW w:w="2467" w:type="pct"/>
            <w:tcBorders>
              <w:top w:val="nil"/>
            </w:tcBorders>
          </w:tcPr>
          <w:p w:rsidR="00115AD2" w:rsidRDefault="00115AD2" w:rsidP="009F1D4D">
            <w:pPr>
              <w:jc w:val="left"/>
              <w:rPr>
                <w:rFonts w:ascii="Arial Narrow" w:hAnsi="Arial Narrow"/>
                <w:sz w:val="20"/>
              </w:rPr>
            </w:pPr>
            <w:r>
              <w:rPr>
                <w:rFonts w:ascii="Arial Narrow" w:hAnsi="Arial Narrow"/>
                <w:sz w:val="20"/>
              </w:rPr>
              <w:t xml:space="preserve">Welzel TM, Herzer K, </w:t>
            </w:r>
            <w:r>
              <w:rPr>
                <w:rFonts w:ascii="Arial Narrow" w:hAnsi="Arial Narrow"/>
                <w:i/>
                <w:sz w:val="20"/>
              </w:rPr>
              <w:t xml:space="preserve">et al. </w:t>
            </w:r>
            <w:r>
              <w:rPr>
                <w:rFonts w:ascii="Arial Narrow" w:hAnsi="Arial Narrow"/>
                <w:sz w:val="20"/>
              </w:rPr>
              <w:t>Daclatasvir plus sofosbuvir with or without ribavirin for the treatment of HCV in patients with severe liver disease: interim results of a multicentre compassionate use program.</w:t>
            </w:r>
          </w:p>
        </w:tc>
        <w:tc>
          <w:tcPr>
            <w:tcW w:w="1691" w:type="pct"/>
            <w:tcBorders>
              <w:top w:val="nil"/>
            </w:tcBorders>
          </w:tcPr>
          <w:p w:rsidR="00115AD2" w:rsidRDefault="00115AD2" w:rsidP="009F1D4D">
            <w:pPr>
              <w:jc w:val="left"/>
              <w:rPr>
                <w:rFonts w:ascii="Arial Narrow" w:hAnsi="Arial Narrow"/>
                <w:sz w:val="20"/>
              </w:rPr>
            </w:pPr>
            <w:r>
              <w:rPr>
                <w:rFonts w:ascii="Arial Narrow" w:hAnsi="Arial Narrow"/>
                <w:sz w:val="20"/>
              </w:rPr>
              <w:t>The International Liver Congress 2015. 50</w:t>
            </w:r>
            <w:r w:rsidRPr="00002976">
              <w:rPr>
                <w:rFonts w:ascii="Arial Narrow" w:hAnsi="Arial Narrow"/>
                <w:sz w:val="20"/>
                <w:vertAlign w:val="superscript"/>
              </w:rPr>
              <w:t>th</w:t>
            </w:r>
            <w:r>
              <w:rPr>
                <w:rFonts w:ascii="Arial Narrow" w:hAnsi="Arial Narrow"/>
                <w:sz w:val="20"/>
              </w:rPr>
              <w:t xml:space="preserve"> annual meeting of the European Association for the Study of the Liver 2015. Poster P0772.</w:t>
            </w:r>
          </w:p>
        </w:tc>
      </w:tr>
      <w:tr w:rsidR="00C71E74" w:rsidRPr="004E2ADC" w:rsidTr="009F1D4D">
        <w:tc>
          <w:tcPr>
            <w:tcW w:w="842" w:type="pct"/>
          </w:tcPr>
          <w:p w:rsidR="00C71E74" w:rsidRPr="00602AD5" w:rsidRDefault="00C71E74" w:rsidP="009F1D4D">
            <w:pPr>
              <w:jc w:val="left"/>
              <w:rPr>
                <w:rFonts w:ascii="Arial Narrow" w:hAnsi="Arial Narrow"/>
                <w:sz w:val="20"/>
              </w:rPr>
            </w:pPr>
            <w:r>
              <w:rPr>
                <w:rFonts w:ascii="Arial Narrow" w:hAnsi="Arial Narrow"/>
                <w:sz w:val="20"/>
              </w:rPr>
              <w:t>EU CUP – UK cohort*</w:t>
            </w:r>
          </w:p>
          <w:p w:rsidR="00C71E74" w:rsidRDefault="00C71E74" w:rsidP="009F1D4D">
            <w:pPr>
              <w:jc w:val="left"/>
              <w:rPr>
                <w:rFonts w:ascii="Arial Narrow" w:hAnsi="Arial Narrow"/>
                <w:sz w:val="20"/>
              </w:rPr>
            </w:pPr>
            <w:r>
              <w:rPr>
                <w:rFonts w:ascii="Arial Narrow" w:hAnsi="Arial Narrow"/>
                <w:sz w:val="20"/>
              </w:rPr>
              <w:t>(EU CUP AI444-237)t</w:t>
            </w:r>
          </w:p>
        </w:tc>
        <w:tc>
          <w:tcPr>
            <w:tcW w:w="2467" w:type="pct"/>
          </w:tcPr>
          <w:p w:rsidR="00C71E74" w:rsidRDefault="00C71E74" w:rsidP="009F1D4D">
            <w:pPr>
              <w:jc w:val="left"/>
              <w:rPr>
                <w:rFonts w:ascii="Arial Narrow" w:hAnsi="Arial Narrow"/>
                <w:sz w:val="20"/>
              </w:rPr>
            </w:pPr>
            <w:r>
              <w:rPr>
                <w:rFonts w:ascii="Arial Narrow" w:hAnsi="Arial Narrow"/>
                <w:sz w:val="20"/>
              </w:rPr>
              <w:t xml:space="preserve">Compassionate use program for the treatment of decompensated HCV cirrhosis in patients with diverse genotypes in the UK: 12 weeks sofosbuvir and NS5A inhibitors with/without ribavirin is effective in HCV </w:t>
            </w:r>
            <w:r w:rsidR="00C90D32">
              <w:rPr>
                <w:rFonts w:ascii="Arial Narrow" w:hAnsi="Arial Narrow"/>
                <w:sz w:val="20"/>
              </w:rPr>
              <w:t>genotype</w:t>
            </w:r>
            <w:r>
              <w:rPr>
                <w:rFonts w:ascii="Arial Narrow" w:hAnsi="Arial Narrow"/>
                <w:sz w:val="20"/>
              </w:rPr>
              <w:t xml:space="preserve">s 1 and 3 </w:t>
            </w:r>
          </w:p>
        </w:tc>
        <w:tc>
          <w:tcPr>
            <w:tcW w:w="1691" w:type="pct"/>
          </w:tcPr>
          <w:p w:rsidR="007E462F" w:rsidRPr="0084759B" w:rsidRDefault="007E462F" w:rsidP="007E462F">
            <w:pPr>
              <w:jc w:val="left"/>
              <w:rPr>
                <w:rFonts w:ascii="Arial Narrow" w:hAnsi="Arial Narrow"/>
                <w:sz w:val="20"/>
              </w:rPr>
            </w:pPr>
            <w:r w:rsidRPr="0084759B">
              <w:rPr>
                <w:rFonts w:ascii="Arial Narrow" w:hAnsi="Arial Narrow"/>
                <w:sz w:val="20"/>
              </w:rPr>
              <w:t>NHS England. Clinical commissioning Policy Statement: sofosbuvir + daclatasvir/ledipasvir ± ribavirin for defined patients with hepatitis C.</w:t>
            </w:r>
          </w:p>
          <w:p w:rsidR="00C71E74" w:rsidRPr="0084759B" w:rsidRDefault="007E462F" w:rsidP="007E462F">
            <w:pPr>
              <w:jc w:val="left"/>
              <w:rPr>
                <w:rFonts w:ascii="Arial Narrow" w:hAnsi="Arial Narrow"/>
                <w:sz w:val="20"/>
              </w:rPr>
            </w:pPr>
            <w:r w:rsidRPr="0084759B">
              <w:rPr>
                <w:rFonts w:ascii="Arial Narrow" w:hAnsi="Arial Narrow"/>
                <w:i/>
                <w:sz w:val="20"/>
              </w:rPr>
              <w:t>No publication citation was provided for the results presented in the re-submission.</w:t>
            </w:r>
          </w:p>
        </w:tc>
      </w:tr>
      <w:tr w:rsidR="00C71E74" w:rsidRPr="004E2ADC" w:rsidTr="009F1D4D">
        <w:tc>
          <w:tcPr>
            <w:tcW w:w="842" w:type="pct"/>
          </w:tcPr>
          <w:p w:rsidR="00C71E74" w:rsidRDefault="00C71E74" w:rsidP="009F1D4D">
            <w:pPr>
              <w:jc w:val="left"/>
              <w:rPr>
                <w:rFonts w:ascii="Arial Narrow" w:hAnsi="Arial Narrow"/>
                <w:sz w:val="20"/>
              </w:rPr>
            </w:pPr>
            <w:r>
              <w:rPr>
                <w:rFonts w:ascii="Arial Narrow" w:hAnsi="Arial Narrow"/>
                <w:sz w:val="20"/>
              </w:rPr>
              <w:t>Frenc</w:t>
            </w:r>
            <w:r w:rsidRPr="005E4EC6">
              <w:rPr>
                <w:rFonts w:ascii="Arial Narrow" w:hAnsi="Arial Narrow"/>
                <w:sz w:val="20"/>
              </w:rPr>
              <w:t>h ATU</w:t>
            </w:r>
            <w:r>
              <w:rPr>
                <w:rFonts w:ascii="Arial Narrow" w:hAnsi="Arial Narrow"/>
                <w:sz w:val="20"/>
              </w:rPr>
              <w:t xml:space="preserve"> cohort</w:t>
            </w:r>
          </w:p>
          <w:p w:rsidR="00C71E74" w:rsidRDefault="00C71E74" w:rsidP="009F1D4D">
            <w:pPr>
              <w:jc w:val="left"/>
              <w:rPr>
                <w:rFonts w:ascii="Arial Narrow" w:hAnsi="Arial Narrow"/>
                <w:sz w:val="20"/>
              </w:rPr>
            </w:pPr>
            <w:r>
              <w:rPr>
                <w:rFonts w:ascii="Arial Narrow" w:hAnsi="Arial Narrow"/>
                <w:sz w:val="20"/>
              </w:rPr>
              <w:t>(AI444-258)</w:t>
            </w:r>
          </w:p>
        </w:tc>
        <w:tc>
          <w:tcPr>
            <w:tcW w:w="2467" w:type="pct"/>
          </w:tcPr>
          <w:p w:rsidR="00C71E74" w:rsidRDefault="00C71E74" w:rsidP="009F1D4D">
            <w:pPr>
              <w:jc w:val="left"/>
              <w:rPr>
                <w:rFonts w:ascii="Arial Narrow" w:hAnsi="Arial Narrow"/>
                <w:sz w:val="20"/>
              </w:rPr>
            </w:pPr>
            <w:r>
              <w:rPr>
                <w:rFonts w:ascii="Arial Narrow" w:hAnsi="Arial Narrow"/>
                <w:sz w:val="20"/>
              </w:rPr>
              <w:t>French multicentre compassionate use program for daclatasvir in combination with sofosbuvir with or without ribavirin in patients with HIV-HCV co-infection</w:t>
            </w:r>
            <w:r w:rsidR="00AA01B9">
              <w:rPr>
                <w:rFonts w:ascii="Arial Narrow" w:hAnsi="Arial Narrow"/>
                <w:sz w:val="20"/>
              </w:rPr>
              <w:t>. Interim analysis.</w:t>
            </w:r>
            <w:r>
              <w:rPr>
                <w:rFonts w:ascii="Arial Narrow" w:hAnsi="Arial Narrow"/>
                <w:sz w:val="20"/>
              </w:rPr>
              <w:t xml:space="preserve"> </w:t>
            </w:r>
          </w:p>
        </w:tc>
        <w:tc>
          <w:tcPr>
            <w:tcW w:w="1691" w:type="pct"/>
          </w:tcPr>
          <w:p w:rsidR="00C71E74" w:rsidRPr="0084759B" w:rsidRDefault="00AA01B9" w:rsidP="009F1D4D">
            <w:pPr>
              <w:jc w:val="left"/>
              <w:rPr>
                <w:rFonts w:ascii="Arial Narrow" w:hAnsi="Arial Narrow"/>
                <w:sz w:val="20"/>
              </w:rPr>
            </w:pPr>
            <w:r w:rsidRPr="0084759B">
              <w:rPr>
                <w:rFonts w:ascii="Arial Narrow" w:hAnsi="Arial Narrow"/>
                <w:sz w:val="20"/>
              </w:rPr>
              <w:t>None provided</w:t>
            </w:r>
          </w:p>
        </w:tc>
      </w:tr>
      <w:tr w:rsidR="00FB0107" w:rsidRPr="004E2ADC" w:rsidTr="009F1D4D">
        <w:tc>
          <w:tcPr>
            <w:tcW w:w="842" w:type="pct"/>
          </w:tcPr>
          <w:p w:rsidR="00FB0107" w:rsidRDefault="00FB0107" w:rsidP="009F1D4D">
            <w:pPr>
              <w:jc w:val="left"/>
              <w:rPr>
                <w:rFonts w:ascii="Arial Narrow" w:hAnsi="Arial Narrow"/>
                <w:sz w:val="20"/>
              </w:rPr>
            </w:pPr>
            <w:r>
              <w:rPr>
                <w:rFonts w:ascii="Arial Narrow" w:hAnsi="Arial Narrow"/>
                <w:sz w:val="20"/>
              </w:rPr>
              <w:t>TOSDAR**</w:t>
            </w:r>
          </w:p>
        </w:tc>
        <w:tc>
          <w:tcPr>
            <w:tcW w:w="2467" w:type="pct"/>
          </w:tcPr>
          <w:p w:rsidR="00FB0107" w:rsidRDefault="00FB0107" w:rsidP="009F1D4D">
            <w:pPr>
              <w:jc w:val="left"/>
              <w:rPr>
                <w:rFonts w:ascii="Arial Narrow" w:hAnsi="Arial Narrow"/>
                <w:sz w:val="20"/>
              </w:rPr>
            </w:pPr>
            <w:r>
              <w:rPr>
                <w:rFonts w:ascii="Arial Narrow" w:hAnsi="Arial Narrow"/>
                <w:sz w:val="20"/>
              </w:rPr>
              <w:t>Protocol: Transplant outcomes of sofosbuvir plus daclatasvir with or without ribavirin in advanced hepatitis C cirrhosis via Australian (and NZ) compassionate use programs.</w:t>
            </w:r>
          </w:p>
        </w:tc>
        <w:tc>
          <w:tcPr>
            <w:tcW w:w="1691" w:type="pct"/>
          </w:tcPr>
          <w:p w:rsidR="00FB0107" w:rsidRPr="0084759B" w:rsidRDefault="00FB0107" w:rsidP="009F1D4D">
            <w:pPr>
              <w:jc w:val="left"/>
              <w:rPr>
                <w:rFonts w:ascii="Arial Narrow" w:hAnsi="Arial Narrow"/>
                <w:sz w:val="20"/>
              </w:rPr>
            </w:pPr>
            <w:r>
              <w:rPr>
                <w:rFonts w:ascii="Arial Narrow" w:hAnsi="Arial Narrow"/>
                <w:sz w:val="20"/>
              </w:rPr>
              <w:t>November 2014</w:t>
            </w:r>
          </w:p>
        </w:tc>
      </w:tr>
    </w:tbl>
    <w:p w:rsidR="00C71E74" w:rsidRDefault="00C71E74" w:rsidP="00C71E74">
      <w:pPr>
        <w:pStyle w:val="TableFooter"/>
        <w:ind w:left="720"/>
      </w:pPr>
      <w:r>
        <w:t xml:space="preserve">ATU = Authorisation temporaire d’utilisation; CUP = Compassionate use program; EU = European; </w:t>
      </w:r>
      <w:r w:rsidR="00F9539A">
        <w:t xml:space="preserve">HCV = hepatitis C virus; HIV = human immunodeficiency virus; </w:t>
      </w:r>
      <w:r>
        <w:t>UK = United Kingdom</w:t>
      </w:r>
    </w:p>
    <w:p w:rsidR="00C71E74" w:rsidRDefault="00C71E74" w:rsidP="00C71E74">
      <w:pPr>
        <w:pStyle w:val="TableFooter"/>
        <w:ind w:left="720"/>
      </w:pPr>
      <w:r>
        <w:t>* Reported as the English Early Access Program (EAP) in Appendix 1 to the re-submission</w:t>
      </w:r>
    </w:p>
    <w:p w:rsidR="00FB0107" w:rsidRPr="00FB0107" w:rsidRDefault="00FB0107" w:rsidP="00FB0107">
      <w:pPr>
        <w:pStyle w:val="TableFooter"/>
        <w:ind w:left="720"/>
        <w:rPr>
          <w:szCs w:val="18"/>
        </w:rPr>
      </w:pPr>
      <w:r>
        <w:t xml:space="preserve">** </w:t>
      </w:r>
      <w:r>
        <w:rPr>
          <w:szCs w:val="18"/>
        </w:rPr>
        <w:t>Excluded as data we</w:t>
      </w:r>
      <w:r w:rsidRPr="00F218B4">
        <w:rPr>
          <w:szCs w:val="18"/>
        </w:rPr>
        <w:t xml:space="preserve">re not </w:t>
      </w:r>
      <w:r>
        <w:rPr>
          <w:szCs w:val="18"/>
        </w:rPr>
        <w:t xml:space="preserve">yet </w:t>
      </w:r>
      <w:r w:rsidRPr="00F218B4">
        <w:rPr>
          <w:szCs w:val="18"/>
        </w:rPr>
        <w:t xml:space="preserve">available. Data </w:t>
      </w:r>
      <w:r>
        <w:rPr>
          <w:szCs w:val="18"/>
        </w:rPr>
        <w:t>we</w:t>
      </w:r>
      <w:r w:rsidRPr="00F218B4">
        <w:rPr>
          <w:szCs w:val="18"/>
        </w:rPr>
        <w:t>re expected to be released by the end of 2015.</w:t>
      </w:r>
    </w:p>
    <w:p w:rsidR="00C71E74" w:rsidRDefault="00C71E74" w:rsidP="00C71E74">
      <w:pPr>
        <w:pStyle w:val="TableFooter"/>
        <w:ind w:firstLine="720"/>
        <w:rPr>
          <w:rStyle w:val="CommentReference"/>
        </w:rPr>
      </w:pPr>
      <w:r w:rsidRPr="00D13A3E">
        <w:t xml:space="preserve">Source: </w:t>
      </w:r>
      <w:r>
        <w:t>Table 3, p4 of the submission and Table 5, p4 Appendix 1 to the re-submission.</w:t>
      </w:r>
    </w:p>
    <w:p w:rsidR="00C71E74" w:rsidRPr="001B6188" w:rsidRDefault="00C71E74" w:rsidP="00C71E74">
      <w:pPr>
        <w:widowControl/>
        <w:rPr>
          <w:szCs w:val="22"/>
        </w:rPr>
      </w:pPr>
    </w:p>
    <w:p w:rsidR="00F72118" w:rsidRPr="005641BC" w:rsidRDefault="00F72118" w:rsidP="00C71E74">
      <w:pPr>
        <w:pStyle w:val="ListParagraph"/>
        <w:widowControl/>
        <w:numPr>
          <w:ilvl w:val="1"/>
          <w:numId w:val="5"/>
        </w:numPr>
        <w:rPr>
          <w:szCs w:val="22"/>
        </w:rPr>
      </w:pPr>
      <w:r w:rsidRPr="005641BC">
        <w:rPr>
          <w:szCs w:val="22"/>
        </w:rPr>
        <w:t xml:space="preserve">In Appendix 1, the re-submission presented an indirect comparison of </w:t>
      </w:r>
      <w:r w:rsidR="003C135C" w:rsidRPr="005641BC">
        <w:rPr>
          <w:szCs w:val="22"/>
        </w:rPr>
        <w:t>sustained virologic response at follow-up Week 12</w:t>
      </w:r>
      <w:r w:rsidR="006E570C" w:rsidRPr="005641BC">
        <w:rPr>
          <w:szCs w:val="22"/>
        </w:rPr>
        <w:t xml:space="preserve"> </w:t>
      </w:r>
      <w:r w:rsidR="003C135C" w:rsidRPr="005641BC">
        <w:rPr>
          <w:szCs w:val="22"/>
        </w:rPr>
        <w:t>(</w:t>
      </w:r>
      <w:r w:rsidRPr="005641BC">
        <w:rPr>
          <w:szCs w:val="22"/>
        </w:rPr>
        <w:t>SVR12</w:t>
      </w:r>
      <w:r w:rsidR="003C135C" w:rsidRPr="005641BC">
        <w:rPr>
          <w:szCs w:val="22"/>
        </w:rPr>
        <w:t>)</w:t>
      </w:r>
      <w:r w:rsidR="005F34E5" w:rsidRPr="005641BC">
        <w:rPr>
          <w:szCs w:val="22"/>
        </w:rPr>
        <w:t xml:space="preserve"> </w:t>
      </w:r>
      <w:r w:rsidRPr="005641BC">
        <w:rPr>
          <w:szCs w:val="22"/>
        </w:rPr>
        <w:t xml:space="preserve">for DCV+SOF12 and other all-oral treatment CHC regimens in HCV/HIV co-infected patients. No details were provided </w:t>
      </w:r>
      <w:r w:rsidR="00FC34FC" w:rsidRPr="005641BC">
        <w:rPr>
          <w:szCs w:val="22"/>
        </w:rPr>
        <w:t xml:space="preserve">in the re-submission </w:t>
      </w:r>
      <w:r w:rsidRPr="005641BC">
        <w:rPr>
          <w:szCs w:val="22"/>
        </w:rPr>
        <w:t>for the studies from which the SVR12 rates for other treatment regimens were sourced (</w:t>
      </w:r>
      <w:r w:rsidRPr="00A74201">
        <w:rPr>
          <w:szCs w:val="22"/>
        </w:rPr>
        <w:t>see Section B(ii).2</w:t>
      </w:r>
      <w:r w:rsidR="00A74201" w:rsidRPr="00A74201">
        <w:rPr>
          <w:szCs w:val="22"/>
        </w:rPr>
        <w:t xml:space="preserve"> of</w:t>
      </w:r>
      <w:r w:rsidR="00A74201">
        <w:rPr>
          <w:szCs w:val="22"/>
        </w:rPr>
        <w:t xml:space="preserve"> the commentary</w:t>
      </w:r>
      <w:r w:rsidRPr="005641BC">
        <w:rPr>
          <w:szCs w:val="22"/>
        </w:rPr>
        <w:t>).</w:t>
      </w:r>
      <w:r w:rsidR="005F34E5" w:rsidRPr="005641BC">
        <w:t xml:space="preserve"> Given the lack of information provided in the re-submission and the considerable potential for confounding inherent in any indirect comparison, these unadjusted indirect comparisons between studies </w:t>
      </w:r>
      <w:r w:rsidR="0084759B" w:rsidRPr="005641BC">
        <w:t>we</w:t>
      </w:r>
      <w:r w:rsidR="005F34E5" w:rsidRPr="005641BC">
        <w:t>re highly uncertain and should be interpreted with caution.</w:t>
      </w:r>
      <w:r w:rsidR="00E52175">
        <w:t xml:space="preserve"> </w:t>
      </w:r>
    </w:p>
    <w:p w:rsidR="00C71E74" w:rsidRPr="00D06FD4" w:rsidRDefault="00C71E74" w:rsidP="00C71E74">
      <w:pPr>
        <w:pStyle w:val="ListParagraph"/>
        <w:widowControl/>
        <w:numPr>
          <w:ilvl w:val="1"/>
          <w:numId w:val="5"/>
        </w:numPr>
        <w:rPr>
          <w:szCs w:val="22"/>
        </w:rPr>
      </w:pPr>
      <w:r w:rsidRPr="00D06FD4">
        <w:rPr>
          <w:szCs w:val="22"/>
        </w:rPr>
        <w:t xml:space="preserve">The key features of the </w:t>
      </w:r>
      <w:r>
        <w:rPr>
          <w:szCs w:val="22"/>
        </w:rPr>
        <w:t>included studies</w:t>
      </w:r>
      <w:r w:rsidRPr="00D06FD4">
        <w:rPr>
          <w:szCs w:val="22"/>
        </w:rPr>
        <w:t xml:space="preserve"> are summarised in the table below.</w:t>
      </w:r>
    </w:p>
    <w:p w:rsidR="00C71E74" w:rsidRDefault="00C71E74" w:rsidP="00C71E74">
      <w:pPr>
        <w:widowControl/>
        <w:rPr>
          <w:szCs w:val="22"/>
        </w:rPr>
      </w:pPr>
    </w:p>
    <w:p w:rsidR="00C71E74" w:rsidRPr="00637F4A" w:rsidRDefault="002F126E" w:rsidP="00C71E74">
      <w:pPr>
        <w:ind w:firstLine="720"/>
        <w:rPr>
          <w:rStyle w:val="CommentReference"/>
        </w:rPr>
      </w:pPr>
      <w:r w:rsidRPr="00637F4A">
        <w:rPr>
          <w:rStyle w:val="CommentReference"/>
        </w:rPr>
        <w:t xml:space="preserve">Table </w:t>
      </w:r>
      <w:r w:rsidR="00637F4A" w:rsidRPr="00637F4A">
        <w:rPr>
          <w:rStyle w:val="CommentReference"/>
        </w:rPr>
        <w:t>3</w:t>
      </w:r>
      <w:r w:rsidR="00C71E74" w:rsidRPr="00637F4A">
        <w:rPr>
          <w:rStyle w:val="CommentReference"/>
        </w:rPr>
        <w:t>: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96"/>
        <w:gridCol w:w="638"/>
        <w:gridCol w:w="1770"/>
        <w:gridCol w:w="919"/>
        <w:gridCol w:w="2015"/>
        <w:gridCol w:w="1525"/>
      </w:tblGrid>
      <w:tr w:rsidR="00C71E74" w:rsidRPr="000D1AF5" w:rsidTr="009F1D4D">
        <w:tc>
          <w:tcPr>
            <w:tcW w:w="677" w:type="pct"/>
            <w:shd w:val="clear" w:color="auto" w:fill="auto"/>
            <w:vAlign w:val="center"/>
          </w:tcPr>
          <w:p w:rsidR="00C71E74" w:rsidRPr="000D1AF5" w:rsidRDefault="00C71E74" w:rsidP="009F1D4D">
            <w:pPr>
              <w:jc w:val="left"/>
              <w:rPr>
                <w:rFonts w:ascii="Arial Narrow" w:hAnsi="Arial Narrow"/>
                <w:b/>
                <w:sz w:val="20"/>
                <w:lang w:val="en-US"/>
              </w:rPr>
            </w:pPr>
            <w:r w:rsidRPr="000D1AF5">
              <w:rPr>
                <w:rFonts w:ascii="Arial Narrow" w:hAnsi="Arial Narrow"/>
                <w:b/>
                <w:sz w:val="20"/>
                <w:lang w:val="en-US"/>
              </w:rPr>
              <w:t>Study/intervention</w:t>
            </w:r>
          </w:p>
        </w:tc>
        <w:tc>
          <w:tcPr>
            <w:tcW w:w="425" w:type="pct"/>
            <w:shd w:val="clear" w:color="auto" w:fill="auto"/>
            <w:vAlign w:val="center"/>
          </w:tcPr>
          <w:p w:rsidR="00C71E74" w:rsidRPr="000D1AF5" w:rsidRDefault="00C71E74" w:rsidP="009F1D4D">
            <w:pPr>
              <w:jc w:val="center"/>
              <w:rPr>
                <w:rFonts w:ascii="Arial Narrow" w:hAnsi="Arial Narrow"/>
                <w:b/>
                <w:sz w:val="20"/>
                <w:lang w:val="en-US"/>
              </w:rPr>
            </w:pPr>
            <w:r w:rsidRPr="000D1AF5">
              <w:rPr>
                <w:rFonts w:ascii="Arial Narrow" w:hAnsi="Arial Narrow"/>
                <w:b/>
                <w:sz w:val="20"/>
                <w:lang w:val="en-US"/>
              </w:rPr>
              <w:t>N</w:t>
            </w:r>
          </w:p>
        </w:tc>
        <w:tc>
          <w:tcPr>
            <w:tcW w:w="1102" w:type="pct"/>
            <w:shd w:val="clear" w:color="auto" w:fill="auto"/>
            <w:vAlign w:val="center"/>
          </w:tcPr>
          <w:p w:rsidR="00C71E74" w:rsidRPr="000D1AF5" w:rsidRDefault="00C71E74" w:rsidP="009F1D4D">
            <w:pPr>
              <w:jc w:val="center"/>
              <w:rPr>
                <w:rFonts w:ascii="Arial Narrow" w:hAnsi="Arial Narrow"/>
                <w:b/>
                <w:sz w:val="20"/>
                <w:lang w:val="en-US"/>
              </w:rPr>
            </w:pPr>
            <w:r w:rsidRPr="000D1AF5">
              <w:rPr>
                <w:rFonts w:ascii="Arial Narrow" w:hAnsi="Arial Narrow"/>
                <w:b/>
                <w:sz w:val="20"/>
                <w:lang w:val="en-US"/>
              </w:rPr>
              <w:t>Design/duration</w:t>
            </w:r>
          </w:p>
        </w:tc>
        <w:tc>
          <w:tcPr>
            <w:tcW w:w="593" w:type="pct"/>
            <w:shd w:val="clear" w:color="auto" w:fill="auto"/>
            <w:vAlign w:val="center"/>
          </w:tcPr>
          <w:p w:rsidR="00C71E74" w:rsidRPr="000D1AF5" w:rsidRDefault="00C71E74" w:rsidP="009F1D4D">
            <w:pPr>
              <w:jc w:val="center"/>
              <w:rPr>
                <w:rFonts w:ascii="Arial Narrow" w:hAnsi="Arial Narrow"/>
                <w:b/>
                <w:sz w:val="20"/>
                <w:lang w:val="en-US"/>
              </w:rPr>
            </w:pPr>
            <w:r w:rsidRPr="000D1AF5">
              <w:rPr>
                <w:rFonts w:ascii="Arial Narrow" w:hAnsi="Arial Narrow"/>
                <w:b/>
                <w:sz w:val="20"/>
                <w:lang w:val="en-US"/>
              </w:rPr>
              <w:t>Risk of bias</w:t>
            </w:r>
          </w:p>
        </w:tc>
        <w:tc>
          <w:tcPr>
            <w:tcW w:w="1248" w:type="pct"/>
            <w:shd w:val="clear" w:color="auto" w:fill="auto"/>
            <w:vAlign w:val="center"/>
          </w:tcPr>
          <w:p w:rsidR="00C71E74" w:rsidRPr="000D1AF5" w:rsidRDefault="00C71E74" w:rsidP="009F1D4D">
            <w:pPr>
              <w:jc w:val="center"/>
              <w:rPr>
                <w:rFonts w:ascii="Arial Narrow" w:hAnsi="Arial Narrow"/>
                <w:b/>
                <w:sz w:val="20"/>
                <w:lang w:val="en-US"/>
              </w:rPr>
            </w:pPr>
            <w:r w:rsidRPr="000D1AF5">
              <w:rPr>
                <w:rFonts w:ascii="Arial Narrow" w:hAnsi="Arial Narrow"/>
                <w:b/>
                <w:sz w:val="20"/>
                <w:lang w:val="en-US"/>
              </w:rPr>
              <w:t>Patient population</w:t>
            </w:r>
          </w:p>
        </w:tc>
        <w:tc>
          <w:tcPr>
            <w:tcW w:w="955" w:type="pct"/>
            <w:shd w:val="clear" w:color="auto" w:fill="auto"/>
            <w:vAlign w:val="center"/>
          </w:tcPr>
          <w:p w:rsidR="00C71E74" w:rsidRPr="000D1AF5" w:rsidRDefault="00C71E74" w:rsidP="009F1D4D">
            <w:pPr>
              <w:jc w:val="center"/>
              <w:rPr>
                <w:rFonts w:ascii="Arial Narrow" w:hAnsi="Arial Narrow"/>
                <w:b/>
                <w:sz w:val="20"/>
                <w:lang w:val="en-US"/>
              </w:rPr>
            </w:pPr>
            <w:r w:rsidRPr="000D1AF5">
              <w:rPr>
                <w:rFonts w:ascii="Arial Narrow" w:hAnsi="Arial Narrow"/>
                <w:b/>
                <w:sz w:val="20"/>
                <w:lang w:val="en-US"/>
              </w:rPr>
              <w:t>Outcome</w:t>
            </w:r>
          </w:p>
        </w:tc>
      </w:tr>
      <w:tr w:rsidR="00C71E74" w:rsidRPr="000D1AF5" w:rsidTr="009F1D4D">
        <w:tc>
          <w:tcPr>
            <w:tcW w:w="677" w:type="pct"/>
            <w:shd w:val="clear" w:color="auto" w:fill="auto"/>
            <w:vAlign w:val="center"/>
          </w:tcPr>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ALLY 1</w:t>
            </w:r>
          </w:p>
          <w:p w:rsidR="00C71E74" w:rsidRPr="000D1AF5" w:rsidRDefault="00C71E74" w:rsidP="00A46EA5">
            <w:pPr>
              <w:jc w:val="left"/>
              <w:rPr>
                <w:rFonts w:ascii="Arial Narrow" w:hAnsi="Arial Narrow"/>
                <w:sz w:val="20"/>
                <w:lang w:val="en-US"/>
              </w:rPr>
            </w:pPr>
            <w:r w:rsidRPr="000D1AF5">
              <w:rPr>
                <w:rFonts w:ascii="Arial Narrow" w:hAnsi="Arial Narrow"/>
                <w:sz w:val="20"/>
                <w:lang w:val="en-US"/>
              </w:rPr>
              <w:t>DCV+SOF</w:t>
            </w:r>
            <w:r w:rsidR="00A729B7" w:rsidRPr="000D1AF5">
              <w:rPr>
                <w:rFonts w:ascii="Arial Narrow" w:hAnsi="Arial Narrow"/>
                <w:sz w:val="20"/>
                <w:lang w:val="en-US"/>
              </w:rPr>
              <w:t>+</w:t>
            </w:r>
            <w:r w:rsidRPr="000D1AF5">
              <w:rPr>
                <w:rFonts w:ascii="Arial Narrow" w:hAnsi="Arial Narrow"/>
                <w:sz w:val="20"/>
                <w:lang w:val="en-US"/>
              </w:rPr>
              <w:t>RBV 12</w:t>
            </w:r>
          </w:p>
        </w:tc>
        <w:tc>
          <w:tcPr>
            <w:tcW w:w="425" w:type="pct"/>
            <w:shd w:val="clear" w:color="auto" w:fill="auto"/>
            <w:vAlign w:val="center"/>
          </w:tcPr>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113</w:t>
            </w:r>
            <w:r w:rsidRPr="000D1AF5">
              <w:rPr>
                <w:rFonts w:ascii="Arial Narrow" w:hAnsi="Arial Narrow"/>
                <w:sz w:val="20"/>
                <w:vertAlign w:val="superscript"/>
                <w:lang w:val="en-US"/>
              </w:rPr>
              <w:t>a</w:t>
            </w:r>
          </w:p>
        </w:tc>
        <w:tc>
          <w:tcPr>
            <w:tcW w:w="1102" w:type="pct"/>
            <w:shd w:val="clear" w:color="auto" w:fill="auto"/>
            <w:vAlign w:val="center"/>
          </w:tcPr>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S</w:t>
            </w:r>
            <w:r w:rsidR="00A46EA5" w:rsidRPr="000D1AF5">
              <w:rPr>
                <w:rFonts w:ascii="Arial Narrow" w:hAnsi="Arial Narrow"/>
                <w:sz w:val="20"/>
                <w:lang w:val="en-US"/>
              </w:rPr>
              <w:t>A</w:t>
            </w:r>
            <w:r w:rsidRPr="000D1AF5">
              <w:rPr>
                <w:rFonts w:ascii="Arial Narrow" w:hAnsi="Arial Narrow"/>
                <w:sz w:val="20"/>
                <w:lang w:val="en-US"/>
              </w:rPr>
              <w:t>, OL</w:t>
            </w:r>
          </w:p>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24 weeks post treatment</w:t>
            </w:r>
          </w:p>
        </w:tc>
        <w:tc>
          <w:tcPr>
            <w:tcW w:w="593" w:type="pct"/>
            <w:shd w:val="clear" w:color="auto" w:fill="auto"/>
            <w:vAlign w:val="center"/>
          </w:tcPr>
          <w:p w:rsidR="00C71E74" w:rsidRPr="000D1AF5" w:rsidRDefault="00AF4670" w:rsidP="009F1D4D">
            <w:pPr>
              <w:jc w:val="center"/>
              <w:rPr>
                <w:rFonts w:ascii="Arial Narrow" w:hAnsi="Arial Narrow"/>
                <w:sz w:val="20"/>
                <w:lang w:val="en-US"/>
              </w:rPr>
            </w:pPr>
            <w:r w:rsidRPr="000D1AF5">
              <w:rPr>
                <w:rFonts w:ascii="Arial Narrow" w:hAnsi="Arial Narrow"/>
                <w:sz w:val="20"/>
                <w:lang w:val="en-US"/>
              </w:rPr>
              <w:t>Uncertain</w:t>
            </w:r>
            <w:r w:rsidR="004B6228" w:rsidRPr="000D1AF5">
              <w:rPr>
                <w:rFonts w:ascii="Arial Narrow" w:hAnsi="Arial Narrow"/>
                <w:sz w:val="20"/>
                <w:vertAlign w:val="superscript"/>
                <w:lang w:val="en-US"/>
              </w:rPr>
              <w:t>c</w:t>
            </w:r>
          </w:p>
        </w:tc>
        <w:tc>
          <w:tcPr>
            <w:tcW w:w="1248" w:type="pct"/>
            <w:shd w:val="clear" w:color="auto" w:fill="auto"/>
            <w:vAlign w:val="center"/>
          </w:tcPr>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CHC patients with advanced cirrhosis or post-liver transplant recurrence of HCV</w:t>
            </w:r>
          </w:p>
        </w:tc>
        <w:tc>
          <w:tcPr>
            <w:tcW w:w="955" w:type="pct"/>
            <w:shd w:val="clear" w:color="auto" w:fill="auto"/>
            <w:vAlign w:val="center"/>
          </w:tcPr>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SVR12</w:t>
            </w:r>
            <w:r w:rsidR="00AF4670" w:rsidRPr="000D1AF5">
              <w:rPr>
                <w:rFonts w:ascii="Arial Narrow" w:hAnsi="Arial Narrow"/>
                <w:sz w:val="20"/>
                <w:lang w:val="en-US"/>
              </w:rPr>
              <w:t xml:space="preserve"> </w:t>
            </w:r>
            <w:r w:rsidR="00AF4670" w:rsidRPr="000D1AF5">
              <w:rPr>
                <w:rFonts w:ascii="Arial Narrow" w:hAnsi="Arial Narrow"/>
                <w:sz w:val="20"/>
                <w:lang w:val="en-US"/>
              </w:rPr>
              <w:br/>
              <w:t>(TD or TND)</w:t>
            </w:r>
          </w:p>
        </w:tc>
      </w:tr>
      <w:tr w:rsidR="00C71E74" w:rsidRPr="000D1AF5" w:rsidTr="009F1D4D">
        <w:tc>
          <w:tcPr>
            <w:tcW w:w="677" w:type="pct"/>
            <w:shd w:val="clear" w:color="auto" w:fill="auto"/>
            <w:vAlign w:val="center"/>
          </w:tcPr>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ALLY 2</w:t>
            </w:r>
          </w:p>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DCV+SOF12 or</w:t>
            </w:r>
          </w:p>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DCV+SOF 8</w:t>
            </w:r>
          </w:p>
        </w:tc>
        <w:tc>
          <w:tcPr>
            <w:tcW w:w="425" w:type="pct"/>
            <w:shd w:val="clear" w:color="auto" w:fill="auto"/>
            <w:vAlign w:val="center"/>
          </w:tcPr>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203</w:t>
            </w:r>
            <w:r w:rsidRPr="000D1AF5">
              <w:rPr>
                <w:rFonts w:ascii="Arial Narrow" w:hAnsi="Arial Narrow"/>
                <w:sz w:val="20"/>
                <w:vertAlign w:val="superscript"/>
                <w:lang w:val="en-US"/>
              </w:rPr>
              <w:t>b</w:t>
            </w:r>
          </w:p>
        </w:tc>
        <w:tc>
          <w:tcPr>
            <w:tcW w:w="1102" w:type="pct"/>
            <w:shd w:val="clear" w:color="auto" w:fill="auto"/>
            <w:vAlign w:val="center"/>
          </w:tcPr>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R, OL</w:t>
            </w:r>
          </w:p>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24 weeks post treatment</w:t>
            </w:r>
          </w:p>
        </w:tc>
        <w:tc>
          <w:tcPr>
            <w:tcW w:w="593" w:type="pct"/>
            <w:shd w:val="clear" w:color="auto" w:fill="auto"/>
            <w:vAlign w:val="center"/>
          </w:tcPr>
          <w:p w:rsidR="00C71E74" w:rsidRPr="000D1AF5" w:rsidRDefault="00C71E74" w:rsidP="00AF4670">
            <w:pPr>
              <w:jc w:val="center"/>
              <w:rPr>
                <w:rFonts w:ascii="Arial Narrow" w:hAnsi="Arial Narrow"/>
                <w:sz w:val="20"/>
                <w:lang w:val="en-US"/>
              </w:rPr>
            </w:pPr>
            <w:r w:rsidRPr="000D1AF5">
              <w:rPr>
                <w:rFonts w:ascii="Arial Narrow" w:hAnsi="Arial Narrow"/>
                <w:sz w:val="20"/>
                <w:lang w:val="en-US"/>
              </w:rPr>
              <w:t>Low</w:t>
            </w:r>
            <w:r w:rsidR="00AF4670" w:rsidRPr="000D1AF5">
              <w:rPr>
                <w:rFonts w:ascii="Arial Narrow" w:hAnsi="Arial Narrow"/>
                <w:sz w:val="20"/>
                <w:vertAlign w:val="superscript"/>
                <w:lang w:val="en-US"/>
              </w:rPr>
              <w:t>d</w:t>
            </w:r>
          </w:p>
        </w:tc>
        <w:tc>
          <w:tcPr>
            <w:tcW w:w="1248" w:type="pct"/>
            <w:shd w:val="clear" w:color="auto" w:fill="auto"/>
            <w:vAlign w:val="center"/>
          </w:tcPr>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 xml:space="preserve">HCV </w:t>
            </w:r>
            <w:r w:rsidR="00A70149" w:rsidRPr="000D1AF5">
              <w:rPr>
                <w:rFonts w:ascii="Arial Narrow" w:hAnsi="Arial Narrow"/>
                <w:sz w:val="20"/>
                <w:lang w:val="en-US"/>
              </w:rPr>
              <w:t>treatment n</w:t>
            </w:r>
            <w:r w:rsidRPr="000D1AF5">
              <w:rPr>
                <w:rFonts w:ascii="Arial Narrow" w:hAnsi="Arial Narrow"/>
                <w:sz w:val="20"/>
                <w:lang w:val="en-US"/>
              </w:rPr>
              <w:t>aïve or –experienced patients co-infected with HCV and HIV</w:t>
            </w:r>
          </w:p>
        </w:tc>
        <w:tc>
          <w:tcPr>
            <w:tcW w:w="955" w:type="pct"/>
            <w:shd w:val="clear" w:color="auto" w:fill="auto"/>
            <w:vAlign w:val="center"/>
          </w:tcPr>
          <w:p w:rsidR="00C71E74" w:rsidRPr="000D1AF5" w:rsidRDefault="00C71E74" w:rsidP="00AF4670">
            <w:pPr>
              <w:jc w:val="center"/>
              <w:rPr>
                <w:rFonts w:ascii="Arial Narrow" w:hAnsi="Arial Narrow"/>
                <w:sz w:val="20"/>
                <w:lang w:val="en-US"/>
              </w:rPr>
            </w:pPr>
            <w:r w:rsidRPr="000D1AF5">
              <w:rPr>
                <w:rFonts w:ascii="Arial Narrow" w:hAnsi="Arial Narrow"/>
                <w:sz w:val="20"/>
                <w:lang w:val="en-US"/>
              </w:rPr>
              <w:t>SVR12</w:t>
            </w:r>
            <w:r w:rsidR="00AF4670" w:rsidRPr="000D1AF5">
              <w:rPr>
                <w:rFonts w:ascii="Arial Narrow" w:hAnsi="Arial Narrow"/>
                <w:sz w:val="20"/>
                <w:lang w:val="en-US"/>
              </w:rPr>
              <w:br/>
              <w:t>(TD or TND)</w:t>
            </w:r>
          </w:p>
        </w:tc>
      </w:tr>
      <w:tr w:rsidR="00C71E74" w:rsidRPr="000D1AF5" w:rsidTr="009F1D4D">
        <w:tc>
          <w:tcPr>
            <w:tcW w:w="677" w:type="pct"/>
            <w:shd w:val="clear" w:color="auto" w:fill="auto"/>
            <w:vAlign w:val="center"/>
          </w:tcPr>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EU CUP</w:t>
            </w:r>
          </w:p>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DCV+SOF 24 or</w:t>
            </w:r>
          </w:p>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DCV+SOF+RBV 24</w:t>
            </w:r>
          </w:p>
        </w:tc>
        <w:tc>
          <w:tcPr>
            <w:tcW w:w="425" w:type="pct"/>
            <w:shd w:val="clear" w:color="auto" w:fill="auto"/>
            <w:vAlign w:val="center"/>
          </w:tcPr>
          <w:p w:rsidR="00C71E74" w:rsidRPr="000D1AF5" w:rsidRDefault="00C71E74" w:rsidP="00AF4670">
            <w:pPr>
              <w:jc w:val="center"/>
              <w:rPr>
                <w:rFonts w:ascii="Arial Narrow" w:hAnsi="Arial Narrow"/>
                <w:sz w:val="20"/>
                <w:lang w:val="en-US"/>
              </w:rPr>
            </w:pPr>
            <w:r w:rsidRPr="000D1AF5">
              <w:rPr>
                <w:rFonts w:ascii="Arial Narrow" w:hAnsi="Arial Narrow"/>
                <w:sz w:val="20"/>
                <w:lang w:val="en-US"/>
              </w:rPr>
              <w:t>486</w:t>
            </w:r>
            <w:r w:rsidR="00AF4670" w:rsidRPr="000D1AF5">
              <w:rPr>
                <w:rFonts w:ascii="Arial Narrow" w:hAnsi="Arial Narrow"/>
                <w:sz w:val="20"/>
                <w:vertAlign w:val="superscript"/>
                <w:lang w:val="en-US"/>
              </w:rPr>
              <w:t>e</w:t>
            </w:r>
          </w:p>
        </w:tc>
        <w:tc>
          <w:tcPr>
            <w:tcW w:w="1102" w:type="pct"/>
            <w:shd w:val="clear" w:color="auto" w:fill="auto"/>
            <w:vAlign w:val="center"/>
          </w:tcPr>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Case series</w:t>
            </w:r>
          </w:p>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12 weeks post treatment</w:t>
            </w:r>
          </w:p>
        </w:tc>
        <w:tc>
          <w:tcPr>
            <w:tcW w:w="593" w:type="pct"/>
            <w:shd w:val="clear" w:color="auto" w:fill="auto"/>
            <w:vAlign w:val="center"/>
          </w:tcPr>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High</w:t>
            </w:r>
          </w:p>
        </w:tc>
        <w:tc>
          <w:tcPr>
            <w:tcW w:w="1248" w:type="pct"/>
            <w:shd w:val="clear" w:color="auto" w:fill="auto"/>
            <w:vAlign w:val="center"/>
          </w:tcPr>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CHC patients with high risk of liver decompensation or death within 12 months if left untreated</w:t>
            </w:r>
          </w:p>
        </w:tc>
        <w:tc>
          <w:tcPr>
            <w:tcW w:w="955" w:type="pct"/>
            <w:shd w:val="clear" w:color="auto" w:fill="auto"/>
            <w:vAlign w:val="center"/>
          </w:tcPr>
          <w:p w:rsidR="00C71E74" w:rsidRPr="000D1AF5" w:rsidRDefault="00C71E74" w:rsidP="00AF4670">
            <w:pPr>
              <w:jc w:val="center"/>
              <w:rPr>
                <w:rFonts w:ascii="Arial Narrow" w:hAnsi="Arial Narrow"/>
                <w:sz w:val="20"/>
                <w:lang w:val="en-US"/>
              </w:rPr>
            </w:pPr>
            <w:r w:rsidRPr="000D1AF5">
              <w:rPr>
                <w:rFonts w:ascii="Arial Narrow" w:hAnsi="Arial Narrow"/>
                <w:sz w:val="20"/>
                <w:lang w:val="en-US"/>
              </w:rPr>
              <w:t>SVR12</w:t>
            </w:r>
            <w:r w:rsidR="00AF4670" w:rsidRPr="000D1AF5">
              <w:rPr>
                <w:rFonts w:ascii="Arial Narrow" w:hAnsi="Arial Narrow"/>
                <w:sz w:val="20"/>
                <w:lang w:val="en-US"/>
              </w:rPr>
              <w:br/>
            </w:r>
            <w:r w:rsidR="001D6C91" w:rsidRPr="000D1AF5">
              <w:rPr>
                <w:rFonts w:ascii="Arial Narrow" w:hAnsi="Arial Narrow"/>
                <w:sz w:val="20"/>
                <w:lang w:val="en-US"/>
              </w:rPr>
              <w:t>(TD or TND)</w:t>
            </w:r>
          </w:p>
        </w:tc>
      </w:tr>
      <w:tr w:rsidR="00C71E74" w:rsidRPr="000D1AF5" w:rsidTr="009F1D4D">
        <w:tc>
          <w:tcPr>
            <w:tcW w:w="677" w:type="pct"/>
            <w:shd w:val="clear" w:color="auto" w:fill="auto"/>
            <w:vAlign w:val="center"/>
          </w:tcPr>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French ATU program</w:t>
            </w:r>
          </w:p>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DCV+SOF</w:t>
            </w:r>
            <w:r w:rsidR="00A46EA5" w:rsidRPr="000D1AF5">
              <w:rPr>
                <w:rFonts w:ascii="Arial Narrow" w:hAnsi="Arial Narrow"/>
                <w:sz w:val="20"/>
                <w:lang w:val="en-US"/>
              </w:rPr>
              <w:t>±RBV</w:t>
            </w:r>
            <w:r w:rsidRPr="000D1AF5">
              <w:rPr>
                <w:rFonts w:ascii="Arial Narrow" w:hAnsi="Arial Narrow"/>
                <w:sz w:val="20"/>
                <w:lang w:val="en-US"/>
              </w:rPr>
              <w:t xml:space="preserve"> 12 or 24</w:t>
            </w:r>
          </w:p>
        </w:tc>
        <w:tc>
          <w:tcPr>
            <w:tcW w:w="425" w:type="pct"/>
            <w:shd w:val="clear" w:color="auto" w:fill="auto"/>
            <w:vAlign w:val="center"/>
          </w:tcPr>
          <w:p w:rsidR="00C71E74" w:rsidRPr="000D1AF5" w:rsidRDefault="00C71E74" w:rsidP="00AF4670">
            <w:pPr>
              <w:jc w:val="center"/>
              <w:rPr>
                <w:rFonts w:ascii="Arial Narrow" w:hAnsi="Arial Narrow"/>
                <w:sz w:val="20"/>
                <w:lang w:val="en-US"/>
              </w:rPr>
            </w:pPr>
            <w:r w:rsidRPr="000D1AF5">
              <w:rPr>
                <w:rFonts w:ascii="Arial Narrow" w:hAnsi="Arial Narrow"/>
                <w:sz w:val="20"/>
                <w:lang w:val="en-US"/>
              </w:rPr>
              <w:t>727</w:t>
            </w:r>
            <w:r w:rsidR="00AF4670" w:rsidRPr="000D1AF5">
              <w:rPr>
                <w:rFonts w:ascii="Arial Narrow" w:hAnsi="Arial Narrow"/>
                <w:sz w:val="20"/>
                <w:vertAlign w:val="superscript"/>
                <w:lang w:val="en-US"/>
              </w:rPr>
              <w:t>f</w:t>
            </w:r>
          </w:p>
        </w:tc>
        <w:tc>
          <w:tcPr>
            <w:tcW w:w="1102" w:type="pct"/>
            <w:shd w:val="clear" w:color="auto" w:fill="auto"/>
            <w:vAlign w:val="center"/>
          </w:tcPr>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Case series</w:t>
            </w:r>
          </w:p>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12 or 24 weeks post treatment</w:t>
            </w:r>
          </w:p>
        </w:tc>
        <w:tc>
          <w:tcPr>
            <w:tcW w:w="593" w:type="pct"/>
            <w:shd w:val="clear" w:color="auto" w:fill="auto"/>
            <w:vAlign w:val="center"/>
          </w:tcPr>
          <w:p w:rsidR="00C71E74" w:rsidRPr="000D1AF5" w:rsidRDefault="00C71E74" w:rsidP="009F1D4D">
            <w:pPr>
              <w:jc w:val="center"/>
              <w:rPr>
                <w:rFonts w:ascii="Arial Narrow" w:hAnsi="Arial Narrow"/>
                <w:sz w:val="20"/>
                <w:lang w:val="en-US"/>
              </w:rPr>
            </w:pPr>
            <w:r w:rsidRPr="000D1AF5">
              <w:rPr>
                <w:rFonts w:ascii="Arial Narrow" w:hAnsi="Arial Narrow"/>
                <w:sz w:val="20"/>
                <w:lang w:val="en-US"/>
              </w:rPr>
              <w:t>High</w:t>
            </w:r>
          </w:p>
        </w:tc>
        <w:tc>
          <w:tcPr>
            <w:tcW w:w="1248" w:type="pct"/>
            <w:shd w:val="clear" w:color="auto" w:fill="auto"/>
            <w:vAlign w:val="center"/>
          </w:tcPr>
          <w:p w:rsidR="00C71E74" w:rsidRPr="000D1AF5" w:rsidRDefault="00C71E74" w:rsidP="009F1D4D">
            <w:pPr>
              <w:jc w:val="left"/>
              <w:rPr>
                <w:rFonts w:ascii="Arial Narrow" w:hAnsi="Arial Narrow"/>
                <w:sz w:val="20"/>
                <w:lang w:val="en-US"/>
              </w:rPr>
            </w:pPr>
            <w:r w:rsidRPr="000D1AF5">
              <w:rPr>
                <w:rFonts w:ascii="Arial Narrow" w:hAnsi="Arial Narrow"/>
                <w:sz w:val="20"/>
                <w:lang w:val="en-US"/>
              </w:rPr>
              <w:t>HCV/HIV co-infected patients with advanced liver disease</w:t>
            </w:r>
          </w:p>
        </w:tc>
        <w:tc>
          <w:tcPr>
            <w:tcW w:w="955" w:type="pct"/>
            <w:shd w:val="clear" w:color="auto" w:fill="auto"/>
            <w:vAlign w:val="center"/>
          </w:tcPr>
          <w:p w:rsidR="00C71E74" w:rsidRPr="000D1AF5" w:rsidRDefault="00C71E74" w:rsidP="009F1D4D">
            <w:pPr>
              <w:jc w:val="center"/>
              <w:rPr>
                <w:rFonts w:ascii="Arial Narrow" w:hAnsi="Arial Narrow"/>
                <w:sz w:val="20"/>
                <w:vertAlign w:val="superscript"/>
                <w:lang w:val="en-US"/>
              </w:rPr>
            </w:pPr>
            <w:r w:rsidRPr="000D1AF5">
              <w:rPr>
                <w:rFonts w:ascii="Arial Narrow" w:hAnsi="Arial Narrow"/>
                <w:sz w:val="20"/>
                <w:lang w:val="en-US"/>
              </w:rPr>
              <w:t>SVR12</w:t>
            </w:r>
            <w:r w:rsidR="001D6C91" w:rsidRPr="000D1AF5">
              <w:rPr>
                <w:rFonts w:ascii="Arial Narrow" w:hAnsi="Arial Narrow"/>
                <w:sz w:val="20"/>
                <w:vertAlign w:val="superscript"/>
                <w:lang w:val="en-US"/>
              </w:rPr>
              <w:t>g</w:t>
            </w:r>
          </w:p>
        </w:tc>
      </w:tr>
    </w:tbl>
    <w:p w:rsidR="00C71E74" w:rsidRPr="00952FEB" w:rsidRDefault="000B4539" w:rsidP="00C71E74">
      <w:pPr>
        <w:pStyle w:val="TableFooter"/>
        <w:ind w:left="720"/>
      </w:pPr>
      <w:r w:rsidRPr="00952FEB">
        <w:t xml:space="preserve">CHC = chronic hepatitis C; </w:t>
      </w:r>
      <w:r w:rsidR="00C71E74" w:rsidRPr="00952FEB">
        <w:t xml:space="preserve">DCV = daclatasvir; </w:t>
      </w:r>
      <w:r w:rsidRPr="00952FEB">
        <w:t xml:space="preserve">HCV = hepatitis C virus; HIV = human immunodeficiency virus; OL=open label; R = randomised; RBV = ribavirin; SA = single-arm; </w:t>
      </w:r>
      <w:r w:rsidR="00C71E74" w:rsidRPr="00952FEB">
        <w:t>SOF = sofosbuvir; SVR12 = sustained virological response at Week 12 post-treatment</w:t>
      </w:r>
      <w:r w:rsidR="000A1768" w:rsidRPr="00952FEB">
        <w:t>.</w:t>
      </w:r>
      <w:r w:rsidR="001D6C91" w:rsidRPr="00952FEB">
        <w:t xml:space="preserve"> </w:t>
      </w:r>
    </w:p>
    <w:p w:rsidR="00C71E74" w:rsidRPr="00952FEB" w:rsidRDefault="00C71E74" w:rsidP="00C71E74">
      <w:pPr>
        <w:pStyle w:val="TableFooter"/>
        <w:ind w:left="720"/>
      </w:pPr>
      <w:r w:rsidRPr="00952FEB">
        <w:rPr>
          <w:vertAlign w:val="superscript"/>
        </w:rPr>
        <w:t xml:space="preserve">a </w:t>
      </w:r>
      <w:r w:rsidRPr="00952FEB">
        <w:t>A total of 113 patients were treated, 3 with treatment extension after liver transplant. Of the 110 patients who did not have their treatment extended, 108 (98%) completed the 12 week treatment period. Patients who relapse within 12 weeks post-treatment were counted as non-responders (p681, ALLY 1 CSR)</w:t>
      </w:r>
    </w:p>
    <w:p w:rsidR="00C71E74" w:rsidRPr="00952FEB" w:rsidRDefault="00C71E74" w:rsidP="00C71E74">
      <w:pPr>
        <w:pStyle w:val="TableFooter"/>
        <w:ind w:left="720"/>
      </w:pPr>
      <w:r w:rsidRPr="00952FEB">
        <w:rPr>
          <w:vertAlign w:val="superscript"/>
        </w:rPr>
        <w:t>b</w:t>
      </w:r>
      <w:r w:rsidRPr="00952FEB">
        <w:t xml:space="preserve"> A total of 238 patients were enrolled in the study, of which 35 (15%) were not treated. Of the 203 patients treated, 199 (98%) completed assigned treatment. 201 patients completed the follow up week 12 visit.</w:t>
      </w:r>
    </w:p>
    <w:p w:rsidR="00AF4670" w:rsidRPr="00952FEB" w:rsidRDefault="00AF4670" w:rsidP="00C71E74">
      <w:pPr>
        <w:pStyle w:val="TableFooter"/>
        <w:ind w:left="720"/>
      </w:pPr>
      <w:r w:rsidRPr="00952FEB">
        <w:rPr>
          <w:vertAlign w:val="superscript"/>
        </w:rPr>
        <w:t>c</w:t>
      </w:r>
      <w:r w:rsidRPr="00952FEB">
        <w:t xml:space="preserve"> Results for </w:t>
      </w:r>
      <w:r w:rsidR="00942A3D" w:rsidRPr="00952FEB">
        <w:t>SVR12 (target not detected</w:t>
      </w:r>
      <w:r w:rsidR="002C7AC3" w:rsidRPr="00952FEB">
        <w:t xml:space="preserve"> (TND)</w:t>
      </w:r>
      <w:r w:rsidR="00942A3D" w:rsidRPr="00952FEB">
        <w:t>) were not provided for ALLY 1. In EU CUP, which also included patients with advanced disease, 32% of patients who achieved SVR12 (</w:t>
      </w:r>
      <w:r w:rsidR="002C7AC3" w:rsidRPr="00952FEB">
        <w:t>target detected (</w:t>
      </w:r>
      <w:r w:rsidR="00942A3D" w:rsidRPr="00952FEB">
        <w:t>TD</w:t>
      </w:r>
      <w:r w:rsidR="002C7AC3" w:rsidRPr="00952FEB">
        <w:t>)</w:t>
      </w:r>
      <w:r w:rsidR="00942A3D" w:rsidRPr="00952FEB">
        <w:t xml:space="preserve"> or TND) still had detectable HCV ribonucleic acid (RNA) at follow-up Week 12 (see point 6.8).</w:t>
      </w:r>
    </w:p>
    <w:p w:rsidR="00C71E74" w:rsidRPr="00952FEB" w:rsidRDefault="00AF4670" w:rsidP="00C71E74">
      <w:pPr>
        <w:pStyle w:val="TableFooter"/>
        <w:ind w:left="720"/>
      </w:pPr>
      <w:r w:rsidRPr="00952FEB">
        <w:rPr>
          <w:vertAlign w:val="superscript"/>
        </w:rPr>
        <w:t>d</w:t>
      </w:r>
      <w:r w:rsidR="00C71E74" w:rsidRPr="00952FEB">
        <w:t xml:space="preserve"> The risk of bias in the assessment of SVR12 was relatively low, given that SVR12 is objective, the loss to follow-up was low</w:t>
      </w:r>
      <w:r w:rsidR="000E516F" w:rsidRPr="00952FEB">
        <w:t>,</w:t>
      </w:r>
      <w:r w:rsidR="00C71E74" w:rsidRPr="00952FEB">
        <w:t xml:space="preserve"> and </w:t>
      </w:r>
      <w:r w:rsidR="00C97FC6" w:rsidRPr="00952FEB">
        <w:t xml:space="preserve">all treated patients were included in the </w:t>
      </w:r>
      <w:r w:rsidR="00C71E74" w:rsidRPr="00952FEB">
        <w:t>analysis</w:t>
      </w:r>
      <w:r w:rsidR="000E516F" w:rsidRPr="00952FEB">
        <w:t xml:space="preserve"> (missing data were</w:t>
      </w:r>
      <w:r w:rsidR="00C97FC6" w:rsidRPr="00952FEB">
        <w:t xml:space="preserve"> imputed using a next value carried back approach)</w:t>
      </w:r>
      <w:r w:rsidR="00C71E74" w:rsidRPr="00952FEB">
        <w:t xml:space="preserve">. </w:t>
      </w:r>
      <w:r w:rsidR="000A1768" w:rsidRPr="00952FEB">
        <w:t xml:space="preserve">All </w:t>
      </w:r>
      <w:r w:rsidR="00942A3D" w:rsidRPr="00952FEB">
        <w:t>patients who achieved SVR12 (TD or TND) did not have detectable HCV RNA at follow-up Week 12 (i.e. achieved SVR12 TND). The</w:t>
      </w:r>
      <w:r w:rsidR="00C71E74" w:rsidRPr="00952FEB">
        <w:t xml:space="preserve"> assessment of adverse events may be subject to high risk of bias given the open label nature of the study design.</w:t>
      </w:r>
    </w:p>
    <w:p w:rsidR="00C71E74" w:rsidRPr="00952FEB" w:rsidRDefault="00AF4670" w:rsidP="00C71E74">
      <w:pPr>
        <w:pStyle w:val="TableFooter"/>
        <w:ind w:left="720"/>
      </w:pPr>
      <w:r w:rsidRPr="00952FEB">
        <w:rPr>
          <w:vertAlign w:val="superscript"/>
        </w:rPr>
        <w:t>e</w:t>
      </w:r>
      <w:r w:rsidR="00C71E74" w:rsidRPr="00952FEB">
        <w:t xml:space="preserve"> A total of 486 patients were enrolled of which </w:t>
      </w:r>
      <w:r w:rsidR="005A4768" w:rsidRPr="00952FEB">
        <w:t xml:space="preserve">482 were treated. Seventy (14%) </w:t>
      </w:r>
      <w:r w:rsidR="00C71E74" w:rsidRPr="00952FEB">
        <w:t xml:space="preserve">patients discontinued treatment. The interim primary effectiveness analysis was based on all treated patients who had reached post-treatment week 12. Only 155 patients were included in the primary effectiveness analysis. </w:t>
      </w:r>
      <w:r w:rsidR="00924535" w:rsidRPr="00952FEB">
        <w:t xml:space="preserve">There was some uncertainty about how patients who discontinued </w:t>
      </w:r>
      <w:r w:rsidR="005A4768" w:rsidRPr="00952FEB">
        <w:t xml:space="preserve">treatment </w:t>
      </w:r>
      <w:r w:rsidR="00924535" w:rsidRPr="00952FEB">
        <w:t xml:space="preserve">were handled </w:t>
      </w:r>
      <w:r w:rsidR="005A4768" w:rsidRPr="00952FEB">
        <w:t xml:space="preserve">appropriately </w:t>
      </w:r>
      <w:r w:rsidR="00924535" w:rsidRPr="00952FEB">
        <w:t>in the analys</w:t>
      </w:r>
      <w:r w:rsidR="005A4768" w:rsidRPr="00952FEB">
        <w:t>e</w:t>
      </w:r>
      <w:r w:rsidR="00924535" w:rsidRPr="00952FEB">
        <w:t>s</w:t>
      </w:r>
      <w:r w:rsidR="005A4768" w:rsidRPr="00952FEB">
        <w:t>.</w:t>
      </w:r>
    </w:p>
    <w:p w:rsidR="00C71E74" w:rsidRPr="00952FEB" w:rsidRDefault="00AF4670" w:rsidP="00C71E74">
      <w:pPr>
        <w:pStyle w:val="TableFooter"/>
        <w:ind w:left="720"/>
      </w:pPr>
      <w:r w:rsidRPr="00952FEB">
        <w:rPr>
          <w:vertAlign w:val="superscript"/>
        </w:rPr>
        <w:t>f</w:t>
      </w:r>
      <w:r w:rsidR="00C71E74" w:rsidRPr="00952FEB">
        <w:rPr>
          <w:vertAlign w:val="superscript"/>
        </w:rPr>
        <w:t xml:space="preserve"> </w:t>
      </w:r>
      <w:r w:rsidR="00C71E74" w:rsidRPr="00952FEB">
        <w:t>a total of 733 patients were enrolled, baseline characteristics were provided for 727 patients, while SVR12 results were provided for 57 (8%) of patients. There is insufficient information provided on the number of patients who discontinued treatment or were lost to follow-up</w:t>
      </w:r>
      <w:r w:rsidR="005A4768" w:rsidRPr="00952FEB">
        <w:t>, and how these patients were handled in the analyses,</w:t>
      </w:r>
      <w:r w:rsidR="00C71E74" w:rsidRPr="00952FEB">
        <w:t xml:space="preserve"> to assess the risk of bias.</w:t>
      </w:r>
    </w:p>
    <w:p w:rsidR="00B2324D" w:rsidRPr="00952FEB" w:rsidRDefault="001D6C91" w:rsidP="00C71E74">
      <w:pPr>
        <w:pStyle w:val="TableFooter"/>
        <w:ind w:left="720"/>
      </w:pPr>
      <w:r w:rsidRPr="00952FEB">
        <w:rPr>
          <w:vertAlign w:val="superscript"/>
        </w:rPr>
        <w:t xml:space="preserve">g </w:t>
      </w:r>
      <w:r w:rsidRPr="00952FEB">
        <w:t xml:space="preserve">The definition of </w:t>
      </w:r>
      <w:r w:rsidR="00B2324D" w:rsidRPr="00952FEB">
        <w:t>SVR</w:t>
      </w:r>
      <w:r w:rsidRPr="00952FEB">
        <w:t xml:space="preserve">12 was not reported. </w:t>
      </w:r>
      <w:r w:rsidR="00B2324D" w:rsidRPr="00952FEB">
        <w:t xml:space="preserve"> </w:t>
      </w:r>
    </w:p>
    <w:p w:rsidR="00C71E74" w:rsidRPr="00952FEB" w:rsidRDefault="00C71E74" w:rsidP="00C71E74">
      <w:pPr>
        <w:pStyle w:val="TableFooter"/>
        <w:ind w:firstLine="720"/>
      </w:pPr>
      <w:r w:rsidRPr="00952FEB">
        <w:t>Source: compiled during the evaluation</w:t>
      </w:r>
    </w:p>
    <w:p w:rsidR="005472F5" w:rsidRPr="00B91A3E" w:rsidRDefault="005472F5" w:rsidP="00B91A3E">
      <w:pPr>
        <w:widowControl/>
        <w:rPr>
          <w:szCs w:val="22"/>
        </w:rPr>
      </w:pPr>
    </w:p>
    <w:p w:rsidR="00776AE6" w:rsidRPr="005641BC" w:rsidRDefault="00776AE6" w:rsidP="00776AE6">
      <w:pPr>
        <w:pStyle w:val="ListParagraph"/>
        <w:widowControl/>
        <w:numPr>
          <w:ilvl w:val="1"/>
          <w:numId w:val="5"/>
        </w:numPr>
        <w:rPr>
          <w:szCs w:val="22"/>
        </w:rPr>
      </w:pPr>
      <w:r w:rsidRPr="005641BC">
        <w:t>The outcomes for the CUP studies were based on poorly defined subgro</w:t>
      </w:r>
      <w:r w:rsidR="005C1F21" w:rsidRPr="005641BC">
        <w:t xml:space="preserve">ups, for which neither baseline characteristics nor the patient disposition </w:t>
      </w:r>
      <w:r w:rsidRPr="005641BC">
        <w:t xml:space="preserve">were available. </w:t>
      </w:r>
      <w:r w:rsidR="005A4768" w:rsidRPr="005641BC">
        <w:t xml:space="preserve">There was considerable uncertainty regarding which patients were included in the effectiveness analyses and </w:t>
      </w:r>
      <w:r w:rsidRPr="005641BC">
        <w:t xml:space="preserve">how </w:t>
      </w:r>
      <w:r w:rsidR="005C1F21" w:rsidRPr="005641BC">
        <w:t xml:space="preserve">patients who discontinued treatment </w:t>
      </w:r>
      <w:r w:rsidRPr="005641BC">
        <w:t xml:space="preserve">were handled. Therefore, there </w:t>
      </w:r>
      <w:r w:rsidR="00126F7D" w:rsidRPr="005641BC">
        <w:t>wa</w:t>
      </w:r>
      <w:r w:rsidRPr="005641BC">
        <w:t>s considerable risk of bias in the outcomes reported for these studies.</w:t>
      </w:r>
    </w:p>
    <w:p w:rsidR="00776AE6" w:rsidRPr="00776AE6" w:rsidRDefault="00776AE6" w:rsidP="00776AE6">
      <w:pPr>
        <w:pStyle w:val="ListParagraph"/>
        <w:widowControl/>
        <w:rPr>
          <w:szCs w:val="22"/>
        </w:rPr>
      </w:pPr>
    </w:p>
    <w:p w:rsidR="00C71E74" w:rsidRPr="005641BC" w:rsidRDefault="00C71E74" w:rsidP="00C71E74">
      <w:pPr>
        <w:pStyle w:val="ListParagraph"/>
        <w:widowControl/>
        <w:numPr>
          <w:ilvl w:val="1"/>
          <w:numId w:val="5"/>
        </w:numPr>
        <w:rPr>
          <w:szCs w:val="22"/>
        </w:rPr>
      </w:pPr>
      <w:r w:rsidRPr="005641BC">
        <w:rPr>
          <w:u w:val="single"/>
        </w:rPr>
        <w:t>ALLY 1 and ALLY 2 were considered to form the main basis of the re-submission</w:t>
      </w:r>
      <w:r w:rsidRPr="005641BC">
        <w:t xml:space="preserve">. Due to the limited information provided for the </w:t>
      </w:r>
      <w:r w:rsidR="003C135C" w:rsidRPr="005641BC">
        <w:t>CUPs</w:t>
      </w:r>
      <w:r w:rsidRPr="005641BC">
        <w:t>, the inability to verify the data, and the high risk of bias in these studies, the CUP studies are considered to provide supporting evidence only.</w:t>
      </w:r>
    </w:p>
    <w:p w:rsidR="00C71E74" w:rsidRDefault="00C71E74" w:rsidP="008E785C">
      <w:bookmarkStart w:id="12" w:name="_Toc392857607"/>
    </w:p>
    <w:p w:rsidR="00C71E74" w:rsidRPr="00497F10" w:rsidRDefault="00C71E74" w:rsidP="00C71E74">
      <w:pPr>
        <w:pStyle w:val="Heading2"/>
        <w:rPr>
          <w:i/>
        </w:rPr>
      </w:pPr>
      <w:bookmarkStart w:id="13" w:name="_Toc430073844"/>
      <w:r w:rsidRPr="00497F10">
        <w:rPr>
          <w:i/>
        </w:rPr>
        <w:lastRenderedPageBreak/>
        <w:t>Comparative effectiveness</w:t>
      </w:r>
      <w:bookmarkEnd w:id="12"/>
      <w:bookmarkEnd w:id="13"/>
    </w:p>
    <w:p w:rsidR="00C71E74" w:rsidRPr="005641BC" w:rsidRDefault="00C71E74" w:rsidP="00C71E74">
      <w:pPr>
        <w:rPr>
          <w:szCs w:val="22"/>
        </w:rPr>
      </w:pPr>
    </w:p>
    <w:p w:rsidR="000758C2" w:rsidRPr="0046531C" w:rsidRDefault="000758C2" w:rsidP="00292434">
      <w:pPr>
        <w:pStyle w:val="ListParagraph"/>
        <w:widowControl/>
        <w:numPr>
          <w:ilvl w:val="1"/>
          <w:numId w:val="5"/>
        </w:numPr>
      </w:pPr>
      <w:r w:rsidRPr="005641BC">
        <w:t>The primary outcome in all studies was SVR12, target detected (TD)</w:t>
      </w:r>
      <w:r w:rsidR="00535147" w:rsidRPr="005641BC">
        <w:rPr>
          <w:rStyle w:val="FootnoteReference"/>
        </w:rPr>
        <w:footnoteReference w:id="3"/>
      </w:r>
      <w:r w:rsidRPr="005641BC">
        <w:t xml:space="preserve"> or target not detected (TND). </w:t>
      </w:r>
      <w:r w:rsidR="00F865B1" w:rsidRPr="005641BC">
        <w:t>In EU CUP, which included patients with advanced disease, 3</w:t>
      </w:r>
      <w:r w:rsidR="00FC34FC" w:rsidRPr="005641BC">
        <w:t>2</w:t>
      </w:r>
      <w:r w:rsidR="00F865B1" w:rsidRPr="005641BC">
        <w:t xml:space="preserve">% of patients who achieved SVR12 (TD or TND) still had detectable HCV </w:t>
      </w:r>
      <w:r w:rsidR="0046335F" w:rsidRPr="005641BC">
        <w:t>ribonucleic acid (</w:t>
      </w:r>
      <w:r w:rsidR="00F865B1" w:rsidRPr="005641BC">
        <w:t>RNA</w:t>
      </w:r>
      <w:r w:rsidR="0046335F" w:rsidRPr="005641BC">
        <w:t>)</w:t>
      </w:r>
      <w:r w:rsidR="00F865B1" w:rsidRPr="005641BC">
        <w:t xml:space="preserve"> at follow-up Week 12</w:t>
      </w:r>
      <w:r w:rsidR="005F34E5" w:rsidRPr="005641BC">
        <w:rPr>
          <w:rStyle w:val="FootnoteReference"/>
        </w:rPr>
        <w:footnoteReference w:id="4"/>
      </w:r>
      <w:r w:rsidR="00F865B1" w:rsidRPr="005641BC">
        <w:t>. In contrast, in ALLY 2, which included patients with HCV/HIV co-infection, all patients who achieved SVR12 (TD or TND) did not have detectable HCV RNA at follow-up Week 12 (</w:t>
      </w:r>
      <w:r w:rsidR="00AC183A" w:rsidRPr="005641BC">
        <w:t>i.e. achieved SVR12 TND)</w:t>
      </w:r>
      <w:r w:rsidR="00F865B1" w:rsidRPr="005641BC">
        <w:t xml:space="preserve"> (Appendix 5.1B, pp2851-52 ALLY 2 CSR). This suggests that SVR12 (TD or TND) may not be a reliable surrogate outcome for </w:t>
      </w:r>
      <w:r w:rsidR="0043776F" w:rsidRPr="005641BC">
        <w:t xml:space="preserve">viral clearance in </w:t>
      </w:r>
      <w:r w:rsidR="00F865B1" w:rsidRPr="005641BC">
        <w:t>patients with advanced disease</w:t>
      </w:r>
      <w:r w:rsidR="00292434" w:rsidRPr="005641BC">
        <w:t>. SVR12 (TND) results could not be located for ALLY 1. P</w:t>
      </w:r>
      <w:r w:rsidR="00F865B1" w:rsidRPr="005641BC">
        <w:t>rovision of SVR12 (TND) or SVR24 data would provide more confidence in the results reported for these hard-to-treat patients.</w:t>
      </w:r>
      <w:r w:rsidR="005863D0">
        <w:t xml:space="preserve"> </w:t>
      </w:r>
      <w:r w:rsidR="00A00FD6" w:rsidRPr="0046531C">
        <w:t xml:space="preserve">The ESC noted the sponsor’s response in the PSCR </w:t>
      </w:r>
      <w:r w:rsidR="000E7C8B" w:rsidRPr="0046531C">
        <w:t xml:space="preserve">(p2) </w:t>
      </w:r>
      <w:r w:rsidR="00A00FD6" w:rsidRPr="0046531C">
        <w:t>which appeared to show that most of those on treatment achieved a TND response while on therapy, even for those who subsequently failed to achieve an SVR</w:t>
      </w:r>
      <w:r w:rsidR="00921896" w:rsidRPr="0046531C">
        <w:t>12</w:t>
      </w:r>
      <w:r w:rsidR="00A00FD6" w:rsidRPr="0046531C">
        <w:t>. The ESC considered the response did not adequately address the request for data on the proportion of participants who achieved an SVR12 TD versus SVR12 TND, and therefore the uncertainty regarding the durability of the treatment response among patients with advanced cirrhosis</w:t>
      </w:r>
      <w:r w:rsidR="009A25A9" w:rsidRPr="0046531C">
        <w:t xml:space="preserve"> remained</w:t>
      </w:r>
      <w:r w:rsidR="00A00FD6" w:rsidRPr="0046531C">
        <w:t>.</w:t>
      </w:r>
    </w:p>
    <w:p w:rsidR="000758C2" w:rsidRPr="000758C2" w:rsidRDefault="000758C2" w:rsidP="000758C2">
      <w:pPr>
        <w:pStyle w:val="ListParagraph"/>
        <w:widowControl/>
        <w:rPr>
          <w:szCs w:val="22"/>
        </w:rPr>
      </w:pPr>
    </w:p>
    <w:p w:rsidR="00C71E74" w:rsidRPr="00A602DD" w:rsidRDefault="00C71E74" w:rsidP="00C71E74">
      <w:pPr>
        <w:pStyle w:val="ListParagraph"/>
        <w:widowControl/>
        <w:numPr>
          <w:ilvl w:val="1"/>
          <w:numId w:val="5"/>
        </w:numPr>
        <w:rPr>
          <w:szCs w:val="22"/>
        </w:rPr>
      </w:pPr>
      <w:r>
        <w:t xml:space="preserve">The SVR12 </w:t>
      </w:r>
      <w:r w:rsidR="00B2324D">
        <w:t>(</w:t>
      </w:r>
      <w:r>
        <w:t xml:space="preserve">results from ALLY 1 and ALLY 2, categorised by patient subgroups for which extension of the approved PBS listing </w:t>
      </w:r>
      <w:r w:rsidR="009F524E">
        <w:t xml:space="preserve">was </w:t>
      </w:r>
      <w:r>
        <w:t xml:space="preserve">requested, are summarised below. The results from CUP studies are presented in </w:t>
      </w:r>
      <w:r w:rsidR="0075660F" w:rsidRPr="00A74201">
        <w:t>Section B(ii).6</w:t>
      </w:r>
      <w:r w:rsidR="00A74201" w:rsidRPr="00A74201">
        <w:t xml:space="preserve"> of the</w:t>
      </w:r>
      <w:r w:rsidR="00A74201">
        <w:t xml:space="preserve"> commentary</w:t>
      </w:r>
      <w:r>
        <w:t>.</w:t>
      </w:r>
    </w:p>
    <w:p w:rsidR="00C71E74" w:rsidRPr="00A602DD" w:rsidRDefault="00C71E74" w:rsidP="00C71E74">
      <w:pPr>
        <w:widowControl/>
        <w:rPr>
          <w:szCs w:val="22"/>
        </w:rPr>
      </w:pPr>
    </w:p>
    <w:p w:rsidR="00C71E74" w:rsidRDefault="00637F4A" w:rsidP="00C71E74">
      <w:pPr>
        <w:pStyle w:val="Caption"/>
        <w:ind w:firstLine="720"/>
      </w:pPr>
      <w:r>
        <w:t>Table 4</w:t>
      </w:r>
      <w:r w:rsidR="00C71E74">
        <w:t>: Summary of SVR12 results, categorised by subgroups</w:t>
      </w:r>
    </w:p>
    <w:tbl>
      <w:tblPr>
        <w:tblStyle w:val="TableGrid"/>
        <w:tblW w:w="4540" w:type="pct"/>
        <w:tblInd w:w="850" w:type="dxa"/>
        <w:tblLook w:val="04A0" w:firstRow="1" w:lastRow="0" w:firstColumn="1" w:lastColumn="0" w:noHBand="0" w:noVBand="1"/>
        <w:tblCaption w:val="Table 4: Summary of SVR12 results"/>
      </w:tblPr>
      <w:tblGrid>
        <w:gridCol w:w="1214"/>
        <w:gridCol w:w="2581"/>
        <w:gridCol w:w="2393"/>
        <w:gridCol w:w="2204"/>
      </w:tblGrid>
      <w:tr w:rsidR="00C71E74" w:rsidRPr="00C61EAB" w:rsidTr="0016688A">
        <w:trPr>
          <w:tblHeader/>
        </w:trPr>
        <w:tc>
          <w:tcPr>
            <w:tcW w:w="723" w:type="pct"/>
            <w:tcBorders>
              <w:bottom w:val="double" w:sz="4" w:space="0" w:color="auto"/>
            </w:tcBorders>
          </w:tcPr>
          <w:p w:rsidR="00C71E74" w:rsidRPr="00C61EAB" w:rsidRDefault="00C71E74" w:rsidP="009F1D4D">
            <w:pPr>
              <w:pStyle w:val="Tabletext"/>
              <w:rPr>
                <w:b/>
              </w:rPr>
            </w:pPr>
          </w:p>
        </w:tc>
        <w:tc>
          <w:tcPr>
            <w:tcW w:w="1538" w:type="pct"/>
            <w:tcBorders>
              <w:bottom w:val="double" w:sz="4" w:space="0" w:color="auto"/>
            </w:tcBorders>
          </w:tcPr>
          <w:p w:rsidR="00C71E74" w:rsidRPr="00C61EAB" w:rsidRDefault="00C71E74" w:rsidP="009F1D4D">
            <w:pPr>
              <w:pStyle w:val="Tabletext"/>
              <w:jc w:val="center"/>
            </w:pPr>
            <w:r w:rsidRPr="00C61EAB">
              <w:rPr>
                <w:b/>
              </w:rPr>
              <w:t>Treatment</w:t>
            </w:r>
          </w:p>
        </w:tc>
        <w:tc>
          <w:tcPr>
            <w:tcW w:w="1426" w:type="pct"/>
            <w:tcBorders>
              <w:bottom w:val="double" w:sz="4" w:space="0" w:color="auto"/>
            </w:tcBorders>
          </w:tcPr>
          <w:p w:rsidR="00C71E74" w:rsidRPr="00C61EAB" w:rsidRDefault="00C71E74" w:rsidP="009F1D4D">
            <w:pPr>
              <w:pStyle w:val="Tabletext"/>
              <w:jc w:val="center"/>
              <w:rPr>
                <w:b/>
              </w:rPr>
            </w:pPr>
            <w:r w:rsidRPr="00C61EAB">
              <w:rPr>
                <w:b/>
              </w:rPr>
              <w:t>SVR12</w:t>
            </w:r>
            <w:r w:rsidR="006E570C" w:rsidRPr="00C61EAB">
              <w:rPr>
                <w:b/>
              </w:rPr>
              <w:t>*</w:t>
            </w:r>
          </w:p>
          <w:p w:rsidR="00C71E74" w:rsidRPr="00C61EAB" w:rsidRDefault="00C71E74" w:rsidP="009F1D4D">
            <w:pPr>
              <w:pStyle w:val="Tabletext"/>
              <w:jc w:val="center"/>
              <w:rPr>
                <w:b/>
              </w:rPr>
            </w:pPr>
            <w:r w:rsidRPr="00C61EAB">
              <w:rPr>
                <w:b/>
              </w:rPr>
              <w:t>n/N (%)</w:t>
            </w:r>
          </w:p>
          <w:p w:rsidR="00C71E74" w:rsidRPr="00C61EAB" w:rsidRDefault="00C71E74" w:rsidP="009F1D4D">
            <w:pPr>
              <w:pStyle w:val="Tabletext"/>
              <w:jc w:val="center"/>
            </w:pPr>
            <w:r w:rsidRPr="00C61EAB">
              <w:rPr>
                <w:b/>
              </w:rPr>
              <w:t>[95% CI]</w:t>
            </w:r>
          </w:p>
        </w:tc>
        <w:tc>
          <w:tcPr>
            <w:tcW w:w="1314" w:type="pct"/>
            <w:tcBorders>
              <w:bottom w:val="double" w:sz="4" w:space="0" w:color="auto"/>
            </w:tcBorders>
          </w:tcPr>
          <w:p w:rsidR="00C71E74" w:rsidRPr="00C61EAB" w:rsidRDefault="00C71E74" w:rsidP="009F1D4D">
            <w:pPr>
              <w:pStyle w:val="Tabletext"/>
              <w:jc w:val="center"/>
            </w:pPr>
            <w:r w:rsidRPr="00C61EAB">
              <w:rPr>
                <w:b/>
              </w:rPr>
              <w:t>Population</w:t>
            </w:r>
          </w:p>
        </w:tc>
      </w:tr>
      <w:tr w:rsidR="00C71E74" w:rsidRPr="00C61EAB" w:rsidTr="009F1D4D">
        <w:tc>
          <w:tcPr>
            <w:tcW w:w="5000" w:type="pct"/>
            <w:gridSpan w:val="4"/>
            <w:tcBorders>
              <w:top w:val="single" w:sz="4" w:space="0" w:color="auto"/>
            </w:tcBorders>
          </w:tcPr>
          <w:p w:rsidR="00C71E74" w:rsidRPr="00C61EAB" w:rsidRDefault="00C71E74" w:rsidP="009F1D4D">
            <w:pPr>
              <w:pStyle w:val="Tabletext"/>
            </w:pPr>
            <w:r w:rsidRPr="00C61EAB">
              <w:rPr>
                <w:b/>
              </w:rPr>
              <w:t>Genotype 1 treatment experienced (combined 1a and 1b)</w:t>
            </w:r>
          </w:p>
        </w:tc>
      </w:tr>
      <w:tr w:rsidR="009F524E" w:rsidRPr="00C61EAB" w:rsidTr="009F524E">
        <w:tc>
          <w:tcPr>
            <w:tcW w:w="723" w:type="pct"/>
            <w:tcBorders>
              <w:bottom w:val="single" w:sz="4" w:space="0" w:color="auto"/>
            </w:tcBorders>
          </w:tcPr>
          <w:p w:rsidR="009F524E" w:rsidRPr="00C61EAB" w:rsidRDefault="009F524E" w:rsidP="009F1D4D">
            <w:pPr>
              <w:pStyle w:val="Tabletext"/>
            </w:pPr>
            <w:r w:rsidRPr="00C61EAB">
              <w:t>ALLY 1</w:t>
            </w:r>
          </w:p>
        </w:tc>
        <w:tc>
          <w:tcPr>
            <w:tcW w:w="4277" w:type="pct"/>
            <w:gridSpan w:val="3"/>
            <w:tcBorders>
              <w:bottom w:val="single" w:sz="4" w:space="0" w:color="auto"/>
            </w:tcBorders>
          </w:tcPr>
          <w:p w:rsidR="009F524E" w:rsidRPr="00C61EAB" w:rsidRDefault="009F524E" w:rsidP="009F524E">
            <w:pPr>
              <w:pStyle w:val="Tabletext"/>
              <w:jc w:val="center"/>
            </w:pPr>
            <w:r w:rsidRPr="00C61EAB">
              <w:t>Not reported</w:t>
            </w:r>
          </w:p>
        </w:tc>
      </w:tr>
      <w:tr w:rsidR="00C71E74" w:rsidRPr="00C61EAB" w:rsidTr="009F524E">
        <w:tc>
          <w:tcPr>
            <w:tcW w:w="723" w:type="pct"/>
            <w:tcBorders>
              <w:bottom w:val="single" w:sz="4" w:space="0" w:color="auto"/>
            </w:tcBorders>
          </w:tcPr>
          <w:p w:rsidR="00C71E74" w:rsidRPr="00C61EAB" w:rsidRDefault="00C71E74" w:rsidP="009F1D4D">
            <w:pPr>
              <w:pStyle w:val="Tabletext"/>
            </w:pPr>
            <w:r w:rsidRPr="00C61EAB">
              <w:t>ALLY 2</w:t>
            </w:r>
          </w:p>
        </w:tc>
        <w:tc>
          <w:tcPr>
            <w:tcW w:w="1538" w:type="pct"/>
            <w:tcBorders>
              <w:bottom w:val="single" w:sz="4" w:space="0" w:color="auto"/>
            </w:tcBorders>
          </w:tcPr>
          <w:p w:rsidR="00C71E74" w:rsidRPr="00C61EAB" w:rsidRDefault="00C71E74" w:rsidP="009F1D4D">
            <w:pPr>
              <w:pStyle w:val="Tabletext"/>
              <w:jc w:val="center"/>
            </w:pPr>
            <w:r w:rsidRPr="00C61EAB">
              <w:t>DCV+SOF12</w:t>
            </w:r>
          </w:p>
        </w:tc>
        <w:tc>
          <w:tcPr>
            <w:tcW w:w="1426" w:type="pct"/>
            <w:tcBorders>
              <w:bottom w:val="single" w:sz="4" w:space="0" w:color="auto"/>
            </w:tcBorders>
          </w:tcPr>
          <w:p w:rsidR="00C71E74" w:rsidRPr="00C61EAB" w:rsidRDefault="00C71E74" w:rsidP="009F1D4D">
            <w:pPr>
              <w:pStyle w:val="Tabletext"/>
              <w:jc w:val="center"/>
            </w:pPr>
            <w:r w:rsidRPr="00C61EAB">
              <w:t>43/44 (97.7%)</w:t>
            </w:r>
          </w:p>
          <w:p w:rsidR="00C71E74" w:rsidRPr="00C61EAB" w:rsidRDefault="00C71E74" w:rsidP="009F1D4D">
            <w:pPr>
              <w:pStyle w:val="Tabletext"/>
              <w:jc w:val="center"/>
            </w:pPr>
            <w:r w:rsidRPr="00C61EAB">
              <w:t>[88.0%, 99.9%]</w:t>
            </w:r>
          </w:p>
        </w:tc>
        <w:tc>
          <w:tcPr>
            <w:tcW w:w="1314" w:type="pct"/>
            <w:tcBorders>
              <w:bottom w:val="single" w:sz="4" w:space="0" w:color="auto"/>
            </w:tcBorders>
          </w:tcPr>
          <w:p w:rsidR="00C71E74" w:rsidRPr="00C61EAB" w:rsidRDefault="00C71E74" w:rsidP="009F1D4D">
            <w:pPr>
              <w:pStyle w:val="Tabletext"/>
            </w:pPr>
            <w:r w:rsidRPr="00C61EAB">
              <w:t>HCV/HIV co-infection</w:t>
            </w:r>
          </w:p>
        </w:tc>
      </w:tr>
      <w:tr w:rsidR="00C71E74" w:rsidRPr="00C61EAB" w:rsidTr="009F1D4D">
        <w:tc>
          <w:tcPr>
            <w:tcW w:w="5000" w:type="pct"/>
            <w:gridSpan w:val="4"/>
            <w:tcBorders>
              <w:top w:val="double" w:sz="4" w:space="0" w:color="auto"/>
            </w:tcBorders>
          </w:tcPr>
          <w:p w:rsidR="00C71E74" w:rsidRPr="00C61EAB" w:rsidRDefault="00C71E74" w:rsidP="009F1D4D">
            <w:pPr>
              <w:pStyle w:val="Tabletext"/>
            </w:pPr>
            <w:r w:rsidRPr="00C61EAB">
              <w:rPr>
                <w:b/>
              </w:rPr>
              <w:t>Genotype 2</w:t>
            </w:r>
          </w:p>
        </w:tc>
      </w:tr>
      <w:tr w:rsidR="00C71E74" w:rsidRPr="00C61EAB" w:rsidTr="009F524E">
        <w:tc>
          <w:tcPr>
            <w:tcW w:w="723" w:type="pct"/>
          </w:tcPr>
          <w:p w:rsidR="00C71E74" w:rsidRPr="00C61EAB" w:rsidRDefault="00C71E74" w:rsidP="009F1D4D">
            <w:pPr>
              <w:pStyle w:val="Tabletext"/>
            </w:pPr>
            <w:r w:rsidRPr="00C61EAB">
              <w:t>ALLY 1</w:t>
            </w:r>
          </w:p>
        </w:tc>
        <w:tc>
          <w:tcPr>
            <w:tcW w:w="1538" w:type="pct"/>
          </w:tcPr>
          <w:p w:rsidR="00C71E74" w:rsidRPr="00C61EAB" w:rsidRDefault="00C71E74" w:rsidP="009F1D4D">
            <w:pPr>
              <w:pStyle w:val="Tabletext"/>
              <w:jc w:val="center"/>
            </w:pPr>
            <w:r w:rsidRPr="00C61EAB">
              <w:t>DCV+SOF+RBV12</w:t>
            </w:r>
          </w:p>
        </w:tc>
        <w:tc>
          <w:tcPr>
            <w:tcW w:w="1426" w:type="pct"/>
          </w:tcPr>
          <w:p w:rsidR="00C71E74" w:rsidRPr="00C61EAB" w:rsidRDefault="00C71E74" w:rsidP="009F1D4D">
            <w:pPr>
              <w:pStyle w:val="Tabletext"/>
              <w:jc w:val="center"/>
            </w:pPr>
            <w:r w:rsidRPr="00C61EAB">
              <w:t>4/5 (80.0%)</w:t>
            </w:r>
          </w:p>
          <w:p w:rsidR="00C71E74" w:rsidRPr="00C61EAB" w:rsidRDefault="00C71E74" w:rsidP="009F1D4D">
            <w:pPr>
              <w:pStyle w:val="Tabletext"/>
              <w:jc w:val="center"/>
            </w:pPr>
            <w:r w:rsidRPr="00C61EAB">
              <w:t>[28.4%, 99.5%]</w:t>
            </w:r>
          </w:p>
        </w:tc>
        <w:tc>
          <w:tcPr>
            <w:tcW w:w="1314" w:type="pct"/>
          </w:tcPr>
          <w:p w:rsidR="00C71E74" w:rsidRPr="00C61EAB" w:rsidRDefault="00C71E74" w:rsidP="009F1D4D">
            <w:pPr>
              <w:pStyle w:val="Tabletext"/>
            </w:pPr>
            <w:r w:rsidRPr="00C61EAB">
              <w:t>Advanced cirrhosis</w:t>
            </w:r>
          </w:p>
        </w:tc>
      </w:tr>
      <w:tr w:rsidR="00C71E74" w:rsidRPr="00C61EAB" w:rsidTr="009F524E">
        <w:tc>
          <w:tcPr>
            <w:tcW w:w="723" w:type="pct"/>
            <w:tcBorders>
              <w:bottom w:val="single" w:sz="4" w:space="0" w:color="auto"/>
            </w:tcBorders>
          </w:tcPr>
          <w:p w:rsidR="00C71E74" w:rsidRPr="00C61EAB" w:rsidRDefault="00C71E74" w:rsidP="009F1D4D">
            <w:pPr>
              <w:pStyle w:val="Tabletext"/>
            </w:pPr>
            <w:r w:rsidRPr="00C61EAB">
              <w:t>ALLY 2</w:t>
            </w:r>
          </w:p>
          <w:p w:rsidR="00C71E74" w:rsidRPr="00C61EAB" w:rsidRDefault="00C71E74" w:rsidP="009F1D4D">
            <w:pPr>
              <w:pStyle w:val="Tabletext"/>
              <w:ind w:left="284"/>
            </w:pPr>
            <w:r w:rsidRPr="00C61EAB">
              <w:t>TN</w:t>
            </w:r>
          </w:p>
          <w:p w:rsidR="00C71E74" w:rsidRPr="00C61EAB" w:rsidRDefault="00C71E74" w:rsidP="009F1D4D">
            <w:pPr>
              <w:pStyle w:val="Tabletext"/>
              <w:ind w:left="284"/>
            </w:pPr>
          </w:p>
          <w:p w:rsidR="00C71E74" w:rsidRPr="00C61EAB" w:rsidRDefault="00C71E74" w:rsidP="009F1D4D">
            <w:pPr>
              <w:pStyle w:val="Tabletext"/>
              <w:ind w:left="284"/>
            </w:pPr>
            <w:r w:rsidRPr="00C61EAB">
              <w:t>TE</w:t>
            </w:r>
          </w:p>
        </w:tc>
        <w:tc>
          <w:tcPr>
            <w:tcW w:w="1538" w:type="pct"/>
            <w:tcBorders>
              <w:bottom w:val="single" w:sz="4" w:space="0" w:color="auto"/>
            </w:tcBorders>
          </w:tcPr>
          <w:p w:rsidR="00C71E74" w:rsidRPr="00C61EAB" w:rsidRDefault="00C71E74" w:rsidP="009F1D4D">
            <w:pPr>
              <w:pStyle w:val="Tabletext"/>
              <w:jc w:val="center"/>
            </w:pPr>
          </w:p>
          <w:p w:rsidR="00C71E74" w:rsidRPr="00C61EAB" w:rsidRDefault="00C71E74" w:rsidP="009F1D4D">
            <w:pPr>
              <w:pStyle w:val="Tabletext"/>
              <w:jc w:val="center"/>
            </w:pPr>
            <w:r w:rsidRPr="00C61EAB">
              <w:t>DCV+SOF12</w:t>
            </w:r>
          </w:p>
          <w:p w:rsidR="00C71E74" w:rsidRPr="00C61EAB" w:rsidRDefault="00C71E74" w:rsidP="009F1D4D">
            <w:pPr>
              <w:pStyle w:val="Tabletext"/>
              <w:jc w:val="center"/>
            </w:pPr>
          </w:p>
          <w:p w:rsidR="00C71E74" w:rsidRPr="00C61EAB" w:rsidRDefault="00C71E74" w:rsidP="009F1D4D">
            <w:pPr>
              <w:pStyle w:val="Tabletext"/>
              <w:jc w:val="center"/>
            </w:pPr>
            <w:r w:rsidRPr="00C61EAB">
              <w:t>DCV+SOF12</w:t>
            </w:r>
          </w:p>
        </w:tc>
        <w:tc>
          <w:tcPr>
            <w:tcW w:w="1426" w:type="pct"/>
            <w:tcBorders>
              <w:bottom w:val="single" w:sz="4" w:space="0" w:color="auto"/>
            </w:tcBorders>
          </w:tcPr>
          <w:p w:rsidR="00C71E74" w:rsidRPr="00C61EAB" w:rsidRDefault="00C71E74" w:rsidP="009F1D4D">
            <w:pPr>
              <w:pStyle w:val="Tabletext"/>
              <w:jc w:val="center"/>
            </w:pPr>
          </w:p>
          <w:p w:rsidR="00C71E74" w:rsidRPr="00C61EAB" w:rsidRDefault="00C71E74" w:rsidP="009F1D4D">
            <w:pPr>
              <w:pStyle w:val="Tabletext"/>
              <w:jc w:val="center"/>
            </w:pPr>
            <w:r w:rsidRPr="00C61EAB">
              <w:t>11/11 (100%)</w:t>
            </w:r>
          </w:p>
          <w:p w:rsidR="00C71E74" w:rsidRPr="00C61EAB" w:rsidRDefault="00C71E74" w:rsidP="009F1D4D">
            <w:pPr>
              <w:pStyle w:val="Tabletext"/>
              <w:jc w:val="center"/>
            </w:pPr>
            <w:r w:rsidRPr="00C61EAB">
              <w:t>[71.5%, 100%]</w:t>
            </w:r>
          </w:p>
          <w:p w:rsidR="00C71E74" w:rsidRPr="00C61EAB" w:rsidRDefault="00C71E74" w:rsidP="009F1D4D">
            <w:pPr>
              <w:pStyle w:val="Tabletext"/>
              <w:jc w:val="center"/>
            </w:pPr>
            <w:r w:rsidRPr="00C61EAB">
              <w:t>2/2 (100%)</w:t>
            </w:r>
          </w:p>
          <w:p w:rsidR="00C71E74" w:rsidRPr="00C61EAB" w:rsidRDefault="00C71E74" w:rsidP="009F1D4D">
            <w:pPr>
              <w:pStyle w:val="Tabletext"/>
              <w:jc w:val="center"/>
            </w:pPr>
            <w:r w:rsidRPr="00C61EAB">
              <w:t>[15.8%, 100%]</w:t>
            </w:r>
          </w:p>
        </w:tc>
        <w:tc>
          <w:tcPr>
            <w:tcW w:w="1314" w:type="pct"/>
            <w:tcBorders>
              <w:bottom w:val="single" w:sz="4" w:space="0" w:color="auto"/>
            </w:tcBorders>
          </w:tcPr>
          <w:p w:rsidR="00C71E74" w:rsidRPr="00C61EAB" w:rsidRDefault="00C71E74" w:rsidP="009F1D4D">
            <w:pPr>
              <w:pStyle w:val="Tabletext"/>
            </w:pPr>
          </w:p>
          <w:p w:rsidR="00C71E74" w:rsidRPr="00C61EAB" w:rsidRDefault="00C71E74" w:rsidP="009F1D4D">
            <w:pPr>
              <w:pStyle w:val="Tabletext"/>
            </w:pPr>
            <w:r w:rsidRPr="00C61EAB">
              <w:t>HCV/HIV co-infection</w:t>
            </w:r>
          </w:p>
        </w:tc>
      </w:tr>
      <w:tr w:rsidR="00C71E74" w:rsidRPr="00C61EAB" w:rsidTr="009F1D4D">
        <w:tc>
          <w:tcPr>
            <w:tcW w:w="5000" w:type="pct"/>
            <w:gridSpan w:val="4"/>
            <w:tcBorders>
              <w:top w:val="double" w:sz="4" w:space="0" w:color="auto"/>
            </w:tcBorders>
          </w:tcPr>
          <w:p w:rsidR="00C71E74" w:rsidRPr="00C61EAB" w:rsidRDefault="00C71E74" w:rsidP="009F1D4D">
            <w:pPr>
              <w:pStyle w:val="Tabletext"/>
            </w:pPr>
            <w:r w:rsidRPr="00C61EAB">
              <w:rPr>
                <w:b/>
              </w:rPr>
              <w:t>Genotype 4</w:t>
            </w:r>
          </w:p>
        </w:tc>
      </w:tr>
      <w:tr w:rsidR="00C71E74" w:rsidRPr="00C61EAB" w:rsidTr="009F524E">
        <w:tc>
          <w:tcPr>
            <w:tcW w:w="723" w:type="pct"/>
          </w:tcPr>
          <w:p w:rsidR="00C71E74" w:rsidRPr="00C61EAB" w:rsidRDefault="00C71E74" w:rsidP="009F1D4D">
            <w:pPr>
              <w:pStyle w:val="Tabletext"/>
            </w:pPr>
            <w:r w:rsidRPr="00C61EAB">
              <w:t>ALLY 1</w:t>
            </w:r>
          </w:p>
        </w:tc>
        <w:tc>
          <w:tcPr>
            <w:tcW w:w="1538" w:type="pct"/>
          </w:tcPr>
          <w:p w:rsidR="00C71E74" w:rsidRPr="00C61EAB" w:rsidRDefault="00C71E74" w:rsidP="009F1D4D">
            <w:pPr>
              <w:pStyle w:val="Tabletext"/>
              <w:jc w:val="center"/>
            </w:pPr>
            <w:r w:rsidRPr="00C61EAB">
              <w:t>DCV+SOF+RBV12</w:t>
            </w:r>
          </w:p>
        </w:tc>
        <w:tc>
          <w:tcPr>
            <w:tcW w:w="1426" w:type="pct"/>
          </w:tcPr>
          <w:p w:rsidR="00C71E74" w:rsidRPr="00C61EAB" w:rsidRDefault="00C71E74" w:rsidP="009F1D4D">
            <w:pPr>
              <w:pStyle w:val="Tabletext"/>
              <w:jc w:val="center"/>
            </w:pPr>
            <w:r w:rsidRPr="00C61EAB">
              <w:t>4/4 (100%)</w:t>
            </w:r>
          </w:p>
          <w:p w:rsidR="00C71E74" w:rsidRPr="00C61EAB" w:rsidRDefault="00C71E74" w:rsidP="009F1D4D">
            <w:pPr>
              <w:pStyle w:val="Tabletext"/>
              <w:jc w:val="center"/>
            </w:pPr>
            <w:r w:rsidRPr="00C61EAB">
              <w:t>[39.8%, 100%]</w:t>
            </w:r>
          </w:p>
        </w:tc>
        <w:tc>
          <w:tcPr>
            <w:tcW w:w="1314" w:type="pct"/>
          </w:tcPr>
          <w:p w:rsidR="00C71E74" w:rsidRPr="00C61EAB" w:rsidRDefault="00C71E74" w:rsidP="009F1D4D">
            <w:pPr>
              <w:pStyle w:val="Tabletext"/>
            </w:pPr>
            <w:r w:rsidRPr="00C61EAB">
              <w:t>Advanced cirrhosis</w:t>
            </w:r>
          </w:p>
        </w:tc>
      </w:tr>
      <w:tr w:rsidR="00C71E74" w:rsidRPr="00C61EAB" w:rsidTr="009F524E">
        <w:tc>
          <w:tcPr>
            <w:tcW w:w="723" w:type="pct"/>
          </w:tcPr>
          <w:p w:rsidR="00C71E74" w:rsidRPr="00C61EAB" w:rsidRDefault="00C71E74" w:rsidP="009F1D4D">
            <w:pPr>
              <w:pStyle w:val="Tabletext"/>
            </w:pPr>
            <w:r w:rsidRPr="00C61EAB">
              <w:t>ALLY 2</w:t>
            </w:r>
          </w:p>
          <w:p w:rsidR="00C71E74" w:rsidRPr="00C61EAB" w:rsidRDefault="00C71E74" w:rsidP="009F1D4D">
            <w:pPr>
              <w:pStyle w:val="Tabletext"/>
              <w:ind w:left="284"/>
            </w:pPr>
            <w:r w:rsidRPr="00C61EAB">
              <w:t>TN</w:t>
            </w:r>
          </w:p>
          <w:p w:rsidR="00C71E74" w:rsidRPr="00C61EAB" w:rsidRDefault="00C71E74" w:rsidP="009F1D4D">
            <w:pPr>
              <w:pStyle w:val="Tabletext"/>
              <w:ind w:left="284"/>
            </w:pPr>
          </w:p>
          <w:p w:rsidR="00C71E74" w:rsidRPr="00C61EAB" w:rsidRDefault="00C71E74" w:rsidP="009F1D4D">
            <w:pPr>
              <w:pStyle w:val="Tabletext"/>
              <w:ind w:left="284"/>
            </w:pPr>
            <w:r w:rsidRPr="00C61EAB">
              <w:t>TE</w:t>
            </w:r>
          </w:p>
        </w:tc>
        <w:tc>
          <w:tcPr>
            <w:tcW w:w="1538" w:type="pct"/>
          </w:tcPr>
          <w:p w:rsidR="00C71E74" w:rsidRPr="00C61EAB" w:rsidRDefault="00C71E74" w:rsidP="009F1D4D">
            <w:pPr>
              <w:pStyle w:val="Tabletext"/>
              <w:jc w:val="center"/>
            </w:pPr>
          </w:p>
          <w:p w:rsidR="00C71E74" w:rsidRPr="00C61EAB" w:rsidRDefault="00C71E74" w:rsidP="009F1D4D">
            <w:pPr>
              <w:pStyle w:val="Tabletext"/>
              <w:jc w:val="center"/>
            </w:pPr>
            <w:r w:rsidRPr="00C61EAB">
              <w:t>DCV+SOF12</w:t>
            </w:r>
          </w:p>
          <w:p w:rsidR="00C71E74" w:rsidRPr="00C61EAB" w:rsidRDefault="00C71E74" w:rsidP="009F1D4D">
            <w:pPr>
              <w:pStyle w:val="Tabletext"/>
              <w:jc w:val="center"/>
            </w:pPr>
          </w:p>
          <w:p w:rsidR="00C71E74" w:rsidRPr="00C61EAB" w:rsidRDefault="00C71E74" w:rsidP="009F1D4D">
            <w:pPr>
              <w:pStyle w:val="Tabletext"/>
              <w:jc w:val="center"/>
            </w:pPr>
            <w:r w:rsidRPr="00C61EAB">
              <w:t>DCV+SOF12</w:t>
            </w:r>
          </w:p>
        </w:tc>
        <w:tc>
          <w:tcPr>
            <w:tcW w:w="1426" w:type="pct"/>
          </w:tcPr>
          <w:p w:rsidR="00C71E74" w:rsidRPr="00C61EAB" w:rsidRDefault="00C71E74" w:rsidP="009F1D4D">
            <w:pPr>
              <w:pStyle w:val="Tabletext"/>
              <w:jc w:val="center"/>
            </w:pPr>
          </w:p>
          <w:p w:rsidR="00C71E74" w:rsidRPr="00C61EAB" w:rsidRDefault="00C71E74" w:rsidP="009F1D4D">
            <w:pPr>
              <w:pStyle w:val="Tabletext"/>
              <w:jc w:val="center"/>
            </w:pPr>
            <w:r w:rsidRPr="00C61EAB">
              <w:t>1/1 (100%)</w:t>
            </w:r>
          </w:p>
          <w:p w:rsidR="00C71E74" w:rsidRPr="00C61EAB" w:rsidRDefault="00C71E74" w:rsidP="009F1D4D">
            <w:pPr>
              <w:pStyle w:val="Tabletext"/>
              <w:jc w:val="center"/>
            </w:pPr>
            <w:r w:rsidRPr="00C61EAB">
              <w:t>[2.5%, 100%]</w:t>
            </w:r>
          </w:p>
          <w:p w:rsidR="00C71E74" w:rsidRPr="00C61EAB" w:rsidRDefault="00C71E74" w:rsidP="009F1D4D">
            <w:pPr>
              <w:pStyle w:val="Tabletext"/>
              <w:jc w:val="center"/>
            </w:pPr>
            <w:r w:rsidRPr="00C61EAB">
              <w:t>2/2 (100%)</w:t>
            </w:r>
          </w:p>
          <w:p w:rsidR="00C71E74" w:rsidRPr="00C61EAB" w:rsidRDefault="00C71E74" w:rsidP="009F1D4D">
            <w:pPr>
              <w:pStyle w:val="Tabletext"/>
              <w:jc w:val="center"/>
            </w:pPr>
            <w:r w:rsidRPr="00C61EAB">
              <w:lastRenderedPageBreak/>
              <w:t>[15.8%, 100%]</w:t>
            </w:r>
          </w:p>
        </w:tc>
        <w:tc>
          <w:tcPr>
            <w:tcW w:w="1314" w:type="pct"/>
          </w:tcPr>
          <w:p w:rsidR="00C71E74" w:rsidRPr="00C61EAB" w:rsidRDefault="00C71E74" w:rsidP="009F1D4D">
            <w:pPr>
              <w:pStyle w:val="Tabletext"/>
            </w:pPr>
          </w:p>
          <w:p w:rsidR="00C71E74" w:rsidRPr="00C61EAB" w:rsidRDefault="00C71E74" w:rsidP="009F1D4D">
            <w:pPr>
              <w:pStyle w:val="Tabletext"/>
            </w:pPr>
            <w:r w:rsidRPr="00C61EAB">
              <w:t>HCV/HIV co-infection</w:t>
            </w:r>
          </w:p>
        </w:tc>
      </w:tr>
      <w:tr w:rsidR="00C71E74" w:rsidRPr="00C61EAB" w:rsidTr="009F1D4D">
        <w:tc>
          <w:tcPr>
            <w:tcW w:w="5000" w:type="pct"/>
            <w:gridSpan w:val="4"/>
            <w:tcBorders>
              <w:top w:val="double" w:sz="4" w:space="0" w:color="auto"/>
              <w:bottom w:val="single" w:sz="4" w:space="0" w:color="auto"/>
            </w:tcBorders>
          </w:tcPr>
          <w:p w:rsidR="00C71E74" w:rsidRPr="00C61EAB" w:rsidRDefault="00C71E74" w:rsidP="009F1D4D">
            <w:pPr>
              <w:pStyle w:val="Tabletext"/>
            </w:pPr>
            <w:r w:rsidRPr="00C61EAB">
              <w:rPr>
                <w:b/>
              </w:rPr>
              <w:lastRenderedPageBreak/>
              <w:t>Genotype 5</w:t>
            </w:r>
          </w:p>
        </w:tc>
      </w:tr>
      <w:tr w:rsidR="00C71E74" w:rsidRPr="00C61EAB" w:rsidTr="009F524E">
        <w:tc>
          <w:tcPr>
            <w:tcW w:w="723" w:type="pct"/>
            <w:tcBorders>
              <w:bottom w:val="double" w:sz="4" w:space="0" w:color="auto"/>
            </w:tcBorders>
          </w:tcPr>
          <w:p w:rsidR="00C71E74" w:rsidRPr="00C61EAB" w:rsidRDefault="00C71E74" w:rsidP="009F1D4D">
            <w:pPr>
              <w:pStyle w:val="Tabletext"/>
            </w:pPr>
            <w:r w:rsidRPr="00C61EAB">
              <w:t>No data</w:t>
            </w:r>
          </w:p>
        </w:tc>
        <w:tc>
          <w:tcPr>
            <w:tcW w:w="1538" w:type="pct"/>
            <w:tcBorders>
              <w:bottom w:val="double" w:sz="4" w:space="0" w:color="auto"/>
            </w:tcBorders>
          </w:tcPr>
          <w:p w:rsidR="00C71E74" w:rsidRPr="00C61EAB" w:rsidRDefault="00C71E74" w:rsidP="009F1D4D">
            <w:pPr>
              <w:pStyle w:val="Tabletext"/>
              <w:jc w:val="center"/>
            </w:pPr>
          </w:p>
        </w:tc>
        <w:tc>
          <w:tcPr>
            <w:tcW w:w="1426" w:type="pct"/>
            <w:tcBorders>
              <w:bottom w:val="double" w:sz="4" w:space="0" w:color="auto"/>
            </w:tcBorders>
          </w:tcPr>
          <w:p w:rsidR="00C71E74" w:rsidRPr="00C61EAB" w:rsidRDefault="00C71E74" w:rsidP="009F1D4D">
            <w:pPr>
              <w:pStyle w:val="Tabletext"/>
              <w:jc w:val="center"/>
            </w:pPr>
          </w:p>
        </w:tc>
        <w:tc>
          <w:tcPr>
            <w:tcW w:w="1314" w:type="pct"/>
            <w:tcBorders>
              <w:bottom w:val="double" w:sz="4" w:space="0" w:color="auto"/>
            </w:tcBorders>
          </w:tcPr>
          <w:p w:rsidR="00C71E74" w:rsidRPr="00C61EAB" w:rsidRDefault="00C71E74" w:rsidP="009F1D4D">
            <w:pPr>
              <w:pStyle w:val="Tabletext"/>
            </w:pPr>
          </w:p>
        </w:tc>
      </w:tr>
      <w:tr w:rsidR="00C71E74" w:rsidRPr="00C61EAB" w:rsidTr="009F1D4D">
        <w:tc>
          <w:tcPr>
            <w:tcW w:w="5000" w:type="pct"/>
            <w:gridSpan w:val="4"/>
            <w:tcBorders>
              <w:top w:val="double" w:sz="4" w:space="0" w:color="auto"/>
            </w:tcBorders>
          </w:tcPr>
          <w:p w:rsidR="00C71E74" w:rsidRPr="00C61EAB" w:rsidRDefault="00C71E74" w:rsidP="009F1D4D">
            <w:pPr>
              <w:pStyle w:val="Tabletext"/>
            </w:pPr>
            <w:r w:rsidRPr="00C61EAB">
              <w:rPr>
                <w:b/>
              </w:rPr>
              <w:t>Genotype 6</w:t>
            </w:r>
          </w:p>
        </w:tc>
      </w:tr>
      <w:tr w:rsidR="00C71E74" w:rsidRPr="00C61EAB" w:rsidTr="009F524E">
        <w:tc>
          <w:tcPr>
            <w:tcW w:w="723" w:type="pct"/>
            <w:tcBorders>
              <w:bottom w:val="single" w:sz="4" w:space="0" w:color="auto"/>
            </w:tcBorders>
          </w:tcPr>
          <w:p w:rsidR="00C71E74" w:rsidRPr="00C61EAB" w:rsidRDefault="00C71E74" w:rsidP="009F1D4D">
            <w:pPr>
              <w:pStyle w:val="Tabletext"/>
            </w:pPr>
            <w:r w:rsidRPr="00C61EAB">
              <w:t>ALLY 1</w:t>
            </w:r>
          </w:p>
        </w:tc>
        <w:tc>
          <w:tcPr>
            <w:tcW w:w="1538" w:type="pct"/>
            <w:tcBorders>
              <w:bottom w:val="single" w:sz="4" w:space="0" w:color="auto"/>
            </w:tcBorders>
          </w:tcPr>
          <w:p w:rsidR="00C71E74" w:rsidRPr="00C61EAB" w:rsidRDefault="00C71E74" w:rsidP="009F1D4D">
            <w:pPr>
              <w:pStyle w:val="Tabletext"/>
              <w:jc w:val="center"/>
            </w:pPr>
            <w:r w:rsidRPr="00C61EAB">
              <w:t>DCV+SOF+RBV12</w:t>
            </w:r>
          </w:p>
        </w:tc>
        <w:tc>
          <w:tcPr>
            <w:tcW w:w="1426" w:type="pct"/>
            <w:tcBorders>
              <w:bottom w:val="single" w:sz="4" w:space="0" w:color="auto"/>
            </w:tcBorders>
          </w:tcPr>
          <w:p w:rsidR="00C71E74" w:rsidRPr="00C61EAB" w:rsidRDefault="00C71E74" w:rsidP="009F1D4D">
            <w:pPr>
              <w:pStyle w:val="Tabletext"/>
              <w:jc w:val="center"/>
            </w:pPr>
            <w:r w:rsidRPr="00C61EAB">
              <w:t>1/1 (100%)</w:t>
            </w:r>
          </w:p>
          <w:p w:rsidR="00C71E74" w:rsidRPr="00C61EAB" w:rsidRDefault="00C71E74" w:rsidP="009F1D4D">
            <w:pPr>
              <w:pStyle w:val="Tabletext"/>
              <w:jc w:val="center"/>
            </w:pPr>
            <w:r w:rsidRPr="00C61EAB">
              <w:t>[2.5%, 100%]</w:t>
            </w:r>
          </w:p>
        </w:tc>
        <w:tc>
          <w:tcPr>
            <w:tcW w:w="1314" w:type="pct"/>
            <w:tcBorders>
              <w:bottom w:val="single" w:sz="4" w:space="0" w:color="auto"/>
            </w:tcBorders>
          </w:tcPr>
          <w:p w:rsidR="00C71E74" w:rsidRPr="00C61EAB" w:rsidRDefault="00C71E74" w:rsidP="009F1D4D">
            <w:pPr>
              <w:pStyle w:val="Tabletext"/>
            </w:pPr>
            <w:r w:rsidRPr="00C61EAB">
              <w:t>Post-liver transplant</w:t>
            </w:r>
          </w:p>
        </w:tc>
      </w:tr>
      <w:tr w:rsidR="00C71E74" w:rsidRPr="00C61EAB" w:rsidTr="009F524E">
        <w:tc>
          <w:tcPr>
            <w:tcW w:w="723" w:type="pct"/>
            <w:tcBorders>
              <w:bottom w:val="double" w:sz="4" w:space="0" w:color="auto"/>
            </w:tcBorders>
          </w:tcPr>
          <w:p w:rsidR="00C71E74" w:rsidRPr="00C61EAB" w:rsidRDefault="00C71E74" w:rsidP="009F1D4D">
            <w:pPr>
              <w:pStyle w:val="Tabletext"/>
            </w:pPr>
            <w:r w:rsidRPr="00C61EAB">
              <w:t>ALLY 2</w:t>
            </w:r>
            <w:r w:rsidRPr="00C61EAB">
              <w:rPr>
                <w:vertAlign w:val="superscript"/>
              </w:rPr>
              <w:t>*</w:t>
            </w:r>
            <w:r w:rsidR="006E570C" w:rsidRPr="00C61EAB">
              <w:rPr>
                <w:vertAlign w:val="superscript"/>
              </w:rPr>
              <w:t>*</w:t>
            </w:r>
          </w:p>
          <w:p w:rsidR="00C71E74" w:rsidRPr="00C61EAB" w:rsidRDefault="00C71E74" w:rsidP="009F1D4D">
            <w:pPr>
              <w:pStyle w:val="Tabletext"/>
              <w:ind w:left="284"/>
            </w:pPr>
            <w:r w:rsidRPr="00C61EAB">
              <w:t>TN</w:t>
            </w:r>
          </w:p>
          <w:p w:rsidR="00C71E74" w:rsidRPr="00C61EAB" w:rsidRDefault="00C71E74" w:rsidP="009F1D4D">
            <w:pPr>
              <w:pStyle w:val="Tabletext"/>
              <w:ind w:left="284"/>
            </w:pPr>
            <w:r w:rsidRPr="00C61EAB">
              <w:t>TE</w:t>
            </w:r>
          </w:p>
        </w:tc>
        <w:tc>
          <w:tcPr>
            <w:tcW w:w="1538" w:type="pct"/>
            <w:tcBorders>
              <w:bottom w:val="double" w:sz="4" w:space="0" w:color="auto"/>
            </w:tcBorders>
          </w:tcPr>
          <w:p w:rsidR="00C71E74" w:rsidRPr="00C61EAB" w:rsidRDefault="00C71E74" w:rsidP="009F1D4D">
            <w:pPr>
              <w:pStyle w:val="Tabletext"/>
              <w:jc w:val="center"/>
            </w:pPr>
          </w:p>
          <w:p w:rsidR="00C71E74" w:rsidRPr="00C61EAB" w:rsidRDefault="00C71E74" w:rsidP="009F1D4D">
            <w:pPr>
              <w:pStyle w:val="Tabletext"/>
              <w:jc w:val="center"/>
            </w:pPr>
            <w:r w:rsidRPr="00C61EAB">
              <w:t>DCV+SOF12</w:t>
            </w:r>
          </w:p>
          <w:p w:rsidR="00C71E74" w:rsidRPr="00C61EAB" w:rsidRDefault="00C71E74" w:rsidP="009F1D4D">
            <w:pPr>
              <w:pStyle w:val="Tabletext"/>
              <w:jc w:val="center"/>
            </w:pPr>
            <w:r w:rsidRPr="00C61EAB">
              <w:t>DCV+SOF12</w:t>
            </w:r>
          </w:p>
        </w:tc>
        <w:tc>
          <w:tcPr>
            <w:tcW w:w="1426" w:type="pct"/>
            <w:tcBorders>
              <w:bottom w:val="double" w:sz="4" w:space="0" w:color="auto"/>
            </w:tcBorders>
          </w:tcPr>
          <w:p w:rsidR="00C71E74" w:rsidRPr="00C61EAB" w:rsidRDefault="00C71E74" w:rsidP="009F1D4D">
            <w:pPr>
              <w:pStyle w:val="Tabletext"/>
              <w:jc w:val="center"/>
            </w:pPr>
          </w:p>
          <w:p w:rsidR="00C71E74" w:rsidRPr="00C61EAB" w:rsidRDefault="00C71E74" w:rsidP="009F1D4D">
            <w:pPr>
              <w:pStyle w:val="Tabletext"/>
              <w:jc w:val="center"/>
            </w:pPr>
            <w:r w:rsidRPr="00C61EAB">
              <w:t>1/1 (100%)</w:t>
            </w:r>
          </w:p>
          <w:p w:rsidR="00C71E74" w:rsidRPr="00C61EAB" w:rsidRDefault="00C71E74" w:rsidP="009F1D4D">
            <w:pPr>
              <w:pStyle w:val="Tabletext"/>
              <w:jc w:val="center"/>
            </w:pPr>
            <w:r w:rsidRPr="00C61EAB">
              <w:t>2/2 (100%)</w:t>
            </w:r>
          </w:p>
        </w:tc>
        <w:tc>
          <w:tcPr>
            <w:tcW w:w="1314" w:type="pct"/>
            <w:tcBorders>
              <w:bottom w:val="double" w:sz="4" w:space="0" w:color="auto"/>
            </w:tcBorders>
          </w:tcPr>
          <w:p w:rsidR="00C71E74" w:rsidRPr="00C61EAB" w:rsidRDefault="00C71E74" w:rsidP="009F1D4D">
            <w:pPr>
              <w:pStyle w:val="Tabletext"/>
            </w:pPr>
            <w:r w:rsidRPr="00C61EAB">
              <w:t>HCV/HIV co-infection</w:t>
            </w:r>
          </w:p>
          <w:p w:rsidR="00C71E74" w:rsidRPr="00C61EAB" w:rsidRDefault="00C71E74" w:rsidP="009F1D4D">
            <w:pPr>
              <w:pStyle w:val="Tabletext"/>
            </w:pPr>
            <w:r w:rsidRPr="00C61EAB">
              <w:t>The source of these data could not be located in the CSR.</w:t>
            </w:r>
          </w:p>
        </w:tc>
      </w:tr>
      <w:tr w:rsidR="00C71E74" w:rsidRPr="00C61EAB" w:rsidTr="009F1D4D">
        <w:tc>
          <w:tcPr>
            <w:tcW w:w="5000" w:type="pct"/>
            <w:gridSpan w:val="4"/>
            <w:tcBorders>
              <w:top w:val="double" w:sz="4" w:space="0" w:color="auto"/>
              <w:bottom w:val="single" w:sz="4" w:space="0" w:color="auto"/>
            </w:tcBorders>
          </w:tcPr>
          <w:p w:rsidR="00C71E74" w:rsidRPr="00C61EAB" w:rsidRDefault="00C71E74" w:rsidP="009F1D4D">
            <w:pPr>
              <w:pStyle w:val="Tabletext"/>
            </w:pPr>
            <w:r w:rsidRPr="00C61EAB">
              <w:rPr>
                <w:b/>
              </w:rPr>
              <w:t>Treatment experienced patients (all genotypes)</w:t>
            </w:r>
          </w:p>
        </w:tc>
      </w:tr>
      <w:tr w:rsidR="00C71E74" w:rsidRPr="00C61EAB" w:rsidTr="009F524E">
        <w:tc>
          <w:tcPr>
            <w:tcW w:w="723" w:type="pct"/>
            <w:tcBorders>
              <w:top w:val="single" w:sz="4" w:space="0" w:color="auto"/>
              <w:bottom w:val="single" w:sz="4" w:space="0" w:color="auto"/>
            </w:tcBorders>
          </w:tcPr>
          <w:p w:rsidR="00C71E74" w:rsidRPr="00C61EAB" w:rsidRDefault="00C71E74" w:rsidP="009F1D4D">
            <w:pPr>
              <w:pStyle w:val="Tabletext"/>
            </w:pPr>
            <w:r w:rsidRPr="00C61EAB">
              <w:t>ALLY 1</w:t>
            </w:r>
          </w:p>
          <w:p w:rsidR="00C71E74" w:rsidRPr="00C61EAB" w:rsidRDefault="00C71E74" w:rsidP="009F1D4D">
            <w:pPr>
              <w:pStyle w:val="Tabletext"/>
              <w:ind w:left="142"/>
            </w:pPr>
            <w:r w:rsidRPr="00C61EAB">
              <w:t>Cirrhotic patients</w:t>
            </w:r>
          </w:p>
          <w:p w:rsidR="00C71E74" w:rsidRPr="00C61EAB" w:rsidRDefault="00C71E74" w:rsidP="009F1D4D">
            <w:pPr>
              <w:pStyle w:val="Tabletext"/>
              <w:ind w:left="142"/>
            </w:pPr>
            <w:r w:rsidRPr="00C61EAB">
              <w:t>Post-liver transplant</w:t>
            </w:r>
          </w:p>
        </w:tc>
        <w:tc>
          <w:tcPr>
            <w:tcW w:w="1538" w:type="pct"/>
            <w:tcBorders>
              <w:top w:val="single" w:sz="4" w:space="0" w:color="auto"/>
              <w:bottom w:val="single" w:sz="4" w:space="0" w:color="auto"/>
            </w:tcBorders>
          </w:tcPr>
          <w:p w:rsidR="00C71E74" w:rsidRPr="00C61EAB" w:rsidRDefault="00C71E74" w:rsidP="009F1D4D">
            <w:pPr>
              <w:pStyle w:val="Tabletext"/>
              <w:jc w:val="center"/>
            </w:pPr>
          </w:p>
          <w:p w:rsidR="00C71E74" w:rsidRPr="00C61EAB" w:rsidRDefault="00C71E74" w:rsidP="009F1D4D">
            <w:pPr>
              <w:pStyle w:val="Tabletext"/>
              <w:jc w:val="center"/>
            </w:pPr>
            <w:r w:rsidRPr="00C61EAB">
              <w:t>DCV+SOF+RBV12</w:t>
            </w:r>
          </w:p>
          <w:p w:rsidR="00C71E74" w:rsidRPr="00C61EAB" w:rsidRDefault="00C71E74" w:rsidP="009F1D4D">
            <w:pPr>
              <w:pStyle w:val="Tabletext"/>
              <w:jc w:val="center"/>
            </w:pPr>
          </w:p>
          <w:p w:rsidR="00C71E74" w:rsidRPr="00C61EAB" w:rsidRDefault="00C71E74" w:rsidP="009F1D4D">
            <w:pPr>
              <w:pStyle w:val="Tabletext"/>
              <w:jc w:val="center"/>
            </w:pPr>
            <w:r w:rsidRPr="00C61EAB">
              <w:t>DCV+SOF+RBV12</w:t>
            </w:r>
          </w:p>
        </w:tc>
        <w:tc>
          <w:tcPr>
            <w:tcW w:w="1426" w:type="pct"/>
            <w:tcBorders>
              <w:top w:val="single" w:sz="4" w:space="0" w:color="auto"/>
              <w:bottom w:val="single" w:sz="4" w:space="0" w:color="auto"/>
            </w:tcBorders>
          </w:tcPr>
          <w:p w:rsidR="00C71E74" w:rsidRPr="00C61EAB" w:rsidRDefault="00C71E74" w:rsidP="009F1D4D">
            <w:pPr>
              <w:pStyle w:val="Tabletext"/>
              <w:jc w:val="center"/>
            </w:pPr>
          </w:p>
          <w:p w:rsidR="00C71E74" w:rsidRPr="00C61EAB" w:rsidRDefault="00C71E74" w:rsidP="009F1D4D">
            <w:pPr>
              <w:pStyle w:val="Tabletext"/>
              <w:jc w:val="center"/>
            </w:pPr>
            <w:r w:rsidRPr="00C61EAB">
              <w:t>27/36 (75.0%)</w:t>
            </w:r>
          </w:p>
          <w:p w:rsidR="00C71E74" w:rsidRPr="00C61EAB" w:rsidRDefault="00C71E74" w:rsidP="009F1D4D">
            <w:pPr>
              <w:pStyle w:val="Tabletext"/>
              <w:jc w:val="center"/>
            </w:pPr>
            <w:r w:rsidRPr="00C61EAB">
              <w:t>[57.8%, 87.9%]</w:t>
            </w:r>
          </w:p>
          <w:p w:rsidR="00C71E74" w:rsidRPr="00C61EAB" w:rsidRDefault="00C71E74" w:rsidP="009F1D4D">
            <w:pPr>
              <w:pStyle w:val="Tabletext"/>
              <w:jc w:val="center"/>
            </w:pPr>
            <w:r w:rsidRPr="00C61EAB">
              <w:t>29/31 (93.5%)</w:t>
            </w:r>
          </w:p>
          <w:p w:rsidR="00C71E74" w:rsidRPr="00C61EAB" w:rsidRDefault="00C71E74" w:rsidP="009F1D4D">
            <w:pPr>
              <w:pStyle w:val="Tabletext"/>
              <w:jc w:val="center"/>
            </w:pPr>
            <w:r w:rsidRPr="00C61EAB">
              <w:t>[78.6%, 99.2%]</w:t>
            </w:r>
          </w:p>
        </w:tc>
        <w:tc>
          <w:tcPr>
            <w:tcW w:w="1314" w:type="pct"/>
            <w:tcBorders>
              <w:top w:val="single" w:sz="4" w:space="0" w:color="auto"/>
              <w:bottom w:val="single" w:sz="4" w:space="0" w:color="auto"/>
            </w:tcBorders>
          </w:tcPr>
          <w:p w:rsidR="00C71E74" w:rsidRPr="00C61EAB" w:rsidRDefault="00C71E74" w:rsidP="009F1D4D">
            <w:pPr>
              <w:pStyle w:val="Tabletext"/>
            </w:pPr>
          </w:p>
          <w:p w:rsidR="00C71E74" w:rsidRPr="00C61EAB" w:rsidRDefault="00C71E74" w:rsidP="009F1D4D">
            <w:pPr>
              <w:pStyle w:val="Tabletext"/>
            </w:pPr>
            <w:r w:rsidRPr="00C61EAB">
              <w:t>Advance cirrhosis</w:t>
            </w:r>
          </w:p>
          <w:p w:rsidR="00C71E74" w:rsidRPr="00C61EAB" w:rsidRDefault="00C71E74" w:rsidP="009F1D4D">
            <w:pPr>
              <w:pStyle w:val="Tabletext"/>
            </w:pPr>
          </w:p>
          <w:p w:rsidR="00C71E74" w:rsidRPr="00C61EAB" w:rsidRDefault="00C71E74" w:rsidP="009F1D4D">
            <w:pPr>
              <w:pStyle w:val="Tabletext"/>
            </w:pPr>
            <w:r w:rsidRPr="00C61EAB">
              <w:t>Post-liver transplant</w:t>
            </w:r>
          </w:p>
        </w:tc>
      </w:tr>
      <w:tr w:rsidR="00C71E74" w:rsidRPr="00C61EAB" w:rsidTr="009F524E">
        <w:tc>
          <w:tcPr>
            <w:tcW w:w="723" w:type="pct"/>
            <w:tcBorders>
              <w:top w:val="single" w:sz="4" w:space="0" w:color="auto"/>
              <w:bottom w:val="double" w:sz="4" w:space="0" w:color="auto"/>
            </w:tcBorders>
          </w:tcPr>
          <w:p w:rsidR="00C71E74" w:rsidRPr="00C61EAB" w:rsidRDefault="00C71E74" w:rsidP="009F1D4D">
            <w:pPr>
              <w:pStyle w:val="Tabletext"/>
            </w:pPr>
            <w:r w:rsidRPr="00C61EAB">
              <w:t>ALLY 2</w:t>
            </w:r>
          </w:p>
        </w:tc>
        <w:tc>
          <w:tcPr>
            <w:tcW w:w="1538" w:type="pct"/>
            <w:tcBorders>
              <w:top w:val="single" w:sz="4" w:space="0" w:color="auto"/>
              <w:bottom w:val="double" w:sz="4" w:space="0" w:color="auto"/>
            </w:tcBorders>
          </w:tcPr>
          <w:p w:rsidR="00C71E74" w:rsidRPr="00C61EAB" w:rsidRDefault="00C71E74" w:rsidP="009F1D4D">
            <w:pPr>
              <w:pStyle w:val="Tabletext"/>
              <w:jc w:val="center"/>
            </w:pPr>
            <w:r w:rsidRPr="00C61EAB">
              <w:t>DCV+SOF12</w:t>
            </w:r>
          </w:p>
        </w:tc>
        <w:tc>
          <w:tcPr>
            <w:tcW w:w="1426" w:type="pct"/>
            <w:tcBorders>
              <w:top w:val="single" w:sz="4" w:space="0" w:color="auto"/>
              <w:bottom w:val="double" w:sz="4" w:space="0" w:color="auto"/>
            </w:tcBorders>
          </w:tcPr>
          <w:p w:rsidR="00C71E74" w:rsidRPr="00C61EAB" w:rsidRDefault="00C71E74" w:rsidP="009F1D4D">
            <w:pPr>
              <w:pStyle w:val="Tabletext"/>
              <w:jc w:val="center"/>
            </w:pPr>
            <w:r w:rsidRPr="00C61EAB">
              <w:t>51/52 (98.1%)</w:t>
            </w:r>
          </w:p>
          <w:p w:rsidR="00C71E74" w:rsidRPr="00C61EAB" w:rsidRDefault="00C71E74" w:rsidP="009F1D4D">
            <w:pPr>
              <w:pStyle w:val="Tabletext"/>
              <w:jc w:val="center"/>
            </w:pPr>
            <w:r w:rsidRPr="00C61EAB">
              <w:t>[89.7%, 100%]</w:t>
            </w:r>
          </w:p>
        </w:tc>
        <w:tc>
          <w:tcPr>
            <w:tcW w:w="1314" w:type="pct"/>
            <w:tcBorders>
              <w:top w:val="single" w:sz="4" w:space="0" w:color="auto"/>
              <w:bottom w:val="double" w:sz="4" w:space="0" w:color="auto"/>
            </w:tcBorders>
          </w:tcPr>
          <w:p w:rsidR="00C71E74" w:rsidRPr="00C61EAB" w:rsidRDefault="00C71E74" w:rsidP="009F1D4D">
            <w:pPr>
              <w:pStyle w:val="Tabletext"/>
            </w:pPr>
            <w:r w:rsidRPr="00C61EAB">
              <w:t>HCV/HIV co-infection</w:t>
            </w:r>
          </w:p>
        </w:tc>
      </w:tr>
      <w:tr w:rsidR="00C71E74" w:rsidRPr="00C61EAB" w:rsidTr="00562F47">
        <w:tc>
          <w:tcPr>
            <w:tcW w:w="5000" w:type="pct"/>
            <w:gridSpan w:val="4"/>
            <w:tcBorders>
              <w:top w:val="double" w:sz="4" w:space="0" w:color="auto"/>
              <w:bottom w:val="single" w:sz="4" w:space="0" w:color="auto"/>
            </w:tcBorders>
          </w:tcPr>
          <w:p w:rsidR="00C71E74" w:rsidRPr="00C61EAB" w:rsidRDefault="00C71E74" w:rsidP="009F1D4D">
            <w:pPr>
              <w:pStyle w:val="Tabletext"/>
            </w:pPr>
            <w:r w:rsidRPr="00C61EAB">
              <w:rPr>
                <w:b/>
              </w:rPr>
              <w:t xml:space="preserve">Cirrhotic patients </w:t>
            </w:r>
          </w:p>
        </w:tc>
      </w:tr>
      <w:tr w:rsidR="00C71E74" w:rsidRPr="00C61EAB" w:rsidTr="009F524E">
        <w:tc>
          <w:tcPr>
            <w:tcW w:w="723" w:type="pct"/>
            <w:tcBorders>
              <w:bottom w:val="nil"/>
            </w:tcBorders>
          </w:tcPr>
          <w:p w:rsidR="00C71E74" w:rsidRPr="00C61EAB" w:rsidRDefault="00C71E74" w:rsidP="009F1D4D">
            <w:pPr>
              <w:pStyle w:val="Tabletext"/>
            </w:pPr>
            <w:r w:rsidRPr="00C61EAB">
              <w:t>ALLY 1</w:t>
            </w:r>
          </w:p>
          <w:p w:rsidR="00C71E74" w:rsidRPr="00C61EAB" w:rsidRDefault="007E10C7" w:rsidP="007E10C7">
            <w:pPr>
              <w:pStyle w:val="Tabletext"/>
              <w:spacing w:after="40"/>
              <w:ind w:left="142"/>
            </w:pPr>
            <w:r w:rsidRPr="00C61EAB">
              <w:t>Genotypes 1-4 and 6</w:t>
            </w:r>
          </w:p>
        </w:tc>
        <w:tc>
          <w:tcPr>
            <w:tcW w:w="1538" w:type="pct"/>
            <w:tcBorders>
              <w:bottom w:val="nil"/>
            </w:tcBorders>
          </w:tcPr>
          <w:p w:rsidR="00C71E74" w:rsidRPr="00C61EAB" w:rsidRDefault="00C71E74" w:rsidP="009F1D4D">
            <w:pPr>
              <w:pStyle w:val="Tabletext"/>
              <w:jc w:val="center"/>
            </w:pPr>
          </w:p>
          <w:p w:rsidR="00C71E74" w:rsidRPr="00C61EAB" w:rsidRDefault="00C71E74" w:rsidP="009F1D4D">
            <w:pPr>
              <w:pStyle w:val="Tabletext"/>
              <w:jc w:val="center"/>
            </w:pPr>
            <w:r w:rsidRPr="00C61EAB">
              <w:t>DCV+SOF+RBV12</w:t>
            </w:r>
          </w:p>
        </w:tc>
        <w:tc>
          <w:tcPr>
            <w:tcW w:w="1426" w:type="pct"/>
            <w:tcBorders>
              <w:bottom w:val="nil"/>
            </w:tcBorders>
          </w:tcPr>
          <w:p w:rsidR="00C71E74" w:rsidRPr="00C61EAB" w:rsidRDefault="00C71E74" w:rsidP="009F1D4D">
            <w:pPr>
              <w:pStyle w:val="Tabletext"/>
              <w:jc w:val="center"/>
            </w:pPr>
          </w:p>
          <w:p w:rsidR="00C71E74" w:rsidRPr="00C61EAB" w:rsidRDefault="00AF7516" w:rsidP="009F1D4D">
            <w:pPr>
              <w:pStyle w:val="Tabletext"/>
              <w:jc w:val="center"/>
            </w:pPr>
            <w:r w:rsidRPr="00C61EAB">
              <w:t>50</w:t>
            </w:r>
            <w:r w:rsidR="00C71E74" w:rsidRPr="00C61EAB">
              <w:t>/60 (</w:t>
            </w:r>
            <w:r w:rsidRPr="00C61EAB">
              <w:t>83.3</w:t>
            </w:r>
            <w:r w:rsidR="00C71E74" w:rsidRPr="00C61EAB">
              <w:t>%)</w:t>
            </w:r>
          </w:p>
          <w:p w:rsidR="00C71E74" w:rsidRPr="00C61EAB" w:rsidRDefault="00AF7516" w:rsidP="00562F47">
            <w:pPr>
              <w:pStyle w:val="Tabletext"/>
              <w:jc w:val="center"/>
            </w:pPr>
            <w:r w:rsidRPr="00C61EAB">
              <w:t>[71.5%, 91.7%]</w:t>
            </w:r>
          </w:p>
        </w:tc>
        <w:tc>
          <w:tcPr>
            <w:tcW w:w="1314" w:type="pct"/>
            <w:tcBorders>
              <w:bottom w:val="nil"/>
            </w:tcBorders>
          </w:tcPr>
          <w:p w:rsidR="00C71E74" w:rsidRPr="00C61EAB" w:rsidRDefault="00C71E74" w:rsidP="009F1D4D">
            <w:pPr>
              <w:pStyle w:val="Tabletext"/>
            </w:pPr>
          </w:p>
          <w:p w:rsidR="00C71E74" w:rsidRPr="00C61EAB" w:rsidRDefault="00C71E74" w:rsidP="00562F47">
            <w:pPr>
              <w:pStyle w:val="Tabletext"/>
            </w:pPr>
            <w:r w:rsidRPr="00C61EAB">
              <w:t>Advance cirrhosis</w:t>
            </w:r>
          </w:p>
        </w:tc>
      </w:tr>
      <w:tr w:rsidR="00562F47" w:rsidRPr="00C61EAB" w:rsidTr="009F524E">
        <w:tc>
          <w:tcPr>
            <w:tcW w:w="723" w:type="pct"/>
            <w:tcBorders>
              <w:top w:val="nil"/>
              <w:bottom w:val="dotted" w:sz="4" w:space="0" w:color="auto"/>
            </w:tcBorders>
          </w:tcPr>
          <w:p w:rsidR="00562F47" w:rsidRPr="00C61EAB" w:rsidRDefault="00562F47" w:rsidP="00562F47">
            <w:pPr>
              <w:pStyle w:val="Tabletext"/>
              <w:ind w:left="143"/>
            </w:pPr>
            <w:r w:rsidRPr="00C61EAB">
              <w:t>Genotype 1</w:t>
            </w:r>
          </w:p>
        </w:tc>
        <w:tc>
          <w:tcPr>
            <w:tcW w:w="1538" w:type="pct"/>
            <w:tcBorders>
              <w:top w:val="nil"/>
              <w:bottom w:val="dotted" w:sz="4" w:space="0" w:color="auto"/>
            </w:tcBorders>
          </w:tcPr>
          <w:p w:rsidR="00562F47" w:rsidRPr="00C61EAB" w:rsidRDefault="00562F47" w:rsidP="009F1D4D">
            <w:pPr>
              <w:pStyle w:val="Tabletext"/>
              <w:jc w:val="center"/>
            </w:pPr>
            <w:r w:rsidRPr="00C61EAB">
              <w:t>DCV+SOF+RBV12</w:t>
            </w:r>
          </w:p>
        </w:tc>
        <w:tc>
          <w:tcPr>
            <w:tcW w:w="1426" w:type="pct"/>
            <w:tcBorders>
              <w:top w:val="nil"/>
              <w:bottom w:val="dotted" w:sz="4" w:space="0" w:color="auto"/>
            </w:tcBorders>
          </w:tcPr>
          <w:p w:rsidR="00562F47" w:rsidRPr="00C61EAB" w:rsidRDefault="00562F47" w:rsidP="00562F47">
            <w:pPr>
              <w:pStyle w:val="Tabletext"/>
              <w:jc w:val="center"/>
            </w:pPr>
            <w:r w:rsidRPr="00C61EAB">
              <w:t>37/45 (82.2%)</w:t>
            </w:r>
          </w:p>
          <w:p w:rsidR="00562F47" w:rsidRPr="00C61EAB" w:rsidRDefault="00562F47" w:rsidP="00562F47">
            <w:pPr>
              <w:pStyle w:val="Tabletext"/>
              <w:jc w:val="center"/>
            </w:pPr>
            <w:r w:rsidRPr="00C61EAB">
              <w:t>[67.9%, 92.0%]</w:t>
            </w:r>
          </w:p>
        </w:tc>
        <w:tc>
          <w:tcPr>
            <w:tcW w:w="1314" w:type="pct"/>
            <w:tcBorders>
              <w:top w:val="nil"/>
              <w:bottom w:val="dotted" w:sz="4" w:space="0" w:color="auto"/>
            </w:tcBorders>
          </w:tcPr>
          <w:p w:rsidR="00562F47" w:rsidRPr="00C61EAB" w:rsidRDefault="00562F47" w:rsidP="009F1D4D">
            <w:pPr>
              <w:pStyle w:val="Tabletext"/>
            </w:pPr>
            <w:r w:rsidRPr="00C61EAB">
              <w:t>Advance cirrhosis</w:t>
            </w:r>
          </w:p>
        </w:tc>
      </w:tr>
      <w:tr w:rsidR="00C71E74" w:rsidRPr="00C61EAB" w:rsidTr="009F524E">
        <w:tc>
          <w:tcPr>
            <w:tcW w:w="723" w:type="pct"/>
            <w:tcBorders>
              <w:top w:val="single" w:sz="4" w:space="0" w:color="auto"/>
              <w:bottom w:val="single" w:sz="4" w:space="0" w:color="auto"/>
            </w:tcBorders>
          </w:tcPr>
          <w:p w:rsidR="00C71E74" w:rsidRPr="00C61EAB" w:rsidRDefault="00C71E74" w:rsidP="009F1D4D">
            <w:pPr>
              <w:pStyle w:val="Tabletext"/>
            </w:pPr>
            <w:r w:rsidRPr="00C61EAB">
              <w:t>ALLY 2</w:t>
            </w:r>
          </w:p>
          <w:p w:rsidR="00C71E74" w:rsidRPr="00C61EAB" w:rsidRDefault="00C71E74" w:rsidP="009F1D4D">
            <w:pPr>
              <w:pStyle w:val="Tabletext"/>
              <w:ind w:left="142"/>
            </w:pPr>
            <w:r w:rsidRPr="00C61EAB">
              <w:t>TN</w:t>
            </w:r>
          </w:p>
          <w:p w:rsidR="00C71E74" w:rsidRPr="00C61EAB" w:rsidRDefault="00C71E74" w:rsidP="009F1D4D">
            <w:pPr>
              <w:pStyle w:val="Tabletext"/>
              <w:ind w:left="142"/>
            </w:pPr>
          </w:p>
          <w:p w:rsidR="00C71E74" w:rsidRPr="00C61EAB" w:rsidRDefault="00C71E74" w:rsidP="009F1D4D">
            <w:pPr>
              <w:pStyle w:val="Tabletext"/>
              <w:ind w:left="142"/>
            </w:pPr>
            <w:r w:rsidRPr="00C61EAB">
              <w:t>TE</w:t>
            </w:r>
          </w:p>
        </w:tc>
        <w:tc>
          <w:tcPr>
            <w:tcW w:w="1538" w:type="pct"/>
            <w:tcBorders>
              <w:top w:val="single" w:sz="4" w:space="0" w:color="auto"/>
              <w:bottom w:val="single" w:sz="4" w:space="0" w:color="auto"/>
            </w:tcBorders>
          </w:tcPr>
          <w:p w:rsidR="00C71E74" w:rsidRPr="00C61EAB" w:rsidRDefault="00C71E74" w:rsidP="009F1D4D">
            <w:pPr>
              <w:pStyle w:val="Tabletext"/>
              <w:jc w:val="center"/>
            </w:pPr>
          </w:p>
          <w:p w:rsidR="00C71E74" w:rsidRPr="00C61EAB" w:rsidRDefault="00C71E74" w:rsidP="009F1D4D">
            <w:pPr>
              <w:pStyle w:val="Tabletext"/>
              <w:jc w:val="center"/>
            </w:pPr>
            <w:r w:rsidRPr="00C61EAB">
              <w:t>DCV+SOF12</w:t>
            </w:r>
          </w:p>
          <w:p w:rsidR="00C71E74" w:rsidRPr="00C61EAB" w:rsidRDefault="00C71E74" w:rsidP="009F1D4D">
            <w:pPr>
              <w:pStyle w:val="Tabletext"/>
              <w:jc w:val="center"/>
            </w:pPr>
          </w:p>
          <w:p w:rsidR="00C71E74" w:rsidRPr="00C61EAB" w:rsidRDefault="00C71E74" w:rsidP="009F1D4D">
            <w:pPr>
              <w:pStyle w:val="Tabletext"/>
              <w:jc w:val="center"/>
            </w:pPr>
            <w:r w:rsidRPr="00C61EAB">
              <w:t>DCV+SOF12</w:t>
            </w:r>
          </w:p>
        </w:tc>
        <w:tc>
          <w:tcPr>
            <w:tcW w:w="1426" w:type="pct"/>
            <w:tcBorders>
              <w:top w:val="single" w:sz="4" w:space="0" w:color="auto"/>
              <w:bottom w:val="single" w:sz="4" w:space="0" w:color="auto"/>
            </w:tcBorders>
          </w:tcPr>
          <w:p w:rsidR="00C71E74" w:rsidRPr="00C61EAB" w:rsidRDefault="00C71E74" w:rsidP="009F1D4D">
            <w:pPr>
              <w:pStyle w:val="Tabletext"/>
              <w:jc w:val="center"/>
            </w:pPr>
          </w:p>
          <w:p w:rsidR="00C71E74" w:rsidRPr="00C61EAB" w:rsidRDefault="00C71E74" w:rsidP="009F1D4D">
            <w:pPr>
              <w:pStyle w:val="Tabletext"/>
              <w:jc w:val="center"/>
            </w:pPr>
            <w:r w:rsidRPr="00C61EAB">
              <w:t>8/9 (88.9%)</w:t>
            </w:r>
          </w:p>
          <w:p w:rsidR="00C71E74" w:rsidRPr="00C61EAB" w:rsidRDefault="00C71E74" w:rsidP="009F1D4D">
            <w:pPr>
              <w:pStyle w:val="Tabletext"/>
              <w:jc w:val="center"/>
            </w:pPr>
            <w:r w:rsidRPr="00C61EAB">
              <w:t>[51.8%, 99.7%]</w:t>
            </w:r>
          </w:p>
          <w:p w:rsidR="00C71E74" w:rsidRPr="00C61EAB" w:rsidRDefault="00C71E74" w:rsidP="009F1D4D">
            <w:pPr>
              <w:pStyle w:val="Tabletext"/>
              <w:jc w:val="center"/>
            </w:pPr>
            <w:r w:rsidRPr="00C61EAB">
              <w:t>14/15 (93.3%)</w:t>
            </w:r>
          </w:p>
          <w:p w:rsidR="00C71E74" w:rsidRPr="00C61EAB" w:rsidRDefault="00C71E74" w:rsidP="009F1D4D">
            <w:pPr>
              <w:pStyle w:val="Tabletext"/>
              <w:jc w:val="center"/>
            </w:pPr>
            <w:r w:rsidRPr="00C61EAB">
              <w:t>[68.1%, 99.8%]</w:t>
            </w:r>
          </w:p>
        </w:tc>
        <w:tc>
          <w:tcPr>
            <w:tcW w:w="1314" w:type="pct"/>
            <w:tcBorders>
              <w:top w:val="single" w:sz="4" w:space="0" w:color="auto"/>
              <w:bottom w:val="single" w:sz="4" w:space="0" w:color="auto"/>
            </w:tcBorders>
          </w:tcPr>
          <w:p w:rsidR="00C71E74" w:rsidRPr="00C61EAB" w:rsidRDefault="00C71E74" w:rsidP="009F1D4D">
            <w:pPr>
              <w:pStyle w:val="Tabletext"/>
            </w:pPr>
          </w:p>
          <w:p w:rsidR="00C71E74" w:rsidRPr="00C61EAB" w:rsidRDefault="00C71E74" w:rsidP="009F1D4D">
            <w:pPr>
              <w:pStyle w:val="Tabletext"/>
            </w:pPr>
            <w:r w:rsidRPr="00C61EAB">
              <w:t>HCV/HIV co-infection</w:t>
            </w:r>
          </w:p>
        </w:tc>
      </w:tr>
    </w:tbl>
    <w:p w:rsidR="00C71E74" w:rsidRPr="00C61EAB" w:rsidRDefault="00C71E74" w:rsidP="00C71E74">
      <w:pPr>
        <w:pStyle w:val="TableFooter"/>
        <w:ind w:left="710"/>
      </w:pPr>
      <w:r w:rsidRPr="00C61EAB">
        <w:t xml:space="preserve">DCV = daclatasvir; HCV = hepatitis C virus; HIV = human immunodeficiency virus; RBV = ribavirin; SOF = sofosbuvir; SVR = sustained virologic response; TE = treatment experienced; TN = treatment </w:t>
      </w:r>
      <w:r w:rsidR="006E570C" w:rsidRPr="00C61EAB">
        <w:t>naïve</w:t>
      </w:r>
    </w:p>
    <w:p w:rsidR="006E570C" w:rsidRPr="00C61EAB" w:rsidRDefault="006E570C" w:rsidP="006E570C">
      <w:pPr>
        <w:pStyle w:val="TableFooter"/>
        <w:ind w:left="720"/>
      </w:pPr>
      <w:r w:rsidRPr="00C61EAB">
        <w:t>* SVR defined as HCV RNA &lt; lower limit of quantification (target detected or target not detected).</w:t>
      </w:r>
    </w:p>
    <w:p w:rsidR="00C71E74" w:rsidRPr="00C61EAB" w:rsidRDefault="00C71E74" w:rsidP="00C71E74">
      <w:pPr>
        <w:pStyle w:val="TableFooter"/>
        <w:ind w:left="714" w:hanging="28"/>
      </w:pPr>
      <w:r w:rsidRPr="00C61EAB">
        <w:t>*</w:t>
      </w:r>
      <w:r w:rsidR="006E570C" w:rsidRPr="00C61EAB">
        <w:t>*</w:t>
      </w:r>
      <w:r w:rsidRPr="00C61EAB">
        <w:t xml:space="preserve"> </w:t>
      </w:r>
      <w:r w:rsidR="004E66EC" w:rsidRPr="00C61EAB">
        <w:t>The ALLY 2 CSR stat</w:t>
      </w:r>
      <w:r w:rsidRPr="00C61EAB">
        <w:t>es that no patients with genotype 6 HCV infection were included in the study (</w:t>
      </w:r>
      <w:r w:rsidR="004E66EC" w:rsidRPr="00C61EAB">
        <w:t>p68</w:t>
      </w:r>
      <w:r w:rsidRPr="00C61EAB">
        <w:t xml:space="preserve"> ALLY 2 CSR).</w:t>
      </w:r>
    </w:p>
    <w:p w:rsidR="00C71E74" w:rsidRPr="00C61EAB" w:rsidRDefault="00C71E74" w:rsidP="00C71E74">
      <w:pPr>
        <w:pStyle w:val="TableFooter"/>
        <w:ind w:left="686"/>
      </w:pPr>
      <w:r w:rsidRPr="00C61EAB">
        <w:t xml:space="preserve">Source: Table constructed during the evaluation, based on data presented in Table 7, p11 and Table 8, p12 of the resubmission; Table 7.1-1 p64, Table S.5.1B p181, Table 7.3.2-1 p67, Table 7.3.4-1 p71 and Table 7.3.4-2 p72 ALLY 1 CSR; Table 7.1-1 p81, Table S.5.1B p228, Table 7.3.2-1 p84, Table 7.3.5-1 p93 ALLY 2 CSR. </w:t>
      </w:r>
    </w:p>
    <w:p w:rsidR="00C71E74" w:rsidRPr="00882085" w:rsidRDefault="00C71E74" w:rsidP="00C71E74">
      <w:pPr>
        <w:rPr>
          <w:szCs w:val="22"/>
        </w:rPr>
      </w:pPr>
    </w:p>
    <w:p w:rsidR="008E2A78" w:rsidRPr="003476AB" w:rsidRDefault="008E2A78" w:rsidP="008E2A78">
      <w:pPr>
        <w:pStyle w:val="ListParagraph"/>
        <w:widowControl/>
        <w:numPr>
          <w:ilvl w:val="1"/>
          <w:numId w:val="5"/>
        </w:numPr>
        <w:rPr>
          <w:szCs w:val="22"/>
        </w:rPr>
      </w:pPr>
      <w:r w:rsidRPr="005641BC">
        <w:t xml:space="preserve">The results from the CUPs supported the claim that DCV+SOF±RBV12/24 was effective in genotype 1-4 HCV patients and patients with advanced disease, but </w:t>
      </w:r>
      <w:r w:rsidR="00004038" w:rsidRPr="005641BC">
        <w:t>for many patient subgroups, the</w:t>
      </w:r>
      <w:r w:rsidRPr="005641BC">
        <w:t xml:space="preserve"> treatment regimens</w:t>
      </w:r>
      <w:r w:rsidR="00004038" w:rsidRPr="005641BC">
        <w:t xml:space="preserve"> used </w:t>
      </w:r>
      <w:r w:rsidR="005C1F21" w:rsidRPr="005641BC">
        <w:t xml:space="preserve">in the CUPs </w:t>
      </w:r>
      <w:r w:rsidR="00004038" w:rsidRPr="005641BC">
        <w:t>were not consistent</w:t>
      </w:r>
      <w:r w:rsidRPr="005641BC">
        <w:t xml:space="preserve"> </w:t>
      </w:r>
      <w:r w:rsidR="00004038" w:rsidRPr="005641BC">
        <w:t xml:space="preserve">with </w:t>
      </w:r>
      <w:r w:rsidRPr="005641BC">
        <w:t>those proposed in original submission</w:t>
      </w:r>
      <w:r w:rsidR="00004038" w:rsidRPr="005641BC">
        <w:t xml:space="preserve"> in regard to duration of treatment and concomitant use of </w:t>
      </w:r>
      <w:r w:rsidR="00A22A7F" w:rsidRPr="005641BC">
        <w:t>ribavirin</w:t>
      </w:r>
      <w:r w:rsidR="00004038" w:rsidRPr="005641BC">
        <w:t xml:space="preserve">. </w:t>
      </w:r>
      <w:r w:rsidRPr="005641BC">
        <w:t>Further, there was considerable risk of bias in the results for these studies.</w:t>
      </w:r>
      <w:r w:rsidR="003476AB">
        <w:t xml:space="preserve"> </w:t>
      </w:r>
      <w:r w:rsidR="00846C55" w:rsidRPr="0046531C">
        <w:t>The ESC noted the updated interim analysis of</w:t>
      </w:r>
      <w:r w:rsidR="00846C55" w:rsidRPr="003476AB">
        <w:rPr>
          <w:i/>
        </w:rPr>
        <w:t xml:space="preserve"> </w:t>
      </w:r>
      <w:r w:rsidR="00846C55" w:rsidRPr="0046531C">
        <w:t xml:space="preserve">the EU CUP provided in the PSCR </w:t>
      </w:r>
      <w:r w:rsidR="000E7C8B" w:rsidRPr="0046531C">
        <w:t xml:space="preserve">(p3) </w:t>
      </w:r>
      <w:r w:rsidR="00846C55" w:rsidRPr="0046531C">
        <w:t>including 408 patients with an SVR12 result available. The ESC agreed with the commentary that limiting the effectiveness estimates to only those with an SVR12 result available is likely to result in bias in favour of treatment.</w:t>
      </w:r>
    </w:p>
    <w:p w:rsidR="008E2A78" w:rsidRPr="005641BC" w:rsidRDefault="008E2A78" w:rsidP="008E2A78">
      <w:pPr>
        <w:pStyle w:val="ListParagraph"/>
        <w:widowControl/>
        <w:rPr>
          <w:szCs w:val="22"/>
        </w:rPr>
      </w:pPr>
    </w:p>
    <w:p w:rsidR="00C71E74" w:rsidRPr="005641BC" w:rsidRDefault="00C71E74" w:rsidP="00C71E74">
      <w:pPr>
        <w:pStyle w:val="ListParagraph"/>
        <w:widowControl/>
        <w:numPr>
          <w:ilvl w:val="1"/>
          <w:numId w:val="5"/>
        </w:numPr>
        <w:rPr>
          <w:szCs w:val="22"/>
        </w:rPr>
      </w:pPr>
      <w:r w:rsidRPr="005641BC">
        <w:t>Overall, the results of the studies indicate</w:t>
      </w:r>
      <w:r w:rsidR="00A71417" w:rsidRPr="005641BC">
        <w:t>d</w:t>
      </w:r>
      <w:r w:rsidRPr="005641BC">
        <w:t xml:space="preserve"> that DCV+SOF±RBV </w:t>
      </w:r>
      <w:r w:rsidR="00A71417" w:rsidRPr="005641BC">
        <w:t>wa</w:t>
      </w:r>
      <w:r w:rsidRPr="005641BC">
        <w:t xml:space="preserve">s effective across all patient subgroups, apart from patients with genotype 5 HCV for whom no results </w:t>
      </w:r>
      <w:r w:rsidR="00A71417" w:rsidRPr="005641BC">
        <w:t xml:space="preserve">were </w:t>
      </w:r>
      <w:r w:rsidRPr="005641BC">
        <w:t xml:space="preserve">available. However, in ALLY 1 and ALLY 2, the sample size in many patient </w:t>
      </w:r>
      <w:r w:rsidRPr="005641BC">
        <w:lastRenderedPageBreak/>
        <w:t xml:space="preserve">subgroups </w:t>
      </w:r>
      <w:r w:rsidR="00A71417" w:rsidRPr="005641BC">
        <w:t xml:space="preserve">was </w:t>
      </w:r>
      <w:r w:rsidRPr="005641BC">
        <w:t xml:space="preserve">too small to accurately estimate the magnitude of the clinical benefit. Further, there </w:t>
      </w:r>
      <w:r w:rsidR="00A71417" w:rsidRPr="005641BC">
        <w:t xml:space="preserve">was </w:t>
      </w:r>
      <w:r w:rsidRPr="005641BC">
        <w:t>considerable risk of bias in the results reported for the CUPs.</w:t>
      </w:r>
    </w:p>
    <w:p w:rsidR="00F72118" w:rsidRPr="005641BC" w:rsidRDefault="00F72118" w:rsidP="00F72118">
      <w:pPr>
        <w:pStyle w:val="ListParagraph"/>
        <w:widowControl/>
        <w:rPr>
          <w:szCs w:val="22"/>
        </w:rPr>
      </w:pPr>
    </w:p>
    <w:p w:rsidR="00F72118" w:rsidRDefault="00471715" w:rsidP="00C71E74">
      <w:pPr>
        <w:pStyle w:val="ListParagraph"/>
        <w:widowControl/>
        <w:numPr>
          <w:ilvl w:val="1"/>
          <w:numId w:val="5"/>
        </w:numPr>
        <w:rPr>
          <w:szCs w:val="22"/>
        </w:rPr>
      </w:pPr>
      <w:r w:rsidRPr="005641BC">
        <w:rPr>
          <w:szCs w:val="22"/>
        </w:rPr>
        <w:t xml:space="preserve">A comparison of SVR12 outcomes for DCV+SOF12 and other all-oral CHC treatment regimens was presented in </w:t>
      </w:r>
      <w:r w:rsidR="005E40BC" w:rsidRPr="000E7C8B">
        <w:t>Table B(ii).6.5</w:t>
      </w:r>
      <w:r w:rsidR="000E7C8B">
        <w:t xml:space="preserve"> of the commentary</w:t>
      </w:r>
      <w:r w:rsidRPr="005641BC">
        <w:rPr>
          <w:szCs w:val="22"/>
        </w:rPr>
        <w:t>. Due to exchangeability issues between studies, the results of these unadjusted indirect comparisons were highly uncertain.</w:t>
      </w:r>
    </w:p>
    <w:p w:rsidR="0076029C" w:rsidRPr="0076029C" w:rsidRDefault="0076029C" w:rsidP="0076029C">
      <w:pPr>
        <w:pStyle w:val="ListParagraph"/>
        <w:rPr>
          <w:szCs w:val="22"/>
        </w:rPr>
      </w:pPr>
    </w:p>
    <w:p w:rsidR="0076029C" w:rsidRDefault="0076029C" w:rsidP="009711A6">
      <w:pPr>
        <w:pStyle w:val="ListParagraph"/>
        <w:widowControl/>
        <w:numPr>
          <w:ilvl w:val="1"/>
          <w:numId w:val="5"/>
        </w:numPr>
        <w:rPr>
          <w:szCs w:val="22"/>
        </w:rPr>
      </w:pPr>
      <w:r>
        <w:rPr>
          <w:szCs w:val="22"/>
        </w:rPr>
        <w:t xml:space="preserve">The pre-PBAC response </w:t>
      </w:r>
      <w:r w:rsidRPr="0076029C">
        <w:rPr>
          <w:szCs w:val="22"/>
        </w:rPr>
        <w:t>provide</w:t>
      </w:r>
      <w:r>
        <w:rPr>
          <w:szCs w:val="22"/>
        </w:rPr>
        <w:t>d</w:t>
      </w:r>
      <w:r w:rsidRPr="0076029C">
        <w:rPr>
          <w:szCs w:val="22"/>
        </w:rPr>
        <w:t xml:space="preserve"> the breakdown of SVR rates for treatment naïve cirrhotic GT1 CHC patients and for treatment experienced cirrhotic GT1 CHC patients from ALLY-1</w:t>
      </w:r>
      <w:r w:rsidR="00DE2FB9">
        <w:rPr>
          <w:szCs w:val="22"/>
        </w:rPr>
        <w:t xml:space="preserve"> (</w:t>
      </w:r>
      <w:r w:rsidR="00DE2FB9" w:rsidRPr="00DE2FB9">
        <w:rPr>
          <w:szCs w:val="22"/>
        </w:rPr>
        <w:t>DCV+SOF+RBV 12</w:t>
      </w:r>
      <w:r w:rsidR="00DE2FB9">
        <w:rPr>
          <w:szCs w:val="22"/>
        </w:rPr>
        <w:t>)</w:t>
      </w:r>
      <w:r w:rsidRPr="0076029C">
        <w:rPr>
          <w:szCs w:val="22"/>
        </w:rPr>
        <w:t xml:space="preserve"> and ALLY-2</w:t>
      </w:r>
      <w:r w:rsidR="00DE2FB9">
        <w:rPr>
          <w:szCs w:val="22"/>
        </w:rPr>
        <w:t xml:space="preserve"> (</w:t>
      </w:r>
      <w:r w:rsidR="00F352B9">
        <w:rPr>
          <w:szCs w:val="22"/>
        </w:rPr>
        <w:t>DCV+SOF</w:t>
      </w:r>
      <w:r w:rsidR="00DE2FB9" w:rsidRPr="00DE2FB9">
        <w:rPr>
          <w:szCs w:val="22"/>
        </w:rPr>
        <w:t>12</w:t>
      </w:r>
      <w:r w:rsidR="00DE2FB9">
        <w:rPr>
          <w:szCs w:val="22"/>
        </w:rPr>
        <w:t>)</w:t>
      </w:r>
      <w:r>
        <w:rPr>
          <w:szCs w:val="22"/>
        </w:rPr>
        <w:t xml:space="preserve">. </w:t>
      </w:r>
    </w:p>
    <w:p w:rsidR="009711A6" w:rsidRPr="009711A6" w:rsidRDefault="009711A6" w:rsidP="009711A6">
      <w:pPr>
        <w:widowControl/>
        <w:rPr>
          <w:szCs w:val="22"/>
        </w:rPr>
      </w:pPr>
    </w:p>
    <w:p w:rsidR="0076029C" w:rsidRDefault="0076029C" w:rsidP="0076029C">
      <w:pPr>
        <w:pStyle w:val="Caption"/>
        <w:ind w:firstLine="720"/>
      </w:pPr>
      <w:r>
        <w:t xml:space="preserve">Table 5: </w:t>
      </w:r>
      <w:r w:rsidRPr="0076029C">
        <w:t>SVR rates from ALLY-1 &amp; ALLY-2 specific to naïve and experienced cirrhotic GT1 patients</w:t>
      </w:r>
    </w:p>
    <w:p w:rsidR="005B4D1F" w:rsidRPr="005B4D1F" w:rsidRDefault="005B4D1F" w:rsidP="005B4D1F"/>
    <w:tbl>
      <w:tblPr>
        <w:tblStyle w:val="TableGrid"/>
        <w:tblW w:w="3906" w:type="pct"/>
        <w:tblInd w:w="864" w:type="dxa"/>
        <w:tblLook w:val="04A0" w:firstRow="1" w:lastRow="0" w:firstColumn="1" w:lastColumn="0" w:noHBand="0" w:noVBand="1"/>
        <w:tblCaption w:val="Table 5: SVR rates from ALLY-1 &amp; ALLY-2"/>
      </w:tblPr>
      <w:tblGrid>
        <w:gridCol w:w="1975"/>
        <w:gridCol w:w="3311"/>
        <w:gridCol w:w="1934"/>
      </w:tblGrid>
      <w:tr w:rsidR="0076029C" w:rsidTr="009711A6">
        <w:trPr>
          <w:trHeight w:val="270"/>
          <w:tblHeader/>
        </w:trPr>
        <w:tc>
          <w:tcPr>
            <w:tcW w:w="1368" w:type="pct"/>
          </w:tcPr>
          <w:p w:rsidR="0076029C" w:rsidRPr="005B4D1F" w:rsidRDefault="0076029C" w:rsidP="005B4D1F">
            <w:pPr>
              <w:pStyle w:val="Tabletext"/>
              <w:jc w:val="center"/>
              <w:rPr>
                <w:b/>
              </w:rPr>
            </w:pPr>
            <w:r w:rsidRPr="005B4D1F">
              <w:rPr>
                <w:b/>
              </w:rPr>
              <w:t>Cirrhotic patients</w:t>
            </w:r>
          </w:p>
        </w:tc>
        <w:tc>
          <w:tcPr>
            <w:tcW w:w="2293" w:type="pct"/>
          </w:tcPr>
          <w:p w:rsidR="0076029C" w:rsidRPr="005B4D1F" w:rsidRDefault="0076029C" w:rsidP="005B4D1F">
            <w:pPr>
              <w:pStyle w:val="Tabletext"/>
              <w:jc w:val="center"/>
              <w:rPr>
                <w:b/>
              </w:rPr>
            </w:pPr>
            <w:r w:rsidRPr="005B4D1F">
              <w:rPr>
                <w:b/>
              </w:rPr>
              <w:t>Prior HCV treatment status</w:t>
            </w:r>
          </w:p>
        </w:tc>
        <w:tc>
          <w:tcPr>
            <w:tcW w:w="1339" w:type="pct"/>
          </w:tcPr>
          <w:p w:rsidR="0076029C" w:rsidRPr="005B4D1F" w:rsidRDefault="0076029C" w:rsidP="005B4D1F">
            <w:pPr>
              <w:pStyle w:val="Tabletext"/>
              <w:jc w:val="center"/>
              <w:rPr>
                <w:b/>
              </w:rPr>
            </w:pPr>
            <w:r w:rsidRPr="005B4D1F">
              <w:rPr>
                <w:b/>
              </w:rPr>
              <w:t>SVR12</w:t>
            </w:r>
          </w:p>
        </w:tc>
      </w:tr>
      <w:tr w:rsidR="0076029C" w:rsidTr="005B4D1F">
        <w:trPr>
          <w:trHeight w:val="251"/>
        </w:trPr>
        <w:tc>
          <w:tcPr>
            <w:tcW w:w="1368" w:type="pct"/>
          </w:tcPr>
          <w:p w:rsidR="0076029C" w:rsidRDefault="0076029C" w:rsidP="005B4D1F">
            <w:pPr>
              <w:pStyle w:val="Tabletext"/>
              <w:jc w:val="center"/>
            </w:pPr>
            <w:r>
              <w:t>ALLY-1</w:t>
            </w:r>
          </w:p>
        </w:tc>
        <w:tc>
          <w:tcPr>
            <w:tcW w:w="2293" w:type="pct"/>
          </w:tcPr>
          <w:p w:rsidR="0076029C" w:rsidRDefault="0076029C" w:rsidP="005B4D1F">
            <w:pPr>
              <w:pStyle w:val="Tabletext"/>
              <w:jc w:val="center"/>
            </w:pPr>
            <w:r w:rsidRPr="0076029C">
              <w:t>Naïve (responders/treated)</w:t>
            </w:r>
          </w:p>
        </w:tc>
        <w:tc>
          <w:tcPr>
            <w:tcW w:w="1339" w:type="pct"/>
          </w:tcPr>
          <w:p w:rsidR="0076029C" w:rsidRDefault="005B4D1F" w:rsidP="005B4D1F">
            <w:pPr>
              <w:pStyle w:val="Tabletext"/>
              <w:jc w:val="center"/>
            </w:pPr>
            <w:r w:rsidRPr="005B4D1F">
              <w:t>16/18 (88.9%)</w:t>
            </w:r>
          </w:p>
        </w:tc>
      </w:tr>
      <w:tr w:rsidR="0076029C" w:rsidTr="005B4D1F">
        <w:trPr>
          <w:trHeight w:val="251"/>
        </w:trPr>
        <w:tc>
          <w:tcPr>
            <w:tcW w:w="1368" w:type="pct"/>
          </w:tcPr>
          <w:p w:rsidR="0076029C" w:rsidRDefault="0076029C" w:rsidP="005B4D1F">
            <w:pPr>
              <w:pStyle w:val="Tabletext"/>
              <w:jc w:val="center"/>
            </w:pPr>
            <w:r>
              <w:t>ALLY-1</w:t>
            </w:r>
          </w:p>
        </w:tc>
        <w:tc>
          <w:tcPr>
            <w:tcW w:w="2293" w:type="pct"/>
          </w:tcPr>
          <w:p w:rsidR="0076029C" w:rsidRDefault="0076029C" w:rsidP="005B4D1F">
            <w:pPr>
              <w:pStyle w:val="Tabletext"/>
              <w:jc w:val="center"/>
            </w:pPr>
            <w:r w:rsidRPr="0076029C">
              <w:t>Experienced (responders/ treated)</w:t>
            </w:r>
          </w:p>
        </w:tc>
        <w:tc>
          <w:tcPr>
            <w:tcW w:w="1339" w:type="pct"/>
          </w:tcPr>
          <w:p w:rsidR="0076029C" w:rsidRDefault="005B4D1F" w:rsidP="005B4D1F">
            <w:pPr>
              <w:pStyle w:val="Tabletext"/>
              <w:jc w:val="center"/>
            </w:pPr>
            <w:r w:rsidRPr="005B4D1F">
              <w:t>21/27 (77.8%)</w:t>
            </w:r>
          </w:p>
        </w:tc>
      </w:tr>
      <w:tr w:rsidR="0076029C" w:rsidTr="005B4D1F">
        <w:trPr>
          <w:trHeight w:val="270"/>
        </w:trPr>
        <w:tc>
          <w:tcPr>
            <w:tcW w:w="1368" w:type="pct"/>
          </w:tcPr>
          <w:p w:rsidR="0076029C" w:rsidRDefault="0076029C" w:rsidP="005B4D1F">
            <w:pPr>
              <w:pStyle w:val="Tabletext"/>
              <w:jc w:val="center"/>
            </w:pPr>
            <w:r>
              <w:t>ALLY-2</w:t>
            </w:r>
          </w:p>
        </w:tc>
        <w:tc>
          <w:tcPr>
            <w:tcW w:w="2293" w:type="pct"/>
          </w:tcPr>
          <w:p w:rsidR="0076029C" w:rsidRDefault="0076029C" w:rsidP="005B4D1F">
            <w:pPr>
              <w:pStyle w:val="Tabletext"/>
              <w:jc w:val="center"/>
            </w:pPr>
            <w:r w:rsidRPr="0076029C">
              <w:t>Naïve (responders/treated)</w:t>
            </w:r>
          </w:p>
        </w:tc>
        <w:tc>
          <w:tcPr>
            <w:tcW w:w="1339" w:type="pct"/>
          </w:tcPr>
          <w:p w:rsidR="0076029C" w:rsidRDefault="005B4D1F" w:rsidP="005B4D1F">
            <w:pPr>
              <w:pStyle w:val="Tabletext"/>
              <w:jc w:val="center"/>
            </w:pPr>
            <w:r w:rsidRPr="005B4D1F">
              <w:t>8/9 (88.9%)</w:t>
            </w:r>
          </w:p>
        </w:tc>
      </w:tr>
      <w:tr w:rsidR="0076029C" w:rsidTr="005B4D1F">
        <w:trPr>
          <w:trHeight w:val="270"/>
        </w:trPr>
        <w:tc>
          <w:tcPr>
            <w:tcW w:w="1368" w:type="pct"/>
            <w:tcBorders>
              <w:bottom w:val="single" w:sz="4" w:space="0" w:color="auto"/>
            </w:tcBorders>
          </w:tcPr>
          <w:p w:rsidR="0076029C" w:rsidRDefault="0076029C" w:rsidP="005B4D1F">
            <w:pPr>
              <w:pStyle w:val="Tabletext"/>
              <w:jc w:val="center"/>
            </w:pPr>
            <w:r>
              <w:t>ALLY-2</w:t>
            </w:r>
          </w:p>
        </w:tc>
        <w:tc>
          <w:tcPr>
            <w:tcW w:w="2293" w:type="pct"/>
            <w:tcBorders>
              <w:bottom w:val="single" w:sz="4" w:space="0" w:color="auto"/>
            </w:tcBorders>
          </w:tcPr>
          <w:p w:rsidR="0076029C" w:rsidRDefault="0076029C" w:rsidP="005B4D1F">
            <w:pPr>
              <w:pStyle w:val="Tabletext"/>
              <w:jc w:val="center"/>
            </w:pPr>
            <w:r w:rsidRPr="0076029C">
              <w:t>Experienced (responders/ treated)</w:t>
            </w:r>
          </w:p>
        </w:tc>
        <w:tc>
          <w:tcPr>
            <w:tcW w:w="1339" w:type="pct"/>
            <w:tcBorders>
              <w:bottom w:val="single" w:sz="4" w:space="0" w:color="auto"/>
            </w:tcBorders>
          </w:tcPr>
          <w:p w:rsidR="0076029C" w:rsidRDefault="005B4D1F" w:rsidP="005B4D1F">
            <w:pPr>
              <w:pStyle w:val="Tabletext"/>
              <w:jc w:val="center"/>
            </w:pPr>
            <w:r w:rsidRPr="005B4D1F">
              <w:t>12/13 (92.3%)</w:t>
            </w:r>
          </w:p>
        </w:tc>
      </w:tr>
    </w:tbl>
    <w:p w:rsidR="0076029C" w:rsidRDefault="0076029C" w:rsidP="0076029C">
      <w:pPr>
        <w:pStyle w:val="TableFooter"/>
        <w:ind w:left="720"/>
      </w:pPr>
      <w:r>
        <w:t xml:space="preserve">Source: pre-PBAC response. </w:t>
      </w:r>
    </w:p>
    <w:p w:rsidR="0076029C" w:rsidRPr="00CE5969" w:rsidRDefault="0076029C" w:rsidP="00CE5969"/>
    <w:p w:rsidR="00C71E74" w:rsidRPr="00497F10" w:rsidRDefault="00C71E74" w:rsidP="00C71E74">
      <w:pPr>
        <w:pStyle w:val="Heading2"/>
        <w:rPr>
          <w:i/>
        </w:rPr>
      </w:pPr>
      <w:bookmarkStart w:id="14" w:name="_Toc392857608"/>
      <w:bookmarkStart w:id="15" w:name="_Toc430073845"/>
      <w:r w:rsidRPr="00497F10">
        <w:rPr>
          <w:i/>
        </w:rPr>
        <w:t>Comparative harms</w:t>
      </w:r>
      <w:bookmarkEnd w:id="14"/>
      <w:bookmarkEnd w:id="15"/>
    </w:p>
    <w:p w:rsidR="00C71E74" w:rsidRPr="00882085" w:rsidRDefault="00C71E74" w:rsidP="00C71E74">
      <w:pPr>
        <w:ind w:left="720" w:hanging="720"/>
        <w:rPr>
          <w:szCs w:val="22"/>
        </w:rPr>
      </w:pPr>
    </w:p>
    <w:p w:rsidR="00C71E74" w:rsidRPr="00FA1299" w:rsidRDefault="00C71E74" w:rsidP="00C71E74">
      <w:pPr>
        <w:pStyle w:val="ListParagraph"/>
        <w:widowControl/>
        <w:numPr>
          <w:ilvl w:val="1"/>
          <w:numId w:val="5"/>
        </w:numPr>
        <w:rPr>
          <w:szCs w:val="22"/>
        </w:rPr>
      </w:pPr>
      <w:r>
        <w:t>T</w:t>
      </w:r>
      <w:r w:rsidRPr="00FA1299">
        <w:t>he key adverse events</w:t>
      </w:r>
      <w:r w:rsidR="00FD21B7">
        <w:t xml:space="preserve"> (AEs)</w:t>
      </w:r>
      <w:r w:rsidRPr="00FA1299">
        <w:t xml:space="preserve"> in ALLY 1 and ALLY 2</w:t>
      </w:r>
      <w:r>
        <w:t xml:space="preserve"> are summarised below</w:t>
      </w:r>
      <w:r w:rsidRPr="00FA1299">
        <w:t>.</w:t>
      </w:r>
    </w:p>
    <w:p w:rsidR="00C71E74" w:rsidRDefault="00C71E74" w:rsidP="00C71E74">
      <w:pPr>
        <w:pStyle w:val="ListParagraph"/>
        <w:widowControl/>
        <w:rPr>
          <w:szCs w:val="22"/>
        </w:rPr>
      </w:pPr>
    </w:p>
    <w:p w:rsidR="00C71E74" w:rsidRDefault="002F126E" w:rsidP="00C71E74">
      <w:pPr>
        <w:pStyle w:val="Caption"/>
        <w:ind w:firstLine="720"/>
      </w:pPr>
      <w:r>
        <w:t xml:space="preserve">Table </w:t>
      </w:r>
      <w:r w:rsidR="0076029C">
        <w:t>6</w:t>
      </w:r>
      <w:r w:rsidR="00C71E74">
        <w:t>: Summary of key adverse events in ALLY 1 and ALLY 2</w:t>
      </w:r>
    </w:p>
    <w:tbl>
      <w:tblPr>
        <w:tblStyle w:val="TableGrid"/>
        <w:tblW w:w="4533" w:type="pct"/>
        <w:tblInd w:w="864" w:type="dxa"/>
        <w:tblLook w:val="04A0" w:firstRow="1" w:lastRow="0" w:firstColumn="1" w:lastColumn="0" w:noHBand="0" w:noVBand="1"/>
        <w:tblCaption w:val="Table 6: Summary of key adverse events in ALLY 1 and ALLY 2"/>
      </w:tblPr>
      <w:tblGrid>
        <w:gridCol w:w="1730"/>
        <w:gridCol w:w="2298"/>
        <w:gridCol w:w="2053"/>
        <w:gridCol w:w="2298"/>
      </w:tblGrid>
      <w:tr w:rsidR="00C71E74" w:rsidRPr="00A57949" w:rsidTr="009711A6">
        <w:trPr>
          <w:tblHeader/>
        </w:trPr>
        <w:tc>
          <w:tcPr>
            <w:tcW w:w="1032" w:type="pct"/>
            <w:vMerge w:val="restart"/>
          </w:tcPr>
          <w:p w:rsidR="00C71E74" w:rsidRPr="00A57949" w:rsidRDefault="00C71E74" w:rsidP="009F1D4D">
            <w:pPr>
              <w:pStyle w:val="Tabletext"/>
              <w:rPr>
                <w:b/>
              </w:rPr>
            </w:pPr>
          </w:p>
        </w:tc>
        <w:tc>
          <w:tcPr>
            <w:tcW w:w="2596" w:type="pct"/>
            <w:gridSpan w:val="2"/>
          </w:tcPr>
          <w:p w:rsidR="00C71E74" w:rsidRDefault="00C71E74" w:rsidP="009F1D4D">
            <w:pPr>
              <w:pStyle w:val="Tabletext"/>
              <w:jc w:val="center"/>
              <w:rPr>
                <w:b/>
              </w:rPr>
            </w:pPr>
            <w:r>
              <w:rPr>
                <w:b/>
              </w:rPr>
              <w:t>ALLY 1</w:t>
            </w:r>
          </w:p>
        </w:tc>
        <w:tc>
          <w:tcPr>
            <w:tcW w:w="1371" w:type="pct"/>
          </w:tcPr>
          <w:p w:rsidR="00C71E74" w:rsidRPr="00A57949" w:rsidRDefault="00C71E74" w:rsidP="009F1D4D">
            <w:pPr>
              <w:pStyle w:val="Tabletext"/>
              <w:jc w:val="center"/>
              <w:rPr>
                <w:b/>
              </w:rPr>
            </w:pPr>
            <w:r>
              <w:rPr>
                <w:b/>
              </w:rPr>
              <w:t>ALLY 2</w:t>
            </w:r>
          </w:p>
        </w:tc>
      </w:tr>
      <w:tr w:rsidR="00C71E74" w:rsidRPr="00A57949" w:rsidTr="009711A6">
        <w:trPr>
          <w:tblHeader/>
        </w:trPr>
        <w:tc>
          <w:tcPr>
            <w:tcW w:w="1032" w:type="pct"/>
            <w:vMerge/>
          </w:tcPr>
          <w:p w:rsidR="00C71E74" w:rsidRPr="00A57949" w:rsidRDefault="00C71E74" w:rsidP="009F1D4D">
            <w:pPr>
              <w:pStyle w:val="Tabletext"/>
              <w:rPr>
                <w:b/>
              </w:rPr>
            </w:pPr>
          </w:p>
        </w:tc>
        <w:tc>
          <w:tcPr>
            <w:tcW w:w="1371" w:type="pct"/>
          </w:tcPr>
          <w:p w:rsidR="00C71E74" w:rsidRDefault="00C71E74" w:rsidP="009F1D4D">
            <w:pPr>
              <w:pStyle w:val="Tabletext"/>
              <w:jc w:val="center"/>
              <w:rPr>
                <w:b/>
              </w:rPr>
            </w:pPr>
            <w:r>
              <w:rPr>
                <w:b/>
              </w:rPr>
              <w:t>Cirrhotic</w:t>
            </w:r>
          </w:p>
          <w:p w:rsidR="00C71E74" w:rsidRDefault="00C71E74" w:rsidP="009F1D4D">
            <w:pPr>
              <w:pStyle w:val="Tabletext"/>
              <w:jc w:val="center"/>
              <w:rPr>
                <w:b/>
              </w:rPr>
            </w:pPr>
            <w:r>
              <w:rPr>
                <w:b/>
              </w:rPr>
              <w:t>N = 60</w:t>
            </w:r>
          </w:p>
          <w:p w:rsidR="00C71E74" w:rsidRDefault="00C71E74" w:rsidP="009F1D4D">
            <w:pPr>
              <w:pStyle w:val="Tabletext"/>
              <w:jc w:val="center"/>
              <w:rPr>
                <w:b/>
              </w:rPr>
            </w:pPr>
            <w:r>
              <w:rPr>
                <w:b/>
              </w:rPr>
              <w:t>n (%)</w:t>
            </w:r>
          </w:p>
        </w:tc>
        <w:tc>
          <w:tcPr>
            <w:tcW w:w="1225" w:type="pct"/>
          </w:tcPr>
          <w:p w:rsidR="00C71E74" w:rsidRDefault="00C71E74" w:rsidP="009F1D4D">
            <w:pPr>
              <w:pStyle w:val="Tabletext"/>
              <w:jc w:val="center"/>
              <w:rPr>
                <w:b/>
              </w:rPr>
            </w:pPr>
            <w:r>
              <w:rPr>
                <w:b/>
              </w:rPr>
              <w:t>Post-transplant</w:t>
            </w:r>
          </w:p>
          <w:p w:rsidR="00C71E74" w:rsidRDefault="00C71E74" w:rsidP="009F1D4D">
            <w:pPr>
              <w:pStyle w:val="Tabletext"/>
              <w:jc w:val="center"/>
              <w:rPr>
                <w:b/>
              </w:rPr>
            </w:pPr>
            <w:r>
              <w:rPr>
                <w:b/>
              </w:rPr>
              <w:t>N = 53</w:t>
            </w:r>
          </w:p>
          <w:p w:rsidR="00C71E74" w:rsidRDefault="00C71E74" w:rsidP="009F1D4D">
            <w:pPr>
              <w:pStyle w:val="Tabletext"/>
              <w:jc w:val="center"/>
              <w:rPr>
                <w:b/>
              </w:rPr>
            </w:pPr>
            <w:r>
              <w:rPr>
                <w:b/>
              </w:rPr>
              <w:t>n (%)</w:t>
            </w:r>
          </w:p>
        </w:tc>
        <w:tc>
          <w:tcPr>
            <w:tcW w:w="1371" w:type="pct"/>
          </w:tcPr>
          <w:p w:rsidR="00C71E74" w:rsidRDefault="00C71E74" w:rsidP="009F1D4D">
            <w:pPr>
              <w:pStyle w:val="Tabletext"/>
              <w:jc w:val="center"/>
              <w:rPr>
                <w:b/>
              </w:rPr>
            </w:pPr>
            <w:r>
              <w:rPr>
                <w:b/>
              </w:rPr>
              <w:t>All subjects</w:t>
            </w:r>
          </w:p>
          <w:p w:rsidR="00C71E74" w:rsidRDefault="00C71E74" w:rsidP="009F1D4D">
            <w:pPr>
              <w:pStyle w:val="Tabletext"/>
              <w:jc w:val="center"/>
              <w:rPr>
                <w:b/>
              </w:rPr>
            </w:pPr>
            <w:r>
              <w:rPr>
                <w:b/>
              </w:rPr>
              <w:t>N = 203</w:t>
            </w:r>
          </w:p>
          <w:p w:rsidR="00C71E74" w:rsidRDefault="00C71E74" w:rsidP="009F1D4D">
            <w:pPr>
              <w:pStyle w:val="Tabletext"/>
              <w:jc w:val="center"/>
              <w:rPr>
                <w:b/>
              </w:rPr>
            </w:pPr>
            <w:r>
              <w:rPr>
                <w:b/>
              </w:rPr>
              <w:t>n (%)</w:t>
            </w:r>
          </w:p>
        </w:tc>
      </w:tr>
      <w:tr w:rsidR="00C71E74" w:rsidTr="009F1D4D">
        <w:tc>
          <w:tcPr>
            <w:tcW w:w="1032" w:type="pct"/>
          </w:tcPr>
          <w:p w:rsidR="00C71E74" w:rsidRDefault="00C71E74" w:rsidP="009F1D4D">
            <w:pPr>
              <w:pStyle w:val="Tabletext"/>
            </w:pPr>
            <w:r>
              <w:t>Deaths</w:t>
            </w:r>
          </w:p>
        </w:tc>
        <w:tc>
          <w:tcPr>
            <w:tcW w:w="1371" w:type="pct"/>
          </w:tcPr>
          <w:p w:rsidR="00C71E74" w:rsidRDefault="00C71E74" w:rsidP="009F1D4D">
            <w:pPr>
              <w:pStyle w:val="Tabletext"/>
              <w:jc w:val="center"/>
            </w:pPr>
            <w:r>
              <w:t>0</w:t>
            </w:r>
          </w:p>
        </w:tc>
        <w:tc>
          <w:tcPr>
            <w:tcW w:w="1225" w:type="pct"/>
          </w:tcPr>
          <w:p w:rsidR="00C71E74" w:rsidRDefault="00C71E74" w:rsidP="009F1D4D">
            <w:pPr>
              <w:pStyle w:val="Tabletext"/>
              <w:jc w:val="center"/>
            </w:pPr>
            <w:r>
              <w:t>0</w:t>
            </w:r>
          </w:p>
        </w:tc>
        <w:tc>
          <w:tcPr>
            <w:tcW w:w="1371" w:type="pct"/>
          </w:tcPr>
          <w:p w:rsidR="00C71E74" w:rsidRDefault="00C71E74" w:rsidP="009F1D4D">
            <w:pPr>
              <w:pStyle w:val="Tabletext"/>
              <w:jc w:val="center"/>
            </w:pPr>
            <w:r>
              <w:t>2 (1.0%)</w:t>
            </w:r>
          </w:p>
        </w:tc>
      </w:tr>
      <w:tr w:rsidR="00C71E74" w:rsidTr="009F1D4D">
        <w:tc>
          <w:tcPr>
            <w:tcW w:w="1032" w:type="pct"/>
          </w:tcPr>
          <w:p w:rsidR="00C71E74" w:rsidRDefault="00C71E74" w:rsidP="009F1D4D">
            <w:pPr>
              <w:pStyle w:val="Tabletext"/>
            </w:pPr>
            <w:r>
              <w:t>Serious AEs</w:t>
            </w:r>
          </w:p>
        </w:tc>
        <w:tc>
          <w:tcPr>
            <w:tcW w:w="1371" w:type="pct"/>
          </w:tcPr>
          <w:p w:rsidR="00C71E74" w:rsidRDefault="00C71E74" w:rsidP="009F1D4D">
            <w:pPr>
              <w:pStyle w:val="Tabletext"/>
              <w:jc w:val="center"/>
            </w:pPr>
            <w:r>
              <w:t>5 (9.4%)</w:t>
            </w:r>
          </w:p>
        </w:tc>
        <w:tc>
          <w:tcPr>
            <w:tcW w:w="1225" w:type="pct"/>
          </w:tcPr>
          <w:p w:rsidR="00C71E74" w:rsidRDefault="00C71E74" w:rsidP="009F1D4D">
            <w:pPr>
              <w:pStyle w:val="Tabletext"/>
              <w:jc w:val="center"/>
            </w:pPr>
            <w:r>
              <w:t>10 (16.7%)</w:t>
            </w:r>
          </w:p>
        </w:tc>
        <w:tc>
          <w:tcPr>
            <w:tcW w:w="1371" w:type="pct"/>
          </w:tcPr>
          <w:p w:rsidR="00C71E74" w:rsidRDefault="00C71E74" w:rsidP="009F1D4D">
            <w:pPr>
              <w:pStyle w:val="Tabletext"/>
              <w:jc w:val="center"/>
            </w:pPr>
            <w:r>
              <w:t>4 (2.0%)</w:t>
            </w:r>
          </w:p>
        </w:tc>
      </w:tr>
      <w:tr w:rsidR="00C71E74" w:rsidTr="009F1D4D">
        <w:tc>
          <w:tcPr>
            <w:tcW w:w="1032" w:type="pct"/>
          </w:tcPr>
          <w:p w:rsidR="00C71E74" w:rsidRDefault="00C71E74" w:rsidP="009F1D4D">
            <w:pPr>
              <w:pStyle w:val="Tabletext"/>
            </w:pPr>
            <w:r>
              <w:t xml:space="preserve">AEs leading to discontinuation </w:t>
            </w:r>
          </w:p>
        </w:tc>
        <w:tc>
          <w:tcPr>
            <w:tcW w:w="1371" w:type="pct"/>
          </w:tcPr>
          <w:p w:rsidR="00C71E74" w:rsidRDefault="00C71E74" w:rsidP="009F1D4D">
            <w:pPr>
              <w:pStyle w:val="Tabletext"/>
              <w:jc w:val="center"/>
            </w:pPr>
            <w:r>
              <w:t>5 (9.4%)</w:t>
            </w:r>
          </w:p>
        </w:tc>
        <w:tc>
          <w:tcPr>
            <w:tcW w:w="1225" w:type="pct"/>
          </w:tcPr>
          <w:p w:rsidR="00C71E74" w:rsidRDefault="00C71E74" w:rsidP="009F1D4D">
            <w:pPr>
              <w:pStyle w:val="Tabletext"/>
              <w:jc w:val="center"/>
            </w:pPr>
            <w:r>
              <w:t>10 (16.7%)</w:t>
            </w:r>
          </w:p>
        </w:tc>
        <w:tc>
          <w:tcPr>
            <w:tcW w:w="1371" w:type="pct"/>
          </w:tcPr>
          <w:p w:rsidR="00C71E74" w:rsidRDefault="00C71E74" w:rsidP="009F1D4D">
            <w:pPr>
              <w:pStyle w:val="Tabletext"/>
              <w:jc w:val="center"/>
            </w:pPr>
            <w:r>
              <w:t>0</w:t>
            </w:r>
          </w:p>
        </w:tc>
      </w:tr>
      <w:tr w:rsidR="00C71E74" w:rsidTr="009F1D4D">
        <w:tc>
          <w:tcPr>
            <w:tcW w:w="1032" w:type="pct"/>
          </w:tcPr>
          <w:p w:rsidR="00C71E74" w:rsidRDefault="00C71E74" w:rsidP="009F1D4D">
            <w:pPr>
              <w:pStyle w:val="Tabletext"/>
            </w:pPr>
            <w:r>
              <w:t>Grade 3/4 AEs</w:t>
            </w:r>
          </w:p>
        </w:tc>
        <w:tc>
          <w:tcPr>
            <w:tcW w:w="2596" w:type="pct"/>
            <w:gridSpan w:val="2"/>
          </w:tcPr>
          <w:p w:rsidR="00C71E74" w:rsidRDefault="00C71E74" w:rsidP="009F1D4D">
            <w:pPr>
              <w:pStyle w:val="Tabletext"/>
              <w:jc w:val="center"/>
            </w:pPr>
            <w:r>
              <w:t>15 (13.3%)</w:t>
            </w:r>
          </w:p>
        </w:tc>
        <w:tc>
          <w:tcPr>
            <w:tcW w:w="1371" w:type="pct"/>
          </w:tcPr>
          <w:p w:rsidR="00C71E74" w:rsidRDefault="00C71E74" w:rsidP="009F1D4D">
            <w:pPr>
              <w:pStyle w:val="Tabletext"/>
              <w:jc w:val="center"/>
            </w:pPr>
            <w:r>
              <w:t>8 (3.9%)</w:t>
            </w:r>
          </w:p>
        </w:tc>
      </w:tr>
      <w:tr w:rsidR="00C71E74" w:rsidTr="009F1D4D">
        <w:tc>
          <w:tcPr>
            <w:tcW w:w="1032" w:type="pct"/>
            <w:tcBorders>
              <w:bottom w:val="single" w:sz="4" w:space="0" w:color="auto"/>
            </w:tcBorders>
          </w:tcPr>
          <w:p w:rsidR="00C71E74" w:rsidRDefault="00C71E74" w:rsidP="009F1D4D">
            <w:pPr>
              <w:pStyle w:val="Tabletext"/>
            </w:pPr>
            <w:r>
              <w:t>Treatment-related AEs</w:t>
            </w:r>
          </w:p>
        </w:tc>
        <w:tc>
          <w:tcPr>
            <w:tcW w:w="2596" w:type="pct"/>
            <w:gridSpan w:val="2"/>
            <w:tcBorders>
              <w:bottom w:val="single" w:sz="4" w:space="0" w:color="auto"/>
            </w:tcBorders>
          </w:tcPr>
          <w:p w:rsidR="00C71E74" w:rsidRDefault="00C71E74" w:rsidP="009F1D4D">
            <w:pPr>
              <w:pStyle w:val="Tabletext"/>
              <w:jc w:val="center"/>
            </w:pPr>
            <w:r>
              <w:t>71/113 (62.8%)</w:t>
            </w:r>
          </w:p>
        </w:tc>
        <w:tc>
          <w:tcPr>
            <w:tcW w:w="1371" w:type="pct"/>
            <w:tcBorders>
              <w:bottom w:val="single" w:sz="4" w:space="0" w:color="auto"/>
            </w:tcBorders>
          </w:tcPr>
          <w:p w:rsidR="00C71E74" w:rsidRDefault="00A71417" w:rsidP="009F1D4D">
            <w:pPr>
              <w:pStyle w:val="Tabletext"/>
              <w:jc w:val="center"/>
            </w:pPr>
            <w:r>
              <w:t>69</w:t>
            </w:r>
            <w:r w:rsidR="00C71E74">
              <w:t>/203 (</w:t>
            </w:r>
            <w:r>
              <w:t>34</w:t>
            </w:r>
            <w:r w:rsidR="00C71E74">
              <w:t>.0%)</w:t>
            </w:r>
          </w:p>
        </w:tc>
      </w:tr>
      <w:tr w:rsidR="00C71E74" w:rsidTr="009F1D4D">
        <w:tc>
          <w:tcPr>
            <w:tcW w:w="1032" w:type="pct"/>
            <w:tcBorders>
              <w:bottom w:val="nil"/>
            </w:tcBorders>
          </w:tcPr>
          <w:p w:rsidR="00C71E74" w:rsidRDefault="00C71E74" w:rsidP="009F1D4D">
            <w:pPr>
              <w:pStyle w:val="Tabletext"/>
            </w:pPr>
            <w:r>
              <w:t>Most common AEs (&gt;10% total)</w:t>
            </w:r>
          </w:p>
        </w:tc>
        <w:tc>
          <w:tcPr>
            <w:tcW w:w="1371" w:type="pct"/>
            <w:tcBorders>
              <w:bottom w:val="nil"/>
            </w:tcBorders>
          </w:tcPr>
          <w:p w:rsidR="00C71E74" w:rsidRDefault="00C71E74" w:rsidP="009F1D4D">
            <w:pPr>
              <w:pStyle w:val="Tabletext"/>
              <w:jc w:val="center"/>
            </w:pPr>
          </w:p>
        </w:tc>
        <w:tc>
          <w:tcPr>
            <w:tcW w:w="1225" w:type="pct"/>
            <w:tcBorders>
              <w:bottom w:val="nil"/>
            </w:tcBorders>
          </w:tcPr>
          <w:p w:rsidR="00C71E74" w:rsidRDefault="00C71E74" w:rsidP="009F1D4D">
            <w:pPr>
              <w:pStyle w:val="Tabletext"/>
              <w:jc w:val="center"/>
            </w:pPr>
          </w:p>
        </w:tc>
        <w:tc>
          <w:tcPr>
            <w:tcW w:w="1371" w:type="pct"/>
            <w:tcBorders>
              <w:bottom w:val="nil"/>
            </w:tcBorders>
          </w:tcPr>
          <w:p w:rsidR="00C71E74" w:rsidRDefault="00C71E74" w:rsidP="009F1D4D">
            <w:pPr>
              <w:pStyle w:val="Tabletext"/>
              <w:jc w:val="center"/>
            </w:pPr>
          </w:p>
        </w:tc>
      </w:tr>
      <w:tr w:rsidR="00C71E74" w:rsidTr="009F1D4D">
        <w:tc>
          <w:tcPr>
            <w:tcW w:w="1032" w:type="pct"/>
            <w:tcBorders>
              <w:top w:val="nil"/>
              <w:bottom w:val="nil"/>
            </w:tcBorders>
          </w:tcPr>
          <w:p w:rsidR="00C71E74" w:rsidRDefault="00C71E74" w:rsidP="009F1D4D">
            <w:pPr>
              <w:pStyle w:val="Tabletext"/>
              <w:ind w:left="142"/>
            </w:pPr>
            <w:r>
              <w:t>Headache</w:t>
            </w:r>
          </w:p>
        </w:tc>
        <w:tc>
          <w:tcPr>
            <w:tcW w:w="1371" w:type="pct"/>
            <w:tcBorders>
              <w:top w:val="nil"/>
              <w:bottom w:val="nil"/>
            </w:tcBorders>
          </w:tcPr>
          <w:p w:rsidR="00C71E74" w:rsidRDefault="00C71E74" w:rsidP="009F1D4D">
            <w:pPr>
              <w:pStyle w:val="Tabletext"/>
              <w:jc w:val="center"/>
            </w:pPr>
            <w:r>
              <w:t>9 (15.0%)</w:t>
            </w:r>
          </w:p>
        </w:tc>
        <w:tc>
          <w:tcPr>
            <w:tcW w:w="1225" w:type="pct"/>
            <w:tcBorders>
              <w:top w:val="nil"/>
              <w:bottom w:val="nil"/>
            </w:tcBorders>
          </w:tcPr>
          <w:p w:rsidR="00C71E74" w:rsidRDefault="00C71E74" w:rsidP="009F1D4D">
            <w:pPr>
              <w:pStyle w:val="Tabletext"/>
              <w:jc w:val="center"/>
            </w:pPr>
            <w:r>
              <w:t>19 (35.8%)</w:t>
            </w:r>
          </w:p>
        </w:tc>
        <w:tc>
          <w:tcPr>
            <w:tcW w:w="1371" w:type="pct"/>
            <w:tcBorders>
              <w:top w:val="nil"/>
              <w:bottom w:val="nil"/>
            </w:tcBorders>
          </w:tcPr>
          <w:p w:rsidR="00C71E74" w:rsidRDefault="00C71E74" w:rsidP="009F1D4D">
            <w:pPr>
              <w:pStyle w:val="Tabletext"/>
              <w:jc w:val="center"/>
            </w:pPr>
            <w:r>
              <w:t>23 (11.3%)</w:t>
            </w:r>
          </w:p>
        </w:tc>
      </w:tr>
      <w:tr w:rsidR="00C71E74" w:rsidTr="009F1D4D">
        <w:tc>
          <w:tcPr>
            <w:tcW w:w="1032" w:type="pct"/>
            <w:tcBorders>
              <w:top w:val="nil"/>
              <w:bottom w:val="nil"/>
            </w:tcBorders>
          </w:tcPr>
          <w:p w:rsidR="00C71E74" w:rsidRDefault="00C71E74" w:rsidP="009F1D4D">
            <w:pPr>
              <w:pStyle w:val="Tabletext"/>
              <w:ind w:left="142"/>
            </w:pPr>
            <w:r>
              <w:t>Fatigue</w:t>
            </w:r>
          </w:p>
        </w:tc>
        <w:tc>
          <w:tcPr>
            <w:tcW w:w="1371" w:type="pct"/>
            <w:tcBorders>
              <w:top w:val="nil"/>
              <w:bottom w:val="nil"/>
            </w:tcBorders>
          </w:tcPr>
          <w:p w:rsidR="00C71E74" w:rsidRDefault="00C71E74" w:rsidP="009F1D4D">
            <w:pPr>
              <w:pStyle w:val="Tabletext"/>
              <w:jc w:val="center"/>
            </w:pPr>
            <w:r>
              <w:t>11 (18.0%)</w:t>
            </w:r>
          </w:p>
        </w:tc>
        <w:tc>
          <w:tcPr>
            <w:tcW w:w="1225" w:type="pct"/>
            <w:tcBorders>
              <w:top w:val="nil"/>
              <w:bottom w:val="nil"/>
            </w:tcBorders>
          </w:tcPr>
          <w:p w:rsidR="00C71E74" w:rsidRDefault="00C71E74" w:rsidP="009F1D4D">
            <w:pPr>
              <w:pStyle w:val="Tabletext"/>
              <w:jc w:val="center"/>
            </w:pPr>
            <w:r>
              <w:t>15 (28.3%)</w:t>
            </w:r>
          </w:p>
        </w:tc>
        <w:tc>
          <w:tcPr>
            <w:tcW w:w="1371" w:type="pct"/>
            <w:tcBorders>
              <w:top w:val="nil"/>
              <w:bottom w:val="nil"/>
            </w:tcBorders>
          </w:tcPr>
          <w:p w:rsidR="00C71E74" w:rsidRDefault="00C71E74" w:rsidP="009F1D4D">
            <w:pPr>
              <w:pStyle w:val="Tabletext"/>
              <w:jc w:val="center"/>
            </w:pPr>
            <w:r>
              <w:t>34 (16.7%)</w:t>
            </w:r>
          </w:p>
        </w:tc>
      </w:tr>
      <w:tr w:rsidR="00C71E74" w:rsidTr="009F1D4D">
        <w:tc>
          <w:tcPr>
            <w:tcW w:w="1032" w:type="pct"/>
            <w:tcBorders>
              <w:top w:val="nil"/>
              <w:bottom w:val="nil"/>
            </w:tcBorders>
          </w:tcPr>
          <w:p w:rsidR="00C71E74" w:rsidRDefault="00C71E74" w:rsidP="009F1D4D">
            <w:pPr>
              <w:pStyle w:val="Tabletext"/>
              <w:ind w:left="142"/>
            </w:pPr>
            <w:r>
              <w:t>Diarrhoea</w:t>
            </w:r>
          </w:p>
        </w:tc>
        <w:tc>
          <w:tcPr>
            <w:tcW w:w="1371" w:type="pct"/>
            <w:tcBorders>
              <w:top w:val="nil"/>
              <w:bottom w:val="nil"/>
            </w:tcBorders>
          </w:tcPr>
          <w:p w:rsidR="00C71E74" w:rsidRDefault="00C71E74" w:rsidP="009F1D4D">
            <w:pPr>
              <w:pStyle w:val="Tabletext"/>
              <w:jc w:val="center"/>
            </w:pPr>
            <w:r>
              <w:t>5 (8.3%)</w:t>
            </w:r>
          </w:p>
        </w:tc>
        <w:tc>
          <w:tcPr>
            <w:tcW w:w="1225" w:type="pct"/>
            <w:tcBorders>
              <w:top w:val="nil"/>
              <w:bottom w:val="nil"/>
            </w:tcBorders>
          </w:tcPr>
          <w:p w:rsidR="00C71E74" w:rsidRDefault="00C71E74" w:rsidP="009F1D4D">
            <w:pPr>
              <w:pStyle w:val="Tabletext"/>
              <w:jc w:val="center"/>
            </w:pPr>
            <w:r>
              <w:t>10 (18.9%)</w:t>
            </w:r>
          </w:p>
        </w:tc>
        <w:tc>
          <w:tcPr>
            <w:tcW w:w="1371" w:type="pct"/>
            <w:tcBorders>
              <w:top w:val="nil"/>
              <w:bottom w:val="nil"/>
            </w:tcBorders>
          </w:tcPr>
          <w:p w:rsidR="00C71E74" w:rsidRDefault="00C71E74" w:rsidP="009F1D4D">
            <w:pPr>
              <w:pStyle w:val="Tabletext"/>
              <w:jc w:val="center"/>
            </w:pPr>
          </w:p>
        </w:tc>
      </w:tr>
      <w:tr w:rsidR="00C71E74" w:rsidTr="009F1D4D">
        <w:tc>
          <w:tcPr>
            <w:tcW w:w="1032" w:type="pct"/>
            <w:tcBorders>
              <w:top w:val="nil"/>
              <w:bottom w:val="nil"/>
            </w:tcBorders>
          </w:tcPr>
          <w:p w:rsidR="00C71E74" w:rsidRDefault="00C71E74" w:rsidP="009F1D4D">
            <w:pPr>
              <w:pStyle w:val="Tabletext"/>
              <w:ind w:left="142"/>
            </w:pPr>
            <w:r>
              <w:t>Nausea</w:t>
            </w:r>
          </w:p>
        </w:tc>
        <w:tc>
          <w:tcPr>
            <w:tcW w:w="1371" w:type="pct"/>
            <w:tcBorders>
              <w:top w:val="nil"/>
              <w:bottom w:val="nil"/>
            </w:tcBorders>
          </w:tcPr>
          <w:p w:rsidR="00C71E74" w:rsidRDefault="00C71E74" w:rsidP="009F1D4D">
            <w:pPr>
              <w:pStyle w:val="Tabletext"/>
              <w:jc w:val="center"/>
            </w:pPr>
            <w:r>
              <w:t>10 (16.7%)</w:t>
            </w:r>
          </w:p>
        </w:tc>
        <w:tc>
          <w:tcPr>
            <w:tcW w:w="1225" w:type="pct"/>
            <w:tcBorders>
              <w:top w:val="nil"/>
              <w:bottom w:val="nil"/>
            </w:tcBorders>
          </w:tcPr>
          <w:p w:rsidR="00C71E74" w:rsidRDefault="00C71E74" w:rsidP="009F1D4D">
            <w:pPr>
              <w:pStyle w:val="Tabletext"/>
              <w:jc w:val="center"/>
            </w:pPr>
            <w:r>
              <w:t>3 (5.7%)</w:t>
            </w:r>
          </w:p>
        </w:tc>
        <w:tc>
          <w:tcPr>
            <w:tcW w:w="1371" w:type="pct"/>
            <w:tcBorders>
              <w:top w:val="nil"/>
              <w:bottom w:val="nil"/>
            </w:tcBorders>
          </w:tcPr>
          <w:p w:rsidR="00C71E74" w:rsidRDefault="00C71E74" w:rsidP="009F1D4D">
            <w:pPr>
              <w:pStyle w:val="Tabletext"/>
              <w:jc w:val="center"/>
            </w:pPr>
            <w:r>
              <w:t>26 (12.8%)</w:t>
            </w:r>
          </w:p>
        </w:tc>
      </w:tr>
      <w:tr w:rsidR="00C71E74" w:rsidTr="009F1D4D">
        <w:tc>
          <w:tcPr>
            <w:tcW w:w="1032" w:type="pct"/>
            <w:tcBorders>
              <w:top w:val="nil"/>
              <w:bottom w:val="nil"/>
            </w:tcBorders>
          </w:tcPr>
          <w:p w:rsidR="00C71E74" w:rsidRDefault="00C71E74" w:rsidP="009F1D4D">
            <w:pPr>
              <w:pStyle w:val="Tabletext"/>
              <w:ind w:left="142"/>
            </w:pPr>
            <w:r>
              <w:t>Anaemia</w:t>
            </w:r>
          </w:p>
        </w:tc>
        <w:tc>
          <w:tcPr>
            <w:tcW w:w="1371" w:type="pct"/>
            <w:tcBorders>
              <w:top w:val="nil"/>
              <w:bottom w:val="nil"/>
            </w:tcBorders>
          </w:tcPr>
          <w:p w:rsidR="00C71E74" w:rsidRDefault="00C71E74" w:rsidP="009F1D4D">
            <w:pPr>
              <w:pStyle w:val="Tabletext"/>
              <w:jc w:val="center"/>
            </w:pPr>
            <w:r>
              <w:t>12 (20.0%)</w:t>
            </w:r>
          </w:p>
        </w:tc>
        <w:tc>
          <w:tcPr>
            <w:tcW w:w="1225" w:type="pct"/>
            <w:tcBorders>
              <w:top w:val="nil"/>
              <w:bottom w:val="nil"/>
            </w:tcBorders>
          </w:tcPr>
          <w:p w:rsidR="00C71E74" w:rsidRDefault="00C71E74" w:rsidP="009F1D4D">
            <w:pPr>
              <w:pStyle w:val="Tabletext"/>
              <w:jc w:val="center"/>
            </w:pPr>
            <w:r>
              <w:t>10 (18.9%)</w:t>
            </w:r>
          </w:p>
        </w:tc>
        <w:tc>
          <w:tcPr>
            <w:tcW w:w="1371" w:type="pct"/>
            <w:tcBorders>
              <w:top w:val="nil"/>
              <w:bottom w:val="nil"/>
            </w:tcBorders>
          </w:tcPr>
          <w:p w:rsidR="00C71E74" w:rsidRDefault="00C71E74" w:rsidP="009F1D4D">
            <w:pPr>
              <w:pStyle w:val="Tabletext"/>
              <w:jc w:val="center"/>
            </w:pPr>
          </w:p>
        </w:tc>
      </w:tr>
      <w:tr w:rsidR="00C71E74" w:rsidTr="009F1D4D">
        <w:tc>
          <w:tcPr>
            <w:tcW w:w="1032" w:type="pct"/>
            <w:tcBorders>
              <w:top w:val="nil"/>
            </w:tcBorders>
          </w:tcPr>
          <w:p w:rsidR="00C71E74" w:rsidRDefault="00C71E74" w:rsidP="009F1D4D">
            <w:pPr>
              <w:pStyle w:val="Tabletext"/>
              <w:ind w:left="142"/>
            </w:pPr>
            <w:r>
              <w:t>Arthralgia</w:t>
            </w:r>
          </w:p>
        </w:tc>
        <w:tc>
          <w:tcPr>
            <w:tcW w:w="1371" w:type="pct"/>
            <w:tcBorders>
              <w:top w:val="nil"/>
            </w:tcBorders>
          </w:tcPr>
          <w:p w:rsidR="00C71E74" w:rsidRDefault="00C71E74" w:rsidP="009F1D4D">
            <w:pPr>
              <w:pStyle w:val="Tabletext"/>
              <w:jc w:val="center"/>
            </w:pPr>
            <w:r>
              <w:t>1 (1.7%)</w:t>
            </w:r>
          </w:p>
        </w:tc>
        <w:tc>
          <w:tcPr>
            <w:tcW w:w="1225" w:type="pct"/>
            <w:tcBorders>
              <w:top w:val="nil"/>
            </w:tcBorders>
          </w:tcPr>
          <w:p w:rsidR="00C71E74" w:rsidRDefault="00C71E74" w:rsidP="009F1D4D">
            <w:pPr>
              <w:pStyle w:val="Tabletext"/>
              <w:jc w:val="center"/>
            </w:pPr>
            <w:r>
              <w:t>7 (13.2%)</w:t>
            </w:r>
          </w:p>
        </w:tc>
        <w:tc>
          <w:tcPr>
            <w:tcW w:w="1371" w:type="pct"/>
            <w:tcBorders>
              <w:top w:val="nil"/>
            </w:tcBorders>
          </w:tcPr>
          <w:p w:rsidR="00C71E74" w:rsidRDefault="00C71E74" w:rsidP="009F1D4D">
            <w:pPr>
              <w:pStyle w:val="Tabletext"/>
              <w:jc w:val="center"/>
            </w:pPr>
          </w:p>
        </w:tc>
      </w:tr>
    </w:tbl>
    <w:p w:rsidR="00C71E74" w:rsidRDefault="00C71E74" w:rsidP="00C71E74">
      <w:pPr>
        <w:pStyle w:val="TableFooter"/>
        <w:ind w:left="720"/>
      </w:pPr>
      <w:r>
        <w:t>AE = adverse ev</w:t>
      </w:r>
      <w:r w:rsidR="00FD21B7">
        <w:t>ent</w:t>
      </w:r>
    </w:p>
    <w:p w:rsidR="00C71E74" w:rsidRDefault="00C71E74" w:rsidP="00C71E74">
      <w:pPr>
        <w:pStyle w:val="TableFooter"/>
        <w:ind w:left="720"/>
      </w:pPr>
      <w:r>
        <w:t xml:space="preserve">Source: Table </w:t>
      </w:r>
      <w:r w:rsidR="004E66EC">
        <w:t>8.</w:t>
      </w:r>
      <w:r>
        <w:t>1-1, p 77 and p88 ALLY 1 CSR; Table 8.1-1, p105 ALLY 2 CSR</w:t>
      </w:r>
    </w:p>
    <w:p w:rsidR="00C71E74" w:rsidRPr="00D06FD4" w:rsidRDefault="00C71E74" w:rsidP="00C71E74">
      <w:pPr>
        <w:pStyle w:val="ListParagraph"/>
        <w:widowControl/>
        <w:rPr>
          <w:szCs w:val="22"/>
        </w:rPr>
      </w:pPr>
    </w:p>
    <w:p w:rsidR="00C71E74" w:rsidRPr="005641BC" w:rsidRDefault="00C71E74" w:rsidP="00C71E74">
      <w:pPr>
        <w:pStyle w:val="ListParagraph"/>
        <w:widowControl/>
        <w:numPr>
          <w:ilvl w:val="1"/>
          <w:numId w:val="5"/>
        </w:numPr>
        <w:rPr>
          <w:szCs w:val="22"/>
        </w:rPr>
      </w:pPr>
      <w:r w:rsidRPr="005641BC">
        <w:t xml:space="preserve">The most common </w:t>
      </w:r>
      <w:r w:rsidR="00D45204" w:rsidRPr="005641BC">
        <w:t xml:space="preserve">AEs </w:t>
      </w:r>
      <w:r w:rsidRPr="005641BC">
        <w:t xml:space="preserve">reported in ALLY 1 and ALLY 2 </w:t>
      </w:r>
      <w:r w:rsidR="00A71417" w:rsidRPr="005641BC">
        <w:t xml:space="preserve">were </w:t>
      </w:r>
      <w:r w:rsidRPr="005641BC">
        <w:t xml:space="preserve">consistent with those reported in the March 2015 </w:t>
      </w:r>
      <w:r w:rsidR="00FD21B7" w:rsidRPr="005641BC">
        <w:t xml:space="preserve">submission. The higher rate of serious </w:t>
      </w:r>
      <w:r w:rsidRPr="005641BC">
        <w:t xml:space="preserve">AEs, Grade 3/4 AEs and AEs leading to discontinuation in ALLY 1 compared to ALLY 2 may </w:t>
      </w:r>
      <w:r w:rsidR="00A71417" w:rsidRPr="005641BC">
        <w:t xml:space="preserve">have been </w:t>
      </w:r>
      <w:r w:rsidRPr="005641BC">
        <w:t xml:space="preserve">due to the inclusion of </w:t>
      </w:r>
      <w:r w:rsidR="00A22A7F" w:rsidRPr="005641BC">
        <w:t>ribavirin</w:t>
      </w:r>
      <w:r w:rsidRPr="005641BC">
        <w:t xml:space="preserve"> in the treatment regimen (as reflected in the </w:t>
      </w:r>
      <w:r w:rsidRPr="005641BC">
        <w:lastRenderedPageBreak/>
        <w:t xml:space="preserve">number of patients discontinuing </w:t>
      </w:r>
      <w:r w:rsidR="00A22A7F" w:rsidRPr="005641BC">
        <w:t>ribavirin</w:t>
      </w:r>
      <w:r w:rsidRPr="005641BC">
        <w:t>)</w:t>
      </w:r>
      <w:r w:rsidR="007F6E30" w:rsidRPr="005641BC">
        <w:t>, the more advanced disease status of patients in ALLY 1, and the fact that 25% of patients in ALLY 2 only received 8 weeks of treatment</w:t>
      </w:r>
      <w:r w:rsidRPr="005641BC">
        <w:t>.</w:t>
      </w:r>
    </w:p>
    <w:p w:rsidR="00C71E74" w:rsidRDefault="00C71E74" w:rsidP="00B91A3E">
      <w:pPr>
        <w:widowControl/>
        <w:jc w:val="left"/>
        <w:rPr>
          <w:szCs w:val="22"/>
        </w:rPr>
      </w:pPr>
    </w:p>
    <w:p w:rsidR="00C71E74" w:rsidRPr="00497F10" w:rsidRDefault="00C71E74" w:rsidP="00C71E74">
      <w:pPr>
        <w:pStyle w:val="Heading2"/>
        <w:rPr>
          <w:i/>
          <w:szCs w:val="22"/>
        </w:rPr>
      </w:pPr>
      <w:bookmarkStart w:id="16" w:name="_Toc392857609"/>
      <w:bookmarkStart w:id="17" w:name="_Toc430073846"/>
      <w:r w:rsidRPr="00497F10">
        <w:rPr>
          <w:i/>
        </w:rPr>
        <w:t>Benefits/harms</w:t>
      </w:r>
      <w:bookmarkEnd w:id="16"/>
      <w:bookmarkEnd w:id="17"/>
    </w:p>
    <w:p w:rsidR="00C71E74" w:rsidRPr="007F1017" w:rsidRDefault="00C71E74" w:rsidP="00C71E74">
      <w:pPr>
        <w:pStyle w:val="ListParagraph"/>
        <w:ind w:left="0"/>
        <w:rPr>
          <w:szCs w:val="22"/>
        </w:rPr>
      </w:pPr>
    </w:p>
    <w:p w:rsidR="00C71E74" w:rsidRDefault="00C71E74" w:rsidP="00C71E74">
      <w:pPr>
        <w:pStyle w:val="ListParagraph"/>
        <w:widowControl/>
        <w:numPr>
          <w:ilvl w:val="1"/>
          <w:numId w:val="5"/>
        </w:numPr>
        <w:rPr>
          <w:szCs w:val="22"/>
        </w:rPr>
      </w:pPr>
      <w:r w:rsidRPr="00B50DB8">
        <w:rPr>
          <w:szCs w:val="22"/>
        </w:rPr>
        <w:t xml:space="preserve">A summary of the comparative benefits and harms for </w:t>
      </w:r>
      <w:r w:rsidR="00FD21B7">
        <w:rPr>
          <w:szCs w:val="22"/>
        </w:rPr>
        <w:t>DCV+</w:t>
      </w:r>
      <w:r>
        <w:rPr>
          <w:szCs w:val="22"/>
        </w:rPr>
        <w:t xml:space="preserve">SOF </w:t>
      </w:r>
      <w:r w:rsidRPr="00B50DB8">
        <w:rPr>
          <w:szCs w:val="22"/>
        </w:rPr>
        <w:t xml:space="preserve">versus </w:t>
      </w:r>
      <w:r>
        <w:rPr>
          <w:szCs w:val="22"/>
        </w:rPr>
        <w:t>‘no treatment’</w:t>
      </w:r>
      <w:r w:rsidRPr="00B50DB8">
        <w:rPr>
          <w:szCs w:val="22"/>
        </w:rPr>
        <w:t xml:space="preserve"> </w:t>
      </w:r>
      <w:r>
        <w:rPr>
          <w:szCs w:val="22"/>
        </w:rPr>
        <w:t>i</w:t>
      </w:r>
      <w:r w:rsidRPr="00B50DB8">
        <w:rPr>
          <w:szCs w:val="22"/>
        </w:rPr>
        <w:t xml:space="preserve">s presented </w:t>
      </w:r>
      <w:r>
        <w:rPr>
          <w:szCs w:val="22"/>
        </w:rPr>
        <w:t xml:space="preserve">below, based on the evidence provided in the </w:t>
      </w:r>
      <w:r w:rsidR="00FD21B7">
        <w:rPr>
          <w:szCs w:val="22"/>
        </w:rPr>
        <w:t>re-</w:t>
      </w:r>
      <w:r>
        <w:rPr>
          <w:szCs w:val="22"/>
        </w:rPr>
        <w:t>submission</w:t>
      </w:r>
      <w:r w:rsidRPr="00B50DB8">
        <w:rPr>
          <w:szCs w:val="22"/>
        </w:rPr>
        <w:t>.</w:t>
      </w:r>
    </w:p>
    <w:p w:rsidR="009711A6" w:rsidRDefault="009711A6" w:rsidP="00C71E74">
      <w:pPr>
        <w:pStyle w:val="ListParagraph"/>
        <w:widowControl/>
        <w:numPr>
          <w:ilvl w:val="1"/>
          <w:numId w:val="5"/>
        </w:numPr>
        <w:rPr>
          <w:szCs w:val="22"/>
        </w:rPr>
      </w:pPr>
    </w:p>
    <w:p w:rsidR="00C71E74" w:rsidRPr="00637F4A" w:rsidRDefault="002F126E" w:rsidP="00FD21B7">
      <w:pPr>
        <w:pStyle w:val="ListParagraph"/>
        <w:keepNext/>
        <w:rPr>
          <w:rStyle w:val="CommentReference"/>
        </w:rPr>
      </w:pPr>
      <w:r w:rsidRPr="00637F4A">
        <w:rPr>
          <w:rStyle w:val="CommentReference"/>
        </w:rPr>
        <w:t xml:space="preserve">Table </w:t>
      </w:r>
      <w:r w:rsidR="0076029C">
        <w:rPr>
          <w:rStyle w:val="CommentReference"/>
        </w:rPr>
        <w:t>7</w:t>
      </w:r>
      <w:r w:rsidR="00C71E74" w:rsidRPr="00637F4A">
        <w:rPr>
          <w:rStyle w:val="CommentReference"/>
        </w:rPr>
        <w:t>: Summary of compara</w:t>
      </w:r>
      <w:r w:rsidR="0036287E" w:rsidRPr="00637F4A">
        <w:rPr>
          <w:rStyle w:val="CommentReference"/>
        </w:rPr>
        <w:t>tive benefits and harms for DCV+SOF±</w:t>
      </w:r>
      <w:r w:rsidR="00C71E74" w:rsidRPr="00637F4A">
        <w:rPr>
          <w:rStyle w:val="CommentReference"/>
        </w:rPr>
        <w:t>RBV relative to No treatment</w:t>
      </w:r>
    </w:p>
    <w:tbl>
      <w:tblPr>
        <w:tblStyle w:val="TableGrid"/>
        <w:tblW w:w="0" w:type="auto"/>
        <w:tblInd w:w="817" w:type="dxa"/>
        <w:tblLook w:val="04A0" w:firstRow="1" w:lastRow="0" w:firstColumn="1" w:lastColumn="0" w:noHBand="0" w:noVBand="1"/>
        <w:tblCaption w:val="Table 7: Summary of comparative benefits and harms "/>
      </w:tblPr>
      <w:tblGrid>
        <w:gridCol w:w="1283"/>
        <w:gridCol w:w="2007"/>
        <w:gridCol w:w="2900"/>
        <w:gridCol w:w="2235"/>
      </w:tblGrid>
      <w:tr w:rsidR="00FD21B7" w:rsidRPr="00F22F5F" w:rsidTr="009711A6">
        <w:trPr>
          <w:tblHeader/>
        </w:trPr>
        <w:tc>
          <w:tcPr>
            <w:tcW w:w="1195" w:type="dxa"/>
          </w:tcPr>
          <w:p w:rsidR="00FD21B7" w:rsidRPr="0038793B" w:rsidRDefault="00FD21B7" w:rsidP="00FD21B7">
            <w:pPr>
              <w:keepNext/>
              <w:keepLines/>
              <w:widowControl/>
              <w:rPr>
                <w:rFonts w:ascii="Arial Narrow" w:hAnsi="Arial Narrow"/>
                <w:b/>
                <w:snapToGrid/>
                <w:sz w:val="20"/>
                <w:lang w:eastAsia="en-AU"/>
              </w:rPr>
            </w:pPr>
            <w:r w:rsidRPr="0038793B">
              <w:rPr>
                <w:rFonts w:ascii="Arial Narrow" w:hAnsi="Arial Narrow"/>
                <w:b/>
                <w:snapToGrid/>
                <w:sz w:val="20"/>
                <w:lang w:eastAsia="en-AU"/>
              </w:rPr>
              <w:t>Patient group*</w:t>
            </w:r>
          </w:p>
        </w:tc>
        <w:tc>
          <w:tcPr>
            <w:tcW w:w="2022" w:type="dxa"/>
          </w:tcPr>
          <w:p w:rsidR="00FD21B7" w:rsidRPr="0038793B" w:rsidRDefault="00FD21B7" w:rsidP="00FD21B7">
            <w:pPr>
              <w:keepNext/>
              <w:keepLines/>
              <w:widowControl/>
              <w:rPr>
                <w:rFonts w:ascii="Arial Narrow" w:hAnsi="Arial Narrow"/>
                <w:b/>
                <w:snapToGrid/>
                <w:sz w:val="20"/>
                <w:lang w:eastAsia="en-AU"/>
              </w:rPr>
            </w:pPr>
            <w:r w:rsidRPr="0038793B">
              <w:rPr>
                <w:rFonts w:ascii="Arial Narrow" w:hAnsi="Arial Narrow"/>
                <w:b/>
                <w:snapToGrid/>
                <w:sz w:val="20"/>
                <w:lang w:eastAsia="en-AU"/>
              </w:rPr>
              <w:t>Comparison</w:t>
            </w:r>
          </w:p>
        </w:tc>
        <w:tc>
          <w:tcPr>
            <w:tcW w:w="2953" w:type="dxa"/>
          </w:tcPr>
          <w:p w:rsidR="00FD21B7" w:rsidRPr="0038793B" w:rsidRDefault="00FD21B7" w:rsidP="00FD21B7">
            <w:pPr>
              <w:keepNext/>
              <w:keepLines/>
              <w:widowControl/>
              <w:rPr>
                <w:rFonts w:ascii="Arial Narrow" w:hAnsi="Arial Narrow"/>
                <w:b/>
                <w:snapToGrid/>
                <w:sz w:val="20"/>
                <w:lang w:eastAsia="en-AU"/>
              </w:rPr>
            </w:pPr>
            <w:r w:rsidRPr="0038793B">
              <w:rPr>
                <w:rFonts w:ascii="Arial Narrow" w:hAnsi="Arial Narrow"/>
                <w:b/>
                <w:snapToGrid/>
                <w:sz w:val="20"/>
                <w:lang w:eastAsia="en-AU"/>
              </w:rPr>
              <w:t>Benefits (SVR12)**</w:t>
            </w:r>
          </w:p>
        </w:tc>
        <w:tc>
          <w:tcPr>
            <w:tcW w:w="2255" w:type="dxa"/>
          </w:tcPr>
          <w:p w:rsidR="00FD21B7" w:rsidRPr="0038793B" w:rsidRDefault="00FD21B7" w:rsidP="00FD21B7">
            <w:pPr>
              <w:keepNext/>
              <w:keepLines/>
              <w:widowControl/>
              <w:rPr>
                <w:rFonts w:ascii="Arial Narrow" w:hAnsi="Arial Narrow"/>
                <w:b/>
                <w:snapToGrid/>
                <w:sz w:val="20"/>
                <w:vertAlign w:val="superscript"/>
                <w:lang w:eastAsia="en-AU"/>
              </w:rPr>
            </w:pPr>
            <w:r w:rsidRPr="0038793B">
              <w:rPr>
                <w:rFonts w:ascii="Arial Narrow" w:hAnsi="Arial Narrow"/>
                <w:b/>
                <w:snapToGrid/>
                <w:sz w:val="20"/>
                <w:lang w:eastAsia="en-AU"/>
              </w:rPr>
              <w:t>Harm</w:t>
            </w:r>
            <w:r w:rsidR="00A52D4E" w:rsidRPr="0038793B">
              <w:rPr>
                <w:rFonts w:ascii="Arial Narrow" w:hAnsi="Arial Narrow"/>
                <w:b/>
                <w:snapToGrid/>
                <w:sz w:val="20"/>
                <w:lang w:eastAsia="en-AU"/>
              </w:rPr>
              <w:t>**</w:t>
            </w:r>
          </w:p>
        </w:tc>
      </w:tr>
      <w:tr w:rsidR="00FD21B7" w:rsidRPr="00F22F5F" w:rsidTr="00FD21B7">
        <w:trPr>
          <w:trHeight w:val="1147"/>
        </w:trPr>
        <w:tc>
          <w:tcPr>
            <w:tcW w:w="1195" w:type="dxa"/>
          </w:tcPr>
          <w:p w:rsidR="00FD21B7" w:rsidRPr="0038793B" w:rsidRDefault="00FD21B7" w:rsidP="00FD21B7">
            <w:pPr>
              <w:keepNext/>
              <w:keepLines/>
              <w:widowControl/>
              <w:jc w:val="left"/>
              <w:rPr>
                <w:rFonts w:ascii="Arial Narrow" w:hAnsi="Arial Narrow"/>
                <w:b/>
                <w:snapToGrid/>
                <w:sz w:val="20"/>
                <w:lang w:eastAsia="en-AU"/>
              </w:rPr>
            </w:pPr>
            <w:r w:rsidRPr="0038793B">
              <w:rPr>
                <w:rFonts w:ascii="Arial Narrow" w:hAnsi="Arial Narrow"/>
                <w:b/>
                <w:snapToGrid/>
                <w:sz w:val="20"/>
                <w:lang w:eastAsia="en-AU"/>
              </w:rPr>
              <w:t>Genotype 1, treatment experienced</w:t>
            </w:r>
          </w:p>
          <w:p w:rsidR="00FD21B7" w:rsidRPr="0038793B" w:rsidRDefault="00FD21B7" w:rsidP="00FD21B7">
            <w:pPr>
              <w:keepNext/>
              <w:keepLines/>
              <w:widowControl/>
              <w:jc w:val="left"/>
              <w:rPr>
                <w:rFonts w:ascii="Arial Narrow" w:hAnsi="Arial Narrow"/>
                <w:b/>
                <w:snapToGrid/>
                <w:sz w:val="20"/>
                <w:lang w:eastAsia="en-AU"/>
              </w:rPr>
            </w:pPr>
          </w:p>
          <w:p w:rsidR="00FD21B7" w:rsidRPr="0038793B" w:rsidRDefault="00FD21B7" w:rsidP="00FD21B7">
            <w:pPr>
              <w:keepNext/>
              <w:keepLines/>
              <w:widowControl/>
              <w:jc w:val="left"/>
              <w:rPr>
                <w:rFonts w:ascii="Arial Narrow" w:hAnsi="Arial Narrow"/>
                <w:b/>
                <w:snapToGrid/>
                <w:sz w:val="20"/>
                <w:lang w:eastAsia="en-AU"/>
              </w:rPr>
            </w:pPr>
          </w:p>
        </w:tc>
        <w:tc>
          <w:tcPr>
            <w:tcW w:w="2022" w:type="dxa"/>
          </w:tcPr>
          <w:p w:rsidR="00FD21B7" w:rsidRPr="0038793B" w:rsidRDefault="00FD21B7" w:rsidP="000F7B58">
            <w:pPr>
              <w:keepNext/>
              <w:keepLines/>
              <w:widowControl/>
              <w:jc w:val="left"/>
              <w:rPr>
                <w:rFonts w:ascii="Arial Narrow" w:hAnsi="Arial Narrow"/>
                <w:snapToGrid/>
                <w:sz w:val="20"/>
                <w:lang w:eastAsia="en-AU"/>
              </w:rPr>
            </w:pPr>
            <w:r w:rsidRPr="0038793B">
              <w:rPr>
                <w:rFonts w:ascii="Arial Narrow" w:hAnsi="Arial Narrow"/>
                <w:sz w:val="20"/>
              </w:rPr>
              <w:t xml:space="preserve">for every 100 patients treated with </w:t>
            </w:r>
            <w:r w:rsidRPr="0038793B">
              <w:rPr>
                <w:rFonts w:ascii="Arial Narrow" w:hAnsi="Arial Narrow"/>
                <w:sz w:val="20"/>
                <w:u w:val="single"/>
              </w:rPr>
              <w:t>DCV+SOF12</w:t>
            </w:r>
            <w:r w:rsidRPr="0038793B">
              <w:rPr>
                <w:rFonts w:ascii="Arial Narrow" w:hAnsi="Arial Narrow"/>
                <w:sz w:val="20"/>
              </w:rPr>
              <w:t xml:space="preserve"> in comparison to </w:t>
            </w:r>
            <w:r w:rsidRPr="0038793B">
              <w:rPr>
                <w:rFonts w:ascii="Arial Narrow" w:hAnsi="Arial Narrow"/>
                <w:sz w:val="20"/>
                <w:u w:val="single"/>
              </w:rPr>
              <w:t>no treatment</w:t>
            </w:r>
          </w:p>
        </w:tc>
        <w:tc>
          <w:tcPr>
            <w:tcW w:w="2953" w:type="dxa"/>
          </w:tcPr>
          <w:p w:rsidR="00FD21B7" w:rsidRPr="0038793B" w:rsidRDefault="00FD21B7" w:rsidP="000F7B58">
            <w:pPr>
              <w:keepNext/>
              <w:keepLines/>
              <w:widowControl/>
              <w:numPr>
                <w:ilvl w:val="0"/>
                <w:numId w:val="3"/>
              </w:numPr>
              <w:ind w:left="218" w:hanging="142"/>
              <w:contextualSpacing/>
              <w:jc w:val="left"/>
              <w:rPr>
                <w:rFonts w:ascii="Arial Narrow" w:hAnsi="Arial Narrow"/>
                <w:snapToGrid/>
                <w:sz w:val="20"/>
                <w:lang w:eastAsia="en-AU"/>
              </w:rPr>
            </w:pPr>
            <w:r w:rsidRPr="0038793B">
              <w:rPr>
                <w:rFonts w:ascii="Arial Narrow" w:hAnsi="Arial Narrow"/>
                <w:snapToGrid/>
                <w:sz w:val="20"/>
                <w:lang w:eastAsia="en-AU"/>
              </w:rPr>
              <w:t xml:space="preserve">Approximately 98 additional patients would be expected to achieve an SVR </w:t>
            </w:r>
          </w:p>
        </w:tc>
        <w:tc>
          <w:tcPr>
            <w:tcW w:w="2255" w:type="dxa"/>
            <w:vMerge w:val="restart"/>
          </w:tcPr>
          <w:p w:rsidR="00FD21B7" w:rsidRPr="0038793B" w:rsidRDefault="00FD21B7" w:rsidP="000F7B58">
            <w:pPr>
              <w:keepNext/>
              <w:keepLines/>
              <w:widowControl/>
              <w:numPr>
                <w:ilvl w:val="0"/>
                <w:numId w:val="3"/>
              </w:numPr>
              <w:ind w:left="218" w:hanging="142"/>
              <w:contextualSpacing/>
              <w:jc w:val="left"/>
              <w:rPr>
                <w:rFonts w:ascii="Arial Narrow" w:hAnsi="Arial Narrow"/>
                <w:snapToGrid/>
                <w:sz w:val="20"/>
                <w:lang w:eastAsia="en-AU"/>
              </w:rPr>
            </w:pPr>
            <w:r w:rsidRPr="0038793B">
              <w:rPr>
                <w:rFonts w:ascii="Arial Narrow" w:hAnsi="Arial Narrow"/>
                <w:snapToGrid/>
                <w:sz w:val="20"/>
                <w:lang w:eastAsia="en-AU"/>
              </w:rPr>
              <w:t xml:space="preserve">Approximately </w:t>
            </w:r>
            <w:r w:rsidR="00B96501" w:rsidRPr="0038793B">
              <w:rPr>
                <w:rFonts w:ascii="Arial Narrow" w:hAnsi="Arial Narrow"/>
                <w:snapToGrid/>
                <w:sz w:val="20"/>
                <w:lang w:eastAsia="en-AU"/>
              </w:rPr>
              <w:t>17</w:t>
            </w:r>
            <w:r w:rsidRPr="0038793B">
              <w:rPr>
                <w:rFonts w:ascii="Arial Narrow" w:hAnsi="Arial Narrow"/>
                <w:snapToGrid/>
                <w:sz w:val="20"/>
                <w:lang w:eastAsia="en-AU"/>
              </w:rPr>
              <w:t xml:space="preserve"> additional cirrhotic patients and </w:t>
            </w:r>
            <w:r w:rsidR="00B96501" w:rsidRPr="0038793B">
              <w:rPr>
                <w:rFonts w:ascii="Arial Narrow" w:hAnsi="Arial Narrow"/>
                <w:snapToGrid/>
                <w:sz w:val="20"/>
                <w:lang w:eastAsia="en-AU"/>
              </w:rPr>
              <w:t>9</w:t>
            </w:r>
            <w:r w:rsidRPr="0038793B">
              <w:rPr>
                <w:rFonts w:ascii="Arial Narrow" w:hAnsi="Arial Narrow"/>
                <w:snapToGrid/>
                <w:sz w:val="20"/>
                <w:lang w:eastAsia="en-AU"/>
              </w:rPr>
              <w:t xml:space="preserve"> additional post-liver transplant patients  would experience a serious AE from treatment with DCV+SOF+RBV12;</w:t>
            </w:r>
          </w:p>
          <w:p w:rsidR="00FD21B7" w:rsidRPr="0038793B" w:rsidRDefault="00FD21B7" w:rsidP="000F7B58">
            <w:pPr>
              <w:keepNext/>
              <w:keepLines/>
              <w:widowControl/>
              <w:numPr>
                <w:ilvl w:val="0"/>
                <w:numId w:val="3"/>
              </w:numPr>
              <w:ind w:left="218" w:hanging="142"/>
              <w:contextualSpacing/>
              <w:jc w:val="left"/>
              <w:rPr>
                <w:rFonts w:ascii="Arial Narrow" w:hAnsi="Arial Narrow"/>
                <w:snapToGrid/>
                <w:sz w:val="20"/>
                <w:lang w:eastAsia="en-AU"/>
              </w:rPr>
            </w:pPr>
            <w:r w:rsidRPr="0038793B">
              <w:rPr>
                <w:rFonts w:ascii="Arial Narrow" w:hAnsi="Arial Narrow"/>
                <w:snapToGrid/>
                <w:sz w:val="20"/>
                <w:lang w:eastAsia="en-AU"/>
              </w:rPr>
              <w:t>Approximately 13 additional patients who have advanced cirrhosis or are post-liver transplant would experience a Grade 3/4 AE, from treatment with DCV+SOF+RBV12;</w:t>
            </w:r>
          </w:p>
          <w:p w:rsidR="00FD21B7" w:rsidRPr="0038793B" w:rsidRDefault="00FD21B7" w:rsidP="000F7B58">
            <w:pPr>
              <w:keepNext/>
              <w:keepLines/>
              <w:widowControl/>
              <w:numPr>
                <w:ilvl w:val="0"/>
                <w:numId w:val="3"/>
              </w:numPr>
              <w:ind w:left="218" w:hanging="142"/>
              <w:contextualSpacing/>
              <w:jc w:val="left"/>
              <w:rPr>
                <w:rFonts w:ascii="Arial Narrow" w:hAnsi="Arial Narrow"/>
                <w:snapToGrid/>
                <w:sz w:val="20"/>
                <w:lang w:eastAsia="en-AU"/>
              </w:rPr>
            </w:pPr>
            <w:r w:rsidRPr="0038793B">
              <w:rPr>
                <w:rFonts w:ascii="Arial Narrow" w:hAnsi="Arial Narrow"/>
                <w:snapToGrid/>
                <w:sz w:val="20"/>
                <w:lang w:eastAsia="en-AU"/>
              </w:rPr>
              <w:t>Approximately 2 additional patients who are co-infected with HCV/HIV would experience a serious AE from treatment with DCV+SOF12;</w:t>
            </w:r>
          </w:p>
          <w:p w:rsidR="00FD21B7" w:rsidRPr="0038793B" w:rsidRDefault="00FD21B7" w:rsidP="000F7B58">
            <w:pPr>
              <w:keepNext/>
              <w:keepLines/>
              <w:widowControl/>
              <w:numPr>
                <w:ilvl w:val="0"/>
                <w:numId w:val="3"/>
              </w:numPr>
              <w:ind w:left="218" w:hanging="142"/>
              <w:contextualSpacing/>
              <w:jc w:val="left"/>
              <w:rPr>
                <w:rFonts w:ascii="Arial Narrow" w:hAnsi="Arial Narrow"/>
                <w:snapToGrid/>
                <w:sz w:val="20"/>
                <w:lang w:eastAsia="en-AU"/>
              </w:rPr>
            </w:pPr>
            <w:r w:rsidRPr="0038793B">
              <w:rPr>
                <w:rFonts w:ascii="Arial Narrow" w:hAnsi="Arial Narrow"/>
                <w:snapToGrid/>
                <w:sz w:val="20"/>
                <w:lang w:eastAsia="en-AU"/>
              </w:rPr>
              <w:t>Approximately 4 additional patients who are co-infected with HCV/HIV would experience a Grade 3/4 AE, from treatment with DCV+SOF12;</w:t>
            </w:r>
          </w:p>
        </w:tc>
      </w:tr>
      <w:tr w:rsidR="00FD21B7" w:rsidRPr="00F22F5F" w:rsidTr="00FD21B7">
        <w:trPr>
          <w:trHeight w:val="1208"/>
        </w:trPr>
        <w:tc>
          <w:tcPr>
            <w:tcW w:w="1195" w:type="dxa"/>
          </w:tcPr>
          <w:p w:rsidR="00FD21B7" w:rsidRPr="0038793B" w:rsidRDefault="00FD21B7" w:rsidP="00FD21B7">
            <w:pPr>
              <w:keepNext/>
              <w:keepLines/>
              <w:widowControl/>
              <w:jc w:val="left"/>
              <w:rPr>
                <w:rFonts w:ascii="Arial Narrow" w:eastAsiaTheme="majorEastAsia" w:hAnsi="Arial Narrow"/>
                <w:b/>
                <w:bCs/>
                <w:snapToGrid/>
                <w:sz w:val="20"/>
                <w:lang w:eastAsia="en-AU"/>
              </w:rPr>
            </w:pPr>
            <w:r w:rsidRPr="0038793B">
              <w:rPr>
                <w:rFonts w:ascii="Arial Narrow" w:eastAsiaTheme="majorEastAsia" w:hAnsi="Arial Narrow"/>
                <w:b/>
                <w:bCs/>
                <w:snapToGrid/>
                <w:sz w:val="20"/>
                <w:lang w:eastAsia="en-AU"/>
              </w:rPr>
              <w:t>Genotype 1 cirrhotic patients</w:t>
            </w:r>
          </w:p>
        </w:tc>
        <w:tc>
          <w:tcPr>
            <w:tcW w:w="2022" w:type="dxa"/>
          </w:tcPr>
          <w:p w:rsidR="00FD21B7" w:rsidRPr="0038793B" w:rsidRDefault="00FD21B7" w:rsidP="000F7B58">
            <w:pPr>
              <w:keepNext/>
              <w:keepLines/>
              <w:widowControl/>
              <w:rPr>
                <w:rFonts w:ascii="Arial Narrow" w:hAnsi="Arial Narrow"/>
                <w:snapToGrid/>
                <w:sz w:val="20"/>
                <w:lang w:eastAsia="en-AU"/>
              </w:rPr>
            </w:pPr>
            <w:r w:rsidRPr="0038793B">
              <w:rPr>
                <w:rFonts w:ascii="Arial Narrow" w:hAnsi="Arial Narrow"/>
                <w:snapToGrid/>
                <w:sz w:val="20"/>
                <w:lang w:eastAsia="en-AU"/>
              </w:rPr>
              <w:t xml:space="preserve">for every 100 patients treated with </w:t>
            </w:r>
            <w:r w:rsidRPr="0038793B">
              <w:rPr>
                <w:rFonts w:ascii="Arial Narrow" w:hAnsi="Arial Narrow"/>
                <w:snapToGrid/>
                <w:sz w:val="20"/>
                <w:u w:val="single"/>
                <w:lang w:eastAsia="en-AU"/>
              </w:rPr>
              <w:t>DCV+SOF+RBV12</w:t>
            </w:r>
            <w:r w:rsidRPr="0038793B">
              <w:rPr>
                <w:rFonts w:ascii="Arial Narrow" w:hAnsi="Arial Narrow"/>
                <w:snapToGrid/>
                <w:sz w:val="20"/>
                <w:lang w:eastAsia="en-AU"/>
              </w:rPr>
              <w:t xml:space="preserve"> in comparison to</w:t>
            </w:r>
            <w:r w:rsidRPr="00265CAB">
              <w:rPr>
                <w:rFonts w:ascii="Arial Narrow" w:hAnsi="Arial Narrow"/>
                <w:snapToGrid/>
                <w:sz w:val="20"/>
                <w:lang w:eastAsia="en-AU"/>
              </w:rPr>
              <w:t xml:space="preserve"> </w:t>
            </w:r>
            <w:r w:rsidRPr="0038793B">
              <w:rPr>
                <w:rFonts w:ascii="Arial Narrow" w:hAnsi="Arial Narrow"/>
                <w:snapToGrid/>
                <w:sz w:val="20"/>
                <w:u w:val="single"/>
                <w:lang w:eastAsia="en-AU"/>
              </w:rPr>
              <w:t>no treatment</w:t>
            </w:r>
          </w:p>
        </w:tc>
        <w:tc>
          <w:tcPr>
            <w:tcW w:w="2953" w:type="dxa"/>
          </w:tcPr>
          <w:p w:rsidR="00FD21B7" w:rsidRPr="0038793B" w:rsidRDefault="00FD21B7" w:rsidP="000F7B58">
            <w:pPr>
              <w:keepNext/>
              <w:keepLines/>
              <w:widowControl/>
              <w:numPr>
                <w:ilvl w:val="0"/>
                <w:numId w:val="3"/>
              </w:numPr>
              <w:ind w:left="218" w:hanging="142"/>
              <w:contextualSpacing/>
              <w:jc w:val="left"/>
              <w:rPr>
                <w:rFonts w:ascii="Arial Narrow" w:hAnsi="Arial Narrow"/>
                <w:snapToGrid/>
                <w:sz w:val="20"/>
                <w:lang w:eastAsia="en-AU"/>
              </w:rPr>
            </w:pPr>
            <w:r w:rsidRPr="0038793B">
              <w:rPr>
                <w:rFonts w:ascii="Arial Narrow" w:hAnsi="Arial Narrow"/>
                <w:snapToGrid/>
                <w:sz w:val="20"/>
                <w:lang w:eastAsia="en-AU"/>
              </w:rPr>
              <w:t>Approximately 82 additional patients would be expected to achieve an SVR</w:t>
            </w:r>
          </w:p>
        </w:tc>
        <w:tc>
          <w:tcPr>
            <w:tcW w:w="2255" w:type="dxa"/>
            <w:vMerge/>
          </w:tcPr>
          <w:p w:rsidR="00FD21B7" w:rsidRPr="00F22F5F" w:rsidRDefault="00FD21B7" w:rsidP="000F7B58">
            <w:pPr>
              <w:keepNext/>
              <w:keepLines/>
              <w:widowControl/>
              <w:numPr>
                <w:ilvl w:val="0"/>
                <w:numId w:val="3"/>
              </w:numPr>
              <w:ind w:left="218" w:hanging="142"/>
              <w:contextualSpacing/>
              <w:jc w:val="left"/>
              <w:rPr>
                <w:rFonts w:ascii="Arial Narrow" w:hAnsi="Arial Narrow"/>
                <w:i/>
                <w:snapToGrid/>
                <w:sz w:val="20"/>
                <w:lang w:eastAsia="en-AU"/>
              </w:rPr>
            </w:pPr>
          </w:p>
        </w:tc>
      </w:tr>
      <w:tr w:rsidR="00FD21B7" w:rsidRPr="00F22F5F" w:rsidTr="00FD21B7">
        <w:trPr>
          <w:trHeight w:val="1208"/>
        </w:trPr>
        <w:tc>
          <w:tcPr>
            <w:tcW w:w="1195" w:type="dxa"/>
          </w:tcPr>
          <w:p w:rsidR="00FD21B7" w:rsidRPr="0038793B" w:rsidRDefault="00FD21B7" w:rsidP="00FD21B7">
            <w:pPr>
              <w:keepNext/>
              <w:keepLines/>
              <w:widowControl/>
              <w:jc w:val="left"/>
              <w:rPr>
                <w:rFonts w:ascii="Arial Narrow" w:eastAsiaTheme="majorEastAsia" w:hAnsi="Arial Narrow"/>
                <w:b/>
                <w:bCs/>
                <w:snapToGrid/>
                <w:sz w:val="20"/>
                <w:lang w:eastAsia="en-AU"/>
              </w:rPr>
            </w:pPr>
            <w:r w:rsidRPr="0038793B">
              <w:rPr>
                <w:rFonts w:ascii="Arial Narrow" w:eastAsiaTheme="majorEastAsia" w:hAnsi="Arial Narrow"/>
                <w:b/>
                <w:bCs/>
                <w:snapToGrid/>
                <w:sz w:val="20"/>
                <w:lang w:eastAsia="en-AU"/>
              </w:rPr>
              <w:t>Treatment experienced cirrhotic patients (all genotypes)***</w:t>
            </w:r>
          </w:p>
        </w:tc>
        <w:tc>
          <w:tcPr>
            <w:tcW w:w="2022" w:type="dxa"/>
          </w:tcPr>
          <w:p w:rsidR="00FD21B7" w:rsidRPr="0038793B" w:rsidRDefault="00FD21B7" w:rsidP="00265CAB">
            <w:pPr>
              <w:keepNext/>
              <w:keepLines/>
              <w:widowControl/>
              <w:jc w:val="left"/>
              <w:rPr>
                <w:rFonts w:ascii="Arial Narrow" w:hAnsi="Arial Narrow"/>
                <w:snapToGrid/>
                <w:sz w:val="20"/>
                <w:lang w:eastAsia="en-AU"/>
              </w:rPr>
            </w:pPr>
            <w:r w:rsidRPr="0038793B">
              <w:rPr>
                <w:rFonts w:ascii="Arial Narrow" w:hAnsi="Arial Narrow"/>
                <w:snapToGrid/>
                <w:sz w:val="20"/>
                <w:lang w:eastAsia="en-AU"/>
              </w:rPr>
              <w:t xml:space="preserve">for every 100 patients treated with </w:t>
            </w:r>
            <w:r w:rsidRPr="0038793B">
              <w:rPr>
                <w:rFonts w:ascii="Arial Narrow" w:hAnsi="Arial Narrow"/>
                <w:snapToGrid/>
                <w:sz w:val="20"/>
                <w:u w:val="single"/>
                <w:lang w:eastAsia="en-AU"/>
              </w:rPr>
              <w:t>DCV+SOF+RBV12</w:t>
            </w:r>
            <w:r w:rsidRPr="0038793B">
              <w:rPr>
                <w:rFonts w:ascii="Arial Narrow" w:hAnsi="Arial Narrow"/>
                <w:snapToGrid/>
                <w:sz w:val="20"/>
                <w:lang w:eastAsia="en-AU"/>
              </w:rPr>
              <w:t xml:space="preserve"> in comparison to</w:t>
            </w:r>
            <w:r w:rsidRPr="00265CAB">
              <w:rPr>
                <w:rFonts w:ascii="Arial Narrow" w:hAnsi="Arial Narrow"/>
                <w:snapToGrid/>
                <w:sz w:val="20"/>
                <w:lang w:eastAsia="en-AU"/>
              </w:rPr>
              <w:t xml:space="preserve"> </w:t>
            </w:r>
            <w:r w:rsidRPr="0038793B">
              <w:rPr>
                <w:rFonts w:ascii="Arial Narrow" w:hAnsi="Arial Narrow"/>
                <w:snapToGrid/>
                <w:sz w:val="20"/>
                <w:u w:val="single"/>
                <w:lang w:eastAsia="en-AU"/>
              </w:rPr>
              <w:t>no treatment</w:t>
            </w:r>
          </w:p>
        </w:tc>
        <w:tc>
          <w:tcPr>
            <w:tcW w:w="2953" w:type="dxa"/>
          </w:tcPr>
          <w:p w:rsidR="00FD21B7" w:rsidRPr="0038793B" w:rsidRDefault="00FD21B7" w:rsidP="000F7B58">
            <w:pPr>
              <w:keepNext/>
              <w:keepLines/>
              <w:widowControl/>
              <w:numPr>
                <w:ilvl w:val="0"/>
                <w:numId w:val="3"/>
              </w:numPr>
              <w:ind w:left="218" w:hanging="142"/>
              <w:contextualSpacing/>
              <w:jc w:val="left"/>
              <w:rPr>
                <w:rFonts w:ascii="Arial Narrow" w:hAnsi="Arial Narrow"/>
                <w:snapToGrid/>
                <w:sz w:val="20"/>
                <w:lang w:eastAsia="en-AU"/>
              </w:rPr>
            </w:pPr>
            <w:r w:rsidRPr="0038793B">
              <w:rPr>
                <w:rFonts w:ascii="Arial Narrow" w:hAnsi="Arial Narrow"/>
                <w:snapToGrid/>
                <w:sz w:val="20"/>
                <w:lang w:eastAsia="en-AU"/>
              </w:rPr>
              <w:t xml:space="preserve">Approximately 75 additional patients would be expected to achieve an SVR </w:t>
            </w:r>
          </w:p>
        </w:tc>
        <w:tc>
          <w:tcPr>
            <w:tcW w:w="2255" w:type="dxa"/>
            <w:vMerge/>
          </w:tcPr>
          <w:p w:rsidR="00FD21B7" w:rsidRPr="00F22F5F" w:rsidRDefault="00FD21B7" w:rsidP="000F7B58">
            <w:pPr>
              <w:keepNext/>
              <w:keepLines/>
              <w:widowControl/>
              <w:numPr>
                <w:ilvl w:val="0"/>
                <w:numId w:val="3"/>
              </w:numPr>
              <w:ind w:left="218" w:hanging="142"/>
              <w:contextualSpacing/>
              <w:jc w:val="left"/>
              <w:rPr>
                <w:rFonts w:ascii="Arial Narrow" w:hAnsi="Arial Narrow"/>
                <w:i/>
                <w:snapToGrid/>
                <w:sz w:val="20"/>
                <w:lang w:eastAsia="en-AU"/>
              </w:rPr>
            </w:pPr>
          </w:p>
        </w:tc>
      </w:tr>
      <w:tr w:rsidR="00FD21B7" w:rsidRPr="00F22F5F" w:rsidTr="00FD21B7">
        <w:trPr>
          <w:trHeight w:val="2036"/>
        </w:trPr>
        <w:tc>
          <w:tcPr>
            <w:tcW w:w="1195" w:type="dxa"/>
          </w:tcPr>
          <w:p w:rsidR="00FD21B7" w:rsidRPr="0038793B" w:rsidRDefault="00FD21B7" w:rsidP="000F7B58">
            <w:pPr>
              <w:keepNext/>
              <w:keepLines/>
              <w:widowControl/>
              <w:jc w:val="left"/>
              <w:rPr>
                <w:rFonts w:ascii="Arial Narrow" w:eastAsiaTheme="majorEastAsia" w:hAnsi="Arial Narrow"/>
                <w:b/>
                <w:bCs/>
                <w:snapToGrid/>
                <w:sz w:val="20"/>
                <w:lang w:eastAsia="en-AU"/>
              </w:rPr>
            </w:pPr>
            <w:r w:rsidRPr="0038793B">
              <w:rPr>
                <w:rFonts w:ascii="Arial Narrow" w:eastAsiaTheme="majorEastAsia" w:hAnsi="Arial Narrow"/>
                <w:b/>
                <w:bCs/>
                <w:snapToGrid/>
                <w:sz w:val="20"/>
                <w:lang w:eastAsia="en-AU"/>
              </w:rPr>
              <w:t>Treatment experienced (all genotypes), irrespective cirrhosis status****</w:t>
            </w:r>
          </w:p>
        </w:tc>
        <w:tc>
          <w:tcPr>
            <w:tcW w:w="2022" w:type="dxa"/>
          </w:tcPr>
          <w:p w:rsidR="00FD21B7" w:rsidRPr="0038793B" w:rsidRDefault="00FD21B7" w:rsidP="000F7B58">
            <w:pPr>
              <w:keepNext/>
              <w:keepLines/>
              <w:widowControl/>
              <w:jc w:val="left"/>
              <w:rPr>
                <w:rFonts w:ascii="Arial Narrow" w:hAnsi="Arial Narrow"/>
                <w:snapToGrid/>
                <w:sz w:val="20"/>
                <w:lang w:eastAsia="en-AU"/>
              </w:rPr>
            </w:pPr>
            <w:r w:rsidRPr="0038793B">
              <w:rPr>
                <w:rFonts w:ascii="Arial Narrow" w:hAnsi="Arial Narrow"/>
                <w:snapToGrid/>
                <w:sz w:val="20"/>
                <w:lang w:eastAsia="en-AU"/>
              </w:rPr>
              <w:t xml:space="preserve">for every 100 patients treated with </w:t>
            </w:r>
            <w:r w:rsidRPr="0038793B">
              <w:rPr>
                <w:rFonts w:ascii="Arial Narrow" w:hAnsi="Arial Narrow"/>
                <w:snapToGrid/>
                <w:sz w:val="20"/>
                <w:u w:val="single"/>
                <w:lang w:eastAsia="en-AU"/>
              </w:rPr>
              <w:t>DCV+SOF12 i</w:t>
            </w:r>
            <w:r w:rsidRPr="0038793B">
              <w:rPr>
                <w:rFonts w:ascii="Arial Narrow" w:hAnsi="Arial Narrow"/>
                <w:snapToGrid/>
                <w:sz w:val="20"/>
                <w:lang w:eastAsia="en-AU"/>
              </w:rPr>
              <w:t xml:space="preserve">n comparison to </w:t>
            </w:r>
            <w:r w:rsidRPr="0038793B">
              <w:rPr>
                <w:rFonts w:ascii="Arial Narrow" w:hAnsi="Arial Narrow"/>
                <w:snapToGrid/>
                <w:sz w:val="20"/>
                <w:u w:val="single"/>
                <w:lang w:eastAsia="en-AU"/>
              </w:rPr>
              <w:t>no treatment</w:t>
            </w:r>
            <w:r w:rsidRPr="0038793B">
              <w:rPr>
                <w:rFonts w:ascii="Arial Narrow" w:hAnsi="Arial Narrow"/>
                <w:snapToGrid/>
                <w:sz w:val="20"/>
                <w:lang w:eastAsia="en-AU"/>
              </w:rPr>
              <w:t>:</w:t>
            </w:r>
          </w:p>
          <w:p w:rsidR="00FD21B7" w:rsidRPr="0038793B" w:rsidRDefault="00FD21B7" w:rsidP="000F7B58">
            <w:pPr>
              <w:keepNext/>
              <w:keepLines/>
              <w:widowControl/>
              <w:rPr>
                <w:rFonts w:ascii="Arial Narrow" w:hAnsi="Arial Narrow"/>
                <w:snapToGrid/>
                <w:sz w:val="20"/>
                <w:lang w:eastAsia="en-AU"/>
              </w:rPr>
            </w:pPr>
          </w:p>
        </w:tc>
        <w:tc>
          <w:tcPr>
            <w:tcW w:w="2953" w:type="dxa"/>
          </w:tcPr>
          <w:p w:rsidR="00FD21B7" w:rsidRPr="0038793B" w:rsidRDefault="00FD21B7" w:rsidP="000F7B58">
            <w:pPr>
              <w:keepNext/>
              <w:keepLines/>
              <w:widowControl/>
              <w:numPr>
                <w:ilvl w:val="0"/>
                <w:numId w:val="3"/>
              </w:numPr>
              <w:ind w:left="218" w:hanging="142"/>
              <w:contextualSpacing/>
              <w:jc w:val="left"/>
              <w:rPr>
                <w:rFonts w:ascii="Arial Narrow" w:hAnsi="Arial Narrow"/>
                <w:snapToGrid/>
                <w:sz w:val="20"/>
                <w:lang w:eastAsia="en-AU"/>
              </w:rPr>
            </w:pPr>
            <w:r w:rsidRPr="0038793B">
              <w:rPr>
                <w:rFonts w:ascii="Arial Narrow" w:hAnsi="Arial Narrow"/>
                <w:snapToGrid/>
                <w:sz w:val="20"/>
                <w:lang w:eastAsia="en-AU"/>
              </w:rPr>
              <w:t>Approximately 98 additional patients would be expected to achieve an SVR</w:t>
            </w:r>
          </w:p>
        </w:tc>
        <w:tc>
          <w:tcPr>
            <w:tcW w:w="2255" w:type="dxa"/>
            <w:vMerge/>
          </w:tcPr>
          <w:p w:rsidR="00FD21B7" w:rsidRPr="00F22F5F" w:rsidRDefault="00FD21B7" w:rsidP="000F7B58">
            <w:pPr>
              <w:keepNext/>
              <w:keepLines/>
              <w:widowControl/>
              <w:numPr>
                <w:ilvl w:val="0"/>
                <w:numId w:val="3"/>
              </w:numPr>
              <w:ind w:left="218" w:hanging="142"/>
              <w:contextualSpacing/>
              <w:jc w:val="left"/>
              <w:rPr>
                <w:rFonts w:ascii="Arial Narrow" w:hAnsi="Arial Narrow"/>
                <w:i/>
                <w:snapToGrid/>
                <w:sz w:val="20"/>
                <w:lang w:eastAsia="en-AU"/>
              </w:rPr>
            </w:pPr>
          </w:p>
        </w:tc>
      </w:tr>
      <w:tr w:rsidR="00FD21B7" w:rsidRPr="00F22F5F" w:rsidTr="00FD21B7">
        <w:trPr>
          <w:trHeight w:val="2036"/>
        </w:trPr>
        <w:tc>
          <w:tcPr>
            <w:tcW w:w="1195" w:type="dxa"/>
          </w:tcPr>
          <w:p w:rsidR="00FD21B7" w:rsidRPr="0038793B" w:rsidRDefault="00FD21B7" w:rsidP="000F7B58">
            <w:pPr>
              <w:keepNext/>
              <w:keepLines/>
              <w:widowControl/>
              <w:jc w:val="left"/>
              <w:rPr>
                <w:rFonts w:ascii="Arial Narrow" w:eastAsiaTheme="majorEastAsia" w:hAnsi="Arial Narrow"/>
                <w:b/>
                <w:bCs/>
                <w:snapToGrid/>
                <w:sz w:val="20"/>
                <w:lang w:eastAsia="en-AU"/>
              </w:rPr>
            </w:pPr>
            <w:r w:rsidRPr="0038793B">
              <w:rPr>
                <w:rFonts w:ascii="Arial Narrow" w:eastAsiaTheme="majorEastAsia" w:hAnsi="Arial Narrow"/>
                <w:b/>
                <w:bCs/>
                <w:snapToGrid/>
                <w:sz w:val="20"/>
                <w:lang w:eastAsia="en-AU"/>
              </w:rPr>
              <w:t>Cirrhotic patients (all genotypes), irrespective previous treatment history</w:t>
            </w:r>
            <w:r w:rsidR="00927EBD" w:rsidRPr="0038793B">
              <w:rPr>
                <w:rFonts w:ascii="Arial Narrow" w:eastAsiaTheme="majorEastAsia" w:hAnsi="Arial Narrow"/>
                <w:b/>
                <w:bCs/>
                <w:snapToGrid/>
                <w:sz w:val="20"/>
                <w:lang w:eastAsia="en-AU"/>
              </w:rPr>
              <w:t>*****</w:t>
            </w:r>
          </w:p>
        </w:tc>
        <w:tc>
          <w:tcPr>
            <w:tcW w:w="2022" w:type="dxa"/>
          </w:tcPr>
          <w:p w:rsidR="00FD21B7" w:rsidRPr="0038793B" w:rsidRDefault="00FD21B7" w:rsidP="000F7B58">
            <w:pPr>
              <w:keepNext/>
              <w:keepLines/>
              <w:widowControl/>
              <w:jc w:val="left"/>
              <w:rPr>
                <w:rFonts w:ascii="Arial Narrow" w:hAnsi="Arial Narrow"/>
                <w:snapToGrid/>
                <w:sz w:val="20"/>
                <w:lang w:eastAsia="en-AU"/>
              </w:rPr>
            </w:pPr>
            <w:r w:rsidRPr="0038793B">
              <w:rPr>
                <w:rFonts w:ascii="Arial Narrow" w:hAnsi="Arial Narrow"/>
                <w:snapToGrid/>
                <w:sz w:val="20"/>
                <w:lang w:eastAsia="en-AU"/>
              </w:rPr>
              <w:t xml:space="preserve">for every 100 patients treated with </w:t>
            </w:r>
            <w:r w:rsidRPr="0038793B">
              <w:rPr>
                <w:rFonts w:ascii="Arial Narrow" w:hAnsi="Arial Narrow"/>
                <w:snapToGrid/>
                <w:sz w:val="20"/>
                <w:u w:val="single"/>
                <w:lang w:eastAsia="en-AU"/>
              </w:rPr>
              <w:t>DCV+SOF+RBV12</w:t>
            </w:r>
            <w:r w:rsidRPr="0038793B">
              <w:rPr>
                <w:rFonts w:ascii="Arial Narrow" w:hAnsi="Arial Narrow"/>
                <w:snapToGrid/>
                <w:sz w:val="20"/>
                <w:lang w:eastAsia="en-AU"/>
              </w:rPr>
              <w:t xml:space="preserve"> in comparison to</w:t>
            </w:r>
            <w:r w:rsidRPr="0038793B">
              <w:rPr>
                <w:rFonts w:ascii="Arial Narrow" w:hAnsi="Arial Narrow"/>
                <w:snapToGrid/>
                <w:sz w:val="20"/>
                <w:u w:val="single"/>
                <w:lang w:eastAsia="en-AU"/>
              </w:rPr>
              <w:t xml:space="preserve"> no treatment</w:t>
            </w:r>
          </w:p>
        </w:tc>
        <w:tc>
          <w:tcPr>
            <w:tcW w:w="2953" w:type="dxa"/>
          </w:tcPr>
          <w:p w:rsidR="00FD21B7" w:rsidRPr="0038793B" w:rsidRDefault="00FD21B7" w:rsidP="000F7B58">
            <w:pPr>
              <w:keepNext/>
              <w:keepLines/>
              <w:widowControl/>
              <w:numPr>
                <w:ilvl w:val="0"/>
                <w:numId w:val="3"/>
              </w:numPr>
              <w:ind w:left="218" w:hanging="142"/>
              <w:contextualSpacing/>
              <w:jc w:val="left"/>
              <w:rPr>
                <w:rFonts w:ascii="Arial Narrow" w:hAnsi="Arial Narrow"/>
                <w:snapToGrid/>
                <w:sz w:val="20"/>
                <w:lang w:eastAsia="en-AU"/>
              </w:rPr>
            </w:pPr>
            <w:r w:rsidRPr="0038793B">
              <w:rPr>
                <w:rFonts w:ascii="Arial Narrow" w:hAnsi="Arial Narrow"/>
                <w:snapToGrid/>
                <w:sz w:val="20"/>
                <w:lang w:eastAsia="en-AU"/>
              </w:rPr>
              <w:t xml:space="preserve">Approximately </w:t>
            </w:r>
            <w:r w:rsidR="000F7B58" w:rsidRPr="0038793B">
              <w:rPr>
                <w:rFonts w:ascii="Arial Narrow" w:hAnsi="Arial Narrow"/>
                <w:snapToGrid/>
                <w:sz w:val="20"/>
                <w:lang w:eastAsia="en-AU"/>
              </w:rPr>
              <w:t xml:space="preserve">83 </w:t>
            </w:r>
            <w:r w:rsidRPr="0038793B">
              <w:rPr>
                <w:rFonts w:ascii="Arial Narrow" w:hAnsi="Arial Narrow"/>
                <w:snapToGrid/>
                <w:sz w:val="20"/>
                <w:lang w:eastAsia="en-AU"/>
              </w:rPr>
              <w:t>additional patients would be expected to achieve an SVR</w:t>
            </w:r>
          </w:p>
        </w:tc>
        <w:tc>
          <w:tcPr>
            <w:tcW w:w="2255" w:type="dxa"/>
            <w:vMerge/>
          </w:tcPr>
          <w:p w:rsidR="00FD21B7" w:rsidRPr="00F22F5F" w:rsidRDefault="00FD21B7" w:rsidP="000F7B58">
            <w:pPr>
              <w:keepNext/>
              <w:keepLines/>
              <w:widowControl/>
              <w:numPr>
                <w:ilvl w:val="0"/>
                <w:numId w:val="3"/>
              </w:numPr>
              <w:ind w:left="218" w:hanging="142"/>
              <w:contextualSpacing/>
              <w:jc w:val="left"/>
              <w:rPr>
                <w:rFonts w:ascii="Arial Narrow" w:hAnsi="Arial Narrow"/>
                <w:i/>
                <w:snapToGrid/>
                <w:sz w:val="20"/>
                <w:lang w:eastAsia="en-AU"/>
              </w:rPr>
            </w:pPr>
          </w:p>
        </w:tc>
      </w:tr>
    </w:tbl>
    <w:p w:rsidR="00FD21B7" w:rsidRPr="000254D5" w:rsidRDefault="00FD21B7" w:rsidP="00FD21B7">
      <w:pPr>
        <w:pStyle w:val="TableFooter"/>
        <w:ind w:left="720"/>
        <w:rPr>
          <w:rStyle w:val="CommentReference"/>
          <w:b w:val="0"/>
          <w:sz w:val="18"/>
          <w:szCs w:val="20"/>
        </w:rPr>
      </w:pPr>
      <w:r w:rsidRPr="000254D5">
        <w:rPr>
          <w:rStyle w:val="CommentReference"/>
          <w:b w:val="0"/>
          <w:sz w:val="18"/>
          <w:szCs w:val="20"/>
        </w:rPr>
        <w:t>DCV+SOF12 = daclatasvir in combination with sofosbuvir for 12 weeks; DCV+SOF+RBV12 = daclatasvir and sofosbuvir in combination with ribavirin for 12 weeks; SVR = sustained virologic response; AE = adverse event; HCV= hepatitis C virus; HIV = human immunodeficiency virus.</w:t>
      </w:r>
    </w:p>
    <w:p w:rsidR="00FD21B7" w:rsidRPr="000254D5" w:rsidRDefault="00FD21B7" w:rsidP="00FD21B7">
      <w:pPr>
        <w:pStyle w:val="TableFooter"/>
        <w:ind w:left="720"/>
        <w:rPr>
          <w:rStyle w:val="CommentReference"/>
          <w:b w:val="0"/>
          <w:sz w:val="18"/>
          <w:szCs w:val="20"/>
        </w:rPr>
      </w:pPr>
      <w:r w:rsidRPr="000254D5">
        <w:rPr>
          <w:rStyle w:val="CommentReference"/>
          <w:b w:val="0"/>
          <w:sz w:val="18"/>
          <w:szCs w:val="20"/>
        </w:rPr>
        <w:t xml:space="preserve">*Benefits/harms are not presented for genotypes 2, 4, 5 and 6 given that either the sample size of the subgroup is too small to provide an accurate estimate of the magnitude of benefits or no data were available. </w:t>
      </w:r>
    </w:p>
    <w:p w:rsidR="00FD21B7" w:rsidRDefault="00FD21B7" w:rsidP="00FD21B7">
      <w:pPr>
        <w:pStyle w:val="TableFooter"/>
        <w:ind w:left="720"/>
        <w:rPr>
          <w:rStyle w:val="CommentReference"/>
          <w:b w:val="0"/>
          <w:sz w:val="18"/>
          <w:szCs w:val="20"/>
        </w:rPr>
      </w:pPr>
      <w:r w:rsidRPr="000254D5">
        <w:rPr>
          <w:rStyle w:val="CommentReference"/>
          <w:b w:val="0"/>
          <w:sz w:val="18"/>
          <w:szCs w:val="20"/>
        </w:rPr>
        <w:t xml:space="preserve">**Benefits/harms of DCV+SOF12 were observed from ALLY 2 in which all patients were co-infected with HCV/HIV; Benefits/harms of DCV+SOF+RBV12 were observed from ALLY 1 in which all patients </w:t>
      </w:r>
      <w:r w:rsidR="000F7B58">
        <w:rPr>
          <w:rStyle w:val="CommentReference"/>
          <w:b w:val="0"/>
          <w:sz w:val="18"/>
          <w:szCs w:val="20"/>
        </w:rPr>
        <w:t>had</w:t>
      </w:r>
      <w:r w:rsidRPr="000254D5">
        <w:rPr>
          <w:rStyle w:val="CommentReference"/>
          <w:b w:val="0"/>
          <w:sz w:val="18"/>
          <w:szCs w:val="20"/>
        </w:rPr>
        <w:t xml:space="preserve"> advanced cirrhosis or post-liver transplant recurrence of HCV.</w:t>
      </w:r>
    </w:p>
    <w:p w:rsidR="00FD21B7" w:rsidRDefault="00FD21B7" w:rsidP="00FD21B7">
      <w:pPr>
        <w:pStyle w:val="TableFooter"/>
        <w:ind w:left="720"/>
        <w:rPr>
          <w:rStyle w:val="CommentReference"/>
          <w:b w:val="0"/>
          <w:sz w:val="18"/>
          <w:szCs w:val="20"/>
        </w:rPr>
      </w:pPr>
      <w:r>
        <w:rPr>
          <w:rStyle w:val="CommentReference"/>
          <w:b w:val="0"/>
          <w:sz w:val="18"/>
          <w:szCs w:val="20"/>
        </w:rPr>
        <w:t xml:space="preserve">*** </w:t>
      </w:r>
      <w:r w:rsidR="00CA772D">
        <w:rPr>
          <w:rStyle w:val="CommentReference"/>
          <w:b w:val="0"/>
          <w:sz w:val="18"/>
          <w:szCs w:val="20"/>
        </w:rPr>
        <w:t>75%</w:t>
      </w:r>
      <w:r w:rsidR="009464BA">
        <w:rPr>
          <w:rStyle w:val="CommentReference"/>
          <w:b w:val="0"/>
          <w:sz w:val="18"/>
          <w:szCs w:val="20"/>
        </w:rPr>
        <w:t xml:space="preserve"> had genotype 1 HCV</w:t>
      </w:r>
    </w:p>
    <w:p w:rsidR="00FD21B7" w:rsidRDefault="00FD21B7" w:rsidP="00FD21B7">
      <w:pPr>
        <w:pStyle w:val="TableFooter"/>
        <w:ind w:left="720"/>
        <w:rPr>
          <w:rStyle w:val="CommentReference"/>
          <w:b w:val="0"/>
          <w:sz w:val="18"/>
          <w:szCs w:val="20"/>
        </w:rPr>
      </w:pPr>
      <w:r>
        <w:rPr>
          <w:rStyle w:val="CommentReference"/>
          <w:b w:val="0"/>
          <w:sz w:val="18"/>
          <w:szCs w:val="20"/>
        </w:rPr>
        <w:t>**** 85% had genotype 1 HCV</w:t>
      </w:r>
    </w:p>
    <w:p w:rsidR="00927EBD" w:rsidRPr="000254D5" w:rsidRDefault="00927EBD" w:rsidP="00FD21B7">
      <w:pPr>
        <w:pStyle w:val="TableFooter"/>
        <w:ind w:left="720"/>
        <w:rPr>
          <w:rStyle w:val="CommentReference"/>
          <w:b w:val="0"/>
          <w:sz w:val="18"/>
          <w:szCs w:val="20"/>
        </w:rPr>
      </w:pPr>
      <w:r>
        <w:rPr>
          <w:rStyle w:val="CommentReference"/>
          <w:b w:val="0"/>
          <w:sz w:val="18"/>
          <w:szCs w:val="20"/>
        </w:rPr>
        <w:t>***** 75% had genotype 1 HCV</w:t>
      </w:r>
    </w:p>
    <w:p w:rsidR="00FD21B7" w:rsidRPr="000254D5" w:rsidRDefault="00FD21B7" w:rsidP="00FD21B7">
      <w:pPr>
        <w:pStyle w:val="TableFooter"/>
        <w:ind w:left="720"/>
        <w:rPr>
          <w:rStyle w:val="CommentReference"/>
          <w:b w:val="0"/>
          <w:sz w:val="18"/>
          <w:szCs w:val="20"/>
        </w:rPr>
      </w:pPr>
      <w:r w:rsidRPr="000254D5">
        <w:rPr>
          <w:rStyle w:val="CommentReference"/>
          <w:b w:val="0"/>
          <w:sz w:val="18"/>
          <w:szCs w:val="20"/>
        </w:rPr>
        <w:lastRenderedPageBreak/>
        <w:t>Source: compiled during the evaluation.</w:t>
      </w:r>
    </w:p>
    <w:p w:rsidR="00C71E74" w:rsidRPr="00882085" w:rsidRDefault="00C71E74" w:rsidP="0016688A">
      <w:pPr>
        <w:widowControl/>
        <w:jc w:val="left"/>
      </w:pPr>
    </w:p>
    <w:p w:rsidR="00C71E74" w:rsidRPr="00497F10" w:rsidRDefault="00C71E74" w:rsidP="00C71E74">
      <w:pPr>
        <w:pStyle w:val="Heading2"/>
        <w:rPr>
          <w:i/>
        </w:rPr>
      </w:pPr>
      <w:bookmarkStart w:id="18" w:name="_Toc392857610"/>
      <w:bookmarkStart w:id="19" w:name="_Toc430073847"/>
      <w:r w:rsidRPr="00497F10">
        <w:rPr>
          <w:i/>
        </w:rPr>
        <w:t>Clinical claim</w:t>
      </w:r>
      <w:bookmarkEnd w:id="18"/>
      <w:bookmarkEnd w:id="19"/>
    </w:p>
    <w:p w:rsidR="00C71E74" w:rsidRPr="00882085" w:rsidRDefault="00C71E74" w:rsidP="00C71E74">
      <w:pPr>
        <w:pStyle w:val="BodyText"/>
      </w:pPr>
    </w:p>
    <w:p w:rsidR="00126F7D" w:rsidRPr="005641BC" w:rsidRDefault="00C71E74" w:rsidP="00C71E74">
      <w:pPr>
        <w:pStyle w:val="ListParagraph"/>
        <w:widowControl/>
        <w:numPr>
          <w:ilvl w:val="1"/>
          <w:numId w:val="5"/>
        </w:numPr>
        <w:rPr>
          <w:szCs w:val="22"/>
        </w:rPr>
      </w:pPr>
      <w:r w:rsidRPr="005641BC">
        <w:t xml:space="preserve">The re-submission claimed that the efficacy and safety of DCV+SOF </w:t>
      </w:r>
      <w:r w:rsidR="00743E8E" w:rsidRPr="005641BC">
        <w:t xml:space="preserve">was </w:t>
      </w:r>
      <w:r w:rsidRPr="005641BC">
        <w:t xml:space="preserve">consistent across genotypes and hard-to-treat patient groups. The clinical evidence supported the claim that DCV+SOF (±RBV) </w:t>
      </w:r>
      <w:r w:rsidR="00743E8E" w:rsidRPr="005641BC">
        <w:t xml:space="preserve">was </w:t>
      </w:r>
      <w:r w:rsidRPr="005641BC">
        <w:t>effective across HCV genotypes 1-4 and traditionally hard-to-treat patient groups, including treatment experienced patients and patients with cirrhosis</w:t>
      </w:r>
      <w:r w:rsidR="00E366DE" w:rsidRPr="005641BC">
        <w:t>:</w:t>
      </w:r>
      <w:r w:rsidRPr="005641BC">
        <w:t xml:space="preserve"> </w:t>
      </w:r>
    </w:p>
    <w:p w:rsidR="00881EB2" w:rsidRPr="005641BC" w:rsidRDefault="00126F7D" w:rsidP="00126F7D">
      <w:pPr>
        <w:pStyle w:val="ListParagraph"/>
        <w:widowControl/>
        <w:numPr>
          <w:ilvl w:val="0"/>
          <w:numId w:val="16"/>
        </w:numPr>
        <w:rPr>
          <w:szCs w:val="22"/>
        </w:rPr>
      </w:pPr>
      <w:r w:rsidRPr="005641BC">
        <w:t>There was sufficient evidence to support the claim that</w:t>
      </w:r>
      <w:r w:rsidR="00881EB2" w:rsidRPr="005641BC">
        <w:t>:</w:t>
      </w:r>
    </w:p>
    <w:p w:rsidR="00126F7D" w:rsidRPr="005641BC" w:rsidRDefault="00126F7D" w:rsidP="007D5CBF">
      <w:pPr>
        <w:pStyle w:val="ListParagraph"/>
        <w:widowControl/>
        <w:numPr>
          <w:ilvl w:val="1"/>
          <w:numId w:val="16"/>
        </w:numPr>
        <w:ind w:left="1843"/>
        <w:rPr>
          <w:szCs w:val="22"/>
        </w:rPr>
      </w:pPr>
      <w:r w:rsidRPr="005641BC">
        <w:t xml:space="preserve">DCV+SOF12 was highly effective in treatment experienced </w:t>
      </w:r>
      <w:r w:rsidR="00044F17" w:rsidRPr="005641BC">
        <w:t xml:space="preserve">genotype 1-4 </w:t>
      </w:r>
      <w:r w:rsidR="00BE28B3" w:rsidRPr="005641BC">
        <w:t xml:space="preserve">HCV </w:t>
      </w:r>
      <w:r w:rsidR="00881EB2" w:rsidRPr="005641BC">
        <w:t xml:space="preserve">patients with </w:t>
      </w:r>
      <w:r w:rsidRPr="005641BC">
        <w:t>HCV</w:t>
      </w:r>
      <w:r w:rsidR="00BE28B3" w:rsidRPr="005641BC">
        <w:t>/</w:t>
      </w:r>
      <w:r w:rsidRPr="005641BC">
        <w:t>HIV co-infection</w:t>
      </w:r>
      <w:r w:rsidR="00E366DE" w:rsidRPr="005641BC">
        <w:t xml:space="preserve"> (85% of whom had genotype 1 HCV)</w:t>
      </w:r>
      <w:r w:rsidRPr="005641BC">
        <w:t>;</w:t>
      </w:r>
    </w:p>
    <w:p w:rsidR="00881EB2" w:rsidRPr="005641BC" w:rsidRDefault="00881EB2" w:rsidP="007D5CBF">
      <w:pPr>
        <w:pStyle w:val="ListParagraph"/>
        <w:widowControl/>
        <w:numPr>
          <w:ilvl w:val="1"/>
          <w:numId w:val="16"/>
        </w:numPr>
        <w:ind w:left="1843"/>
        <w:rPr>
          <w:szCs w:val="22"/>
        </w:rPr>
      </w:pPr>
      <w:r w:rsidRPr="005641BC">
        <w:t>DCV+SOF+RBV12</w:t>
      </w:r>
      <w:r w:rsidR="00E366DE" w:rsidRPr="005641BC">
        <w:t xml:space="preserve"> was</w:t>
      </w:r>
      <w:r w:rsidRPr="005641BC">
        <w:t xml:space="preserve"> highly effective in </w:t>
      </w:r>
      <w:r w:rsidR="00BE28B3" w:rsidRPr="005641BC">
        <w:t xml:space="preserve">genotype 1-4 </w:t>
      </w:r>
      <w:r w:rsidRPr="005641BC">
        <w:t>cirrhotic patients (Child-Pugh Class A and B</w:t>
      </w:r>
      <w:r w:rsidR="009464BA" w:rsidRPr="005641BC">
        <w:t>, 80% genotype 1 HCV</w:t>
      </w:r>
      <w:r w:rsidRPr="005641BC">
        <w:t>) and post-l</w:t>
      </w:r>
      <w:r w:rsidR="00E366DE" w:rsidRPr="005641BC">
        <w:t>i</w:t>
      </w:r>
      <w:r w:rsidRPr="005641BC">
        <w:t>ver transplant patients</w:t>
      </w:r>
      <w:r w:rsidR="009464BA" w:rsidRPr="005641BC">
        <w:t xml:space="preserve"> (95% genotype 1 HCV)</w:t>
      </w:r>
      <w:r w:rsidR="00E366DE" w:rsidRPr="005641BC">
        <w:t>;</w:t>
      </w:r>
    </w:p>
    <w:p w:rsidR="00846C55" w:rsidRPr="0046531C" w:rsidRDefault="00846C55" w:rsidP="00846C55">
      <w:pPr>
        <w:pStyle w:val="ListParagraph"/>
        <w:widowControl/>
        <w:numPr>
          <w:ilvl w:val="0"/>
          <w:numId w:val="16"/>
        </w:numPr>
        <w:rPr>
          <w:szCs w:val="22"/>
        </w:rPr>
      </w:pPr>
      <w:r w:rsidRPr="0046531C">
        <w:rPr>
          <w:szCs w:val="22"/>
        </w:rPr>
        <w:t>The ESC considered that the submitted evidence for DCV12+SOF12 from ALLY-2 supported a claim of non-inferiority to LDV/SOF12 among treatment experienced non-cirrhotic GT1 CHC patients by naïve indirect comparison.</w:t>
      </w:r>
    </w:p>
    <w:p w:rsidR="00846C55" w:rsidRPr="0046531C" w:rsidRDefault="00846C55" w:rsidP="00846C55">
      <w:pPr>
        <w:pStyle w:val="ListParagraph"/>
        <w:widowControl/>
        <w:numPr>
          <w:ilvl w:val="0"/>
          <w:numId w:val="16"/>
        </w:numPr>
        <w:rPr>
          <w:szCs w:val="22"/>
        </w:rPr>
      </w:pPr>
      <w:r w:rsidRPr="0046531C">
        <w:rPr>
          <w:szCs w:val="22"/>
        </w:rPr>
        <w:t>Submitted evidence for DCV12 + SOF12 was insufficient to support a claim of:</w:t>
      </w:r>
    </w:p>
    <w:p w:rsidR="00846C55" w:rsidRPr="0046531C" w:rsidRDefault="00846C55" w:rsidP="00846C55">
      <w:pPr>
        <w:pStyle w:val="ListParagraph"/>
        <w:widowControl/>
        <w:numPr>
          <w:ilvl w:val="1"/>
          <w:numId w:val="16"/>
        </w:numPr>
        <w:rPr>
          <w:szCs w:val="22"/>
        </w:rPr>
      </w:pPr>
      <w:r w:rsidRPr="0046531C">
        <w:rPr>
          <w:szCs w:val="22"/>
        </w:rPr>
        <w:t>non-inferiority against LDV/SOF12 for treatment naïve GT1 CHC patients with cirrhosis</w:t>
      </w:r>
    </w:p>
    <w:p w:rsidR="00846C55" w:rsidRPr="0046531C" w:rsidRDefault="00846C55" w:rsidP="00846C55">
      <w:pPr>
        <w:pStyle w:val="ListParagraph"/>
        <w:widowControl/>
        <w:numPr>
          <w:ilvl w:val="1"/>
          <w:numId w:val="16"/>
        </w:numPr>
        <w:rPr>
          <w:szCs w:val="22"/>
        </w:rPr>
      </w:pPr>
      <w:r w:rsidRPr="0046531C">
        <w:rPr>
          <w:szCs w:val="22"/>
        </w:rPr>
        <w:t>non-inferiority against LDV/SOF24 for treatment experienced GT1 CHC patients with cirrhosis</w:t>
      </w:r>
    </w:p>
    <w:p w:rsidR="00846C55" w:rsidRPr="0046531C" w:rsidRDefault="00846C55" w:rsidP="00846C55">
      <w:pPr>
        <w:pStyle w:val="ListParagraph"/>
        <w:widowControl/>
        <w:numPr>
          <w:ilvl w:val="1"/>
          <w:numId w:val="16"/>
        </w:numPr>
        <w:rPr>
          <w:szCs w:val="22"/>
        </w:rPr>
      </w:pPr>
      <w:r w:rsidRPr="0046531C">
        <w:rPr>
          <w:szCs w:val="22"/>
        </w:rPr>
        <w:t>non-inferiority against RBV12+SOF12 for GT2 CHC patients</w:t>
      </w:r>
    </w:p>
    <w:p w:rsidR="00846C55" w:rsidRPr="0046531C" w:rsidRDefault="00846C55" w:rsidP="00846C55">
      <w:pPr>
        <w:pStyle w:val="ListParagraph"/>
        <w:widowControl/>
        <w:numPr>
          <w:ilvl w:val="1"/>
          <w:numId w:val="16"/>
        </w:numPr>
        <w:rPr>
          <w:szCs w:val="22"/>
        </w:rPr>
      </w:pPr>
      <w:r w:rsidRPr="0046531C">
        <w:rPr>
          <w:szCs w:val="22"/>
        </w:rPr>
        <w:t xml:space="preserve">high effectiveness compared to no treatment against GT4-6 CHC patients </w:t>
      </w:r>
    </w:p>
    <w:p w:rsidR="00846C55" w:rsidRPr="0046531C" w:rsidRDefault="00846C55" w:rsidP="00846C55">
      <w:pPr>
        <w:pStyle w:val="ListParagraph"/>
        <w:widowControl/>
        <w:numPr>
          <w:ilvl w:val="0"/>
          <w:numId w:val="16"/>
        </w:numPr>
        <w:rPr>
          <w:szCs w:val="22"/>
        </w:rPr>
      </w:pPr>
      <w:r w:rsidRPr="0046531C">
        <w:rPr>
          <w:szCs w:val="22"/>
        </w:rPr>
        <w:t>The ESC noted that participants enrolled in ALLY-1 had advanced cirrhosis or were post-transplant limiting indirect comparison with treatment responses among cirrhotic patients from other studies. Submitted evidence for DCV12 + SOF12 + RBV 12 was insufficient to support a claim of:</w:t>
      </w:r>
    </w:p>
    <w:p w:rsidR="00846C55" w:rsidRPr="0046531C" w:rsidRDefault="00846C55" w:rsidP="00846C55">
      <w:pPr>
        <w:pStyle w:val="ListParagraph"/>
        <w:widowControl/>
        <w:numPr>
          <w:ilvl w:val="1"/>
          <w:numId w:val="16"/>
        </w:numPr>
        <w:rPr>
          <w:szCs w:val="22"/>
        </w:rPr>
      </w:pPr>
      <w:r w:rsidRPr="0046531C">
        <w:rPr>
          <w:szCs w:val="22"/>
        </w:rPr>
        <w:t>non-inferiority against LDV/SOF24 for treatment experienced GT1 CHC patients with cirrhosis</w:t>
      </w:r>
    </w:p>
    <w:p w:rsidR="00846C55" w:rsidRPr="0046531C" w:rsidRDefault="00846C55" w:rsidP="00846C55">
      <w:pPr>
        <w:pStyle w:val="ListParagraph"/>
        <w:widowControl/>
        <w:numPr>
          <w:ilvl w:val="1"/>
          <w:numId w:val="16"/>
        </w:numPr>
        <w:rPr>
          <w:szCs w:val="22"/>
        </w:rPr>
      </w:pPr>
      <w:r w:rsidRPr="0046531C">
        <w:rPr>
          <w:szCs w:val="22"/>
        </w:rPr>
        <w:t>non-inferiority against RBV12+SOF12 for GT2 CHC patients with cirrhosis</w:t>
      </w:r>
    </w:p>
    <w:p w:rsidR="00846C55" w:rsidRPr="0046531C" w:rsidRDefault="00846C55" w:rsidP="00846C55">
      <w:pPr>
        <w:pStyle w:val="ListParagraph"/>
        <w:widowControl/>
        <w:numPr>
          <w:ilvl w:val="1"/>
          <w:numId w:val="16"/>
        </w:numPr>
        <w:rPr>
          <w:szCs w:val="22"/>
        </w:rPr>
      </w:pPr>
      <w:r w:rsidRPr="0046531C">
        <w:rPr>
          <w:szCs w:val="22"/>
        </w:rPr>
        <w:t xml:space="preserve">high effectiveness compared to no treatment against GT4-6 CHC patients with cirrhosis </w:t>
      </w:r>
    </w:p>
    <w:p w:rsidR="00846C55" w:rsidRPr="0046531C" w:rsidRDefault="00846C55" w:rsidP="00846C55">
      <w:pPr>
        <w:pStyle w:val="ListParagraph"/>
        <w:widowControl/>
        <w:numPr>
          <w:ilvl w:val="0"/>
          <w:numId w:val="16"/>
        </w:numPr>
        <w:rPr>
          <w:szCs w:val="22"/>
        </w:rPr>
      </w:pPr>
      <w:r w:rsidRPr="0046531C">
        <w:rPr>
          <w:szCs w:val="22"/>
        </w:rPr>
        <w:t>Submitted evidence for DCV24 + SOF24 was insufficient to support a claim of:</w:t>
      </w:r>
    </w:p>
    <w:p w:rsidR="00846C55" w:rsidRPr="0046531C" w:rsidRDefault="00846C55" w:rsidP="00846C55">
      <w:pPr>
        <w:pStyle w:val="ListParagraph"/>
        <w:widowControl/>
        <w:numPr>
          <w:ilvl w:val="1"/>
          <w:numId w:val="16"/>
        </w:numPr>
        <w:rPr>
          <w:szCs w:val="22"/>
        </w:rPr>
      </w:pPr>
      <w:r w:rsidRPr="0046531C">
        <w:rPr>
          <w:szCs w:val="22"/>
        </w:rPr>
        <w:t>non-inferiority against LDV/SOF24 for treatment experienced GT1 CHC patients with cirrhosis</w:t>
      </w:r>
    </w:p>
    <w:p w:rsidR="00846C55" w:rsidRPr="0046531C" w:rsidRDefault="00846C55" w:rsidP="00846C55">
      <w:pPr>
        <w:pStyle w:val="ListParagraph"/>
        <w:widowControl/>
        <w:numPr>
          <w:ilvl w:val="1"/>
          <w:numId w:val="16"/>
        </w:numPr>
        <w:rPr>
          <w:szCs w:val="22"/>
        </w:rPr>
      </w:pPr>
      <w:r w:rsidRPr="0046531C">
        <w:rPr>
          <w:szCs w:val="22"/>
        </w:rPr>
        <w:t>non-inferiority against RBV12+SOF12 for GT2 CHC patients with cirrhosis</w:t>
      </w:r>
    </w:p>
    <w:p w:rsidR="00846C55" w:rsidRPr="0046531C" w:rsidRDefault="00846C55" w:rsidP="00846C55">
      <w:pPr>
        <w:pStyle w:val="ListParagraph"/>
        <w:widowControl/>
        <w:numPr>
          <w:ilvl w:val="1"/>
          <w:numId w:val="16"/>
        </w:numPr>
        <w:rPr>
          <w:szCs w:val="22"/>
        </w:rPr>
      </w:pPr>
      <w:r w:rsidRPr="0046531C">
        <w:rPr>
          <w:szCs w:val="22"/>
        </w:rPr>
        <w:t xml:space="preserve">high effectiveness compared to no treatment against GT4-6 CHC patients with cirrhosis </w:t>
      </w:r>
    </w:p>
    <w:p w:rsidR="00846C55" w:rsidRPr="0046531C" w:rsidRDefault="00846C55" w:rsidP="00846C55">
      <w:pPr>
        <w:pStyle w:val="ListParagraph"/>
        <w:widowControl/>
        <w:numPr>
          <w:ilvl w:val="0"/>
          <w:numId w:val="16"/>
        </w:numPr>
        <w:rPr>
          <w:szCs w:val="22"/>
        </w:rPr>
      </w:pPr>
      <w:r w:rsidRPr="0046531C">
        <w:rPr>
          <w:szCs w:val="22"/>
        </w:rPr>
        <w:t>The ESC considered the evidence provided in the CUPs was insufficient for supporting a claim of non-inferiority over current PBAC recommended CHC therapies for GT1 and GT2 or for quantifying the size of benefit of therapy for GT4-6 over no treatment.</w:t>
      </w:r>
    </w:p>
    <w:p w:rsidR="002F4666" w:rsidRPr="005641BC" w:rsidRDefault="002F4666" w:rsidP="002F4666">
      <w:pPr>
        <w:pStyle w:val="ListParagraph"/>
        <w:widowControl/>
        <w:numPr>
          <w:ilvl w:val="0"/>
          <w:numId w:val="16"/>
        </w:numPr>
        <w:rPr>
          <w:szCs w:val="22"/>
        </w:rPr>
      </w:pPr>
      <w:r w:rsidRPr="005641BC">
        <w:t>The sample size was too small to provide an accurate estimate of the magnitude of the clinical benefit of DCV+SOF12 in genotype 2 and 4 HCV patients and cirrhotic patients, or of DCV+SOF±RBV (12 or 24 weeks) in patients with genotypes 2 and 4 HCV; and</w:t>
      </w:r>
    </w:p>
    <w:p w:rsidR="00C71E74" w:rsidRPr="005641BC" w:rsidRDefault="00C71E74" w:rsidP="00126F7D">
      <w:pPr>
        <w:pStyle w:val="ListParagraph"/>
        <w:widowControl/>
        <w:numPr>
          <w:ilvl w:val="0"/>
          <w:numId w:val="16"/>
        </w:numPr>
        <w:rPr>
          <w:szCs w:val="22"/>
        </w:rPr>
      </w:pPr>
      <w:r w:rsidRPr="005641BC">
        <w:lastRenderedPageBreak/>
        <w:t>There was no evidence for the effectiveness of DCV+SOF±RBV in patients with genotype 5 HCV and the evidence for genotype 6 HCV was based on one patient. However, these HCV genotypes only represent approximately 2% of the Australian CHC population</w:t>
      </w:r>
      <w:r w:rsidRPr="000D3DFD">
        <w:rPr>
          <w:rStyle w:val="FootnoteReference"/>
          <w:vertAlign w:val="baseline"/>
        </w:rPr>
        <w:footnoteReference w:id="5"/>
      </w:r>
      <w:r w:rsidRPr="005641BC">
        <w:t>.</w:t>
      </w:r>
    </w:p>
    <w:p w:rsidR="00C71E74" w:rsidRPr="009340B2" w:rsidRDefault="00C71E74" w:rsidP="00C71E74">
      <w:pPr>
        <w:pStyle w:val="ListParagraph"/>
        <w:rPr>
          <w:szCs w:val="22"/>
        </w:rPr>
      </w:pPr>
    </w:p>
    <w:p w:rsidR="007F52A1" w:rsidRPr="007F52A1" w:rsidRDefault="00C71E74" w:rsidP="00C71E74">
      <w:pPr>
        <w:pStyle w:val="ListParagraph"/>
        <w:widowControl/>
        <w:numPr>
          <w:ilvl w:val="1"/>
          <w:numId w:val="5"/>
        </w:numPr>
        <w:rPr>
          <w:szCs w:val="22"/>
        </w:rPr>
      </w:pPr>
      <w:r w:rsidRPr="005641BC">
        <w:t xml:space="preserve">No evidence was presented in the re-submission to support the claim that the safety of DCV+SOF </w:t>
      </w:r>
      <w:r w:rsidR="00743E8E" w:rsidRPr="005641BC">
        <w:t xml:space="preserve">was </w:t>
      </w:r>
      <w:r w:rsidRPr="005641BC">
        <w:t>consistent across all patient groups.</w:t>
      </w:r>
      <w:r w:rsidR="007F52A1">
        <w:t xml:space="preserve"> </w:t>
      </w:r>
    </w:p>
    <w:p w:rsidR="007F52A1" w:rsidRPr="007F52A1" w:rsidRDefault="007F52A1" w:rsidP="007F52A1">
      <w:pPr>
        <w:pStyle w:val="ListParagraph"/>
        <w:widowControl/>
        <w:rPr>
          <w:szCs w:val="22"/>
        </w:rPr>
      </w:pPr>
    </w:p>
    <w:p w:rsidR="00C71E74" w:rsidRPr="009742FD" w:rsidRDefault="007F52A1" w:rsidP="00113733">
      <w:pPr>
        <w:pStyle w:val="ListParagraph"/>
        <w:widowControl/>
        <w:numPr>
          <w:ilvl w:val="1"/>
          <w:numId w:val="5"/>
        </w:numPr>
        <w:rPr>
          <w:szCs w:val="22"/>
        </w:rPr>
      </w:pPr>
      <w:r w:rsidRPr="0046531C">
        <w:t>The ESC noted the publication of Backus LI et al. Effectiveness of sofosbuvir-based regimens in genotype 1 and 2 hepatitis C virus infection in 4026 U.S. Veterans. Alimentary Pharmacology and Therapeutics. 2015</w:t>
      </w:r>
      <w:r w:rsidR="009A25A9" w:rsidRPr="0046531C">
        <w:t xml:space="preserve">. While </w:t>
      </w:r>
      <w:r w:rsidR="00113733" w:rsidRPr="0046531C">
        <w:t xml:space="preserve">the study did not include patients treated with </w:t>
      </w:r>
      <w:r w:rsidR="00113733" w:rsidRPr="009742FD">
        <w:t xml:space="preserve">daclatasvir, the ESC noted the conclusion in this real-world patient population that SVR rates were lower than in clinical trials. </w:t>
      </w:r>
    </w:p>
    <w:p w:rsidR="00C05492" w:rsidRPr="009742FD" w:rsidRDefault="00C05492" w:rsidP="00C05492">
      <w:pPr>
        <w:pStyle w:val="ListParagraph"/>
        <w:rPr>
          <w:szCs w:val="22"/>
        </w:rPr>
      </w:pPr>
    </w:p>
    <w:p w:rsidR="00F102CD" w:rsidRPr="009742FD" w:rsidRDefault="00C05492" w:rsidP="00F102CD">
      <w:pPr>
        <w:pStyle w:val="ListParagraph"/>
        <w:widowControl/>
        <w:numPr>
          <w:ilvl w:val="1"/>
          <w:numId w:val="5"/>
        </w:numPr>
        <w:snapToGrid w:val="0"/>
        <w:rPr>
          <w:szCs w:val="22"/>
        </w:rPr>
      </w:pPr>
      <w:r w:rsidRPr="009742FD">
        <w:rPr>
          <w:szCs w:val="22"/>
        </w:rPr>
        <w:t>The PBAC considered that the evidence in the submission</w:t>
      </w:r>
      <w:r w:rsidR="00466CB4">
        <w:rPr>
          <w:szCs w:val="22"/>
        </w:rPr>
        <w:t xml:space="preserve"> and the pre-PBAC response</w:t>
      </w:r>
      <w:r w:rsidRPr="009742FD">
        <w:rPr>
          <w:szCs w:val="22"/>
        </w:rPr>
        <w:t xml:space="preserve"> supported </w:t>
      </w:r>
      <w:r w:rsidR="00F102CD" w:rsidRPr="009742FD">
        <w:rPr>
          <w:szCs w:val="22"/>
        </w:rPr>
        <w:t>a</w:t>
      </w:r>
      <w:r w:rsidR="00053F91" w:rsidRPr="009742FD">
        <w:rPr>
          <w:szCs w:val="22"/>
        </w:rPr>
        <w:t xml:space="preserve"> claim of similar </w:t>
      </w:r>
      <w:r w:rsidR="00F102CD" w:rsidRPr="009742FD">
        <w:rPr>
          <w:szCs w:val="22"/>
        </w:rPr>
        <w:t xml:space="preserve">efficacy and </w:t>
      </w:r>
      <w:r w:rsidR="00053F91" w:rsidRPr="009742FD">
        <w:rPr>
          <w:szCs w:val="22"/>
        </w:rPr>
        <w:t xml:space="preserve">similar </w:t>
      </w:r>
      <w:r w:rsidR="00F102CD" w:rsidRPr="009742FD">
        <w:rPr>
          <w:szCs w:val="22"/>
        </w:rPr>
        <w:t>safety to LDV/SOF12 for in the following patient groups:</w:t>
      </w:r>
    </w:p>
    <w:p w:rsidR="00F102CD" w:rsidRPr="009742FD" w:rsidRDefault="00F102CD" w:rsidP="00F102CD">
      <w:pPr>
        <w:pStyle w:val="ListParagraph"/>
        <w:widowControl/>
        <w:numPr>
          <w:ilvl w:val="0"/>
          <w:numId w:val="24"/>
        </w:numPr>
        <w:snapToGrid w:val="0"/>
        <w:rPr>
          <w:szCs w:val="22"/>
        </w:rPr>
      </w:pPr>
      <w:r w:rsidRPr="009742FD">
        <w:rPr>
          <w:szCs w:val="22"/>
        </w:rPr>
        <w:t>GT1 treatment experienced non-cirrhotic;</w:t>
      </w:r>
    </w:p>
    <w:p w:rsidR="00F102CD" w:rsidRPr="009742FD" w:rsidRDefault="00F102CD" w:rsidP="00F102CD">
      <w:pPr>
        <w:pStyle w:val="ListParagraph"/>
        <w:widowControl/>
        <w:numPr>
          <w:ilvl w:val="0"/>
          <w:numId w:val="24"/>
        </w:numPr>
        <w:snapToGrid w:val="0"/>
        <w:rPr>
          <w:szCs w:val="22"/>
        </w:rPr>
      </w:pPr>
      <w:r w:rsidRPr="009742FD">
        <w:rPr>
          <w:szCs w:val="22"/>
        </w:rPr>
        <w:t xml:space="preserve">GT1 treatment naïve cirrhotic; and </w:t>
      </w:r>
    </w:p>
    <w:p w:rsidR="00F102CD" w:rsidRPr="009742FD" w:rsidRDefault="00F102CD" w:rsidP="00F102CD">
      <w:pPr>
        <w:pStyle w:val="ListParagraph"/>
        <w:widowControl/>
        <w:numPr>
          <w:ilvl w:val="0"/>
          <w:numId w:val="24"/>
        </w:numPr>
        <w:snapToGrid w:val="0"/>
        <w:rPr>
          <w:szCs w:val="22"/>
        </w:rPr>
      </w:pPr>
      <w:r w:rsidRPr="009742FD">
        <w:rPr>
          <w:szCs w:val="22"/>
        </w:rPr>
        <w:t>GT1 treatment experienced cirrhotic</w:t>
      </w:r>
    </w:p>
    <w:p w:rsidR="00C71E74" w:rsidRPr="009742FD" w:rsidRDefault="00C71E74" w:rsidP="00053F91">
      <w:pPr>
        <w:rPr>
          <w:szCs w:val="22"/>
        </w:rPr>
      </w:pPr>
    </w:p>
    <w:p w:rsidR="00C71E74" w:rsidRPr="009742FD" w:rsidRDefault="00C71E74" w:rsidP="00C71E74">
      <w:pPr>
        <w:pStyle w:val="Heading2"/>
        <w:rPr>
          <w:i/>
        </w:rPr>
      </w:pPr>
      <w:bookmarkStart w:id="20" w:name="_Toc392857611"/>
      <w:bookmarkStart w:id="21" w:name="_Toc430073848"/>
      <w:r w:rsidRPr="009742FD">
        <w:rPr>
          <w:i/>
        </w:rPr>
        <w:t>Economic analysis</w:t>
      </w:r>
      <w:bookmarkEnd w:id="20"/>
      <w:bookmarkEnd w:id="21"/>
      <w:r w:rsidRPr="009742FD">
        <w:rPr>
          <w:i/>
        </w:rPr>
        <w:t xml:space="preserve"> </w:t>
      </w:r>
    </w:p>
    <w:p w:rsidR="00C71E74" w:rsidRPr="009742FD" w:rsidRDefault="00C71E74" w:rsidP="00C71E74">
      <w:pPr>
        <w:ind w:left="720" w:hanging="720"/>
        <w:rPr>
          <w:szCs w:val="22"/>
        </w:rPr>
      </w:pPr>
    </w:p>
    <w:p w:rsidR="00C71E74" w:rsidRPr="009742FD" w:rsidRDefault="00C71E74" w:rsidP="00C71E74">
      <w:pPr>
        <w:pStyle w:val="ListParagraph"/>
        <w:widowControl/>
        <w:numPr>
          <w:ilvl w:val="1"/>
          <w:numId w:val="5"/>
        </w:numPr>
        <w:rPr>
          <w:szCs w:val="22"/>
        </w:rPr>
      </w:pPr>
      <w:r w:rsidRPr="009742FD">
        <w:rPr>
          <w:szCs w:val="22"/>
        </w:rPr>
        <w:t>The re-submission did not present any economic analysis.</w:t>
      </w:r>
    </w:p>
    <w:p w:rsidR="00C71E74" w:rsidRPr="009742FD" w:rsidRDefault="00C71E74" w:rsidP="00C71E74">
      <w:pPr>
        <w:widowControl/>
        <w:rPr>
          <w:szCs w:val="22"/>
        </w:rPr>
      </w:pPr>
    </w:p>
    <w:p w:rsidR="003135B1" w:rsidRDefault="003135B1" w:rsidP="003135B1">
      <w:pPr>
        <w:rPr>
          <w:b/>
        </w:rPr>
      </w:pPr>
      <w:bookmarkStart w:id="22" w:name="_Toc427598096"/>
      <w:bookmarkStart w:id="23" w:name="_Toc430073849"/>
      <w:r w:rsidRPr="009742FD">
        <w:rPr>
          <w:rStyle w:val="Heading2Char"/>
          <w:i/>
        </w:rPr>
        <w:t>Drug cost/patient/course</w:t>
      </w:r>
      <w:bookmarkEnd w:id="22"/>
      <w:bookmarkEnd w:id="23"/>
      <w:r w:rsidRPr="009742FD">
        <w:rPr>
          <w:b/>
        </w:rPr>
        <w:t>:</w:t>
      </w:r>
    </w:p>
    <w:p w:rsidR="00C71E74" w:rsidRPr="00C25D9C" w:rsidRDefault="00C71E74" w:rsidP="00C71E74">
      <w:pPr>
        <w:widowControl/>
        <w:rPr>
          <w:szCs w:val="22"/>
        </w:rPr>
      </w:pPr>
    </w:p>
    <w:p w:rsidR="00C71E74" w:rsidRPr="005641BC" w:rsidRDefault="00C71E74" w:rsidP="00C71E74">
      <w:pPr>
        <w:pStyle w:val="ListParagraph"/>
        <w:widowControl/>
        <w:numPr>
          <w:ilvl w:val="1"/>
          <w:numId w:val="5"/>
        </w:numPr>
        <w:snapToGrid w:val="0"/>
        <w:rPr>
          <w:szCs w:val="22"/>
        </w:rPr>
      </w:pPr>
      <w:r w:rsidRPr="005641BC">
        <w:rPr>
          <w:szCs w:val="22"/>
        </w:rPr>
        <w:t>The re-submission did not present any proposed price. The drug cost/patient/course is contingent on the price of sofosbuvir.</w:t>
      </w:r>
    </w:p>
    <w:p w:rsidR="00C71E74" w:rsidRPr="00882085" w:rsidRDefault="00C71E74" w:rsidP="00C71E74">
      <w:pPr>
        <w:rPr>
          <w:szCs w:val="22"/>
        </w:rPr>
      </w:pPr>
    </w:p>
    <w:p w:rsidR="00C71E74" w:rsidRPr="00497F10" w:rsidRDefault="00C71E74" w:rsidP="00C71E74">
      <w:pPr>
        <w:pStyle w:val="Heading2"/>
        <w:rPr>
          <w:i/>
        </w:rPr>
      </w:pPr>
      <w:bookmarkStart w:id="24" w:name="_Toc392857613"/>
      <w:bookmarkStart w:id="25" w:name="_Toc430073850"/>
      <w:r w:rsidRPr="00497F10">
        <w:rPr>
          <w:i/>
        </w:rPr>
        <w:t>Estimated PBS usage &amp; financial implications</w:t>
      </w:r>
      <w:bookmarkEnd w:id="24"/>
      <w:bookmarkEnd w:id="25"/>
    </w:p>
    <w:p w:rsidR="00C71E74" w:rsidRPr="00882085" w:rsidRDefault="00C71E74" w:rsidP="00C71E74"/>
    <w:p w:rsidR="00AD6DAB" w:rsidRPr="00AD6DAB" w:rsidRDefault="00C71E74" w:rsidP="00AD6DAB">
      <w:pPr>
        <w:pStyle w:val="ListParagraph"/>
        <w:widowControl/>
        <w:numPr>
          <w:ilvl w:val="1"/>
          <w:numId w:val="5"/>
        </w:numPr>
        <w:rPr>
          <w:szCs w:val="22"/>
        </w:rPr>
      </w:pPr>
      <w:r w:rsidRPr="005641BC">
        <w:t>This re-submission is not being considered by DUSC. The re-submission did not present any estimated PBS usage and financial implications.</w:t>
      </w:r>
    </w:p>
    <w:p w:rsidR="00AD6DAB" w:rsidRPr="00AD6DAB" w:rsidRDefault="00AD6DAB" w:rsidP="00AD6DAB">
      <w:pPr>
        <w:pStyle w:val="ListParagraph"/>
        <w:widowControl/>
        <w:rPr>
          <w:szCs w:val="22"/>
        </w:rPr>
      </w:pPr>
    </w:p>
    <w:p w:rsidR="00AD6DAB" w:rsidRPr="00AD6DAB" w:rsidRDefault="00AD6DAB" w:rsidP="00AD6DAB">
      <w:pPr>
        <w:pStyle w:val="ListParagraph"/>
        <w:widowControl/>
        <w:numPr>
          <w:ilvl w:val="1"/>
          <w:numId w:val="5"/>
        </w:numPr>
        <w:rPr>
          <w:szCs w:val="22"/>
        </w:rPr>
      </w:pPr>
      <w:r w:rsidRPr="006F393A">
        <w:rPr>
          <w:bCs/>
          <w:szCs w:val="22"/>
        </w:rPr>
        <w:t xml:space="preserve">The PBAC </w:t>
      </w:r>
      <w:r w:rsidRPr="006F393A">
        <w:t>confirmed</w:t>
      </w:r>
      <w:r w:rsidRPr="006F393A">
        <w:rPr>
          <w:bCs/>
          <w:szCs w:val="22"/>
        </w:rPr>
        <w:t xml:space="preserve"> their view from the March 2015 meeting, and recommended that a</w:t>
      </w:r>
      <w:r>
        <w:rPr>
          <w:bCs/>
          <w:szCs w:val="22"/>
        </w:rPr>
        <w:t>n</w:t>
      </w:r>
      <w:r w:rsidRPr="006F393A">
        <w:rPr>
          <w:bCs/>
          <w:szCs w:val="22"/>
        </w:rPr>
        <w:t xml:space="preserve"> RSA should consist of a cap on expenditure, with a </w:t>
      </w:r>
      <w:r w:rsidR="00E971B0">
        <w:rPr>
          <w:bCs/>
          <w:noProof/>
          <w:color w:val="000000"/>
          <w:szCs w:val="22"/>
          <w:highlight w:val="black"/>
        </w:rPr>
        <w:t>''''''''''</w:t>
      </w:r>
      <w:r w:rsidRPr="006F393A">
        <w:rPr>
          <w:bCs/>
          <w:szCs w:val="22"/>
        </w:rPr>
        <w:t xml:space="preserve">% rebate for budget </w:t>
      </w:r>
      <w:r w:rsidRPr="00AF2331">
        <w:rPr>
          <w:bCs/>
          <w:szCs w:val="22"/>
        </w:rPr>
        <w:t>certainty</w:t>
      </w:r>
      <w:r>
        <w:rPr>
          <w:bCs/>
          <w:szCs w:val="22"/>
        </w:rPr>
        <w:t>.</w:t>
      </w:r>
    </w:p>
    <w:p w:rsidR="00053F91" w:rsidRDefault="00053F91" w:rsidP="00831185">
      <w:pPr>
        <w:widowControl/>
        <w:rPr>
          <w:szCs w:val="22"/>
        </w:rPr>
      </w:pPr>
    </w:p>
    <w:p w:rsidR="00871BA7" w:rsidRPr="00CE5969" w:rsidRDefault="00871BA7" w:rsidP="00CE5969">
      <w:pPr>
        <w:pStyle w:val="PBACheading1"/>
        <w:rPr>
          <w:b/>
        </w:rPr>
      </w:pPr>
      <w:r w:rsidRPr="00CE5969">
        <w:rPr>
          <w:b/>
        </w:rPr>
        <w:t>PBAC Outcome</w:t>
      </w:r>
    </w:p>
    <w:p w:rsidR="00871BA7" w:rsidRPr="00DD19B0" w:rsidRDefault="00871BA7" w:rsidP="00871BA7">
      <w:pPr>
        <w:pStyle w:val="ListParagraph"/>
        <w:widowControl/>
        <w:rPr>
          <w:szCs w:val="22"/>
        </w:rPr>
      </w:pPr>
    </w:p>
    <w:p w:rsidR="00DD01C3" w:rsidRDefault="00871BA7" w:rsidP="00871BA7">
      <w:pPr>
        <w:pStyle w:val="ListParagraph"/>
        <w:widowControl/>
        <w:numPr>
          <w:ilvl w:val="1"/>
          <w:numId w:val="5"/>
        </w:numPr>
        <w:snapToGrid w:val="0"/>
        <w:rPr>
          <w:szCs w:val="22"/>
        </w:rPr>
      </w:pPr>
      <w:r>
        <w:rPr>
          <w:szCs w:val="22"/>
        </w:rPr>
        <w:t>The PBAC</w:t>
      </w:r>
      <w:r w:rsidR="001F0FCC">
        <w:rPr>
          <w:szCs w:val="22"/>
        </w:rPr>
        <w:t xml:space="preserve"> </w:t>
      </w:r>
      <w:r>
        <w:rPr>
          <w:szCs w:val="22"/>
        </w:rPr>
        <w:t xml:space="preserve">recommended </w:t>
      </w:r>
      <w:r w:rsidR="001F0FCC">
        <w:rPr>
          <w:szCs w:val="22"/>
        </w:rPr>
        <w:t xml:space="preserve">to expand </w:t>
      </w:r>
      <w:r>
        <w:rPr>
          <w:szCs w:val="22"/>
        </w:rPr>
        <w:t xml:space="preserve">the </w:t>
      </w:r>
      <w:r w:rsidR="00DD01C3">
        <w:rPr>
          <w:szCs w:val="22"/>
        </w:rPr>
        <w:t xml:space="preserve">Authority Required </w:t>
      </w:r>
      <w:r>
        <w:rPr>
          <w:szCs w:val="22"/>
        </w:rPr>
        <w:t xml:space="preserve">listing of </w:t>
      </w:r>
      <w:r w:rsidR="00AB7A8A">
        <w:rPr>
          <w:szCs w:val="22"/>
        </w:rPr>
        <w:t>daclatasvir</w:t>
      </w:r>
      <w:r w:rsidR="001F0FCC">
        <w:rPr>
          <w:szCs w:val="22"/>
        </w:rPr>
        <w:t xml:space="preserve"> in combination with sofosbuvir for the treatment of </w:t>
      </w:r>
      <w:r w:rsidR="008D47DF">
        <w:rPr>
          <w:szCs w:val="22"/>
        </w:rPr>
        <w:t xml:space="preserve">all patients with </w:t>
      </w:r>
      <w:r w:rsidR="001F0FCC">
        <w:rPr>
          <w:szCs w:val="22"/>
        </w:rPr>
        <w:t>Genotype 1</w:t>
      </w:r>
      <w:r w:rsidR="00DD01C3">
        <w:rPr>
          <w:szCs w:val="22"/>
        </w:rPr>
        <w:t xml:space="preserve"> </w:t>
      </w:r>
      <w:r w:rsidR="00855E92">
        <w:rPr>
          <w:szCs w:val="22"/>
        </w:rPr>
        <w:t>and Genotype</w:t>
      </w:r>
      <w:r w:rsidR="00CD1190">
        <w:rPr>
          <w:szCs w:val="22"/>
        </w:rPr>
        <w:t xml:space="preserve"> 3</w:t>
      </w:r>
      <w:r w:rsidR="001F0FCC">
        <w:rPr>
          <w:szCs w:val="22"/>
        </w:rPr>
        <w:t xml:space="preserve"> chronic hepatitis C (CHC)</w:t>
      </w:r>
      <w:r w:rsidR="00EF0B0B">
        <w:rPr>
          <w:szCs w:val="22"/>
        </w:rPr>
        <w:t>.</w:t>
      </w:r>
      <w:r w:rsidR="001F0FCC">
        <w:rPr>
          <w:szCs w:val="22"/>
        </w:rPr>
        <w:t xml:space="preserve"> </w:t>
      </w:r>
    </w:p>
    <w:p w:rsidR="00F11326" w:rsidRDefault="00F11326" w:rsidP="00F11326">
      <w:pPr>
        <w:pStyle w:val="ListParagraph"/>
        <w:widowControl/>
        <w:snapToGrid w:val="0"/>
        <w:ind w:left="1507"/>
        <w:rPr>
          <w:szCs w:val="22"/>
        </w:rPr>
      </w:pPr>
    </w:p>
    <w:p w:rsidR="001F0FCC" w:rsidRDefault="00DD01C3" w:rsidP="00871BA7">
      <w:pPr>
        <w:pStyle w:val="ListParagraph"/>
        <w:widowControl/>
        <w:numPr>
          <w:ilvl w:val="1"/>
          <w:numId w:val="5"/>
        </w:numPr>
        <w:snapToGrid w:val="0"/>
        <w:rPr>
          <w:szCs w:val="22"/>
        </w:rPr>
      </w:pPr>
      <w:r>
        <w:rPr>
          <w:szCs w:val="22"/>
        </w:rPr>
        <w:t>In making this recommendation, the PBAC recalled</w:t>
      </w:r>
      <w:r w:rsidRPr="00DD01C3">
        <w:rPr>
          <w:bCs/>
          <w:szCs w:val="22"/>
        </w:rPr>
        <w:t xml:space="preserve"> </w:t>
      </w:r>
      <w:r w:rsidRPr="006F393A">
        <w:rPr>
          <w:bCs/>
          <w:szCs w:val="22"/>
        </w:rPr>
        <w:t xml:space="preserve">that </w:t>
      </w:r>
      <w:r w:rsidRPr="006F393A">
        <w:rPr>
          <w:szCs w:val="22"/>
        </w:rPr>
        <w:t>daclatasv</w:t>
      </w:r>
      <w:r w:rsidR="00F37B53">
        <w:rPr>
          <w:szCs w:val="22"/>
        </w:rPr>
        <w:t>i</w:t>
      </w:r>
      <w:r w:rsidRPr="006F393A">
        <w:rPr>
          <w:szCs w:val="22"/>
        </w:rPr>
        <w:t>r in combination with sofosbuvir was</w:t>
      </w:r>
      <w:r>
        <w:rPr>
          <w:szCs w:val="22"/>
        </w:rPr>
        <w:t xml:space="preserve"> </w:t>
      </w:r>
      <w:r w:rsidRPr="006F393A">
        <w:rPr>
          <w:szCs w:val="22"/>
        </w:rPr>
        <w:t>recommended</w:t>
      </w:r>
      <w:r w:rsidR="00F11326">
        <w:rPr>
          <w:szCs w:val="22"/>
        </w:rPr>
        <w:t xml:space="preserve"> for </w:t>
      </w:r>
      <w:r w:rsidRPr="006F393A">
        <w:rPr>
          <w:szCs w:val="22"/>
        </w:rPr>
        <w:t xml:space="preserve">Genotype 1 </w:t>
      </w:r>
      <w:r w:rsidR="00F11326">
        <w:rPr>
          <w:szCs w:val="22"/>
        </w:rPr>
        <w:t>treatment naïve non-cirrhotic and Genotype 3 chronic hepatitis C patients</w:t>
      </w:r>
      <w:r>
        <w:rPr>
          <w:szCs w:val="22"/>
        </w:rPr>
        <w:t xml:space="preserve"> at its March 2015 PBAC meeting.</w:t>
      </w:r>
      <w:r w:rsidR="00CD1190">
        <w:rPr>
          <w:szCs w:val="22"/>
        </w:rPr>
        <w:t xml:space="preserve"> </w:t>
      </w:r>
      <w:r w:rsidR="00CD1190">
        <w:t xml:space="preserve">The PBAC </w:t>
      </w:r>
      <w:r w:rsidR="00CD1190">
        <w:lastRenderedPageBreak/>
        <w:t>reiterated that there was no basis on which to make a cost effectiveness recommendation for daclatasv</w:t>
      </w:r>
      <w:r w:rsidR="00F37B53">
        <w:t>i</w:t>
      </w:r>
      <w:r w:rsidR="00CD1190">
        <w:t>r in combination with sofosbuvir over ledipasvir/sofosbuvir (Genotype 1) or sofosbuvir in combination with ribavirin (Genotype 3).</w:t>
      </w:r>
    </w:p>
    <w:p w:rsidR="00F11326" w:rsidRPr="009742FD" w:rsidRDefault="00F11326" w:rsidP="009742FD">
      <w:pPr>
        <w:widowControl/>
        <w:snapToGrid w:val="0"/>
        <w:rPr>
          <w:szCs w:val="22"/>
        </w:rPr>
      </w:pPr>
    </w:p>
    <w:p w:rsidR="001F0FCC" w:rsidRDefault="001F0FCC" w:rsidP="00871BA7">
      <w:pPr>
        <w:pStyle w:val="ListParagraph"/>
        <w:widowControl/>
        <w:numPr>
          <w:ilvl w:val="1"/>
          <w:numId w:val="5"/>
        </w:numPr>
        <w:snapToGrid w:val="0"/>
        <w:rPr>
          <w:szCs w:val="22"/>
        </w:rPr>
      </w:pPr>
      <w:r>
        <w:rPr>
          <w:szCs w:val="22"/>
        </w:rPr>
        <w:t xml:space="preserve">Based on the </w:t>
      </w:r>
      <w:r w:rsidR="00F11326">
        <w:rPr>
          <w:szCs w:val="22"/>
        </w:rPr>
        <w:t xml:space="preserve">clinical </w:t>
      </w:r>
      <w:r>
        <w:rPr>
          <w:szCs w:val="22"/>
        </w:rPr>
        <w:t xml:space="preserve">evidence provided in the </w:t>
      </w:r>
      <w:r w:rsidR="00EF0B0B">
        <w:rPr>
          <w:szCs w:val="22"/>
        </w:rPr>
        <w:t>re</w:t>
      </w:r>
      <w:r w:rsidR="00B91A3E">
        <w:rPr>
          <w:szCs w:val="22"/>
        </w:rPr>
        <w:t>-</w:t>
      </w:r>
      <w:r>
        <w:rPr>
          <w:szCs w:val="22"/>
        </w:rPr>
        <w:t xml:space="preserve">submission, the PBAC </w:t>
      </w:r>
      <w:r w:rsidR="00F11326">
        <w:rPr>
          <w:szCs w:val="22"/>
        </w:rPr>
        <w:t xml:space="preserve">considered </w:t>
      </w:r>
      <w:r>
        <w:rPr>
          <w:szCs w:val="22"/>
        </w:rPr>
        <w:t>that the clinical efficacy of 12 weeks of treatment with daclatasvir</w:t>
      </w:r>
      <w:r w:rsidR="00F11326">
        <w:rPr>
          <w:szCs w:val="22"/>
        </w:rPr>
        <w:t xml:space="preserve"> in combination with sofosbuvir</w:t>
      </w:r>
      <w:r>
        <w:rPr>
          <w:szCs w:val="22"/>
        </w:rPr>
        <w:t xml:space="preserve"> was not supported in the following groups:</w:t>
      </w:r>
      <w:r w:rsidR="00F11326" w:rsidRPr="00F11326">
        <w:rPr>
          <w:szCs w:val="22"/>
        </w:rPr>
        <w:t xml:space="preserve"> </w:t>
      </w:r>
      <w:r w:rsidR="00F11326" w:rsidRPr="002131A1">
        <w:rPr>
          <w:szCs w:val="22"/>
        </w:rPr>
        <w:t>Genotype 2 CHC patients, Genotype 4 CHC patients, Genotype 5 CHC patients and Genotype 6 CHC patients.</w:t>
      </w:r>
    </w:p>
    <w:p w:rsidR="00F11326" w:rsidRDefault="00F11326" w:rsidP="00F11326">
      <w:pPr>
        <w:pStyle w:val="ListParagraph"/>
        <w:widowControl/>
        <w:snapToGrid w:val="0"/>
        <w:rPr>
          <w:szCs w:val="22"/>
        </w:rPr>
      </w:pPr>
    </w:p>
    <w:p w:rsidR="003345EB" w:rsidRDefault="003345EB" w:rsidP="00871BA7">
      <w:pPr>
        <w:pStyle w:val="ListParagraph"/>
        <w:widowControl/>
        <w:numPr>
          <w:ilvl w:val="1"/>
          <w:numId w:val="5"/>
        </w:numPr>
        <w:snapToGrid w:val="0"/>
        <w:rPr>
          <w:szCs w:val="22"/>
        </w:rPr>
      </w:pPr>
      <w:r>
        <w:rPr>
          <w:szCs w:val="22"/>
        </w:rPr>
        <w:t>The PBAC noted from the pre-PBAC response that the sponsor acknowled</w:t>
      </w:r>
      <w:r w:rsidR="000F7CD0">
        <w:rPr>
          <w:szCs w:val="22"/>
        </w:rPr>
        <w:t>ged</w:t>
      </w:r>
      <w:r>
        <w:rPr>
          <w:szCs w:val="22"/>
        </w:rPr>
        <w:t xml:space="preserve"> the lack of sufficient data to support listing for </w:t>
      </w:r>
      <w:r w:rsidR="009F334E" w:rsidRPr="002131A1">
        <w:rPr>
          <w:szCs w:val="22"/>
        </w:rPr>
        <w:t>Genotype 2 CHC patients, Genotype 4 CHC patients, Genotype 5 CHC patients and Genotype 6 CHC patients</w:t>
      </w:r>
      <w:r>
        <w:rPr>
          <w:szCs w:val="22"/>
        </w:rPr>
        <w:t xml:space="preserve">. </w:t>
      </w:r>
    </w:p>
    <w:p w:rsidR="000F7CD0" w:rsidRPr="000F7CD0" w:rsidRDefault="000F7CD0" w:rsidP="000F7CD0">
      <w:pPr>
        <w:pStyle w:val="ListParagraph"/>
        <w:widowControl/>
        <w:snapToGrid w:val="0"/>
        <w:rPr>
          <w:szCs w:val="22"/>
        </w:rPr>
      </w:pPr>
    </w:p>
    <w:p w:rsidR="00CD1190" w:rsidRPr="009F334E" w:rsidRDefault="00CD1190" w:rsidP="00CD1190">
      <w:pPr>
        <w:pStyle w:val="ListParagraph"/>
        <w:widowControl/>
        <w:numPr>
          <w:ilvl w:val="1"/>
          <w:numId w:val="5"/>
        </w:numPr>
        <w:snapToGrid w:val="0"/>
        <w:rPr>
          <w:szCs w:val="22"/>
        </w:rPr>
      </w:pPr>
      <w:r>
        <w:t>The PBAC noted since the consideration of daclatasvir at the March 2015 meeting, the final product information was available and included</w:t>
      </w:r>
      <w:r w:rsidR="00EF0B0B">
        <w:t xml:space="preserve"> the f</w:t>
      </w:r>
      <w:r w:rsidR="00A27F96">
        <w:t>ollowing dosing recommendations</w:t>
      </w:r>
      <w:r>
        <w:t xml:space="preserve">: </w:t>
      </w:r>
    </w:p>
    <w:p w:rsidR="009742FD" w:rsidRPr="009742FD" w:rsidRDefault="00CD1190" w:rsidP="00CD1190">
      <w:pPr>
        <w:pStyle w:val="ListParagraph"/>
        <w:widowControl/>
        <w:numPr>
          <w:ilvl w:val="1"/>
          <w:numId w:val="25"/>
        </w:numPr>
        <w:snapToGrid w:val="0"/>
        <w:rPr>
          <w:szCs w:val="22"/>
        </w:rPr>
      </w:pPr>
      <w:r>
        <w:t>Geno</w:t>
      </w:r>
      <w:r w:rsidR="00540BDA">
        <w:t>type 1 (No prior treatment, or failed peginterferon alfa/ribavirin):</w:t>
      </w:r>
      <w:r w:rsidR="009742FD">
        <w:t xml:space="preserve"> Consider adding ribavirin to the DAKLINZA/sofosbuvir 12-week regimen or prolonging treatment duration to 24 weeks for patients with cirrhosis.</w:t>
      </w:r>
    </w:p>
    <w:p w:rsidR="005D4E04" w:rsidRPr="009742FD" w:rsidRDefault="005D4E04" w:rsidP="00CD1190">
      <w:pPr>
        <w:pStyle w:val="ListParagraph"/>
        <w:widowControl/>
        <w:numPr>
          <w:ilvl w:val="1"/>
          <w:numId w:val="25"/>
        </w:numPr>
        <w:snapToGrid w:val="0"/>
        <w:rPr>
          <w:szCs w:val="22"/>
        </w:rPr>
      </w:pPr>
      <w:r>
        <w:t>Genotype 1 (Failed protease inhibitor and peginterferon /ribavirin): daclatasv</w:t>
      </w:r>
      <w:r w:rsidR="00F37B53">
        <w:t>i</w:t>
      </w:r>
      <w:r>
        <w:t xml:space="preserve">r and sofosbuvir for the duration of 24 weeks. </w:t>
      </w:r>
    </w:p>
    <w:p w:rsidR="00CD1190" w:rsidRPr="005D4E04" w:rsidRDefault="005D4E04" w:rsidP="005D4E04">
      <w:pPr>
        <w:pStyle w:val="ListParagraph"/>
        <w:widowControl/>
        <w:numPr>
          <w:ilvl w:val="1"/>
          <w:numId w:val="25"/>
        </w:numPr>
        <w:snapToGrid w:val="0"/>
        <w:rPr>
          <w:szCs w:val="22"/>
        </w:rPr>
      </w:pPr>
      <w:r>
        <w:t>Genotype 3 (No prior treatment, or failed sofosbuvir/ribavirin or peginterferon alfa/ribavirin): Consider prolonging treatment duration to 24 weeks for patients with cirrhosis.</w:t>
      </w:r>
    </w:p>
    <w:p w:rsidR="00CD1190" w:rsidRPr="005D4E04" w:rsidRDefault="00CD1190" w:rsidP="005D4E04">
      <w:pPr>
        <w:pStyle w:val="ListParagraph"/>
        <w:widowControl/>
        <w:numPr>
          <w:ilvl w:val="1"/>
          <w:numId w:val="25"/>
        </w:numPr>
        <w:snapToGrid w:val="0"/>
        <w:rPr>
          <w:szCs w:val="22"/>
        </w:rPr>
      </w:pPr>
      <w:r>
        <w:t xml:space="preserve">The dose of DAKLINZA should be reduced to 30 mg once daily when coadministered with strong inhibitors of CYP3A4 (using the 30 mg tablet; DAKLINZA tablets should not be broken). </w:t>
      </w:r>
    </w:p>
    <w:p w:rsidR="00CD1190" w:rsidRPr="00CD1190" w:rsidRDefault="00CD1190" w:rsidP="00CD1190">
      <w:pPr>
        <w:pStyle w:val="ListParagraph"/>
        <w:widowControl/>
        <w:numPr>
          <w:ilvl w:val="1"/>
          <w:numId w:val="25"/>
        </w:numPr>
        <w:snapToGrid w:val="0"/>
        <w:rPr>
          <w:szCs w:val="22"/>
        </w:rPr>
      </w:pPr>
      <w:r>
        <w:t xml:space="preserve">The dose of DAKLINZA should be increased to 90 mg once daily (three 30 mg tablets or one 60 mg and one 30 mg tablet) when coadministered with moderate inducers of CYP3A4. </w:t>
      </w:r>
    </w:p>
    <w:p w:rsidR="00CD1190" w:rsidRDefault="00CD1190" w:rsidP="00CD1190">
      <w:pPr>
        <w:pStyle w:val="ListParagraph"/>
      </w:pPr>
    </w:p>
    <w:p w:rsidR="00CD1190" w:rsidRPr="00EF0B0B" w:rsidRDefault="00CD1190" w:rsidP="00D41357">
      <w:pPr>
        <w:pStyle w:val="ListParagraph"/>
        <w:widowControl/>
        <w:numPr>
          <w:ilvl w:val="1"/>
          <w:numId w:val="5"/>
        </w:numPr>
        <w:snapToGrid w:val="0"/>
        <w:rPr>
          <w:szCs w:val="22"/>
        </w:rPr>
      </w:pPr>
      <w:r>
        <w:t xml:space="preserve">The PBAC </w:t>
      </w:r>
      <w:r w:rsidR="00D41357">
        <w:t>considered that the listing should enable patients to be treated with the most appropriate treatment regimen</w:t>
      </w:r>
      <w:r w:rsidR="009C0157">
        <w:t xml:space="preserve"> for their disease status</w:t>
      </w:r>
      <w:r w:rsidR="00D41357">
        <w:t xml:space="preserve">. The PBAC reiterated that the cost of a course of treatment should be </w:t>
      </w:r>
      <w:r w:rsidR="00E971B0">
        <w:rPr>
          <w:noProof/>
          <w:color w:val="000000"/>
          <w:highlight w:val="black"/>
        </w:rPr>
        <w:t>''''''' ''''''''''''''''''''''''''' '''''</w:t>
      </w:r>
      <w:r w:rsidR="00D41357" w:rsidRPr="00AF2331">
        <w:t xml:space="preserve"> duration or dose of daclatasv</w:t>
      </w:r>
      <w:r w:rsidR="00F37B53" w:rsidRPr="00AF2331">
        <w:t>i</w:t>
      </w:r>
      <w:r w:rsidR="00D41357" w:rsidRPr="00AF2331">
        <w:t>r required.</w:t>
      </w:r>
      <w:r w:rsidR="00E971B0">
        <w:rPr>
          <w:noProof/>
          <w:color w:val="000000"/>
          <w:highlight w:val="black"/>
        </w:rPr>
        <w:t xml:space="preserve"> </w:t>
      </w:r>
    </w:p>
    <w:p w:rsidR="00EF0B0B" w:rsidRDefault="00EF0B0B" w:rsidP="00EF0B0B">
      <w:pPr>
        <w:pStyle w:val="ListParagraph"/>
        <w:rPr>
          <w:szCs w:val="22"/>
        </w:rPr>
      </w:pPr>
    </w:p>
    <w:p w:rsidR="00EF0B0B" w:rsidRPr="00B91A3E" w:rsidRDefault="00EF0B0B" w:rsidP="00B91A3E">
      <w:pPr>
        <w:pStyle w:val="ListParagraph"/>
        <w:numPr>
          <w:ilvl w:val="1"/>
          <w:numId w:val="5"/>
        </w:numPr>
        <w:rPr>
          <w:szCs w:val="22"/>
        </w:rPr>
      </w:pPr>
      <w:r w:rsidRPr="00EF0B0B">
        <w:rPr>
          <w:szCs w:val="22"/>
        </w:rPr>
        <w:t xml:space="preserve">The PBAC noted that no additional financial impact is expected from the </w:t>
      </w:r>
      <w:r>
        <w:rPr>
          <w:szCs w:val="22"/>
        </w:rPr>
        <w:t>expansion of the listing of</w:t>
      </w:r>
      <w:r w:rsidRPr="00EF0B0B">
        <w:rPr>
          <w:szCs w:val="22"/>
        </w:rPr>
        <w:t xml:space="preserve"> daclatasvir</w:t>
      </w:r>
      <w:r>
        <w:rPr>
          <w:szCs w:val="22"/>
        </w:rPr>
        <w:t xml:space="preserve"> </w:t>
      </w:r>
      <w:r w:rsidRPr="00EF0B0B">
        <w:rPr>
          <w:szCs w:val="22"/>
        </w:rPr>
        <w:t>in combination with sofosbuvir over the financial impact of the listing of the previously recommended IFN-free treatments for CHC. This is because daclatasvir in combination with sofosbuvir is expected to directly substitute for other CHC treatment regimens.</w:t>
      </w:r>
    </w:p>
    <w:p w:rsidR="00D41357" w:rsidRPr="00CE5969" w:rsidRDefault="00D41357" w:rsidP="00CE5969"/>
    <w:p w:rsidR="003345EB" w:rsidRPr="003345EB" w:rsidRDefault="003345EB" w:rsidP="003345EB">
      <w:pPr>
        <w:pStyle w:val="ListParagraph"/>
        <w:widowControl/>
        <w:numPr>
          <w:ilvl w:val="1"/>
          <w:numId w:val="5"/>
        </w:numPr>
        <w:snapToGrid w:val="0"/>
        <w:rPr>
          <w:szCs w:val="22"/>
        </w:rPr>
      </w:pPr>
      <w:r w:rsidRPr="003345EB">
        <w:rPr>
          <w:szCs w:val="22"/>
        </w:rPr>
        <w:t xml:space="preserve">In accordance with subsection 101(3BA) of the </w:t>
      </w:r>
      <w:r w:rsidRPr="00EF0B0B">
        <w:rPr>
          <w:i/>
          <w:szCs w:val="22"/>
        </w:rPr>
        <w:t>National Health Act 1953</w:t>
      </w:r>
      <w:r w:rsidRPr="003345EB">
        <w:rPr>
          <w:szCs w:val="22"/>
        </w:rPr>
        <w:t xml:space="preserve">, the PBAC advised that the Committee is of the opinion that, on the basis of the material available at </w:t>
      </w:r>
      <w:r w:rsidR="009742FD">
        <w:rPr>
          <w:szCs w:val="22"/>
        </w:rPr>
        <w:t xml:space="preserve">this meeting and at </w:t>
      </w:r>
      <w:r w:rsidRPr="003345EB">
        <w:rPr>
          <w:szCs w:val="22"/>
        </w:rPr>
        <w:t>the March 2015 meeting, daclatasvir should not be treated as interchangeable with other recommended treatments of CHC on an individual patient basis.</w:t>
      </w:r>
    </w:p>
    <w:p w:rsidR="003345EB" w:rsidRPr="003345EB" w:rsidRDefault="003345EB" w:rsidP="003345EB">
      <w:pPr>
        <w:pStyle w:val="ListParagraph"/>
        <w:widowControl/>
        <w:snapToGrid w:val="0"/>
        <w:rPr>
          <w:szCs w:val="22"/>
        </w:rPr>
      </w:pPr>
    </w:p>
    <w:p w:rsidR="003345EB" w:rsidRPr="003345EB" w:rsidRDefault="003345EB" w:rsidP="003345EB">
      <w:pPr>
        <w:pStyle w:val="ListParagraph"/>
        <w:widowControl/>
        <w:numPr>
          <w:ilvl w:val="1"/>
          <w:numId w:val="5"/>
        </w:numPr>
        <w:snapToGrid w:val="0"/>
        <w:rPr>
          <w:szCs w:val="22"/>
        </w:rPr>
      </w:pPr>
      <w:r w:rsidRPr="003345EB">
        <w:rPr>
          <w:szCs w:val="22"/>
        </w:rPr>
        <w:t xml:space="preserve">The PBAC noted that suitability of prescribing daclatasvir by nurse practitioners would depend on the final listing conditions of daclatasvir. The PBAC were of a mind </w:t>
      </w:r>
      <w:r w:rsidRPr="003345EB">
        <w:rPr>
          <w:szCs w:val="22"/>
        </w:rPr>
        <w:lastRenderedPageBreak/>
        <w:t>that in principle nurse practitioners prescribing was likely to be suitable in the context of a share care model.</w:t>
      </w:r>
    </w:p>
    <w:p w:rsidR="003345EB" w:rsidRPr="003345EB" w:rsidRDefault="003345EB" w:rsidP="003345EB">
      <w:pPr>
        <w:pStyle w:val="ListParagraph"/>
        <w:widowControl/>
        <w:snapToGrid w:val="0"/>
        <w:rPr>
          <w:szCs w:val="22"/>
        </w:rPr>
      </w:pPr>
    </w:p>
    <w:p w:rsidR="003345EB" w:rsidRPr="009F334E" w:rsidRDefault="003345EB" w:rsidP="003345EB">
      <w:pPr>
        <w:pStyle w:val="ListParagraph"/>
        <w:widowControl/>
        <w:numPr>
          <w:ilvl w:val="1"/>
          <w:numId w:val="5"/>
        </w:numPr>
        <w:snapToGrid w:val="0"/>
        <w:rPr>
          <w:szCs w:val="22"/>
        </w:rPr>
      </w:pPr>
      <w:r w:rsidRPr="003345EB">
        <w:rPr>
          <w:szCs w:val="22"/>
        </w:rPr>
        <w:t>The PBAC</w:t>
      </w:r>
      <w:r w:rsidR="00CD1190">
        <w:rPr>
          <w:szCs w:val="22"/>
        </w:rPr>
        <w:t xml:space="preserve"> reaffirmed that</w:t>
      </w:r>
      <w:r w:rsidRPr="003345EB">
        <w:rPr>
          <w:szCs w:val="22"/>
        </w:rPr>
        <w:t xml:space="preserve"> </w:t>
      </w:r>
      <w:r w:rsidR="00CD1190">
        <w:t xml:space="preserve">the Safety Net 20 Day Rule should apply to all the interferon-free DAA regimens, </w:t>
      </w:r>
      <w:r w:rsidR="009C0157">
        <w:t>in line</w:t>
      </w:r>
      <w:r w:rsidR="00CD1190">
        <w:t xml:space="preserve"> with the recommendations at the July 2015 </w:t>
      </w:r>
      <w:r w:rsidR="009742FD">
        <w:t>meeting.</w:t>
      </w:r>
    </w:p>
    <w:p w:rsidR="009F334E" w:rsidRPr="00CE5969" w:rsidRDefault="009F334E" w:rsidP="00CE5969"/>
    <w:p w:rsidR="003345EB" w:rsidRDefault="003345EB" w:rsidP="003345EB">
      <w:pPr>
        <w:pStyle w:val="ListParagraph"/>
        <w:widowControl/>
        <w:numPr>
          <w:ilvl w:val="1"/>
          <w:numId w:val="5"/>
        </w:numPr>
        <w:snapToGrid w:val="0"/>
        <w:rPr>
          <w:szCs w:val="22"/>
        </w:rPr>
      </w:pPr>
      <w:r w:rsidRPr="003345EB">
        <w:rPr>
          <w:szCs w:val="22"/>
        </w:rPr>
        <w:t>The resubmission is not eligible for an Independent Review, because the PBAC</w:t>
      </w:r>
      <w:r>
        <w:rPr>
          <w:szCs w:val="22"/>
        </w:rPr>
        <w:t xml:space="preserve"> made a positive recommendation.</w:t>
      </w:r>
    </w:p>
    <w:p w:rsidR="003345EB" w:rsidRDefault="003345EB" w:rsidP="003345EB">
      <w:pPr>
        <w:pStyle w:val="ListParagraph"/>
        <w:widowControl/>
        <w:snapToGrid w:val="0"/>
        <w:rPr>
          <w:szCs w:val="22"/>
        </w:rPr>
      </w:pPr>
    </w:p>
    <w:p w:rsidR="003345EB" w:rsidRDefault="003345EB" w:rsidP="003345EB">
      <w:pPr>
        <w:pStyle w:val="ListParagraph"/>
        <w:widowControl/>
        <w:numPr>
          <w:ilvl w:val="1"/>
          <w:numId w:val="5"/>
        </w:numPr>
        <w:snapToGrid w:val="0"/>
        <w:rPr>
          <w:szCs w:val="22"/>
        </w:rPr>
      </w:pPr>
      <w:r w:rsidRPr="003345EB">
        <w:rPr>
          <w:szCs w:val="22"/>
        </w:rPr>
        <w:t xml:space="preserve">The PBAC acknowledged that there was a high clinical need for more effective and tolerable treatment for HCV. The PBAC noted that there is a large number (around 230,000) of patients with the chronic HCV who are untreated and that the utilisation of existing listings was low as patients were contraindicated or unwilling to take interferon. Based on the prevalence of HCV and the financial estimate presented in the </w:t>
      </w:r>
      <w:r w:rsidR="005A7F5C">
        <w:rPr>
          <w:szCs w:val="22"/>
        </w:rPr>
        <w:t xml:space="preserve">recent </w:t>
      </w:r>
      <w:r w:rsidRPr="003345EB">
        <w:rPr>
          <w:szCs w:val="22"/>
        </w:rPr>
        <w:t>submission</w:t>
      </w:r>
      <w:r w:rsidR="005A7F5C">
        <w:rPr>
          <w:szCs w:val="22"/>
        </w:rPr>
        <w:t>s for all oral treatments</w:t>
      </w:r>
      <w:r w:rsidRPr="003345EB">
        <w:rPr>
          <w:szCs w:val="22"/>
        </w:rPr>
        <w:t>, the PBAC considered that there would be a significant opportunity cost to the Commonwealth of listing oral treatments as their uptake would be substantially higher than currently subsidised medicines. The PBAC reiterated its view that the clinical management of individuals with HCV is moving so rapidly that a broader Government and community approach is needed to maximise the clinical outcomes and patient access to treatment. As well as subsidising new treatment on the PBS, other factors that increase the capacity to treat patients need to be explored.</w:t>
      </w:r>
    </w:p>
    <w:p w:rsidR="00871BA7" w:rsidRDefault="00871BA7" w:rsidP="00831185">
      <w:pPr>
        <w:widowControl/>
        <w:rPr>
          <w:szCs w:val="22"/>
        </w:rPr>
      </w:pPr>
    </w:p>
    <w:p w:rsidR="00871BA7" w:rsidRPr="00547A65" w:rsidRDefault="00871BA7" w:rsidP="00871BA7">
      <w:pPr>
        <w:widowControl/>
        <w:snapToGrid w:val="0"/>
        <w:ind w:left="720" w:hanging="720"/>
        <w:jc w:val="left"/>
        <w:rPr>
          <w:b/>
          <w:snapToGrid/>
          <w:szCs w:val="22"/>
        </w:rPr>
      </w:pPr>
      <w:r w:rsidRPr="00547A65">
        <w:rPr>
          <w:b/>
          <w:snapToGrid/>
          <w:szCs w:val="22"/>
        </w:rPr>
        <w:t>Outcome</w:t>
      </w:r>
    </w:p>
    <w:p w:rsidR="00871BA7" w:rsidRDefault="00871BA7" w:rsidP="00871BA7">
      <w:pPr>
        <w:widowControl/>
        <w:rPr>
          <w:bCs/>
          <w:szCs w:val="22"/>
          <w:lang w:val="en-GB"/>
        </w:rPr>
      </w:pPr>
      <w:r w:rsidRPr="00547A65">
        <w:rPr>
          <w:bCs/>
          <w:szCs w:val="22"/>
          <w:lang w:val="en-GB"/>
        </w:rPr>
        <w:t>Recommended</w:t>
      </w:r>
    </w:p>
    <w:p w:rsidR="00703501" w:rsidRDefault="00703501" w:rsidP="00871BA7">
      <w:pPr>
        <w:widowControl/>
        <w:rPr>
          <w:bCs/>
          <w:szCs w:val="22"/>
          <w:lang w:val="en-GB"/>
        </w:rPr>
      </w:pPr>
    </w:p>
    <w:p w:rsidR="00871BA7" w:rsidRPr="00CE5969" w:rsidRDefault="00871BA7" w:rsidP="00CE5969">
      <w:pPr>
        <w:pStyle w:val="PBACheading1"/>
        <w:rPr>
          <w:b/>
        </w:rPr>
      </w:pPr>
      <w:r w:rsidRPr="00CE5969">
        <w:rPr>
          <w:b/>
        </w:rPr>
        <w:t>Recommended listing</w:t>
      </w:r>
    </w:p>
    <w:p w:rsidR="009569A0" w:rsidRDefault="009569A0" w:rsidP="00871BA7">
      <w:pPr>
        <w:widowControl/>
        <w:rPr>
          <w:b/>
          <w:szCs w:val="22"/>
        </w:rPr>
      </w:pPr>
    </w:p>
    <w:p w:rsidR="009569A0" w:rsidRPr="00E4351F" w:rsidRDefault="009569A0" w:rsidP="00E4351F">
      <w:pPr>
        <w:pStyle w:val="ListParagraph"/>
        <w:widowControl/>
        <w:numPr>
          <w:ilvl w:val="1"/>
          <w:numId w:val="5"/>
        </w:numPr>
        <w:snapToGrid w:val="0"/>
        <w:rPr>
          <w:rFonts w:cs="Times New Roman"/>
          <w:snapToGrid/>
          <w:szCs w:val="22"/>
          <w:lang w:eastAsia="en-AU"/>
        </w:rPr>
      </w:pPr>
      <w:r w:rsidRPr="009569A0">
        <w:t xml:space="preserve">Restriction </w:t>
      </w:r>
      <w:r w:rsidR="00BA4262">
        <w:t xml:space="preserve">for treatment of Genotype 1 and Genotype 3 CHC </w:t>
      </w:r>
      <w:r w:rsidRPr="009569A0">
        <w:t>to be finalised</w:t>
      </w:r>
    </w:p>
    <w:p w:rsidR="00703501" w:rsidRDefault="00703501" w:rsidP="009569A0">
      <w:pPr>
        <w:widowControl/>
        <w:ind w:left="720"/>
        <w:contextualSpacing/>
      </w:pPr>
    </w:p>
    <w:p w:rsidR="00703501" w:rsidRDefault="00703501" w:rsidP="009569A0">
      <w:pPr>
        <w:widowControl/>
        <w:ind w:left="720"/>
        <w:contextualSpacing/>
      </w:pPr>
    </w:p>
    <w:p w:rsidR="001B3B85" w:rsidRPr="00CE5969" w:rsidRDefault="001B3B85" w:rsidP="00CE5969">
      <w:pPr>
        <w:pStyle w:val="PBACheading1"/>
        <w:rPr>
          <w:rFonts w:eastAsia="SimSun"/>
          <w:b/>
        </w:rPr>
      </w:pPr>
      <w:r w:rsidRPr="00CE5969">
        <w:rPr>
          <w:rFonts w:eastAsia="SimSun"/>
          <w:b/>
        </w:rPr>
        <w:t>Context for Decision</w:t>
      </w:r>
    </w:p>
    <w:p w:rsidR="001B3B85" w:rsidRPr="001B3B85" w:rsidRDefault="001B3B85" w:rsidP="001B3B85">
      <w:pPr>
        <w:ind w:left="720"/>
        <w:contextualSpacing/>
        <w:rPr>
          <w:rFonts w:ascii="Times New Roman" w:hAnsi="Times New Roman" w:cs="Times New Roman"/>
          <w:b/>
          <w:sz w:val="24"/>
          <w:szCs w:val="24"/>
          <w:lang w:eastAsia="en-AU"/>
        </w:rPr>
      </w:pPr>
    </w:p>
    <w:p w:rsidR="001B3B85" w:rsidRPr="001B3B85" w:rsidRDefault="001B3B85" w:rsidP="001B3B85">
      <w:pPr>
        <w:ind w:left="720"/>
        <w:rPr>
          <w:bCs/>
          <w:szCs w:val="22"/>
        </w:rPr>
      </w:pPr>
      <w:r w:rsidRPr="001B3B85">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B3B85" w:rsidRPr="001B3B85" w:rsidRDefault="001B3B85" w:rsidP="001B3B85">
      <w:pPr>
        <w:rPr>
          <w:rFonts w:ascii="Times New Roman" w:hAnsi="Times New Roman" w:cs="Times New Roman"/>
          <w:snapToGrid/>
          <w:sz w:val="24"/>
          <w:szCs w:val="24"/>
        </w:rPr>
      </w:pPr>
    </w:p>
    <w:p w:rsidR="001B3B85" w:rsidRPr="00CE5969" w:rsidRDefault="001B3B85" w:rsidP="00CE5969">
      <w:pPr>
        <w:pStyle w:val="PBACheading1"/>
        <w:rPr>
          <w:rFonts w:eastAsia="SimSun"/>
          <w:b/>
        </w:rPr>
      </w:pPr>
      <w:r w:rsidRPr="00CE5969">
        <w:rPr>
          <w:rFonts w:eastAsia="SimSun"/>
          <w:b/>
        </w:rPr>
        <w:t>Sponsor’s Comment</w:t>
      </w:r>
    </w:p>
    <w:p w:rsidR="001B3B85" w:rsidRPr="001B3B85" w:rsidRDefault="001B3B85" w:rsidP="001B3B85">
      <w:pPr>
        <w:tabs>
          <w:tab w:val="left" w:pos="2940"/>
        </w:tabs>
        <w:rPr>
          <w:rFonts w:cs="Times New Roman"/>
          <w:szCs w:val="22"/>
          <w:lang w:eastAsia="en-AU"/>
        </w:rPr>
      </w:pPr>
    </w:p>
    <w:p w:rsidR="0046531C" w:rsidRPr="009711A6" w:rsidRDefault="00AC21FA" w:rsidP="009711A6">
      <w:pPr>
        <w:ind w:left="720"/>
        <w:rPr>
          <w:bCs/>
          <w:szCs w:val="22"/>
        </w:rPr>
      </w:pPr>
      <w:r w:rsidRPr="00AC21FA">
        <w:rPr>
          <w:bCs/>
          <w:szCs w:val="22"/>
        </w:rPr>
        <w:t xml:space="preserve">The sponsor acknowledges the work done by all stakeholders involved in bringing </w:t>
      </w:r>
      <w:r w:rsidRPr="00CE5969">
        <w:rPr>
          <w:bCs/>
          <w:szCs w:val="22"/>
        </w:rPr>
        <w:t>access to daclatasvir for Australian patients via the PBS.</w:t>
      </w:r>
      <w:r w:rsidR="009E11AA" w:rsidRPr="00CE5969">
        <w:rPr>
          <w:bCs/>
          <w:szCs w:val="22"/>
        </w:rPr>
        <w:t xml:space="preserve"> While the</w:t>
      </w:r>
      <w:r w:rsidR="00CE5969" w:rsidRPr="00CE5969">
        <w:rPr>
          <w:bCs/>
          <w:szCs w:val="22"/>
        </w:rPr>
        <w:t xml:space="preserve"> </w:t>
      </w:r>
      <w:r w:rsidR="009E11AA" w:rsidRPr="00CE5969">
        <w:t xml:space="preserve">sponsor believes a pan-genotypic PBS listing for daclatasvir would ensure effective therapies are available for all Australian HCV patients, it is </w:t>
      </w:r>
      <w:r w:rsidR="00E33F56" w:rsidRPr="00CE5969">
        <w:t xml:space="preserve">encouraged that </w:t>
      </w:r>
      <w:r w:rsidR="009E11AA" w:rsidRPr="00CE5969">
        <w:t xml:space="preserve">this medicine will </w:t>
      </w:r>
      <w:r w:rsidR="00E33F56" w:rsidRPr="00CE5969">
        <w:t xml:space="preserve">soon </w:t>
      </w:r>
      <w:r w:rsidR="009E11AA" w:rsidRPr="00CE5969">
        <w:t xml:space="preserve">be available to treat </w:t>
      </w:r>
      <w:r w:rsidR="00E33F56" w:rsidRPr="00CE5969">
        <w:t xml:space="preserve">Australian </w:t>
      </w:r>
      <w:r w:rsidR="009E11AA" w:rsidRPr="00CE5969">
        <w:t>patients with GT1 or GT3 disease.</w:t>
      </w:r>
    </w:p>
    <w:sectPr w:rsidR="0046531C" w:rsidRPr="009711A6" w:rsidSect="005641BC">
      <w:headerReference w:type="default" r:id="rId9"/>
      <w:footerReference w:type="default" r:id="rId10"/>
      <w:footnotePr>
        <w:numFmt w:val="chicago"/>
      </w:footnotePr>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13448C" w15:done="0"/>
  <w15:commentEx w15:paraId="166FA13E" w15:done="0"/>
  <w15:commentEx w15:paraId="22AB89F5" w15:done="0"/>
  <w15:commentEx w15:paraId="48C693CF" w15:done="0"/>
  <w15:commentEx w15:paraId="7FCE082E" w15:done="0"/>
  <w15:commentEx w15:paraId="49D0AF60" w15:paraIdParent="7FCE08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1B0" w:rsidRDefault="00E971B0" w:rsidP="00124A51">
      <w:r>
        <w:separator/>
      </w:r>
    </w:p>
  </w:endnote>
  <w:endnote w:type="continuationSeparator" w:id="0">
    <w:p w:rsidR="00E971B0" w:rsidRDefault="00E971B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699244"/>
      <w:docPartObj>
        <w:docPartGallery w:val="Page Numbers (Bottom of Page)"/>
        <w:docPartUnique/>
      </w:docPartObj>
    </w:sdtPr>
    <w:sdtEndPr>
      <w:rPr>
        <w:noProof/>
      </w:rPr>
    </w:sdtEndPr>
    <w:sdtContent>
      <w:p w:rsidR="00CE5969" w:rsidRDefault="00CE5969">
        <w:pPr>
          <w:pStyle w:val="Footer"/>
          <w:jc w:val="center"/>
        </w:pPr>
        <w:r>
          <w:fldChar w:fldCharType="begin"/>
        </w:r>
        <w:r>
          <w:instrText xml:space="preserve"> PAGE   \* MERGEFORMAT </w:instrText>
        </w:r>
        <w:r>
          <w:fldChar w:fldCharType="separate"/>
        </w:r>
        <w:r w:rsidR="00F17920">
          <w:rPr>
            <w:noProof/>
          </w:rPr>
          <w:t>14</w:t>
        </w:r>
        <w:r>
          <w:rPr>
            <w:noProof/>
          </w:rPr>
          <w:fldChar w:fldCharType="end"/>
        </w:r>
      </w:p>
    </w:sdtContent>
  </w:sdt>
  <w:p w:rsidR="00CE5969" w:rsidRDefault="00CE5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1B0" w:rsidRDefault="00E971B0" w:rsidP="00124A51">
      <w:r>
        <w:separator/>
      </w:r>
    </w:p>
  </w:footnote>
  <w:footnote w:type="continuationSeparator" w:id="0">
    <w:p w:rsidR="00E971B0" w:rsidRDefault="00E971B0" w:rsidP="00124A51">
      <w:r>
        <w:continuationSeparator/>
      </w:r>
    </w:p>
  </w:footnote>
  <w:footnote w:id="1">
    <w:p w:rsidR="00CE5969" w:rsidRDefault="00CE5969">
      <w:pPr>
        <w:pStyle w:val="FootnoteText"/>
      </w:pPr>
      <w:r w:rsidRPr="000A3A6E">
        <w:rPr>
          <w:rStyle w:val="FootnoteReference"/>
          <w:vertAlign w:val="baseline"/>
        </w:rPr>
        <w:footnoteRef/>
      </w:r>
      <w:r w:rsidRPr="000A3A6E">
        <w:t xml:space="preserve"> </w:t>
      </w:r>
      <w:r w:rsidRPr="00BF77D2">
        <w:t>European Association for the Study of the Liver</w:t>
      </w:r>
      <w:r>
        <w:t xml:space="preserve"> (2015),</w:t>
      </w:r>
      <w:r w:rsidRPr="009C1082">
        <w:t xml:space="preserve"> </w:t>
      </w:r>
      <w:r w:rsidRPr="00BF77D2">
        <w:t>American Association for the Study of Liv</w:t>
      </w:r>
      <w:r>
        <w:t>er Diseases/</w:t>
      </w:r>
      <w:r w:rsidRPr="00BF77D2">
        <w:t>Infectious Diseases Society of America</w:t>
      </w:r>
      <w:r>
        <w:t xml:space="preserve"> (2015)</w:t>
      </w:r>
    </w:p>
  </w:footnote>
  <w:footnote w:id="2">
    <w:p w:rsidR="00CE5969" w:rsidRDefault="00CE5969" w:rsidP="00C71E74">
      <w:pPr>
        <w:pStyle w:val="FootnoteText"/>
      </w:pPr>
      <w:r>
        <w:rPr>
          <w:rStyle w:val="FootnoteReference"/>
        </w:rPr>
        <w:footnoteRef/>
      </w:r>
      <w:r>
        <w:t xml:space="preserve"> ATU = Authorisation temporaire d’utilisation.</w:t>
      </w:r>
    </w:p>
  </w:footnote>
  <w:footnote w:id="3">
    <w:p w:rsidR="00CE5969" w:rsidRDefault="00CE5969">
      <w:pPr>
        <w:pStyle w:val="FootnoteText"/>
      </w:pPr>
      <w:r>
        <w:rPr>
          <w:rStyle w:val="FootnoteReference"/>
        </w:rPr>
        <w:footnoteRef/>
      </w:r>
      <w:r>
        <w:t xml:space="preserve"> Patients with SVR12 (TD) had HCV RNA less than the lower limit of quantification (25 IU/mL) but above the lower limit of detection.</w:t>
      </w:r>
    </w:p>
  </w:footnote>
  <w:footnote w:id="4">
    <w:p w:rsidR="00CE5969" w:rsidRDefault="00CE5969">
      <w:pPr>
        <w:pStyle w:val="FootnoteText"/>
      </w:pPr>
      <w:r>
        <w:rPr>
          <w:rStyle w:val="FootnoteReference"/>
        </w:rPr>
        <w:footnoteRef/>
      </w:r>
      <w:r>
        <w:t xml:space="preserve"> </w:t>
      </w:r>
      <w:r w:rsidRPr="005F34E5">
        <w:t>Welzel TM, Herzer K</w:t>
      </w:r>
      <w:r w:rsidRPr="005F34E5">
        <w:rPr>
          <w:i/>
        </w:rPr>
        <w:t>, et al.</w:t>
      </w:r>
      <w:r w:rsidRPr="005F34E5">
        <w:t xml:space="preserve"> Daclatasvir plus sofosbuvir with </w:t>
      </w:r>
      <w:r>
        <w:t>or</w:t>
      </w:r>
      <w:r w:rsidRPr="005F34E5">
        <w:t xml:space="preserve"> without ribavirin for the treatment of HCV in patients with severe liver disease: interim results of a multicen</w:t>
      </w:r>
      <w:r>
        <w:t xml:space="preserve">ter compassionate use program. </w:t>
      </w:r>
      <w:r w:rsidRPr="005F34E5">
        <w:t>EASL - The International Liver Congress Vienna, Austria 2015.</w:t>
      </w:r>
    </w:p>
  </w:footnote>
  <w:footnote w:id="5">
    <w:p w:rsidR="00CE5969" w:rsidRDefault="00CE5969" w:rsidP="00C71E74">
      <w:pPr>
        <w:pStyle w:val="FootnoteText"/>
      </w:pPr>
      <w:r w:rsidRPr="000D3DFD">
        <w:rPr>
          <w:rStyle w:val="FootnoteReference"/>
          <w:vertAlign w:val="baseline"/>
        </w:rPr>
        <w:footnoteRef/>
      </w:r>
      <w:r>
        <w:t xml:space="preserve"> </w:t>
      </w:r>
      <w:r w:rsidRPr="000D3DFD">
        <w:fldChar w:fldCharType="begin">
          <w:fldData xml:space="preserve">PEVuZE5vdGU+PENpdGU+PEF1dGhvcj5CcnVnZ21hbm48L0F1dGhvcj48WWVhcj4yMDE0PC9ZZWFy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</w:fldData>
        </w:fldChar>
      </w:r>
      <w:r w:rsidRPr="000D3DFD">
        <w:instrText xml:space="preserve"> ADDIN EN.CITE </w:instrText>
      </w:r>
      <w:r w:rsidRPr="000D3DFD">
        <w:fldChar w:fldCharType="begin">
          <w:fldData xml:space="preserve">PEVuZE5vdGU+PENpdGU+PEF1dGhvcj5CcnVnZ21hbm48L0F1dGhvcj48WWVhcj4yMDE0PC9ZZWFy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</w:fldData>
        </w:fldChar>
      </w:r>
      <w:r w:rsidRPr="000D3DFD">
        <w:instrText xml:space="preserve"> ADDIN EN.CITE.DATA </w:instrText>
      </w:r>
      <w:r w:rsidRPr="000D3DFD">
        <w:fldChar w:fldCharType="end"/>
      </w:r>
      <w:r w:rsidRPr="000D3DFD">
        <w:fldChar w:fldCharType="separate"/>
      </w:r>
      <w:r w:rsidRPr="000D3DFD">
        <w:rPr>
          <w:noProof/>
        </w:rPr>
        <w:t xml:space="preserve">Bruggmann P, Berg T, et al. Historical epidemiology of hepatitis C virus (HCV) in selected countries. Journal of viral hepatitis. 2014;21 Suppl 1:5-33. </w:t>
      </w:r>
      <w:r w:rsidRPr="000D3DFD">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69" w:rsidRPr="00BE15D7" w:rsidRDefault="00CE5969" w:rsidP="001B3B85">
    <w:pPr>
      <w:pStyle w:val="Header"/>
      <w:jc w:val="center"/>
      <w:rPr>
        <w:szCs w:val="22"/>
      </w:rPr>
    </w:pPr>
    <w:r w:rsidRPr="00BE15D7">
      <w:rPr>
        <w:i/>
        <w:color w:val="808080"/>
        <w:szCs w:val="22"/>
      </w:rPr>
      <w:t>Public Summary Document – November 2015 PBAC Meeting</w:t>
    </w:r>
  </w:p>
  <w:p w:rsidR="00CE5969" w:rsidRDefault="00CE5969" w:rsidP="0046531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FFC"/>
    <w:multiLevelType w:val="hybridMultilevel"/>
    <w:tmpl w:val="E9FC1EC8"/>
    <w:lvl w:ilvl="0" w:tplc="2ECE06EC">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424669"/>
    <w:multiLevelType w:val="hybridMultilevel"/>
    <w:tmpl w:val="31864C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DBF0344"/>
    <w:multiLevelType w:val="hybridMultilevel"/>
    <w:tmpl w:val="D7322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121438CD"/>
    <w:multiLevelType w:val="hybridMultilevel"/>
    <w:tmpl w:val="90627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BE61FD"/>
    <w:multiLevelType w:val="hybridMultilevel"/>
    <w:tmpl w:val="E262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0629DE"/>
    <w:multiLevelType w:val="hybridMultilevel"/>
    <w:tmpl w:val="E96A4C3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352337E"/>
    <w:multiLevelType w:val="hybridMultilevel"/>
    <w:tmpl w:val="594ABEB8"/>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952C62"/>
    <w:multiLevelType w:val="hybridMultilevel"/>
    <w:tmpl w:val="B72EE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D90A67"/>
    <w:multiLevelType w:val="hybridMultilevel"/>
    <w:tmpl w:val="2AE60FA4"/>
    <w:lvl w:ilvl="0" w:tplc="0C090001">
      <w:start w:val="1"/>
      <w:numFmt w:val="bullet"/>
      <w:lvlText w:val=""/>
      <w:lvlJc w:val="left"/>
      <w:pPr>
        <w:ind w:left="1507" w:hanging="360"/>
      </w:pPr>
      <w:rPr>
        <w:rFonts w:ascii="Symbol" w:hAnsi="Symbol" w:hint="default"/>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9">
    <w:nsid w:val="312E5BA3"/>
    <w:multiLevelType w:val="hybridMultilevel"/>
    <w:tmpl w:val="9056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8B667C5"/>
    <w:multiLevelType w:val="hybridMultilevel"/>
    <w:tmpl w:val="78AE2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7C34E2"/>
    <w:multiLevelType w:val="hybridMultilevel"/>
    <w:tmpl w:val="FEAA5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1495"/>
    <w:multiLevelType w:val="hybridMultilevel"/>
    <w:tmpl w:val="48069CC4"/>
    <w:lvl w:ilvl="0" w:tplc="0C090001">
      <w:start w:val="1"/>
      <w:numFmt w:val="bullet"/>
      <w:lvlText w:val=""/>
      <w:lvlJc w:val="left"/>
      <w:pPr>
        <w:ind w:left="1440" w:hanging="360"/>
      </w:pPr>
      <w:rPr>
        <w:rFonts w:ascii="Symbol" w:hAnsi="Symbol" w:hint="default"/>
      </w:rPr>
    </w:lvl>
    <w:lvl w:ilvl="1" w:tplc="5D4EED54">
      <w:numFmt w:val="bullet"/>
      <w:lvlText w:val="-"/>
      <w:lvlJc w:val="left"/>
      <w:pPr>
        <w:ind w:left="2160" w:hanging="36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D2E4302"/>
    <w:multiLevelType w:val="hybridMultilevel"/>
    <w:tmpl w:val="B01EFC4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43FF3D96"/>
    <w:multiLevelType w:val="hybridMultilevel"/>
    <w:tmpl w:val="3DC8A0F6"/>
    <w:lvl w:ilvl="0" w:tplc="0C090001">
      <w:start w:val="1"/>
      <w:numFmt w:val="bullet"/>
      <w:lvlText w:val=""/>
      <w:lvlJc w:val="left"/>
      <w:pPr>
        <w:ind w:left="1080" w:hanging="360"/>
      </w:pPr>
      <w:rPr>
        <w:rFonts w:ascii="Symbol" w:hAnsi="Symbol" w:hint="default"/>
      </w:rPr>
    </w:lvl>
    <w:lvl w:ilvl="1" w:tplc="5D4EED54">
      <w:numFmt w:val="bullet"/>
      <w:lvlText w:val="-"/>
      <w:lvlJc w:val="left"/>
      <w:pPr>
        <w:ind w:left="1800" w:hanging="36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7555CA2"/>
    <w:multiLevelType w:val="hybridMultilevel"/>
    <w:tmpl w:val="E7DCA8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6E8F33BB"/>
    <w:multiLevelType w:val="hybridMultilevel"/>
    <w:tmpl w:val="B9128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84D033C"/>
    <w:multiLevelType w:val="multilevel"/>
    <w:tmpl w:val="B5C6EA9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EF55792"/>
    <w:multiLevelType w:val="hybridMultilevel"/>
    <w:tmpl w:val="70A6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1"/>
  </w:num>
  <w:num w:numId="4">
    <w:abstractNumId w:val="12"/>
  </w:num>
  <w:num w:numId="5">
    <w:abstractNumId w:val="20"/>
  </w:num>
  <w:num w:numId="6">
    <w:abstractNumId w:val="10"/>
  </w:num>
  <w:num w:numId="7">
    <w:abstractNumId w:val="19"/>
  </w:num>
  <w:num w:numId="8">
    <w:abstractNumId w:val="6"/>
  </w:num>
  <w:num w:numId="9">
    <w:abstractNumId w:val="11"/>
  </w:num>
  <w:num w:numId="10">
    <w:abstractNumId w:val="16"/>
  </w:num>
  <w:num w:numId="11">
    <w:abstractNumId w:val="14"/>
  </w:num>
  <w:num w:numId="12">
    <w:abstractNumId w:val="17"/>
  </w:num>
  <w:num w:numId="13">
    <w:abstractNumId w:val="1"/>
  </w:num>
  <w:num w:numId="14">
    <w:abstractNumId w:val="7"/>
  </w:num>
  <w:num w:numId="15">
    <w:abstractNumId w:val="13"/>
  </w:num>
  <w:num w:numId="16">
    <w:abstractNumId w:val="5"/>
  </w:num>
  <w:num w:numId="17">
    <w:abstractNumId w:val="4"/>
  </w:num>
  <w:num w:numId="18">
    <w:abstractNumId w:val="9"/>
  </w:num>
  <w:num w:numId="19">
    <w:abstractNumId w:val="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num>
  <w:num w:numId="23">
    <w:abstractNumId w:val="2"/>
  </w:num>
  <w:num w:numId="24">
    <w:abstractNumId w:val="8"/>
  </w:num>
  <w:num w:numId="25">
    <w:abstractNumId w:val="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 Narrow&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592ea9tx9z58et9xkxszapwzx2svzz0wfx&quot;&gt;Daclatasvir Copy&lt;record-ids&gt;&lt;item&gt;7&lt;/item&gt;&lt;item&gt;58&lt;/item&gt;&lt;item&gt;80&lt;/item&gt;&lt;item&gt;89&lt;/item&gt;&lt;item&gt;93&lt;/item&gt;&lt;item&gt;94&lt;/item&gt;&lt;item&gt;97&lt;/item&gt;&lt;item&gt;110&lt;/item&gt;&lt;item&gt;111&lt;/item&gt;&lt;item&gt;112&lt;/item&gt;&lt;/record-ids&gt;&lt;/item&gt;&lt;/Libraries&gt;"/>
  </w:docVars>
  <w:rsids>
    <w:rsidRoot w:val="00E65E79"/>
    <w:rsid w:val="00000790"/>
    <w:rsid w:val="0000110B"/>
    <w:rsid w:val="00002976"/>
    <w:rsid w:val="00004038"/>
    <w:rsid w:val="000076F7"/>
    <w:rsid w:val="00013247"/>
    <w:rsid w:val="00015886"/>
    <w:rsid w:val="000162EF"/>
    <w:rsid w:val="000177B8"/>
    <w:rsid w:val="0002225F"/>
    <w:rsid w:val="00023763"/>
    <w:rsid w:val="00024642"/>
    <w:rsid w:val="000247D4"/>
    <w:rsid w:val="0002632E"/>
    <w:rsid w:val="000271BF"/>
    <w:rsid w:val="00033C2F"/>
    <w:rsid w:val="00037DC1"/>
    <w:rsid w:val="00040895"/>
    <w:rsid w:val="0004231D"/>
    <w:rsid w:val="0004274E"/>
    <w:rsid w:val="00043234"/>
    <w:rsid w:val="00043C37"/>
    <w:rsid w:val="00044F17"/>
    <w:rsid w:val="00047004"/>
    <w:rsid w:val="00053AF1"/>
    <w:rsid w:val="00053F91"/>
    <w:rsid w:val="000546D7"/>
    <w:rsid w:val="0005767B"/>
    <w:rsid w:val="0006184D"/>
    <w:rsid w:val="00062111"/>
    <w:rsid w:val="000649EC"/>
    <w:rsid w:val="00066B5E"/>
    <w:rsid w:val="000675BA"/>
    <w:rsid w:val="00071248"/>
    <w:rsid w:val="000720B9"/>
    <w:rsid w:val="000735D0"/>
    <w:rsid w:val="000748DE"/>
    <w:rsid w:val="000749D4"/>
    <w:rsid w:val="00074DD7"/>
    <w:rsid w:val="00074FBA"/>
    <w:rsid w:val="000758C2"/>
    <w:rsid w:val="0007709B"/>
    <w:rsid w:val="000812CA"/>
    <w:rsid w:val="00081519"/>
    <w:rsid w:val="00083878"/>
    <w:rsid w:val="00084BBB"/>
    <w:rsid w:val="000850B3"/>
    <w:rsid w:val="00085DBB"/>
    <w:rsid w:val="00087999"/>
    <w:rsid w:val="00090C7E"/>
    <w:rsid w:val="00092705"/>
    <w:rsid w:val="000960EB"/>
    <w:rsid w:val="000968AF"/>
    <w:rsid w:val="000A1768"/>
    <w:rsid w:val="000A1E4E"/>
    <w:rsid w:val="000A3A6E"/>
    <w:rsid w:val="000A557B"/>
    <w:rsid w:val="000B4539"/>
    <w:rsid w:val="000B61CC"/>
    <w:rsid w:val="000B6612"/>
    <w:rsid w:val="000B7697"/>
    <w:rsid w:val="000B7E0A"/>
    <w:rsid w:val="000C2091"/>
    <w:rsid w:val="000D1AF5"/>
    <w:rsid w:val="000D1BFC"/>
    <w:rsid w:val="000D3097"/>
    <w:rsid w:val="000D38D3"/>
    <w:rsid w:val="000D3DFD"/>
    <w:rsid w:val="000D50CB"/>
    <w:rsid w:val="000E00FF"/>
    <w:rsid w:val="000E08D9"/>
    <w:rsid w:val="000E181E"/>
    <w:rsid w:val="000E516F"/>
    <w:rsid w:val="000E5536"/>
    <w:rsid w:val="000E7C8B"/>
    <w:rsid w:val="000F0DCE"/>
    <w:rsid w:val="000F6F95"/>
    <w:rsid w:val="000F7B58"/>
    <w:rsid w:val="000F7CD0"/>
    <w:rsid w:val="001006D6"/>
    <w:rsid w:val="00100F8A"/>
    <w:rsid w:val="0010156E"/>
    <w:rsid w:val="00101E81"/>
    <w:rsid w:val="0010297B"/>
    <w:rsid w:val="00105FA8"/>
    <w:rsid w:val="0011032E"/>
    <w:rsid w:val="00113733"/>
    <w:rsid w:val="00115AD2"/>
    <w:rsid w:val="00115BEB"/>
    <w:rsid w:val="00117033"/>
    <w:rsid w:val="0011714C"/>
    <w:rsid w:val="00117E8E"/>
    <w:rsid w:val="00121799"/>
    <w:rsid w:val="001222FC"/>
    <w:rsid w:val="0012291A"/>
    <w:rsid w:val="00122ACD"/>
    <w:rsid w:val="0012490D"/>
    <w:rsid w:val="00124A51"/>
    <w:rsid w:val="00126621"/>
    <w:rsid w:val="00126F7D"/>
    <w:rsid w:val="001301E9"/>
    <w:rsid w:val="00131512"/>
    <w:rsid w:val="00132ACA"/>
    <w:rsid w:val="00135494"/>
    <w:rsid w:val="00135E1A"/>
    <w:rsid w:val="0013613F"/>
    <w:rsid w:val="001366A3"/>
    <w:rsid w:val="00137645"/>
    <w:rsid w:val="00137B63"/>
    <w:rsid w:val="0014015A"/>
    <w:rsid w:val="00140863"/>
    <w:rsid w:val="00140E99"/>
    <w:rsid w:val="001454FF"/>
    <w:rsid w:val="001455C0"/>
    <w:rsid w:val="001456B0"/>
    <w:rsid w:val="0014657A"/>
    <w:rsid w:val="00146BF8"/>
    <w:rsid w:val="00150750"/>
    <w:rsid w:val="00151F64"/>
    <w:rsid w:val="00152F61"/>
    <w:rsid w:val="0015677D"/>
    <w:rsid w:val="00157130"/>
    <w:rsid w:val="001610F5"/>
    <w:rsid w:val="00161412"/>
    <w:rsid w:val="00162913"/>
    <w:rsid w:val="00163B98"/>
    <w:rsid w:val="00163EFF"/>
    <w:rsid w:val="001655C5"/>
    <w:rsid w:val="001661FB"/>
    <w:rsid w:val="0016688A"/>
    <w:rsid w:val="00166A22"/>
    <w:rsid w:val="001712FD"/>
    <w:rsid w:val="00173183"/>
    <w:rsid w:val="00173F2B"/>
    <w:rsid w:val="00174494"/>
    <w:rsid w:val="001760A3"/>
    <w:rsid w:val="001769B8"/>
    <w:rsid w:val="00176C71"/>
    <w:rsid w:val="00180884"/>
    <w:rsid w:val="001811A7"/>
    <w:rsid w:val="00185AC2"/>
    <w:rsid w:val="00191590"/>
    <w:rsid w:val="00192A06"/>
    <w:rsid w:val="00193033"/>
    <w:rsid w:val="00195222"/>
    <w:rsid w:val="001971A6"/>
    <w:rsid w:val="001975D8"/>
    <w:rsid w:val="001978A9"/>
    <w:rsid w:val="001A0026"/>
    <w:rsid w:val="001A0C34"/>
    <w:rsid w:val="001A782F"/>
    <w:rsid w:val="001A79A7"/>
    <w:rsid w:val="001A7B1C"/>
    <w:rsid w:val="001A7BFB"/>
    <w:rsid w:val="001B1397"/>
    <w:rsid w:val="001B2D68"/>
    <w:rsid w:val="001B2F3A"/>
    <w:rsid w:val="001B3443"/>
    <w:rsid w:val="001B387C"/>
    <w:rsid w:val="001B3B85"/>
    <w:rsid w:val="001B4C03"/>
    <w:rsid w:val="001B5AA0"/>
    <w:rsid w:val="001B6188"/>
    <w:rsid w:val="001B7992"/>
    <w:rsid w:val="001C0039"/>
    <w:rsid w:val="001C0D2E"/>
    <w:rsid w:val="001C1030"/>
    <w:rsid w:val="001C1B5E"/>
    <w:rsid w:val="001C2AD9"/>
    <w:rsid w:val="001C6BCC"/>
    <w:rsid w:val="001C6E66"/>
    <w:rsid w:val="001C7B02"/>
    <w:rsid w:val="001D0165"/>
    <w:rsid w:val="001D112E"/>
    <w:rsid w:val="001D1689"/>
    <w:rsid w:val="001D20D7"/>
    <w:rsid w:val="001D393B"/>
    <w:rsid w:val="001D3DC6"/>
    <w:rsid w:val="001D4219"/>
    <w:rsid w:val="001D497C"/>
    <w:rsid w:val="001D4C85"/>
    <w:rsid w:val="001D55F8"/>
    <w:rsid w:val="001D6C91"/>
    <w:rsid w:val="001E2266"/>
    <w:rsid w:val="001E238E"/>
    <w:rsid w:val="001E2D4A"/>
    <w:rsid w:val="001E36ED"/>
    <w:rsid w:val="001E52EB"/>
    <w:rsid w:val="001E62F6"/>
    <w:rsid w:val="001E740C"/>
    <w:rsid w:val="001F04C9"/>
    <w:rsid w:val="001F098D"/>
    <w:rsid w:val="001F0B5C"/>
    <w:rsid w:val="001F0FCC"/>
    <w:rsid w:val="001F1235"/>
    <w:rsid w:val="001F1BD8"/>
    <w:rsid w:val="001F1CB3"/>
    <w:rsid w:val="001F28EF"/>
    <w:rsid w:val="001F4441"/>
    <w:rsid w:val="001F5CB3"/>
    <w:rsid w:val="001F6C1E"/>
    <w:rsid w:val="001F7361"/>
    <w:rsid w:val="002025FE"/>
    <w:rsid w:val="0020718A"/>
    <w:rsid w:val="002105C1"/>
    <w:rsid w:val="00211EA7"/>
    <w:rsid w:val="00212CC9"/>
    <w:rsid w:val="00213A1E"/>
    <w:rsid w:val="00214B1F"/>
    <w:rsid w:val="0021575C"/>
    <w:rsid w:val="002178ED"/>
    <w:rsid w:val="00221EE5"/>
    <w:rsid w:val="00222950"/>
    <w:rsid w:val="00223B49"/>
    <w:rsid w:val="00223E11"/>
    <w:rsid w:val="00224DD4"/>
    <w:rsid w:val="00225DE8"/>
    <w:rsid w:val="002309CC"/>
    <w:rsid w:val="00230B65"/>
    <w:rsid w:val="00233169"/>
    <w:rsid w:val="002339D4"/>
    <w:rsid w:val="00240853"/>
    <w:rsid w:val="002438C3"/>
    <w:rsid w:val="00244693"/>
    <w:rsid w:val="002446C0"/>
    <w:rsid w:val="002456E3"/>
    <w:rsid w:val="002521D0"/>
    <w:rsid w:val="00252C4B"/>
    <w:rsid w:val="00253D8A"/>
    <w:rsid w:val="002540A2"/>
    <w:rsid w:val="00254168"/>
    <w:rsid w:val="0025534B"/>
    <w:rsid w:val="00255B7D"/>
    <w:rsid w:val="00255BB7"/>
    <w:rsid w:val="002570C5"/>
    <w:rsid w:val="00260F81"/>
    <w:rsid w:val="00262A87"/>
    <w:rsid w:val="00262B77"/>
    <w:rsid w:val="00262F8E"/>
    <w:rsid w:val="00263844"/>
    <w:rsid w:val="00264BB4"/>
    <w:rsid w:val="00265CAB"/>
    <w:rsid w:val="002678C4"/>
    <w:rsid w:val="00267D85"/>
    <w:rsid w:val="00267FB7"/>
    <w:rsid w:val="00270D0C"/>
    <w:rsid w:val="002758C4"/>
    <w:rsid w:val="00275C5A"/>
    <w:rsid w:val="00276AA6"/>
    <w:rsid w:val="0028010E"/>
    <w:rsid w:val="00281D76"/>
    <w:rsid w:val="00285BB4"/>
    <w:rsid w:val="00290E94"/>
    <w:rsid w:val="00290F09"/>
    <w:rsid w:val="00290FA1"/>
    <w:rsid w:val="00292434"/>
    <w:rsid w:val="00296E06"/>
    <w:rsid w:val="00297309"/>
    <w:rsid w:val="002A14AB"/>
    <w:rsid w:val="002A3872"/>
    <w:rsid w:val="002A4A08"/>
    <w:rsid w:val="002A518C"/>
    <w:rsid w:val="002A58A8"/>
    <w:rsid w:val="002A7FEB"/>
    <w:rsid w:val="002B1C1F"/>
    <w:rsid w:val="002B207C"/>
    <w:rsid w:val="002B432F"/>
    <w:rsid w:val="002B6129"/>
    <w:rsid w:val="002B651F"/>
    <w:rsid w:val="002B6CCE"/>
    <w:rsid w:val="002B75CC"/>
    <w:rsid w:val="002C0F3A"/>
    <w:rsid w:val="002C27C1"/>
    <w:rsid w:val="002C353A"/>
    <w:rsid w:val="002C361A"/>
    <w:rsid w:val="002C4373"/>
    <w:rsid w:val="002C7AC3"/>
    <w:rsid w:val="002D07CF"/>
    <w:rsid w:val="002D1C9E"/>
    <w:rsid w:val="002D2E5C"/>
    <w:rsid w:val="002D6075"/>
    <w:rsid w:val="002D6571"/>
    <w:rsid w:val="002E18C6"/>
    <w:rsid w:val="002E370E"/>
    <w:rsid w:val="002E66E4"/>
    <w:rsid w:val="002F03A8"/>
    <w:rsid w:val="002F126E"/>
    <w:rsid w:val="002F1A4B"/>
    <w:rsid w:val="002F4666"/>
    <w:rsid w:val="002F5193"/>
    <w:rsid w:val="002F5820"/>
    <w:rsid w:val="002F5C43"/>
    <w:rsid w:val="002F6654"/>
    <w:rsid w:val="002F7928"/>
    <w:rsid w:val="00301017"/>
    <w:rsid w:val="00302704"/>
    <w:rsid w:val="003030C3"/>
    <w:rsid w:val="00306A7A"/>
    <w:rsid w:val="0030786C"/>
    <w:rsid w:val="0031031A"/>
    <w:rsid w:val="003135B1"/>
    <w:rsid w:val="00315498"/>
    <w:rsid w:val="00322B4B"/>
    <w:rsid w:val="00322DE8"/>
    <w:rsid w:val="00324411"/>
    <w:rsid w:val="003247A8"/>
    <w:rsid w:val="003275C4"/>
    <w:rsid w:val="00327F1E"/>
    <w:rsid w:val="00330C5D"/>
    <w:rsid w:val="003345EB"/>
    <w:rsid w:val="0033589D"/>
    <w:rsid w:val="00335EB0"/>
    <w:rsid w:val="003366C9"/>
    <w:rsid w:val="00336CAE"/>
    <w:rsid w:val="003432EC"/>
    <w:rsid w:val="00343856"/>
    <w:rsid w:val="00343CAA"/>
    <w:rsid w:val="003476AB"/>
    <w:rsid w:val="0035049B"/>
    <w:rsid w:val="00351D08"/>
    <w:rsid w:val="003522A1"/>
    <w:rsid w:val="0035620E"/>
    <w:rsid w:val="00362591"/>
    <w:rsid w:val="0036287E"/>
    <w:rsid w:val="00362E3A"/>
    <w:rsid w:val="003650EC"/>
    <w:rsid w:val="00365887"/>
    <w:rsid w:val="00367D10"/>
    <w:rsid w:val="00371E2B"/>
    <w:rsid w:val="003746B0"/>
    <w:rsid w:val="003750BD"/>
    <w:rsid w:val="00376058"/>
    <w:rsid w:val="0037615F"/>
    <w:rsid w:val="003777A3"/>
    <w:rsid w:val="0038365C"/>
    <w:rsid w:val="0038793B"/>
    <w:rsid w:val="00390313"/>
    <w:rsid w:val="00393F75"/>
    <w:rsid w:val="0039525D"/>
    <w:rsid w:val="00395F8A"/>
    <w:rsid w:val="00396FD0"/>
    <w:rsid w:val="00397B81"/>
    <w:rsid w:val="003A1A7A"/>
    <w:rsid w:val="003A2C74"/>
    <w:rsid w:val="003A3102"/>
    <w:rsid w:val="003A3A62"/>
    <w:rsid w:val="003A63E4"/>
    <w:rsid w:val="003A666E"/>
    <w:rsid w:val="003B02A9"/>
    <w:rsid w:val="003B09D4"/>
    <w:rsid w:val="003B16C3"/>
    <w:rsid w:val="003B4A3F"/>
    <w:rsid w:val="003B57CB"/>
    <w:rsid w:val="003B75E5"/>
    <w:rsid w:val="003C0FBE"/>
    <w:rsid w:val="003C135C"/>
    <w:rsid w:val="003C156F"/>
    <w:rsid w:val="003C32E7"/>
    <w:rsid w:val="003C4096"/>
    <w:rsid w:val="003C5BD8"/>
    <w:rsid w:val="003C66A3"/>
    <w:rsid w:val="003C6ED5"/>
    <w:rsid w:val="003D1828"/>
    <w:rsid w:val="003D1B1E"/>
    <w:rsid w:val="003D2144"/>
    <w:rsid w:val="003D2422"/>
    <w:rsid w:val="003D278D"/>
    <w:rsid w:val="003D34D8"/>
    <w:rsid w:val="003D5346"/>
    <w:rsid w:val="003E3D2E"/>
    <w:rsid w:val="003E4201"/>
    <w:rsid w:val="003E5867"/>
    <w:rsid w:val="003E7EAC"/>
    <w:rsid w:val="003F1CE6"/>
    <w:rsid w:val="003F20C1"/>
    <w:rsid w:val="003F3D8F"/>
    <w:rsid w:val="003F4156"/>
    <w:rsid w:val="003F6965"/>
    <w:rsid w:val="003F6F3F"/>
    <w:rsid w:val="004022BE"/>
    <w:rsid w:val="0040253A"/>
    <w:rsid w:val="00402889"/>
    <w:rsid w:val="00402E51"/>
    <w:rsid w:val="004038B5"/>
    <w:rsid w:val="00406EA0"/>
    <w:rsid w:val="0040772D"/>
    <w:rsid w:val="004102AF"/>
    <w:rsid w:val="00410EC7"/>
    <w:rsid w:val="00413A78"/>
    <w:rsid w:val="00413EEC"/>
    <w:rsid w:val="00414476"/>
    <w:rsid w:val="00420B9F"/>
    <w:rsid w:val="00422A4C"/>
    <w:rsid w:val="00423BA8"/>
    <w:rsid w:val="00423E18"/>
    <w:rsid w:val="004253C5"/>
    <w:rsid w:val="00425CB2"/>
    <w:rsid w:val="00426025"/>
    <w:rsid w:val="004265FC"/>
    <w:rsid w:val="0043036B"/>
    <w:rsid w:val="00430733"/>
    <w:rsid w:val="004319F8"/>
    <w:rsid w:val="00431F2C"/>
    <w:rsid w:val="00432E14"/>
    <w:rsid w:val="00433939"/>
    <w:rsid w:val="00433C86"/>
    <w:rsid w:val="00434A42"/>
    <w:rsid w:val="00437242"/>
    <w:rsid w:val="0043776F"/>
    <w:rsid w:val="0044029B"/>
    <w:rsid w:val="00440F4B"/>
    <w:rsid w:val="00441585"/>
    <w:rsid w:val="00442FCD"/>
    <w:rsid w:val="00443EEB"/>
    <w:rsid w:val="004440A4"/>
    <w:rsid w:val="004443A7"/>
    <w:rsid w:val="004443CD"/>
    <w:rsid w:val="00444C00"/>
    <w:rsid w:val="004464EB"/>
    <w:rsid w:val="0044771F"/>
    <w:rsid w:val="00447A64"/>
    <w:rsid w:val="00454BF3"/>
    <w:rsid w:val="00455D45"/>
    <w:rsid w:val="00456238"/>
    <w:rsid w:val="004603DE"/>
    <w:rsid w:val="004608AE"/>
    <w:rsid w:val="004615EE"/>
    <w:rsid w:val="0046335F"/>
    <w:rsid w:val="0046340F"/>
    <w:rsid w:val="00464595"/>
    <w:rsid w:val="0046531C"/>
    <w:rsid w:val="00466082"/>
    <w:rsid w:val="00466CB4"/>
    <w:rsid w:val="00467F74"/>
    <w:rsid w:val="004711DF"/>
    <w:rsid w:val="00471715"/>
    <w:rsid w:val="00471C15"/>
    <w:rsid w:val="00471E84"/>
    <w:rsid w:val="00472359"/>
    <w:rsid w:val="004728FD"/>
    <w:rsid w:val="0047456A"/>
    <w:rsid w:val="0047521B"/>
    <w:rsid w:val="00476CC3"/>
    <w:rsid w:val="0047750E"/>
    <w:rsid w:val="00477640"/>
    <w:rsid w:val="00477ED6"/>
    <w:rsid w:val="00480E3D"/>
    <w:rsid w:val="00483888"/>
    <w:rsid w:val="004858BD"/>
    <w:rsid w:val="00486545"/>
    <w:rsid w:val="004867E2"/>
    <w:rsid w:val="004871A0"/>
    <w:rsid w:val="00490728"/>
    <w:rsid w:val="00491B3A"/>
    <w:rsid w:val="004936C9"/>
    <w:rsid w:val="00496AEA"/>
    <w:rsid w:val="00497204"/>
    <w:rsid w:val="00497F10"/>
    <w:rsid w:val="004A0CA0"/>
    <w:rsid w:val="004A0DA1"/>
    <w:rsid w:val="004A2799"/>
    <w:rsid w:val="004A34A6"/>
    <w:rsid w:val="004A5D83"/>
    <w:rsid w:val="004A6597"/>
    <w:rsid w:val="004A7338"/>
    <w:rsid w:val="004A7880"/>
    <w:rsid w:val="004B249A"/>
    <w:rsid w:val="004B2A27"/>
    <w:rsid w:val="004B2F18"/>
    <w:rsid w:val="004B3DDB"/>
    <w:rsid w:val="004B44FD"/>
    <w:rsid w:val="004B5CFC"/>
    <w:rsid w:val="004B608F"/>
    <w:rsid w:val="004B6228"/>
    <w:rsid w:val="004B7D55"/>
    <w:rsid w:val="004C495E"/>
    <w:rsid w:val="004C4AED"/>
    <w:rsid w:val="004C5A86"/>
    <w:rsid w:val="004C62FB"/>
    <w:rsid w:val="004C68CC"/>
    <w:rsid w:val="004D568F"/>
    <w:rsid w:val="004D5F63"/>
    <w:rsid w:val="004D5F72"/>
    <w:rsid w:val="004E0C5C"/>
    <w:rsid w:val="004E0EB8"/>
    <w:rsid w:val="004E2278"/>
    <w:rsid w:val="004E2ADC"/>
    <w:rsid w:val="004E318B"/>
    <w:rsid w:val="004E505B"/>
    <w:rsid w:val="004E5CB8"/>
    <w:rsid w:val="004E66EC"/>
    <w:rsid w:val="004F1D02"/>
    <w:rsid w:val="004F21FA"/>
    <w:rsid w:val="004F2679"/>
    <w:rsid w:val="004F296F"/>
    <w:rsid w:val="004F61D3"/>
    <w:rsid w:val="004F78E3"/>
    <w:rsid w:val="004F7F63"/>
    <w:rsid w:val="005008E1"/>
    <w:rsid w:val="00500C51"/>
    <w:rsid w:val="00501471"/>
    <w:rsid w:val="00501831"/>
    <w:rsid w:val="00502310"/>
    <w:rsid w:val="00502E7A"/>
    <w:rsid w:val="005030A0"/>
    <w:rsid w:val="00503F2C"/>
    <w:rsid w:val="00506E16"/>
    <w:rsid w:val="0051320D"/>
    <w:rsid w:val="005142B8"/>
    <w:rsid w:val="005152B5"/>
    <w:rsid w:val="00515995"/>
    <w:rsid w:val="00516B04"/>
    <w:rsid w:val="00521319"/>
    <w:rsid w:val="00521660"/>
    <w:rsid w:val="00523C28"/>
    <w:rsid w:val="00524A35"/>
    <w:rsid w:val="00526433"/>
    <w:rsid w:val="005272A0"/>
    <w:rsid w:val="00535147"/>
    <w:rsid w:val="005354A9"/>
    <w:rsid w:val="00536A77"/>
    <w:rsid w:val="00537110"/>
    <w:rsid w:val="00540B29"/>
    <w:rsid w:val="00540BDA"/>
    <w:rsid w:val="005418A0"/>
    <w:rsid w:val="00542544"/>
    <w:rsid w:val="0054353B"/>
    <w:rsid w:val="00543C7E"/>
    <w:rsid w:val="005449AA"/>
    <w:rsid w:val="005468D2"/>
    <w:rsid w:val="005472F5"/>
    <w:rsid w:val="0055022E"/>
    <w:rsid w:val="0055193B"/>
    <w:rsid w:val="0055225E"/>
    <w:rsid w:val="00553C10"/>
    <w:rsid w:val="00555109"/>
    <w:rsid w:val="00555889"/>
    <w:rsid w:val="00557681"/>
    <w:rsid w:val="0056028A"/>
    <w:rsid w:val="0056276A"/>
    <w:rsid w:val="00562F47"/>
    <w:rsid w:val="005641BC"/>
    <w:rsid w:val="00564B28"/>
    <w:rsid w:val="0056696F"/>
    <w:rsid w:val="00566FC1"/>
    <w:rsid w:val="00567137"/>
    <w:rsid w:val="00571E83"/>
    <w:rsid w:val="0057340C"/>
    <w:rsid w:val="00575766"/>
    <w:rsid w:val="00575E4D"/>
    <w:rsid w:val="00576889"/>
    <w:rsid w:val="00576972"/>
    <w:rsid w:val="00576E32"/>
    <w:rsid w:val="00577717"/>
    <w:rsid w:val="005777FB"/>
    <w:rsid w:val="005801E9"/>
    <w:rsid w:val="0058167F"/>
    <w:rsid w:val="00582266"/>
    <w:rsid w:val="00583699"/>
    <w:rsid w:val="0058442B"/>
    <w:rsid w:val="005863D0"/>
    <w:rsid w:val="00595780"/>
    <w:rsid w:val="00595CAD"/>
    <w:rsid w:val="005A1997"/>
    <w:rsid w:val="005A2832"/>
    <w:rsid w:val="005A41B1"/>
    <w:rsid w:val="005A469B"/>
    <w:rsid w:val="005A4768"/>
    <w:rsid w:val="005A5CC0"/>
    <w:rsid w:val="005A5DFA"/>
    <w:rsid w:val="005A7819"/>
    <w:rsid w:val="005A7F5C"/>
    <w:rsid w:val="005B0BFE"/>
    <w:rsid w:val="005B1A8F"/>
    <w:rsid w:val="005B217B"/>
    <w:rsid w:val="005B2A09"/>
    <w:rsid w:val="005B4D1F"/>
    <w:rsid w:val="005B5857"/>
    <w:rsid w:val="005C03A8"/>
    <w:rsid w:val="005C1792"/>
    <w:rsid w:val="005C1B83"/>
    <w:rsid w:val="005C1F21"/>
    <w:rsid w:val="005C346B"/>
    <w:rsid w:val="005C540C"/>
    <w:rsid w:val="005C691B"/>
    <w:rsid w:val="005D0248"/>
    <w:rsid w:val="005D18AD"/>
    <w:rsid w:val="005D251D"/>
    <w:rsid w:val="005D2716"/>
    <w:rsid w:val="005D3731"/>
    <w:rsid w:val="005D4E04"/>
    <w:rsid w:val="005D649C"/>
    <w:rsid w:val="005D7175"/>
    <w:rsid w:val="005D7E3E"/>
    <w:rsid w:val="005E08EB"/>
    <w:rsid w:val="005E2CE6"/>
    <w:rsid w:val="005E40BC"/>
    <w:rsid w:val="005E41E4"/>
    <w:rsid w:val="005E4EC6"/>
    <w:rsid w:val="005E6EB6"/>
    <w:rsid w:val="005E7848"/>
    <w:rsid w:val="005F181C"/>
    <w:rsid w:val="005F2706"/>
    <w:rsid w:val="005F34E5"/>
    <w:rsid w:val="005F3C82"/>
    <w:rsid w:val="005F4D7C"/>
    <w:rsid w:val="005F6A8F"/>
    <w:rsid w:val="005F7F22"/>
    <w:rsid w:val="00601CE2"/>
    <w:rsid w:val="00601F95"/>
    <w:rsid w:val="00602089"/>
    <w:rsid w:val="00602AD5"/>
    <w:rsid w:val="00603F93"/>
    <w:rsid w:val="00604B4D"/>
    <w:rsid w:val="0060550A"/>
    <w:rsid w:val="0060565E"/>
    <w:rsid w:val="00607669"/>
    <w:rsid w:val="006110A5"/>
    <w:rsid w:val="00612F97"/>
    <w:rsid w:val="00616802"/>
    <w:rsid w:val="00616C58"/>
    <w:rsid w:val="00617E12"/>
    <w:rsid w:val="006200EB"/>
    <w:rsid w:val="0062019C"/>
    <w:rsid w:val="00621477"/>
    <w:rsid w:val="00621EDE"/>
    <w:rsid w:val="0062536E"/>
    <w:rsid w:val="006279DE"/>
    <w:rsid w:val="00631611"/>
    <w:rsid w:val="00631D6B"/>
    <w:rsid w:val="00632FFB"/>
    <w:rsid w:val="0063479F"/>
    <w:rsid w:val="00634BEE"/>
    <w:rsid w:val="00636097"/>
    <w:rsid w:val="006364A1"/>
    <w:rsid w:val="00636AA0"/>
    <w:rsid w:val="00637BFD"/>
    <w:rsid w:val="00637F4A"/>
    <w:rsid w:val="006423F1"/>
    <w:rsid w:val="00645A55"/>
    <w:rsid w:val="006471CC"/>
    <w:rsid w:val="006500D6"/>
    <w:rsid w:val="0065079F"/>
    <w:rsid w:val="00651541"/>
    <w:rsid w:val="00651A62"/>
    <w:rsid w:val="00653D81"/>
    <w:rsid w:val="00657903"/>
    <w:rsid w:val="00662748"/>
    <w:rsid w:val="006640EA"/>
    <w:rsid w:val="00664690"/>
    <w:rsid w:val="00664AFC"/>
    <w:rsid w:val="006659BC"/>
    <w:rsid w:val="006677D7"/>
    <w:rsid w:val="00667A12"/>
    <w:rsid w:val="00671529"/>
    <w:rsid w:val="006720F5"/>
    <w:rsid w:val="00674E42"/>
    <w:rsid w:val="006758F1"/>
    <w:rsid w:val="00676A34"/>
    <w:rsid w:val="00677B03"/>
    <w:rsid w:val="0068060B"/>
    <w:rsid w:val="00682112"/>
    <w:rsid w:val="00684F33"/>
    <w:rsid w:val="00685200"/>
    <w:rsid w:val="00685303"/>
    <w:rsid w:val="0068736C"/>
    <w:rsid w:val="00687AD4"/>
    <w:rsid w:val="00691DC4"/>
    <w:rsid w:val="006921D2"/>
    <w:rsid w:val="006942F4"/>
    <w:rsid w:val="00694F28"/>
    <w:rsid w:val="00694F44"/>
    <w:rsid w:val="00695FFB"/>
    <w:rsid w:val="00697279"/>
    <w:rsid w:val="006B06FF"/>
    <w:rsid w:val="006B1C22"/>
    <w:rsid w:val="006B2BCF"/>
    <w:rsid w:val="006B558C"/>
    <w:rsid w:val="006B67C9"/>
    <w:rsid w:val="006C2A8E"/>
    <w:rsid w:val="006C6092"/>
    <w:rsid w:val="006C665B"/>
    <w:rsid w:val="006C6A64"/>
    <w:rsid w:val="006C760D"/>
    <w:rsid w:val="006D33A5"/>
    <w:rsid w:val="006D3C7D"/>
    <w:rsid w:val="006D67AD"/>
    <w:rsid w:val="006D73E1"/>
    <w:rsid w:val="006E0008"/>
    <w:rsid w:val="006E0D82"/>
    <w:rsid w:val="006E1B7C"/>
    <w:rsid w:val="006E37F1"/>
    <w:rsid w:val="006E570C"/>
    <w:rsid w:val="006E5C15"/>
    <w:rsid w:val="006E75B1"/>
    <w:rsid w:val="006F1C90"/>
    <w:rsid w:val="006F1FE0"/>
    <w:rsid w:val="006F29E7"/>
    <w:rsid w:val="006F48BB"/>
    <w:rsid w:val="006F5428"/>
    <w:rsid w:val="006F63A5"/>
    <w:rsid w:val="006F63C2"/>
    <w:rsid w:val="006F6952"/>
    <w:rsid w:val="006F7F2C"/>
    <w:rsid w:val="0070276E"/>
    <w:rsid w:val="00703501"/>
    <w:rsid w:val="00703BFF"/>
    <w:rsid w:val="00704526"/>
    <w:rsid w:val="00711A36"/>
    <w:rsid w:val="007134C2"/>
    <w:rsid w:val="00713AB4"/>
    <w:rsid w:val="00715810"/>
    <w:rsid w:val="00715976"/>
    <w:rsid w:val="00716C84"/>
    <w:rsid w:val="007172AD"/>
    <w:rsid w:val="00717445"/>
    <w:rsid w:val="00717634"/>
    <w:rsid w:val="00717FF2"/>
    <w:rsid w:val="00722005"/>
    <w:rsid w:val="007236E7"/>
    <w:rsid w:val="007265FB"/>
    <w:rsid w:val="00726EC6"/>
    <w:rsid w:val="00726F54"/>
    <w:rsid w:val="00727EBF"/>
    <w:rsid w:val="00730048"/>
    <w:rsid w:val="0073019B"/>
    <w:rsid w:val="007328D4"/>
    <w:rsid w:val="00733A10"/>
    <w:rsid w:val="00734644"/>
    <w:rsid w:val="00735328"/>
    <w:rsid w:val="00736258"/>
    <w:rsid w:val="0073685B"/>
    <w:rsid w:val="0074061C"/>
    <w:rsid w:val="007421FF"/>
    <w:rsid w:val="00743E8E"/>
    <w:rsid w:val="007440B1"/>
    <w:rsid w:val="007449CE"/>
    <w:rsid w:val="007474AD"/>
    <w:rsid w:val="00750B85"/>
    <w:rsid w:val="00752553"/>
    <w:rsid w:val="007532EF"/>
    <w:rsid w:val="0075660F"/>
    <w:rsid w:val="0076029C"/>
    <w:rsid w:val="00761ABE"/>
    <w:rsid w:val="00762845"/>
    <w:rsid w:val="007628BB"/>
    <w:rsid w:val="007644D1"/>
    <w:rsid w:val="00764A1D"/>
    <w:rsid w:val="00764D8D"/>
    <w:rsid w:val="0076543A"/>
    <w:rsid w:val="00767F81"/>
    <w:rsid w:val="00776AE6"/>
    <w:rsid w:val="0078193D"/>
    <w:rsid w:val="0078401E"/>
    <w:rsid w:val="0078434D"/>
    <w:rsid w:val="00785336"/>
    <w:rsid w:val="00785405"/>
    <w:rsid w:val="007861DD"/>
    <w:rsid w:val="0079149F"/>
    <w:rsid w:val="0079512E"/>
    <w:rsid w:val="00796E80"/>
    <w:rsid w:val="00796EDF"/>
    <w:rsid w:val="007A2931"/>
    <w:rsid w:val="007A30D5"/>
    <w:rsid w:val="007A4C69"/>
    <w:rsid w:val="007A6EE5"/>
    <w:rsid w:val="007B1CB3"/>
    <w:rsid w:val="007B251D"/>
    <w:rsid w:val="007B31A7"/>
    <w:rsid w:val="007B39C0"/>
    <w:rsid w:val="007B67B9"/>
    <w:rsid w:val="007B77D1"/>
    <w:rsid w:val="007C341D"/>
    <w:rsid w:val="007C38EE"/>
    <w:rsid w:val="007C3CE5"/>
    <w:rsid w:val="007D0B38"/>
    <w:rsid w:val="007D0EE7"/>
    <w:rsid w:val="007D1DD0"/>
    <w:rsid w:val="007D2A74"/>
    <w:rsid w:val="007D39B7"/>
    <w:rsid w:val="007D50AA"/>
    <w:rsid w:val="007D58CE"/>
    <w:rsid w:val="007D5CBF"/>
    <w:rsid w:val="007D6322"/>
    <w:rsid w:val="007D65C2"/>
    <w:rsid w:val="007D6AC0"/>
    <w:rsid w:val="007D6DF3"/>
    <w:rsid w:val="007D79A9"/>
    <w:rsid w:val="007D7F3B"/>
    <w:rsid w:val="007E10C7"/>
    <w:rsid w:val="007E15F5"/>
    <w:rsid w:val="007E3C52"/>
    <w:rsid w:val="007E462F"/>
    <w:rsid w:val="007E578B"/>
    <w:rsid w:val="007E5D5A"/>
    <w:rsid w:val="007E5D95"/>
    <w:rsid w:val="007E7924"/>
    <w:rsid w:val="007F05CA"/>
    <w:rsid w:val="007F1017"/>
    <w:rsid w:val="007F1CE3"/>
    <w:rsid w:val="007F382F"/>
    <w:rsid w:val="007F3F19"/>
    <w:rsid w:val="007F4A3F"/>
    <w:rsid w:val="007F52A1"/>
    <w:rsid w:val="007F601F"/>
    <w:rsid w:val="007F6E30"/>
    <w:rsid w:val="00800691"/>
    <w:rsid w:val="008044B1"/>
    <w:rsid w:val="00805133"/>
    <w:rsid w:val="00805142"/>
    <w:rsid w:val="00807A8B"/>
    <w:rsid w:val="00807E28"/>
    <w:rsid w:val="0081024D"/>
    <w:rsid w:val="00810F19"/>
    <w:rsid w:val="00812149"/>
    <w:rsid w:val="0081238E"/>
    <w:rsid w:val="00812DD6"/>
    <w:rsid w:val="00815B6D"/>
    <w:rsid w:val="008166EF"/>
    <w:rsid w:val="008172E0"/>
    <w:rsid w:val="008211B1"/>
    <w:rsid w:val="008264EB"/>
    <w:rsid w:val="00826837"/>
    <w:rsid w:val="00827909"/>
    <w:rsid w:val="00831185"/>
    <w:rsid w:val="00835284"/>
    <w:rsid w:val="00840CA2"/>
    <w:rsid w:val="00841384"/>
    <w:rsid w:val="00843086"/>
    <w:rsid w:val="008452F3"/>
    <w:rsid w:val="00846C55"/>
    <w:rsid w:val="0084759B"/>
    <w:rsid w:val="00847F81"/>
    <w:rsid w:val="00850503"/>
    <w:rsid w:val="008511DB"/>
    <w:rsid w:val="008512E5"/>
    <w:rsid w:val="0085193C"/>
    <w:rsid w:val="00853C28"/>
    <w:rsid w:val="00855E92"/>
    <w:rsid w:val="00856E9A"/>
    <w:rsid w:val="00864C2D"/>
    <w:rsid w:val="00866135"/>
    <w:rsid w:val="008702A9"/>
    <w:rsid w:val="00871BA7"/>
    <w:rsid w:val="00874B58"/>
    <w:rsid w:val="008752A6"/>
    <w:rsid w:val="00877B5C"/>
    <w:rsid w:val="00881EB2"/>
    <w:rsid w:val="00882874"/>
    <w:rsid w:val="00882FBD"/>
    <w:rsid w:val="00883787"/>
    <w:rsid w:val="008879D8"/>
    <w:rsid w:val="008959E7"/>
    <w:rsid w:val="008960C9"/>
    <w:rsid w:val="008963A5"/>
    <w:rsid w:val="008A3360"/>
    <w:rsid w:val="008A3C3E"/>
    <w:rsid w:val="008A4E96"/>
    <w:rsid w:val="008A5934"/>
    <w:rsid w:val="008A60C5"/>
    <w:rsid w:val="008A79DE"/>
    <w:rsid w:val="008B0119"/>
    <w:rsid w:val="008B0BDB"/>
    <w:rsid w:val="008B0CD1"/>
    <w:rsid w:val="008B29B0"/>
    <w:rsid w:val="008B2EE8"/>
    <w:rsid w:val="008B32DD"/>
    <w:rsid w:val="008B37F4"/>
    <w:rsid w:val="008B54D3"/>
    <w:rsid w:val="008B7D7E"/>
    <w:rsid w:val="008C65D4"/>
    <w:rsid w:val="008C7B5A"/>
    <w:rsid w:val="008C7ECB"/>
    <w:rsid w:val="008D06FB"/>
    <w:rsid w:val="008D3F10"/>
    <w:rsid w:val="008D47DF"/>
    <w:rsid w:val="008D5E1A"/>
    <w:rsid w:val="008E0191"/>
    <w:rsid w:val="008E05AD"/>
    <w:rsid w:val="008E1B9E"/>
    <w:rsid w:val="008E2A78"/>
    <w:rsid w:val="008E3830"/>
    <w:rsid w:val="008E676E"/>
    <w:rsid w:val="008E785C"/>
    <w:rsid w:val="008F0B3B"/>
    <w:rsid w:val="008F183C"/>
    <w:rsid w:val="008F1FE6"/>
    <w:rsid w:val="008F2B39"/>
    <w:rsid w:val="008F48EB"/>
    <w:rsid w:val="008F4F0B"/>
    <w:rsid w:val="008F54E6"/>
    <w:rsid w:val="00900900"/>
    <w:rsid w:val="009018F6"/>
    <w:rsid w:val="00901EC5"/>
    <w:rsid w:val="009028E9"/>
    <w:rsid w:val="0090313B"/>
    <w:rsid w:val="00905348"/>
    <w:rsid w:val="00905FB1"/>
    <w:rsid w:val="0090601A"/>
    <w:rsid w:val="009062A5"/>
    <w:rsid w:val="00907237"/>
    <w:rsid w:val="00911272"/>
    <w:rsid w:val="009114DA"/>
    <w:rsid w:val="00912206"/>
    <w:rsid w:val="00912ECF"/>
    <w:rsid w:val="00914ACB"/>
    <w:rsid w:val="00914D3F"/>
    <w:rsid w:val="009166A0"/>
    <w:rsid w:val="00917261"/>
    <w:rsid w:val="009179BF"/>
    <w:rsid w:val="00921896"/>
    <w:rsid w:val="00924535"/>
    <w:rsid w:val="009260A9"/>
    <w:rsid w:val="00926166"/>
    <w:rsid w:val="00927EBD"/>
    <w:rsid w:val="00935F1D"/>
    <w:rsid w:val="00936C8D"/>
    <w:rsid w:val="00942A3D"/>
    <w:rsid w:val="009442B8"/>
    <w:rsid w:val="00944728"/>
    <w:rsid w:val="009448AB"/>
    <w:rsid w:val="009464BA"/>
    <w:rsid w:val="00946BB6"/>
    <w:rsid w:val="009504AC"/>
    <w:rsid w:val="00951333"/>
    <w:rsid w:val="009518DA"/>
    <w:rsid w:val="00952FEB"/>
    <w:rsid w:val="00953280"/>
    <w:rsid w:val="00954D04"/>
    <w:rsid w:val="00955823"/>
    <w:rsid w:val="009569A0"/>
    <w:rsid w:val="00961AF9"/>
    <w:rsid w:val="00962CB9"/>
    <w:rsid w:val="009631B6"/>
    <w:rsid w:val="00963A40"/>
    <w:rsid w:val="00964312"/>
    <w:rsid w:val="009658BA"/>
    <w:rsid w:val="0097099B"/>
    <w:rsid w:val="009711A6"/>
    <w:rsid w:val="00973E52"/>
    <w:rsid w:val="00973F34"/>
    <w:rsid w:val="009742FD"/>
    <w:rsid w:val="00975F32"/>
    <w:rsid w:val="0098002F"/>
    <w:rsid w:val="009836FD"/>
    <w:rsid w:val="00983E57"/>
    <w:rsid w:val="0098576D"/>
    <w:rsid w:val="00987207"/>
    <w:rsid w:val="009901B5"/>
    <w:rsid w:val="00990D25"/>
    <w:rsid w:val="0099195B"/>
    <w:rsid w:val="00993D24"/>
    <w:rsid w:val="009955C9"/>
    <w:rsid w:val="00995919"/>
    <w:rsid w:val="00996B1A"/>
    <w:rsid w:val="00997723"/>
    <w:rsid w:val="009A25A9"/>
    <w:rsid w:val="009A2F68"/>
    <w:rsid w:val="009A550B"/>
    <w:rsid w:val="009B13BA"/>
    <w:rsid w:val="009B14E2"/>
    <w:rsid w:val="009B3E26"/>
    <w:rsid w:val="009C0157"/>
    <w:rsid w:val="009C1082"/>
    <w:rsid w:val="009C4FD9"/>
    <w:rsid w:val="009C6B1A"/>
    <w:rsid w:val="009C77EE"/>
    <w:rsid w:val="009D0AC5"/>
    <w:rsid w:val="009D1DB0"/>
    <w:rsid w:val="009D4732"/>
    <w:rsid w:val="009D5B91"/>
    <w:rsid w:val="009E08C4"/>
    <w:rsid w:val="009E11AA"/>
    <w:rsid w:val="009E13D1"/>
    <w:rsid w:val="009E2193"/>
    <w:rsid w:val="009E24A5"/>
    <w:rsid w:val="009E35A5"/>
    <w:rsid w:val="009E3865"/>
    <w:rsid w:val="009E4C07"/>
    <w:rsid w:val="009E4F83"/>
    <w:rsid w:val="009E5979"/>
    <w:rsid w:val="009F1383"/>
    <w:rsid w:val="009F1D4D"/>
    <w:rsid w:val="009F23FD"/>
    <w:rsid w:val="009F2504"/>
    <w:rsid w:val="009F334E"/>
    <w:rsid w:val="009F3D9B"/>
    <w:rsid w:val="009F524E"/>
    <w:rsid w:val="009F712F"/>
    <w:rsid w:val="00A00FD6"/>
    <w:rsid w:val="00A03D43"/>
    <w:rsid w:val="00A04380"/>
    <w:rsid w:val="00A046DA"/>
    <w:rsid w:val="00A06CA7"/>
    <w:rsid w:val="00A078B0"/>
    <w:rsid w:val="00A112F3"/>
    <w:rsid w:val="00A11C5E"/>
    <w:rsid w:val="00A12956"/>
    <w:rsid w:val="00A13948"/>
    <w:rsid w:val="00A2156C"/>
    <w:rsid w:val="00A22A7F"/>
    <w:rsid w:val="00A23347"/>
    <w:rsid w:val="00A27AEC"/>
    <w:rsid w:val="00A27F96"/>
    <w:rsid w:val="00A328C4"/>
    <w:rsid w:val="00A35D16"/>
    <w:rsid w:val="00A36008"/>
    <w:rsid w:val="00A36071"/>
    <w:rsid w:val="00A37992"/>
    <w:rsid w:val="00A43C59"/>
    <w:rsid w:val="00A44628"/>
    <w:rsid w:val="00A4516D"/>
    <w:rsid w:val="00A45FCA"/>
    <w:rsid w:val="00A46000"/>
    <w:rsid w:val="00A46EA5"/>
    <w:rsid w:val="00A50602"/>
    <w:rsid w:val="00A50ECD"/>
    <w:rsid w:val="00A52729"/>
    <w:rsid w:val="00A52D4E"/>
    <w:rsid w:val="00A53675"/>
    <w:rsid w:val="00A55F29"/>
    <w:rsid w:val="00A56B6A"/>
    <w:rsid w:val="00A578DC"/>
    <w:rsid w:val="00A57949"/>
    <w:rsid w:val="00A602DD"/>
    <w:rsid w:val="00A60432"/>
    <w:rsid w:val="00A66198"/>
    <w:rsid w:val="00A6725B"/>
    <w:rsid w:val="00A679EC"/>
    <w:rsid w:val="00A70149"/>
    <w:rsid w:val="00A70640"/>
    <w:rsid w:val="00A713A8"/>
    <w:rsid w:val="00A71417"/>
    <w:rsid w:val="00A71C23"/>
    <w:rsid w:val="00A729B7"/>
    <w:rsid w:val="00A74201"/>
    <w:rsid w:val="00A74730"/>
    <w:rsid w:val="00A7512E"/>
    <w:rsid w:val="00A81022"/>
    <w:rsid w:val="00A84AC0"/>
    <w:rsid w:val="00A84F33"/>
    <w:rsid w:val="00A85ED3"/>
    <w:rsid w:val="00A86CE6"/>
    <w:rsid w:val="00A86E8B"/>
    <w:rsid w:val="00A9242C"/>
    <w:rsid w:val="00A93072"/>
    <w:rsid w:val="00A93494"/>
    <w:rsid w:val="00A93F28"/>
    <w:rsid w:val="00A96719"/>
    <w:rsid w:val="00A96A97"/>
    <w:rsid w:val="00AA01B9"/>
    <w:rsid w:val="00AA06CF"/>
    <w:rsid w:val="00AA0A07"/>
    <w:rsid w:val="00AA3394"/>
    <w:rsid w:val="00AA5AE3"/>
    <w:rsid w:val="00AA757F"/>
    <w:rsid w:val="00AA7F96"/>
    <w:rsid w:val="00AB042A"/>
    <w:rsid w:val="00AB15E9"/>
    <w:rsid w:val="00AB1750"/>
    <w:rsid w:val="00AB31B5"/>
    <w:rsid w:val="00AB3430"/>
    <w:rsid w:val="00AB3E3A"/>
    <w:rsid w:val="00AB6AC1"/>
    <w:rsid w:val="00AB7A8A"/>
    <w:rsid w:val="00AB7CFA"/>
    <w:rsid w:val="00AC183A"/>
    <w:rsid w:val="00AC21FA"/>
    <w:rsid w:val="00AC27AC"/>
    <w:rsid w:val="00AC5995"/>
    <w:rsid w:val="00AC5C68"/>
    <w:rsid w:val="00AC5F82"/>
    <w:rsid w:val="00AC756E"/>
    <w:rsid w:val="00AD236A"/>
    <w:rsid w:val="00AD37B1"/>
    <w:rsid w:val="00AD5D44"/>
    <w:rsid w:val="00AD66AC"/>
    <w:rsid w:val="00AD6B60"/>
    <w:rsid w:val="00AD6DAB"/>
    <w:rsid w:val="00AD6DFF"/>
    <w:rsid w:val="00AD6E56"/>
    <w:rsid w:val="00AE104E"/>
    <w:rsid w:val="00AE1F5C"/>
    <w:rsid w:val="00AE3B21"/>
    <w:rsid w:val="00AE3D5B"/>
    <w:rsid w:val="00AE6298"/>
    <w:rsid w:val="00AE6A07"/>
    <w:rsid w:val="00AF1B9F"/>
    <w:rsid w:val="00AF1ED4"/>
    <w:rsid w:val="00AF2331"/>
    <w:rsid w:val="00AF417B"/>
    <w:rsid w:val="00AF4670"/>
    <w:rsid w:val="00AF4923"/>
    <w:rsid w:val="00AF54B0"/>
    <w:rsid w:val="00AF6EEE"/>
    <w:rsid w:val="00AF7516"/>
    <w:rsid w:val="00B0015C"/>
    <w:rsid w:val="00B01940"/>
    <w:rsid w:val="00B019A6"/>
    <w:rsid w:val="00B03DCD"/>
    <w:rsid w:val="00B04920"/>
    <w:rsid w:val="00B05858"/>
    <w:rsid w:val="00B10800"/>
    <w:rsid w:val="00B123C9"/>
    <w:rsid w:val="00B15AA3"/>
    <w:rsid w:val="00B17978"/>
    <w:rsid w:val="00B17AE8"/>
    <w:rsid w:val="00B20B20"/>
    <w:rsid w:val="00B21B25"/>
    <w:rsid w:val="00B22440"/>
    <w:rsid w:val="00B2324D"/>
    <w:rsid w:val="00B23E10"/>
    <w:rsid w:val="00B25718"/>
    <w:rsid w:val="00B27DF5"/>
    <w:rsid w:val="00B3078E"/>
    <w:rsid w:val="00B316EE"/>
    <w:rsid w:val="00B3330B"/>
    <w:rsid w:val="00B34B91"/>
    <w:rsid w:val="00B37D8C"/>
    <w:rsid w:val="00B407C8"/>
    <w:rsid w:val="00B407F3"/>
    <w:rsid w:val="00B42851"/>
    <w:rsid w:val="00B4569F"/>
    <w:rsid w:val="00B4737C"/>
    <w:rsid w:val="00B53C08"/>
    <w:rsid w:val="00B54B5B"/>
    <w:rsid w:val="00B5562E"/>
    <w:rsid w:val="00B55C49"/>
    <w:rsid w:val="00B57000"/>
    <w:rsid w:val="00B608CF"/>
    <w:rsid w:val="00B60939"/>
    <w:rsid w:val="00B60AFD"/>
    <w:rsid w:val="00B617C6"/>
    <w:rsid w:val="00B61F19"/>
    <w:rsid w:val="00B62715"/>
    <w:rsid w:val="00B71502"/>
    <w:rsid w:val="00B7233B"/>
    <w:rsid w:val="00B72AF3"/>
    <w:rsid w:val="00B73509"/>
    <w:rsid w:val="00B73B17"/>
    <w:rsid w:val="00B73D82"/>
    <w:rsid w:val="00B77A3A"/>
    <w:rsid w:val="00B80793"/>
    <w:rsid w:val="00B818A4"/>
    <w:rsid w:val="00B8649C"/>
    <w:rsid w:val="00B86F64"/>
    <w:rsid w:val="00B91A3E"/>
    <w:rsid w:val="00B92CEA"/>
    <w:rsid w:val="00B92D0B"/>
    <w:rsid w:val="00B94945"/>
    <w:rsid w:val="00B95761"/>
    <w:rsid w:val="00B95D60"/>
    <w:rsid w:val="00B96501"/>
    <w:rsid w:val="00BA0749"/>
    <w:rsid w:val="00BA0AEA"/>
    <w:rsid w:val="00BA202B"/>
    <w:rsid w:val="00BA4262"/>
    <w:rsid w:val="00BA791D"/>
    <w:rsid w:val="00BB0402"/>
    <w:rsid w:val="00BB16C4"/>
    <w:rsid w:val="00BB5C6B"/>
    <w:rsid w:val="00BB61E6"/>
    <w:rsid w:val="00BC0AD4"/>
    <w:rsid w:val="00BC24D4"/>
    <w:rsid w:val="00BC4792"/>
    <w:rsid w:val="00BC5173"/>
    <w:rsid w:val="00BC74F1"/>
    <w:rsid w:val="00BD0B9F"/>
    <w:rsid w:val="00BD2633"/>
    <w:rsid w:val="00BD2797"/>
    <w:rsid w:val="00BD34BC"/>
    <w:rsid w:val="00BD618D"/>
    <w:rsid w:val="00BD78C1"/>
    <w:rsid w:val="00BD7AC9"/>
    <w:rsid w:val="00BE0952"/>
    <w:rsid w:val="00BE0AD0"/>
    <w:rsid w:val="00BE2180"/>
    <w:rsid w:val="00BE28B3"/>
    <w:rsid w:val="00BE3025"/>
    <w:rsid w:val="00BE3314"/>
    <w:rsid w:val="00BE37F1"/>
    <w:rsid w:val="00BE4275"/>
    <w:rsid w:val="00BE4408"/>
    <w:rsid w:val="00BE4C5D"/>
    <w:rsid w:val="00BE60BC"/>
    <w:rsid w:val="00BF0AC2"/>
    <w:rsid w:val="00BF23CD"/>
    <w:rsid w:val="00BF23ED"/>
    <w:rsid w:val="00BF2433"/>
    <w:rsid w:val="00BF2F30"/>
    <w:rsid w:val="00BF4DB6"/>
    <w:rsid w:val="00BF61C9"/>
    <w:rsid w:val="00BF6613"/>
    <w:rsid w:val="00BF6FF0"/>
    <w:rsid w:val="00BF7473"/>
    <w:rsid w:val="00BF77D2"/>
    <w:rsid w:val="00C02C5B"/>
    <w:rsid w:val="00C039F4"/>
    <w:rsid w:val="00C04BB9"/>
    <w:rsid w:val="00C052EA"/>
    <w:rsid w:val="00C05492"/>
    <w:rsid w:val="00C05AC4"/>
    <w:rsid w:val="00C06112"/>
    <w:rsid w:val="00C07A7E"/>
    <w:rsid w:val="00C07B2A"/>
    <w:rsid w:val="00C12247"/>
    <w:rsid w:val="00C17DCA"/>
    <w:rsid w:val="00C20D24"/>
    <w:rsid w:val="00C249DA"/>
    <w:rsid w:val="00C25418"/>
    <w:rsid w:val="00C25D9C"/>
    <w:rsid w:val="00C260A7"/>
    <w:rsid w:val="00C26FB2"/>
    <w:rsid w:val="00C274C3"/>
    <w:rsid w:val="00C31649"/>
    <w:rsid w:val="00C31DE4"/>
    <w:rsid w:val="00C32C75"/>
    <w:rsid w:val="00C3442C"/>
    <w:rsid w:val="00C3673F"/>
    <w:rsid w:val="00C36E26"/>
    <w:rsid w:val="00C400E4"/>
    <w:rsid w:val="00C40159"/>
    <w:rsid w:val="00C40385"/>
    <w:rsid w:val="00C41358"/>
    <w:rsid w:val="00C460BF"/>
    <w:rsid w:val="00C52BF7"/>
    <w:rsid w:val="00C5448A"/>
    <w:rsid w:val="00C57ECF"/>
    <w:rsid w:val="00C61EAB"/>
    <w:rsid w:val="00C6214D"/>
    <w:rsid w:val="00C64E72"/>
    <w:rsid w:val="00C65576"/>
    <w:rsid w:val="00C66165"/>
    <w:rsid w:val="00C66E6D"/>
    <w:rsid w:val="00C71E74"/>
    <w:rsid w:val="00C750FD"/>
    <w:rsid w:val="00C750FF"/>
    <w:rsid w:val="00C7511E"/>
    <w:rsid w:val="00C7660C"/>
    <w:rsid w:val="00C81065"/>
    <w:rsid w:val="00C811D4"/>
    <w:rsid w:val="00C81D99"/>
    <w:rsid w:val="00C8213F"/>
    <w:rsid w:val="00C837D5"/>
    <w:rsid w:val="00C8572E"/>
    <w:rsid w:val="00C8797A"/>
    <w:rsid w:val="00C90D32"/>
    <w:rsid w:val="00C938CF"/>
    <w:rsid w:val="00C939D0"/>
    <w:rsid w:val="00C93C51"/>
    <w:rsid w:val="00C94C2E"/>
    <w:rsid w:val="00C95B37"/>
    <w:rsid w:val="00C9732F"/>
    <w:rsid w:val="00C97EA3"/>
    <w:rsid w:val="00C97FC6"/>
    <w:rsid w:val="00CA024B"/>
    <w:rsid w:val="00CA5245"/>
    <w:rsid w:val="00CA772D"/>
    <w:rsid w:val="00CA7B09"/>
    <w:rsid w:val="00CB1424"/>
    <w:rsid w:val="00CB1C41"/>
    <w:rsid w:val="00CB570F"/>
    <w:rsid w:val="00CB590C"/>
    <w:rsid w:val="00CB5B1A"/>
    <w:rsid w:val="00CB6B99"/>
    <w:rsid w:val="00CC2120"/>
    <w:rsid w:val="00CC238E"/>
    <w:rsid w:val="00CC6E2D"/>
    <w:rsid w:val="00CC6F45"/>
    <w:rsid w:val="00CD0195"/>
    <w:rsid w:val="00CD1190"/>
    <w:rsid w:val="00CD22A4"/>
    <w:rsid w:val="00CD2862"/>
    <w:rsid w:val="00CD517E"/>
    <w:rsid w:val="00CD54D1"/>
    <w:rsid w:val="00CD6ADC"/>
    <w:rsid w:val="00CD7342"/>
    <w:rsid w:val="00CD794E"/>
    <w:rsid w:val="00CD7E9D"/>
    <w:rsid w:val="00CE25CB"/>
    <w:rsid w:val="00CE2EFA"/>
    <w:rsid w:val="00CE3339"/>
    <w:rsid w:val="00CE39EE"/>
    <w:rsid w:val="00CE41C2"/>
    <w:rsid w:val="00CE4676"/>
    <w:rsid w:val="00CE5969"/>
    <w:rsid w:val="00CE6274"/>
    <w:rsid w:val="00CE6501"/>
    <w:rsid w:val="00CE6533"/>
    <w:rsid w:val="00CE678A"/>
    <w:rsid w:val="00CF076E"/>
    <w:rsid w:val="00CF080B"/>
    <w:rsid w:val="00CF456B"/>
    <w:rsid w:val="00CF46E6"/>
    <w:rsid w:val="00CF5A22"/>
    <w:rsid w:val="00D009F3"/>
    <w:rsid w:val="00D0262E"/>
    <w:rsid w:val="00D03026"/>
    <w:rsid w:val="00D04C42"/>
    <w:rsid w:val="00D06ADC"/>
    <w:rsid w:val="00D06FD4"/>
    <w:rsid w:val="00D110BD"/>
    <w:rsid w:val="00D1117A"/>
    <w:rsid w:val="00D12AF5"/>
    <w:rsid w:val="00D16241"/>
    <w:rsid w:val="00D17D6C"/>
    <w:rsid w:val="00D21D65"/>
    <w:rsid w:val="00D24638"/>
    <w:rsid w:val="00D27794"/>
    <w:rsid w:val="00D3228B"/>
    <w:rsid w:val="00D34DC2"/>
    <w:rsid w:val="00D35357"/>
    <w:rsid w:val="00D36762"/>
    <w:rsid w:val="00D40358"/>
    <w:rsid w:val="00D41357"/>
    <w:rsid w:val="00D4195F"/>
    <w:rsid w:val="00D436CF"/>
    <w:rsid w:val="00D43830"/>
    <w:rsid w:val="00D45204"/>
    <w:rsid w:val="00D47A22"/>
    <w:rsid w:val="00D51373"/>
    <w:rsid w:val="00D533DB"/>
    <w:rsid w:val="00D5718E"/>
    <w:rsid w:val="00D62492"/>
    <w:rsid w:val="00D65CA8"/>
    <w:rsid w:val="00D67565"/>
    <w:rsid w:val="00D744FB"/>
    <w:rsid w:val="00D761F8"/>
    <w:rsid w:val="00D76A44"/>
    <w:rsid w:val="00D77F56"/>
    <w:rsid w:val="00D817D1"/>
    <w:rsid w:val="00D83BE9"/>
    <w:rsid w:val="00D85E1C"/>
    <w:rsid w:val="00D911ED"/>
    <w:rsid w:val="00D93753"/>
    <w:rsid w:val="00D94141"/>
    <w:rsid w:val="00D97612"/>
    <w:rsid w:val="00DA17E8"/>
    <w:rsid w:val="00DA35D2"/>
    <w:rsid w:val="00DA3E54"/>
    <w:rsid w:val="00DA5672"/>
    <w:rsid w:val="00DA6EA9"/>
    <w:rsid w:val="00DA77A5"/>
    <w:rsid w:val="00DB0A89"/>
    <w:rsid w:val="00DB1FDE"/>
    <w:rsid w:val="00DB2395"/>
    <w:rsid w:val="00DB62EA"/>
    <w:rsid w:val="00DB7111"/>
    <w:rsid w:val="00DB73C5"/>
    <w:rsid w:val="00DC068F"/>
    <w:rsid w:val="00DC0AC1"/>
    <w:rsid w:val="00DC2AB1"/>
    <w:rsid w:val="00DC38F6"/>
    <w:rsid w:val="00DC4A5A"/>
    <w:rsid w:val="00DC5501"/>
    <w:rsid w:val="00DC5D3C"/>
    <w:rsid w:val="00DC7C88"/>
    <w:rsid w:val="00DD01C3"/>
    <w:rsid w:val="00DD0F68"/>
    <w:rsid w:val="00DD2072"/>
    <w:rsid w:val="00DD3F28"/>
    <w:rsid w:val="00DD4537"/>
    <w:rsid w:val="00DD4E15"/>
    <w:rsid w:val="00DD5463"/>
    <w:rsid w:val="00DD68C1"/>
    <w:rsid w:val="00DD70AD"/>
    <w:rsid w:val="00DD7764"/>
    <w:rsid w:val="00DE0352"/>
    <w:rsid w:val="00DE29C9"/>
    <w:rsid w:val="00DE2FB9"/>
    <w:rsid w:val="00DE4FCB"/>
    <w:rsid w:val="00DE5D33"/>
    <w:rsid w:val="00DE75D5"/>
    <w:rsid w:val="00DF1AB8"/>
    <w:rsid w:val="00DF4492"/>
    <w:rsid w:val="00DF5530"/>
    <w:rsid w:val="00E039B1"/>
    <w:rsid w:val="00E03EB3"/>
    <w:rsid w:val="00E07AF8"/>
    <w:rsid w:val="00E10149"/>
    <w:rsid w:val="00E1285D"/>
    <w:rsid w:val="00E144C0"/>
    <w:rsid w:val="00E14B37"/>
    <w:rsid w:val="00E16372"/>
    <w:rsid w:val="00E172B0"/>
    <w:rsid w:val="00E20ED6"/>
    <w:rsid w:val="00E21358"/>
    <w:rsid w:val="00E2249B"/>
    <w:rsid w:val="00E23FB4"/>
    <w:rsid w:val="00E251C9"/>
    <w:rsid w:val="00E2771E"/>
    <w:rsid w:val="00E32416"/>
    <w:rsid w:val="00E33F56"/>
    <w:rsid w:val="00E356DE"/>
    <w:rsid w:val="00E358B7"/>
    <w:rsid w:val="00E35C48"/>
    <w:rsid w:val="00E366DE"/>
    <w:rsid w:val="00E37569"/>
    <w:rsid w:val="00E37684"/>
    <w:rsid w:val="00E376FC"/>
    <w:rsid w:val="00E40597"/>
    <w:rsid w:val="00E41E30"/>
    <w:rsid w:val="00E4351F"/>
    <w:rsid w:val="00E469F4"/>
    <w:rsid w:val="00E46A6B"/>
    <w:rsid w:val="00E471DD"/>
    <w:rsid w:val="00E478A2"/>
    <w:rsid w:val="00E47B2C"/>
    <w:rsid w:val="00E52175"/>
    <w:rsid w:val="00E54DDD"/>
    <w:rsid w:val="00E55424"/>
    <w:rsid w:val="00E56B5C"/>
    <w:rsid w:val="00E56E9C"/>
    <w:rsid w:val="00E57129"/>
    <w:rsid w:val="00E572B5"/>
    <w:rsid w:val="00E602A9"/>
    <w:rsid w:val="00E602E6"/>
    <w:rsid w:val="00E64547"/>
    <w:rsid w:val="00E659EE"/>
    <w:rsid w:val="00E65E79"/>
    <w:rsid w:val="00E66C87"/>
    <w:rsid w:val="00E67416"/>
    <w:rsid w:val="00E718B6"/>
    <w:rsid w:val="00E71AC2"/>
    <w:rsid w:val="00E73581"/>
    <w:rsid w:val="00E82186"/>
    <w:rsid w:val="00E83BDF"/>
    <w:rsid w:val="00E84056"/>
    <w:rsid w:val="00E85441"/>
    <w:rsid w:val="00E85F07"/>
    <w:rsid w:val="00E87C50"/>
    <w:rsid w:val="00E9324F"/>
    <w:rsid w:val="00E94399"/>
    <w:rsid w:val="00E95A86"/>
    <w:rsid w:val="00E971B0"/>
    <w:rsid w:val="00EA2A5C"/>
    <w:rsid w:val="00EA385B"/>
    <w:rsid w:val="00EA3864"/>
    <w:rsid w:val="00EA4301"/>
    <w:rsid w:val="00EA6190"/>
    <w:rsid w:val="00EA7A01"/>
    <w:rsid w:val="00EB07CF"/>
    <w:rsid w:val="00EB207C"/>
    <w:rsid w:val="00EB3F60"/>
    <w:rsid w:val="00EB478E"/>
    <w:rsid w:val="00EB4917"/>
    <w:rsid w:val="00EB6636"/>
    <w:rsid w:val="00EB6F18"/>
    <w:rsid w:val="00EB7AE9"/>
    <w:rsid w:val="00EC00C9"/>
    <w:rsid w:val="00EC02C9"/>
    <w:rsid w:val="00EC3B6C"/>
    <w:rsid w:val="00EC7234"/>
    <w:rsid w:val="00EC7BFF"/>
    <w:rsid w:val="00ED257C"/>
    <w:rsid w:val="00ED6FA5"/>
    <w:rsid w:val="00ED7237"/>
    <w:rsid w:val="00EE07D3"/>
    <w:rsid w:val="00EF0B0B"/>
    <w:rsid w:val="00EF1CEF"/>
    <w:rsid w:val="00EF1FE5"/>
    <w:rsid w:val="00EF5428"/>
    <w:rsid w:val="00EF5B0D"/>
    <w:rsid w:val="00F02AFE"/>
    <w:rsid w:val="00F058C9"/>
    <w:rsid w:val="00F067A2"/>
    <w:rsid w:val="00F07167"/>
    <w:rsid w:val="00F074A9"/>
    <w:rsid w:val="00F07A31"/>
    <w:rsid w:val="00F07B11"/>
    <w:rsid w:val="00F102CD"/>
    <w:rsid w:val="00F11326"/>
    <w:rsid w:val="00F11801"/>
    <w:rsid w:val="00F11851"/>
    <w:rsid w:val="00F14D12"/>
    <w:rsid w:val="00F17920"/>
    <w:rsid w:val="00F227B1"/>
    <w:rsid w:val="00F24837"/>
    <w:rsid w:val="00F2575F"/>
    <w:rsid w:val="00F26C0C"/>
    <w:rsid w:val="00F3045B"/>
    <w:rsid w:val="00F307BB"/>
    <w:rsid w:val="00F33296"/>
    <w:rsid w:val="00F338FF"/>
    <w:rsid w:val="00F33DE9"/>
    <w:rsid w:val="00F352B9"/>
    <w:rsid w:val="00F35E19"/>
    <w:rsid w:val="00F3619A"/>
    <w:rsid w:val="00F37032"/>
    <w:rsid w:val="00F37B53"/>
    <w:rsid w:val="00F40847"/>
    <w:rsid w:val="00F41033"/>
    <w:rsid w:val="00F41C3E"/>
    <w:rsid w:val="00F42C00"/>
    <w:rsid w:val="00F46CB6"/>
    <w:rsid w:val="00F50803"/>
    <w:rsid w:val="00F54323"/>
    <w:rsid w:val="00F54C31"/>
    <w:rsid w:val="00F54F67"/>
    <w:rsid w:val="00F55E73"/>
    <w:rsid w:val="00F5678A"/>
    <w:rsid w:val="00F62F9C"/>
    <w:rsid w:val="00F64A8C"/>
    <w:rsid w:val="00F7169B"/>
    <w:rsid w:val="00F72118"/>
    <w:rsid w:val="00F723EA"/>
    <w:rsid w:val="00F7378C"/>
    <w:rsid w:val="00F77EEC"/>
    <w:rsid w:val="00F80150"/>
    <w:rsid w:val="00F803FC"/>
    <w:rsid w:val="00F8050D"/>
    <w:rsid w:val="00F80E5D"/>
    <w:rsid w:val="00F821DF"/>
    <w:rsid w:val="00F8406A"/>
    <w:rsid w:val="00F851CE"/>
    <w:rsid w:val="00F865B1"/>
    <w:rsid w:val="00F86C88"/>
    <w:rsid w:val="00F87EB4"/>
    <w:rsid w:val="00F9220C"/>
    <w:rsid w:val="00F9539A"/>
    <w:rsid w:val="00F97A78"/>
    <w:rsid w:val="00F97DEE"/>
    <w:rsid w:val="00FA03FC"/>
    <w:rsid w:val="00FA0473"/>
    <w:rsid w:val="00FA2C1F"/>
    <w:rsid w:val="00FA3625"/>
    <w:rsid w:val="00FA48C3"/>
    <w:rsid w:val="00FA4EB8"/>
    <w:rsid w:val="00FA4F0D"/>
    <w:rsid w:val="00FA74C7"/>
    <w:rsid w:val="00FB0107"/>
    <w:rsid w:val="00FB14DB"/>
    <w:rsid w:val="00FB2511"/>
    <w:rsid w:val="00FB2AF9"/>
    <w:rsid w:val="00FB2FCB"/>
    <w:rsid w:val="00FB35FD"/>
    <w:rsid w:val="00FB61C0"/>
    <w:rsid w:val="00FC01B5"/>
    <w:rsid w:val="00FC097E"/>
    <w:rsid w:val="00FC1074"/>
    <w:rsid w:val="00FC1884"/>
    <w:rsid w:val="00FC2526"/>
    <w:rsid w:val="00FC34FC"/>
    <w:rsid w:val="00FC5072"/>
    <w:rsid w:val="00FC7002"/>
    <w:rsid w:val="00FC705F"/>
    <w:rsid w:val="00FD1B53"/>
    <w:rsid w:val="00FD2100"/>
    <w:rsid w:val="00FD21B7"/>
    <w:rsid w:val="00FD446D"/>
    <w:rsid w:val="00FD6246"/>
    <w:rsid w:val="00FD7F0A"/>
    <w:rsid w:val="00FE0BB6"/>
    <w:rsid w:val="00FE296D"/>
    <w:rsid w:val="00FE5353"/>
    <w:rsid w:val="00FE70B2"/>
    <w:rsid w:val="00FF02BE"/>
    <w:rsid w:val="00FF1195"/>
    <w:rsid w:val="00FF3485"/>
    <w:rsid w:val="00FF3B07"/>
    <w:rsid w:val="00FF3DCF"/>
    <w:rsid w:val="00FF3FD1"/>
    <w:rsid w:val="00FF5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471C15"/>
    <w:pPr>
      <w:outlineLvl w:val="2"/>
    </w:pPr>
    <w:rPr>
      <w:b/>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Caption 3,c,appendix"/>
    <w:basedOn w:val="Normal"/>
    <w:next w:val="Normal"/>
    <w:link w:val="CaptionChar"/>
    <w:unhideWhenUsed/>
    <w:qFormat/>
    <w:rsid w:val="00262F8E"/>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Caption 3 Char,c Char,appendix Char"/>
    <w:link w:val="Caption"/>
    <w:rsid w:val="00262F8E"/>
    <w:rPr>
      <w:rFonts w:ascii="Arial Narrow" w:hAnsi="Arial Narrow" w:cs="Arial"/>
      <w:b/>
      <w:bCs/>
      <w:snapToGrid w:val="0"/>
      <w:szCs w:val="18"/>
      <w:lang w:eastAsia="en-US"/>
    </w:rPr>
  </w:style>
  <w:style w:type="paragraph" w:styleId="Title">
    <w:name w:val="Title"/>
    <w:basedOn w:val="Heading1"/>
    <w:next w:val="Normal"/>
    <w:link w:val="TitleChar"/>
    <w:rsid w:val="00CE5969"/>
    <w:rPr>
      <w:sz w:val="28"/>
    </w:rPr>
  </w:style>
  <w:style w:type="character" w:customStyle="1" w:styleId="TitleChar">
    <w:name w:val="Title Char"/>
    <w:basedOn w:val="DefaultParagraphFont"/>
    <w:link w:val="Title"/>
    <w:rsid w:val="00CE5969"/>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C36E26"/>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36E26"/>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6B67C9"/>
    <w:pPr>
      <w:tabs>
        <w:tab w:val="left" w:pos="880"/>
        <w:tab w:val="right" w:leader="dot" w:pos="9016"/>
      </w:tabs>
      <w:spacing w:before="120"/>
      <w:jc w:val="left"/>
    </w:pPr>
    <w:rPr>
      <w:iCs/>
      <w:sz w:val="20"/>
    </w:rPr>
  </w:style>
  <w:style w:type="paragraph" w:styleId="TOC1">
    <w:name w:val="toc 1"/>
    <w:basedOn w:val="Normal"/>
    <w:next w:val="Normal"/>
    <w:autoRedefine/>
    <w:uiPriority w:val="39"/>
    <w:qFormat/>
    <w:rsid w:val="00DE0352"/>
    <w:pPr>
      <w:tabs>
        <w:tab w:val="left" w:pos="440"/>
        <w:tab w:val="right" w:leader="dot" w:pos="9016"/>
      </w:tabs>
      <w:spacing w:before="240" w:after="120"/>
      <w:ind w:left="426" w:hanging="426"/>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CE5969"/>
    <w:pPr>
      <w:numPr>
        <w:numId w:val="5"/>
      </w:numPr>
      <w:outlineLvl w:val="0"/>
    </w:pPr>
    <w:rPr>
      <w:rFonts w:ascii="Arial" w:hAnsi="Arial" w:cs="Arial"/>
      <w:snapToGrid w:val="0"/>
      <w:sz w:val="22"/>
      <w:szCs w:val="22"/>
      <w:lang w:eastAsia="en-US"/>
    </w:rPr>
  </w:style>
  <w:style w:type="paragraph" w:customStyle="1" w:styleId="Tablecaption">
    <w:name w:val="Table caption"/>
    <w:basedOn w:val="Caption"/>
    <w:link w:val="TablecaptionChar"/>
    <w:qFormat/>
    <w:rsid w:val="00262F8E"/>
  </w:style>
  <w:style w:type="character" w:customStyle="1" w:styleId="TablecaptionChar">
    <w:name w:val="Table caption Char"/>
    <w:basedOn w:val="CaptionChar"/>
    <w:link w:val="Tablecaption"/>
    <w:rsid w:val="00262F8E"/>
    <w:rPr>
      <w:rFonts w:ascii="Arial Narrow" w:hAnsi="Arial Narrow" w:cs="Arial"/>
      <w:b/>
      <w:bCs/>
      <w:snapToGrid w:val="0"/>
      <w:szCs w:val="18"/>
      <w:lang w:eastAsia="en-US"/>
    </w:rPr>
  </w:style>
  <w:style w:type="paragraph" w:styleId="FootnoteText">
    <w:name w:val="footnote text"/>
    <w:basedOn w:val="Normal"/>
    <w:link w:val="FootnoteTextChar"/>
    <w:semiHidden/>
    <w:unhideWhenUsed/>
    <w:rsid w:val="009F3D9B"/>
    <w:rPr>
      <w:sz w:val="20"/>
    </w:rPr>
  </w:style>
  <w:style w:type="character" w:customStyle="1" w:styleId="FootnoteTextChar">
    <w:name w:val="Footnote Text Char"/>
    <w:basedOn w:val="DefaultParagraphFont"/>
    <w:link w:val="FootnoteText"/>
    <w:semiHidden/>
    <w:rsid w:val="009F3D9B"/>
    <w:rPr>
      <w:rFonts w:ascii="Arial" w:hAnsi="Arial" w:cs="Arial"/>
      <w:snapToGrid w:val="0"/>
      <w:lang w:eastAsia="en-US"/>
    </w:rPr>
  </w:style>
  <w:style w:type="character" w:styleId="FootnoteReference">
    <w:name w:val="footnote reference"/>
    <w:basedOn w:val="DefaultParagraphFont"/>
    <w:semiHidden/>
    <w:unhideWhenUsed/>
    <w:rsid w:val="009F3D9B"/>
    <w:rPr>
      <w:vertAlign w:val="superscript"/>
    </w:rPr>
  </w:style>
  <w:style w:type="paragraph" w:customStyle="1" w:styleId="EndNoteBibliographyTitle">
    <w:name w:val="EndNote Bibliography Title"/>
    <w:basedOn w:val="Normal"/>
    <w:link w:val="EndNoteBibliographyTitleChar"/>
    <w:rsid w:val="003C0FBE"/>
    <w:pPr>
      <w:jc w:val="center"/>
    </w:pPr>
    <w:rPr>
      <w:rFonts w:ascii="Arial Narrow" w:hAnsi="Arial Narrow"/>
      <w:noProof/>
      <w:sz w:val="20"/>
      <w:lang w:val="en-US"/>
    </w:rPr>
  </w:style>
  <w:style w:type="character" w:customStyle="1" w:styleId="EndNoteBibliographyTitleChar">
    <w:name w:val="EndNote Bibliography Title Char"/>
    <w:basedOn w:val="DefaultParagraphFont"/>
    <w:link w:val="EndNoteBibliographyTitle"/>
    <w:rsid w:val="003C0FBE"/>
    <w:rPr>
      <w:rFonts w:ascii="Arial Narrow" w:hAnsi="Arial Narrow" w:cs="Arial"/>
      <w:noProof/>
      <w:snapToGrid w:val="0"/>
      <w:lang w:val="en-US" w:eastAsia="en-US"/>
    </w:rPr>
  </w:style>
  <w:style w:type="paragraph" w:customStyle="1" w:styleId="EndNoteBibliography">
    <w:name w:val="EndNote Bibliography"/>
    <w:basedOn w:val="Normal"/>
    <w:link w:val="EndNoteBibliographyChar"/>
    <w:rsid w:val="003C0FBE"/>
    <w:pPr>
      <w:jc w:val="left"/>
    </w:pPr>
    <w:rPr>
      <w:rFonts w:ascii="Arial Narrow" w:hAnsi="Arial Narrow"/>
      <w:noProof/>
      <w:sz w:val="20"/>
      <w:lang w:val="en-US"/>
    </w:rPr>
  </w:style>
  <w:style w:type="character" w:customStyle="1" w:styleId="EndNoteBibliographyChar">
    <w:name w:val="EndNote Bibliography Char"/>
    <w:basedOn w:val="DefaultParagraphFont"/>
    <w:link w:val="EndNoteBibliography"/>
    <w:rsid w:val="003C0FBE"/>
    <w:rPr>
      <w:rFonts w:ascii="Arial Narrow" w:hAnsi="Arial Narrow" w:cs="Arial"/>
      <w:noProof/>
      <w:snapToGrid w:val="0"/>
      <w:lang w:val="en-US" w:eastAsia="en-US"/>
    </w:rPr>
  </w:style>
  <w:style w:type="paragraph" w:customStyle="1" w:styleId="PBACHeading10">
    <w:name w:val="PBAC Heading 1"/>
    <w:qFormat/>
    <w:rsid w:val="00276AA6"/>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276AA6"/>
    <w:rPr>
      <w:rFonts w:ascii="Arial" w:hAnsi="Arial" w:cs="Arial"/>
      <w:snapToGrid w:val="0"/>
      <w:sz w:val="22"/>
      <w:lang w:eastAsia="en-US"/>
    </w:rPr>
  </w:style>
  <w:style w:type="paragraph" w:customStyle="1" w:styleId="Default">
    <w:name w:val="Default"/>
    <w:rsid w:val="007D7F3B"/>
    <w:pPr>
      <w:autoSpaceDE w:val="0"/>
      <w:autoSpaceDN w:val="0"/>
      <w:adjustRightInd w:val="0"/>
    </w:pPr>
    <w:rPr>
      <w:rFonts w:ascii="Arial" w:hAnsi="Arial" w:cs="Arial"/>
      <w:color w:val="000000"/>
      <w:sz w:val="24"/>
      <w:szCs w:val="24"/>
    </w:rPr>
  </w:style>
  <w:style w:type="character" w:styleId="IntenseReference">
    <w:name w:val="Intense Reference"/>
    <w:basedOn w:val="DefaultParagraphFont"/>
    <w:uiPriority w:val="32"/>
    <w:qFormat/>
    <w:rsid w:val="0046531C"/>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471C15"/>
    <w:pPr>
      <w:outlineLvl w:val="2"/>
    </w:pPr>
    <w:rPr>
      <w:b/>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Caption 3,c,appendix"/>
    <w:basedOn w:val="Normal"/>
    <w:next w:val="Normal"/>
    <w:link w:val="CaptionChar"/>
    <w:unhideWhenUsed/>
    <w:qFormat/>
    <w:rsid w:val="00262F8E"/>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Caption 3 Char,c Char,appendix Char"/>
    <w:link w:val="Caption"/>
    <w:rsid w:val="00262F8E"/>
    <w:rPr>
      <w:rFonts w:ascii="Arial Narrow" w:hAnsi="Arial Narrow" w:cs="Arial"/>
      <w:b/>
      <w:bCs/>
      <w:snapToGrid w:val="0"/>
      <w:szCs w:val="18"/>
      <w:lang w:eastAsia="en-US"/>
    </w:rPr>
  </w:style>
  <w:style w:type="paragraph" w:styleId="Title">
    <w:name w:val="Title"/>
    <w:basedOn w:val="Heading1"/>
    <w:next w:val="Normal"/>
    <w:link w:val="TitleChar"/>
    <w:rsid w:val="00CE5969"/>
    <w:rPr>
      <w:sz w:val="28"/>
    </w:rPr>
  </w:style>
  <w:style w:type="character" w:customStyle="1" w:styleId="TitleChar">
    <w:name w:val="Title Char"/>
    <w:basedOn w:val="DefaultParagraphFont"/>
    <w:link w:val="Title"/>
    <w:rsid w:val="00CE5969"/>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C36E26"/>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36E26"/>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6B67C9"/>
    <w:pPr>
      <w:tabs>
        <w:tab w:val="left" w:pos="880"/>
        <w:tab w:val="right" w:leader="dot" w:pos="9016"/>
      </w:tabs>
      <w:spacing w:before="120"/>
      <w:jc w:val="left"/>
    </w:pPr>
    <w:rPr>
      <w:iCs/>
      <w:sz w:val="20"/>
    </w:rPr>
  </w:style>
  <w:style w:type="paragraph" w:styleId="TOC1">
    <w:name w:val="toc 1"/>
    <w:basedOn w:val="Normal"/>
    <w:next w:val="Normal"/>
    <w:autoRedefine/>
    <w:uiPriority w:val="39"/>
    <w:qFormat/>
    <w:rsid w:val="00DE0352"/>
    <w:pPr>
      <w:tabs>
        <w:tab w:val="left" w:pos="440"/>
        <w:tab w:val="right" w:leader="dot" w:pos="9016"/>
      </w:tabs>
      <w:spacing w:before="240" w:after="120"/>
      <w:ind w:left="426" w:hanging="426"/>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CE5969"/>
    <w:pPr>
      <w:numPr>
        <w:numId w:val="5"/>
      </w:numPr>
      <w:outlineLvl w:val="0"/>
    </w:pPr>
    <w:rPr>
      <w:rFonts w:ascii="Arial" w:hAnsi="Arial" w:cs="Arial"/>
      <w:snapToGrid w:val="0"/>
      <w:sz w:val="22"/>
      <w:szCs w:val="22"/>
      <w:lang w:eastAsia="en-US"/>
    </w:rPr>
  </w:style>
  <w:style w:type="paragraph" w:customStyle="1" w:styleId="Tablecaption">
    <w:name w:val="Table caption"/>
    <w:basedOn w:val="Caption"/>
    <w:link w:val="TablecaptionChar"/>
    <w:qFormat/>
    <w:rsid w:val="00262F8E"/>
  </w:style>
  <w:style w:type="character" w:customStyle="1" w:styleId="TablecaptionChar">
    <w:name w:val="Table caption Char"/>
    <w:basedOn w:val="CaptionChar"/>
    <w:link w:val="Tablecaption"/>
    <w:rsid w:val="00262F8E"/>
    <w:rPr>
      <w:rFonts w:ascii="Arial Narrow" w:hAnsi="Arial Narrow" w:cs="Arial"/>
      <w:b/>
      <w:bCs/>
      <w:snapToGrid w:val="0"/>
      <w:szCs w:val="18"/>
      <w:lang w:eastAsia="en-US"/>
    </w:rPr>
  </w:style>
  <w:style w:type="paragraph" w:styleId="FootnoteText">
    <w:name w:val="footnote text"/>
    <w:basedOn w:val="Normal"/>
    <w:link w:val="FootnoteTextChar"/>
    <w:semiHidden/>
    <w:unhideWhenUsed/>
    <w:rsid w:val="009F3D9B"/>
    <w:rPr>
      <w:sz w:val="20"/>
    </w:rPr>
  </w:style>
  <w:style w:type="character" w:customStyle="1" w:styleId="FootnoteTextChar">
    <w:name w:val="Footnote Text Char"/>
    <w:basedOn w:val="DefaultParagraphFont"/>
    <w:link w:val="FootnoteText"/>
    <w:semiHidden/>
    <w:rsid w:val="009F3D9B"/>
    <w:rPr>
      <w:rFonts w:ascii="Arial" w:hAnsi="Arial" w:cs="Arial"/>
      <w:snapToGrid w:val="0"/>
      <w:lang w:eastAsia="en-US"/>
    </w:rPr>
  </w:style>
  <w:style w:type="character" w:styleId="FootnoteReference">
    <w:name w:val="footnote reference"/>
    <w:basedOn w:val="DefaultParagraphFont"/>
    <w:semiHidden/>
    <w:unhideWhenUsed/>
    <w:rsid w:val="009F3D9B"/>
    <w:rPr>
      <w:vertAlign w:val="superscript"/>
    </w:rPr>
  </w:style>
  <w:style w:type="paragraph" w:customStyle="1" w:styleId="EndNoteBibliographyTitle">
    <w:name w:val="EndNote Bibliography Title"/>
    <w:basedOn w:val="Normal"/>
    <w:link w:val="EndNoteBibliographyTitleChar"/>
    <w:rsid w:val="003C0FBE"/>
    <w:pPr>
      <w:jc w:val="center"/>
    </w:pPr>
    <w:rPr>
      <w:rFonts w:ascii="Arial Narrow" w:hAnsi="Arial Narrow"/>
      <w:noProof/>
      <w:sz w:val="20"/>
      <w:lang w:val="en-US"/>
    </w:rPr>
  </w:style>
  <w:style w:type="character" w:customStyle="1" w:styleId="EndNoteBibliographyTitleChar">
    <w:name w:val="EndNote Bibliography Title Char"/>
    <w:basedOn w:val="DefaultParagraphFont"/>
    <w:link w:val="EndNoteBibliographyTitle"/>
    <w:rsid w:val="003C0FBE"/>
    <w:rPr>
      <w:rFonts w:ascii="Arial Narrow" w:hAnsi="Arial Narrow" w:cs="Arial"/>
      <w:noProof/>
      <w:snapToGrid w:val="0"/>
      <w:lang w:val="en-US" w:eastAsia="en-US"/>
    </w:rPr>
  </w:style>
  <w:style w:type="paragraph" w:customStyle="1" w:styleId="EndNoteBibliography">
    <w:name w:val="EndNote Bibliography"/>
    <w:basedOn w:val="Normal"/>
    <w:link w:val="EndNoteBibliographyChar"/>
    <w:rsid w:val="003C0FBE"/>
    <w:pPr>
      <w:jc w:val="left"/>
    </w:pPr>
    <w:rPr>
      <w:rFonts w:ascii="Arial Narrow" w:hAnsi="Arial Narrow"/>
      <w:noProof/>
      <w:sz w:val="20"/>
      <w:lang w:val="en-US"/>
    </w:rPr>
  </w:style>
  <w:style w:type="character" w:customStyle="1" w:styleId="EndNoteBibliographyChar">
    <w:name w:val="EndNote Bibliography Char"/>
    <w:basedOn w:val="DefaultParagraphFont"/>
    <w:link w:val="EndNoteBibliography"/>
    <w:rsid w:val="003C0FBE"/>
    <w:rPr>
      <w:rFonts w:ascii="Arial Narrow" w:hAnsi="Arial Narrow" w:cs="Arial"/>
      <w:noProof/>
      <w:snapToGrid w:val="0"/>
      <w:lang w:val="en-US" w:eastAsia="en-US"/>
    </w:rPr>
  </w:style>
  <w:style w:type="paragraph" w:customStyle="1" w:styleId="PBACHeading10">
    <w:name w:val="PBAC Heading 1"/>
    <w:qFormat/>
    <w:rsid w:val="00276AA6"/>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276AA6"/>
    <w:rPr>
      <w:rFonts w:ascii="Arial" w:hAnsi="Arial" w:cs="Arial"/>
      <w:snapToGrid w:val="0"/>
      <w:sz w:val="22"/>
      <w:lang w:eastAsia="en-US"/>
    </w:rPr>
  </w:style>
  <w:style w:type="paragraph" w:customStyle="1" w:styleId="Default">
    <w:name w:val="Default"/>
    <w:rsid w:val="007D7F3B"/>
    <w:pPr>
      <w:autoSpaceDE w:val="0"/>
      <w:autoSpaceDN w:val="0"/>
      <w:adjustRightInd w:val="0"/>
    </w:pPr>
    <w:rPr>
      <w:rFonts w:ascii="Arial" w:hAnsi="Arial" w:cs="Arial"/>
      <w:color w:val="000000"/>
      <w:sz w:val="24"/>
      <w:szCs w:val="24"/>
    </w:rPr>
  </w:style>
  <w:style w:type="character" w:styleId="IntenseReference">
    <w:name w:val="Intense Reference"/>
    <w:basedOn w:val="DefaultParagraphFont"/>
    <w:uiPriority w:val="32"/>
    <w:qFormat/>
    <w:rsid w:val="0046531C"/>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402385">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4C33-CBEA-4AA5-A0BC-84997A00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5774</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2016-02-25T05:50:00Z</dcterms:created>
  <dcterms:modified xsi:type="dcterms:W3CDTF">2016-02-25T05:52:00Z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