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2C" w:rsidRPr="0070102D" w:rsidRDefault="00BE3DF8" w:rsidP="0070102D">
      <w:pPr>
        <w:pStyle w:val="Title"/>
      </w:pPr>
      <w:bookmarkStart w:id="0" w:name="_Toc430102461"/>
      <w:bookmarkStart w:id="1" w:name="_GoBack"/>
      <w:bookmarkEnd w:id="1"/>
      <w:r w:rsidRPr="0070102D">
        <w:t>5</w:t>
      </w:r>
      <w:r w:rsidR="00433044" w:rsidRPr="0070102D">
        <w:t>.</w:t>
      </w:r>
      <w:r w:rsidR="00377C64" w:rsidRPr="0070102D">
        <w:t>0</w:t>
      </w:r>
      <w:r w:rsidRPr="0070102D">
        <w:t>6</w:t>
      </w:r>
      <w:r w:rsidR="00B60939" w:rsidRPr="0070102D">
        <w:tab/>
      </w:r>
      <w:r w:rsidR="00C2158D" w:rsidRPr="0070102D">
        <w:t>EMPAGLIFLOZIN with METFORMIN</w:t>
      </w:r>
      <w:r w:rsidR="00B60939" w:rsidRPr="0070102D">
        <w:t xml:space="preserve">, </w:t>
      </w:r>
      <w:r w:rsidR="00C2158D" w:rsidRPr="0070102D">
        <w:t>oral tablet</w:t>
      </w:r>
      <w:r w:rsidR="00B60939" w:rsidRPr="0070102D">
        <w:t xml:space="preserve">, </w:t>
      </w:r>
      <w:r w:rsidR="00C2158D" w:rsidRPr="0070102D">
        <w:t>5mg/500mg, 5mg/850mg, 5mg/1000mg, 12.5mg/500mg, 12.5mg/850mg, 12.5mg/1000mg</w:t>
      </w:r>
    </w:p>
    <w:p w:rsidR="00B60939" w:rsidRPr="0070102D" w:rsidRDefault="006050A6" w:rsidP="0070102D">
      <w:pPr>
        <w:pStyle w:val="Title"/>
        <w:ind w:firstLine="0"/>
      </w:pPr>
      <w:r w:rsidRPr="0070102D">
        <w:t>Jardiance</w:t>
      </w:r>
      <w:r w:rsidR="00552316" w:rsidRPr="0070102D">
        <w:t>met</w:t>
      </w:r>
      <w:r w:rsidR="0067598C" w:rsidRPr="0070102D">
        <w:t>®/Jardiamet®</w:t>
      </w:r>
      <w:r w:rsidR="00935BC1" w:rsidRPr="0070102D">
        <w:t>,</w:t>
      </w:r>
      <w:r w:rsidR="0067598C" w:rsidRPr="0070102D">
        <w:t xml:space="preserve"> </w:t>
      </w:r>
      <w:r w:rsidR="00C2158D" w:rsidRPr="0070102D">
        <w:t xml:space="preserve">Boehringer Ingelheim </w:t>
      </w:r>
      <w:bookmarkEnd w:id="0"/>
    </w:p>
    <w:p w:rsidR="00C266E0" w:rsidRDefault="00C266E0" w:rsidP="00C2158D">
      <w:pPr>
        <w:pStyle w:val="PBACHeading1"/>
        <w:numPr>
          <w:ilvl w:val="0"/>
          <w:numId w:val="0"/>
        </w:numPr>
        <w:ind w:left="720" w:hanging="720"/>
      </w:pPr>
    </w:p>
    <w:p w:rsidR="00433044" w:rsidRDefault="00433044" w:rsidP="00D57585"/>
    <w:p w:rsidR="00B60939" w:rsidRDefault="00B60939" w:rsidP="00D57585"/>
    <w:p w:rsidR="00B50DB8" w:rsidRPr="0070102D" w:rsidRDefault="00B50DB8" w:rsidP="0070102D">
      <w:pPr>
        <w:pStyle w:val="Heading1"/>
      </w:pPr>
      <w:bookmarkStart w:id="2" w:name="_Toc430102463"/>
      <w:r w:rsidRPr="0070102D">
        <w:t>Purpose of Application</w:t>
      </w:r>
      <w:bookmarkEnd w:id="2"/>
    </w:p>
    <w:p w:rsidR="00B60939" w:rsidRPr="00882085" w:rsidRDefault="00B60939" w:rsidP="00D57585">
      <w:pPr>
        <w:rPr>
          <w:szCs w:val="22"/>
        </w:rPr>
      </w:pPr>
    </w:p>
    <w:p w:rsidR="00B60939" w:rsidRDefault="000120D5" w:rsidP="000028F6">
      <w:pPr>
        <w:pStyle w:val="ListParagraph"/>
        <w:widowControl/>
        <w:numPr>
          <w:ilvl w:val="1"/>
          <w:numId w:val="3"/>
        </w:numPr>
      </w:pPr>
      <w:r>
        <w:t>Authority Required (Streamlined) list</w:t>
      </w:r>
      <w:r w:rsidR="002E645E">
        <w:t xml:space="preserve">ing for empagliflozin/metformin </w:t>
      </w:r>
      <w:r>
        <w:t>i</w:t>
      </w:r>
      <w:r w:rsidR="002E645E">
        <w:t>mmediate release</w:t>
      </w:r>
      <w:r>
        <w:t xml:space="preserve"> </w:t>
      </w:r>
      <w:r w:rsidR="00481636">
        <w:t>fixed dose combination (</w:t>
      </w:r>
      <w:r>
        <w:t>FDC</w:t>
      </w:r>
      <w:r w:rsidR="00481636">
        <w:t>)</w:t>
      </w:r>
      <w:r>
        <w:t xml:space="preserve"> for treatment of Type 2 diabetes.</w:t>
      </w:r>
    </w:p>
    <w:p w:rsidR="004E43B2" w:rsidRDefault="004E43B2" w:rsidP="00D57585"/>
    <w:p w:rsidR="001E1FAE" w:rsidRPr="00882085" w:rsidRDefault="001E1FAE" w:rsidP="00D57585"/>
    <w:p w:rsidR="00617E12" w:rsidRPr="007D03FA" w:rsidRDefault="00B50DB8" w:rsidP="0070102D">
      <w:pPr>
        <w:pStyle w:val="Heading1"/>
      </w:pPr>
      <w:bookmarkStart w:id="3" w:name="_Toc430102464"/>
      <w:r w:rsidRPr="007D03FA">
        <w:t>Requested listing</w:t>
      </w:r>
      <w:bookmarkEnd w:id="3"/>
    </w:p>
    <w:p w:rsidR="00617E12" w:rsidRPr="006050A6" w:rsidRDefault="008E51E4" w:rsidP="008E51E4">
      <w:pPr>
        <w:ind w:left="720"/>
      </w:pPr>
      <w:r w:rsidRPr="006050A6">
        <w:t>Suggestions and additions proposed by the Secretariat to the requested listing are added in italics and suggested deletions are crossed out with strikethrough.</w:t>
      </w:r>
      <w:r w:rsidR="00DD0510" w:rsidRPr="006050A6">
        <w:t xml:space="preserve"> The sponsor has two concurrent listings for empagliflozin in triple therapy with metformin and a sulfonylurea, and empagliflozin in combination with insulin. The sponsor requested that the wording of the restriction for the FDC be updated to include use with a sulfonylurea or insulin, in the case that the concurrent submissions are successful. The Secretariat has therefore suggested additional restriction wordings for PBAC to consider should these listings be recommended.</w:t>
      </w:r>
    </w:p>
    <w:p w:rsidR="00DE2C0E" w:rsidRPr="008E51E4" w:rsidRDefault="00DE2C0E" w:rsidP="008E51E4">
      <w:pPr>
        <w:ind w:left="720"/>
        <w:rPr>
          <w:i/>
        </w:rPr>
      </w:pPr>
    </w:p>
    <w:tbl>
      <w:tblPr>
        <w:tblW w:w="4600" w:type="pct"/>
        <w:tblCellMar>
          <w:left w:w="28" w:type="dxa"/>
          <w:right w:w="28" w:type="dxa"/>
        </w:tblCellMar>
        <w:tblLook w:val="0000" w:firstRow="0" w:lastRow="0" w:firstColumn="0" w:lastColumn="0" w:noHBand="0" w:noVBand="0"/>
        <w:tblCaption w:val="Requested PBS listing"/>
      </w:tblPr>
      <w:tblGrid>
        <w:gridCol w:w="2935"/>
        <w:gridCol w:w="525"/>
        <w:gridCol w:w="667"/>
        <w:gridCol w:w="1345"/>
        <w:gridCol w:w="1569"/>
        <w:gridCol w:w="1315"/>
      </w:tblGrid>
      <w:tr w:rsidR="00B50DB8" w:rsidRPr="00413860" w:rsidTr="007D03FA">
        <w:trPr>
          <w:cantSplit/>
          <w:trHeight w:val="463"/>
        </w:trPr>
        <w:tc>
          <w:tcPr>
            <w:tcW w:w="1756" w:type="pct"/>
            <w:tcBorders>
              <w:bottom w:val="single" w:sz="4" w:space="0" w:color="auto"/>
            </w:tcBorders>
            <w:vAlign w:val="center"/>
          </w:tcPr>
          <w:p w:rsidR="00617E12" w:rsidRPr="008E51E4" w:rsidRDefault="00617E12" w:rsidP="00D57585">
            <w:pPr>
              <w:keepNext/>
              <w:jc w:val="left"/>
              <w:rPr>
                <w:sz w:val="20"/>
              </w:rPr>
            </w:pPr>
            <w:r w:rsidRPr="008E51E4">
              <w:rPr>
                <w:sz w:val="20"/>
              </w:rPr>
              <w:t>Name, Restriction,</w:t>
            </w:r>
          </w:p>
          <w:p w:rsidR="00617E12" w:rsidRPr="008E51E4" w:rsidRDefault="00617E12" w:rsidP="00D57585">
            <w:pPr>
              <w:keepNext/>
              <w:jc w:val="left"/>
              <w:rPr>
                <w:sz w:val="20"/>
              </w:rPr>
            </w:pPr>
            <w:r w:rsidRPr="008E51E4">
              <w:rPr>
                <w:sz w:val="20"/>
              </w:rPr>
              <w:t>Manner of administration and form</w:t>
            </w:r>
          </w:p>
        </w:tc>
        <w:tc>
          <w:tcPr>
            <w:tcW w:w="314" w:type="pct"/>
            <w:tcBorders>
              <w:bottom w:val="single" w:sz="4" w:space="0" w:color="auto"/>
            </w:tcBorders>
            <w:vAlign w:val="center"/>
          </w:tcPr>
          <w:p w:rsidR="00617E12" w:rsidRDefault="00617E12" w:rsidP="00D57585">
            <w:pPr>
              <w:keepNext/>
              <w:jc w:val="center"/>
              <w:rPr>
                <w:sz w:val="20"/>
              </w:rPr>
            </w:pPr>
            <w:r>
              <w:rPr>
                <w:sz w:val="20"/>
              </w:rPr>
              <w:t>Max.</w:t>
            </w:r>
          </w:p>
          <w:p w:rsidR="00617E12" w:rsidRDefault="00617E12" w:rsidP="00D57585">
            <w:pPr>
              <w:keepNext/>
              <w:jc w:val="center"/>
              <w:rPr>
                <w:sz w:val="20"/>
              </w:rPr>
            </w:pPr>
            <w:r>
              <w:rPr>
                <w:sz w:val="20"/>
              </w:rPr>
              <w:t>Qty</w:t>
            </w:r>
          </w:p>
        </w:tc>
        <w:tc>
          <w:tcPr>
            <w:tcW w:w="399" w:type="pct"/>
            <w:tcBorders>
              <w:bottom w:val="single" w:sz="4" w:space="0" w:color="auto"/>
            </w:tcBorders>
            <w:vAlign w:val="center"/>
          </w:tcPr>
          <w:p w:rsidR="00617E12" w:rsidRDefault="00617E12" w:rsidP="00D57585">
            <w:pPr>
              <w:keepNext/>
              <w:jc w:val="center"/>
              <w:rPr>
                <w:sz w:val="20"/>
              </w:rPr>
            </w:pPr>
            <w:r>
              <w:rPr>
                <w:sz w:val="20"/>
              </w:rPr>
              <w:t>№.of</w:t>
            </w:r>
          </w:p>
          <w:p w:rsidR="00617E12" w:rsidRDefault="00617E12" w:rsidP="00D57585">
            <w:pPr>
              <w:keepNext/>
              <w:jc w:val="center"/>
              <w:rPr>
                <w:sz w:val="20"/>
              </w:rPr>
            </w:pPr>
            <w:r>
              <w:rPr>
                <w:sz w:val="20"/>
              </w:rPr>
              <w:t>Rpts</w:t>
            </w:r>
          </w:p>
        </w:tc>
        <w:tc>
          <w:tcPr>
            <w:tcW w:w="805" w:type="pct"/>
            <w:tcBorders>
              <w:bottom w:val="single" w:sz="4" w:space="0" w:color="auto"/>
            </w:tcBorders>
            <w:vAlign w:val="center"/>
          </w:tcPr>
          <w:p w:rsidR="00617E12" w:rsidRDefault="00617E12" w:rsidP="00D57585">
            <w:pPr>
              <w:keepNext/>
              <w:jc w:val="center"/>
              <w:rPr>
                <w:sz w:val="20"/>
              </w:rPr>
            </w:pPr>
            <w:r>
              <w:rPr>
                <w:sz w:val="20"/>
              </w:rPr>
              <w:t>Dispensed Price for Max. Qty</w:t>
            </w:r>
          </w:p>
        </w:tc>
        <w:tc>
          <w:tcPr>
            <w:tcW w:w="1726" w:type="pct"/>
            <w:gridSpan w:val="2"/>
            <w:tcBorders>
              <w:bottom w:val="single" w:sz="4" w:space="0" w:color="auto"/>
            </w:tcBorders>
            <w:vAlign w:val="center"/>
          </w:tcPr>
          <w:p w:rsidR="00617E12" w:rsidRDefault="00617E12" w:rsidP="00D57585">
            <w:pPr>
              <w:keepNext/>
              <w:jc w:val="center"/>
              <w:rPr>
                <w:sz w:val="20"/>
                <w:lang w:val="fr-FR"/>
              </w:rPr>
            </w:pPr>
            <w:r>
              <w:rPr>
                <w:sz w:val="20"/>
              </w:rPr>
              <w:t>Proprietary Name and Manufacturer</w:t>
            </w:r>
          </w:p>
        </w:tc>
      </w:tr>
      <w:tr w:rsidR="000120D5" w:rsidRPr="00413860" w:rsidTr="007D03FA">
        <w:trPr>
          <w:cantSplit/>
          <w:trHeight w:val="567"/>
        </w:trPr>
        <w:tc>
          <w:tcPr>
            <w:tcW w:w="1756" w:type="pct"/>
          </w:tcPr>
          <w:p w:rsidR="000120D5" w:rsidRPr="008E51E4" w:rsidRDefault="000120D5" w:rsidP="00D57585">
            <w:pPr>
              <w:keepNext/>
              <w:rPr>
                <w:sz w:val="20"/>
              </w:rPr>
            </w:pPr>
            <w:r w:rsidRPr="008E51E4">
              <w:rPr>
                <w:smallCaps/>
                <w:sz w:val="20"/>
              </w:rPr>
              <w:t>Empagliflozin/</w:t>
            </w:r>
            <w:r w:rsidR="0029620F" w:rsidRPr="008E51E4">
              <w:rPr>
                <w:smallCaps/>
                <w:sz w:val="20"/>
              </w:rPr>
              <w:t>m</w:t>
            </w:r>
            <w:r w:rsidRPr="008E51E4">
              <w:rPr>
                <w:smallCaps/>
                <w:sz w:val="20"/>
              </w:rPr>
              <w:t>etformin</w:t>
            </w:r>
          </w:p>
          <w:p w:rsidR="000120D5" w:rsidRPr="008E51E4" w:rsidRDefault="000120D5" w:rsidP="00D57585">
            <w:pPr>
              <w:keepNext/>
              <w:rPr>
                <w:sz w:val="20"/>
              </w:rPr>
            </w:pPr>
            <w:r w:rsidRPr="008E51E4">
              <w:rPr>
                <w:sz w:val="20"/>
              </w:rPr>
              <w:t>Oral tablet, 5mg/500mg</w:t>
            </w:r>
          </w:p>
          <w:p w:rsidR="000120D5" w:rsidRPr="008E51E4" w:rsidRDefault="000120D5" w:rsidP="00D57585">
            <w:pPr>
              <w:keepNext/>
              <w:rPr>
                <w:sz w:val="20"/>
              </w:rPr>
            </w:pPr>
            <w:r w:rsidRPr="008E51E4">
              <w:rPr>
                <w:smallCaps/>
                <w:sz w:val="20"/>
              </w:rPr>
              <w:t>Empagliflozin/</w:t>
            </w:r>
            <w:r w:rsidR="0029620F" w:rsidRPr="008E51E4">
              <w:rPr>
                <w:smallCaps/>
                <w:sz w:val="20"/>
              </w:rPr>
              <w:t>m</w:t>
            </w:r>
            <w:r w:rsidRPr="008E51E4">
              <w:rPr>
                <w:smallCaps/>
                <w:sz w:val="20"/>
              </w:rPr>
              <w:t>etformin</w:t>
            </w:r>
          </w:p>
          <w:p w:rsidR="000120D5" w:rsidRPr="008E51E4" w:rsidRDefault="000120D5" w:rsidP="00D57585">
            <w:pPr>
              <w:keepNext/>
              <w:rPr>
                <w:sz w:val="20"/>
              </w:rPr>
            </w:pPr>
            <w:r w:rsidRPr="008E51E4">
              <w:rPr>
                <w:sz w:val="20"/>
              </w:rPr>
              <w:t>Oral tablet, 5mg/850mg</w:t>
            </w:r>
          </w:p>
          <w:p w:rsidR="000120D5" w:rsidRPr="008E51E4" w:rsidRDefault="000120D5" w:rsidP="00D57585">
            <w:pPr>
              <w:keepNext/>
              <w:rPr>
                <w:sz w:val="20"/>
              </w:rPr>
            </w:pPr>
            <w:r w:rsidRPr="008E51E4">
              <w:rPr>
                <w:smallCaps/>
                <w:sz w:val="20"/>
              </w:rPr>
              <w:t>Empagliflozin/</w:t>
            </w:r>
            <w:r w:rsidR="0029620F" w:rsidRPr="008E51E4">
              <w:rPr>
                <w:smallCaps/>
                <w:sz w:val="20"/>
              </w:rPr>
              <w:t>m</w:t>
            </w:r>
            <w:r w:rsidRPr="008E51E4">
              <w:rPr>
                <w:smallCaps/>
                <w:sz w:val="20"/>
              </w:rPr>
              <w:t>etformin</w:t>
            </w:r>
          </w:p>
          <w:p w:rsidR="000120D5" w:rsidRPr="008E51E4" w:rsidRDefault="000120D5" w:rsidP="00D57585">
            <w:pPr>
              <w:keepNext/>
              <w:rPr>
                <w:sz w:val="20"/>
              </w:rPr>
            </w:pPr>
            <w:r w:rsidRPr="008E51E4">
              <w:rPr>
                <w:sz w:val="20"/>
              </w:rPr>
              <w:t>Oral tablet, 5mg/1000mg</w:t>
            </w:r>
          </w:p>
          <w:p w:rsidR="000120D5" w:rsidRPr="008E51E4" w:rsidRDefault="000120D5" w:rsidP="00D57585">
            <w:pPr>
              <w:keepNext/>
              <w:rPr>
                <w:sz w:val="20"/>
              </w:rPr>
            </w:pPr>
            <w:r w:rsidRPr="008E51E4">
              <w:rPr>
                <w:smallCaps/>
                <w:sz w:val="20"/>
              </w:rPr>
              <w:t>Empagliflozin/</w:t>
            </w:r>
            <w:r w:rsidR="0029620F" w:rsidRPr="008E51E4">
              <w:rPr>
                <w:smallCaps/>
                <w:sz w:val="20"/>
              </w:rPr>
              <w:t>m</w:t>
            </w:r>
            <w:r w:rsidRPr="008E51E4">
              <w:rPr>
                <w:smallCaps/>
                <w:sz w:val="20"/>
              </w:rPr>
              <w:t>etformin</w:t>
            </w:r>
          </w:p>
          <w:p w:rsidR="000120D5" w:rsidRPr="008E51E4" w:rsidRDefault="000120D5" w:rsidP="00D57585">
            <w:pPr>
              <w:keepNext/>
              <w:rPr>
                <w:sz w:val="20"/>
              </w:rPr>
            </w:pPr>
            <w:r w:rsidRPr="008E51E4">
              <w:rPr>
                <w:sz w:val="20"/>
              </w:rPr>
              <w:t>Oral tablet, 12.5mg/500mg</w:t>
            </w:r>
          </w:p>
          <w:p w:rsidR="000120D5" w:rsidRPr="008E51E4" w:rsidRDefault="000120D5" w:rsidP="00D57585">
            <w:pPr>
              <w:keepNext/>
              <w:rPr>
                <w:sz w:val="20"/>
              </w:rPr>
            </w:pPr>
            <w:r w:rsidRPr="008E51E4">
              <w:rPr>
                <w:smallCaps/>
                <w:sz w:val="20"/>
              </w:rPr>
              <w:t>Empagliflozin/</w:t>
            </w:r>
            <w:r w:rsidR="0029620F" w:rsidRPr="008E51E4">
              <w:rPr>
                <w:smallCaps/>
                <w:sz w:val="20"/>
              </w:rPr>
              <w:t>m</w:t>
            </w:r>
            <w:r w:rsidRPr="008E51E4">
              <w:rPr>
                <w:smallCaps/>
                <w:sz w:val="20"/>
              </w:rPr>
              <w:t>etformin</w:t>
            </w:r>
          </w:p>
          <w:p w:rsidR="000120D5" w:rsidRPr="008E51E4" w:rsidRDefault="000120D5" w:rsidP="00D57585">
            <w:pPr>
              <w:keepNext/>
              <w:rPr>
                <w:sz w:val="20"/>
              </w:rPr>
            </w:pPr>
            <w:r w:rsidRPr="008E51E4">
              <w:rPr>
                <w:sz w:val="20"/>
              </w:rPr>
              <w:t>Oral tablet, 12.5mg/850mg</w:t>
            </w:r>
          </w:p>
          <w:p w:rsidR="000120D5" w:rsidRPr="008E51E4" w:rsidRDefault="000120D5" w:rsidP="00D57585">
            <w:pPr>
              <w:keepNext/>
              <w:rPr>
                <w:sz w:val="20"/>
              </w:rPr>
            </w:pPr>
            <w:r w:rsidRPr="008E51E4">
              <w:rPr>
                <w:smallCaps/>
                <w:sz w:val="20"/>
              </w:rPr>
              <w:t>Empagliflozin/</w:t>
            </w:r>
            <w:r w:rsidR="0029620F" w:rsidRPr="008E51E4">
              <w:rPr>
                <w:smallCaps/>
                <w:sz w:val="20"/>
              </w:rPr>
              <w:t>m</w:t>
            </w:r>
            <w:r w:rsidRPr="008E51E4">
              <w:rPr>
                <w:smallCaps/>
                <w:sz w:val="20"/>
              </w:rPr>
              <w:t>etformin</w:t>
            </w:r>
          </w:p>
          <w:p w:rsidR="000120D5" w:rsidRPr="008E51E4" w:rsidRDefault="000120D5" w:rsidP="00D57585">
            <w:pPr>
              <w:keepNext/>
              <w:rPr>
                <w:sz w:val="20"/>
              </w:rPr>
            </w:pPr>
            <w:r w:rsidRPr="008E51E4">
              <w:rPr>
                <w:sz w:val="20"/>
              </w:rPr>
              <w:t>Oral tablet, 12.5mg/1000mg</w:t>
            </w:r>
          </w:p>
          <w:p w:rsidR="000120D5" w:rsidRPr="008E51E4" w:rsidRDefault="000120D5" w:rsidP="00D57585">
            <w:pPr>
              <w:keepNext/>
              <w:jc w:val="left"/>
              <w:rPr>
                <w:sz w:val="20"/>
              </w:rPr>
            </w:pPr>
          </w:p>
        </w:tc>
        <w:tc>
          <w:tcPr>
            <w:tcW w:w="314" w:type="pct"/>
          </w:tcPr>
          <w:p w:rsidR="000120D5" w:rsidRDefault="000120D5" w:rsidP="00D57585">
            <w:pPr>
              <w:keepNext/>
              <w:jc w:val="center"/>
              <w:rPr>
                <w:sz w:val="20"/>
              </w:rPr>
            </w:pPr>
          </w:p>
          <w:p w:rsidR="000120D5" w:rsidRDefault="000120D5" w:rsidP="00D57585">
            <w:pPr>
              <w:keepNext/>
              <w:jc w:val="center"/>
              <w:rPr>
                <w:sz w:val="20"/>
              </w:rPr>
            </w:pPr>
            <w:r>
              <w:rPr>
                <w:sz w:val="20"/>
              </w:rPr>
              <w:t>60</w:t>
            </w:r>
          </w:p>
          <w:p w:rsidR="000120D5" w:rsidRDefault="000120D5" w:rsidP="00D57585">
            <w:pPr>
              <w:keepNext/>
              <w:jc w:val="center"/>
              <w:rPr>
                <w:sz w:val="20"/>
              </w:rPr>
            </w:pPr>
          </w:p>
          <w:p w:rsidR="000120D5" w:rsidRDefault="000120D5" w:rsidP="00D57585">
            <w:pPr>
              <w:keepNext/>
              <w:jc w:val="center"/>
              <w:rPr>
                <w:sz w:val="20"/>
              </w:rPr>
            </w:pPr>
            <w:r>
              <w:rPr>
                <w:sz w:val="20"/>
              </w:rPr>
              <w:t>60</w:t>
            </w:r>
          </w:p>
          <w:p w:rsidR="000120D5" w:rsidRDefault="000120D5" w:rsidP="00D57585">
            <w:pPr>
              <w:keepNext/>
              <w:jc w:val="center"/>
              <w:rPr>
                <w:sz w:val="20"/>
              </w:rPr>
            </w:pPr>
          </w:p>
          <w:p w:rsidR="000120D5" w:rsidRDefault="000120D5" w:rsidP="00D57585">
            <w:pPr>
              <w:keepNext/>
              <w:jc w:val="center"/>
              <w:rPr>
                <w:sz w:val="20"/>
              </w:rPr>
            </w:pPr>
            <w:r>
              <w:rPr>
                <w:sz w:val="20"/>
              </w:rPr>
              <w:t>60</w:t>
            </w:r>
          </w:p>
          <w:p w:rsidR="000120D5" w:rsidRDefault="000120D5" w:rsidP="00D57585">
            <w:pPr>
              <w:keepNext/>
              <w:jc w:val="center"/>
              <w:rPr>
                <w:sz w:val="20"/>
              </w:rPr>
            </w:pPr>
          </w:p>
          <w:p w:rsidR="000120D5" w:rsidRDefault="000120D5" w:rsidP="00D57585">
            <w:pPr>
              <w:keepNext/>
              <w:jc w:val="center"/>
              <w:rPr>
                <w:sz w:val="20"/>
              </w:rPr>
            </w:pPr>
            <w:r>
              <w:rPr>
                <w:sz w:val="20"/>
              </w:rPr>
              <w:t>60</w:t>
            </w:r>
          </w:p>
          <w:p w:rsidR="000120D5" w:rsidRDefault="000120D5" w:rsidP="00D57585">
            <w:pPr>
              <w:keepNext/>
              <w:jc w:val="center"/>
              <w:rPr>
                <w:sz w:val="20"/>
              </w:rPr>
            </w:pPr>
          </w:p>
          <w:p w:rsidR="000120D5" w:rsidRDefault="000120D5" w:rsidP="00D57585">
            <w:pPr>
              <w:keepNext/>
              <w:jc w:val="center"/>
              <w:rPr>
                <w:sz w:val="20"/>
              </w:rPr>
            </w:pPr>
            <w:r>
              <w:rPr>
                <w:sz w:val="20"/>
              </w:rPr>
              <w:t>60</w:t>
            </w:r>
          </w:p>
          <w:p w:rsidR="000120D5" w:rsidRDefault="000120D5" w:rsidP="00D57585">
            <w:pPr>
              <w:keepNext/>
              <w:jc w:val="center"/>
              <w:rPr>
                <w:sz w:val="20"/>
              </w:rPr>
            </w:pPr>
          </w:p>
          <w:p w:rsidR="000120D5" w:rsidRDefault="000120D5" w:rsidP="00D57585">
            <w:pPr>
              <w:keepNext/>
              <w:jc w:val="center"/>
              <w:rPr>
                <w:sz w:val="20"/>
              </w:rPr>
            </w:pPr>
            <w:r>
              <w:rPr>
                <w:sz w:val="20"/>
              </w:rPr>
              <w:t>60</w:t>
            </w:r>
          </w:p>
        </w:tc>
        <w:tc>
          <w:tcPr>
            <w:tcW w:w="399" w:type="pct"/>
          </w:tcPr>
          <w:p w:rsidR="000120D5" w:rsidRDefault="000120D5" w:rsidP="00D57585">
            <w:pPr>
              <w:keepNext/>
              <w:jc w:val="center"/>
              <w:rPr>
                <w:sz w:val="20"/>
              </w:rPr>
            </w:pPr>
          </w:p>
          <w:p w:rsidR="000120D5" w:rsidRDefault="000120D5" w:rsidP="00D57585">
            <w:pPr>
              <w:keepNext/>
              <w:jc w:val="center"/>
              <w:rPr>
                <w:sz w:val="20"/>
              </w:rPr>
            </w:pPr>
            <w:r>
              <w:rPr>
                <w:sz w:val="20"/>
              </w:rPr>
              <w:t>5</w:t>
            </w:r>
          </w:p>
          <w:p w:rsidR="000120D5" w:rsidRDefault="000120D5" w:rsidP="00D57585">
            <w:pPr>
              <w:keepNext/>
              <w:jc w:val="center"/>
              <w:rPr>
                <w:sz w:val="20"/>
              </w:rPr>
            </w:pPr>
          </w:p>
          <w:p w:rsidR="000120D5" w:rsidRDefault="000120D5" w:rsidP="00D57585">
            <w:pPr>
              <w:keepNext/>
              <w:jc w:val="center"/>
              <w:rPr>
                <w:sz w:val="20"/>
              </w:rPr>
            </w:pPr>
            <w:r>
              <w:rPr>
                <w:sz w:val="20"/>
              </w:rPr>
              <w:t>5</w:t>
            </w:r>
          </w:p>
          <w:p w:rsidR="000120D5" w:rsidRDefault="000120D5" w:rsidP="00D57585">
            <w:pPr>
              <w:keepNext/>
              <w:jc w:val="center"/>
              <w:rPr>
                <w:sz w:val="20"/>
              </w:rPr>
            </w:pPr>
          </w:p>
          <w:p w:rsidR="000120D5" w:rsidRDefault="000120D5" w:rsidP="00D57585">
            <w:pPr>
              <w:keepNext/>
              <w:jc w:val="center"/>
              <w:rPr>
                <w:sz w:val="20"/>
              </w:rPr>
            </w:pPr>
            <w:r>
              <w:rPr>
                <w:sz w:val="20"/>
              </w:rPr>
              <w:t>5</w:t>
            </w:r>
          </w:p>
          <w:p w:rsidR="000120D5" w:rsidRDefault="000120D5" w:rsidP="00D57585">
            <w:pPr>
              <w:keepNext/>
              <w:jc w:val="center"/>
              <w:rPr>
                <w:sz w:val="20"/>
              </w:rPr>
            </w:pPr>
          </w:p>
          <w:p w:rsidR="000120D5" w:rsidRDefault="000120D5" w:rsidP="00D57585">
            <w:pPr>
              <w:keepNext/>
              <w:jc w:val="center"/>
              <w:rPr>
                <w:sz w:val="20"/>
              </w:rPr>
            </w:pPr>
            <w:r>
              <w:rPr>
                <w:sz w:val="20"/>
              </w:rPr>
              <w:t>5</w:t>
            </w:r>
          </w:p>
          <w:p w:rsidR="000120D5" w:rsidRDefault="000120D5" w:rsidP="00D57585">
            <w:pPr>
              <w:keepNext/>
              <w:jc w:val="center"/>
              <w:rPr>
                <w:sz w:val="20"/>
              </w:rPr>
            </w:pPr>
          </w:p>
          <w:p w:rsidR="000120D5" w:rsidRDefault="000120D5" w:rsidP="00D57585">
            <w:pPr>
              <w:keepNext/>
              <w:jc w:val="center"/>
              <w:rPr>
                <w:sz w:val="20"/>
              </w:rPr>
            </w:pPr>
            <w:r>
              <w:rPr>
                <w:sz w:val="20"/>
              </w:rPr>
              <w:t>5</w:t>
            </w:r>
          </w:p>
          <w:p w:rsidR="000120D5" w:rsidRDefault="000120D5" w:rsidP="00D57585">
            <w:pPr>
              <w:keepNext/>
              <w:jc w:val="center"/>
              <w:rPr>
                <w:sz w:val="20"/>
              </w:rPr>
            </w:pPr>
          </w:p>
          <w:p w:rsidR="000120D5" w:rsidRDefault="000120D5" w:rsidP="00D57585">
            <w:pPr>
              <w:keepNext/>
              <w:jc w:val="center"/>
              <w:rPr>
                <w:sz w:val="20"/>
              </w:rPr>
            </w:pPr>
            <w:r>
              <w:rPr>
                <w:sz w:val="20"/>
              </w:rPr>
              <w:t>5</w:t>
            </w:r>
          </w:p>
        </w:tc>
        <w:tc>
          <w:tcPr>
            <w:tcW w:w="805" w:type="pct"/>
          </w:tcPr>
          <w:p w:rsidR="000120D5" w:rsidRDefault="000120D5" w:rsidP="00D57585">
            <w:pPr>
              <w:keepNext/>
              <w:jc w:val="center"/>
              <w:rPr>
                <w:sz w:val="20"/>
              </w:rPr>
            </w:pPr>
          </w:p>
          <w:p w:rsidR="000120D5" w:rsidRDefault="000120D5" w:rsidP="00D57585">
            <w:pPr>
              <w:keepNext/>
              <w:jc w:val="center"/>
              <w:rPr>
                <w:sz w:val="20"/>
              </w:rPr>
            </w:pPr>
            <w:r>
              <w:rPr>
                <w:sz w:val="20"/>
              </w:rPr>
              <w:t>$</w:t>
            </w:r>
            <w:r w:rsidRPr="00350949">
              <w:rPr>
                <w:sz w:val="20"/>
              </w:rPr>
              <w:t>62.76</w:t>
            </w:r>
          </w:p>
          <w:p w:rsidR="000120D5" w:rsidRDefault="000120D5" w:rsidP="00D57585">
            <w:pPr>
              <w:keepNext/>
              <w:jc w:val="center"/>
              <w:rPr>
                <w:sz w:val="20"/>
              </w:rPr>
            </w:pPr>
          </w:p>
          <w:p w:rsidR="000120D5" w:rsidRDefault="000120D5" w:rsidP="00D57585">
            <w:pPr>
              <w:keepNext/>
              <w:jc w:val="center"/>
              <w:rPr>
                <w:sz w:val="20"/>
              </w:rPr>
            </w:pPr>
            <w:r>
              <w:rPr>
                <w:sz w:val="20"/>
              </w:rPr>
              <w:t>$</w:t>
            </w:r>
            <w:r w:rsidRPr="00350949">
              <w:rPr>
                <w:sz w:val="20"/>
              </w:rPr>
              <w:t>63.96</w:t>
            </w:r>
          </w:p>
          <w:p w:rsidR="000120D5" w:rsidRDefault="000120D5" w:rsidP="00D57585">
            <w:pPr>
              <w:keepNext/>
              <w:jc w:val="center"/>
              <w:rPr>
                <w:sz w:val="20"/>
              </w:rPr>
            </w:pPr>
          </w:p>
          <w:p w:rsidR="000120D5" w:rsidRDefault="000120D5" w:rsidP="00D57585">
            <w:pPr>
              <w:keepNext/>
              <w:jc w:val="center"/>
              <w:rPr>
                <w:sz w:val="20"/>
              </w:rPr>
            </w:pPr>
            <w:r>
              <w:rPr>
                <w:sz w:val="20"/>
              </w:rPr>
              <w:t>$</w:t>
            </w:r>
            <w:r w:rsidRPr="00350949">
              <w:rPr>
                <w:sz w:val="20"/>
              </w:rPr>
              <w:t>64.45</w:t>
            </w:r>
          </w:p>
          <w:p w:rsidR="000120D5" w:rsidRDefault="000120D5" w:rsidP="00D57585">
            <w:pPr>
              <w:keepNext/>
              <w:jc w:val="center"/>
              <w:rPr>
                <w:sz w:val="20"/>
              </w:rPr>
            </w:pPr>
          </w:p>
          <w:p w:rsidR="000120D5" w:rsidRDefault="000120D5" w:rsidP="00D57585">
            <w:pPr>
              <w:keepNext/>
              <w:jc w:val="center"/>
              <w:rPr>
                <w:sz w:val="20"/>
              </w:rPr>
            </w:pPr>
            <w:r>
              <w:rPr>
                <w:sz w:val="20"/>
              </w:rPr>
              <w:t>$</w:t>
            </w:r>
            <w:r w:rsidRPr="00350949">
              <w:rPr>
                <w:sz w:val="20"/>
              </w:rPr>
              <w:t>62.76</w:t>
            </w:r>
          </w:p>
          <w:p w:rsidR="000120D5" w:rsidRDefault="000120D5" w:rsidP="00D57585">
            <w:pPr>
              <w:keepNext/>
              <w:jc w:val="center"/>
              <w:rPr>
                <w:sz w:val="20"/>
              </w:rPr>
            </w:pPr>
          </w:p>
          <w:p w:rsidR="000120D5" w:rsidRDefault="000120D5" w:rsidP="00D57585">
            <w:pPr>
              <w:keepNext/>
              <w:jc w:val="center"/>
              <w:rPr>
                <w:sz w:val="20"/>
              </w:rPr>
            </w:pPr>
            <w:r>
              <w:rPr>
                <w:sz w:val="20"/>
              </w:rPr>
              <w:t>$</w:t>
            </w:r>
            <w:r w:rsidRPr="00350949">
              <w:rPr>
                <w:sz w:val="20"/>
              </w:rPr>
              <w:t>63.96</w:t>
            </w:r>
          </w:p>
          <w:p w:rsidR="000120D5" w:rsidRDefault="000120D5" w:rsidP="00D57585">
            <w:pPr>
              <w:keepNext/>
              <w:jc w:val="center"/>
              <w:rPr>
                <w:sz w:val="20"/>
              </w:rPr>
            </w:pPr>
          </w:p>
          <w:p w:rsidR="000120D5" w:rsidRDefault="000120D5" w:rsidP="00D57585">
            <w:pPr>
              <w:keepNext/>
              <w:jc w:val="center"/>
              <w:rPr>
                <w:sz w:val="20"/>
              </w:rPr>
            </w:pPr>
            <w:r>
              <w:rPr>
                <w:sz w:val="20"/>
              </w:rPr>
              <w:t>$</w:t>
            </w:r>
            <w:r w:rsidRPr="00350949">
              <w:rPr>
                <w:sz w:val="20"/>
              </w:rPr>
              <w:t>64.45</w:t>
            </w:r>
          </w:p>
          <w:p w:rsidR="000120D5" w:rsidRDefault="000120D5" w:rsidP="00D57585">
            <w:pPr>
              <w:keepNext/>
              <w:rPr>
                <w:sz w:val="20"/>
              </w:rPr>
            </w:pPr>
          </w:p>
        </w:tc>
        <w:tc>
          <w:tcPr>
            <w:tcW w:w="939" w:type="pct"/>
          </w:tcPr>
          <w:p w:rsidR="006D7CBD" w:rsidRDefault="006D7CBD" w:rsidP="00D57585">
            <w:pPr>
              <w:keepNext/>
              <w:jc w:val="center"/>
              <w:rPr>
                <w:i/>
                <w:sz w:val="20"/>
              </w:rPr>
            </w:pPr>
          </w:p>
          <w:p w:rsidR="006D7CBD" w:rsidRDefault="006050A6" w:rsidP="00D57585">
            <w:pPr>
              <w:keepNext/>
              <w:jc w:val="center"/>
              <w:rPr>
                <w:sz w:val="20"/>
              </w:rPr>
            </w:pPr>
            <w:r>
              <w:rPr>
                <w:sz w:val="20"/>
              </w:rPr>
              <w:t>Jardiance</w:t>
            </w:r>
            <w:r w:rsidR="00552316">
              <w:rPr>
                <w:sz w:val="20"/>
              </w:rPr>
              <w:t>met</w:t>
            </w:r>
            <w:r w:rsidR="006D7CBD" w:rsidRPr="006D7CBD">
              <w:rPr>
                <w:sz w:val="20"/>
              </w:rPr>
              <w:t>®/</w:t>
            </w:r>
          </w:p>
          <w:p w:rsidR="000120D5" w:rsidRDefault="006D7CBD" w:rsidP="00D57585">
            <w:pPr>
              <w:keepNext/>
              <w:jc w:val="center"/>
              <w:rPr>
                <w:sz w:val="20"/>
              </w:rPr>
            </w:pPr>
            <w:r w:rsidRPr="006D7CBD">
              <w:rPr>
                <w:sz w:val="20"/>
              </w:rPr>
              <w:t xml:space="preserve">Jardiamet® </w:t>
            </w:r>
          </w:p>
        </w:tc>
        <w:tc>
          <w:tcPr>
            <w:tcW w:w="787" w:type="pct"/>
          </w:tcPr>
          <w:p w:rsidR="000120D5" w:rsidRDefault="000120D5" w:rsidP="00D57585">
            <w:pPr>
              <w:keepNext/>
              <w:jc w:val="center"/>
              <w:rPr>
                <w:sz w:val="20"/>
              </w:rPr>
            </w:pPr>
            <w:r>
              <w:rPr>
                <w:sz w:val="20"/>
              </w:rPr>
              <w:t>Boehringer Ingelheim</w:t>
            </w:r>
          </w:p>
        </w:tc>
      </w:tr>
      <w:tr w:rsidR="00617E12" w:rsidRPr="00413860" w:rsidTr="007D03FA">
        <w:trPr>
          <w:cantSplit/>
          <w:trHeight w:val="354"/>
        </w:trPr>
        <w:tc>
          <w:tcPr>
            <w:tcW w:w="5000" w:type="pct"/>
            <w:gridSpan w:val="6"/>
            <w:vAlign w:val="center"/>
          </w:tcPr>
          <w:p w:rsidR="00617E12" w:rsidRPr="008E51E4" w:rsidRDefault="00617E12" w:rsidP="00D57585">
            <w:pPr>
              <w:jc w:val="left"/>
              <w:rPr>
                <w:sz w:val="20"/>
              </w:rPr>
            </w:pPr>
            <w:r w:rsidRPr="008E51E4">
              <w:rPr>
                <w:b/>
                <w:sz w:val="20"/>
                <w:u w:val="single"/>
              </w:rPr>
              <w:t>Authority required</w:t>
            </w:r>
            <w:r w:rsidR="000120D5" w:rsidRPr="008E51E4">
              <w:rPr>
                <w:b/>
                <w:sz w:val="20"/>
                <w:u w:val="single"/>
              </w:rPr>
              <w:t xml:space="preserve"> (Streamlined):</w:t>
            </w:r>
            <w:r w:rsidRPr="008E51E4">
              <w:rPr>
                <w:sz w:val="20"/>
              </w:rPr>
              <w:t xml:space="preserve"> </w:t>
            </w:r>
          </w:p>
          <w:p w:rsidR="00036BFA" w:rsidRPr="008E51E4" w:rsidRDefault="00036BFA" w:rsidP="008F0C6F">
            <w:pPr>
              <w:pStyle w:val="BodyText"/>
              <w:rPr>
                <w:rStyle w:val="CommentReference"/>
                <w:rFonts w:cs="Times New Roman"/>
              </w:rPr>
            </w:pPr>
            <w:r w:rsidRPr="008E51E4">
              <w:t xml:space="preserve">Dual therapy for </w:t>
            </w:r>
            <w:r w:rsidR="002E405C" w:rsidRPr="008E51E4">
              <w:t>Type 2 diabetes.</w:t>
            </w:r>
            <w:r w:rsidR="008F0C6F" w:rsidRPr="008E51E4">
              <w:rPr>
                <w:rStyle w:val="CommentReference"/>
                <w:rFonts w:cs="Times New Roman"/>
              </w:rPr>
              <w:t xml:space="preserve"> </w:t>
            </w:r>
          </w:p>
          <w:p w:rsidR="00481636" w:rsidRPr="008E51E4" w:rsidRDefault="00481636" w:rsidP="00036BFA">
            <w:pPr>
              <w:pStyle w:val="BodyText"/>
            </w:pPr>
          </w:p>
        </w:tc>
      </w:tr>
    </w:tbl>
    <w:p w:rsidR="00E56B2E" w:rsidRDefault="00E56B2E" w:rsidP="00E56B2E">
      <w:pPr>
        <w:widowControl/>
        <w:ind w:left="720"/>
        <w:jc w:val="left"/>
        <w:rPr>
          <w:b/>
          <w:snapToGrid/>
          <w:szCs w:val="22"/>
          <w:lang w:eastAsia="en-AU"/>
        </w:rPr>
      </w:pPr>
    </w:p>
    <w:p w:rsidR="00FD4A24" w:rsidRDefault="00FD4A24" w:rsidP="00E56B2E">
      <w:pPr>
        <w:widowControl/>
        <w:ind w:left="720"/>
        <w:jc w:val="left"/>
        <w:rPr>
          <w:b/>
          <w:snapToGrid/>
          <w:szCs w:val="22"/>
          <w:lang w:eastAsia="en-AU"/>
        </w:rPr>
      </w:pPr>
    </w:p>
    <w:p w:rsidR="00F25774" w:rsidRPr="00F25774" w:rsidRDefault="00F25774" w:rsidP="00F25774">
      <w:pPr>
        <w:widowControl/>
        <w:numPr>
          <w:ilvl w:val="0"/>
          <w:numId w:val="13"/>
        </w:numPr>
        <w:jc w:val="left"/>
        <w:rPr>
          <w:b/>
          <w:snapToGrid/>
          <w:szCs w:val="22"/>
          <w:lang w:eastAsia="en-AU"/>
        </w:rPr>
      </w:pPr>
      <w:r>
        <w:rPr>
          <w:b/>
          <w:snapToGrid/>
          <w:szCs w:val="22"/>
          <w:lang w:eastAsia="en-AU"/>
        </w:rPr>
        <w:t>Empagliflozin/</w:t>
      </w:r>
      <w:r w:rsidRPr="00F25774">
        <w:rPr>
          <w:b/>
          <w:snapToGrid/>
          <w:szCs w:val="22"/>
          <w:lang w:eastAsia="en-AU"/>
        </w:rPr>
        <w:t xml:space="preserve">metformin </w:t>
      </w:r>
    </w:p>
    <w:p w:rsidR="00F25774" w:rsidRPr="00F25774" w:rsidRDefault="00F25774" w:rsidP="00F25774">
      <w:pPr>
        <w:widowControl/>
        <w:rPr>
          <w:snapToGrid/>
          <w:szCs w:val="22"/>
          <w:lang w:eastAsia="en-AU"/>
        </w:rPr>
      </w:pPr>
    </w:p>
    <w:tbl>
      <w:tblPr>
        <w:tblW w:w="4600" w:type="pct"/>
        <w:tblInd w:w="108" w:type="dxa"/>
        <w:tblLayout w:type="fixed"/>
        <w:tblLook w:val="0000" w:firstRow="0" w:lastRow="0" w:firstColumn="0" w:lastColumn="0" w:noHBand="0" w:noVBand="0"/>
        <w:tblCaption w:val="Requested PBS restriction"/>
      </w:tblPr>
      <w:tblGrid>
        <w:gridCol w:w="2624"/>
        <w:gridCol w:w="5880"/>
      </w:tblGrid>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 xml:space="preserve">Category / </w:t>
            </w:r>
          </w:p>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GENERAL – General Schedule (Code GE)</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Prescriber type:</w:t>
            </w:r>
          </w:p>
          <w:p w:rsidR="00F25774" w:rsidRPr="00F25774" w:rsidRDefault="00F25774" w:rsidP="00F25774">
            <w:pPr>
              <w:widowControl/>
              <w:rPr>
                <w:rFonts w:ascii="Arial Narrow" w:hAnsi="Arial Narrow"/>
                <w:b/>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Dental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Medical Practitioners  </w:t>
            </w: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Nurse practitioners  </w:t>
            </w: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Optometrists</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Midwives</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lastRenderedPageBreak/>
              <w:t>Severity:</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25774" w:rsidRPr="00F25774" w:rsidRDefault="00F25774" w:rsidP="00F25774">
            <w:pPr>
              <w:widowControl/>
              <w:rPr>
                <w:rFonts w:ascii="Arial Narrow" w:hAnsi="Arial Narrow"/>
                <w:b/>
                <w:snapToGrid/>
                <w:sz w:val="20"/>
                <w:highlight w:val="green"/>
                <w:lang w:eastAsia="en-AU"/>
              </w:rPr>
            </w:pPr>
            <w:r w:rsidRPr="00F25774">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highlight w:val="green"/>
                <w:lang w:eastAsia="en-AU"/>
              </w:rPr>
            </w:pPr>
            <w:r w:rsidRPr="00F25774">
              <w:rPr>
                <w:rFonts w:ascii="Arial Narrow" w:hAnsi="Arial Narrow"/>
                <w:snapToGrid/>
                <w:sz w:val="20"/>
                <w:lang w:eastAsia="en-AU"/>
              </w:rPr>
              <w:t>Diabetes mellitus type 2</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Diabetes mellitus type 2</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Restriction Level / Method:</w:t>
            </w:r>
          </w:p>
          <w:p w:rsidR="00F25774" w:rsidRPr="00F25774" w:rsidRDefault="00F25774" w:rsidP="00F25774">
            <w:pPr>
              <w:widowControl/>
              <w:jc w:val="left"/>
              <w:rPr>
                <w:rFonts w:ascii="Arial Narrow" w:hAnsi="Arial Narrow"/>
                <w:i/>
                <w:snapToGrid/>
                <w:sz w:val="20"/>
                <w:highlight w:val="yellow"/>
                <w:lang w:eastAsia="en-AU"/>
              </w:rPr>
            </w:pPr>
          </w:p>
          <w:p w:rsidR="00F25774" w:rsidRPr="00F25774" w:rsidRDefault="00F25774" w:rsidP="00F25774">
            <w:pPr>
              <w:widowControl/>
              <w:jc w:val="left"/>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Restricted benefit</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In Writing</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Telephone</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Emergency</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Electronic</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1"/>
                  </w:checkBox>
                </w:ffData>
              </w:fldChar>
            </w:r>
            <w:bookmarkStart w:id="4" w:name="Check5"/>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bookmarkEnd w:id="4"/>
            <w:r w:rsidRPr="00F25774">
              <w:rPr>
                <w:rFonts w:ascii="Arial Narrow" w:hAnsi="Arial Narrow"/>
                <w:snapToGrid/>
                <w:sz w:val="20"/>
                <w:lang w:eastAsia="en-AU"/>
              </w:rPr>
              <w:t>Streamlined</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b/>
                <w:snapToGrid/>
                <w:sz w:val="20"/>
                <w:lang w:eastAsia="en-AU"/>
              </w:rPr>
              <w:t>Treatment criteria:</w:t>
            </w:r>
          </w:p>
          <w:p w:rsidR="00F25774" w:rsidRPr="00F25774" w:rsidRDefault="00F25774" w:rsidP="00F25774">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Clinical criteria:</w:t>
            </w:r>
          </w:p>
          <w:p w:rsidR="00F25774" w:rsidRPr="00F25774" w:rsidRDefault="00F25774" w:rsidP="00F25774">
            <w:pPr>
              <w:widowControl/>
              <w:rPr>
                <w:rFonts w:ascii="Arial Narrow" w:hAnsi="Arial Narrow"/>
                <w:i/>
                <w:snapToGrid/>
                <w:sz w:val="20"/>
                <w:lang w:eastAsia="en-AU"/>
              </w:rPr>
            </w:pP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Patient must have, or have had, a HbA1c measurement greater than 7% despite treatment with metformin; OR</w:t>
            </w:r>
          </w:p>
          <w:p w:rsidR="00F25774" w:rsidRPr="00F25774" w:rsidRDefault="00F25774" w:rsidP="00F25774">
            <w:pPr>
              <w:widowControl/>
              <w:jc w:val="left"/>
              <w:rPr>
                <w:rFonts w:ascii="Arial Narrow" w:hAnsi="Arial Narrow"/>
                <w:snapToGrid/>
                <w:sz w:val="20"/>
                <w:lang w:eastAsia="en-AU"/>
              </w:rPr>
            </w:pP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Patient must have, or have had, where HbA1c measurement is clinically inappropriate, blood glucose levels greater than 10 mmol per L in more than 20% of tests over a 2 week period despite treatment with metformin.</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Population criteria:</w:t>
            </w:r>
          </w:p>
          <w:p w:rsidR="00F25774" w:rsidRPr="00F25774" w:rsidRDefault="00F25774" w:rsidP="00F25774">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Foreword</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Definitions</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Prescriber Instructions</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The HbA1c must be no more than 4 months old at the time treatment with a gliptin, a glitazone, a glucagon-like peptide-1 or an SGLT2 inhibitor was initiated.</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Blood glucose monitoring may be used as an alternative assessment to HbA1c levels in the following circumstances:</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(a) A clinical condition with reduced red blood cell survival, including haemolytic anaemias and haemoglobinopathies; and/or</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(b) Had red cell transfusion within the previous 3 months</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A patient whose diabetes was previously demonstrated unable to be controlled with metformin does not need to requalify on this criterion before being eligible for PBS-subsidised treatment with this fixed dose combination.</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Administrative Advice</w:t>
            </w:r>
          </w:p>
          <w:p w:rsidR="00F25774" w:rsidRPr="00F25774" w:rsidRDefault="00F25774" w:rsidP="00F25774">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 xml:space="preserve">The fixed dose combination is not PBS-subsidised for use </w:t>
            </w:r>
            <w:r w:rsidRPr="00F25774">
              <w:rPr>
                <w:rFonts w:ascii="Arial Narrow" w:hAnsi="Arial Narrow"/>
                <w:strike/>
                <w:snapToGrid/>
                <w:sz w:val="20"/>
                <w:lang w:eastAsia="en-AU"/>
              </w:rPr>
              <w:t>in combination with a sulfonylurea (triple oral therapy)</w:t>
            </w:r>
            <w:r w:rsidRPr="00F25774">
              <w:rPr>
                <w:rFonts w:ascii="Arial Narrow" w:hAnsi="Arial Narrow"/>
                <w:snapToGrid/>
                <w:sz w:val="20"/>
                <w:vertAlign w:val="superscript"/>
                <w:lang w:eastAsia="en-AU"/>
              </w:rPr>
              <w:t>a</w:t>
            </w:r>
            <w:r w:rsidRPr="00F25774">
              <w:rPr>
                <w:rFonts w:ascii="Arial Narrow" w:hAnsi="Arial Narrow"/>
                <w:snapToGrid/>
                <w:sz w:val="20"/>
                <w:lang w:eastAsia="en-AU"/>
              </w:rPr>
              <w:t xml:space="preserve">, as initial therapy or in combination with </w:t>
            </w:r>
            <w:r w:rsidRPr="00F25774">
              <w:rPr>
                <w:rFonts w:ascii="Arial Narrow" w:hAnsi="Arial Narrow"/>
                <w:strike/>
                <w:snapToGrid/>
                <w:sz w:val="20"/>
                <w:lang w:eastAsia="en-AU"/>
              </w:rPr>
              <w:t>an insulin</w:t>
            </w:r>
            <w:r w:rsidRPr="00F25774">
              <w:rPr>
                <w:rFonts w:ascii="Arial Narrow" w:hAnsi="Arial Narrow"/>
                <w:snapToGrid/>
                <w:sz w:val="20"/>
                <w:vertAlign w:val="superscript"/>
                <w:lang w:eastAsia="en-AU"/>
              </w:rPr>
              <w:t>b</w:t>
            </w:r>
            <w:r w:rsidRPr="00F25774">
              <w:rPr>
                <w:rFonts w:ascii="Arial Narrow" w:hAnsi="Arial Narrow"/>
                <w:snapToGrid/>
                <w:sz w:val="20"/>
                <w:lang w:eastAsia="en-AU"/>
              </w:rPr>
              <w:t>, a thiazolidinedione (glitazone), a dipeptidyl peptidase 4 inhibitor (gliptin) or a glucagon-like peptide-1.</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Cautions</w:t>
            </w:r>
          </w:p>
          <w:p w:rsidR="00F25774" w:rsidRPr="00F25774" w:rsidRDefault="00F25774" w:rsidP="00F25774">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bl>
    <w:p w:rsidR="00F25774" w:rsidRPr="00F25774" w:rsidRDefault="00F25774" w:rsidP="00F25774">
      <w:pPr>
        <w:widowControl/>
        <w:jc w:val="left"/>
        <w:rPr>
          <w:i/>
          <w:snapToGrid/>
          <w:szCs w:val="22"/>
          <w:lang w:eastAsia="en-AU"/>
        </w:rPr>
      </w:pPr>
      <w:r w:rsidRPr="00F25774">
        <w:rPr>
          <w:i/>
          <w:snapToGrid/>
          <w:szCs w:val="22"/>
          <w:vertAlign w:val="superscript"/>
          <w:lang w:eastAsia="en-AU"/>
        </w:rPr>
        <w:t>a</w:t>
      </w:r>
      <w:r w:rsidRPr="00F25774">
        <w:rPr>
          <w:i/>
          <w:snapToGrid/>
          <w:szCs w:val="22"/>
          <w:lang w:eastAsia="en-AU"/>
        </w:rPr>
        <w:t xml:space="preserve"> Remove if recommended by the PBAC for use in triple therapy</w:t>
      </w:r>
    </w:p>
    <w:p w:rsidR="00F25774" w:rsidRPr="00F25774" w:rsidRDefault="00F25774" w:rsidP="00F25774">
      <w:pPr>
        <w:widowControl/>
        <w:jc w:val="left"/>
        <w:rPr>
          <w:i/>
          <w:snapToGrid/>
          <w:szCs w:val="22"/>
          <w:lang w:eastAsia="en-AU"/>
        </w:rPr>
      </w:pPr>
      <w:r w:rsidRPr="00F25774">
        <w:rPr>
          <w:i/>
          <w:snapToGrid/>
          <w:szCs w:val="22"/>
          <w:vertAlign w:val="superscript"/>
          <w:lang w:eastAsia="en-AU"/>
        </w:rPr>
        <w:t>b</w:t>
      </w:r>
      <w:r w:rsidRPr="00F25774">
        <w:rPr>
          <w:i/>
          <w:snapToGrid/>
          <w:szCs w:val="22"/>
          <w:lang w:eastAsia="en-AU"/>
        </w:rPr>
        <w:t xml:space="preserve"> Remove if recommended by the PBAC for use with insulin</w:t>
      </w:r>
    </w:p>
    <w:p w:rsidR="00F25774" w:rsidRPr="00F25774" w:rsidRDefault="00F25774" w:rsidP="00F25774">
      <w:pPr>
        <w:widowControl/>
        <w:rPr>
          <w:snapToGrid/>
          <w:szCs w:val="22"/>
          <w:lang w:eastAsia="en-AU"/>
        </w:rPr>
      </w:pPr>
    </w:p>
    <w:tbl>
      <w:tblPr>
        <w:tblW w:w="4600" w:type="pct"/>
        <w:tblInd w:w="108" w:type="dxa"/>
        <w:tblLayout w:type="fixed"/>
        <w:tblLook w:val="0000" w:firstRow="0" w:lastRow="0" w:firstColumn="0" w:lastColumn="0" w:noHBand="0" w:noVBand="0"/>
        <w:tblCaption w:val="Requested PBS listing - continuing"/>
      </w:tblPr>
      <w:tblGrid>
        <w:gridCol w:w="2624"/>
        <w:gridCol w:w="5880"/>
      </w:tblGrid>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lastRenderedPageBreak/>
              <w:t xml:space="preserve">Category / </w:t>
            </w:r>
          </w:p>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GENERAL – General Schedule (Code GE)</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Prescriber type:</w:t>
            </w:r>
          </w:p>
          <w:p w:rsidR="00F25774" w:rsidRPr="00F25774" w:rsidRDefault="00F25774" w:rsidP="00F25774">
            <w:pPr>
              <w:widowControl/>
              <w:rPr>
                <w:rFonts w:ascii="Arial Narrow" w:hAnsi="Arial Narrow"/>
                <w:b/>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Dental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Medical Practitioners  </w:t>
            </w:r>
            <w:r w:rsidRPr="00F25774">
              <w:rPr>
                <w:rFonts w:ascii="Arial Narrow" w:hAnsi="Arial Narrow"/>
                <w:snapToGrid/>
                <w:sz w:val="20"/>
                <w:lang w:eastAsia="en-AU"/>
              </w:rPr>
              <w:fldChar w:fldCharType="begin">
                <w:ffData>
                  <w:name w:val="Check3"/>
                  <w:enabled/>
                  <w:calcOnExit w:val="0"/>
                  <w:checkBox>
                    <w:sizeAuto/>
                    <w:default w:val="1"/>
                  </w:checkBox>
                </w:ffData>
              </w:fldChar>
            </w:r>
            <w:bookmarkStart w:id="5" w:name="Check3"/>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bookmarkEnd w:id="5"/>
            <w:r w:rsidRPr="00F25774">
              <w:rPr>
                <w:rFonts w:ascii="Arial Narrow" w:hAnsi="Arial Narrow"/>
                <w:snapToGrid/>
                <w:sz w:val="20"/>
                <w:lang w:eastAsia="en-AU"/>
              </w:rPr>
              <w:t xml:space="preserve">Nurse practitioners  </w:t>
            </w: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Optometrists</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Midwives</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Diabetes mellitus type 2</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Diabetes mellitus type 2</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Continuing</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Restriction Level / Method:</w:t>
            </w:r>
          </w:p>
          <w:p w:rsidR="00F25774" w:rsidRPr="00F25774" w:rsidRDefault="00F25774" w:rsidP="00F25774">
            <w:pPr>
              <w:widowControl/>
              <w:jc w:val="left"/>
              <w:rPr>
                <w:rFonts w:ascii="Arial Narrow" w:hAnsi="Arial Narrow"/>
                <w:i/>
                <w:snapToGrid/>
                <w:sz w:val="20"/>
                <w:highlight w:val="yellow"/>
                <w:lang w:eastAsia="en-AU"/>
              </w:rPr>
            </w:pPr>
          </w:p>
          <w:p w:rsidR="00F25774" w:rsidRPr="00F25774" w:rsidRDefault="00F25774" w:rsidP="00F25774">
            <w:pPr>
              <w:widowControl/>
              <w:jc w:val="left"/>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Restricted benefit</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In Writing</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Telephone</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Emergency</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Electronic</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Streamlined</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b/>
                <w:snapToGrid/>
                <w:sz w:val="20"/>
                <w:lang w:eastAsia="en-AU"/>
              </w:rPr>
            </w:pPr>
            <w:r w:rsidRPr="00F25774">
              <w:rPr>
                <w:rFonts w:ascii="Arial Narrow" w:hAnsi="Arial Narrow"/>
                <w:b/>
                <w:snapToGrid/>
                <w:sz w:val="20"/>
                <w:lang w:eastAsia="en-AU"/>
              </w:rPr>
              <w:t>Treatment criteria:</w:t>
            </w:r>
          </w:p>
          <w:p w:rsidR="00F25774" w:rsidRPr="00F25774" w:rsidRDefault="00F25774" w:rsidP="00F25774">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Clinical criteria:</w:t>
            </w:r>
          </w:p>
          <w:p w:rsidR="00F25774" w:rsidRPr="00F25774" w:rsidRDefault="00F25774" w:rsidP="00F25774">
            <w:pPr>
              <w:widowControl/>
              <w:rPr>
                <w:rFonts w:ascii="Arial Narrow" w:hAnsi="Arial Narrow"/>
                <w:i/>
                <w:snapToGrid/>
                <w:sz w:val="20"/>
                <w:lang w:eastAsia="en-AU"/>
              </w:rPr>
            </w:pP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Patient must have previously received and been stabilised on a PBS-subsidised</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regimen of oral diabetic medicines which includes metformin and empagliflozin.</w:t>
            </w:r>
          </w:p>
          <w:p w:rsidR="00F25774" w:rsidRPr="00F25774" w:rsidRDefault="00F25774" w:rsidP="00F25774">
            <w:pPr>
              <w:widowControl/>
              <w:rPr>
                <w:rFonts w:ascii="Arial Narrow" w:hAnsi="Arial Narrow"/>
                <w:snapToGrid/>
                <w:sz w:val="20"/>
                <w:lang w:eastAsia="en-AU"/>
              </w:rPr>
            </w:pP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Population criteria:</w:t>
            </w:r>
          </w:p>
          <w:p w:rsidR="00F25774" w:rsidRPr="00F25774" w:rsidRDefault="00F25774" w:rsidP="00F25774">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Foreword</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Definitions</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Prescriber Instructions</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Administrative Advice</w:t>
            </w:r>
          </w:p>
          <w:p w:rsidR="00F25774" w:rsidRPr="00F25774" w:rsidRDefault="00F25774" w:rsidP="00F25774">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b/>
                <w:snapToGrid/>
                <w:sz w:val="20"/>
                <w:lang w:eastAsia="en-AU"/>
              </w:rPr>
            </w:pPr>
            <w:r w:rsidRPr="00F25774">
              <w:rPr>
                <w:rFonts w:ascii="Arial Narrow" w:hAnsi="Arial Narrow"/>
                <w:b/>
                <w:snapToGrid/>
                <w:sz w:val="20"/>
                <w:lang w:eastAsia="en-AU"/>
              </w:rPr>
              <w:t>Note:</w:t>
            </w:r>
          </w:p>
          <w:p w:rsidR="00F25774" w:rsidRPr="00F25774" w:rsidRDefault="00F25774" w:rsidP="00F25774">
            <w:pPr>
              <w:widowControl/>
              <w:jc w:val="left"/>
              <w:rPr>
                <w:rFonts w:ascii="Arial Narrow" w:hAnsi="Arial Narrow"/>
                <w:b/>
                <w:snapToGrid/>
                <w:sz w:val="20"/>
                <w:lang w:eastAsia="en-AU"/>
              </w:rPr>
            </w:pPr>
            <w:r w:rsidRPr="00F25774">
              <w:rPr>
                <w:rFonts w:ascii="Arial Narrow" w:hAnsi="Arial Narrow"/>
                <w:b/>
                <w:snapToGrid/>
                <w:sz w:val="20"/>
                <w:lang w:eastAsia="en-AU"/>
              </w:rPr>
              <w:t>Continuing Therapy Only:</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For prescribing by nurse practitioners as continuing therapy only, where the treatment of, and prescribing of medicine for, a patient has been initiated by a medical practitioner.</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Further information can be found in the Explanatory Notes for Nurse Practitioners.</w:t>
            </w:r>
          </w:p>
          <w:p w:rsidR="00F25774" w:rsidRPr="00F25774" w:rsidRDefault="00F25774" w:rsidP="00F25774">
            <w:pPr>
              <w:widowControl/>
              <w:jc w:val="left"/>
              <w:rPr>
                <w:rFonts w:ascii="Arial Narrow" w:hAnsi="Arial Narrow"/>
                <w:snapToGrid/>
                <w:sz w:val="20"/>
                <w:lang w:eastAsia="en-AU"/>
              </w:rPr>
            </w:pP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 xml:space="preserve">The fixed dose combination is not PBS-subsidised for use </w:t>
            </w:r>
            <w:r w:rsidRPr="00F25774">
              <w:rPr>
                <w:rFonts w:ascii="Arial Narrow" w:hAnsi="Arial Narrow"/>
                <w:strike/>
                <w:snapToGrid/>
                <w:sz w:val="20"/>
                <w:lang w:eastAsia="en-AU"/>
              </w:rPr>
              <w:t>in combination with a sulfonylurea (triple oral therapy)</w:t>
            </w:r>
            <w:r w:rsidRPr="00F25774">
              <w:rPr>
                <w:rFonts w:ascii="Arial Narrow" w:hAnsi="Arial Narrow"/>
                <w:snapToGrid/>
                <w:sz w:val="20"/>
                <w:vertAlign w:val="superscript"/>
                <w:lang w:eastAsia="en-AU"/>
              </w:rPr>
              <w:t>a</w:t>
            </w:r>
            <w:r w:rsidRPr="00F25774">
              <w:rPr>
                <w:rFonts w:ascii="Arial Narrow" w:hAnsi="Arial Narrow"/>
                <w:snapToGrid/>
                <w:sz w:val="20"/>
                <w:lang w:eastAsia="en-AU"/>
              </w:rPr>
              <w:t xml:space="preserve">, as initial therapy or in combination with </w:t>
            </w:r>
            <w:r w:rsidRPr="00F25774">
              <w:rPr>
                <w:rFonts w:ascii="Arial Narrow" w:hAnsi="Arial Narrow"/>
                <w:strike/>
                <w:snapToGrid/>
                <w:sz w:val="20"/>
                <w:lang w:eastAsia="en-AU"/>
              </w:rPr>
              <w:t>an insulin</w:t>
            </w:r>
            <w:r w:rsidRPr="00F25774">
              <w:rPr>
                <w:rFonts w:ascii="Arial Narrow" w:hAnsi="Arial Narrow"/>
                <w:snapToGrid/>
                <w:sz w:val="20"/>
                <w:vertAlign w:val="superscript"/>
                <w:lang w:eastAsia="en-AU"/>
              </w:rPr>
              <w:t>b</w:t>
            </w:r>
            <w:r w:rsidRPr="00F25774">
              <w:rPr>
                <w:rFonts w:ascii="Arial Narrow" w:hAnsi="Arial Narrow"/>
                <w:snapToGrid/>
                <w:sz w:val="20"/>
                <w:lang w:eastAsia="en-AU"/>
              </w:rPr>
              <w:t>, a thiazolidinedione (glitazone), a dipeptidyl peptidase 4 inhibitor (gliptin) or a glucagon-like peptide-1.</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Cautions</w:t>
            </w:r>
          </w:p>
          <w:p w:rsidR="00F25774" w:rsidRPr="00F25774" w:rsidRDefault="00F25774" w:rsidP="00F25774">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bl>
    <w:p w:rsidR="00F25774" w:rsidRPr="00F25774" w:rsidRDefault="00F25774" w:rsidP="00F25774">
      <w:pPr>
        <w:widowControl/>
        <w:jc w:val="left"/>
        <w:rPr>
          <w:i/>
          <w:snapToGrid/>
          <w:szCs w:val="22"/>
          <w:lang w:eastAsia="en-AU"/>
        </w:rPr>
      </w:pPr>
      <w:r w:rsidRPr="00F25774">
        <w:rPr>
          <w:i/>
          <w:snapToGrid/>
          <w:szCs w:val="22"/>
          <w:vertAlign w:val="superscript"/>
          <w:lang w:eastAsia="en-AU"/>
        </w:rPr>
        <w:t>a</w:t>
      </w:r>
      <w:r w:rsidRPr="00F25774">
        <w:rPr>
          <w:i/>
          <w:snapToGrid/>
          <w:szCs w:val="22"/>
          <w:lang w:eastAsia="en-AU"/>
        </w:rPr>
        <w:t xml:space="preserve"> Remove if empagliflozin is recommended by the PBAC for use in triple therapy</w:t>
      </w:r>
    </w:p>
    <w:p w:rsidR="00F25774" w:rsidRPr="00F25774" w:rsidRDefault="00F25774" w:rsidP="00F25774">
      <w:pPr>
        <w:widowControl/>
        <w:jc w:val="left"/>
        <w:rPr>
          <w:snapToGrid/>
          <w:szCs w:val="22"/>
          <w:lang w:eastAsia="en-AU"/>
        </w:rPr>
      </w:pPr>
      <w:r w:rsidRPr="00F25774">
        <w:rPr>
          <w:i/>
          <w:snapToGrid/>
          <w:szCs w:val="22"/>
          <w:vertAlign w:val="superscript"/>
          <w:lang w:eastAsia="en-AU"/>
        </w:rPr>
        <w:t>b</w:t>
      </w:r>
      <w:r w:rsidRPr="00F25774">
        <w:rPr>
          <w:i/>
          <w:snapToGrid/>
          <w:szCs w:val="22"/>
          <w:lang w:eastAsia="en-AU"/>
        </w:rPr>
        <w:t xml:space="preserve"> Remove if empagliflozin is recommended by the PBAC for us with insulin</w:t>
      </w:r>
    </w:p>
    <w:p w:rsidR="00F25774" w:rsidRPr="00F25774" w:rsidRDefault="00F25774" w:rsidP="00F25774">
      <w:pPr>
        <w:widowControl/>
        <w:rPr>
          <w:snapToGrid/>
          <w:szCs w:val="22"/>
          <w:lang w:eastAsia="en-AU"/>
        </w:rPr>
      </w:pPr>
    </w:p>
    <w:p w:rsidR="00F25774" w:rsidRPr="00F25774" w:rsidRDefault="00F25774" w:rsidP="00F25774">
      <w:pPr>
        <w:widowControl/>
        <w:numPr>
          <w:ilvl w:val="0"/>
          <w:numId w:val="13"/>
        </w:numPr>
        <w:jc w:val="left"/>
        <w:rPr>
          <w:b/>
          <w:snapToGrid/>
          <w:szCs w:val="22"/>
          <w:lang w:eastAsia="en-AU"/>
        </w:rPr>
      </w:pPr>
      <w:r w:rsidRPr="00F25774">
        <w:rPr>
          <w:b/>
          <w:snapToGrid/>
          <w:szCs w:val="22"/>
          <w:lang w:eastAsia="en-AU"/>
        </w:rPr>
        <w:t>Empag</w:t>
      </w:r>
      <w:r>
        <w:rPr>
          <w:b/>
          <w:snapToGrid/>
          <w:szCs w:val="22"/>
          <w:lang w:eastAsia="en-AU"/>
        </w:rPr>
        <w:t>liflozin/</w:t>
      </w:r>
      <w:r w:rsidRPr="00F25774">
        <w:rPr>
          <w:b/>
          <w:snapToGrid/>
          <w:szCs w:val="22"/>
          <w:lang w:eastAsia="en-AU"/>
        </w:rPr>
        <w:t>metformin (triple therapy)</w:t>
      </w:r>
    </w:p>
    <w:p w:rsidR="00F25774" w:rsidRPr="00F25774" w:rsidRDefault="00F25774" w:rsidP="00F25774">
      <w:pPr>
        <w:widowControl/>
        <w:rPr>
          <w:b/>
          <w:snapToGrid/>
          <w:szCs w:val="22"/>
          <w:lang w:eastAsia="en-AU"/>
        </w:rPr>
      </w:pPr>
    </w:p>
    <w:tbl>
      <w:tblPr>
        <w:tblW w:w="4600" w:type="pct"/>
        <w:tblInd w:w="108" w:type="dxa"/>
        <w:tblLayout w:type="fixed"/>
        <w:tblLook w:val="0000" w:firstRow="0" w:lastRow="0" w:firstColumn="0" w:lastColumn="0" w:noHBand="0" w:noVBand="0"/>
        <w:tblCaption w:val="Requested PBS listing - triple therapy"/>
      </w:tblPr>
      <w:tblGrid>
        <w:gridCol w:w="2624"/>
        <w:gridCol w:w="5880"/>
      </w:tblGrid>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 xml:space="preserve">Category / </w:t>
            </w:r>
          </w:p>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GENERAL – General Schedule (Code GE)</w:t>
            </w:r>
          </w:p>
          <w:p w:rsidR="00F25774" w:rsidRPr="00F25774" w:rsidRDefault="00F25774" w:rsidP="00F25774">
            <w:pPr>
              <w:widowControl/>
              <w:jc w:val="left"/>
              <w:rPr>
                <w:rFonts w:ascii="Arial Narrow" w:hAnsi="Arial Narrow"/>
                <w:snapToGrid/>
                <w:sz w:val="20"/>
                <w:lang w:eastAsia="en-AU"/>
              </w:rPr>
            </w:pP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lastRenderedPageBreak/>
              <w:t>Prescriber type:</w:t>
            </w:r>
          </w:p>
          <w:p w:rsidR="00F25774" w:rsidRPr="00F25774" w:rsidRDefault="00F25774" w:rsidP="00F25774">
            <w:pPr>
              <w:widowControl/>
              <w:rPr>
                <w:rFonts w:ascii="Arial Narrow" w:hAnsi="Arial Narrow"/>
                <w:b/>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Dental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Medical Practitioners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Nurse practitioners  </w:t>
            </w: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Optometrists</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Midwives</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Diabetes mellitus type 2</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Diabetes mellitus type 2</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Restriction Level / Method:</w:t>
            </w:r>
          </w:p>
          <w:p w:rsidR="00F25774" w:rsidRPr="00F25774" w:rsidRDefault="00F25774" w:rsidP="00F25774">
            <w:pPr>
              <w:widowControl/>
              <w:jc w:val="left"/>
              <w:rPr>
                <w:rFonts w:ascii="Arial Narrow" w:hAnsi="Arial Narrow"/>
                <w:i/>
                <w:snapToGrid/>
                <w:sz w:val="20"/>
                <w:highlight w:val="yellow"/>
                <w:lang w:eastAsia="en-AU"/>
              </w:rPr>
            </w:pPr>
          </w:p>
          <w:p w:rsidR="00F25774" w:rsidRPr="00F25774" w:rsidRDefault="00F25774" w:rsidP="00F25774">
            <w:pPr>
              <w:widowControl/>
              <w:jc w:val="left"/>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Restricted benefit</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In Writing</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Telephone</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Emergency</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Electronic</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Streamlined</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b/>
                <w:snapToGrid/>
                <w:sz w:val="20"/>
                <w:lang w:eastAsia="en-AU"/>
              </w:rPr>
            </w:pPr>
            <w:r w:rsidRPr="00F25774">
              <w:rPr>
                <w:rFonts w:ascii="Arial Narrow" w:hAnsi="Arial Narrow"/>
                <w:b/>
                <w:snapToGrid/>
                <w:sz w:val="20"/>
                <w:lang w:eastAsia="en-AU"/>
              </w:rPr>
              <w:t>Treatment criteria:</w:t>
            </w:r>
          </w:p>
          <w:p w:rsidR="00F25774" w:rsidRPr="00F25774" w:rsidRDefault="00F25774" w:rsidP="00F25774">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Clinical criteria:</w:t>
            </w:r>
          </w:p>
          <w:p w:rsidR="00F25774" w:rsidRPr="00F25774" w:rsidRDefault="00F25774" w:rsidP="00F25774">
            <w:pPr>
              <w:widowControl/>
              <w:rPr>
                <w:rFonts w:ascii="Arial Narrow" w:hAnsi="Arial Narrow"/>
                <w:i/>
                <w:snapToGrid/>
                <w:sz w:val="20"/>
                <w:lang w:eastAsia="en-AU"/>
              </w:rPr>
            </w:pP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 xml:space="preserve">The treatment must be in combination with a sulfonylurea, </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AND</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w:t>
            </w:r>
          </w:p>
          <w:p w:rsidR="00F25774" w:rsidRPr="00F25774" w:rsidRDefault="00F25774" w:rsidP="00F25774">
            <w:pPr>
              <w:widowControl/>
              <w:jc w:val="left"/>
              <w:rPr>
                <w:rFonts w:ascii="Arial Narrow" w:hAnsi="Arial Narrow"/>
                <w:i/>
                <w:snapToGrid/>
                <w:sz w:val="20"/>
                <w:highlight w:val="green"/>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OR</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Patient must have, or have had, whereHbA1c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snapToGrid/>
                <w:sz w:val="20"/>
                <w:lang w:eastAsia="en-AU"/>
              </w:rPr>
            </w:pPr>
            <w:r w:rsidRPr="00F25774">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rPr>
                <w:rFonts w:ascii="Arial Narrow" w:hAnsi="Arial Narrow"/>
                <w:i/>
                <w:snapToGrid/>
                <w:sz w:val="20"/>
                <w:lang w:eastAsia="en-AU"/>
              </w:rPr>
            </w:pPr>
            <w:r w:rsidRPr="00F25774">
              <w:rPr>
                <w:rFonts w:ascii="Arial Narrow" w:hAnsi="Arial Narrow"/>
                <w:i/>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Foreword</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Definitions</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lastRenderedPageBreak/>
              <w:t>Prescriber Instructions</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spacing w:after="240"/>
              <w:jc w:val="left"/>
              <w:rPr>
                <w:rFonts w:ascii="Arial Narrow" w:hAnsi="Arial Narrow"/>
                <w:i/>
                <w:snapToGrid/>
                <w:sz w:val="20"/>
                <w:lang w:eastAsia="en-AU"/>
              </w:rPr>
            </w:pPr>
            <w:r w:rsidRPr="00F25774">
              <w:rPr>
                <w:rFonts w:ascii="Arial Narrow" w:hAnsi="Arial Narrow"/>
                <w:i/>
                <w:snapToGrid/>
                <w:sz w:val="20"/>
                <w:lang w:eastAsia="en-AU"/>
              </w:rPr>
              <w:t xml:space="preserve">The date and level of the qualifying HbA1c measurement must be, or must have been, documented in the patient’s medical records at the time treatment with a gliptin, a glitazone, a glucagon-like peptide-1 or an SGLT2 inhibitor is initiated. </w:t>
            </w:r>
          </w:p>
          <w:p w:rsidR="00F25774" w:rsidRPr="00F25774" w:rsidRDefault="00F25774" w:rsidP="00F25774">
            <w:pPr>
              <w:widowControl/>
              <w:spacing w:after="240"/>
              <w:jc w:val="left"/>
              <w:rPr>
                <w:rFonts w:ascii="Arial Narrow" w:hAnsi="Arial Narrow"/>
                <w:i/>
                <w:snapToGrid/>
                <w:sz w:val="20"/>
                <w:lang w:eastAsia="en-AU"/>
              </w:rPr>
            </w:pPr>
            <w:r w:rsidRPr="00F25774">
              <w:rPr>
                <w:rFonts w:ascii="Arial Narrow" w:hAnsi="Arial Narrow"/>
                <w:i/>
                <w:snapToGrid/>
                <w:sz w:val="20"/>
                <w:lang w:eastAsia="en-AU"/>
              </w:rPr>
              <w:t>The HbA1c must be no more than 4 months old at the time treatment with a gliptin, a glitazone, a glucagon-like peptide-1 or an SGLT2 inhibitor was initiated.</w:t>
            </w:r>
          </w:p>
          <w:p w:rsidR="00F25774" w:rsidRPr="00F25774" w:rsidRDefault="00F25774" w:rsidP="00F25774">
            <w:pPr>
              <w:widowControl/>
              <w:spacing w:after="240"/>
              <w:jc w:val="left"/>
              <w:rPr>
                <w:rFonts w:ascii="Arial Narrow" w:hAnsi="Arial Narrow"/>
                <w:i/>
                <w:snapToGrid/>
                <w:sz w:val="20"/>
                <w:lang w:eastAsia="en-AU"/>
              </w:rPr>
            </w:pPr>
            <w:r w:rsidRPr="00F25774">
              <w:rPr>
                <w:rFonts w:ascii="Arial Narrow" w:hAnsi="Arial Narrow"/>
                <w:i/>
                <w:snapToGrid/>
                <w:sz w:val="20"/>
                <w:lang w:eastAsia="en-AU"/>
              </w:rPr>
              <w:t>Blood glucose monitoring may be used as an alternative assessment to HbA1c levels in the following circumstances:</w:t>
            </w:r>
          </w:p>
          <w:p w:rsidR="00F25774" w:rsidRPr="00F25774" w:rsidRDefault="00F25774" w:rsidP="00F25774">
            <w:pPr>
              <w:widowControl/>
              <w:spacing w:after="240"/>
              <w:jc w:val="left"/>
              <w:rPr>
                <w:rFonts w:ascii="Arial Narrow" w:hAnsi="Arial Narrow"/>
                <w:i/>
                <w:snapToGrid/>
                <w:sz w:val="20"/>
                <w:lang w:eastAsia="en-AU"/>
              </w:rPr>
            </w:pPr>
            <w:r w:rsidRPr="00F25774">
              <w:rPr>
                <w:rFonts w:ascii="Arial Narrow" w:hAnsi="Arial Narrow"/>
                <w:i/>
                <w:snapToGrid/>
                <w:sz w:val="20"/>
                <w:lang w:eastAsia="en-AU"/>
              </w:rPr>
              <w:t>(a) A clinical condition with reduced red blood cell survival, including haemolytic anaemias and haemoglobinopathies; and/or</w:t>
            </w:r>
          </w:p>
          <w:p w:rsidR="00F25774" w:rsidRPr="00F25774" w:rsidRDefault="00F25774" w:rsidP="00F25774">
            <w:pPr>
              <w:widowControl/>
              <w:spacing w:after="240"/>
              <w:jc w:val="left"/>
              <w:rPr>
                <w:rFonts w:ascii="Arial Narrow" w:hAnsi="Arial Narrow"/>
                <w:i/>
                <w:snapToGrid/>
                <w:sz w:val="20"/>
                <w:lang w:eastAsia="en-AU"/>
              </w:rPr>
            </w:pPr>
            <w:r w:rsidRPr="00F25774">
              <w:rPr>
                <w:rFonts w:ascii="Arial Narrow" w:hAnsi="Arial Narrow"/>
                <w:i/>
                <w:snapToGrid/>
                <w:sz w:val="20"/>
                <w:lang w:eastAsia="en-AU"/>
              </w:rPr>
              <w:t>(b) Had red cell transfusion within the previous 3 months</w:t>
            </w:r>
          </w:p>
          <w:p w:rsidR="00F25774" w:rsidRPr="00F25774" w:rsidRDefault="00F25774" w:rsidP="00F25774">
            <w:pPr>
              <w:widowControl/>
              <w:spacing w:after="240"/>
              <w:jc w:val="left"/>
              <w:rPr>
                <w:rFonts w:ascii="Arial Narrow" w:hAnsi="Arial Narrow"/>
                <w:i/>
                <w:snapToGrid/>
                <w:sz w:val="20"/>
                <w:lang w:eastAsia="en-AU"/>
              </w:rPr>
            </w:pPr>
            <w:r w:rsidRPr="00F25774">
              <w:rPr>
                <w:rFonts w:ascii="Arial Narrow" w:hAnsi="Arial Narrow"/>
                <w:i/>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Administrative Advice</w:t>
            </w:r>
          </w:p>
          <w:p w:rsidR="00F25774" w:rsidRPr="00F25774" w:rsidRDefault="00F25774" w:rsidP="00F25774">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b/>
                <w:i/>
                <w:snapToGrid/>
                <w:sz w:val="20"/>
                <w:lang w:eastAsia="en-AU"/>
              </w:rPr>
            </w:pPr>
            <w:r w:rsidRPr="00F25774">
              <w:rPr>
                <w:rFonts w:ascii="Arial Narrow" w:hAnsi="Arial Narrow"/>
                <w:b/>
                <w:i/>
                <w:snapToGrid/>
                <w:sz w:val="20"/>
                <w:lang w:eastAsia="en-AU"/>
              </w:rPr>
              <w:t>Note:</w:t>
            </w:r>
          </w:p>
          <w:p w:rsidR="00F25774" w:rsidRPr="00F25774" w:rsidRDefault="00F25774" w:rsidP="00F25774">
            <w:pPr>
              <w:widowControl/>
              <w:jc w:val="left"/>
              <w:rPr>
                <w:rFonts w:ascii="Arial Narrow" w:hAnsi="Arial Narrow"/>
                <w:b/>
                <w:i/>
                <w:snapToGrid/>
                <w:sz w:val="20"/>
                <w:lang w:eastAsia="en-AU"/>
              </w:rPr>
            </w:pPr>
            <w:r w:rsidRPr="00F25774">
              <w:rPr>
                <w:rFonts w:ascii="Arial Narrow" w:hAnsi="Arial Narrow"/>
                <w:b/>
                <w:i/>
                <w:snapToGrid/>
                <w:sz w:val="20"/>
                <w:lang w:eastAsia="en-AU"/>
              </w:rPr>
              <w:t>Continuing Therapy Only:</w:t>
            </w: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For prescribing by nurse practitioners as continuing therapy only, where the treatment of, and prescribing of medicine for, a patient has been initiated by a medical practitioner.</w:t>
            </w: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Further information can be found in the Explanatory Notes for Nurse Practitioners.</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b/>
                <w:i/>
                <w:snapToGrid/>
                <w:sz w:val="20"/>
                <w:lang w:eastAsia="en-AU"/>
              </w:rPr>
            </w:pPr>
            <w:r w:rsidRPr="00F25774">
              <w:rPr>
                <w:rFonts w:ascii="Arial Narrow" w:hAnsi="Arial Narrow"/>
                <w:b/>
                <w:i/>
                <w:snapToGrid/>
                <w:sz w:val="20"/>
                <w:lang w:eastAsia="en-AU"/>
              </w:rPr>
              <w:t>Note:</w:t>
            </w: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 xml:space="preserve">The fixed dose combination is not PBS-subsidised for use, as initial therapy or in combination with </w:t>
            </w:r>
            <w:r w:rsidRPr="00F25774">
              <w:rPr>
                <w:rFonts w:ascii="Arial Narrow" w:hAnsi="Arial Narrow"/>
                <w:i/>
                <w:strike/>
                <w:snapToGrid/>
                <w:sz w:val="20"/>
                <w:lang w:eastAsia="en-AU"/>
              </w:rPr>
              <w:t>an insulin</w:t>
            </w:r>
            <w:r w:rsidRPr="00F25774">
              <w:rPr>
                <w:rFonts w:ascii="Arial Narrow" w:hAnsi="Arial Narrow"/>
                <w:i/>
                <w:snapToGrid/>
                <w:sz w:val="20"/>
                <w:vertAlign w:val="superscript"/>
                <w:lang w:eastAsia="en-AU"/>
              </w:rPr>
              <w:t>a</w:t>
            </w:r>
            <w:r w:rsidRPr="00F25774">
              <w:rPr>
                <w:rFonts w:ascii="Arial Narrow" w:hAnsi="Arial Narrow"/>
                <w:i/>
                <w:snapToGrid/>
                <w:sz w:val="20"/>
                <w:lang w:eastAsia="en-AU"/>
              </w:rPr>
              <w:t>, a thiazolidinedione (glitazone), a dipeptidyl peptidase 4 inhibitor (gliptin) or a glucagon-like peptide-1.</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PBS subsidised dual oral therapy does not include concomitant use of two of either: a gliptin, a glitazone or an SGLT2 inhibitor.</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Cautions</w:t>
            </w:r>
          </w:p>
          <w:p w:rsidR="00F25774" w:rsidRPr="00F25774" w:rsidRDefault="00F25774" w:rsidP="00F25774">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bl>
    <w:p w:rsidR="00F25774" w:rsidRPr="00F25774" w:rsidRDefault="00F25774" w:rsidP="00F25774">
      <w:pPr>
        <w:widowControl/>
        <w:spacing w:after="240"/>
        <w:jc w:val="left"/>
        <w:rPr>
          <w:i/>
          <w:snapToGrid/>
          <w:szCs w:val="22"/>
          <w:highlight w:val="green"/>
          <w:lang w:eastAsia="en-AU"/>
        </w:rPr>
      </w:pPr>
      <w:r w:rsidRPr="00F25774">
        <w:rPr>
          <w:i/>
          <w:snapToGrid/>
          <w:szCs w:val="22"/>
          <w:vertAlign w:val="superscript"/>
          <w:lang w:eastAsia="en-AU"/>
        </w:rPr>
        <w:t>a</w:t>
      </w:r>
      <w:r w:rsidRPr="00F25774">
        <w:rPr>
          <w:i/>
          <w:snapToGrid/>
          <w:szCs w:val="22"/>
          <w:lang w:eastAsia="en-AU"/>
        </w:rPr>
        <w:t>Remove if empagliflozin is recommended by the PBAC for use with insulin</w:t>
      </w:r>
    </w:p>
    <w:p w:rsidR="00F25774" w:rsidRPr="00F25774" w:rsidRDefault="00F25774" w:rsidP="00F25774">
      <w:pPr>
        <w:widowControl/>
        <w:numPr>
          <w:ilvl w:val="0"/>
          <w:numId w:val="13"/>
        </w:numPr>
        <w:spacing w:after="240"/>
        <w:jc w:val="left"/>
        <w:rPr>
          <w:b/>
          <w:snapToGrid/>
          <w:szCs w:val="22"/>
          <w:lang w:eastAsia="en-AU"/>
        </w:rPr>
      </w:pPr>
      <w:r>
        <w:rPr>
          <w:b/>
          <w:snapToGrid/>
          <w:szCs w:val="22"/>
          <w:lang w:eastAsia="en-AU"/>
        </w:rPr>
        <w:t>Empagliflozin/</w:t>
      </w:r>
      <w:r w:rsidRPr="00F25774">
        <w:rPr>
          <w:b/>
          <w:snapToGrid/>
          <w:szCs w:val="22"/>
          <w:lang w:eastAsia="en-AU"/>
        </w:rPr>
        <w:t>metformin (insulin</w:t>
      </w:r>
      <w:r>
        <w:rPr>
          <w:b/>
          <w:snapToGrid/>
          <w:szCs w:val="22"/>
          <w:lang w:eastAsia="en-AU"/>
        </w:rPr>
        <w:t xml:space="preserve"> add-on</w:t>
      </w:r>
      <w:r w:rsidRPr="00F25774">
        <w:rPr>
          <w:b/>
          <w:snapToGrid/>
          <w:szCs w:val="22"/>
          <w:lang w:eastAsia="en-AU"/>
        </w:rPr>
        <w:t>)</w:t>
      </w:r>
    </w:p>
    <w:tbl>
      <w:tblPr>
        <w:tblW w:w="4600" w:type="pct"/>
        <w:tblInd w:w="108" w:type="dxa"/>
        <w:tblLayout w:type="fixed"/>
        <w:tblLook w:val="0000" w:firstRow="0" w:lastRow="0" w:firstColumn="0" w:lastColumn="0" w:noHBand="0" w:noVBand="0"/>
        <w:tblCaption w:val="Requested PBS listing - with insulin add-on"/>
      </w:tblPr>
      <w:tblGrid>
        <w:gridCol w:w="2624"/>
        <w:gridCol w:w="5880"/>
      </w:tblGrid>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 xml:space="preserve">Category / </w:t>
            </w:r>
          </w:p>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GENERAL – General Schedule (Code GE)</w:t>
            </w:r>
          </w:p>
          <w:p w:rsidR="00F25774" w:rsidRPr="00F25774" w:rsidRDefault="00F25774" w:rsidP="00F25774">
            <w:pPr>
              <w:widowControl/>
              <w:jc w:val="left"/>
              <w:rPr>
                <w:rFonts w:ascii="Arial Narrow" w:hAnsi="Arial Narrow"/>
                <w:snapToGrid/>
                <w:sz w:val="20"/>
                <w:lang w:eastAsia="en-AU"/>
              </w:rPr>
            </w:pP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Prescriber type:</w:t>
            </w:r>
          </w:p>
          <w:p w:rsidR="00F25774" w:rsidRPr="00F25774" w:rsidRDefault="00F25774" w:rsidP="00F25774">
            <w:pPr>
              <w:widowControl/>
              <w:rPr>
                <w:rFonts w:ascii="Arial Narrow" w:hAnsi="Arial Narrow"/>
                <w:b/>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Dental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Medical Practitioners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Nurse practitioners  </w:t>
            </w: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Optometrists</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Midwives</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Diabetes mellitus type 2</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Diabetes mellitus type 2</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lastRenderedPageBreak/>
              <w:t>Restriction Level / Method:</w:t>
            </w:r>
          </w:p>
          <w:p w:rsidR="00F25774" w:rsidRPr="00F25774" w:rsidRDefault="00F25774" w:rsidP="00F25774">
            <w:pPr>
              <w:widowControl/>
              <w:jc w:val="left"/>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Restricted benefit</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In Writing</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Telephone</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Emergency</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Electronic</w:t>
            </w: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Streamlined</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b/>
                <w:snapToGrid/>
                <w:sz w:val="20"/>
                <w:lang w:eastAsia="en-AU"/>
              </w:rPr>
            </w:pPr>
            <w:r w:rsidRPr="00F25774">
              <w:rPr>
                <w:rFonts w:ascii="Arial Narrow" w:hAnsi="Arial Narrow"/>
                <w:b/>
                <w:snapToGrid/>
                <w:sz w:val="20"/>
                <w:lang w:eastAsia="en-AU"/>
              </w:rPr>
              <w:t>Treatment criteria:</w:t>
            </w:r>
          </w:p>
          <w:p w:rsidR="00F25774" w:rsidRPr="00F25774" w:rsidRDefault="00F25774" w:rsidP="00F25774">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p>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Clinical criteria:</w:t>
            </w:r>
          </w:p>
          <w:p w:rsidR="00F25774" w:rsidRPr="00F25774" w:rsidRDefault="00F25774" w:rsidP="00F25774">
            <w:pPr>
              <w:widowControl/>
              <w:rPr>
                <w:rFonts w:ascii="Arial Narrow" w:hAnsi="Arial Narrow"/>
                <w:i/>
                <w:snapToGrid/>
                <w:sz w:val="20"/>
                <w:lang w:eastAsia="en-AU"/>
              </w:rPr>
            </w:pP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The treatment must be in combination with insulin, AND</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Patient must have, or have had, whereHbA1c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snapToGrid/>
                <w:sz w:val="20"/>
                <w:lang w:eastAsia="en-AU"/>
              </w:rPr>
            </w:pPr>
            <w:r w:rsidRPr="00F25774">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rPr>
                <w:rFonts w:ascii="Arial Narrow" w:hAnsi="Arial Narrow"/>
                <w:i/>
                <w:snapToGrid/>
                <w:sz w:val="20"/>
                <w:lang w:eastAsia="en-AU"/>
              </w:rPr>
            </w:pPr>
            <w:r w:rsidRPr="00F25774">
              <w:rPr>
                <w:rFonts w:ascii="Arial Narrow" w:hAnsi="Arial Narrow"/>
                <w:i/>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Foreword</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Definitions</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Prescriber Instructions</w:t>
            </w:r>
          </w:p>
          <w:p w:rsidR="00F25774" w:rsidRPr="00F25774" w:rsidRDefault="00F25774" w:rsidP="00F25774">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 xml:space="preserve">The date and level of the qualifying HbA1c measurement must be, or must have been, documented in the patient’s medical records at the time treatment with a gliptin, a glitazone, a glucagon-like peptide-1 or an SGLT2 inhibitor is initiated. </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The HbA1c must be no more than 4 months old at the time treatment with a gliptin, a glitazone, a glucagon-like peptide-1 or an SGLT2 inhibitor was initiated.</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Blood glucose monitoring may be used as an alternative assessment to HbA1c levels in the following circumstances:</w:t>
            </w: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(a) A clinical condition with reduced red blood cell survival, including haemolytic anaemias and haemoglobinopathies; and/or</w:t>
            </w: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(b) Had red cell transfusion within the previous 3 months.</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p w:rsidR="00F25774" w:rsidRPr="00F25774" w:rsidRDefault="00F25774" w:rsidP="00F25774">
            <w:pPr>
              <w:widowControl/>
              <w:jc w:val="left"/>
              <w:rPr>
                <w:rFonts w:ascii="Arial Narrow" w:hAnsi="Arial Narrow"/>
                <w:i/>
                <w:snapToGrid/>
                <w:sz w:val="20"/>
                <w:lang w:eastAsia="en-AU"/>
              </w:rPr>
            </w:pP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lastRenderedPageBreak/>
              <w:t>Administrative Advice</w:t>
            </w:r>
          </w:p>
          <w:p w:rsidR="00F25774" w:rsidRPr="00F25774" w:rsidRDefault="00F25774" w:rsidP="00F25774">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b/>
                <w:i/>
                <w:snapToGrid/>
                <w:sz w:val="20"/>
                <w:lang w:eastAsia="en-AU"/>
              </w:rPr>
            </w:pPr>
            <w:r w:rsidRPr="00F25774">
              <w:rPr>
                <w:rFonts w:ascii="Arial Narrow" w:hAnsi="Arial Narrow"/>
                <w:b/>
                <w:i/>
                <w:snapToGrid/>
                <w:sz w:val="20"/>
                <w:lang w:eastAsia="en-AU"/>
              </w:rPr>
              <w:t>Note:</w:t>
            </w:r>
          </w:p>
          <w:p w:rsidR="00F25774" w:rsidRPr="00F25774" w:rsidRDefault="00F25774" w:rsidP="00F25774">
            <w:pPr>
              <w:widowControl/>
              <w:jc w:val="left"/>
              <w:rPr>
                <w:rFonts w:ascii="Arial Narrow" w:hAnsi="Arial Narrow"/>
                <w:b/>
                <w:i/>
                <w:snapToGrid/>
                <w:sz w:val="20"/>
                <w:lang w:eastAsia="en-AU"/>
              </w:rPr>
            </w:pPr>
            <w:r w:rsidRPr="00F25774">
              <w:rPr>
                <w:rFonts w:ascii="Arial Narrow" w:hAnsi="Arial Narrow"/>
                <w:b/>
                <w:i/>
                <w:snapToGrid/>
                <w:sz w:val="20"/>
                <w:lang w:eastAsia="en-AU"/>
              </w:rPr>
              <w:t>Continuing Therapy Only:</w:t>
            </w: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For prescribing by nurse practitioners as continuing therapy only, where the treatment of, and prescribing of medicine for, a patient has been initiated by a medical practitioner.</w:t>
            </w: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Further information can be found in the Explanatory Notes for Nurse Practitioners.</w:t>
            </w:r>
          </w:p>
          <w:p w:rsidR="00F25774" w:rsidRPr="00F25774" w:rsidRDefault="00F25774" w:rsidP="00F25774">
            <w:pPr>
              <w:widowControl/>
              <w:jc w:val="left"/>
              <w:rPr>
                <w:rFonts w:ascii="Arial Narrow" w:hAnsi="Arial Narrow"/>
                <w:i/>
                <w:snapToGrid/>
                <w:sz w:val="20"/>
                <w:lang w:eastAsia="en-AU"/>
              </w:rPr>
            </w:pPr>
          </w:p>
          <w:p w:rsidR="00F25774" w:rsidRPr="00F25774" w:rsidRDefault="00F25774" w:rsidP="00F25774">
            <w:pPr>
              <w:widowControl/>
              <w:jc w:val="left"/>
              <w:rPr>
                <w:rFonts w:ascii="Arial Narrow" w:hAnsi="Arial Narrow"/>
                <w:b/>
                <w:i/>
                <w:snapToGrid/>
                <w:sz w:val="20"/>
                <w:lang w:eastAsia="en-AU"/>
              </w:rPr>
            </w:pPr>
            <w:r w:rsidRPr="00F25774">
              <w:rPr>
                <w:rFonts w:ascii="Arial Narrow" w:hAnsi="Arial Narrow"/>
                <w:b/>
                <w:i/>
                <w:snapToGrid/>
                <w:sz w:val="20"/>
                <w:lang w:eastAsia="en-AU"/>
              </w:rPr>
              <w:t>Note:</w:t>
            </w:r>
          </w:p>
          <w:p w:rsidR="00F25774" w:rsidRPr="00F25774" w:rsidRDefault="00F25774" w:rsidP="00F25774">
            <w:pPr>
              <w:widowControl/>
              <w:jc w:val="left"/>
              <w:rPr>
                <w:rFonts w:ascii="Arial Narrow" w:hAnsi="Arial Narrow"/>
                <w:i/>
                <w:snapToGrid/>
                <w:sz w:val="20"/>
                <w:lang w:eastAsia="en-AU"/>
              </w:rPr>
            </w:pPr>
            <w:r w:rsidRPr="00F25774">
              <w:rPr>
                <w:rFonts w:ascii="Arial Narrow" w:hAnsi="Arial Narrow"/>
                <w:i/>
                <w:snapToGrid/>
                <w:sz w:val="20"/>
                <w:lang w:eastAsia="en-AU"/>
              </w:rPr>
              <w:t xml:space="preserve">The fixed dose combination is not PBS-subsidised for use </w:t>
            </w:r>
            <w:r w:rsidRPr="00F25774">
              <w:rPr>
                <w:rFonts w:ascii="Arial Narrow" w:hAnsi="Arial Narrow"/>
                <w:i/>
                <w:strike/>
                <w:snapToGrid/>
                <w:sz w:val="20"/>
                <w:lang w:eastAsia="en-AU"/>
              </w:rPr>
              <w:t>in combination with a sulfonylurea (triple oral therapy)</w:t>
            </w:r>
            <w:r w:rsidRPr="00F25774">
              <w:rPr>
                <w:rFonts w:ascii="Arial Narrow" w:hAnsi="Arial Narrow"/>
                <w:i/>
                <w:snapToGrid/>
                <w:sz w:val="20"/>
                <w:vertAlign w:val="superscript"/>
                <w:lang w:eastAsia="en-AU"/>
              </w:rPr>
              <w:t>a</w:t>
            </w:r>
            <w:r w:rsidRPr="00F25774">
              <w:rPr>
                <w:rFonts w:ascii="Arial Narrow" w:hAnsi="Arial Narrow"/>
                <w:i/>
                <w:snapToGrid/>
                <w:sz w:val="20"/>
                <w:lang w:eastAsia="en-AU"/>
              </w:rPr>
              <w:t>, as initial therapy or in combination with a thiazolidinedione (glitazone), a dipeptidyl peptidase 4 inhibitor (gliptin) or a glucagon-like peptide-1.</w:t>
            </w:r>
          </w:p>
        </w:tc>
      </w:tr>
      <w:tr w:rsidR="00F25774" w:rsidRPr="00F25774" w:rsidTr="007D03F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rPr>
                <w:rFonts w:ascii="Arial Narrow" w:hAnsi="Arial Narrow"/>
                <w:b/>
                <w:snapToGrid/>
                <w:sz w:val="20"/>
                <w:lang w:eastAsia="en-AU"/>
              </w:rPr>
            </w:pPr>
            <w:r w:rsidRPr="00F25774">
              <w:rPr>
                <w:rFonts w:ascii="Arial Narrow" w:hAnsi="Arial Narrow"/>
                <w:b/>
                <w:snapToGrid/>
                <w:sz w:val="20"/>
                <w:lang w:eastAsia="en-AU"/>
              </w:rPr>
              <w:t>Cautions</w:t>
            </w:r>
          </w:p>
          <w:p w:rsidR="00F25774" w:rsidRPr="00F25774" w:rsidRDefault="00F25774" w:rsidP="00F25774">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F25774" w:rsidRPr="00F25774" w:rsidRDefault="00F25774" w:rsidP="00F25774">
            <w:pPr>
              <w:widowControl/>
              <w:jc w:val="left"/>
              <w:rPr>
                <w:rFonts w:ascii="Arial Narrow" w:hAnsi="Arial Narrow"/>
                <w:snapToGrid/>
                <w:sz w:val="20"/>
                <w:lang w:eastAsia="en-AU"/>
              </w:rPr>
            </w:pPr>
            <w:r w:rsidRPr="00F25774">
              <w:rPr>
                <w:rFonts w:ascii="Arial Narrow" w:hAnsi="Arial Narrow"/>
                <w:snapToGrid/>
                <w:sz w:val="20"/>
                <w:lang w:eastAsia="en-AU"/>
              </w:rPr>
              <w:t>-</w:t>
            </w:r>
          </w:p>
        </w:tc>
      </w:tr>
    </w:tbl>
    <w:p w:rsidR="00F25774" w:rsidRPr="00F25774" w:rsidRDefault="00F25774" w:rsidP="00F25774">
      <w:pPr>
        <w:widowControl/>
        <w:jc w:val="left"/>
        <w:rPr>
          <w:i/>
          <w:snapToGrid/>
          <w:szCs w:val="22"/>
          <w:lang w:eastAsia="en-AU"/>
        </w:rPr>
      </w:pPr>
      <w:r w:rsidRPr="00F25774">
        <w:rPr>
          <w:i/>
          <w:snapToGrid/>
          <w:szCs w:val="22"/>
          <w:vertAlign w:val="superscript"/>
          <w:lang w:eastAsia="en-AU"/>
        </w:rPr>
        <w:t>a</w:t>
      </w:r>
      <w:r w:rsidRPr="00F25774">
        <w:rPr>
          <w:i/>
          <w:snapToGrid/>
          <w:szCs w:val="22"/>
          <w:lang w:eastAsia="en-AU"/>
        </w:rPr>
        <w:t xml:space="preserve"> Remove if empagliflozin is recommended by the PBAC for use in triple therapy</w:t>
      </w:r>
    </w:p>
    <w:p w:rsidR="006D7CBD" w:rsidRDefault="006D7CBD" w:rsidP="006D7CBD">
      <w:pPr>
        <w:pStyle w:val="ListParagraph"/>
        <w:widowControl/>
        <w:rPr>
          <w:szCs w:val="22"/>
        </w:rPr>
      </w:pPr>
    </w:p>
    <w:p w:rsidR="002C2775" w:rsidRPr="00B50DB8" w:rsidRDefault="00481636" w:rsidP="000028F6">
      <w:pPr>
        <w:pStyle w:val="ListParagraph"/>
        <w:widowControl/>
        <w:numPr>
          <w:ilvl w:val="1"/>
          <w:numId w:val="3"/>
        </w:numPr>
        <w:rPr>
          <w:szCs w:val="22"/>
        </w:rPr>
      </w:pPr>
      <w:r>
        <w:rPr>
          <w:szCs w:val="22"/>
        </w:rPr>
        <w:t>The listing was requested on a cost-minimisation basis compared to the individual components of the FDC, empagliflozin and metformin, taken concomitantly.</w:t>
      </w:r>
    </w:p>
    <w:p w:rsidR="00F97A78" w:rsidRDefault="00F97A78" w:rsidP="00D57585">
      <w:pPr>
        <w:widowControl/>
        <w:rPr>
          <w:szCs w:val="22"/>
        </w:rPr>
      </w:pPr>
    </w:p>
    <w:p w:rsidR="006D5ED4" w:rsidRDefault="006D5ED4" w:rsidP="00F5420F">
      <w:pPr>
        <w:pStyle w:val="ListParagraph"/>
        <w:ind w:left="709"/>
        <w:rPr>
          <w:i/>
          <w:szCs w:val="22"/>
        </w:rPr>
      </w:pPr>
      <w:r w:rsidRPr="001D2D9F">
        <w:rPr>
          <w:i/>
          <w:szCs w:val="22"/>
        </w:rPr>
        <w:t>For more detail on PBAC’s view, see section 7 “PBAC outcome”</w:t>
      </w:r>
    </w:p>
    <w:p w:rsidR="006D5ED4" w:rsidRDefault="006D5ED4" w:rsidP="00D57585">
      <w:pPr>
        <w:widowControl/>
        <w:rPr>
          <w:szCs w:val="22"/>
        </w:rPr>
      </w:pPr>
    </w:p>
    <w:p w:rsidR="00E56B2E" w:rsidRDefault="00E56B2E" w:rsidP="00D57585">
      <w:pPr>
        <w:widowControl/>
        <w:rPr>
          <w:szCs w:val="22"/>
        </w:rPr>
      </w:pPr>
    </w:p>
    <w:p w:rsidR="00B50DB8" w:rsidRPr="00407F2D" w:rsidRDefault="00B50DB8" w:rsidP="0070102D">
      <w:pPr>
        <w:pStyle w:val="Heading1"/>
      </w:pPr>
      <w:bookmarkStart w:id="6" w:name="_Toc430102465"/>
      <w:r w:rsidRPr="00407F2D">
        <w:t>Background</w:t>
      </w:r>
      <w:bookmarkEnd w:id="6"/>
    </w:p>
    <w:p w:rsidR="00B60939" w:rsidRPr="00882085" w:rsidRDefault="00B60939" w:rsidP="00D57585">
      <w:pPr>
        <w:rPr>
          <w:szCs w:val="22"/>
        </w:rPr>
      </w:pPr>
    </w:p>
    <w:p w:rsidR="003D7BBE" w:rsidRPr="0067598C" w:rsidRDefault="00B27AD1" w:rsidP="000028F6">
      <w:pPr>
        <w:pStyle w:val="ListParagraph"/>
        <w:widowControl/>
        <w:numPr>
          <w:ilvl w:val="1"/>
          <w:numId w:val="3"/>
        </w:numPr>
      </w:pPr>
      <w:r w:rsidRPr="00DD2931">
        <w:rPr>
          <w:bCs/>
          <w:szCs w:val="22"/>
        </w:rPr>
        <w:t xml:space="preserve">TGA status at time of </w:t>
      </w:r>
      <w:r w:rsidR="00F13BBC" w:rsidRPr="00DD2931">
        <w:rPr>
          <w:bCs/>
          <w:szCs w:val="22"/>
        </w:rPr>
        <w:t>PBAC consideration:</w:t>
      </w:r>
      <w:r w:rsidR="00F13BBC">
        <w:rPr>
          <w:b/>
          <w:bCs/>
          <w:szCs w:val="22"/>
        </w:rPr>
        <w:t xml:space="preserve"> </w:t>
      </w:r>
      <w:r w:rsidR="00F13BBC">
        <w:rPr>
          <w:bCs/>
          <w:szCs w:val="22"/>
        </w:rPr>
        <w:t>e</w:t>
      </w:r>
      <w:r w:rsidR="002E405C" w:rsidRPr="0067598C">
        <w:t>mpagliflozin/metformin FDC was submitted under the TGA/PBAC parallel process and approved for registration by the TGA delegate on July 17, 2015.</w:t>
      </w:r>
      <w:r w:rsidR="00B60939" w:rsidRPr="0067598C">
        <w:t xml:space="preserve"> </w:t>
      </w:r>
    </w:p>
    <w:p w:rsidR="003D7BBE" w:rsidRDefault="003D7BBE" w:rsidP="00D57585">
      <w:pPr>
        <w:pStyle w:val="ListParagraph"/>
        <w:widowControl/>
      </w:pPr>
    </w:p>
    <w:p w:rsidR="003D7BBE" w:rsidRPr="003D7BBE" w:rsidRDefault="003D7BBE" w:rsidP="000028F6">
      <w:pPr>
        <w:pStyle w:val="ListParagraph"/>
        <w:widowControl/>
        <w:numPr>
          <w:ilvl w:val="1"/>
          <w:numId w:val="3"/>
        </w:numPr>
        <w:rPr>
          <w:szCs w:val="22"/>
        </w:rPr>
      </w:pPr>
      <w:r>
        <w:t>The individual components of the FDC, empagliflozin and metformin, are currently TGA registere</w:t>
      </w:r>
      <w:r w:rsidR="009225CF">
        <w:t>d for use as individual tablets.</w:t>
      </w:r>
    </w:p>
    <w:p w:rsidR="003D7BBE" w:rsidRPr="004D207A" w:rsidRDefault="003D7BBE" w:rsidP="00D57585">
      <w:pPr>
        <w:widowControl/>
        <w:rPr>
          <w:szCs w:val="22"/>
        </w:rPr>
      </w:pPr>
    </w:p>
    <w:p w:rsidR="00B60939" w:rsidRPr="00882085" w:rsidRDefault="003D7BBE" w:rsidP="000028F6">
      <w:pPr>
        <w:pStyle w:val="ListParagraph"/>
        <w:widowControl/>
        <w:numPr>
          <w:ilvl w:val="1"/>
          <w:numId w:val="3"/>
        </w:numPr>
      </w:pPr>
      <w:r w:rsidRPr="009D7AB4">
        <w:rPr>
          <w:szCs w:val="22"/>
        </w:rPr>
        <w:t>Empagliflozin 10mg and 25mg were TGA registered on 30 A</w:t>
      </w:r>
      <w:r w:rsidR="005565C8">
        <w:rPr>
          <w:szCs w:val="22"/>
        </w:rPr>
        <w:t>pril 2014 for the treatment of T</w:t>
      </w:r>
      <w:r w:rsidRPr="009D7AB4">
        <w:rPr>
          <w:szCs w:val="22"/>
        </w:rPr>
        <w:t xml:space="preserve">ype 2 diabetes to improve glycaemic control in adults as: monotherapy in patients </w:t>
      </w:r>
      <w:r>
        <w:rPr>
          <w:szCs w:val="22"/>
        </w:rPr>
        <w:t>who are intolerant to metformin</w:t>
      </w:r>
      <w:r w:rsidRPr="009D7AB4">
        <w:rPr>
          <w:szCs w:val="22"/>
        </w:rPr>
        <w:t>; add-on combination therapy with other glucose-lowering medicinal products including insulin</w:t>
      </w:r>
      <w:r>
        <w:rPr>
          <w:szCs w:val="22"/>
        </w:rPr>
        <w:t>, when these, together with diet and exercise, do not provide adequate glycaemic control.</w:t>
      </w:r>
    </w:p>
    <w:p w:rsidR="00B60939" w:rsidRPr="00882085" w:rsidRDefault="00B60939" w:rsidP="00D57585">
      <w:pPr>
        <w:pStyle w:val="ListParagraph"/>
        <w:rPr>
          <w:szCs w:val="22"/>
        </w:rPr>
      </w:pPr>
    </w:p>
    <w:p w:rsidR="003D7BBE" w:rsidRPr="00B50DB8" w:rsidRDefault="0095785E" w:rsidP="000028F6">
      <w:pPr>
        <w:pStyle w:val="ListParagraph"/>
        <w:widowControl/>
        <w:numPr>
          <w:ilvl w:val="1"/>
          <w:numId w:val="3"/>
        </w:numPr>
        <w:rPr>
          <w:szCs w:val="22"/>
        </w:rPr>
      </w:pPr>
      <w:r>
        <w:rPr>
          <w:szCs w:val="22"/>
        </w:rPr>
        <w:t>There were two</w:t>
      </w:r>
      <w:r w:rsidRPr="00560215">
        <w:rPr>
          <w:szCs w:val="22"/>
        </w:rPr>
        <w:t xml:space="preserve"> concurrent submissio</w:t>
      </w:r>
      <w:r>
        <w:rPr>
          <w:szCs w:val="22"/>
        </w:rPr>
        <w:t>ns for empagliflozin in type 2</w:t>
      </w:r>
      <w:r w:rsidRPr="00560215">
        <w:rPr>
          <w:szCs w:val="22"/>
        </w:rPr>
        <w:t xml:space="preserve"> diabetes</w:t>
      </w:r>
      <w:r w:rsidR="00F6235A">
        <w:rPr>
          <w:szCs w:val="22"/>
        </w:rPr>
        <w:t>: empagliflozin in triple therapy with metformin and a sulfonylurea, and empagliflozin in combination with insulin.</w:t>
      </w:r>
      <w:r w:rsidR="002E405C" w:rsidRPr="002E405C">
        <w:rPr>
          <w:i/>
          <w:szCs w:val="22"/>
        </w:rPr>
        <w:t xml:space="preserve"> </w:t>
      </w:r>
      <w:r w:rsidR="002E405C" w:rsidRPr="001F53DA">
        <w:rPr>
          <w:szCs w:val="22"/>
        </w:rPr>
        <w:t>The sponsor requested that the wording of the restriction for the FDC be updated to include use with a sulfonylurea or insulin, in the case that the concurrent submissions are successful.</w:t>
      </w:r>
    </w:p>
    <w:p w:rsidR="00E55BB5" w:rsidRDefault="00E55BB5" w:rsidP="00D57585"/>
    <w:p w:rsidR="006D5ED4" w:rsidRDefault="006D5ED4" w:rsidP="00F5420F">
      <w:pPr>
        <w:pStyle w:val="ListParagraph"/>
        <w:ind w:left="709"/>
        <w:rPr>
          <w:i/>
          <w:szCs w:val="22"/>
        </w:rPr>
      </w:pPr>
      <w:r w:rsidRPr="001D2D9F">
        <w:rPr>
          <w:i/>
          <w:szCs w:val="22"/>
        </w:rPr>
        <w:t>For more detail on PBAC’s view, see section 7 “PBAC outcome”</w:t>
      </w:r>
    </w:p>
    <w:p w:rsidR="006D5ED4" w:rsidRDefault="006D5ED4" w:rsidP="00D57585"/>
    <w:p w:rsidR="001E1FAE" w:rsidRPr="00882085" w:rsidRDefault="001E1FAE" w:rsidP="00D57585"/>
    <w:p w:rsidR="00B50DB8" w:rsidRPr="00407F2D" w:rsidRDefault="00B50DB8" w:rsidP="0070102D">
      <w:pPr>
        <w:pStyle w:val="Heading1"/>
      </w:pPr>
      <w:bookmarkStart w:id="7" w:name="_Toc430102466"/>
      <w:r w:rsidRPr="00407F2D">
        <w:t>Clinical place for the proposed therapy</w:t>
      </w:r>
      <w:bookmarkEnd w:id="7"/>
    </w:p>
    <w:p w:rsidR="00B60939" w:rsidRPr="00882085" w:rsidRDefault="00B60939" w:rsidP="00D57585">
      <w:pPr>
        <w:rPr>
          <w:szCs w:val="22"/>
        </w:rPr>
      </w:pPr>
    </w:p>
    <w:p w:rsidR="00B60939" w:rsidRPr="004D207A" w:rsidRDefault="004D207A" w:rsidP="000028F6">
      <w:pPr>
        <w:pStyle w:val="ListParagraph"/>
        <w:widowControl/>
        <w:numPr>
          <w:ilvl w:val="1"/>
          <w:numId w:val="3"/>
        </w:numPr>
        <w:rPr>
          <w:szCs w:val="22"/>
        </w:rPr>
      </w:pPr>
      <w:r>
        <w:t xml:space="preserve">Type 2 diabetes where metformin alone does not provide adequate control. </w:t>
      </w:r>
    </w:p>
    <w:p w:rsidR="00894489" w:rsidRPr="002C2775" w:rsidRDefault="00894489" w:rsidP="00D57585">
      <w:pPr>
        <w:widowControl/>
        <w:rPr>
          <w:szCs w:val="22"/>
        </w:rPr>
      </w:pPr>
    </w:p>
    <w:p w:rsidR="00B60939" w:rsidRPr="00B50DB8" w:rsidRDefault="00F6235A" w:rsidP="000028F6">
      <w:pPr>
        <w:pStyle w:val="ListParagraph"/>
        <w:widowControl/>
        <w:numPr>
          <w:ilvl w:val="1"/>
          <w:numId w:val="3"/>
        </w:numPr>
        <w:rPr>
          <w:szCs w:val="22"/>
        </w:rPr>
      </w:pPr>
      <w:r w:rsidRPr="00F6235A">
        <w:rPr>
          <w:szCs w:val="22"/>
        </w:rPr>
        <w:t>Empagliflozin</w:t>
      </w:r>
      <w:r>
        <w:t>/metformin FDC will provide a treatment alternative for patients taking concomitant empagliflozin and metformin for the treatment of Type 2 diabetes.</w:t>
      </w:r>
    </w:p>
    <w:p w:rsidR="002C2775" w:rsidRDefault="002C2775" w:rsidP="00D57585">
      <w:pPr>
        <w:widowControl/>
        <w:rPr>
          <w:szCs w:val="22"/>
        </w:rPr>
      </w:pPr>
    </w:p>
    <w:p w:rsidR="006D5ED4" w:rsidRDefault="006D5ED4" w:rsidP="00F5420F">
      <w:pPr>
        <w:pStyle w:val="ListParagraph"/>
        <w:ind w:left="709"/>
        <w:rPr>
          <w:i/>
          <w:szCs w:val="22"/>
        </w:rPr>
      </w:pPr>
      <w:r w:rsidRPr="001D2D9F">
        <w:rPr>
          <w:i/>
          <w:szCs w:val="22"/>
        </w:rPr>
        <w:t>For more detail on PBAC’s view, see section 7 “PBAC outcome”</w:t>
      </w:r>
    </w:p>
    <w:p w:rsidR="006D5ED4" w:rsidRDefault="006D5ED4" w:rsidP="00D57585">
      <w:pPr>
        <w:widowControl/>
        <w:rPr>
          <w:szCs w:val="22"/>
        </w:rPr>
      </w:pPr>
    </w:p>
    <w:p w:rsidR="001E1FAE" w:rsidRPr="002C2775" w:rsidRDefault="001E1FAE" w:rsidP="00D57585">
      <w:pPr>
        <w:widowControl/>
        <w:rPr>
          <w:szCs w:val="22"/>
        </w:rPr>
      </w:pPr>
    </w:p>
    <w:p w:rsidR="00B50DB8" w:rsidRPr="00407F2D" w:rsidRDefault="00B50DB8" w:rsidP="0070102D">
      <w:pPr>
        <w:pStyle w:val="Heading1"/>
      </w:pPr>
      <w:bookmarkStart w:id="8" w:name="_Toc430102467"/>
      <w:r w:rsidRPr="00407F2D">
        <w:t>Comparator</w:t>
      </w:r>
      <w:bookmarkEnd w:id="8"/>
    </w:p>
    <w:p w:rsidR="00B60939" w:rsidRPr="00882085" w:rsidRDefault="00B60939" w:rsidP="00D57585"/>
    <w:p w:rsidR="002C2775" w:rsidRPr="00B50DB8" w:rsidRDefault="004D207A" w:rsidP="000028F6">
      <w:pPr>
        <w:pStyle w:val="ListParagraph"/>
        <w:widowControl/>
        <w:numPr>
          <w:ilvl w:val="1"/>
          <w:numId w:val="3"/>
        </w:numPr>
        <w:rPr>
          <w:szCs w:val="22"/>
        </w:rPr>
      </w:pPr>
      <w:r>
        <w:t>The submission nominated the co-administered individual components of the FDC (empagliflozin and metformin</w:t>
      </w:r>
      <w:r w:rsidR="003966BA">
        <w:t xml:space="preserve"> immediate release</w:t>
      </w:r>
      <w:r>
        <w:t xml:space="preserve">) as the main comparator. </w:t>
      </w:r>
      <w:r w:rsidRPr="00AE3379">
        <w:t>This was appropriate.</w:t>
      </w:r>
      <w:r w:rsidR="003966BA">
        <w:rPr>
          <w:i/>
        </w:rPr>
        <w:t xml:space="preserve"> </w:t>
      </w:r>
      <w:r w:rsidR="003966BA">
        <w:t>T</w:t>
      </w:r>
      <w:r w:rsidR="002E645E">
        <w:t>he submission includ</w:t>
      </w:r>
      <w:r w:rsidR="003966BA">
        <w:t>ed dapagliflozin</w:t>
      </w:r>
      <w:r w:rsidR="002E645E">
        <w:t xml:space="preserve"> 10mg</w:t>
      </w:r>
      <w:r w:rsidR="003966BA">
        <w:t xml:space="preserve"> with metformin as a secondary comparator.</w:t>
      </w:r>
      <w:r w:rsidR="003966BA">
        <w:rPr>
          <w:i/>
        </w:rPr>
        <w:t xml:space="preserve"> </w:t>
      </w:r>
    </w:p>
    <w:p w:rsidR="00B60939" w:rsidRDefault="00B60939" w:rsidP="00D57585">
      <w:pPr>
        <w:rPr>
          <w:szCs w:val="22"/>
        </w:rPr>
      </w:pPr>
    </w:p>
    <w:p w:rsidR="006D5ED4" w:rsidRDefault="006D5ED4" w:rsidP="00F5420F">
      <w:pPr>
        <w:pStyle w:val="ListParagraph"/>
        <w:ind w:left="709"/>
        <w:rPr>
          <w:i/>
          <w:szCs w:val="22"/>
        </w:rPr>
      </w:pPr>
      <w:r w:rsidRPr="001D2D9F">
        <w:rPr>
          <w:i/>
          <w:szCs w:val="22"/>
        </w:rPr>
        <w:t>For more detail on PBAC’s view, see section 7 “PBAC outcome”</w:t>
      </w:r>
    </w:p>
    <w:p w:rsidR="006D5ED4" w:rsidRDefault="006D5ED4" w:rsidP="00D57585">
      <w:pPr>
        <w:rPr>
          <w:szCs w:val="22"/>
        </w:rPr>
      </w:pPr>
    </w:p>
    <w:p w:rsidR="001E1FAE" w:rsidRPr="00DF5D2B" w:rsidRDefault="001E1FAE" w:rsidP="00D57585">
      <w:pPr>
        <w:rPr>
          <w:szCs w:val="22"/>
        </w:rPr>
      </w:pPr>
    </w:p>
    <w:p w:rsidR="00B50DB8" w:rsidRPr="00407F2D" w:rsidRDefault="00854C4F" w:rsidP="0070102D">
      <w:pPr>
        <w:pStyle w:val="Heading1"/>
      </w:pPr>
      <w:bookmarkStart w:id="9" w:name="_Toc430102468"/>
      <w:r>
        <w:t>PBAC c</w:t>
      </w:r>
      <w:r w:rsidR="00B50DB8" w:rsidRPr="00407F2D">
        <w:t>onsideration of the evidence</w:t>
      </w:r>
      <w:bookmarkEnd w:id="9"/>
    </w:p>
    <w:p w:rsidR="00B60939" w:rsidRPr="00882085" w:rsidRDefault="00B60939" w:rsidP="00D57585"/>
    <w:p w:rsidR="006D5ED4" w:rsidRPr="0070102D" w:rsidRDefault="006D5ED4" w:rsidP="0070102D">
      <w:pPr>
        <w:pStyle w:val="Heading2"/>
      </w:pPr>
      <w:bookmarkStart w:id="10" w:name="_Toc430102469"/>
      <w:r w:rsidRPr="0070102D">
        <w:t>Sponsor hearing</w:t>
      </w:r>
    </w:p>
    <w:p w:rsidR="006D5ED4" w:rsidRPr="001D2D9F" w:rsidRDefault="006D5ED4" w:rsidP="00F5420F">
      <w:pPr>
        <w:numPr>
          <w:ilvl w:val="1"/>
          <w:numId w:val="3"/>
        </w:numPr>
        <w:contextualSpacing/>
        <w:rPr>
          <w:bCs/>
          <w:szCs w:val="22"/>
        </w:rPr>
      </w:pPr>
      <w:r w:rsidRPr="001D2D9F">
        <w:rPr>
          <w:bCs/>
          <w:szCs w:val="22"/>
        </w:rPr>
        <w:t>The</w:t>
      </w:r>
      <w:r w:rsidR="00F5420F" w:rsidRPr="001D2D9F">
        <w:rPr>
          <w:bCs/>
          <w:szCs w:val="22"/>
        </w:rPr>
        <w:t>re was no hearing for this item</w:t>
      </w:r>
      <w:r w:rsidRPr="001D2D9F">
        <w:rPr>
          <w:bCs/>
          <w:szCs w:val="22"/>
        </w:rPr>
        <w:t>.</w:t>
      </w:r>
    </w:p>
    <w:p w:rsidR="006D5ED4" w:rsidRPr="001D2D9F" w:rsidRDefault="006D5ED4" w:rsidP="00F5420F">
      <w:pPr>
        <w:rPr>
          <w:bCs/>
          <w:szCs w:val="22"/>
        </w:rPr>
      </w:pPr>
    </w:p>
    <w:p w:rsidR="006D5ED4" w:rsidRPr="001D2D9F" w:rsidRDefault="006D5ED4" w:rsidP="0070102D">
      <w:pPr>
        <w:pStyle w:val="Heading2"/>
      </w:pPr>
      <w:r w:rsidRPr="001D2D9F">
        <w:t>Consumer comments</w:t>
      </w:r>
    </w:p>
    <w:p w:rsidR="006D5ED4" w:rsidRPr="001D2D9F" w:rsidRDefault="006D5ED4" w:rsidP="00F5420F">
      <w:pPr>
        <w:numPr>
          <w:ilvl w:val="1"/>
          <w:numId w:val="3"/>
        </w:numPr>
        <w:contextualSpacing/>
        <w:rPr>
          <w:bCs/>
          <w:szCs w:val="22"/>
        </w:rPr>
      </w:pPr>
      <w:r w:rsidRPr="001D2D9F">
        <w:rPr>
          <w:bCs/>
          <w:szCs w:val="22"/>
        </w:rPr>
        <w:t>The PBAC noted that no consumer comme</w:t>
      </w:r>
      <w:r w:rsidR="00F5420F" w:rsidRPr="001D2D9F">
        <w:rPr>
          <w:bCs/>
          <w:szCs w:val="22"/>
        </w:rPr>
        <w:t>nts were received for this item</w:t>
      </w:r>
      <w:r w:rsidRPr="001D2D9F">
        <w:rPr>
          <w:bCs/>
          <w:szCs w:val="22"/>
        </w:rPr>
        <w:t>.</w:t>
      </w:r>
    </w:p>
    <w:p w:rsidR="0070102D" w:rsidRDefault="0070102D" w:rsidP="0070102D">
      <w:pPr>
        <w:pStyle w:val="Heading2"/>
      </w:pPr>
    </w:p>
    <w:p w:rsidR="00B60939" w:rsidRPr="00B27AD1" w:rsidRDefault="00B60939" w:rsidP="0070102D">
      <w:pPr>
        <w:pStyle w:val="Heading2"/>
      </w:pPr>
      <w:r w:rsidRPr="00B27AD1">
        <w:t>Clinical trials</w:t>
      </w:r>
      <w:bookmarkEnd w:id="10"/>
    </w:p>
    <w:p w:rsidR="00B60939" w:rsidRPr="00882085" w:rsidRDefault="00B60939" w:rsidP="00D57585">
      <w:pPr>
        <w:rPr>
          <w:szCs w:val="22"/>
        </w:rPr>
      </w:pPr>
    </w:p>
    <w:p w:rsidR="002E645E" w:rsidRPr="002E645E" w:rsidRDefault="00B52CBB" w:rsidP="000028F6">
      <w:pPr>
        <w:pStyle w:val="ListParagraph"/>
        <w:widowControl/>
        <w:numPr>
          <w:ilvl w:val="1"/>
          <w:numId w:val="3"/>
        </w:numPr>
        <w:rPr>
          <w:szCs w:val="22"/>
        </w:rPr>
      </w:pPr>
      <w:r>
        <w:t xml:space="preserve">Two </w:t>
      </w:r>
      <w:r w:rsidR="003966BA">
        <w:t>bioequivalence analyses</w:t>
      </w:r>
      <w:r>
        <w:t xml:space="preserve"> were considered</w:t>
      </w:r>
      <w:r w:rsidR="00E664AA">
        <w:t xml:space="preserve">. The first compared </w:t>
      </w:r>
      <w:r>
        <w:t xml:space="preserve">the equivalence of taking </w:t>
      </w:r>
      <w:r w:rsidR="00E664AA">
        <w:t>empagliflozin 5mg twic</w:t>
      </w:r>
      <w:r>
        <w:t>e daily to empagliflozin 10mg taken o</w:t>
      </w:r>
      <w:r w:rsidR="00E664AA">
        <w:t>n</w:t>
      </w:r>
      <w:r>
        <w:t>c</w:t>
      </w:r>
      <w:r w:rsidR="00E664AA">
        <w:t>e daily</w:t>
      </w:r>
      <w:r>
        <w:t xml:space="preserve"> (1276.9)</w:t>
      </w:r>
      <w:r w:rsidR="00E664AA">
        <w:t xml:space="preserve">. The second </w:t>
      </w:r>
      <w:r w:rsidR="00EE2C94">
        <w:t>aimed to establish b</w:t>
      </w:r>
      <w:r>
        <w:t xml:space="preserve">ioequivalence of </w:t>
      </w:r>
      <w:r w:rsidR="00E664AA">
        <w:t>the six FDC tablets to the</w:t>
      </w:r>
      <w:r w:rsidR="008C3493">
        <w:t>ir</w:t>
      </w:r>
      <w:r w:rsidR="00E664AA">
        <w:t xml:space="preserve"> individual components taken concomitantly</w:t>
      </w:r>
      <w:r>
        <w:t xml:space="preserve"> (1276.5, 1276.6, 1276.7, 1276.8, 1276.23, 1276.24)</w:t>
      </w:r>
      <w:r w:rsidR="00E664AA">
        <w:t>.</w:t>
      </w:r>
    </w:p>
    <w:p w:rsidR="002E645E" w:rsidRPr="002E645E" w:rsidRDefault="002E645E" w:rsidP="00D57585">
      <w:pPr>
        <w:pStyle w:val="ListParagraph"/>
        <w:widowControl/>
        <w:rPr>
          <w:szCs w:val="22"/>
        </w:rPr>
      </w:pPr>
    </w:p>
    <w:p w:rsidR="002E645E" w:rsidRPr="002E645E" w:rsidRDefault="002E645E" w:rsidP="000028F6">
      <w:pPr>
        <w:pStyle w:val="ListParagraph"/>
        <w:widowControl/>
        <w:numPr>
          <w:ilvl w:val="1"/>
          <w:numId w:val="3"/>
        </w:numPr>
        <w:rPr>
          <w:szCs w:val="22"/>
        </w:rPr>
      </w:pPr>
      <w:r>
        <w:rPr>
          <w:szCs w:val="22"/>
        </w:rPr>
        <w:t>Trial 1276.10 provided 16 week efficacy data comparing once daily</w:t>
      </w:r>
      <w:r w:rsidR="00B52CBB">
        <w:rPr>
          <w:szCs w:val="22"/>
        </w:rPr>
        <w:t xml:space="preserve"> (10mg, 25mg)</w:t>
      </w:r>
      <w:r>
        <w:rPr>
          <w:szCs w:val="22"/>
        </w:rPr>
        <w:t xml:space="preserve"> and twice daily </w:t>
      </w:r>
      <w:r w:rsidR="005565C8">
        <w:rPr>
          <w:szCs w:val="22"/>
        </w:rPr>
        <w:t>(5mg, 12.5mg)</w:t>
      </w:r>
      <w:r w:rsidR="00B52CBB">
        <w:rPr>
          <w:szCs w:val="22"/>
        </w:rPr>
        <w:t xml:space="preserve"> </w:t>
      </w:r>
      <w:r>
        <w:rPr>
          <w:szCs w:val="22"/>
        </w:rPr>
        <w:t>empagliflozin dosing regimens.</w:t>
      </w:r>
    </w:p>
    <w:p w:rsidR="002E645E" w:rsidRPr="002E645E" w:rsidRDefault="002E645E" w:rsidP="00D57585">
      <w:pPr>
        <w:pStyle w:val="ListParagraph"/>
        <w:widowControl/>
        <w:rPr>
          <w:szCs w:val="22"/>
        </w:rPr>
      </w:pPr>
    </w:p>
    <w:p w:rsidR="007F1017" w:rsidRPr="00AE3379" w:rsidRDefault="00E664AA" w:rsidP="000028F6">
      <w:pPr>
        <w:pStyle w:val="ListParagraph"/>
        <w:widowControl/>
        <w:numPr>
          <w:ilvl w:val="1"/>
          <w:numId w:val="3"/>
        </w:numPr>
        <w:rPr>
          <w:szCs w:val="22"/>
        </w:rPr>
      </w:pPr>
      <w:r>
        <w:t>The submission also presented a series of indirect comparisons of empagliflozin and dapagliflozin using</w:t>
      </w:r>
      <w:r w:rsidR="002E645E">
        <w:t xml:space="preserve"> placebo</w:t>
      </w:r>
      <w:r>
        <w:t xml:space="preserve"> and a sulfonylurea as </w:t>
      </w:r>
      <w:r w:rsidR="00AE7FE9">
        <w:t xml:space="preserve">the </w:t>
      </w:r>
      <w:r>
        <w:t xml:space="preserve">common </w:t>
      </w:r>
      <w:r w:rsidR="00AE7FE9">
        <w:t>comparator</w:t>
      </w:r>
      <w:r>
        <w:t xml:space="preserve">, in patients </w:t>
      </w:r>
      <w:r w:rsidR="002E645E">
        <w:t xml:space="preserve">on background </w:t>
      </w:r>
      <w:r>
        <w:t>metformin therapy.</w:t>
      </w:r>
      <w:r w:rsidR="00702F8F" w:rsidRPr="002E645E">
        <w:rPr>
          <w:color w:val="3366FF"/>
        </w:rPr>
        <w:t xml:space="preserve"> </w:t>
      </w:r>
      <w:r w:rsidR="002E645E" w:rsidRPr="00AE3379">
        <w:t>This was an update of the evidence previously considered as part of the empagliflozin dual therapy submission at the July 2014 PBAC meeting.</w:t>
      </w:r>
    </w:p>
    <w:p w:rsidR="00862502" w:rsidRPr="00862502" w:rsidRDefault="00862502" w:rsidP="00D57585">
      <w:pPr>
        <w:widowControl/>
        <w:rPr>
          <w:szCs w:val="22"/>
        </w:rPr>
      </w:pPr>
    </w:p>
    <w:p w:rsidR="00E009B6" w:rsidRDefault="00862502" w:rsidP="000028F6">
      <w:pPr>
        <w:pStyle w:val="ListParagraph"/>
        <w:widowControl/>
        <w:numPr>
          <w:ilvl w:val="1"/>
          <w:numId w:val="3"/>
        </w:numPr>
        <w:rPr>
          <w:szCs w:val="22"/>
        </w:rPr>
      </w:pPr>
      <w:r w:rsidRPr="000B0AF0">
        <w:rPr>
          <w:szCs w:val="22"/>
        </w:rPr>
        <w:t xml:space="preserve">Details of the trials presented in the </w:t>
      </w:r>
      <w:r w:rsidR="000B0AF0" w:rsidRPr="000B0AF0">
        <w:rPr>
          <w:szCs w:val="22"/>
        </w:rPr>
        <w:t>submission are provided in the T</w:t>
      </w:r>
      <w:r w:rsidRPr="000B0AF0">
        <w:rPr>
          <w:szCs w:val="22"/>
        </w:rPr>
        <w:t xml:space="preserve">able </w:t>
      </w:r>
      <w:r w:rsidR="000B0AF0" w:rsidRPr="000B0AF0">
        <w:rPr>
          <w:szCs w:val="22"/>
        </w:rPr>
        <w:t>1</w:t>
      </w:r>
      <w:r w:rsidRPr="000B0AF0">
        <w:rPr>
          <w:szCs w:val="22"/>
        </w:rPr>
        <w:t>.</w:t>
      </w:r>
    </w:p>
    <w:p w:rsidR="002567AC" w:rsidRPr="002567AC" w:rsidRDefault="002567AC" w:rsidP="002567AC">
      <w:pPr>
        <w:pStyle w:val="ListParagraph"/>
        <w:rPr>
          <w:szCs w:val="22"/>
        </w:rPr>
      </w:pPr>
    </w:p>
    <w:p w:rsidR="008F120A" w:rsidRDefault="00862502" w:rsidP="00F13BBC">
      <w:pPr>
        <w:widowControl/>
        <w:rPr>
          <w:rStyle w:val="CommentReference"/>
        </w:rPr>
      </w:pPr>
      <w:r w:rsidRPr="00E009B6">
        <w:rPr>
          <w:szCs w:val="22"/>
        </w:rPr>
        <w:t xml:space="preserve"> </w:t>
      </w:r>
      <w:r w:rsidR="00F13BBC">
        <w:rPr>
          <w:szCs w:val="22"/>
        </w:rPr>
        <w:tab/>
      </w:r>
      <w:r w:rsidR="008F120A" w:rsidRPr="000812CA">
        <w:rPr>
          <w:rStyle w:val="CommentReference"/>
        </w:rPr>
        <w:t xml:space="preserve">Table </w:t>
      </w:r>
      <w:r w:rsidR="000B0AF0">
        <w:rPr>
          <w:rStyle w:val="CommentReference"/>
        </w:rPr>
        <w:t>1</w:t>
      </w:r>
      <w:r w:rsidR="008F120A" w:rsidRPr="000812CA">
        <w:rPr>
          <w:rStyle w:val="CommentReference"/>
        </w:rPr>
        <w:t>: Trials and associated reports presented in the submission</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clinical trials to support submission"/>
      </w:tblPr>
      <w:tblGrid>
        <w:gridCol w:w="1450"/>
        <w:gridCol w:w="5260"/>
        <w:gridCol w:w="1665"/>
      </w:tblGrid>
      <w:tr w:rsidR="00B52CBB" w:rsidRPr="004E2ADC" w:rsidTr="001F53DA">
        <w:tc>
          <w:tcPr>
            <w:tcW w:w="866" w:type="pct"/>
          </w:tcPr>
          <w:p w:rsidR="00B52CBB" w:rsidRPr="004E2ADC" w:rsidRDefault="00B52CBB" w:rsidP="00D57585">
            <w:pPr>
              <w:jc w:val="left"/>
              <w:rPr>
                <w:rFonts w:ascii="Arial Narrow" w:hAnsi="Arial Narrow"/>
                <w:b/>
                <w:sz w:val="20"/>
              </w:rPr>
            </w:pPr>
            <w:r w:rsidRPr="004E2ADC">
              <w:rPr>
                <w:rFonts w:ascii="Arial Narrow" w:hAnsi="Arial Narrow"/>
                <w:b/>
                <w:sz w:val="20"/>
              </w:rPr>
              <w:t>Trial ID</w:t>
            </w:r>
          </w:p>
        </w:tc>
        <w:tc>
          <w:tcPr>
            <w:tcW w:w="3140" w:type="pct"/>
          </w:tcPr>
          <w:p w:rsidR="00B52CBB" w:rsidRPr="004E2ADC" w:rsidRDefault="00B52CBB" w:rsidP="00D57585">
            <w:pPr>
              <w:jc w:val="center"/>
              <w:rPr>
                <w:rFonts w:ascii="Arial Narrow" w:hAnsi="Arial Narrow"/>
                <w:b/>
                <w:sz w:val="20"/>
              </w:rPr>
            </w:pPr>
            <w:r w:rsidRPr="004E2ADC">
              <w:rPr>
                <w:rFonts w:ascii="Arial Narrow" w:hAnsi="Arial Narrow"/>
                <w:b/>
                <w:sz w:val="20"/>
              </w:rPr>
              <w:t>Protocol title/ Publication title</w:t>
            </w:r>
          </w:p>
        </w:tc>
        <w:tc>
          <w:tcPr>
            <w:tcW w:w="994" w:type="pct"/>
          </w:tcPr>
          <w:p w:rsidR="00B52CBB" w:rsidRPr="004E2ADC" w:rsidRDefault="00B52CBB" w:rsidP="00D57585">
            <w:pPr>
              <w:jc w:val="center"/>
              <w:rPr>
                <w:rFonts w:ascii="Arial Narrow" w:hAnsi="Arial Narrow"/>
                <w:b/>
                <w:sz w:val="20"/>
              </w:rPr>
            </w:pPr>
            <w:r w:rsidRPr="004E2ADC">
              <w:rPr>
                <w:rFonts w:ascii="Arial Narrow" w:hAnsi="Arial Narrow"/>
                <w:b/>
                <w:sz w:val="20"/>
              </w:rPr>
              <w:t>Publication citation</w:t>
            </w:r>
          </w:p>
        </w:tc>
      </w:tr>
      <w:tr w:rsidR="00B52CBB" w:rsidRPr="004E2ADC" w:rsidTr="001F53DA">
        <w:tc>
          <w:tcPr>
            <w:tcW w:w="5000" w:type="pct"/>
            <w:gridSpan w:val="3"/>
          </w:tcPr>
          <w:p w:rsidR="00B52CBB" w:rsidRPr="004E2ADC" w:rsidRDefault="00B52CBB" w:rsidP="00D57585">
            <w:pPr>
              <w:jc w:val="left"/>
              <w:rPr>
                <w:rFonts w:ascii="Arial Narrow" w:hAnsi="Arial Narrow"/>
                <w:b/>
                <w:sz w:val="20"/>
              </w:rPr>
            </w:pPr>
            <w:r>
              <w:rPr>
                <w:rFonts w:ascii="Arial Narrow" w:hAnsi="Arial Narrow"/>
                <w:b/>
                <w:sz w:val="20"/>
              </w:rPr>
              <w:t>Bioequivalence trials</w:t>
            </w:r>
          </w:p>
        </w:tc>
      </w:tr>
      <w:tr w:rsidR="00B52CBB" w:rsidRPr="004E2ADC" w:rsidTr="001F53DA">
        <w:tc>
          <w:tcPr>
            <w:tcW w:w="5000" w:type="pct"/>
            <w:gridSpan w:val="3"/>
          </w:tcPr>
          <w:p w:rsidR="00B52CBB" w:rsidRPr="00F470D9" w:rsidRDefault="00B52CBB" w:rsidP="00D57585">
            <w:pPr>
              <w:jc w:val="left"/>
              <w:rPr>
                <w:rFonts w:ascii="Arial Narrow" w:hAnsi="Arial Narrow"/>
                <w:sz w:val="20"/>
              </w:rPr>
            </w:pPr>
            <w:r w:rsidRPr="00F470D9">
              <w:rPr>
                <w:rFonts w:ascii="Arial Narrow" w:hAnsi="Arial Narrow"/>
                <w:sz w:val="20"/>
              </w:rPr>
              <w:t>Empagliflozin/metformin FDC vs individual components</w:t>
            </w:r>
          </w:p>
        </w:tc>
      </w:tr>
      <w:tr w:rsidR="00B52CBB" w:rsidRPr="004E2ADC" w:rsidTr="001F53DA">
        <w:tc>
          <w:tcPr>
            <w:tcW w:w="866" w:type="pct"/>
            <w:vAlign w:val="center"/>
          </w:tcPr>
          <w:p w:rsidR="00B52CBB" w:rsidRPr="009E3A17" w:rsidRDefault="00B52CBB" w:rsidP="00D57585">
            <w:pPr>
              <w:pStyle w:val="TableHeaderRow"/>
              <w:keepNext w:val="0"/>
              <w:widowControl w:val="0"/>
              <w:spacing w:before="0" w:after="0"/>
              <w:jc w:val="left"/>
              <w:rPr>
                <w:rFonts w:ascii="Arial Narrow" w:hAnsi="Arial Narrow" w:cstheme="minorHAnsi"/>
                <w:b w:val="0"/>
                <w:bCs/>
                <w:szCs w:val="20"/>
              </w:rPr>
            </w:pPr>
            <w:r>
              <w:rPr>
                <w:rFonts w:ascii="Arial Narrow" w:hAnsi="Arial Narrow" w:cstheme="minorHAnsi"/>
                <w:b w:val="0"/>
                <w:bCs/>
                <w:szCs w:val="20"/>
              </w:rPr>
              <w:t xml:space="preserve">Study </w:t>
            </w:r>
            <w:r w:rsidRPr="009E3A17">
              <w:rPr>
                <w:rFonts w:ascii="Arial Narrow" w:hAnsi="Arial Narrow" w:cstheme="minorHAnsi"/>
                <w:b w:val="0"/>
                <w:bCs/>
                <w:szCs w:val="20"/>
              </w:rPr>
              <w:t>1276.5</w:t>
            </w:r>
          </w:p>
          <w:p w:rsidR="00B52CBB" w:rsidRPr="009E3A17" w:rsidRDefault="00B52CBB" w:rsidP="00D57585">
            <w:pPr>
              <w:jc w:val="left"/>
              <w:rPr>
                <w:rFonts w:ascii="Arial Narrow" w:hAnsi="Arial Narrow"/>
                <w:sz w:val="20"/>
              </w:rPr>
            </w:pPr>
          </w:p>
        </w:tc>
        <w:tc>
          <w:tcPr>
            <w:tcW w:w="3140" w:type="pct"/>
            <w:vAlign w:val="center"/>
          </w:tcPr>
          <w:p w:rsidR="00B52CBB" w:rsidRPr="009E3A17" w:rsidRDefault="00B52CBB" w:rsidP="00D57585">
            <w:pPr>
              <w:pStyle w:val="TableHeaderRow"/>
              <w:widowControl w:val="0"/>
              <w:spacing w:before="0" w:after="0"/>
              <w:jc w:val="left"/>
              <w:rPr>
                <w:rFonts w:ascii="Arial Narrow" w:hAnsi="Arial Narrow"/>
                <w:b w:val="0"/>
                <w:szCs w:val="20"/>
              </w:rPr>
            </w:pPr>
            <w:r w:rsidRPr="009E3A17">
              <w:rPr>
                <w:rFonts w:ascii="Arial Narrow" w:hAnsi="Arial Narrow" w:cstheme="minorHAnsi"/>
                <w:b w:val="0"/>
                <w:bCs/>
                <w:szCs w:val="20"/>
              </w:rPr>
              <w:t>Rel</w:t>
            </w:r>
            <w:r w:rsidR="005565C8">
              <w:rPr>
                <w:rFonts w:ascii="Arial Narrow" w:hAnsi="Arial Narrow" w:cstheme="minorHAnsi"/>
                <w:b w:val="0"/>
                <w:bCs/>
                <w:szCs w:val="20"/>
              </w:rPr>
              <w:t>ative bioavailability of a 12.5mg BI 10773 / 1000</w:t>
            </w:r>
            <w:r w:rsidRPr="009E3A17">
              <w:rPr>
                <w:rFonts w:ascii="Arial Narrow" w:hAnsi="Arial Narrow" w:cstheme="minorHAnsi"/>
                <w:b w:val="0"/>
                <w:bCs/>
                <w:szCs w:val="20"/>
              </w:rPr>
              <w:t>mg metformin fixed dose combination tablet compared with its mono</w:t>
            </w:r>
            <w:r w:rsidR="005565C8">
              <w:rPr>
                <w:rFonts w:ascii="Arial Narrow" w:hAnsi="Arial Narrow" w:cstheme="minorHAnsi"/>
                <w:b w:val="0"/>
                <w:bCs/>
                <w:szCs w:val="20"/>
              </w:rPr>
              <w:t>-</w:t>
            </w:r>
            <w:r w:rsidRPr="009E3A17">
              <w:rPr>
                <w:rFonts w:ascii="Arial Narrow" w:hAnsi="Arial Narrow" w:cstheme="minorHAnsi"/>
                <w:b w:val="0"/>
                <w:bCs/>
                <w:szCs w:val="20"/>
              </w:rPr>
              <w:t xml:space="preserve">components and administered with and without food (an open-label, randomised, single </w:t>
            </w:r>
            <w:r w:rsidRPr="009E3A17">
              <w:rPr>
                <w:rFonts w:ascii="Arial Narrow" w:hAnsi="Arial Narrow" w:cstheme="minorHAnsi"/>
                <w:b w:val="0"/>
                <w:bCs/>
                <w:szCs w:val="20"/>
              </w:rPr>
              <w:lastRenderedPageBreak/>
              <w:t>dose, three-way crossover, Phase I trial in healthy volunteers)</w:t>
            </w:r>
            <w:r>
              <w:rPr>
                <w:rFonts w:ascii="Arial Narrow" w:hAnsi="Arial Narrow" w:cstheme="minorHAnsi"/>
                <w:b w:val="0"/>
                <w:bCs/>
                <w:szCs w:val="20"/>
              </w:rPr>
              <w:t xml:space="preserve">. </w:t>
            </w:r>
            <w:r w:rsidRPr="009E3A17">
              <w:rPr>
                <w:rFonts w:ascii="Arial Narrow" w:hAnsi="Arial Narrow" w:cstheme="minorHAnsi"/>
                <w:b w:val="0"/>
                <w:bCs/>
                <w:szCs w:val="20"/>
              </w:rPr>
              <w:t>NCT01211197</w:t>
            </w:r>
          </w:p>
        </w:tc>
        <w:tc>
          <w:tcPr>
            <w:tcW w:w="994" w:type="pct"/>
          </w:tcPr>
          <w:p w:rsidR="00B52CBB" w:rsidRDefault="00B52CBB" w:rsidP="00D57585">
            <w:pPr>
              <w:jc w:val="left"/>
              <w:rPr>
                <w:rFonts w:ascii="Arial Narrow" w:hAnsi="Arial Narrow"/>
                <w:sz w:val="20"/>
              </w:rPr>
            </w:pPr>
            <w:r>
              <w:rPr>
                <w:rFonts w:ascii="Arial Narrow" w:hAnsi="Arial Narrow"/>
                <w:sz w:val="20"/>
              </w:rPr>
              <w:lastRenderedPageBreak/>
              <w:t>Internal study report</w:t>
            </w:r>
          </w:p>
          <w:p w:rsidR="00B52CBB" w:rsidRDefault="00B52CBB" w:rsidP="00D57585">
            <w:pPr>
              <w:jc w:val="left"/>
              <w:rPr>
                <w:rFonts w:ascii="Arial Narrow" w:hAnsi="Arial Narrow"/>
                <w:sz w:val="20"/>
              </w:rPr>
            </w:pPr>
            <w:r>
              <w:rPr>
                <w:rFonts w:ascii="Arial Narrow" w:hAnsi="Arial Narrow"/>
                <w:sz w:val="20"/>
              </w:rPr>
              <w:t>June 2011</w:t>
            </w:r>
          </w:p>
          <w:p w:rsidR="00B52CBB" w:rsidRPr="004E2ADC" w:rsidRDefault="00B52CBB" w:rsidP="00D57585">
            <w:pPr>
              <w:jc w:val="left"/>
              <w:rPr>
                <w:rFonts w:ascii="Arial Narrow" w:hAnsi="Arial Narrow"/>
                <w:b/>
                <w:sz w:val="20"/>
              </w:rPr>
            </w:pPr>
          </w:p>
        </w:tc>
      </w:tr>
      <w:tr w:rsidR="00B52CBB" w:rsidRPr="004E2ADC" w:rsidTr="001F53DA">
        <w:tc>
          <w:tcPr>
            <w:tcW w:w="866" w:type="pct"/>
            <w:vAlign w:val="center"/>
          </w:tcPr>
          <w:p w:rsidR="00B52CBB" w:rsidRPr="009E3A17" w:rsidRDefault="00B52CBB" w:rsidP="00D57585">
            <w:pPr>
              <w:pStyle w:val="TableHeaderRow"/>
              <w:keepNext w:val="0"/>
              <w:widowControl w:val="0"/>
              <w:spacing w:before="0" w:after="0"/>
              <w:jc w:val="left"/>
              <w:rPr>
                <w:rFonts w:ascii="Arial Narrow" w:hAnsi="Arial Narrow" w:cstheme="minorHAnsi"/>
                <w:b w:val="0"/>
                <w:bCs/>
                <w:szCs w:val="20"/>
              </w:rPr>
            </w:pPr>
            <w:r>
              <w:rPr>
                <w:rFonts w:ascii="Arial Narrow" w:hAnsi="Arial Narrow" w:cstheme="minorHAnsi"/>
                <w:b w:val="0"/>
                <w:bCs/>
                <w:szCs w:val="20"/>
              </w:rPr>
              <w:lastRenderedPageBreak/>
              <w:t xml:space="preserve">Study </w:t>
            </w:r>
            <w:r w:rsidRPr="009E3A17">
              <w:rPr>
                <w:rFonts w:ascii="Arial Narrow" w:hAnsi="Arial Narrow" w:cstheme="minorHAnsi"/>
                <w:b w:val="0"/>
                <w:bCs/>
                <w:szCs w:val="20"/>
              </w:rPr>
              <w:t>1276.6</w:t>
            </w:r>
          </w:p>
          <w:p w:rsidR="00B52CBB" w:rsidRPr="009E3A17" w:rsidRDefault="00B52CBB" w:rsidP="00D57585">
            <w:pPr>
              <w:jc w:val="left"/>
              <w:rPr>
                <w:rFonts w:ascii="Arial Narrow" w:hAnsi="Arial Narrow"/>
                <w:sz w:val="20"/>
              </w:rPr>
            </w:pPr>
          </w:p>
        </w:tc>
        <w:tc>
          <w:tcPr>
            <w:tcW w:w="3140" w:type="pct"/>
            <w:vAlign w:val="center"/>
          </w:tcPr>
          <w:p w:rsidR="00B52CBB" w:rsidRPr="009E3A17" w:rsidRDefault="00B52CBB" w:rsidP="00D57585">
            <w:pPr>
              <w:pStyle w:val="TableHeaderRow"/>
              <w:widowControl w:val="0"/>
              <w:spacing w:before="0" w:after="0"/>
              <w:jc w:val="left"/>
              <w:rPr>
                <w:rFonts w:ascii="Arial Narrow" w:hAnsi="Arial Narrow"/>
                <w:b w:val="0"/>
                <w:szCs w:val="20"/>
              </w:rPr>
            </w:pPr>
            <w:r w:rsidRPr="009E3A17">
              <w:rPr>
                <w:rFonts w:ascii="Arial Narrow" w:hAnsi="Arial Narrow" w:cstheme="minorHAnsi"/>
                <w:b w:val="0"/>
                <w:bCs/>
                <w:szCs w:val="20"/>
              </w:rPr>
              <w:t>Bioequivalence of em</w:t>
            </w:r>
            <w:r w:rsidR="005565C8">
              <w:rPr>
                <w:rFonts w:ascii="Arial Narrow" w:hAnsi="Arial Narrow" w:cstheme="minorHAnsi"/>
                <w:b w:val="0"/>
                <w:bCs/>
                <w:szCs w:val="20"/>
              </w:rPr>
              <w:t>pagliflozin with metformin (500</w:t>
            </w:r>
            <w:r w:rsidRPr="009E3A17">
              <w:rPr>
                <w:rFonts w:ascii="Arial Narrow" w:hAnsi="Arial Narrow" w:cstheme="minorHAnsi"/>
                <w:b w:val="0"/>
                <w:bCs/>
                <w:szCs w:val="20"/>
              </w:rPr>
              <w:t>mg) fixed dose combination tablets compared to single tablets administered together in healthy male and female volunteers under fed conditions (an open label, randomised, single-dose, four-way crossover study).</w:t>
            </w:r>
            <w:r w:rsidRPr="009E3A17">
              <w:rPr>
                <w:rFonts w:ascii="Arial Narrow" w:hAnsi="Arial Narrow"/>
                <w:szCs w:val="20"/>
              </w:rPr>
              <w:t xml:space="preserve"> </w:t>
            </w:r>
            <w:r w:rsidRPr="009E3A17">
              <w:rPr>
                <w:rFonts w:ascii="Arial Narrow" w:hAnsi="Arial Narrow" w:cstheme="minorHAnsi"/>
                <w:b w:val="0"/>
                <w:bCs/>
                <w:szCs w:val="20"/>
              </w:rPr>
              <w:t>NCT01844531</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Pr="00E44207" w:rsidRDefault="00B52CBB" w:rsidP="00D57585">
            <w:pPr>
              <w:jc w:val="left"/>
              <w:rPr>
                <w:rFonts w:ascii="Arial Narrow" w:hAnsi="Arial Narrow"/>
                <w:sz w:val="20"/>
              </w:rPr>
            </w:pPr>
            <w:r>
              <w:rPr>
                <w:rFonts w:ascii="Arial Narrow" w:hAnsi="Arial Narrow"/>
                <w:sz w:val="20"/>
              </w:rPr>
              <w:t>May 2014</w:t>
            </w:r>
          </w:p>
        </w:tc>
      </w:tr>
      <w:tr w:rsidR="00B52CBB" w:rsidRPr="004E2ADC" w:rsidTr="001F53DA">
        <w:tc>
          <w:tcPr>
            <w:tcW w:w="866" w:type="pct"/>
            <w:vAlign w:val="center"/>
          </w:tcPr>
          <w:p w:rsidR="00B52CBB" w:rsidRPr="009E3A17" w:rsidRDefault="00B52CBB" w:rsidP="00D57585">
            <w:pPr>
              <w:pStyle w:val="TableHeaderRow"/>
              <w:keepNext w:val="0"/>
              <w:widowControl w:val="0"/>
              <w:spacing w:before="0" w:after="0"/>
              <w:jc w:val="left"/>
              <w:rPr>
                <w:rFonts w:ascii="Arial Narrow" w:hAnsi="Arial Narrow" w:cstheme="minorHAnsi"/>
                <w:b w:val="0"/>
                <w:bCs/>
                <w:szCs w:val="20"/>
              </w:rPr>
            </w:pPr>
            <w:r>
              <w:rPr>
                <w:rFonts w:ascii="Arial Narrow" w:hAnsi="Arial Narrow" w:cstheme="minorHAnsi"/>
                <w:b w:val="0"/>
                <w:bCs/>
                <w:szCs w:val="20"/>
              </w:rPr>
              <w:t xml:space="preserve">Study </w:t>
            </w:r>
            <w:r w:rsidRPr="009E3A17">
              <w:rPr>
                <w:rFonts w:ascii="Arial Narrow" w:hAnsi="Arial Narrow" w:cstheme="minorHAnsi"/>
                <w:b w:val="0"/>
                <w:bCs/>
                <w:szCs w:val="20"/>
              </w:rPr>
              <w:t>1276.7</w:t>
            </w:r>
          </w:p>
          <w:p w:rsidR="00B52CBB" w:rsidRPr="009E3A17" w:rsidRDefault="00B52CBB" w:rsidP="00D57585">
            <w:pPr>
              <w:jc w:val="left"/>
              <w:rPr>
                <w:rFonts w:ascii="Arial Narrow" w:hAnsi="Arial Narrow"/>
                <w:sz w:val="20"/>
              </w:rPr>
            </w:pPr>
          </w:p>
        </w:tc>
        <w:tc>
          <w:tcPr>
            <w:tcW w:w="3140" w:type="pct"/>
            <w:vAlign w:val="center"/>
          </w:tcPr>
          <w:p w:rsidR="00B52CBB" w:rsidRPr="009E3A17" w:rsidRDefault="00B52CBB" w:rsidP="00D57585">
            <w:pPr>
              <w:pStyle w:val="TableHeaderRow"/>
              <w:widowControl w:val="0"/>
              <w:spacing w:before="0" w:after="0"/>
              <w:jc w:val="left"/>
              <w:rPr>
                <w:rFonts w:ascii="Arial Narrow" w:hAnsi="Arial Narrow"/>
                <w:szCs w:val="20"/>
              </w:rPr>
            </w:pPr>
            <w:r w:rsidRPr="009E3A17">
              <w:rPr>
                <w:rFonts w:ascii="Arial Narrow" w:hAnsi="Arial Narrow" w:cstheme="minorHAnsi"/>
                <w:b w:val="0"/>
                <w:bCs/>
                <w:szCs w:val="20"/>
              </w:rPr>
              <w:t>Bioequivalence of empagliflozin</w:t>
            </w:r>
            <w:r w:rsidR="005565C8">
              <w:rPr>
                <w:rFonts w:ascii="Arial Narrow" w:hAnsi="Arial Narrow" w:cstheme="minorHAnsi"/>
                <w:b w:val="0"/>
                <w:bCs/>
                <w:szCs w:val="20"/>
              </w:rPr>
              <w:t xml:space="preserve"> with metformin (850</w:t>
            </w:r>
            <w:r w:rsidRPr="009E3A17">
              <w:rPr>
                <w:rFonts w:ascii="Arial Narrow" w:hAnsi="Arial Narrow" w:cstheme="minorHAnsi"/>
                <w:b w:val="0"/>
                <w:bCs/>
                <w:szCs w:val="20"/>
              </w:rPr>
              <w:t>mg) fixed dose combination tablets compared to single tablets administered together in healthy male and female volunteers under fed conditions (an open label, randomised, single-dose, four-way crossover study). NCT01672788</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Pr="004E2ADC" w:rsidRDefault="00B52CBB" w:rsidP="00D57585">
            <w:pPr>
              <w:jc w:val="left"/>
              <w:rPr>
                <w:rFonts w:ascii="Arial Narrow" w:hAnsi="Arial Narrow"/>
                <w:sz w:val="20"/>
              </w:rPr>
            </w:pPr>
            <w:r>
              <w:rPr>
                <w:rFonts w:ascii="Arial Narrow" w:hAnsi="Arial Narrow"/>
                <w:sz w:val="20"/>
              </w:rPr>
              <w:t>April 2013</w:t>
            </w:r>
          </w:p>
        </w:tc>
      </w:tr>
      <w:tr w:rsidR="00B52CBB" w:rsidRPr="004E2ADC" w:rsidTr="001F53DA">
        <w:tc>
          <w:tcPr>
            <w:tcW w:w="866" w:type="pct"/>
            <w:vAlign w:val="center"/>
          </w:tcPr>
          <w:p w:rsidR="00B52CBB" w:rsidRPr="009E3A17" w:rsidRDefault="00B52CBB" w:rsidP="00D57585">
            <w:pPr>
              <w:pStyle w:val="TableHeaderRow"/>
              <w:keepNext w:val="0"/>
              <w:widowControl w:val="0"/>
              <w:spacing w:before="0" w:after="0"/>
              <w:jc w:val="left"/>
              <w:rPr>
                <w:rFonts w:ascii="Arial Narrow" w:hAnsi="Arial Narrow" w:cstheme="minorHAnsi"/>
                <w:b w:val="0"/>
                <w:bCs/>
                <w:szCs w:val="20"/>
              </w:rPr>
            </w:pPr>
            <w:r>
              <w:rPr>
                <w:rFonts w:ascii="Arial Narrow" w:hAnsi="Arial Narrow" w:cstheme="minorHAnsi"/>
                <w:b w:val="0"/>
                <w:bCs/>
                <w:szCs w:val="20"/>
              </w:rPr>
              <w:t xml:space="preserve">Study </w:t>
            </w:r>
            <w:r w:rsidRPr="009E3A17">
              <w:rPr>
                <w:rFonts w:ascii="Arial Narrow" w:hAnsi="Arial Narrow" w:cstheme="minorHAnsi"/>
                <w:b w:val="0"/>
                <w:bCs/>
                <w:szCs w:val="20"/>
              </w:rPr>
              <w:t>1276.8</w:t>
            </w:r>
          </w:p>
          <w:p w:rsidR="00B52CBB" w:rsidRPr="009E3A17" w:rsidRDefault="00B52CBB" w:rsidP="00D57585">
            <w:pPr>
              <w:jc w:val="left"/>
              <w:rPr>
                <w:rFonts w:ascii="Arial Narrow" w:hAnsi="Arial Narrow"/>
                <w:sz w:val="20"/>
              </w:rPr>
            </w:pPr>
          </w:p>
        </w:tc>
        <w:tc>
          <w:tcPr>
            <w:tcW w:w="3140" w:type="pct"/>
            <w:vAlign w:val="center"/>
          </w:tcPr>
          <w:p w:rsidR="00B52CBB" w:rsidRPr="009E3A17" w:rsidRDefault="00B52CBB" w:rsidP="00D57585">
            <w:pPr>
              <w:pStyle w:val="TableHeaderRow"/>
              <w:widowControl w:val="0"/>
              <w:spacing w:before="0" w:after="0"/>
              <w:jc w:val="left"/>
              <w:rPr>
                <w:rFonts w:ascii="Arial Narrow" w:hAnsi="Arial Narrow"/>
                <w:szCs w:val="20"/>
              </w:rPr>
            </w:pPr>
            <w:r w:rsidRPr="009E3A17">
              <w:rPr>
                <w:rFonts w:ascii="Arial Narrow" w:hAnsi="Arial Narrow" w:cstheme="minorHAnsi"/>
                <w:b w:val="0"/>
                <w:bCs/>
                <w:szCs w:val="20"/>
              </w:rPr>
              <w:t>Bioequivalence of empagliflozin with metformin fixed dose combination tablets compared to single tablets administered together in healthy male and female volunteers under fed and fasted conditions (an open-label, randomised, single-dose, crossover study)</w:t>
            </w:r>
            <w:r>
              <w:rPr>
                <w:rFonts w:ascii="Arial Narrow" w:hAnsi="Arial Narrow" w:cstheme="minorHAnsi"/>
                <w:b w:val="0"/>
                <w:bCs/>
                <w:szCs w:val="20"/>
              </w:rPr>
              <w:t>.</w:t>
            </w:r>
            <w:r w:rsidRPr="009E3A17">
              <w:rPr>
                <w:rFonts w:ascii="Arial Narrow" w:hAnsi="Arial Narrow" w:cstheme="minorHAnsi"/>
                <w:b w:val="0"/>
                <w:bCs/>
                <w:szCs w:val="20"/>
              </w:rPr>
              <w:t xml:space="preserve"> NCT01811953</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Pr="004E2ADC" w:rsidRDefault="00B52CBB" w:rsidP="00D57585">
            <w:pPr>
              <w:jc w:val="left"/>
              <w:rPr>
                <w:rFonts w:ascii="Arial Narrow" w:hAnsi="Arial Narrow"/>
                <w:sz w:val="20"/>
              </w:rPr>
            </w:pPr>
            <w:r>
              <w:rPr>
                <w:rFonts w:ascii="Arial Narrow" w:hAnsi="Arial Narrow"/>
                <w:sz w:val="20"/>
              </w:rPr>
              <w:t>October 2013</w:t>
            </w:r>
          </w:p>
        </w:tc>
      </w:tr>
      <w:tr w:rsidR="00B52CBB" w:rsidRPr="004E2ADC" w:rsidTr="001F53DA">
        <w:tc>
          <w:tcPr>
            <w:tcW w:w="866" w:type="pct"/>
            <w:vAlign w:val="center"/>
          </w:tcPr>
          <w:p w:rsidR="00B52CBB" w:rsidRPr="009E3A17" w:rsidRDefault="00B52CBB" w:rsidP="00D57585">
            <w:pPr>
              <w:pStyle w:val="TableHeaderRow"/>
              <w:keepNext w:val="0"/>
              <w:widowControl w:val="0"/>
              <w:spacing w:before="0" w:after="0"/>
              <w:jc w:val="left"/>
              <w:rPr>
                <w:rFonts w:ascii="Arial Narrow" w:hAnsi="Arial Narrow" w:cstheme="minorHAnsi"/>
                <w:b w:val="0"/>
                <w:bCs/>
                <w:szCs w:val="20"/>
              </w:rPr>
            </w:pPr>
            <w:r>
              <w:rPr>
                <w:rFonts w:ascii="Arial Narrow" w:hAnsi="Arial Narrow" w:cstheme="minorHAnsi"/>
                <w:b w:val="0"/>
                <w:bCs/>
                <w:szCs w:val="20"/>
              </w:rPr>
              <w:t xml:space="preserve">Study </w:t>
            </w:r>
            <w:r w:rsidRPr="009E3A17">
              <w:rPr>
                <w:rFonts w:ascii="Arial Narrow" w:hAnsi="Arial Narrow" w:cstheme="minorHAnsi"/>
                <w:b w:val="0"/>
                <w:bCs/>
                <w:szCs w:val="20"/>
              </w:rPr>
              <w:t>1276.23</w:t>
            </w:r>
          </w:p>
          <w:p w:rsidR="00B52CBB" w:rsidRPr="009E3A17" w:rsidRDefault="00B52CBB" w:rsidP="00D57585">
            <w:pPr>
              <w:jc w:val="left"/>
              <w:rPr>
                <w:rFonts w:ascii="Arial Narrow" w:hAnsi="Arial Narrow"/>
                <w:sz w:val="20"/>
              </w:rPr>
            </w:pPr>
          </w:p>
        </w:tc>
        <w:tc>
          <w:tcPr>
            <w:tcW w:w="3140" w:type="pct"/>
            <w:vAlign w:val="center"/>
          </w:tcPr>
          <w:p w:rsidR="00B52CBB" w:rsidRPr="009E3A17" w:rsidRDefault="00B52CBB" w:rsidP="005565C8">
            <w:pPr>
              <w:pStyle w:val="TableHeaderRow"/>
              <w:widowControl w:val="0"/>
              <w:spacing w:before="0" w:after="0"/>
              <w:jc w:val="left"/>
              <w:rPr>
                <w:rFonts w:ascii="Arial Narrow" w:hAnsi="Arial Narrow"/>
                <w:szCs w:val="20"/>
              </w:rPr>
            </w:pPr>
            <w:r w:rsidRPr="009E3A17">
              <w:rPr>
                <w:rFonts w:ascii="Arial Narrow" w:hAnsi="Arial Narrow" w:cstheme="minorHAnsi"/>
                <w:b w:val="0"/>
                <w:bCs/>
                <w:szCs w:val="20"/>
              </w:rPr>
              <w:t>Relative bioavailability of empagliflozin</w:t>
            </w:r>
            <w:r w:rsidR="005565C8">
              <w:rPr>
                <w:rFonts w:ascii="Arial Narrow" w:hAnsi="Arial Narrow" w:cstheme="minorHAnsi"/>
                <w:b w:val="0"/>
                <w:bCs/>
                <w:szCs w:val="20"/>
              </w:rPr>
              <w:t xml:space="preserve"> (12.5mg or 5</w:t>
            </w:r>
            <w:r w:rsidRPr="009E3A17">
              <w:rPr>
                <w:rFonts w:ascii="Arial Narrow" w:hAnsi="Arial Narrow" w:cstheme="minorHAnsi"/>
                <w:b w:val="0"/>
                <w:bCs/>
                <w:szCs w:val="20"/>
              </w:rPr>
              <w:t>mg)/metformin (850</w:t>
            </w:r>
            <w:r w:rsidR="005565C8">
              <w:rPr>
                <w:rFonts w:ascii="Arial Narrow" w:hAnsi="Arial Narrow" w:cstheme="minorHAnsi"/>
                <w:b w:val="0"/>
                <w:bCs/>
                <w:szCs w:val="20"/>
              </w:rPr>
              <w:t>mg or 500</w:t>
            </w:r>
            <w:r w:rsidRPr="009E3A17">
              <w:rPr>
                <w:rFonts w:ascii="Arial Narrow" w:hAnsi="Arial Narrow" w:cstheme="minorHAnsi"/>
                <w:b w:val="0"/>
                <w:bCs/>
                <w:szCs w:val="20"/>
              </w:rPr>
              <w:t>mg) fixed dose combination tablets compared to single tablets administered together to healthy Chinese male and female volunteers in an open-label, randomised, single-dose, two-way crossover study. NCT02102932</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Pr="004E2ADC" w:rsidRDefault="00B52CBB" w:rsidP="00D57585">
            <w:pPr>
              <w:jc w:val="left"/>
              <w:rPr>
                <w:rFonts w:ascii="Arial Narrow" w:hAnsi="Arial Narrow"/>
                <w:sz w:val="20"/>
              </w:rPr>
            </w:pPr>
            <w:r>
              <w:rPr>
                <w:rFonts w:ascii="Arial Narrow" w:hAnsi="Arial Narrow"/>
                <w:sz w:val="20"/>
              </w:rPr>
              <w:t>Not recorded (trial concluded August 2014)</w:t>
            </w:r>
          </w:p>
        </w:tc>
      </w:tr>
      <w:tr w:rsidR="00B52CBB" w:rsidRPr="004E2ADC" w:rsidTr="001F53DA">
        <w:tc>
          <w:tcPr>
            <w:tcW w:w="866" w:type="pct"/>
            <w:vAlign w:val="center"/>
          </w:tcPr>
          <w:p w:rsidR="00B52CBB" w:rsidRPr="009E3A17" w:rsidRDefault="00B52CBB" w:rsidP="00D57585">
            <w:pPr>
              <w:jc w:val="left"/>
              <w:rPr>
                <w:rFonts w:ascii="Arial Narrow" w:hAnsi="Arial Narrow"/>
                <w:sz w:val="20"/>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cstheme="minorHAnsi"/>
                <w:bCs/>
                <w:sz w:val="20"/>
              </w:rPr>
              <w:t>1276.24</w:t>
            </w:r>
          </w:p>
        </w:tc>
        <w:tc>
          <w:tcPr>
            <w:tcW w:w="3140" w:type="pct"/>
            <w:vAlign w:val="center"/>
          </w:tcPr>
          <w:p w:rsidR="00B52CBB" w:rsidRPr="009E3A17" w:rsidRDefault="00B52CBB" w:rsidP="00D57585">
            <w:pPr>
              <w:pStyle w:val="TableHeaderRow"/>
              <w:widowControl w:val="0"/>
              <w:spacing w:before="0" w:after="0"/>
              <w:jc w:val="left"/>
              <w:rPr>
                <w:rFonts w:ascii="Arial Narrow" w:hAnsi="Arial Narrow"/>
              </w:rPr>
            </w:pPr>
            <w:r w:rsidRPr="009E3A17">
              <w:rPr>
                <w:rFonts w:ascii="Arial Narrow" w:hAnsi="Arial Narrow" w:cstheme="minorHAnsi"/>
                <w:b w:val="0"/>
                <w:bCs/>
                <w:szCs w:val="20"/>
              </w:rPr>
              <w:t>Bioequivalence of empagliflozin</w:t>
            </w:r>
            <w:r w:rsidR="005565C8">
              <w:rPr>
                <w:rFonts w:ascii="Arial Narrow" w:hAnsi="Arial Narrow" w:cstheme="minorHAnsi"/>
                <w:b w:val="0"/>
                <w:bCs/>
                <w:szCs w:val="20"/>
              </w:rPr>
              <w:t xml:space="preserve"> with metformin (12.5mg/500</w:t>
            </w:r>
            <w:r w:rsidRPr="009E3A17">
              <w:rPr>
                <w:rFonts w:ascii="Arial Narrow" w:hAnsi="Arial Narrow" w:cstheme="minorHAnsi"/>
                <w:b w:val="0"/>
                <w:bCs/>
                <w:szCs w:val="20"/>
              </w:rPr>
              <w:t>mg) fixed dose combination tablet compared to tablets administered together in healthy male and female volunteers under fed conditions (an open-label, randomised, single-dose, two-period, two-sequence crossover study).</w:t>
            </w:r>
            <w:r>
              <w:rPr>
                <w:rFonts w:ascii="Arial Narrow" w:hAnsi="Arial Narrow" w:cstheme="minorHAnsi"/>
                <w:b w:val="0"/>
                <w:bCs/>
                <w:szCs w:val="20"/>
              </w:rPr>
              <w:t xml:space="preserve"> </w:t>
            </w:r>
            <w:r w:rsidRPr="007948BD">
              <w:rPr>
                <w:rFonts w:ascii="Arial Narrow" w:hAnsi="Arial Narrow" w:cstheme="minorHAnsi"/>
                <w:b w:val="0"/>
                <w:bCs/>
              </w:rPr>
              <w:t>NCT02028767</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Pr="004E2ADC" w:rsidRDefault="00B52CBB" w:rsidP="00D57585">
            <w:pPr>
              <w:jc w:val="left"/>
              <w:rPr>
                <w:rFonts w:ascii="Arial Narrow" w:hAnsi="Arial Narrow"/>
                <w:sz w:val="20"/>
              </w:rPr>
            </w:pPr>
            <w:r>
              <w:rPr>
                <w:rFonts w:ascii="Arial Narrow" w:hAnsi="Arial Narrow"/>
                <w:sz w:val="20"/>
              </w:rPr>
              <w:t>July 2014</w:t>
            </w:r>
          </w:p>
        </w:tc>
      </w:tr>
      <w:tr w:rsidR="00B52CBB" w:rsidRPr="004E2ADC" w:rsidTr="001F53DA">
        <w:tc>
          <w:tcPr>
            <w:tcW w:w="5000" w:type="pct"/>
            <w:gridSpan w:val="3"/>
            <w:vAlign w:val="center"/>
          </w:tcPr>
          <w:p w:rsidR="00B52CBB" w:rsidRPr="00572E28" w:rsidRDefault="00B52CBB" w:rsidP="00D57585">
            <w:pPr>
              <w:jc w:val="left"/>
              <w:rPr>
                <w:rFonts w:ascii="Arial Narrow" w:hAnsi="Arial Narrow"/>
                <w:i/>
                <w:sz w:val="20"/>
              </w:rPr>
            </w:pPr>
            <w:r w:rsidRPr="00572E28">
              <w:rPr>
                <w:rFonts w:ascii="Arial Narrow" w:hAnsi="Arial Narrow"/>
                <w:i/>
                <w:sz w:val="20"/>
              </w:rPr>
              <w:t>Empagliflozin twice daily vs once daily</w:t>
            </w:r>
          </w:p>
        </w:tc>
      </w:tr>
      <w:tr w:rsidR="00B52CBB" w:rsidRPr="004E2ADC" w:rsidTr="001F53DA">
        <w:tc>
          <w:tcPr>
            <w:tcW w:w="866" w:type="pct"/>
            <w:vAlign w:val="center"/>
          </w:tcPr>
          <w:p w:rsidR="00B52CBB" w:rsidRPr="009E3A17" w:rsidRDefault="00B52CBB" w:rsidP="00D57585">
            <w:pPr>
              <w:pStyle w:val="TableHeaderRow"/>
              <w:keepNext w:val="0"/>
              <w:widowControl w:val="0"/>
              <w:spacing w:before="0" w:after="0"/>
              <w:jc w:val="left"/>
              <w:rPr>
                <w:rFonts w:ascii="Arial Narrow" w:hAnsi="Arial Narrow" w:cstheme="minorHAnsi"/>
                <w:b w:val="0"/>
                <w:bCs/>
                <w:szCs w:val="20"/>
              </w:rPr>
            </w:pPr>
            <w:r>
              <w:rPr>
                <w:rFonts w:ascii="Arial Narrow" w:hAnsi="Arial Narrow" w:cstheme="minorHAnsi"/>
                <w:b w:val="0"/>
                <w:bCs/>
                <w:szCs w:val="20"/>
              </w:rPr>
              <w:t xml:space="preserve">Study </w:t>
            </w:r>
            <w:r w:rsidRPr="009E3A17">
              <w:rPr>
                <w:rFonts w:ascii="Arial Narrow" w:hAnsi="Arial Narrow" w:cstheme="minorHAnsi"/>
                <w:b w:val="0"/>
                <w:bCs/>
                <w:szCs w:val="20"/>
              </w:rPr>
              <w:t>1276.9</w:t>
            </w:r>
          </w:p>
          <w:p w:rsidR="00B52CBB" w:rsidRPr="009E3A17" w:rsidRDefault="00B52CBB" w:rsidP="00D57585">
            <w:pPr>
              <w:pStyle w:val="TableHeaderRow"/>
              <w:keepNext w:val="0"/>
              <w:widowControl w:val="0"/>
              <w:spacing w:before="0" w:after="0"/>
              <w:jc w:val="left"/>
              <w:rPr>
                <w:rFonts w:ascii="Arial Narrow" w:hAnsi="Arial Narrow" w:cstheme="minorHAnsi"/>
                <w:b w:val="0"/>
                <w:bCs/>
                <w:szCs w:val="20"/>
              </w:rPr>
            </w:pPr>
          </w:p>
        </w:tc>
        <w:tc>
          <w:tcPr>
            <w:tcW w:w="3140" w:type="pct"/>
            <w:vAlign w:val="center"/>
          </w:tcPr>
          <w:p w:rsidR="00B52CBB" w:rsidRPr="009E3A17" w:rsidRDefault="005565C8" w:rsidP="005565C8">
            <w:pPr>
              <w:pStyle w:val="TableHeaderRow"/>
              <w:widowControl w:val="0"/>
              <w:spacing w:before="0" w:after="0"/>
              <w:jc w:val="left"/>
              <w:rPr>
                <w:rFonts w:ascii="Arial Narrow" w:hAnsi="Arial Narrow"/>
                <w:szCs w:val="20"/>
              </w:rPr>
            </w:pPr>
            <w:r>
              <w:rPr>
                <w:rFonts w:ascii="Arial Narrow" w:hAnsi="Arial Narrow" w:cstheme="minorHAnsi"/>
                <w:b w:val="0"/>
                <w:bCs/>
                <w:szCs w:val="20"/>
              </w:rPr>
              <w:t>Relative bioavailability of 5</w:t>
            </w:r>
            <w:r w:rsidR="00B52CBB" w:rsidRPr="009E3A17">
              <w:rPr>
                <w:rFonts w:ascii="Arial Narrow" w:hAnsi="Arial Narrow" w:cstheme="minorHAnsi"/>
                <w:b w:val="0"/>
                <w:bCs/>
                <w:szCs w:val="20"/>
              </w:rPr>
              <w:t>mg BI 10773 administered twice daily compared to 10mg BI 10773 given once daily after multiple oral doses in healthy male and female volunteers (an open-label, randomised, crossover, clinical phase I study)</w:t>
            </w:r>
            <w:r w:rsidR="00B52CBB">
              <w:rPr>
                <w:rFonts w:ascii="Arial Narrow" w:hAnsi="Arial Narrow" w:cstheme="minorHAnsi"/>
                <w:b w:val="0"/>
                <w:bCs/>
                <w:szCs w:val="20"/>
              </w:rPr>
              <w:t>.</w:t>
            </w:r>
            <w:r w:rsidR="00B52CBB" w:rsidRPr="009E3A17">
              <w:rPr>
                <w:rFonts w:ascii="Arial Narrow" w:hAnsi="Arial Narrow" w:cstheme="minorHAnsi"/>
                <w:b w:val="0"/>
                <w:bCs/>
                <w:szCs w:val="20"/>
              </w:rPr>
              <w:t xml:space="preserve"> </w:t>
            </w:r>
            <w:r w:rsidR="00B52CBB" w:rsidRPr="007948BD">
              <w:rPr>
                <w:rFonts w:ascii="Arial Narrow" w:hAnsi="Arial Narrow" w:cstheme="minorHAnsi"/>
                <w:b w:val="0"/>
                <w:bCs/>
                <w:szCs w:val="20"/>
              </w:rPr>
              <w:t>EudraCT:2009-012524-90</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Pr="004E2ADC" w:rsidRDefault="00B52CBB" w:rsidP="00D57585">
            <w:pPr>
              <w:jc w:val="left"/>
              <w:rPr>
                <w:rFonts w:ascii="Arial Narrow" w:hAnsi="Arial Narrow"/>
                <w:sz w:val="20"/>
              </w:rPr>
            </w:pPr>
            <w:r>
              <w:rPr>
                <w:rFonts w:ascii="Arial Narrow" w:hAnsi="Arial Narrow"/>
                <w:sz w:val="20"/>
              </w:rPr>
              <w:t>May 2010</w:t>
            </w:r>
          </w:p>
        </w:tc>
      </w:tr>
      <w:tr w:rsidR="00B52CBB" w:rsidRPr="004E2ADC" w:rsidTr="001F53DA">
        <w:tc>
          <w:tcPr>
            <w:tcW w:w="5000" w:type="pct"/>
            <w:gridSpan w:val="3"/>
          </w:tcPr>
          <w:p w:rsidR="00B52CBB" w:rsidRPr="00491002" w:rsidRDefault="00B52CBB" w:rsidP="00D57585">
            <w:pPr>
              <w:jc w:val="left"/>
              <w:rPr>
                <w:rFonts w:ascii="Arial Narrow" w:hAnsi="Arial Narrow"/>
                <w:b/>
                <w:sz w:val="20"/>
              </w:rPr>
            </w:pPr>
            <w:r>
              <w:rPr>
                <w:rFonts w:ascii="Arial Narrow" w:hAnsi="Arial Narrow"/>
                <w:b/>
                <w:sz w:val="20"/>
              </w:rPr>
              <w:t>Common reference using placebo + metformin</w:t>
            </w:r>
          </w:p>
        </w:tc>
      </w:tr>
      <w:tr w:rsidR="00B52CBB" w:rsidRPr="004E2ADC" w:rsidTr="001F53DA">
        <w:tc>
          <w:tcPr>
            <w:tcW w:w="5000" w:type="pct"/>
            <w:gridSpan w:val="3"/>
          </w:tcPr>
          <w:p w:rsidR="00B52CBB" w:rsidRPr="00572E28" w:rsidRDefault="00B52CBB" w:rsidP="00D57585">
            <w:pPr>
              <w:jc w:val="left"/>
              <w:rPr>
                <w:rFonts w:ascii="Arial Narrow" w:hAnsi="Arial Narrow"/>
                <w:i/>
                <w:sz w:val="20"/>
              </w:rPr>
            </w:pPr>
            <w:r w:rsidRPr="00572E28">
              <w:rPr>
                <w:rFonts w:ascii="Arial Narrow" w:hAnsi="Arial Narrow"/>
                <w:i/>
                <w:sz w:val="20"/>
              </w:rPr>
              <w:t>Empagliflozin + metformin vs placebo + metformin</w:t>
            </w:r>
          </w:p>
        </w:tc>
      </w:tr>
      <w:tr w:rsidR="00B52CBB" w:rsidRPr="004E2ADC" w:rsidTr="001F53DA">
        <w:tc>
          <w:tcPr>
            <w:tcW w:w="866" w:type="pct"/>
            <w:vMerge w:val="restart"/>
          </w:tcPr>
          <w:p w:rsidR="00B52CBB" w:rsidRPr="009E3A17" w:rsidRDefault="00B52CBB" w:rsidP="00D57585">
            <w:pPr>
              <w:jc w:val="left"/>
              <w:rPr>
                <w:rFonts w:ascii="Arial Narrow" w:hAnsi="Arial Narrow"/>
                <w:sz w:val="20"/>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sz w:val="20"/>
              </w:rPr>
              <w:t>1245.10</w:t>
            </w:r>
          </w:p>
        </w:tc>
        <w:tc>
          <w:tcPr>
            <w:tcW w:w="3140" w:type="pct"/>
          </w:tcPr>
          <w:p w:rsidR="00B52CBB" w:rsidRPr="009E3A17" w:rsidRDefault="00B52CBB" w:rsidP="00D57585">
            <w:pPr>
              <w:pStyle w:val="TableText1"/>
              <w:keepNext/>
              <w:keepLines/>
              <w:widowControl w:val="0"/>
              <w:spacing w:before="0" w:after="0"/>
              <w:rPr>
                <w:rFonts w:ascii="Arial Narrow" w:hAnsi="Arial Narrow"/>
                <w:b/>
              </w:rPr>
            </w:pPr>
            <w:r w:rsidRPr="009E3A17">
              <w:rPr>
                <w:rFonts w:ascii="Arial Narrow" w:hAnsi="Arial Narrow" w:cstheme="minorHAnsi"/>
              </w:rPr>
              <w:t>A Phase II, randomized, parallel group safety, efficacy, and pharma</w:t>
            </w:r>
            <w:r w:rsidR="005565C8">
              <w:rPr>
                <w:rFonts w:ascii="Arial Narrow" w:hAnsi="Arial Narrow" w:cstheme="minorHAnsi"/>
              </w:rPr>
              <w:t>cokinetics study of BI 10773 (1mg, 5mg, 10mg, 25mg, and 50</w:t>
            </w:r>
            <w:r w:rsidRPr="009E3A17">
              <w:rPr>
                <w:rFonts w:ascii="Arial Narrow" w:hAnsi="Arial Narrow" w:cstheme="minorHAnsi"/>
              </w:rPr>
              <w:t>mg) administered orally once daily over 12 weeks compared double blind to placebo with an additional open-label sitagliptin ar</w:t>
            </w:r>
            <w:r w:rsidR="005565C8">
              <w:rPr>
                <w:rFonts w:ascii="Arial Narrow" w:hAnsi="Arial Narrow" w:cstheme="minorHAnsi"/>
              </w:rPr>
              <w:t>m in T</w:t>
            </w:r>
            <w:r w:rsidRPr="009E3A17">
              <w:rPr>
                <w:rFonts w:ascii="Arial Narrow" w:hAnsi="Arial Narrow" w:cstheme="minorHAnsi"/>
              </w:rPr>
              <w:t>ype 2 diabetic patients with insufficient glycemic control despite metformin therapy.</w:t>
            </w:r>
            <w:r w:rsidR="005565C8">
              <w:rPr>
                <w:rFonts w:ascii="Arial Narrow" w:hAnsi="Arial Narrow" w:cstheme="minorHAnsi"/>
              </w:rPr>
              <w:t xml:space="preserve"> </w:t>
            </w:r>
            <w:r w:rsidRPr="009E3A17">
              <w:rPr>
                <w:rFonts w:ascii="Arial Narrow" w:hAnsi="Arial Narrow" w:cstheme="minorHAnsi"/>
              </w:rPr>
              <w:t>NCT00749190</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Default="00B52CBB" w:rsidP="00D57585">
            <w:pPr>
              <w:jc w:val="left"/>
              <w:rPr>
                <w:rFonts w:ascii="Arial Narrow" w:hAnsi="Arial Narrow"/>
                <w:sz w:val="20"/>
              </w:rPr>
            </w:pPr>
            <w:r w:rsidRPr="00606CDF">
              <w:rPr>
                <w:rFonts w:ascii="Arial Narrow" w:hAnsi="Arial Narrow"/>
                <w:iCs/>
                <w:sz w:val="20"/>
              </w:rPr>
              <w:t>September 2010</w:t>
            </w:r>
          </w:p>
          <w:p w:rsidR="00B52CBB" w:rsidRDefault="00B52CBB" w:rsidP="00D57585">
            <w:pPr>
              <w:jc w:val="left"/>
              <w:rPr>
                <w:rFonts w:ascii="Arial Narrow" w:hAnsi="Arial Narrow"/>
                <w:sz w:val="20"/>
              </w:rPr>
            </w:pPr>
          </w:p>
          <w:p w:rsidR="00B52CBB" w:rsidRDefault="00B52CBB" w:rsidP="00D57585">
            <w:pPr>
              <w:jc w:val="left"/>
              <w:rPr>
                <w:rFonts w:ascii="Arial Narrow" w:hAnsi="Arial Narrow"/>
                <w:sz w:val="20"/>
              </w:rPr>
            </w:pPr>
          </w:p>
          <w:p w:rsidR="00B52CBB" w:rsidRPr="004E2ADC" w:rsidRDefault="00B52CBB" w:rsidP="00D57585">
            <w:pPr>
              <w:jc w:val="left"/>
              <w:rPr>
                <w:rFonts w:ascii="Arial Narrow" w:hAnsi="Arial Narrow"/>
                <w:b/>
                <w:sz w:val="20"/>
              </w:rPr>
            </w:pPr>
          </w:p>
        </w:tc>
      </w:tr>
      <w:tr w:rsidR="00B52CBB" w:rsidRPr="004E2ADC" w:rsidTr="001F53DA">
        <w:tc>
          <w:tcPr>
            <w:tcW w:w="866" w:type="pct"/>
            <w:vMerge/>
          </w:tcPr>
          <w:p w:rsidR="00B52CBB" w:rsidRPr="002D1A0F" w:rsidRDefault="00B52CBB" w:rsidP="00D57585">
            <w:pPr>
              <w:jc w:val="left"/>
              <w:rPr>
                <w:rFonts w:ascii="Arial Narrow" w:hAnsi="Arial Narrow" w:cstheme="minorHAnsi"/>
                <w:bCs/>
              </w:rPr>
            </w:pPr>
          </w:p>
        </w:tc>
        <w:tc>
          <w:tcPr>
            <w:tcW w:w="3140" w:type="pct"/>
          </w:tcPr>
          <w:p w:rsidR="00B52CBB" w:rsidRPr="009E3A17" w:rsidRDefault="00B52CBB" w:rsidP="00D57585">
            <w:pPr>
              <w:jc w:val="left"/>
              <w:rPr>
                <w:rFonts w:ascii="Arial Narrow" w:hAnsi="Arial Narrow" w:cstheme="minorHAnsi"/>
              </w:rPr>
            </w:pPr>
            <w:r w:rsidRPr="009E3A17">
              <w:rPr>
                <w:rFonts w:ascii="Arial Narrow" w:hAnsi="Arial Narrow" w:cstheme="minorHAnsi"/>
                <w:sz w:val="20"/>
              </w:rPr>
              <w:t xml:space="preserve">Rosenstock J, Seman LJ, Jelaska A et al. Efficacy and safety of empagliflozin, a sodium glucose cotransporter 2 (SGLT2) inhibitor, as add-on to metformin in </w:t>
            </w:r>
            <w:r w:rsidR="005874B5">
              <w:rPr>
                <w:rFonts w:ascii="Arial Narrow" w:hAnsi="Arial Narrow" w:cstheme="minorHAnsi"/>
                <w:sz w:val="20"/>
              </w:rPr>
              <w:t>Type</w:t>
            </w:r>
            <w:r w:rsidRPr="009E3A17">
              <w:rPr>
                <w:rFonts w:ascii="Arial Narrow" w:hAnsi="Arial Narrow" w:cstheme="minorHAnsi"/>
                <w:sz w:val="20"/>
              </w:rPr>
              <w:t xml:space="preserve"> 2 diab</w:t>
            </w:r>
            <w:r>
              <w:rPr>
                <w:rFonts w:ascii="Arial Narrow" w:hAnsi="Arial Narrow" w:cstheme="minorHAnsi"/>
                <w:sz w:val="20"/>
              </w:rPr>
              <w:t xml:space="preserve">etes with mild hyperglycaemia. </w:t>
            </w:r>
          </w:p>
        </w:tc>
        <w:tc>
          <w:tcPr>
            <w:tcW w:w="994" w:type="pct"/>
          </w:tcPr>
          <w:p w:rsidR="00B52CBB" w:rsidRPr="00BA4779" w:rsidRDefault="00B52CBB" w:rsidP="00D57585">
            <w:pPr>
              <w:jc w:val="left"/>
              <w:rPr>
                <w:rFonts w:ascii="Arial Narrow" w:hAnsi="Arial Narrow"/>
                <w:b/>
                <w:sz w:val="20"/>
              </w:rPr>
            </w:pPr>
            <w:r w:rsidRPr="00BA4779">
              <w:rPr>
                <w:rFonts w:ascii="Arial Narrow" w:hAnsi="Arial Narrow"/>
                <w:sz w:val="20"/>
              </w:rPr>
              <w:t>Diabetes Obes Metab 2013; 15(12):1154-60</w:t>
            </w:r>
          </w:p>
          <w:p w:rsidR="00B52CBB" w:rsidRDefault="00B52CBB" w:rsidP="00D57585">
            <w:pPr>
              <w:jc w:val="left"/>
              <w:rPr>
                <w:rFonts w:ascii="Arial Narrow" w:hAnsi="Arial Narrow"/>
                <w:sz w:val="20"/>
              </w:rPr>
            </w:pPr>
          </w:p>
        </w:tc>
      </w:tr>
      <w:tr w:rsidR="00B52CBB" w:rsidRPr="004E2ADC" w:rsidTr="001F53DA">
        <w:tc>
          <w:tcPr>
            <w:tcW w:w="866" w:type="pct"/>
            <w:vMerge w:val="restart"/>
          </w:tcPr>
          <w:p w:rsidR="00B52CBB" w:rsidRPr="009E3A17" w:rsidRDefault="00B52CBB" w:rsidP="00D57585">
            <w:pPr>
              <w:jc w:val="left"/>
              <w:rPr>
                <w:rFonts w:ascii="Arial Narrow" w:hAnsi="Arial Narrow"/>
                <w:sz w:val="20"/>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sz w:val="20"/>
              </w:rPr>
              <w:t>1245.23</w:t>
            </w:r>
          </w:p>
        </w:tc>
        <w:tc>
          <w:tcPr>
            <w:tcW w:w="3140" w:type="pct"/>
          </w:tcPr>
          <w:p w:rsidR="00B52CBB" w:rsidRPr="009E3A17" w:rsidRDefault="00B52CBB" w:rsidP="00D57585">
            <w:pPr>
              <w:pStyle w:val="TableText1"/>
              <w:widowControl w:val="0"/>
              <w:spacing w:before="0" w:after="0"/>
              <w:rPr>
                <w:rFonts w:ascii="Arial Narrow" w:hAnsi="Arial Narrow"/>
                <w:b/>
              </w:rPr>
            </w:pPr>
            <w:r w:rsidRPr="009E3A17">
              <w:rPr>
                <w:rFonts w:ascii="Arial Narrow" w:hAnsi="Arial Narrow" w:cstheme="minorHAnsi"/>
              </w:rPr>
              <w:t>A phase III randomised, double-blind, placebo-controlled, parallel group, efficacy a</w:t>
            </w:r>
            <w:r w:rsidR="005565C8">
              <w:rPr>
                <w:rFonts w:ascii="Arial Narrow" w:hAnsi="Arial Narrow" w:cstheme="minorHAnsi"/>
              </w:rPr>
              <w:t>nd safety study of BI 10773 (10mg, 25</w:t>
            </w:r>
            <w:r w:rsidRPr="009E3A17">
              <w:rPr>
                <w:rFonts w:ascii="Arial Narrow" w:hAnsi="Arial Narrow" w:cstheme="minorHAnsi"/>
              </w:rPr>
              <w:t xml:space="preserve">mg) administered orally, once daily over 24 weeks in patients with </w:t>
            </w:r>
            <w:r w:rsidR="005874B5">
              <w:rPr>
                <w:rFonts w:ascii="Arial Narrow" w:hAnsi="Arial Narrow" w:cstheme="minorHAnsi"/>
              </w:rPr>
              <w:t>Type</w:t>
            </w:r>
            <w:r w:rsidRPr="009E3A17">
              <w:rPr>
                <w:rFonts w:ascii="Arial Narrow" w:hAnsi="Arial Narrow" w:cstheme="minorHAnsi"/>
              </w:rPr>
              <w:t xml:space="preserve"> 2 diabetes mellitus with insufficient glycaemic control despite treatment with metformin alone or metformin in combination with a Sulphonylurea.</w:t>
            </w:r>
            <w:r>
              <w:rPr>
                <w:rFonts w:ascii="Arial Narrow" w:hAnsi="Arial Narrow" w:cstheme="minorHAnsi"/>
              </w:rPr>
              <w:t xml:space="preserve"> </w:t>
            </w:r>
            <w:r w:rsidRPr="009E3A17">
              <w:rPr>
                <w:rFonts w:ascii="Arial Narrow" w:hAnsi="Arial Narrow" w:cstheme="minorHAnsi"/>
              </w:rPr>
              <w:t>NCT01159600</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Default="00B52CBB" w:rsidP="00D57585">
            <w:pPr>
              <w:jc w:val="left"/>
              <w:rPr>
                <w:rFonts w:ascii="Arial Narrow" w:hAnsi="Arial Narrow"/>
                <w:sz w:val="20"/>
              </w:rPr>
            </w:pPr>
            <w:r w:rsidRPr="00606CDF">
              <w:rPr>
                <w:rFonts w:ascii="Arial Narrow" w:hAnsi="Arial Narrow"/>
                <w:iCs/>
                <w:sz w:val="20"/>
              </w:rPr>
              <w:t>September 2012</w:t>
            </w:r>
          </w:p>
          <w:p w:rsidR="00B52CBB" w:rsidRDefault="00B52CBB" w:rsidP="00D57585">
            <w:pPr>
              <w:jc w:val="left"/>
              <w:rPr>
                <w:rFonts w:ascii="Arial Narrow" w:hAnsi="Arial Narrow"/>
                <w:sz w:val="20"/>
              </w:rPr>
            </w:pPr>
          </w:p>
          <w:p w:rsidR="00B52CBB" w:rsidRDefault="00B52CBB" w:rsidP="00D57585">
            <w:pPr>
              <w:jc w:val="left"/>
              <w:rPr>
                <w:rFonts w:ascii="Arial Narrow" w:hAnsi="Arial Narrow"/>
                <w:sz w:val="20"/>
              </w:rPr>
            </w:pPr>
          </w:p>
          <w:p w:rsidR="00B52CBB" w:rsidRPr="004E2ADC" w:rsidRDefault="00B52CBB" w:rsidP="00D57585">
            <w:pPr>
              <w:jc w:val="left"/>
              <w:rPr>
                <w:rFonts w:ascii="Arial Narrow" w:hAnsi="Arial Narrow"/>
                <w:b/>
                <w:sz w:val="20"/>
              </w:rPr>
            </w:pPr>
          </w:p>
        </w:tc>
      </w:tr>
      <w:tr w:rsidR="00B52CBB" w:rsidRPr="004E2ADC" w:rsidTr="001F53DA">
        <w:tc>
          <w:tcPr>
            <w:tcW w:w="866" w:type="pct"/>
            <w:vMerge/>
          </w:tcPr>
          <w:p w:rsidR="00B52CBB" w:rsidRPr="002D1A0F" w:rsidRDefault="00B52CBB" w:rsidP="00D57585">
            <w:pPr>
              <w:jc w:val="left"/>
              <w:rPr>
                <w:rFonts w:ascii="Arial Narrow" w:hAnsi="Arial Narrow" w:cstheme="minorHAnsi"/>
                <w:bCs/>
              </w:rPr>
            </w:pPr>
          </w:p>
        </w:tc>
        <w:tc>
          <w:tcPr>
            <w:tcW w:w="3140" w:type="pct"/>
          </w:tcPr>
          <w:p w:rsidR="00B52CBB" w:rsidRPr="009E3A17" w:rsidRDefault="00B52CBB" w:rsidP="00D57585">
            <w:pPr>
              <w:jc w:val="left"/>
              <w:rPr>
                <w:rFonts w:ascii="Arial Narrow" w:hAnsi="Arial Narrow" w:cstheme="minorHAnsi"/>
              </w:rPr>
            </w:pPr>
            <w:r w:rsidRPr="009E3A17">
              <w:rPr>
                <w:rFonts w:ascii="Arial Narrow" w:hAnsi="Arial Narrow" w:cstheme="minorHAnsi"/>
                <w:sz w:val="20"/>
              </w:rPr>
              <w:t xml:space="preserve">Haring HU, Merker L, Seewaldt-Becker E et al. Empagliflozin as add-on to metformin in patients with </w:t>
            </w:r>
            <w:r w:rsidR="005874B5">
              <w:rPr>
                <w:rFonts w:ascii="Arial Narrow" w:hAnsi="Arial Narrow" w:cstheme="minorHAnsi"/>
                <w:sz w:val="20"/>
              </w:rPr>
              <w:t>Type</w:t>
            </w:r>
            <w:r w:rsidRPr="009E3A17">
              <w:rPr>
                <w:rFonts w:ascii="Arial Narrow" w:hAnsi="Arial Narrow" w:cstheme="minorHAnsi"/>
                <w:sz w:val="20"/>
              </w:rPr>
              <w:t xml:space="preserve"> 2 diabetes: a 24-week, randomized, double-blind, placebo-controlled trial. </w:t>
            </w:r>
          </w:p>
        </w:tc>
        <w:tc>
          <w:tcPr>
            <w:tcW w:w="994" w:type="pct"/>
          </w:tcPr>
          <w:p w:rsidR="00B52CBB" w:rsidRDefault="00B52CBB" w:rsidP="00D57585">
            <w:pPr>
              <w:jc w:val="left"/>
              <w:rPr>
                <w:rFonts w:ascii="Arial Narrow" w:hAnsi="Arial Narrow"/>
                <w:sz w:val="20"/>
              </w:rPr>
            </w:pPr>
            <w:r w:rsidRPr="009E3A17">
              <w:rPr>
                <w:rFonts w:ascii="Arial Narrow" w:hAnsi="Arial Narrow" w:cstheme="minorHAnsi"/>
                <w:sz w:val="20"/>
              </w:rPr>
              <w:t>Diabetes Care 2014b;37:1650-1659.</w:t>
            </w:r>
          </w:p>
        </w:tc>
      </w:tr>
      <w:tr w:rsidR="00B52CBB" w:rsidRPr="004E2ADC" w:rsidTr="001F53DA">
        <w:tc>
          <w:tcPr>
            <w:tcW w:w="866" w:type="pct"/>
            <w:vMerge w:val="restart"/>
          </w:tcPr>
          <w:p w:rsidR="00B52CBB" w:rsidRPr="009E3A17" w:rsidRDefault="00B52CBB" w:rsidP="00D57585">
            <w:pPr>
              <w:jc w:val="left"/>
              <w:rPr>
                <w:rFonts w:ascii="Arial Narrow" w:hAnsi="Arial Narrow"/>
                <w:sz w:val="20"/>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sz w:val="20"/>
              </w:rPr>
              <w:t>1245.31 (extension of 1245.23)</w:t>
            </w:r>
          </w:p>
        </w:tc>
        <w:tc>
          <w:tcPr>
            <w:tcW w:w="3140" w:type="pct"/>
          </w:tcPr>
          <w:p w:rsidR="00B52CBB" w:rsidRPr="000B124E" w:rsidRDefault="00B52CBB" w:rsidP="00D57585">
            <w:pPr>
              <w:pStyle w:val="TableHeaderRow"/>
              <w:keepLines/>
              <w:widowControl w:val="0"/>
              <w:spacing w:before="0" w:after="0"/>
              <w:jc w:val="left"/>
              <w:rPr>
                <w:rFonts w:ascii="Arial Narrow" w:hAnsi="Arial Narrow" w:cstheme="minorHAnsi"/>
                <w:b w:val="0"/>
                <w:bCs/>
                <w:szCs w:val="20"/>
                <w:u w:val="single"/>
              </w:rPr>
            </w:pPr>
            <w:r w:rsidRPr="009E3A17">
              <w:rPr>
                <w:rFonts w:ascii="Arial Narrow" w:hAnsi="Arial Narrow" w:cstheme="minorHAnsi"/>
                <w:b w:val="0"/>
                <w:bCs/>
                <w:szCs w:val="20"/>
              </w:rPr>
              <w:t>A phase III double-blind, extension, placebo-controlled parallel group safety and effica</w:t>
            </w:r>
            <w:r w:rsidR="005565C8">
              <w:rPr>
                <w:rFonts w:ascii="Arial Narrow" w:hAnsi="Arial Narrow" w:cstheme="minorHAnsi"/>
                <w:b w:val="0"/>
                <w:bCs/>
                <w:szCs w:val="20"/>
              </w:rPr>
              <w:t>cy trial of BI 10773 (10 and 25</w:t>
            </w:r>
            <w:r w:rsidRPr="009E3A17">
              <w:rPr>
                <w:rFonts w:ascii="Arial Narrow" w:hAnsi="Arial Narrow" w:cstheme="minorHAnsi"/>
                <w:b w:val="0"/>
                <w:bCs/>
                <w:szCs w:val="20"/>
              </w:rPr>
              <w:t>mg o</w:t>
            </w:r>
            <w:r w:rsidR="005565C8">
              <w:rPr>
                <w:rFonts w:ascii="Arial Narrow" w:hAnsi="Arial Narrow" w:cstheme="minorHAnsi"/>
                <w:b w:val="0"/>
                <w:bCs/>
                <w:szCs w:val="20"/>
              </w:rPr>
              <w:t>nce daily) and sitagliptin (100</w:t>
            </w:r>
            <w:r w:rsidRPr="009E3A17">
              <w:rPr>
                <w:rFonts w:ascii="Arial Narrow" w:hAnsi="Arial Narrow" w:cstheme="minorHAnsi"/>
                <w:b w:val="0"/>
                <w:bCs/>
                <w:szCs w:val="20"/>
              </w:rPr>
              <w:t xml:space="preserve">mg once daily) given for minimum 76 weeks (including 24 weeks of preceding trial) as monotherapy or with different background therapies in patients with </w:t>
            </w:r>
            <w:r w:rsidR="005874B5">
              <w:rPr>
                <w:rFonts w:ascii="Arial Narrow" w:hAnsi="Arial Narrow" w:cstheme="minorHAnsi"/>
                <w:b w:val="0"/>
                <w:bCs/>
                <w:szCs w:val="20"/>
              </w:rPr>
              <w:t>Type</w:t>
            </w:r>
            <w:r w:rsidRPr="009E3A17">
              <w:rPr>
                <w:rFonts w:ascii="Arial Narrow" w:hAnsi="Arial Narrow" w:cstheme="minorHAnsi"/>
                <w:b w:val="0"/>
                <w:bCs/>
                <w:szCs w:val="20"/>
              </w:rPr>
              <w:t xml:space="preserve"> 2 diabetes mellitus </w:t>
            </w:r>
            <w:r w:rsidRPr="009E3A17">
              <w:rPr>
                <w:rFonts w:ascii="Arial Narrow" w:hAnsi="Arial Narrow" w:cstheme="minorHAnsi"/>
                <w:b w:val="0"/>
                <w:bCs/>
                <w:szCs w:val="20"/>
              </w:rPr>
              <w:lastRenderedPageBreak/>
              <w:t xml:space="preserve">previously completing trial 1245.19, 1245.20 or 1245.23. </w:t>
            </w:r>
            <w:r>
              <w:rPr>
                <w:rFonts w:ascii="Arial Narrow" w:hAnsi="Arial Narrow" w:cstheme="minorHAnsi"/>
                <w:b w:val="0"/>
                <w:bCs/>
                <w:szCs w:val="20"/>
              </w:rPr>
              <w:t>N</w:t>
            </w:r>
            <w:r w:rsidRPr="008A5E57">
              <w:rPr>
                <w:rFonts w:ascii="Arial Narrow" w:hAnsi="Arial Narrow" w:cstheme="minorHAnsi"/>
                <w:b w:val="0"/>
                <w:szCs w:val="20"/>
              </w:rPr>
              <w:t>CT01289990</w:t>
            </w:r>
          </w:p>
        </w:tc>
        <w:tc>
          <w:tcPr>
            <w:tcW w:w="994" w:type="pct"/>
          </w:tcPr>
          <w:p w:rsidR="00B52CBB" w:rsidRDefault="00B52CBB" w:rsidP="00D57585">
            <w:pPr>
              <w:jc w:val="left"/>
              <w:rPr>
                <w:rFonts w:ascii="Arial Narrow" w:hAnsi="Arial Narrow"/>
                <w:sz w:val="20"/>
              </w:rPr>
            </w:pPr>
            <w:r>
              <w:rPr>
                <w:rFonts w:ascii="Arial Narrow" w:hAnsi="Arial Narrow"/>
                <w:sz w:val="20"/>
              </w:rPr>
              <w:lastRenderedPageBreak/>
              <w:t>Internal study report (final)</w:t>
            </w:r>
          </w:p>
          <w:p w:rsidR="00B52CBB" w:rsidRDefault="00B52CBB" w:rsidP="00D57585">
            <w:pPr>
              <w:jc w:val="left"/>
              <w:rPr>
                <w:rFonts w:ascii="Arial Narrow" w:hAnsi="Arial Narrow"/>
                <w:sz w:val="20"/>
              </w:rPr>
            </w:pPr>
            <w:r>
              <w:rPr>
                <w:rFonts w:ascii="Arial Narrow" w:hAnsi="Arial Narrow"/>
                <w:sz w:val="20"/>
              </w:rPr>
              <w:t>May 2014</w:t>
            </w:r>
          </w:p>
          <w:p w:rsidR="00B52CBB" w:rsidRPr="004E2ADC" w:rsidRDefault="00B52CBB" w:rsidP="00D57585">
            <w:pPr>
              <w:jc w:val="left"/>
              <w:rPr>
                <w:rFonts w:ascii="Arial Narrow" w:hAnsi="Arial Narrow"/>
                <w:sz w:val="20"/>
              </w:rPr>
            </w:pPr>
          </w:p>
        </w:tc>
      </w:tr>
      <w:tr w:rsidR="00B52CBB" w:rsidRPr="004E2ADC" w:rsidTr="001F53DA">
        <w:tc>
          <w:tcPr>
            <w:tcW w:w="866" w:type="pct"/>
            <w:vMerge/>
          </w:tcPr>
          <w:p w:rsidR="00B52CBB" w:rsidRPr="002D1A0F" w:rsidRDefault="00B52CBB" w:rsidP="00D57585">
            <w:pPr>
              <w:jc w:val="left"/>
              <w:rPr>
                <w:rFonts w:ascii="Arial Narrow" w:hAnsi="Arial Narrow" w:cstheme="minorHAnsi"/>
                <w:bCs/>
              </w:rPr>
            </w:pPr>
          </w:p>
        </w:tc>
        <w:tc>
          <w:tcPr>
            <w:tcW w:w="3140" w:type="pct"/>
          </w:tcPr>
          <w:p w:rsidR="00B52CBB" w:rsidRPr="009E3A17" w:rsidRDefault="00B52CBB" w:rsidP="00D57585">
            <w:pPr>
              <w:pStyle w:val="TableHeaderRow"/>
              <w:keepLines/>
              <w:widowControl w:val="0"/>
              <w:spacing w:before="0" w:after="0"/>
              <w:jc w:val="left"/>
              <w:rPr>
                <w:rFonts w:ascii="Arial Narrow" w:hAnsi="Arial Narrow" w:cstheme="minorHAnsi"/>
                <w:b w:val="0"/>
                <w:bCs/>
                <w:szCs w:val="20"/>
              </w:rPr>
            </w:pPr>
            <w:r w:rsidRPr="009E3A17">
              <w:rPr>
                <w:rFonts w:ascii="Arial Narrow" w:hAnsi="Arial Narrow" w:cstheme="minorHAnsi"/>
                <w:b w:val="0"/>
                <w:bCs/>
                <w:szCs w:val="20"/>
              </w:rPr>
              <w:t>A phase III double-blind, extension, placebo-controlled parallel group safety and effica</w:t>
            </w:r>
            <w:r w:rsidR="005565C8">
              <w:rPr>
                <w:rFonts w:ascii="Arial Narrow" w:hAnsi="Arial Narrow" w:cstheme="minorHAnsi"/>
                <w:b w:val="0"/>
                <w:bCs/>
                <w:szCs w:val="20"/>
              </w:rPr>
              <w:t>cy trial of BI 10773 (10 and 25</w:t>
            </w:r>
            <w:r w:rsidRPr="009E3A17">
              <w:rPr>
                <w:rFonts w:ascii="Arial Narrow" w:hAnsi="Arial Narrow" w:cstheme="minorHAnsi"/>
                <w:b w:val="0"/>
                <w:bCs/>
                <w:szCs w:val="20"/>
              </w:rPr>
              <w:t xml:space="preserve">mg once daily) and sitagliptin (100 mg once daily) given for minimum 76 weeks (including 24 weeks of preceding trial) as monotherapy or with different background therapies in patients with </w:t>
            </w:r>
            <w:r w:rsidR="005874B5">
              <w:rPr>
                <w:rFonts w:ascii="Arial Narrow" w:hAnsi="Arial Narrow" w:cstheme="minorHAnsi"/>
                <w:b w:val="0"/>
                <w:bCs/>
                <w:szCs w:val="20"/>
              </w:rPr>
              <w:t>Type</w:t>
            </w:r>
            <w:r w:rsidRPr="009E3A17">
              <w:rPr>
                <w:rFonts w:ascii="Arial Narrow" w:hAnsi="Arial Narrow" w:cstheme="minorHAnsi"/>
                <w:b w:val="0"/>
                <w:bCs/>
                <w:szCs w:val="20"/>
              </w:rPr>
              <w:t xml:space="preserve"> 2 diabetes mellitus previously completing trial 1245.19, 1245.20 or 1245.23.</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 (interim)</w:t>
            </w:r>
          </w:p>
          <w:p w:rsidR="00B52CBB" w:rsidRDefault="00B52CBB" w:rsidP="00D57585">
            <w:pPr>
              <w:jc w:val="left"/>
              <w:rPr>
                <w:rFonts w:ascii="Arial Narrow" w:hAnsi="Arial Narrow"/>
                <w:sz w:val="20"/>
              </w:rPr>
            </w:pPr>
            <w:r>
              <w:rPr>
                <w:rFonts w:ascii="Arial Narrow" w:hAnsi="Arial Narrow"/>
                <w:sz w:val="20"/>
              </w:rPr>
              <w:t>December 2012</w:t>
            </w:r>
          </w:p>
        </w:tc>
      </w:tr>
      <w:tr w:rsidR="00B52CBB" w:rsidRPr="004E2ADC" w:rsidTr="001F53DA">
        <w:tc>
          <w:tcPr>
            <w:tcW w:w="866" w:type="pct"/>
          </w:tcPr>
          <w:p w:rsidR="00B52CBB" w:rsidRPr="009E3A17" w:rsidRDefault="00B52CBB" w:rsidP="00D57585">
            <w:pPr>
              <w:jc w:val="left"/>
              <w:rPr>
                <w:rFonts w:ascii="Arial Narrow" w:hAnsi="Arial Narrow"/>
                <w:sz w:val="20"/>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sz w:val="20"/>
              </w:rPr>
              <w:t>1276.10</w:t>
            </w:r>
          </w:p>
        </w:tc>
        <w:tc>
          <w:tcPr>
            <w:tcW w:w="3140" w:type="pct"/>
            <w:vAlign w:val="center"/>
          </w:tcPr>
          <w:p w:rsidR="00B52CBB" w:rsidRPr="000B124E" w:rsidRDefault="00B52CBB" w:rsidP="00D57585">
            <w:pPr>
              <w:pStyle w:val="TableText1"/>
              <w:widowControl w:val="0"/>
              <w:spacing w:before="0" w:after="0"/>
              <w:rPr>
                <w:rFonts w:ascii="Arial Narrow" w:hAnsi="Arial Narrow" w:cstheme="minorHAnsi"/>
              </w:rPr>
            </w:pPr>
            <w:r w:rsidRPr="009E3A17">
              <w:rPr>
                <w:rFonts w:ascii="Arial Narrow" w:hAnsi="Arial Narrow" w:cstheme="minorHAnsi"/>
              </w:rPr>
              <w:t xml:space="preserve">A randomised, double blind, placebo controlled, parallel group efficacy and safety study of oral administration of empagliflozin twice daily versus once daily in two different daily doses over 16 weeks as add-on therapy to a twice daily dosing regimen of metformin in patients with </w:t>
            </w:r>
            <w:r w:rsidR="005874B5">
              <w:rPr>
                <w:rFonts w:ascii="Arial Narrow" w:hAnsi="Arial Narrow" w:cstheme="minorHAnsi"/>
              </w:rPr>
              <w:t>Type</w:t>
            </w:r>
            <w:r w:rsidRPr="009E3A17">
              <w:rPr>
                <w:rFonts w:ascii="Arial Narrow" w:hAnsi="Arial Narrow" w:cstheme="minorHAnsi"/>
              </w:rPr>
              <w:t xml:space="preserve"> 2 diabetes mellitus and insufficient glycaemic control</w:t>
            </w:r>
            <w:r>
              <w:rPr>
                <w:rFonts w:ascii="Arial Narrow" w:hAnsi="Arial Narrow" w:cstheme="minorHAnsi"/>
              </w:rPr>
              <w:t xml:space="preserve">. </w:t>
            </w:r>
            <w:r w:rsidRPr="009E3A17">
              <w:rPr>
                <w:rFonts w:ascii="Arial Narrow" w:hAnsi="Arial Narrow" w:cstheme="minorHAnsi"/>
              </w:rPr>
              <w:t>NCT01649297</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w:t>
            </w:r>
          </w:p>
          <w:p w:rsidR="00B52CBB" w:rsidRPr="004E2ADC" w:rsidRDefault="00B52CBB" w:rsidP="00D57585">
            <w:pPr>
              <w:jc w:val="left"/>
              <w:rPr>
                <w:rFonts w:ascii="Arial Narrow" w:hAnsi="Arial Narrow"/>
                <w:sz w:val="20"/>
              </w:rPr>
            </w:pPr>
            <w:r>
              <w:rPr>
                <w:rFonts w:ascii="Arial Narrow" w:hAnsi="Arial Narrow"/>
                <w:sz w:val="20"/>
              </w:rPr>
              <w:t>April 2014</w:t>
            </w:r>
          </w:p>
        </w:tc>
      </w:tr>
      <w:tr w:rsidR="00B52CBB" w:rsidRPr="009E3A17" w:rsidTr="001F53DA">
        <w:tc>
          <w:tcPr>
            <w:tcW w:w="5000" w:type="pct"/>
            <w:gridSpan w:val="3"/>
            <w:tcBorders>
              <w:top w:val="single" w:sz="4" w:space="0" w:color="auto"/>
              <w:left w:val="single" w:sz="4" w:space="0" w:color="auto"/>
              <w:bottom w:val="single" w:sz="4" w:space="0" w:color="auto"/>
              <w:right w:val="single" w:sz="4" w:space="0" w:color="auto"/>
            </w:tcBorders>
          </w:tcPr>
          <w:p w:rsidR="00B52CBB" w:rsidRPr="00F470D9" w:rsidRDefault="00B52CBB" w:rsidP="00D57585">
            <w:pPr>
              <w:jc w:val="left"/>
              <w:rPr>
                <w:rFonts w:ascii="Arial Narrow" w:hAnsi="Arial Narrow"/>
                <w:sz w:val="20"/>
              </w:rPr>
            </w:pPr>
            <w:r w:rsidRPr="00F470D9">
              <w:rPr>
                <w:rFonts w:ascii="Arial Narrow" w:hAnsi="Arial Narrow"/>
                <w:sz w:val="20"/>
              </w:rPr>
              <w:t>Dapagliflozin + metformin vs placebo + metformin</w:t>
            </w:r>
          </w:p>
        </w:tc>
      </w:tr>
      <w:tr w:rsidR="00B52CBB" w:rsidRPr="000B124E" w:rsidTr="001F53DA">
        <w:tc>
          <w:tcPr>
            <w:tcW w:w="866" w:type="pct"/>
            <w:vMerge w:val="restart"/>
          </w:tcPr>
          <w:p w:rsidR="00B52CBB" w:rsidRPr="009E3A17" w:rsidRDefault="00B52CBB" w:rsidP="00D57585">
            <w:pPr>
              <w:pStyle w:val="TableText1"/>
              <w:widowControl w:val="0"/>
              <w:spacing w:before="0" w:after="0"/>
              <w:rPr>
                <w:rFonts w:ascii="Arial Narrow" w:hAnsi="Arial Narrow" w:cstheme="minorHAnsi"/>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cstheme="minorHAnsi"/>
              </w:rPr>
              <w:t>CT-014</w:t>
            </w:r>
          </w:p>
          <w:p w:rsidR="00B52CBB" w:rsidRPr="009E3A17" w:rsidRDefault="00B52CBB" w:rsidP="00D57585">
            <w:pPr>
              <w:jc w:val="left"/>
              <w:rPr>
                <w:rFonts w:ascii="Arial Narrow" w:hAnsi="Arial Narrow"/>
                <w:sz w:val="20"/>
              </w:rPr>
            </w:pPr>
          </w:p>
        </w:tc>
        <w:tc>
          <w:tcPr>
            <w:tcW w:w="3140" w:type="pct"/>
            <w:vAlign w:val="center"/>
          </w:tcPr>
          <w:p w:rsidR="00B52CBB" w:rsidRPr="00BA4779" w:rsidRDefault="005565C8" w:rsidP="00D57585">
            <w:pPr>
              <w:pStyle w:val="TableText1"/>
              <w:widowControl w:val="0"/>
              <w:spacing w:before="0" w:after="0"/>
              <w:rPr>
                <w:rFonts w:ascii="Arial Narrow" w:hAnsi="Arial Narrow" w:cstheme="minorHAnsi"/>
              </w:rPr>
            </w:pPr>
            <w:r>
              <w:rPr>
                <w:rFonts w:ascii="Arial Narrow" w:hAnsi="Arial Narrow"/>
              </w:rPr>
              <w:t>A phase III s</w:t>
            </w:r>
            <w:r w:rsidR="00B52CBB" w:rsidRPr="00BA4779">
              <w:rPr>
                <w:rFonts w:ascii="Arial Narrow" w:hAnsi="Arial Narrow"/>
              </w:rPr>
              <w:t>tudy of</w:t>
            </w:r>
            <w:r>
              <w:rPr>
                <w:rFonts w:ascii="Arial Narrow" w:hAnsi="Arial Narrow"/>
              </w:rPr>
              <w:t xml:space="preserve"> BMS-512148 (dapagliflozin) in patients with Type 2 diabetes who are not well controlled on metformin a</w:t>
            </w:r>
            <w:r w:rsidR="00B52CBB" w:rsidRPr="00BA4779">
              <w:rPr>
                <w:rFonts w:ascii="Arial Narrow" w:hAnsi="Arial Narrow"/>
              </w:rPr>
              <w:t xml:space="preserve">lone. </w:t>
            </w:r>
          </w:p>
        </w:tc>
        <w:tc>
          <w:tcPr>
            <w:tcW w:w="994" w:type="pct"/>
          </w:tcPr>
          <w:p w:rsidR="00B52CBB" w:rsidRPr="00BA4779" w:rsidRDefault="00B52CBB" w:rsidP="00D57585">
            <w:pPr>
              <w:jc w:val="left"/>
              <w:rPr>
                <w:rFonts w:ascii="Arial Narrow" w:hAnsi="Arial Narrow"/>
                <w:sz w:val="20"/>
              </w:rPr>
            </w:pPr>
            <w:r w:rsidRPr="00BA4779">
              <w:rPr>
                <w:rFonts w:ascii="Arial Narrow" w:hAnsi="Arial Narrow"/>
                <w:sz w:val="20"/>
              </w:rPr>
              <w:t>NCT00528879</w:t>
            </w:r>
          </w:p>
          <w:p w:rsidR="00B52CBB" w:rsidRPr="00BA4779" w:rsidRDefault="00B52CBB" w:rsidP="00D57585">
            <w:pPr>
              <w:jc w:val="left"/>
              <w:rPr>
                <w:rFonts w:ascii="Arial Narrow" w:hAnsi="Arial Narrow"/>
                <w:iCs/>
                <w:sz w:val="20"/>
              </w:rPr>
            </w:pPr>
          </w:p>
        </w:tc>
      </w:tr>
      <w:tr w:rsidR="00B52CBB" w:rsidRPr="000B124E"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7948BD" w:rsidRDefault="00B52CBB" w:rsidP="00D57585">
            <w:pPr>
              <w:pStyle w:val="TableText1"/>
              <w:widowControl w:val="0"/>
              <w:spacing w:before="0" w:after="0"/>
              <w:rPr>
                <w:rFonts w:ascii="Arial Narrow" w:hAnsi="Arial Narrow"/>
              </w:rPr>
            </w:pPr>
            <w:r w:rsidRPr="008A5E57">
              <w:rPr>
                <w:rFonts w:ascii="Arial Narrow" w:hAnsi="Arial Narrow" w:cstheme="minorHAnsi"/>
              </w:rPr>
              <w:t>Bailey</w:t>
            </w:r>
            <w:r w:rsidRPr="009E3A17">
              <w:rPr>
                <w:rFonts w:ascii="Arial Narrow" w:hAnsi="Arial Narrow" w:cstheme="minorHAnsi"/>
              </w:rPr>
              <w:t xml:space="preserve"> CJ, Gross JL, Pieters A, Bastien A, List JF. Effect of dapagliflozin in patients with </w:t>
            </w:r>
            <w:r w:rsidR="005874B5">
              <w:rPr>
                <w:rFonts w:ascii="Arial Narrow" w:hAnsi="Arial Narrow" w:cstheme="minorHAnsi"/>
              </w:rPr>
              <w:t>Type</w:t>
            </w:r>
            <w:r w:rsidRPr="009E3A17">
              <w:rPr>
                <w:rFonts w:ascii="Arial Narrow" w:hAnsi="Arial Narrow" w:cstheme="minorHAnsi"/>
              </w:rPr>
              <w:t xml:space="preserve"> 2 diabetes who have inadequate glycaemic control with metformin: a randomised, double-blind, placebo-controlled trial. </w:t>
            </w:r>
          </w:p>
        </w:tc>
        <w:tc>
          <w:tcPr>
            <w:tcW w:w="994" w:type="pct"/>
          </w:tcPr>
          <w:p w:rsidR="00B52CBB" w:rsidRPr="00BA4779" w:rsidRDefault="00B52CBB" w:rsidP="00D57585">
            <w:pPr>
              <w:jc w:val="left"/>
              <w:rPr>
                <w:rFonts w:ascii="Arial Narrow" w:hAnsi="Arial Narrow"/>
                <w:sz w:val="20"/>
              </w:rPr>
            </w:pPr>
            <w:r w:rsidRPr="00BA4779">
              <w:rPr>
                <w:rFonts w:ascii="Arial Narrow" w:hAnsi="Arial Narrow"/>
                <w:iCs/>
                <w:sz w:val="20"/>
              </w:rPr>
              <w:t>Lancet 2010; 375: 2223-2233</w:t>
            </w:r>
            <w:r w:rsidRPr="00BA4779">
              <w:rPr>
                <w:rFonts w:ascii="Arial Narrow" w:hAnsi="Arial Narrow"/>
                <w:sz w:val="20"/>
              </w:rPr>
              <w:t xml:space="preserve"> </w:t>
            </w:r>
          </w:p>
          <w:p w:rsidR="00B52CBB" w:rsidRPr="00BA4779" w:rsidRDefault="00B52CBB" w:rsidP="00D57585">
            <w:pPr>
              <w:jc w:val="left"/>
              <w:rPr>
                <w:rFonts w:ascii="Arial Narrow" w:hAnsi="Arial Narrow"/>
                <w:sz w:val="20"/>
              </w:rPr>
            </w:pPr>
          </w:p>
          <w:p w:rsidR="00B52CBB" w:rsidRPr="00BA4779" w:rsidRDefault="00B52CBB" w:rsidP="00D57585">
            <w:pPr>
              <w:jc w:val="left"/>
              <w:rPr>
                <w:rFonts w:ascii="Arial Narrow" w:hAnsi="Arial Narrow"/>
                <w:sz w:val="20"/>
              </w:rPr>
            </w:pPr>
          </w:p>
        </w:tc>
      </w:tr>
      <w:tr w:rsidR="00B52CBB" w:rsidRPr="000B124E"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8A5E57" w:rsidRDefault="00B52CBB" w:rsidP="00D57585">
            <w:pPr>
              <w:pStyle w:val="TableText1"/>
              <w:widowControl w:val="0"/>
              <w:spacing w:before="0" w:after="0"/>
              <w:rPr>
                <w:rFonts w:ascii="Arial Narrow" w:hAnsi="Arial Narrow" w:cstheme="minorHAnsi"/>
              </w:rPr>
            </w:pPr>
            <w:r w:rsidRPr="008A5E57">
              <w:rPr>
                <w:rFonts w:ascii="Arial Narrow" w:hAnsi="Arial Narrow" w:cstheme="minorHAnsi"/>
              </w:rPr>
              <w:t>Bailey</w:t>
            </w:r>
            <w:r w:rsidRPr="009E3A17">
              <w:rPr>
                <w:rFonts w:ascii="Arial Narrow" w:hAnsi="Arial Narrow" w:cstheme="minorHAnsi"/>
              </w:rPr>
              <w:t xml:space="preserve"> CJ, Gross JL, Hennicken D, Iqbal N, Mansfield TA, List JF. Dapagl</w:t>
            </w:r>
            <w:r w:rsidR="005565C8">
              <w:rPr>
                <w:rFonts w:ascii="Arial Narrow" w:hAnsi="Arial Narrow" w:cstheme="minorHAnsi"/>
              </w:rPr>
              <w:t xml:space="preserve">iflozin add-on to metformin in </w:t>
            </w:r>
            <w:r w:rsidR="005874B5">
              <w:rPr>
                <w:rFonts w:ascii="Arial Narrow" w:hAnsi="Arial Narrow" w:cstheme="minorHAnsi"/>
              </w:rPr>
              <w:t>Type</w:t>
            </w:r>
            <w:r w:rsidRPr="009E3A17">
              <w:rPr>
                <w:rFonts w:ascii="Arial Narrow" w:hAnsi="Arial Narrow" w:cstheme="minorHAnsi"/>
              </w:rPr>
              <w:t xml:space="preserve"> 2 diabetes inadequately controlled with metformin: a randomized, double-blind, placebo-controlled 102-week trial.</w:t>
            </w:r>
            <w:r w:rsidR="005565C8">
              <w:rPr>
                <w:rFonts w:ascii="Arial Narrow" w:hAnsi="Arial Narrow" w:cstheme="minorHAnsi"/>
              </w:rPr>
              <w:t xml:space="preserve"> </w:t>
            </w:r>
            <w:r w:rsidRPr="009E3A17">
              <w:rPr>
                <w:rFonts w:ascii="Arial Narrow" w:hAnsi="Arial Narrow" w:cstheme="minorHAnsi"/>
              </w:rPr>
              <w:t xml:space="preserve">[Erratum appears in BMC Med. </w:t>
            </w:r>
            <w:r w:rsidRPr="008A5E57">
              <w:rPr>
                <w:rFonts w:ascii="Arial Narrow" w:hAnsi="Arial Narrow" w:cstheme="minorHAnsi"/>
              </w:rPr>
              <w:t>2013</w:t>
            </w:r>
            <w:r w:rsidRPr="009E3A17">
              <w:rPr>
                <w:rFonts w:ascii="Arial Narrow" w:hAnsi="Arial Narrow" w:cstheme="minorHAnsi"/>
              </w:rPr>
              <w:t xml:space="preserve">;11:193]. </w:t>
            </w:r>
          </w:p>
        </w:tc>
        <w:tc>
          <w:tcPr>
            <w:tcW w:w="994" w:type="pct"/>
          </w:tcPr>
          <w:p w:rsidR="00B52CBB" w:rsidRPr="00BA4779" w:rsidRDefault="00B52CBB" w:rsidP="00D57585">
            <w:pPr>
              <w:jc w:val="left"/>
              <w:rPr>
                <w:rFonts w:ascii="Arial Narrow" w:hAnsi="Arial Narrow"/>
                <w:iCs/>
                <w:sz w:val="20"/>
              </w:rPr>
            </w:pPr>
            <w:r w:rsidRPr="00BA4779">
              <w:rPr>
                <w:rFonts w:ascii="Arial Narrow" w:hAnsi="Arial Narrow"/>
                <w:iCs/>
                <w:sz w:val="20"/>
              </w:rPr>
              <w:t>BMC Med. 2013; 11:43</w:t>
            </w:r>
          </w:p>
          <w:p w:rsidR="00B52CBB" w:rsidRPr="00BA4779" w:rsidRDefault="00B52CBB" w:rsidP="00D57585">
            <w:pPr>
              <w:jc w:val="left"/>
              <w:rPr>
                <w:rFonts w:ascii="Arial Narrow" w:hAnsi="Arial Narrow"/>
                <w:iCs/>
                <w:sz w:val="20"/>
              </w:rPr>
            </w:pPr>
          </w:p>
          <w:p w:rsidR="00B52CBB" w:rsidRPr="00BA4779" w:rsidRDefault="00B52CBB" w:rsidP="00D57585">
            <w:pPr>
              <w:jc w:val="left"/>
              <w:rPr>
                <w:rFonts w:ascii="Arial Narrow" w:hAnsi="Arial Narrow"/>
                <w:iCs/>
                <w:sz w:val="20"/>
              </w:rPr>
            </w:pPr>
          </w:p>
        </w:tc>
      </w:tr>
      <w:tr w:rsidR="00B52CBB" w:rsidRPr="000B124E"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8A5E57" w:rsidRDefault="00B52CBB" w:rsidP="00D57585">
            <w:pPr>
              <w:pStyle w:val="TableText1"/>
              <w:widowControl w:val="0"/>
              <w:spacing w:before="0" w:after="0"/>
              <w:rPr>
                <w:rFonts w:ascii="Arial Narrow" w:hAnsi="Arial Narrow" w:cstheme="minorHAnsi"/>
              </w:rPr>
            </w:pPr>
            <w:r w:rsidRPr="009E3A17">
              <w:rPr>
                <w:rFonts w:ascii="Arial Narrow" w:hAnsi="Arial Narrow" w:cstheme="minorHAnsi"/>
              </w:rPr>
              <w:t>Basile J, Ptaszynska A, Ying L, Sugg J, Parikh S. The effects of dapagliflozin on cardiovascular</w:t>
            </w:r>
            <w:r w:rsidR="005565C8">
              <w:rPr>
                <w:rFonts w:ascii="Arial Narrow" w:hAnsi="Arial Narrow" w:cstheme="minorHAnsi"/>
              </w:rPr>
              <w:t xml:space="preserve"> risk factors in patients with </w:t>
            </w:r>
            <w:r w:rsidR="005874B5">
              <w:rPr>
                <w:rFonts w:ascii="Arial Narrow" w:hAnsi="Arial Narrow" w:cstheme="minorHAnsi"/>
              </w:rPr>
              <w:t>Type</w:t>
            </w:r>
            <w:r w:rsidRPr="009E3A17">
              <w:rPr>
                <w:rFonts w:ascii="Arial Narrow" w:hAnsi="Arial Narrow" w:cstheme="minorHAnsi"/>
              </w:rPr>
              <w:t xml:space="preserve"> 2 diabetes mellitus. </w:t>
            </w:r>
          </w:p>
        </w:tc>
        <w:tc>
          <w:tcPr>
            <w:tcW w:w="994" w:type="pct"/>
          </w:tcPr>
          <w:p w:rsidR="00B52CBB" w:rsidRPr="00BA4779" w:rsidRDefault="00B52CBB" w:rsidP="00D57585">
            <w:pPr>
              <w:jc w:val="left"/>
              <w:rPr>
                <w:rFonts w:ascii="Arial Narrow" w:hAnsi="Arial Narrow"/>
                <w:iCs/>
                <w:sz w:val="20"/>
              </w:rPr>
            </w:pPr>
            <w:r w:rsidRPr="00BA4779">
              <w:rPr>
                <w:rFonts w:ascii="Arial Narrow" w:hAnsi="Arial Narrow" w:cstheme="minorHAnsi"/>
                <w:sz w:val="20"/>
              </w:rPr>
              <w:t>Circulation: Cardiovascular Quality and Outcomes 2012;5.</w:t>
            </w:r>
          </w:p>
        </w:tc>
      </w:tr>
      <w:tr w:rsidR="00B52CBB" w:rsidRPr="00F47233" w:rsidTr="001F53DA">
        <w:tc>
          <w:tcPr>
            <w:tcW w:w="866" w:type="pct"/>
            <w:vMerge w:val="restart"/>
          </w:tcPr>
          <w:p w:rsidR="00B52CBB" w:rsidRPr="009E3A17" w:rsidRDefault="00B52CBB" w:rsidP="00D57585">
            <w:pPr>
              <w:pStyle w:val="TableText1"/>
              <w:widowControl w:val="0"/>
              <w:spacing w:before="0" w:after="0"/>
              <w:rPr>
                <w:rFonts w:ascii="Arial Narrow" w:hAnsi="Arial Narrow" w:cstheme="minorHAnsi"/>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cstheme="minorHAnsi"/>
              </w:rPr>
              <w:t>CT-012</w:t>
            </w:r>
          </w:p>
          <w:p w:rsidR="00B52CBB" w:rsidRPr="009E3A17" w:rsidRDefault="00B52CBB" w:rsidP="00D57585">
            <w:pPr>
              <w:ind w:firstLine="720"/>
              <w:jc w:val="left"/>
              <w:rPr>
                <w:rFonts w:ascii="Arial Narrow" w:hAnsi="Arial Narrow"/>
                <w:sz w:val="20"/>
              </w:rPr>
            </w:pPr>
          </w:p>
        </w:tc>
        <w:tc>
          <w:tcPr>
            <w:tcW w:w="3140" w:type="pct"/>
          </w:tcPr>
          <w:p w:rsidR="00B52CBB" w:rsidRPr="004F0A5B" w:rsidRDefault="00B52CBB" w:rsidP="005874B5">
            <w:pPr>
              <w:pStyle w:val="TableText1"/>
              <w:widowControl w:val="0"/>
              <w:spacing w:before="0" w:after="0"/>
              <w:rPr>
                <w:rFonts w:ascii="Arial Narrow" w:hAnsi="Arial Narrow" w:cstheme="minorHAnsi"/>
              </w:rPr>
            </w:pPr>
            <w:r w:rsidRPr="007948BD">
              <w:rPr>
                <w:rFonts w:ascii="Arial Narrow" w:hAnsi="Arial Narrow"/>
              </w:rPr>
              <w:t>A 24-week,</w:t>
            </w:r>
            <w:r w:rsidR="005874B5">
              <w:rPr>
                <w:rFonts w:ascii="Arial Narrow" w:hAnsi="Arial Narrow"/>
              </w:rPr>
              <w:t xml:space="preserve"> m</w:t>
            </w:r>
            <w:r w:rsidRPr="007948BD">
              <w:rPr>
                <w:rFonts w:ascii="Arial Narrow" w:hAnsi="Arial Narrow"/>
              </w:rPr>
              <w:t>ulticentre,</w:t>
            </w:r>
            <w:r w:rsidR="005874B5">
              <w:rPr>
                <w:rFonts w:ascii="Arial Narrow" w:hAnsi="Arial Narrow"/>
              </w:rPr>
              <w:t xml:space="preserve"> </w:t>
            </w:r>
            <w:r w:rsidRPr="007948BD">
              <w:rPr>
                <w:rFonts w:ascii="Arial Narrow" w:hAnsi="Arial Narrow"/>
              </w:rPr>
              <w:t>Int</w:t>
            </w:r>
            <w:r w:rsidR="005874B5">
              <w:rPr>
                <w:rFonts w:ascii="Arial Narrow" w:hAnsi="Arial Narrow"/>
              </w:rPr>
              <w:t>ernational</w:t>
            </w:r>
            <w:r w:rsidRPr="007948BD">
              <w:rPr>
                <w:rFonts w:ascii="Arial Narrow" w:hAnsi="Arial Narrow"/>
              </w:rPr>
              <w:t>,</w:t>
            </w:r>
            <w:r w:rsidR="005874B5">
              <w:rPr>
                <w:rFonts w:ascii="Arial Narrow" w:hAnsi="Arial Narrow"/>
              </w:rPr>
              <w:t xml:space="preserve"> d</w:t>
            </w:r>
            <w:r w:rsidRPr="007948BD">
              <w:rPr>
                <w:rFonts w:ascii="Arial Narrow" w:hAnsi="Arial Narrow"/>
              </w:rPr>
              <w:t xml:space="preserve">ouble blind, </w:t>
            </w:r>
            <w:r w:rsidR="005874B5">
              <w:rPr>
                <w:rFonts w:ascii="Arial Narrow" w:hAnsi="Arial Narrow"/>
              </w:rPr>
              <w:t>Randomised, parallel group, p</w:t>
            </w:r>
            <w:r w:rsidRPr="007948BD">
              <w:rPr>
                <w:rFonts w:ascii="Arial Narrow" w:hAnsi="Arial Narrow"/>
              </w:rPr>
              <w:t>lac</w:t>
            </w:r>
            <w:r w:rsidR="005874B5">
              <w:rPr>
                <w:rFonts w:ascii="Arial Narrow" w:hAnsi="Arial Narrow"/>
              </w:rPr>
              <w:t>ebo controlled, phase III study with a 78-week e</w:t>
            </w:r>
            <w:r w:rsidRPr="007948BD">
              <w:rPr>
                <w:rFonts w:ascii="Arial Narrow" w:hAnsi="Arial Narrow"/>
              </w:rPr>
              <w:t>xt</w:t>
            </w:r>
            <w:r w:rsidR="005874B5">
              <w:rPr>
                <w:rFonts w:ascii="Arial Narrow" w:hAnsi="Arial Narrow"/>
              </w:rPr>
              <w:t>ension period to evaluate the effect of dapagliflozin in combination with metformin on body weight in subjects w</w:t>
            </w:r>
            <w:r w:rsidRPr="007948BD">
              <w:rPr>
                <w:rFonts w:ascii="Arial Narrow" w:hAnsi="Arial Narrow"/>
              </w:rPr>
              <w:t xml:space="preserve">ith </w:t>
            </w:r>
            <w:r w:rsidR="005874B5">
              <w:rPr>
                <w:rFonts w:ascii="Arial Narrow" w:hAnsi="Arial Narrow"/>
              </w:rPr>
              <w:t>Type 2 diabetes mellitus who have inadequate glycemic c</w:t>
            </w:r>
            <w:r w:rsidRPr="007948BD">
              <w:rPr>
                <w:rFonts w:ascii="Arial Narrow" w:hAnsi="Arial Narrow"/>
              </w:rPr>
              <w:t>on</w:t>
            </w:r>
            <w:r w:rsidR="005874B5">
              <w:rPr>
                <w:rFonts w:ascii="Arial Narrow" w:hAnsi="Arial Narrow"/>
              </w:rPr>
              <w:t>trol on metformin a</w:t>
            </w:r>
            <w:r w:rsidRPr="007948BD">
              <w:rPr>
                <w:rFonts w:ascii="Arial Narrow" w:hAnsi="Arial Narrow"/>
              </w:rPr>
              <w:t xml:space="preserve">lone. </w:t>
            </w:r>
          </w:p>
        </w:tc>
        <w:tc>
          <w:tcPr>
            <w:tcW w:w="994" w:type="pct"/>
          </w:tcPr>
          <w:p w:rsidR="00B52CBB" w:rsidRPr="00BA4779" w:rsidRDefault="00B52CBB" w:rsidP="00D57585">
            <w:pPr>
              <w:jc w:val="left"/>
              <w:rPr>
                <w:rFonts w:ascii="Arial Narrow" w:hAnsi="Arial Narrow"/>
                <w:sz w:val="18"/>
              </w:rPr>
            </w:pPr>
            <w:r w:rsidRPr="00BA4779">
              <w:rPr>
                <w:rFonts w:ascii="Arial Narrow" w:hAnsi="Arial Narrow"/>
                <w:sz w:val="20"/>
              </w:rPr>
              <w:t>NCT00855166</w:t>
            </w:r>
          </w:p>
          <w:p w:rsidR="00B52CBB" w:rsidRPr="00BA4779" w:rsidRDefault="00B52CBB" w:rsidP="00D57585">
            <w:pPr>
              <w:jc w:val="left"/>
              <w:rPr>
                <w:rFonts w:ascii="Arial Narrow" w:hAnsi="Arial Narrow"/>
                <w:sz w:val="20"/>
              </w:rPr>
            </w:pPr>
          </w:p>
        </w:tc>
      </w:tr>
      <w:tr w:rsidR="00B52CBB" w:rsidRPr="00F47233"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7948BD" w:rsidRDefault="00B52CBB" w:rsidP="00D57585">
            <w:pPr>
              <w:pStyle w:val="TableText1"/>
              <w:widowControl w:val="0"/>
              <w:spacing w:before="0" w:after="0"/>
              <w:rPr>
                <w:rFonts w:ascii="Arial Narrow" w:hAnsi="Arial Narrow"/>
              </w:rPr>
            </w:pPr>
            <w:r w:rsidRPr="009E3A17">
              <w:rPr>
                <w:rFonts w:ascii="Arial Narrow" w:hAnsi="Arial Narrow" w:cstheme="minorHAnsi"/>
                <w:lang w:val="da-DK"/>
              </w:rPr>
              <w:t xml:space="preserve">Bolinder J, Ljunggren O, Johansson L et al. </w:t>
            </w:r>
            <w:r w:rsidRPr="009E3A17">
              <w:rPr>
                <w:rFonts w:ascii="Arial Narrow" w:hAnsi="Arial Narrow" w:cstheme="minorHAnsi"/>
              </w:rPr>
              <w:t>Dapagliflozin produces long-term reductions in body weight, waist circumference and t</w:t>
            </w:r>
            <w:r w:rsidR="005874B5">
              <w:rPr>
                <w:rFonts w:ascii="Arial Narrow" w:hAnsi="Arial Narrow" w:cstheme="minorHAnsi"/>
              </w:rPr>
              <w:t>otal fat mass in patients with Type</w:t>
            </w:r>
            <w:r w:rsidRPr="009E3A17">
              <w:rPr>
                <w:rFonts w:ascii="Arial Narrow" w:hAnsi="Arial Narrow" w:cstheme="minorHAnsi"/>
              </w:rPr>
              <w:t xml:space="preserve"> 2 diabetes inadequ</w:t>
            </w:r>
            <w:r>
              <w:rPr>
                <w:rFonts w:ascii="Arial Narrow" w:hAnsi="Arial Narrow" w:cstheme="minorHAnsi"/>
              </w:rPr>
              <w:t xml:space="preserve">ately controlled on metformin. </w:t>
            </w:r>
          </w:p>
        </w:tc>
        <w:tc>
          <w:tcPr>
            <w:tcW w:w="994" w:type="pct"/>
          </w:tcPr>
          <w:p w:rsidR="00B52CBB" w:rsidRPr="00BA4779" w:rsidRDefault="00B52CBB" w:rsidP="00D57585">
            <w:pPr>
              <w:jc w:val="left"/>
              <w:rPr>
                <w:rFonts w:ascii="Arial Narrow" w:hAnsi="Arial Narrow"/>
                <w:sz w:val="20"/>
              </w:rPr>
            </w:pPr>
            <w:r w:rsidRPr="00BA4779">
              <w:rPr>
                <w:rFonts w:ascii="Arial Narrow" w:hAnsi="Arial Narrow"/>
                <w:sz w:val="20"/>
              </w:rPr>
              <w:t>Diabetologia 2012; 55: S308</w:t>
            </w:r>
          </w:p>
          <w:p w:rsidR="00B52CBB" w:rsidRPr="00BA4779" w:rsidRDefault="00B52CBB" w:rsidP="00D57585">
            <w:pPr>
              <w:jc w:val="left"/>
              <w:rPr>
                <w:rFonts w:ascii="Arial Narrow" w:hAnsi="Arial Narrow"/>
                <w:sz w:val="20"/>
              </w:rPr>
            </w:pPr>
          </w:p>
        </w:tc>
      </w:tr>
      <w:tr w:rsidR="00B52CBB" w:rsidRPr="00F47233"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Text1"/>
              <w:widowControl w:val="0"/>
              <w:spacing w:before="0" w:after="0"/>
              <w:rPr>
                <w:rFonts w:ascii="Arial Narrow" w:hAnsi="Arial Narrow" w:cstheme="minorHAnsi"/>
                <w:highlight w:val="yellow"/>
              </w:rPr>
            </w:pPr>
            <w:r w:rsidRPr="008A5E57">
              <w:rPr>
                <w:rFonts w:ascii="Arial Narrow" w:hAnsi="Arial Narrow" w:cstheme="minorHAnsi"/>
                <w:lang w:val="da-DK"/>
              </w:rPr>
              <w:t>Bolinder</w:t>
            </w:r>
            <w:r w:rsidRPr="009E3A17">
              <w:rPr>
                <w:rFonts w:ascii="Arial Narrow" w:hAnsi="Arial Narrow" w:cstheme="minorHAnsi"/>
                <w:lang w:val="da-DK"/>
              </w:rPr>
              <w:t xml:space="preserve"> J, Ljunggren O, Kullberg J et al. </w:t>
            </w:r>
            <w:r w:rsidRPr="009E3A17">
              <w:rPr>
                <w:rFonts w:ascii="Arial Narrow" w:hAnsi="Arial Narrow" w:cstheme="minorHAnsi"/>
              </w:rPr>
              <w:t xml:space="preserve">Effects of dapagliflozin on body weight, total fat mass, and regional adipose tissue distribution in patients with </w:t>
            </w:r>
            <w:r w:rsidR="005874B5">
              <w:rPr>
                <w:rFonts w:ascii="Arial Narrow" w:hAnsi="Arial Narrow" w:cstheme="minorHAnsi"/>
              </w:rPr>
              <w:t>Type</w:t>
            </w:r>
            <w:r w:rsidRPr="009E3A17">
              <w:rPr>
                <w:rFonts w:ascii="Arial Narrow" w:hAnsi="Arial Narrow" w:cstheme="minorHAnsi"/>
              </w:rPr>
              <w:t xml:space="preserve"> 2 diabetes mellitus with inadequate glycemic control on metformin. </w:t>
            </w:r>
          </w:p>
          <w:p w:rsidR="00B52CBB" w:rsidRPr="009E3A17" w:rsidRDefault="00B52CBB" w:rsidP="00D57585">
            <w:pPr>
              <w:pStyle w:val="TableText1"/>
              <w:widowControl w:val="0"/>
              <w:spacing w:before="0" w:after="0"/>
              <w:rPr>
                <w:rFonts w:ascii="Arial Narrow" w:hAnsi="Arial Narrow" w:cstheme="minorHAnsi"/>
                <w:lang w:val="da-DK"/>
              </w:rPr>
            </w:pPr>
            <w:r w:rsidRPr="008A5E57">
              <w:rPr>
                <w:rFonts w:ascii="Arial Narrow" w:hAnsi="Arial Narrow" w:cstheme="minorHAnsi"/>
                <w:lang w:val="da-DK"/>
              </w:rPr>
              <w:t>Bolinder</w:t>
            </w:r>
            <w:r w:rsidRPr="009E3A17">
              <w:rPr>
                <w:rFonts w:ascii="Arial Narrow" w:hAnsi="Arial Narrow" w:cstheme="minorHAnsi"/>
                <w:u w:val="single"/>
                <w:lang w:val="da-DK"/>
              </w:rPr>
              <w:t xml:space="preserve"> </w:t>
            </w:r>
            <w:r w:rsidRPr="009E3A17">
              <w:rPr>
                <w:rFonts w:ascii="Arial Narrow" w:hAnsi="Arial Narrow" w:cstheme="minorHAnsi"/>
                <w:lang w:val="da-DK"/>
              </w:rPr>
              <w:t xml:space="preserve">J, Ljunggren O, Johansson L et al. </w:t>
            </w:r>
            <w:r w:rsidRPr="009E3A17">
              <w:rPr>
                <w:rFonts w:ascii="Arial Narrow" w:hAnsi="Arial Narrow" w:cstheme="minorHAnsi"/>
              </w:rPr>
              <w:t>Dapagliflozin maintains glycaemic control while reducing weight and body fat mass</w:t>
            </w:r>
            <w:r w:rsidR="005874B5">
              <w:rPr>
                <w:rFonts w:ascii="Arial Narrow" w:hAnsi="Arial Narrow" w:cstheme="minorHAnsi"/>
              </w:rPr>
              <w:t xml:space="preserve"> over 2 years in patients with Type</w:t>
            </w:r>
            <w:r w:rsidRPr="009E3A17">
              <w:rPr>
                <w:rFonts w:ascii="Arial Narrow" w:hAnsi="Arial Narrow" w:cstheme="minorHAnsi"/>
              </w:rPr>
              <w:t xml:space="preserve"> 2 diabetes mellitus inadequately controlled on metformin. </w:t>
            </w:r>
          </w:p>
        </w:tc>
        <w:tc>
          <w:tcPr>
            <w:tcW w:w="994" w:type="pct"/>
          </w:tcPr>
          <w:p w:rsidR="00B52CBB" w:rsidRPr="00BA4779" w:rsidRDefault="00B52CBB" w:rsidP="00D57585">
            <w:pPr>
              <w:jc w:val="left"/>
              <w:rPr>
                <w:rFonts w:ascii="Arial Narrow" w:hAnsi="Arial Narrow"/>
                <w:sz w:val="20"/>
              </w:rPr>
            </w:pPr>
            <w:r w:rsidRPr="00BA4779">
              <w:rPr>
                <w:rFonts w:ascii="Arial Narrow" w:hAnsi="Arial Narrow"/>
                <w:sz w:val="20"/>
              </w:rPr>
              <w:t>Journal of Clinical Endocrinology and Metabolism  2012; 97(3): 1020-1031 Diabetes, Obesity and Metabolism  2014; 16(2): 159-169</w:t>
            </w:r>
          </w:p>
        </w:tc>
      </w:tr>
      <w:tr w:rsidR="00B52CBB" w:rsidRPr="00F47233"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8A5E57" w:rsidRDefault="00B52CBB" w:rsidP="00D57585">
            <w:pPr>
              <w:pStyle w:val="TableText1"/>
              <w:widowControl w:val="0"/>
              <w:spacing w:before="0" w:after="0"/>
              <w:rPr>
                <w:rFonts w:ascii="Arial Narrow" w:hAnsi="Arial Narrow" w:cstheme="minorHAnsi"/>
                <w:lang w:val="da-DK"/>
              </w:rPr>
            </w:pPr>
            <w:r w:rsidRPr="009E3A17">
              <w:rPr>
                <w:rFonts w:ascii="Arial Narrow" w:hAnsi="Arial Narrow" w:cstheme="minorHAnsi"/>
              </w:rPr>
              <w:t xml:space="preserve">Grandy S, Langkilde AM, Ingelgard A, Sugg JE, Parikh SJ. Quality of life (EQ-5D) among </w:t>
            </w:r>
            <w:r w:rsidR="005874B5">
              <w:rPr>
                <w:rFonts w:ascii="Arial Narrow" w:hAnsi="Arial Narrow" w:cstheme="minorHAnsi"/>
              </w:rPr>
              <w:t>Type</w:t>
            </w:r>
            <w:r w:rsidRPr="009E3A17">
              <w:rPr>
                <w:rFonts w:ascii="Arial Narrow" w:hAnsi="Arial Narrow" w:cstheme="minorHAnsi"/>
              </w:rPr>
              <w:t xml:space="preserve"> 2 diabetes mellitus patients treated with dapagliflozin for 24 weeks. </w:t>
            </w:r>
          </w:p>
        </w:tc>
        <w:tc>
          <w:tcPr>
            <w:tcW w:w="994" w:type="pct"/>
          </w:tcPr>
          <w:p w:rsidR="00B52CBB" w:rsidRPr="00AA2CA6" w:rsidRDefault="00B52CBB" w:rsidP="00D57585">
            <w:pPr>
              <w:jc w:val="left"/>
              <w:rPr>
                <w:sz w:val="20"/>
              </w:rPr>
            </w:pPr>
            <w:r w:rsidRPr="00BA4779">
              <w:rPr>
                <w:rFonts w:ascii="Arial Narrow" w:hAnsi="Arial Narrow" w:cstheme="minorHAnsi"/>
                <w:sz w:val="20"/>
              </w:rPr>
              <w:t>Diabetes 2012; 261:A600.</w:t>
            </w:r>
          </w:p>
        </w:tc>
      </w:tr>
      <w:tr w:rsidR="00B52CBB" w:rsidRPr="00F47233"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Text1"/>
              <w:widowControl w:val="0"/>
              <w:spacing w:before="0" w:after="0"/>
              <w:rPr>
                <w:rFonts w:ascii="Arial Narrow" w:hAnsi="Arial Narrow" w:cstheme="minorHAnsi"/>
              </w:rPr>
            </w:pPr>
            <w:r w:rsidRPr="009E3A17">
              <w:rPr>
                <w:rFonts w:ascii="Arial Narrow" w:hAnsi="Arial Narrow" w:cstheme="minorHAnsi"/>
              </w:rPr>
              <w:t>Grandy S, Hashemi M, Langkilde AM, Parikh S, Sjostrom CD. Changes in weight loss</w:t>
            </w:r>
            <w:r w:rsidR="005874B5">
              <w:rPr>
                <w:rFonts w:ascii="Arial Narrow" w:hAnsi="Arial Narrow" w:cstheme="minorHAnsi"/>
              </w:rPr>
              <w:t>-related quality of life among Type</w:t>
            </w:r>
            <w:r w:rsidRPr="009E3A17">
              <w:rPr>
                <w:rFonts w:ascii="Arial Narrow" w:hAnsi="Arial Narrow" w:cstheme="minorHAnsi"/>
              </w:rPr>
              <w:t xml:space="preserve"> 2 diabetes mellitus pati</w:t>
            </w:r>
            <w:r>
              <w:rPr>
                <w:rFonts w:ascii="Arial Narrow" w:hAnsi="Arial Narrow" w:cstheme="minorHAnsi"/>
              </w:rPr>
              <w:t>ents treated with dapagliflozin.</w:t>
            </w:r>
          </w:p>
        </w:tc>
        <w:tc>
          <w:tcPr>
            <w:tcW w:w="994" w:type="pct"/>
          </w:tcPr>
          <w:p w:rsidR="00B52CBB" w:rsidRPr="00BA4779" w:rsidRDefault="00B52CBB" w:rsidP="00D57585">
            <w:pPr>
              <w:jc w:val="left"/>
              <w:rPr>
                <w:rFonts w:ascii="Arial Narrow" w:hAnsi="Arial Narrow" w:cstheme="minorHAnsi"/>
                <w:sz w:val="20"/>
              </w:rPr>
            </w:pPr>
            <w:r w:rsidRPr="00BA4779">
              <w:rPr>
                <w:rFonts w:ascii="Arial Narrow" w:hAnsi="Arial Narrow" w:cstheme="minorHAnsi"/>
                <w:sz w:val="20"/>
              </w:rPr>
              <w:t>Diabetes, Obesity &amp; Metabolism 2014a;16:645-650.</w:t>
            </w:r>
          </w:p>
        </w:tc>
      </w:tr>
      <w:tr w:rsidR="00B52CBB" w:rsidRPr="00F47233"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Text1"/>
              <w:widowControl w:val="0"/>
              <w:spacing w:before="0" w:after="0"/>
              <w:rPr>
                <w:rFonts w:ascii="Arial Narrow" w:hAnsi="Arial Narrow" w:cstheme="minorHAnsi"/>
              </w:rPr>
            </w:pPr>
            <w:r w:rsidRPr="009E3A17">
              <w:rPr>
                <w:rFonts w:ascii="Arial Narrow" w:hAnsi="Arial Narrow" w:cstheme="minorHAnsi"/>
              </w:rPr>
              <w:t xml:space="preserve">Grandy S, Langkilde AM, Sugg JE, Parikh S, Sjostrom CD. Health-related quality of life (EQ-5D) among </w:t>
            </w:r>
            <w:r w:rsidR="005874B5">
              <w:rPr>
                <w:rFonts w:ascii="Arial Narrow" w:hAnsi="Arial Narrow" w:cstheme="minorHAnsi"/>
              </w:rPr>
              <w:t>Type</w:t>
            </w:r>
            <w:r w:rsidRPr="009E3A17">
              <w:rPr>
                <w:rFonts w:ascii="Arial Narrow" w:hAnsi="Arial Narrow" w:cstheme="minorHAnsi"/>
              </w:rPr>
              <w:t xml:space="preserve"> 2 diabetes mellitus patients treated with dapagliflozin over 2 years.</w:t>
            </w:r>
          </w:p>
        </w:tc>
        <w:tc>
          <w:tcPr>
            <w:tcW w:w="994" w:type="pct"/>
          </w:tcPr>
          <w:p w:rsidR="00B52CBB" w:rsidRPr="00BA4779" w:rsidRDefault="00B52CBB" w:rsidP="00D57585">
            <w:pPr>
              <w:pStyle w:val="TableText1"/>
              <w:widowControl w:val="0"/>
              <w:spacing w:before="0" w:after="0"/>
              <w:rPr>
                <w:rFonts w:ascii="Arial Narrow" w:hAnsi="Arial Narrow" w:cstheme="minorHAnsi"/>
              </w:rPr>
            </w:pPr>
            <w:r w:rsidRPr="00BA4779">
              <w:rPr>
                <w:rFonts w:ascii="Arial Narrow" w:hAnsi="Arial Narrow" w:cstheme="minorHAnsi"/>
              </w:rPr>
              <w:t>International Journal of Clinical Practice</w:t>
            </w:r>
            <w:r>
              <w:rPr>
                <w:rFonts w:ascii="Arial Narrow" w:hAnsi="Arial Narrow" w:cstheme="minorHAnsi"/>
              </w:rPr>
              <w:t xml:space="preserve"> 2014b;68:486-494.</w:t>
            </w:r>
          </w:p>
        </w:tc>
      </w:tr>
      <w:tr w:rsidR="00B52CBB" w:rsidRPr="00F47233"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Text1"/>
              <w:widowControl w:val="0"/>
              <w:spacing w:before="0" w:after="0"/>
              <w:rPr>
                <w:rFonts w:ascii="Arial Narrow" w:hAnsi="Arial Narrow" w:cstheme="minorHAnsi"/>
              </w:rPr>
            </w:pPr>
            <w:r w:rsidRPr="009E3A17">
              <w:rPr>
                <w:rFonts w:ascii="Arial Narrow" w:hAnsi="Arial Narrow" w:cstheme="minorHAnsi"/>
              </w:rPr>
              <w:t xml:space="preserve"> Ingelgard A, Grandy S, Langkilde A, Sugg JE, Parikh SJ. Health-related quality of life (EQ-5D) among </w:t>
            </w:r>
            <w:r w:rsidR="005874B5">
              <w:rPr>
                <w:rFonts w:ascii="Arial Narrow" w:hAnsi="Arial Narrow" w:cstheme="minorHAnsi"/>
              </w:rPr>
              <w:t>Type</w:t>
            </w:r>
            <w:r w:rsidRPr="009E3A17">
              <w:rPr>
                <w:rFonts w:ascii="Arial Narrow" w:hAnsi="Arial Narrow" w:cstheme="minorHAnsi"/>
              </w:rPr>
              <w:t xml:space="preserve"> 2 diabetes mellitus patients </w:t>
            </w:r>
            <w:r w:rsidRPr="009E3A17">
              <w:rPr>
                <w:rFonts w:ascii="Arial Narrow" w:hAnsi="Arial Narrow" w:cstheme="minorHAnsi"/>
              </w:rPr>
              <w:lastRenderedPageBreak/>
              <w:t xml:space="preserve">treated with dapagliflozin for 24 weeks. </w:t>
            </w:r>
          </w:p>
        </w:tc>
        <w:tc>
          <w:tcPr>
            <w:tcW w:w="994" w:type="pct"/>
          </w:tcPr>
          <w:p w:rsidR="00B52CBB" w:rsidRPr="00AA2CA6" w:rsidRDefault="00B52CBB" w:rsidP="00D57585">
            <w:pPr>
              <w:jc w:val="left"/>
              <w:rPr>
                <w:rFonts w:ascii="Arial Narrow" w:hAnsi="Arial Narrow" w:cstheme="minorHAnsi"/>
                <w:sz w:val="20"/>
              </w:rPr>
            </w:pPr>
            <w:r w:rsidRPr="00BA4779">
              <w:rPr>
                <w:rFonts w:ascii="Arial Narrow" w:hAnsi="Arial Narrow" w:cstheme="minorHAnsi"/>
                <w:sz w:val="20"/>
              </w:rPr>
              <w:lastRenderedPageBreak/>
              <w:t>Diabetologia</w:t>
            </w:r>
            <w:r>
              <w:rPr>
                <w:rFonts w:ascii="Arial Narrow" w:hAnsi="Arial Narrow" w:cstheme="minorHAnsi"/>
                <w:sz w:val="20"/>
              </w:rPr>
              <w:t xml:space="preserve"> 2012;55:S320. </w:t>
            </w:r>
          </w:p>
        </w:tc>
      </w:tr>
      <w:tr w:rsidR="00B52CBB" w:rsidRPr="00F47233"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Text1"/>
              <w:widowControl w:val="0"/>
              <w:spacing w:before="0" w:after="0"/>
              <w:rPr>
                <w:rFonts w:ascii="Arial Narrow" w:hAnsi="Arial Narrow" w:cstheme="minorHAnsi"/>
              </w:rPr>
            </w:pPr>
            <w:r w:rsidRPr="008A5E57">
              <w:rPr>
                <w:rFonts w:ascii="Arial Narrow" w:hAnsi="Arial Narrow" w:cstheme="minorHAnsi"/>
                <w:lang w:val="da-DK"/>
              </w:rPr>
              <w:t>Ljunggren</w:t>
            </w:r>
            <w:r w:rsidRPr="009E3A17">
              <w:rPr>
                <w:rFonts w:ascii="Arial Narrow" w:hAnsi="Arial Narrow" w:cstheme="minorHAnsi"/>
                <w:lang w:val="da-DK"/>
              </w:rPr>
              <w:t xml:space="preserve"> O, Bolinder J, Johansson L et al. </w:t>
            </w:r>
            <w:r w:rsidRPr="009E3A17">
              <w:rPr>
                <w:rFonts w:ascii="Arial Narrow" w:hAnsi="Arial Narrow" w:cstheme="minorHAnsi"/>
              </w:rPr>
              <w:t xml:space="preserve">Dapagliflozin has no effect on markers of bone formation and resorption or bone mineral density in patients with inadequately controlled </w:t>
            </w:r>
            <w:r w:rsidR="005874B5">
              <w:rPr>
                <w:rFonts w:ascii="Arial Narrow" w:hAnsi="Arial Narrow" w:cstheme="minorHAnsi"/>
              </w:rPr>
              <w:t>Type</w:t>
            </w:r>
            <w:r w:rsidRPr="009E3A17">
              <w:rPr>
                <w:rFonts w:ascii="Arial Narrow" w:hAnsi="Arial Narrow" w:cstheme="minorHAnsi"/>
              </w:rPr>
              <w:t xml:space="preserve"> 2 diabetes mellitus on metformin</w:t>
            </w:r>
          </w:p>
        </w:tc>
        <w:tc>
          <w:tcPr>
            <w:tcW w:w="994" w:type="pct"/>
          </w:tcPr>
          <w:p w:rsidR="00B52CBB" w:rsidRPr="00BA4779" w:rsidRDefault="00B52CBB" w:rsidP="00D57585">
            <w:pPr>
              <w:jc w:val="left"/>
              <w:rPr>
                <w:rFonts w:ascii="Arial Narrow" w:hAnsi="Arial Narrow" w:cstheme="minorHAnsi"/>
                <w:sz w:val="20"/>
              </w:rPr>
            </w:pPr>
            <w:r w:rsidRPr="00BA4779">
              <w:rPr>
                <w:rFonts w:ascii="Arial Narrow" w:hAnsi="Arial Narrow" w:cstheme="minorHAnsi"/>
                <w:sz w:val="20"/>
              </w:rPr>
              <w:t>Diabetes, Obesity</w:t>
            </w:r>
            <w:r>
              <w:rPr>
                <w:rFonts w:ascii="Arial Narrow" w:hAnsi="Arial Narrow" w:cstheme="minorHAnsi"/>
                <w:sz w:val="20"/>
              </w:rPr>
              <w:t xml:space="preserve"> &amp; Metabolism 2012a;14:990-999.</w:t>
            </w:r>
          </w:p>
        </w:tc>
      </w:tr>
      <w:tr w:rsidR="00B52CBB" w:rsidRPr="00F47233"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8A5E57" w:rsidRDefault="00B52CBB" w:rsidP="00D57585">
            <w:pPr>
              <w:pStyle w:val="TableText1"/>
              <w:widowControl w:val="0"/>
              <w:spacing w:before="0" w:after="0"/>
              <w:rPr>
                <w:rFonts w:ascii="Arial Narrow" w:hAnsi="Arial Narrow" w:cstheme="minorHAnsi"/>
                <w:lang w:val="da-DK"/>
              </w:rPr>
            </w:pPr>
            <w:r w:rsidRPr="009E3A17">
              <w:rPr>
                <w:rFonts w:ascii="Arial Narrow" w:hAnsi="Arial Narrow" w:cstheme="minorHAnsi"/>
                <w:lang w:val="da-DK"/>
              </w:rPr>
              <w:t xml:space="preserve">Ljunggren O, Bolinder J, Johansson L et al. </w:t>
            </w:r>
            <w:r w:rsidRPr="009E3A17">
              <w:rPr>
                <w:rFonts w:ascii="Arial Narrow" w:hAnsi="Arial Narrow" w:cstheme="minorHAnsi"/>
              </w:rPr>
              <w:t xml:space="preserve">Dapagliflozin has no long-term effect on markers of bone turnover or bone mineral density in patients with inadequately controlled </w:t>
            </w:r>
            <w:r w:rsidR="005874B5">
              <w:rPr>
                <w:rFonts w:ascii="Arial Narrow" w:hAnsi="Arial Narrow" w:cstheme="minorHAnsi"/>
              </w:rPr>
              <w:t>Type</w:t>
            </w:r>
            <w:r w:rsidRPr="009E3A17">
              <w:rPr>
                <w:rFonts w:ascii="Arial Narrow" w:hAnsi="Arial Narrow" w:cstheme="minorHAnsi"/>
              </w:rPr>
              <w:t xml:space="preserve"> 2 diabetes on metformin. </w:t>
            </w:r>
          </w:p>
        </w:tc>
        <w:tc>
          <w:tcPr>
            <w:tcW w:w="994" w:type="pct"/>
          </w:tcPr>
          <w:p w:rsidR="00B52CBB" w:rsidRPr="00BA4779" w:rsidRDefault="00B52CBB" w:rsidP="00D57585">
            <w:pPr>
              <w:jc w:val="left"/>
              <w:rPr>
                <w:rFonts w:ascii="Arial Narrow" w:hAnsi="Arial Narrow" w:cstheme="minorHAnsi"/>
                <w:sz w:val="20"/>
              </w:rPr>
            </w:pPr>
            <w:r w:rsidRPr="00BA4779">
              <w:rPr>
                <w:rFonts w:ascii="Arial Narrow" w:hAnsi="Arial Narrow" w:cstheme="minorHAnsi"/>
                <w:sz w:val="20"/>
              </w:rPr>
              <w:t>Diabetologia 2012b;55:S306-S307.</w:t>
            </w:r>
          </w:p>
        </w:tc>
      </w:tr>
      <w:tr w:rsidR="00B52CBB" w:rsidRPr="004E2ADC" w:rsidTr="001F53DA">
        <w:tc>
          <w:tcPr>
            <w:tcW w:w="866" w:type="pct"/>
            <w:vMerge w:val="restart"/>
          </w:tcPr>
          <w:p w:rsidR="00B52CBB" w:rsidRPr="009E3A17" w:rsidRDefault="00B52CBB" w:rsidP="00D57585">
            <w:pPr>
              <w:jc w:val="left"/>
              <w:rPr>
                <w:rFonts w:ascii="Arial Narrow" w:hAnsi="Arial Narrow"/>
                <w:sz w:val="20"/>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cstheme="minorHAnsi"/>
                <w:sz w:val="20"/>
              </w:rPr>
              <w:t>CT-003</w:t>
            </w:r>
          </w:p>
        </w:tc>
        <w:tc>
          <w:tcPr>
            <w:tcW w:w="3140" w:type="pct"/>
            <w:vAlign w:val="center"/>
          </w:tcPr>
          <w:p w:rsidR="00B52CBB" w:rsidRPr="009E3A17" w:rsidRDefault="005874B5" w:rsidP="005874B5">
            <w:pPr>
              <w:pStyle w:val="TableText1"/>
              <w:widowControl w:val="0"/>
              <w:spacing w:before="0" w:after="0"/>
              <w:rPr>
                <w:rFonts w:ascii="Arial Narrow" w:hAnsi="Arial Narrow"/>
              </w:rPr>
            </w:pPr>
            <w:r>
              <w:rPr>
                <w:rFonts w:ascii="Arial Narrow" w:hAnsi="Arial Narrow" w:cstheme="minorHAnsi"/>
              </w:rPr>
              <w:t>A 16-week, m</w:t>
            </w:r>
            <w:r w:rsidR="00B52CBB" w:rsidRPr="007948BD">
              <w:rPr>
                <w:rFonts w:ascii="Arial Narrow" w:hAnsi="Arial Narrow" w:cstheme="minorHAnsi"/>
              </w:rPr>
              <w:t xml:space="preserve">ulticentre, </w:t>
            </w:r>
            <w:r>
              <w:rPr>
                <w:rFonts w:ascii="Arial Narrow" w:hAnsi="Arial Narrow" w:cstheme="minorHAnsi"/>
              </w:rPr>
              <w:t>r</w:t>
            </w:r>
            <w:r w:rsidR="00B52CBB" w:rsidRPr="007948BD">
              <w:rPr>
                <w:rFonts w:ascii="Arial Narrow" w:hAnsi="Arial Narrow" w:cstheme="minorHAnsi"/>
              </w:rPr>
              <w:t xml:space="preserve">andomised, </w:t>
            </w:r>
            <w:r>
              <w:rPr>
                <w:rFonts w:ascii="Arial Narrow" w:hAnsi="Arial Narrow" w:cstheme="minorHAnsi"/>
              </w:rPr>
              <w:t>d</w:t>
            </w:r>
            <w:r w:rsidR="00B52CBB" w:rsidRPr="007948BD">
              <w:rPr>
                <w:rFonts w:ascii="Arial Narrow" w:hAnsi="Arial Narrow" w:cstheme="minorHAnsi"/>
              </w:rPr>
              <w:t>ouble-</w:t>
            </w:r>
            <w:r>
              <w:rPr>
                <w:rFonts w:ascii="Arial Narrow" w:hAnsi="Arial Narrow" w:cstheme="minorHAnsi"/>
              </w:rPr>
              <w:t>b</w:t>
            </w:r>
            <w:r w:rsidR="00B52CBB" w:rsidRPr="007948BD">
              <w:rPr>
                <w:rFonts w:ascii="Arial Narrow" w:hAnsi="Arial Narrow" w:cstheme="minorHAnsi"/>
              </w:rPr>
              <w:t xml:space="preserve">lind, </w:t>
            </w:r>
            <w:r>
              <w:rPr>
                <w:rFonts w:ascii="Arial Narrow" w:hAnsi="Arial Narrow" w:cstheme="minorHAnsi"/>
              </w:rPr>
              <w:t>p</w:t>
            </w:r>
            <w:r w:rsidR="00B52CBB" w:rsidRPr="007948BD">
              <w:rPr>
                <w:rFonts w:ascii="Arial Narrow" w:hAnsi="Arial Narrow" w:cstheme="minorHAnsi"/>
              </w:rPr>
              <w:t>lacebo-</w:t>
            </w:r>
            <w:r>
              <w:rPr>
                <w:rFonts w:ascii="Arial Narrow" w:hAnsi="Arial Narrow" w:cstheme="minorHAnsi"/>
              </w:rPr>
              <w:t>c</w:t>
            </w:r>
            <w:r w:rsidR="00B52CBB" w:rsidRPr="007948BD">
              <w:rPr>
                <w:rFonts w:ascii="Arial Narrow" w:hAnsi="Arial Narrow" w:cstheme="minorHAnsi"/>
              </w:rPr>
              <w:t xml:space="preserve">ontrolled </w:t>
            </w:r>
            <w:r>
              <w:rPr>
                <w:rFonts w:ascii="Arial Narrow" w:hAnsi="Arial Narrow" w:cstheme="minorHAnsi"/>
              </w:rPr>
              <w:t>p</w:t>
            </w:r>
            <w:r w:rsidR="00B52CBB" w:rsidRPr="007948BD">
              <w:rPr>
                <w:rFonts w:ascii="Arial Narrow" w:hAnsi="Arial Narrow" w:cstheme="minorHAnsi"/>
              </w:rPr>
              <w:t xml:space="preserve">hase III </w:t>
            </w:r>
            <w:r>
              <w:rPr>
                <w:rFonts w:ascii="Arial Narrow" w:hAnsi="Arial Narrow" w:cstheme="minorHAnsi"/>
              </w:rPr>
              <w:t>s</w:t>
            </w:r>
            <w:r w:rsidR="00B52CBB" w:rsidRPr="007948BD">
              <w:rPr>
                <w:rFonts w:ascii="Arial Narrow" w:hAnsi="Arial Narrow" w:cstheme="minorHAnsi"/>
              </w:rPr>
              <w:t xml:space="preserve">tudy to </w:t>
            </w:r>
            <w:r>
              <w:rPr>
                <w:rFonts w:ascii="Arial Narrow" w:hAnsi="Arial Narrow" w:cstheme="minorHAnsi"/>
              </w:rPr>
              <w:t>e</w:t>
            </w:r>
            <w:r w:rsidR="00B52CBB" w:rsidRPr="007948BD">
              <w:rPr>
                <w:rFonts w:ascii="Arial Narrow" w:hAnsi="Arial Narrow" w:cstheme="minorHAnsi"/>
              </w:rPr>
              <w:t xml:space="preserve">valuate the </w:t>
            </w:r>
            <w:r>
              <w:rPr>
                <w:rFonts w:ascii="Arial Narrow" w:hAnsi="Arial Narrow" w:cstheme="minorHAnsi"/>
              </w:rPr>
              <w:t>s</w:t>
            </w:r>
            <w:r w:rsidR="00B52CBB" w:rsidRPr="007948BD">
              <w:rPr>
                <w:rFonts w:ascii="Arial Narrow" w:hAnsi="Arial Narrow" w:cstheme="minorHAnsi"/>
              </w:rPr>
              <w:t xml:space="preserve">afety and </w:t>
            </w:r>
            <w:r>
              <w:rPr>
                <w:rFonts w:ascii="Arial Narrow" w:hAnsi="Arial Narrow" w:cstheme="minorHAnsi"/>
              </w:rPr>
              <w:t>e</w:t>
            </w:r>
            <w:r w:rsidR="00B52CBB" w:rsidRPr="007948BD">
              <w:rPr>
                <w:rFonts w:ascii="Arial Narrow" w:hAnsi="Arial Narrow" w:cstheme="minorHAnsi"/>
              </w:rPr>
              <w:t xml:space="preserve">fficacy of </w:t>
            </w:r>
            <w:r>
              <w:rPr>
                <w:rFonts w:ascii="Arial Narrow" w:hAnsi="Arial Narrow" w:cstheme="minorHAnsi"/>
              </w:rPr>
              <w:t>d</w:t>
            </w:r>
            <w:r w:rsidR="00B52CBB" w:rsidRPr="007948BD">
              <w:rPr>
                <w:rFonts w:ascii="Arial Narrow" w:hAnsi="Arial Narrow" w:cstheme="minorHAnsi"/>
              </w:rPr>
              <w:t xml:space="preserve">apagliflozin 2.5mg BID, 5mg BID and 10mg QD </w:t>
            </w:r>
            <w:r>
              <w:rPr>
                <w:rFonts w:ascii="Arial Narrow" w:hAnsi="Arial Narrow" w:cstheme="minorHAnsi"/>
              </w:rPr>
              <w:t>v</w:t>
            </w:r>
            <w:r w:rsidR="00B52CBB" w:rsidRPr="007948BD">
              <w:rPr>
                <w:rFonts w:ascii="Arial Narrow" w:hAnsi="Arial Narrow" w:cstheme="minorHAnsi"/>
              </w:rPr>
              <w:t xml:space="preserve">ersus </w:t>
            </w:r>
            <w:r>
              <w:rPr>
                <w:rFonts w:ascii="Arial Narrow" w:hAnsi="Arial Narrow" w:cstheme="minorHAnsi"/>
              </w:rPr>
              <w:t>p</w:t>
            </w:r>
            <w:r w:rsidR="00B52CBB" w:rsidRPr="007948BD">
              <w:rPr>
                <w:rFonts w:ascii="Arial Narrow" w:hAnsi="Arial Narrow" w:cstheme="minorHAnsi"/>
              </w:rPr>
              <w:t xml:space="preserve">lacebo in </w:t>
            </w:r>
            <w:r>
              <w:rPr>
                <w:rFonts w:ascii="Arial Narrow" w:hAnsi="Arial Narrow" w:cstheme="minorHAnsi"/>
              </w:rPr>
              <w:t>p</w:t>
            </w:r>
            <w:r w:rsidR="00B52CBB" w:rsidRPr="007948BD">
              <w:rPr>
                <w:rFonts w:ascii="Arial Narrow" w:hAnsi="Arial Narrow" w:cstheme="minorHAnsi"/>
              </w:rPr>
              <w:t xml:space="preserve">atients </w:t>
            </w:r>
            <w:r>
              <w:rPr>
                <w:rFonts w:ascii="Arial Narrow" w:hAnsi="Arial Narrow" w:cstheme="minorHAnsi"/>
              </w:rPr>
              <w:t>w</w:t>
            </w:r>
            <w:r w:rsidR="00B52CBB" w:rsidRPr="007948BD">
              <w:rPr>
                <w:rFonts w:ascii="Arial Narrow" w:hAnsi="Arial Narrow" w:cstheme="minorHAnsi"/>
              </w:rPr>
              <w:t xml:space="preserve">ith </w:t>
            </w:r>
            <w:r>
              <w:rPr>
                <w:rFonts w:ascii="Arial Narrow" w:hAnsi="Arial Narrow" w:cstheme="minorHAnsi"/>
              </w:rPr>
              <w:t>Type</w:t>
            </w:r>
            <w:r w:rsidR="00B52CBB" w:rsidRPr="007948BD">
              <w:rPr>
                <w:rFonts w:ascii="Arial Narrow" w:hAnsi="Arial Narrow" w:cstheme="minorHAnsi"/>
              </w:rPr>
              <w:t xml:space="preserve"> 2 </w:t>
            </w:r>
            <w:r>
              <w:rPr>
                <w:rFonts w:ascii="Arial Narrow" w:hAnsi="Arial Narrow" w:cstheme="minorHAnsi"/>
              </w:rPr>
              <w:t>d</w:t>
            </w:r>
            <w:r w:rsidR="00B52CBB" w:rsidRPr="007948BD">
              <w:rPr>
                <w:rFonts w:ascii="Arial Narrow" w:hAnsi="Arial Narrow" w:cstheme="minorHAnsi"/>
              </w:rPr>
              <w:t xml:space="preserve">iabetes </w:t>
            </w:r>
            <w:r>
              <w:rPr>
                <w:rFonts w:ascii="Arial Narrow" w:hAnsi="Arial Narrow" w:cstheme="minorHAnsi"/>
              </w:rPr>
              <w:t>w</w:t>
            </w:r>
            <w:r w:rsidR="00B52CBB" w:rsidRPr="007948BD">
              <w:rPr>
                <w:rFonts w:ascii="Arial Narrow" w:hAnsi="Arial Narrow" w:cstheme="minorHAnsi"/>
              </w:rPr>
              <w:t xml:space="preserve">ho </w:t>
            </w:r>
            <w:r>
              <w:rPr>
                <w:rFonts w:ascii="Arial Narrow" w:hAnsi="Arial Narrow" w:cstheme="minorHAnsi"/>
              </w:rPr>
              <w:t>a</w:t>
            </w:r>
            <w:r w:rsidR="00B52CBB" w:rsidRPr="007948BD">
              <w:rPr>
                <w:rFonts w:ascii="Arial Narrow" w:hAnsi="Arial Narrow" w:cstheme="minorHAnsi"/>
              </w:rPr>
              <w:t xml:space="preserve">re </w:t>
            </w:r>
            <w:r>
              <w:rPr>
                <w:rFonts w:ascii="Arial Narrow" w:hAnsi="Arial Narrow" w:cstheme="minorHAnsi"/>
              </w:rPr>
              <w:t>i</w:t>
            </w:r>
            <w:r w:rsidR="00B52CBB" w:rsidRPr="007948BD">
              <w:rPr>
                <w:rFonts w:ascii="Arial Narrow" w:hAnsi="Arial Narrow" w:cstheme="minorHAnsi"/>
              </w:rPr>
              <w:t xml:space="preserve">nadequately </w:t>
            </w:r>
            <w:r>
              <w:rPr>
                <w:rFonts w:ascii="Arial Narrow" w:hAnsi="Arial Narrow" w:cstheme="minorHAnsi"/>
              </w:rPr>
              <w:t>c</w:t>
            </w:r>
            <w:r w:rsidR="00B52CBB" w:rsidRPr="007948BD">
              <w:rPr>
                <w:rFonts w:ascii="Arial Narrow" w:hAnsi="Arial Narrow" w:cstheme="minorHAnsi"/>
              </w:rPr>
              <w:t xml:space="preserve">ontrolled on </w:t>
            </w:r>
            <w:r>
              <w:rPr>
                <w:rFonts w:ascii="Arial Narrow" w:hAnsi="Arial Narrow" w:cstheme="minorHAnsi"/>
              </w:rPr>
              <w:t>m</w:t>
            </w:r>
            <w:r w:rsidR="00B52CBB" w:rsidRPr="007948BD">
              <w:rPr>
                <w:rFonts w:ascii="Arial Narrow" w:hAnsi="Arial Narrow" w:cstheme="minorHAnsi"/>
              </w:rPr>
              <w:t xml:space="preserve">etformin-IR </w:t>
            </w:r>
            <w:r>
              <w:rPr>
                <w:rFonts w:ascii="Arial Narrow" w:hAnsi="Arial Narrow" w:cstheme="minorHAnsi"/>
              </w:rPr>
              <w:t>m</w:t>
            </w:r>
            <w:r w:rsidR="00B52CBB" w:rsidRPr="007948BD">
              <w:rPr>
                <w:rFonts w:ascii="Arial Narrow" w:hAnsi="Arial Narrow" w:cstheme="minorHAnsi"/>
              </w:rPr>
              <w:t>onotherapy</w:t>
            </w:r>
            <w:r w:rsidR="00B52CBB">
              <w:rPr>
                <w:rFonts w:ascii="Arial Narrow" w:hAnsi="Arial Narrow" w:cstheme="minorHAnsi"/>
              </w:rPr>
              <w:t xml:space="preserve">. </w:t>
            </w:r>
          </w:p>
        </w:tc>
        <w:tc>
          <w:tcPr>
            <w:tcW w:w="994" w:type="pct"/>
          </w:tcPr>
          <w:p w:rsidR="00B52CBB" w:rsidRPr="00BA4779" w:rsidRDefault="00B52CBB" w:rsidP="00D57585">
            <w:pPr>
              <w:jc w:val="left"/>
              <w:rPr>
                <w:rFonts w:ascii="Arial Narrow" w:hAnsi="Arial Narrow" w:cstheme="minorHAnsi"/>
                <w:sz w:val="18"/>
              </w:rPr>
            </w:pPr>
            <w:r w:rsidRPr="00BA4779">
              <w:rPr>
                <w:rFonts w:ascii="Arial Narrow" w:hAnsi="Arial Narrow" w:cstheme="minorHAnsi"/>
                <w:sz w:val="20"/>
              </w:rPr>
              <w:t>NCT01217892</w:t>
            </w:r>
          </w:p>
          <w:p w:rsidR="00B52CBB" w:rsidRDefault="00B52CBB" w:rsidP="00D57585">
            <w:pPr>
              <w:jc w:val="left"/>
              <w:rPr>
                <w:rFonts w:ascii="Arial Narrow" w:hAnsi="Arial Narrow" w:cstheme="minorHAnsi"/>
                <w:sz w:val="20"/>
              </w:rPr>
            </w:pPr>
          </w:p>
          <w:p w:rsidR="00B52CBB" w:rsidRDefault="00B52CBB" w:rsidP="00D57585">
            <w:pPr>
              <w:jc w:val="left"/>
              <w:rPr>
                <w:rFonts w:ascii="Arial Narrow" w:hAnsi="Arial Narrow" w:cstheme="minorHAnsi"/>
                <w:sz w:val="20"/>
              </w:rPr>
            </w:pPr>
          </w:p>
          <w:p w:rsidR="00B52CBB" w:rsidRPr="004E2ADC" w:rsidRDefault="00B52CBB" w:rsidP="00D57585">
            <w:pPr>
              <w:jc w:val="left"/>
              <w:rPr>
                <w:rFonts w:ascii="Arial Narrow" w:hAnsi="Arial Narrow"/>
                <w:sz w:val="20"/>
              </w:rPr>
            </w:pPr>
          </w:p>
        </w:tc>
      </w:tr>
      <w:tr w:rsidR="00B52CBB" w:rsidRPr="004E2ADC" w:rsidTr="001F53DA">
        <w:tc>
          <w:tcPr>
            <w:tcW w:w="866" w:type="pct"/>
            <w:vMerge/>
          </w:tcPr>
          <w:p w:rsidR="00B52CBB" w:rsidRPr="002D1A0F" w:rsidRDefault="00B52CBB" w:rsidP="00D57585">
            <w:pPr>
              <w:jc w:val="left"/>
              <w:rPr>
                <w:rFonts w:ascii="Arial Narrow" w:hAnsi="Arial Narrow" w:cstheme="minorHAnsi"/>
                <w:bCs/>
              </w:rPr>
            </w:pPr>
          </w:p>
        </w:tc>
        <w:tc>
          <w:tcPr>
            <w:tcW w:w="3140" w:type="pct"/>
            <w:vAlign w:val="center"/>
          </w:tcPr>
          <w:p w:rsidR="00B52CBB" w:rsidRPr="007948BD" w:rsidRDefault="00B52CBB" w:rsidP="00D57585">
            <w:pPr>
              <w:jc w:val="left"/>
              <w:rPr>
                <w:rFonts w:ascii="Arial Narrow" w:hAnsi="Arial Narrow" w:cstheme="minorHAnsi"/>
              </w:rPr>
            </w:pPr>
            <w:r w:rsidRPr="009E3A17">
              <w:rPr>
                <w:rFonts w:ascii="Arial Narrow" w:hAnsi="Arial Narrow" w:cstheme="minorHAnsi"/>
                <w:sz w:val="20"/>
                <w:u w:val="single"/>
              </w:rPr>
              <w:t>Schumm-Draeger</w:t>
            </w:r>
            <w:r w:rsidRPr="009E3A17">
              <w:rPr>
                <w:rFonts w:ascii="Arial Narrow" w:hAnsi="Arial Narrow" w:cstheme="minorHAnsi"/>
                <w:sz w:val="20"/>
              </w:rPr>
              <w:t xml:space="preserve"> PM, Burgess L, Koranyi L, Hruba V, Hamer-Maansson JE, de Bruin TW. Twice-daily dapagliflozin co-administered with metformin in </w:t>
            </w:r>
            <w:r w:rsidR="005874B5">
              <w:rPr>
                <w:rFonts w:ascii="Arial Narrow" w:hAnsi="Arial Narrow" w:cstheme="minorHAnsi"/>
                <w:sz w:val="20"/>
              </w:rPr>
              <w:t>Type</w:t>
            </w:r>
            <w:r w:rsidRPr="009E3A17">
              <w:rPr>
                <w:rFonts w:ascii="Arial Narrow" w:hAnsi="Arial Narrow" w:cstheme="minorHAnsi"/>
                <w:sz w:val="20"/>
              </w:rPr>
              <w:t xml:space="preserve"> 2 diabetes: a 16-week randomized, placebo-controlled clinical trial. </w:t>
            </w:r>
          </w:p>
        </w:tc>
        <w:tc>
          <w:tcPr>
            <w:tcW w:w="994" w:type="pct"/>
          </w:tcPr>
          <w:p w:rsidR="00B52CBB" w:rsidRPr="00BA4779" w:rsidRDefault="00B52CBB" w:rsidP="00D57585">
            <w:pPr>
              <w:jc w:val="left"/>
              <w:rPr>
                <w:rFonts w:ascii="Arial Narrow" w:hAnsi="Arial Narrow" w:cstheme="minorHAnsi"/>
                <w:sz w:val="20"/>
              </w:rPr>
            </w:pPr>
            <w:r w:rsidRPr="00BA4779">
              <w:rPr>
                <w:rFonts w:ascii="Arial Narrow" w:hAnsi="Arial Narrow" w:cstheme="minorHAnsi"/>
                <w:sz w:val="20"/>
              </w:rPr>
              <w:t>Diabetes, Obesity &amp; Metabolism 2015;17:42-51.</w:t>
            </w:r>
          </w:p>
        </w:tc>
      </w:tr>
      <w:tr w:rsidR="00B52CBB" w:rsidRPr="004E2ADC" w:rsidTr="001F53DA">
        <w:tc>
          <w:tcPr>
            <w:tcW w:w="866" w:type="pct"/>
            <w:vMerge w:val="restart"/>
          </w:tcPr>
          <w:p w:rsidR="00B52CBB" w:rsidRPr="009E3A17" w:rsidRDefault="00B52CBB" w:rsidP="00D57585">
            <w:pPr>
              <w:pStyle w:val="TableText1"/>
              <w:widowControl w:val="0"/>
              <w:spacing w:before="0" w:after="0"/>
              <w:rPr>
                <w:rFonts w:ascii="Arial Narrow" w:hAnsi="Arial Narrow" w:cstheme="minorHAnsi"/>
              </w:rPr>
            </w:pPr>
            <w:r w:rsidRPr="00CE77F6">
              <w:rPr>
                <w:rFonts w:ascii="Arial Narrow" w:hAnsi="Arial Narrow" w:cstheme="minorHAnsi"/>
              </w:rPr>
              <w:t>Yang 2014</w:t>
            </w:r>
          </w:p>
          <w:p w:rsidR="00B52CBB" w:rsidRPr="009E3A17" w:rsidRDefault="00B52CBB" w:rsidP="00D57585">
            <w:pPr>
              <w:jc w:val="left"/>
              <w:rPr>
                <w:rFonts w:ascii="Arial Narrow" w:hAnsi="Arial Narrow"/>
                <w:sz w:val="20"/>
              </w:rPr>
            </w:pPr>
          </w:p>
        </w:tc>
        <w:tc>
          <w:tcPr>
            <w:tcW w:w="3140" w:type="pct"/>
          </w:tcPr>
          <w:p w:rsidR="00B52CBB" w:rsidRPr="007948BD" w:rsidRDefault="005874B5" w:rsidP="005874B5">
            <w:pPr>
              <w:pStyle w:val="TableText1"/>
              <w:widowControl w:val="0"/>
              <w:spacing w:before="0" w:after="0"/>
              <w:rPr>
                <w:rFonts w:ascii="Arial Narrow" w:hAnsi="Arial Narrow" w:cstheme="minorHAnsi"/>
                <w:u w:val="single"/>
              </w:rPr>
            </w:pPr>
            <w:r>
              <w:rPr>
                <w:rFonts w:ascii="Arial Narrow" w:hAnsi="Arial Narrow" w:cstheme="minorHAnsi"/>
              </w:rPr>
              <w:t>A m</w:t>
            </w:r>
            <w:r w:rsidR="00B52CBB" w:rsidRPr="007948BD">
              <w:rPr>
                <w:rFonts w:ascii="Arial Narrow" w:hAnsi="Arial Narrow" w:cstheme="minorHAnsi"/>
              </w:rPr>
              <w:t xml:space="preserve">ulticenter, </w:t>
            </w:r>
            <w:r>
              <w:rPr>
                <w:rFonts w:ascii="Arial Narrow" w:hAnsi="Arial Narrow" w:cstheme="minorHAnsi"/>
              </w:rPr>
              <w:t>r</w:t>
            </w:r>
            <w:r w:rsidR="00B52CBB" w:rsidRPr="007948BD">
              <w:rPr>
                <w:rFonts w:ascii="Arial Narrow" w:hAnsi="Arial Narrow" w:cstheme="minorHAnsi"/>
              </w:rPr>
              <w:t xml:space="preserve">andomized, </w:t>
            </w:r>
            <w:r>
              <w:rPr>
                <w:rFonts w:ascii="Arial Narrow" w:hAnsi="Arial Narrow" w:cstheme="minorHAnsi"/>
              </w:rPr>
              <w:t>d</w:t>
            </w:r>
            <w:r w:rsidR="00B52CBB" w:rsidRPr="007948BD">
              <w:rPr>
                <w:rFonts w:ascii="Arial Narrow" w:hAnsi="Arial Narrow" w:cstheme="minorHAnsi"/>
              </w:rPr>
              <w:t>ouble-</w:t>
            </w:r>
            <w:r>
              <w:rPr>
                <w:rFonts w:ascii="Arial Narrow" w:hAnsi="Arial Narrow" w:cstheme="minorHAnsi"/>
              </w:rPr>
              <w:t>b</w:t>
            </w:r>
            <w:r w:rsidR="00B52CBB" w:rsidRPr="007948BD">
              <w:rPr>
                <w:rFonts w:ascii="Arial Narrow" w:hAnsi="Arial Narrow" w:cstheme="minorHAnsi"/>
              </w:rPr>
              <w:t xml:space="preserve">lind, </w:t>
            </w:r>
            <w:r>
              <w:rPr>
                <w:rFonts w:ascii="Arial Narrow" w:hAnsi="Arial Narrow" w:cstheme="minorHAnsi"/>
              </w:rPr>
              <w:t>p</w:t>
            </w:r>
            <w:r w:rsidR="00B52CBB" w:rsidRPr="007948BD">
              <w:rPr>
                <w:rFonts w:ascii="Arial Narrow" w:hAnsi="Arial Narrow" w:cstheme="minorHAnsi"/>
              </w:rPr>
              <w:t>lacebo-</w:t>
            </w:r>
            <w:r>
              <w:rPr>
                <w:rFonts w:ascii="Arial Narrow" w:hAnsi="Arial Narrow" w:cstheme="minorHAnsi"/>
              </w:rPr>
              <w:t>c</w:t>
            </w:r>
            <w:r w:rsidR="00B52CBB" w:rsidRPr="007948BD">
              <w:rPr>
                <w:rFonts w:ascii="Arial Narrow" w:hAnsi="Arial Narrow" w:cstheme="minorHAnsi"/>
              </w:rPr>
              <w:t xml:space="preserve">ontrolled, </w:t>
            </w:r>
            <w:r>
              <w:rPr>
                <w:rFonts w:ascii="Arial Narrow" w:hAnsi="Arial Narrow" w:cstheme="minorHAnsi"/>
              </w:rPr>
              <w:t>p</w:t>
            </w:r>
            <w:r w:rsidR="00B52CBB" w:rsidRPr="007948BD">
              <w:rPr>
                <w:rFonts w:ascii="Arial Narrow" w:hAnsi="Arial Narrow" w:cstheme="minorHAnsi"/>
              </w:rPr>
              <w:t xml:space="preserve">arallel </w:t>
            </w:r>
            <w:r>
              <w:rPr>
                <w:rFonts w:ascii="Arial Narrow" w:hAnsi="Arial Narrow" w:cstheme="minorHAnsi"/>
              </w:rPr>
              <w:t>g</w:t>
            </w:r>
            <w:r w:rsidR="00B52CBB" w:rsidRPr="007948BD">
              <w:rPr>
                <w:rFonts w:ascii="Arial Narrow" w:hAnsi="Arial Narrow" w:cstheme="minorHAnsi"/>
              </w:rPr>
              <w:t xml:space="preserve">roup, </w:t>
            </w:r>
            <w:r>
              <w:rPr>
                <w:rFonts w:ascii="Arial Narrow" w:hAnsi="Arial Narrow" w:cstheme="minorHAnsi"/>
              </w:rPr>
              <w:t>p</w:t>
            </w:r>
            <w:r w:rsidR="00B52CBB" w:rsidRPr="007948BD">
              <w:rPr>
                <w:rFonts w:ascii="Arial Narrow" w:hAnsi="Arial Narrow" w:cstheme="minorHAnsi"/>
              </w:rPr>
              <w:t xml:space="preserve">hase 3 </w:t>
            </w:r>
            <w:r>
              <w:rPr>
                <w:rFonts w:ascii="Arial Narrow" w:hAnsi="Arial Narrow" w:cstheme="minorHAnsi"/>
              </w:rPr>
              <w:t>t</w:t>
            </w:r>
            <w:r w:rsidR="00B52CBB" w:rsidRPr="007948BD">
              <w:rPr>
                <w:rFonts w:ascii="Arial Narrow" w:hAnsi="Arial Narrow" w:cstheme="minorHAnsi"/>
              </w:rPr>
              <w:t xml:space="preserve">rial to </w:t>
            </w:r>
            <w:r>
              <w:rPr>
                <w:rFonts w:ascii="Arial Narrow" w:hAnsi="Arial Narrow" w:cstheme="minorHAnsi"/>
              </w:rPr>
              <w:t>e</w:t>
            </w:r>
            <w:r w:rsidR="00B52CBB" w:rsidRPr="007948BD">
              <w:rPr>
                <w:rFonts w:ascii="Arial Narrow" w:hAnsi="Arial Narrow" w:cstheme="minorHAnsi"/>
              </w:rPr>
              <w:t xml:space="preserve">valuate the </w:t>
            </w:r>
            <w:r>
              <w:rPr>
                <w:rFonts w:ascii="Arial Narrow" w:hAnsi="Arial Narrow" w:cstheme="minorHAnsi"/>
              </w:rPr>
              <w:t>s</w:t>
            </w:r>
            <w:r w:rsidR="00B52CBB" w:rsidRPr="007948BD">
              <w:rPr>
                <w:rFonts w:ascii="Arial Narrow" w:hAnsi="Arial Narrow" w:cstheme="minorHAnsi"/>
              </w:rPr>
              <w:t xml:space="preserve">afety and </w:t>
            </w:r>
            <w:r>
              <w:rPr>
                <w:rFonts w:ascii="Arial Narrow" w:hAnsi="Arial Narrow" w:cstheme="minorHAnsi"/>
              </w:rPr>
              <w:t>e</w:t>
            </w:r>
            <w:r w:rsidR="00B52CBB" w:rsidRPr="007948BD">
              <w:rPr>
                <w:rFonts w:ascii="Arial Narrow" w:hAnsi="Arial Narrow" w:cstheme="minorHAnsi"/>
              </w:rPr>
              <w:t xml:space="preserve">fficacy of </w:t>
            </w:r>
            <w:r>
              <w:rPr>
                <w:rFonts w:ascii="Arial Narrow" w:hAnsi="Arial Narrow" w:cstheme="minorHAnsi"/>
              </w:rPr>
              <w:t>d</w:t>
            </w:r>
            <w:r w:rsidR="00B52CBB" w:rsidRPr="007948BD">
              <w:rPr>
                <w:rFonts w:ascii="Arial Narrow" w:hAnsi="Arial Narrow" w:cstheme="minorHAnsi"/>
              </w:rPr>
              <w:t xml:space="preserve">apagliflozin in </w:t>
            </w:r>
            <w:r>
              <w:rPr>
                <w:rFonts w:ascii="Arial Narrow" w:hAnsi="Arial Narrow" w:cstheme="minorHAnsi"/>
              </w:rPr>
              <w:t>c</w:t>
            </w:r>
            <w:r w:rsidR="00B52CBB" w:rsidRPr="007948BD">
              <w:rPr>
                <w:rFonts w:ascii="Arial Narrow" w:hAnsi="Arial Narrow" w:cstheme="minorHAnsi"/>
              </w:rPr>
              <w:t xml:space="preserve">ombination </w:t>
            </w:r>
            <w:r>
              <w:rPr>
                <w:rFonts w:ascii="Arial Narrow" w:hAnsi="Arial Narrow" w:cstheme="minorHAnsi"/>
              </w:rPr>
              <w:t>w</w:t>
            </w:r>
            <w:r w:rsidR="00B52CBB" w:rsidRPr="007948BD">
              <w:rPr>
                <w:rFonts w:ascii="Arial Narrow" w:hAnsi="Arial Narrow" w:cstheme="minorHAnsi"/>
              </w:rPr>
              <w:t xml:space="preserve">ith </w:t>
            </w:r>
            <w:r>
              <w:rPr>
                <w:rFonts w:ascii="Arial Narrow" w:hAnsi="Arial Narrow" w:cstheme="minorHAnsi"/>
              </w:rPr>
              <w:t>m</w:t>
            </w:r>
            <w:r w:rsidR="00B52CBB" w:rsidRPr="007948BD">
              <w:rPr>
                <w:rFonts w:ascii="Arial Narrow" w:hAnsi="Arial Narrow" w:cstheme="minorHAnsi"/>
              </w:rPr>
              <w:t xml:space="preserve">etformin in </w:t>
            </w:r>
            <w:r>
              <w:rPr>
                <w:rFonts w:ascii="Arial Narrow" w:hAnsi="Arial Narrow" w:cstheme="minorHAnsi"/>
              </w:rPr>
              <w:t>A</w:t>
            </w:r>
            <w:r w:rsidR="00B52CBB" w:rsidRPr="007948BD">
              <w:rPr>
                <w:rFonts w:ascii="Arial Narrow" w:hAnsi="Arial Narrow" w:cstheme="minorHAnsi"/>
              </w:rPr>
              <w:t xml:space="preserve">sian </w:t>
            </w:r>
            <w:r>
              <w:rPr>
                <w:rFonts w:ascii="Arial Narrow" w:hAnsi="Arial Narrow" w:cstheme="minorHAnsi"/>
              </w:rPr>
              <w:t>s</w:t>
            </w:r>
            <w:r w:rsidR="00B52CBB" w:rsidRPr="007948BD">
              <w:rPr>
                <w:rFonts w:ascii="Arial Narrow" w:hAnsi="Arial Narrow" w:cstheme="minorHAnsi"/>
              </w:rPr>
              <w:t xml:space="preserve">ubjects </w:t>
            </w:r>
            <w:r>
              <w:rPr>
                <w:rFonts w:ascii="Arial Narrow" w:hAnsi="Arial Narrow" w:cstheme="minorHAnsi"/>
              </w:rPr>
              <w:t>w</w:t>
            </w:r>
            <w:r w:rsidR="00B52CBB" w:rsidRPr="007948BD">
              <w:rPr>
                <w:rFonts w:ascii="Arial Narrow" w:hAnsi="Arial Narrow" w:cstheme="minorHAnsi"/>
              </w:rPr>
              <w:t xml:space="preserve">ith </w:t>
            </w:r>
            <w:r>
              <w:rPr>
                <w:rFonts w:ascii="Arial Narrow" w:hAnsi="Arial Narrow" w:cstheme="minorHAnsi"/>
              </w:rPr>
              <w:t>Type</w:t>
            </w:r>
            <w:r w:rsidR="00B52CBB" w:rsidRPr="007948BD">
              <w:rPr>
                <w:rFonts w:ascii="Arial Narrow" w:hAnsi="Arial Narrow" w:cstheme="minorHAnsi"/>
              </w:rPr>
              <w:t xml:space="preserve"> 2 </w:t>
            </w:r>
            <w:r>
              <w:rPr>
                <w:rFonts w:ascii="Arial Narrow" w:hAnsi="Arial Narrow" w:cstheme="minorHAnsi"/>
              </w:rPr>
              <w:t>d</w:t>
            </w:r>
            <w:r w:rsidR="00B52CBB" w:rsidRPr="007948BD">
              <w:rPr>
                <w:rFonts w:ascii="Arial Narrow" w:hAnsi="Arial Narrow" w:cstheme="minorHAnsi"/>
              </w:rPr>
              <w:t xml:space="preserve">iabetes </w:t>
            </w:r>
            <w:r>
              <w:rPr>
                <w:rFonts w:ascii="Arial Narrow" w:hAnsi="Arial Narrow" w:cstheme="minorHAnsi"/>
              </w:rPr>
              <w:t>w</w:t>
            </w:r>
            <w:r w:rsidR="00B52CBB" w:rsidRPr="007948BD">
              <w:rPr>
                <w:rFonts w:ascii="Arial Narrow" w:hAnsi="Arial Narrow" w:cstheme="minorHAnsi"/>
              </w:rPr>
              <w:t xml:space="preserve">ho </w:t>
            </w:r>
            <w:r>
              <w:rPr>
                <w:rFonts w:ascii="Arial Narrow" w:hAnsi="Arial Narrow" w:cstheme="minorHAnsi"/>
              </w:rPr>
              <w:t>h</w:t>
            </w:r>
            <w:r w:rsidR="00B52CBB" w:rsidRPr="007948BD">
              <w:rPr>
                <w:rFonts w:ascii="Arial Narrow" w:hAnsi="Arial Narrow" w:cstheme="minorHAnsi"/>
              </w:rPr>
              <w:t xml:space="preserve">ave </w:t>
            </w:r>
            <w:r>
              <w:rPr>
                <w:rFonts w:ascii="Arial Narrow" w:hAnsi="Arial Narrow" w:cstheme="minorHAnsi"/>
              </w:rPr>
              <w:t>i</w:t>
            </w:r>
            <w:r w:rsidR="00B52CBB" w:rsidRPr="007948BD">
              <w:rPr>
                <w:rFonts w:ascii="Arial Narrow" w:hAnsi="Arial Narrow" w:cstheme="minorHAnsi"/>
              </w:rPr>
              <w:t xml:space="preserve">nadequate </w:t>
            </w:r>
            <w:r>
              <w:rPr>
                <w:rFonts w:ascii="Arial Narrow" w:hAnsi="Arial Narrow" w:cstheme="minorHAnsi"/>
              </w:rPr>
              <w:t>g</w:t>
            </w:r>
            <w:r w:rsidR="00B52CBB" w:rsidRPr="007948BD">
              <w:rPr>
                <w:rFonts w:ascii="Arial Narrow" w:hAnsi="Arial Narrow" w:cstheme="minorHAnsi"/>
              </w:rPr>
              <w:t xml:space="preserve">lycemic </w:t>
            </w:r>
            <w:r>
              <w:rPr>
                <w:rFonts w:ascii="Arial Narrow" w:hAnsi="Arial Narrow" w:cstheme="minorHAnsi"/>
              </w:rPr>
              <w:t>c</w:t>
            </w:r>
            <w:r w:rsidR="00B52CBB" w:rsidRPr="007948BD">
              <w:rPr>
                <w:rFonts w:ascii="Arial Narrow" w:hAnsi="Arial Narrow" w:cstheme="minorHAnsi"/>
              </w:rPr>
              <w:t xml:space="preserve">ontrol </w:t>
            </w:r>
            <w:r>
              <w:rPr>
                <w:rFonts w:ascii="Arial Narrow" w:hAnsi="Arial Narrow" w:cstheme="minorHAnsi"/>
              </w:rPr>
              <w:t>on</w:t>
            </w:r>
            <w:r w:rsidR="00B52CBB" w:rsidRPr="007948BD">
              <w:rPr>
                <w:rFonts w:ascii="Arial Narrow" w:hAnsi="Arial Narrow" w:cstheme="minorHAnsi"/>
              </w:rPr>
              <w:t xml:space="preserve"> </w:t>
            </w:r>
            <w:r>
              <w:rPr>
                <w:rFonts w:ascii="Arial Narrow" w:hAnsi="Arial Narrow" w:cstheme="minorHAnsi"/>
              </w:rPr>
              <w:t>m</w:t>
            </w:r>
            <w:r w:rsidR="00B52CBB" w:rsidRPr="007948BD">
              <w:rPr>
                <w:rFonts w:ascii="Arial Narrow" w:hAnsi="Arial Narrow" w:cstheme="minorHAnsi"/>
              </w:rPr>
              <w:t xml:space="preserve">etformin </w:t>
            </w:r>
            <w:r>
              <w:rPr>
                <w:rFonts w:ascii="Arial Narrow" w:hAnsi="Arial Narrow" w:cstheme="minorHAnsi"/>
              </w:rPr>
              <w:t>a</w:t>
            </w:r>
            <w:r w:rsidR="00B52CBB" w:rsidRPr="007948BD">
              <w:rPr>
                <w:rFonts w:ascii="Arial Narrow" w:hAnsi="Arial Narrow" w:cstheme="minorHAnsi"/>
              </w:rPr>
              <w:t>lone</w:t>
            </w:r>
            <w:r w:rsidR="00B52CBB">
              <w:rPr>
                <w:rFonts w:ascii="Arial Narrow" w:hAnsi="Arial Narrow" w:cstheme="minorHAnsi"/>
              </w:rPr>
              <w:t xml:space="preserve">. </w:t>
            </w:r>
          </w:p>
        </w:tc>
        <w:tc>
          <w:tcPr>
            <w:tcW w:w="994" w:type="pct"/>
          </w:tcPr>
          <w:p w:rsidR="00B52CBB" w:rsidRDefault="00B52CBB" w:rsidP="00D57585">
            <w:pPr>
              <w:pStyle w:val="COMtbl-textLeftAligned"/>
            </w:pPr>
            <w:r w:rsidRPr="009E3A17">
              <w:rPr>
                <w:rFonts w:cstheme="minorHAnsi"/>
              </w:rPr>
              <w:t>NCT01095666</w:t>
            </w:r>
          </w:p>
          <w:p w:rsidR="00B52CBB" w:rsidRDefault="00B52CBB" w:rsidP="00D57585">
            <w:pPr>
              <w:pStyle w:val="COMtbl-textLeftAligned"/>
            </w:pPr>
          </w:p>
          <w:p w:rsidR="00B52CBB" w:rsidRDefault="00B52CBB" w:rsidP="00D57585">
            <w:pPr>
              <w:pStyle w:val="COMtbl-textLeftAligned"/>
            </w:pPr>
          </w:p>
          <w:p w:rsidR="00B52CBB" w:rsidRPr="004E2ADC" w:rsidRDefault="00B52CBB" w:rsidP="00D57585">
            <w:pPr>
              <w:pStyle w:val="COMtbl-textLeftAligned"/>
            </w:pPr>
          </w:p>
        </w:tc>
      </w:tr>
      <w:tr w:rsidR="00B52CBB" w:rsidRPr="004E2ADC" w:rsidTr="001F53DA">
        <w:tc>
          <w:tcPr>
            <w:tcW w:w="866" w:type="pct"/>
            <w:vMerge/>
          </w:tcPr>
          <w:p w:rsidR="00B52CBB" w:rsidRPr="00CE77F6" w:rsidRDefault="00B52CBB" w:rsidP="00D57585">
            <w:pPr>
              <w:pStyle w:val="TableText1"/>
              <w:widowControl w:val="0"/>
              <w:spacing w:before="0" w:after="0"/>
              <w:rPr>
                <w:rFonts w:ascii="Arial Narrow" w:hAnsi="Arial Narrow" w:cstheme="minorHAnsi"/>
              </w:rPr>
            </w:pPr>
          </w:p>
        </w:tc>
        <w:tc>
          <w:tcPr>
            <w:tcW w:w="3140" w:type="pct"/>
          </w:tcPr>
          <w:p w:rsidR="00B52CBB" w:rsidRDefault="00B52CBB" w:rsidP="00D57585">
            <w:pPr>
              <w:pStyle w:val="COMtbl-textLeftAligned"/>
            </w:pPr>
            <w:r w:rsidRPr="009E233E">
              <w:t>Yang</w:t>
            </w:r>
            <w:r w:rsidRPr="001722D6">
              <w:t xml:space="preserve"> W, Han P, Liu B et al. Dapagli</w:t>
            </w:r>
            <w:r>
              <w:t>flozin (DAPA) reduces HbA1c in A</w:t>
            </w:r>
            <w:r w:rsidRPr="001722D6">
              <w:t xml:space="preserve">sian patients with T2DM after metformin (MET) failure. </w:t>
            </w:r>
            <w:r>
              <w:t>(Abstract only)</w:t>
            </w:r>
          </w:p>
          <w:p w:rsidR="00B52CBB" w:rsidRPr="007948BD" w:rsidRDefault="00B52CBB" w:rsidP="00D57585">
            <w:pPr>
              <w:pStyle w:val="TableText1"/>
              <w:widowControl w:val="0"/>
              <w:spacing w:before="0" w:after="0"/>
              <w:rPr>
                <w:rFonts w:ascii="Arial Narrow" w:hAnsi="Arial Narrow" w:cstheme="minorHAnsi"/>
              </w:rPr>
            </w:pPr>
          </w:p>
        </w:tc>
        <w:tc>
          <w:tcPr>
            <w:tcW w:w="994" w:type="pct"/>
          </w:tcPr>
          <w:p w:rsidR="00B52CBB" w:rsidRDefault="00B52CBB" w:rsidP="0090362B">
            <w:pPr>
              <w:pStyle w:val="COMtbl-textLeftAligned"/>
            </w:pPr>
            <w:r w:rsidRPr="001722D6">
              <w:t xml:space="preserve">American Diabetes Association Conference Publication: </w:t>
            </w:r>
            <w:r w:rsidRPr="009E233E">
              <w:t>2014</w:t>
            </w:r>
            <w:r w:rsidRPr="001722D6">
              <w:t>;</w:t>
            </w:r>
            <w:r w:rsidR="0090362B">
              <w:t xml:space="preserve"> </w:t>
            </w:r>
            <w:r w:rsidRPr="001722D6">
              <w:t>63:June.</w:t>
            </w:r>
          </w:p>
        </w:tc>
      </w:tr>
      <w:tr w:rsidR="00B52CBB" w:rsidRPr="004E2ADC" w:rsidTr="001F53DA">
        <w:tc>
          <w:tcPr>
            <w:tcW w:w="5000" w:type="pct"/>
            <w:gridSpan w:val="3"/>
          </w:tcPr>
          <w:p w:rsidR="00B52CBB" w:rsidRPr="00F470D9" w:rsidRDefault="00B52CBB" w:rsidP="00D57585">
            <w:pPr>
              <w:jc w:val="left"/>
              <w:rPr>
                <w:rFonts w:ascii="Arial Narrow" w:hAnsi="Arial Narrow"/>
                <w:sz w:val="20"/>
              </w:rPr>
            </w:pPr>
            <w:r w:rsidRPr="00F470D9">
              <w:rPr>
                <w:rFonts w:ascii="Arial Narrow" w:hAnsi="Arial Narrow"/>
                <w:sz w:val="20"/>
              </w:rPr>
              <w:t>Empagliflozin + metformin vs sulfonylurea + metformin</w:t>
            </w:r>
          </w:p>
        </w:tc>
      </w:tr>
      <w:tr w:rsidR="00B52CBB" w:rsidRPr="004E2ADC" w:rsidTr="001F53DA">
        <w:tc>
          <w:tcPr>
            <w:tcW w:w="866" w:type="pct"/>
            <w:vMerge w:val="restart"/>
          </w:tcPr>
          <w:p w:rsidR="00B52CBB" w:rsidRPr="009E3A17" w:rsidRDefault="00B52CBB" w:rsidP="00D57585">
            <w:pPr>
              <w:pStyle w:val="TableText1"/>
              <w:widowControl w:val="0"/>
              <w:spacing w:before="0" w:after="0"/>
              <w:rPr>
                <w:rFonts w:ascii="Arial Narrow" w:hAnsi="Arial Narrow" w:cstheme="minorHAnsi"/>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cstheme="minorHAnsi"/>
              </w:rPr>
              <w:t>1245.28</w:t>
            </w:r>
          </w:p>
          <w:p w:rsidR="00B52CBB" w:rsidRPr="009E3A17" w:rsidRDefault="00B52CBB" w:rsidP="00D57585">
            <w:pPr>
              <w:ind w:firstLine="720"/>
              <w:rPr>
                <w:rFonts w:ascii="Arial Narrow" w:hAnsi="Arial Narrow"/>
                <w:sz w:val="20"/>
              </w:rPr>
            </w:pPr>
          </w:p>
        </w:tc>
        <w:tc>
          <w:tcPr>
            <w:tcW w:w="3140" w:type="pct"/>
          </w:tcPr>
          <w:p w:rsidR="00B52CBB" w:rsidRPr="000B124E" w:rsidRDefault="00B52CBB" w:rsidP="00D57585">
            <w:pPr>
              <w:pStyle w:val="TableText1"/>
              <w:widowControl w:val="0"/>
              <w:spacing w:before="0" w:after="0"/>
              <w:rPr>
                <w:rFonts w:ascii="Arial Narrow" w:hAnsi="Arial Narrow" w:cstheme="minorHAnsi"/>
                <w:b/>
                <w:bCs/>
                <w:u w:val="single"/>
              </w:rPr>
            </w:pPr>
            <w:r w:rsidRPr="009E3A17">
              <w:rPr>
                <w:rFonts w:ascii="Arial Narrow" w:hAnsi="Arial Narrow" w:cstheme="minorHAnsi"/>
              </w:rPr>
              <w:t xml:space="preserve">A phase III randomised, double-blind, active-controlled parallel group efficacy and safety study of BI 10773 compared to glimepiride administered orally during 104 weeks with a 104-week extension period in patients with </w:t>
            </w:r>
            <w:r w:rsidR="005874B5">
              <w:rPr>
                <w:rFonts w:ascii="Arial Narrow" w:hAnsi="Arial Narrow" w:cstheme="minorHAnsi"/>
              </w:rPr>
              <w:t>Type</w:t>
            </w:r>
            <w:r w:rsidRPr="009E3A17">
              <w:rPr>
                <w:rFonts w:ascii="Arial Narrow" w:hAnsi="Arial Narrow" w:cstheme="minorHAnsi"/>
              </w:rPr>
              <w:t xml:space="preserve"> 2 diabetes mellitus and insufficient glycaemic control despite metformin treatment</w:t>
            </w:r>
            <w:r>
              <w:rPr>
                <w:rFonts w:ascii="Arial Narrow" w:hAnsi="Arial Narrow" w:cstheme="minorHAnsi"/>
              </w:rPr>
              <w:t>. N</w:t>
            </w:r>
            <w:r w:rsidRPr="009E3A17">
              <w:rPr>
                <w:rFonts w:ascii="Arial Narrow" w:hAnsi="Arial Narrow" w:cstheme="minorHAnsi"/>
              </w:rPr>
              <w:t>CT01167881</w:t>
            </w:r>
          </w:p>
        </w:tc>
        <w:tc>
          <w:tcPr>
            <w:tcW w:w="994" w:type="pct"/>
          </w:tcPr>
          <w:p w:rsidR="00B52CBB" w:rsidRDefault="00B52CBB" w:rsidP="00D57585">
            <w:pPr>
              <w:jc w:val="left"/>
              <w:rPr>
                <w:rFonts w:ascii="Arial Narrow" w:hAnsi="Arial Narrow"/>
                <w:sz w:val="20"/>
              </w:rPr>
            </w:pPr>
            <w:r>
              <w:rPr>
                <w:rFonts w:ascii="Arial Narrow" w:hAnsi="Arial Narrow"/>
                <w:sz w:val="20"/>
              </w:rPr>
              <w:t xml:space="preserve">Internal study report (final) </w:t>
            </w:r>
          </w:p>
          <w:p w:rsidR="00B52CBB" w:rsidRPr="00F47233" w:rsidRDefault="00B52CBB" w:rsidP="00D57585">
            <w:pPr>
              <w:jc w:val="left"/>
              <w:rPr>
                <w:rFonts w:ascii="Arial Narrow" w:hAnsi="Arial Narrow"/>
                <w:sz w:val="20"/>
              </w:rPr>
            </w:pPr>
            <w:r>
              <w:rPr>
                <w:rFonts w:ascii="Arial Narrow" w:hAnsi="Arial Narrow"/>
                <w:sz w:val="20"/>
              </w:rPr>
              <w:t xml:space="preserve">February 2013 </w:t>
            </w:r>
          </w:p>
        </w:tc>
      </w:tr>
      <w:tr w:rsidR="00B52CBB" w:rsidRPr="004E2ADC"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HeaderRow"/>
              <w:keepLines/>
              <w:widowControl w:val="0"/>
              <w:spacing w:before="0" w:after="0"/>
              <w:jc w:val="left"/>
              <w:rPr>
                <w:rFonts w:ascii="Arial Narrow" w:hAnsi="Arial Narrow" w:cstheme="minorHAnsi"/>
              </w:rPr>
            </w:pPr>
            <w:r w:rsidRPr="009E3A17">
              <w:rPr>
                <w:rFonts w:ascii="Arial Narrow" w:hAnsi="Arial Narrow" w:cstheme="minorHAnsi"/>
                <w:b w:val="0"/>
                <w:bCs/>
                <w:szCs w:val="20"/>
              </w:rPr>
              <w:t xml:space="preserve">A phase III randomised, double-blind, active-controlled parallel group efficacy and safety study of BI 10773 compared to glimepiride administered orally during 104 weeks with a 104-week extension period in patients with </w:t>
            </w:r>
            <w:r w:rsidR="005874B5">
              <w:rPr>
                <w:rFonts w:ascii="Arial Narrow" w:hAnsi="Arial Narrow" w:cstheme="minorHAnsi"/>
                <w:b w:val="0"/>
                <w:bCs/>
                <w:szCs w:val="20"/>
              </w:rPr>
              <w:t>Type</w:t>
            </w:r>
            <w:r w:rsidRPr="009E3A17">
              <w:rPr>
                <w:rFonts w:ascii="Arial Narrow" w:hAnsi="Arial Narrow" w:cstheme="minorHAnsi"/>
                <w:b w:val="0"/>
                <w:bCs/>
                <w:szCs w:val="20"/>
              </w:rPr>
              <w:t xml:space="preserve"> 2 diabetes mellitus and insufficient glycaemic control despite metformin treatment</w:t>
            </w:r>
            <w:r>
              <w:rPr>
                <w:rFonts w:ascii="Arial Narrow" w:hAnsi="Arial Narrow"/>
                <w:b w:val="0"/>
                <w:bCs/>
                <w:szCs w:val="20"/>
              </w:rPr>
              <w:t>.</w:t>
            </w:r>
          </w:p>
        </w:tc>
        <w:tc>
          <w:tcPr>
            <w:tcW w:w="994" w:type="pct"/>
          </w:tcPr>
          <w:p w:rsidR="00B52CBB" w:rsidRDefault="00B52CBB" w:rsidP="00D57585">
            <w:pPr>
              <w:jc w:val="left"/>
              <w:rPr>
                <w:rFonts w:ascii="Arial Narrow" w:hAnsi="Arial Narrow"/>
                <w:sz w:val="20"/>
              </w:rPr>
            </w:pPr>
            <w:r>
              <w:rPr>
                <w:rFonts w:ascii="Arial Narrow" w:hAnsi="Arial Narrow"/>
                <w:sz w:val="20"/>
              </w:rPr>
              <w:t>Internal study report (interim)</w:t>
            </w:r>
          </w:p>
          <w:p w:rsidR="00B52CBB" w:rsidRDefault="00B52CBB" w:rsidP="00D57585">
            <w:pPr>
              <w:jc w:val="left"/>
              <w:rPr>
                <w:rFonts w:ascii="Arial Narrow" w:hAnsi="Arial Narrow"/>
                <w:sz w:val="20"/>
              </w:rPr>
            </w:pPr>
            <w:r>
              <w:rPr>
                <w:rFonts w:ascii="Arial Narrow" w:hAnsi="Arial Narrow"/>
                <w:sz w:val="20"/>
              </w:rPr>
              <w:t>January 2013</w:t>
            </w:r>
          </w:p>
          <w:p w:rsidR="00B52CBB" w:rsidRDefault="00B52CBB" w:rsidP="00D57585">
            <w:pPr>
              <w:jc w:val="left"/>
              <w:rPr>
                <w:rFonts w:ascii="Arial Narrow" w:hAnsi="Arial Narrow"/>
                <w:sz w:val="20"/>
              </w:rPr>
            </w:pPr>
          </w:p>
        </w:tc>
      </w:tr>
      <w:tr w:rsidR="00B52CBB" w:rsidRPr="004E2ADC"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HeaderRow"/>
              <w:keepLines/>
              <w:widowControl w:val="0"/>
              <w:spacing w:before="0" w:after="0"/>
              <w:jc w:val="left"/>
              <w:rPr>
                <w:rFonts w:ascii="Arial Narrow" w:hAnsi="Arial Narrow" w:cstheme="minorHAnsi"/>
                <w:b w:val="0"/>
                <w:bCs/>
                <w:szCs w:val="20"/>
              </w:rPr>
            </w:pPr>
            <w:r w:rsidRPr="009E3A17">
              <w:rPr>
                <w:rFonts w:ascii="Arial Narrow" w:hAnsi="Arial Narrow" w:cstheme="minorHAnsi"/>
                <w:b w:val="0"/>
                <w:bCs/>
                <w:szCs w:val="20"/>
              </w:rPr>
              <w:t xml:space="preserve">Ridderstrale M, Svaerd R, Zeller C et al. Rationale, design and baseline characteristics of a 4-year (208-week) phase III trial of empagliflozin, an SGLT2 inhibitor, versus glimepiride as add-on to metformin in patients with </w:t>
            </w:r>
            <w:r w:rsidR="005874B5">
              <w:rPr>
                <w:rFonts w:ascii="Arial Narrow" w:hAnsi="Arial Narrow" w:cstheme="minorHAnsi"/>
                <w:b w:val="0"/>
                <w:bCs/>
                <w:szCs w:val="20"/>
              </w:rPr>
              <w:t>Type</w:t>
            </w:r>
            <w:r w:rsidRPr="009E3A17">
              <w:rPr>
                <w:rFonts w:ascii="Arial Narrow" w:hAnsi="Arial Narrow" w:cstheme="minorHAnsi"/>
                <w:b w:val="0"/>
                <w:bCs/>
                <w:szCs w:val="20"/>
              </w:rPr>
              <w:t xml:space="preserve"> 2 diabetes mellitus with insufficient glycemic control. </w:t>
            </w:r>
          </w:p>
        </w:tc>
        <w:tc>
          <w:tcPr>
            <w:tcW w:w="994" w:type="pct"/>
          </w:tcPr>
          <w:p w:rsidR="00B52CBB" w:rsidRPr="00BA4779" w:rsidRDefault="00B52CBB" w:rsidP="00D57585">
            <w:pPr>
              <w:jc w:val="left"/>
              <w:rPr>
                <w:rFonts w:ascii="Arial Narrow" w:hAnsi="Arial Narrow"/>
                <w:sz w:val="20"/>
              </w:rPr>
            </w:pPr>
            <w:r w:rsidRPr="00BA4779">
              <w:rPr>
                <w:rFonts w:ascii="Arial Narrow" w:hAnsi="Arial Narrow" w:cstheme="minorHAnsi"/>
                <w:bCs/>
                <w:sz w:val="20"/>
              </w:rPr>
              <w:t>Cardiovascular Diabetology 2013;12:129.</w:t>
            </w:r>
          </w:p>
        </w:tc>
      </w:tr>
      <w:tr w:rsidR="00B52CBB" w:rsidRPr="004E2ADC"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HeaderRow"/>
              <w:keepLines/>
              <w:widowControl w:val="0"/>
              <w:spacing w:before="0" w:after="0"/>
              <w:jc w:val="left"/>
              <w:rPr>
                <w:rFonts w:ascii="Arial Narrow" w:hAnsi="Arial Narrow" w:cstheme="minorHAnsi"/>
                <w:b w:val="0"/>
                <w:bCs/>
                <w:szCs w:val="20"/>
              </w:rPr>
            </w:pPr>
            <w:r w:rsidRPr="009E3A17">
              <w:rPr>
                <w:rFonts w:ascii="Arial Narrow" w:hAnsi="Arial Narrow" w:cstheme="minorHAnsi"/>
                <w:b w:val="0"/>
                <w:bCs/>
                <w:szCs w:val="20"/>
              </w:rPr>
              <w:t xml:space="preserve">Ridderstrale M, Andersen KR, Zeller C et al. Comparison of empagliflozin and glimepiride as add-on to metformin in patients with </w:t>
            </w:r>
            <w:r w:rsidR="005874B5">
              <w:rPr>
                <w:rFonts w:ascii="Arial Narrow" w:hAnsi="Arial Narrow" w:cstheme="minorHAnsi"/>
                <w:b w:val="0"/>
                <w:bCs/>
                <w:szCs w:val="20"/>
              </w:rPr>
              <w:t>Type</w:t>
            </w:r>
            <w:r w:rsidRPr="009E3A17">
              <w:rPr>
                <w:rFonts w:ascii="Arial Narrow" w:hAnsi="Arial Narrow" w:cstheme="minorHAnsi"/>
                <w:b w:val="0"/>
                <w:bCs/>
                <w:szCs w:val="20"/>
              </w:rPr>
              <w:t xml:space="preserve"> 2 diabetes: a 104-week randomised, active-controlled, double-blind, phase 3 trial. </w:t>
            </w:r>
          </w:p>
        </w:tc>
        <w:tc>
          <w:tcPr>
            <w:tcW w:w="994" w:type="pct"/>
          </w:tcPr>
          <w:p w:rsidR="00B52CBB" w:rsidRPr="00BA4779" w:rsidRDefault="00B52CBB" w:rsidP="00D57585">
            <w:pPr>
              <w:jc w:val="left"/>
              <w:rPr>
                <w:rFonts w:ascii="Arial Narrow" w:hAnsi="Arial Narrow" w:cstheme="minorHAnsi"/>
                <w:bCs/>
                <w:sz w:val="20"/>
              </w:rPr>
            </w:pPr>
            <w:r w:rsidRPr="00BA4779">
              <w:rPr>
                <w:rFonts w:ascii="Arial Narrow" w:hAnsi="Arial Narrow" w:cstheme="minorHAnsi"/>
                <w:bCs/>
                <w:sz w:val="20"/>
              </w:rPr>
              <w:t>The Lancet Diabetes &amp; Endocrinology 2014a;2:691-700.</w:t>
            </w:r>
          </w:p>
        </w:tc>
      </w:tr>
      <w:tr w:rsidR="00B52CBB" w:rsidRPr="009E3A17" w:rsidTr="001F53DA">
        <w:tc>
          <w:tcPr>
            <w:tcW w:w="5000" w:type="pct"/>
            <w:gridSpan w:val="3"/>
          </w:tcPr>
          <w:p w:rsidR="00B52CBB" w:rsidRPr="00F470D9" w:rsidRDefault="00B52CBB" w:rsidP="00D57585">
            <w:pPr>
              <w:jc w:val="left"/>
              <w:rPr>
                <w:rFonts w:ascii="Arial Narrow" w:hAnsi="Arial Narrow"/>
                <w:sz w:val="20"/>
              </w:rPr>
            </w:pPr>
            <w:r w:rsidRPr="00F470D9">
              <w:rPr>
                <w:rFonts w:ascii="Arial Narrow" w:hAnsi="Arial Narrow"/>
                <w:sz w:val="20"/>
              </w:rPr>
              <w:t>Dapagliflozin + metformin vs sulfonylurea + metformin</w:t>
            </w:r>
          </w:p>
        </w:tc>
      </w:tr>
      <w:tr w:rsidR="00B52CBB" w:rsidRPr="004E2ADC" w:rsidTr="001F53DA">
        <w:tc>
          <w:tcPr>
            <w:tcW w:w="866" w:type="pct"/>
            <w:vMerge w:val="restart"/>
          </w:tcPr>
          <w:p w:rsidR="00B52CBB" w:rsidRPr="009E3A17" w:rsidRDefault="00B52CBB" w:rsidP="00D57585">
            <w:pPr>
              <w:pStyle w:val="TableText1"/>
              <w:widowControl w:val="0"/>
              <w:spacing w:before="0" w:after="0"/>
              <w:rPr>
                <w:rFonts w:ascii="Arial Narrow" w:hAnsi="Arial Narrow" w:cstheme="minorHAnsi"/>
              </w:rPr>
            </w:pPr>
            <w:r w:rsidRPr="002D1A0F">
              <w:rPr>
                <w:rFonts w:ascii="Arial Narrow" w:hAnsi="Arial Narrow" w:cstheme="minorHAnsi"/>
                <w:bCs/>
              </w:rPr>
              <w:t>Study</w:t>
            </w:r>
            <w:r>
              <w:rPr>
                <w:rFonts w:ascii="Arial Narrow" w:hAnsi="Arial Narrow" w:cstheme="minorHAnsi"/>
                <w:b/>
                <w:bCs/>
              </w:rPr>
              <w:t xml:space="preserve"> </w:t>
            </w:r>
            <w:r w:rsidRPr="009E3A17">
              <w:rPr>
                <w:rFonts w:ascii="Arial Narrow" w:hAnsi="Arial Narrow" w:cstheme="minorHAnsi"/>
              </w:rPr>
              <w:t xml:space="preserve">CT-004 </w:t>
            </w:r>
          </w:p>
          <w:p w:rsidR="00B52CBB" w:rsidRPr="009E3A17" w:rsidRDefault="00B52CBB" w:rsidP="00D57585">
            <w:pPr>
              <w:jc w:val="left"/>
              <w:rPr>
                <w:rFonts w:ascii="Arial Narrow" w:hAnsi="Arial Narrow"/>
                <w:sz w:val="20"/>
              </w:rPr>
            </w:pPr>
          </w:p>
        </w:tc>
        <w:tc>
          <w:tcPr>
            <w:tcW w:w="3140" w:type="pct"/>
          </w:tcPr>
          <w:p w:rsidR="00B52CBB" w:rsidRPr="00F926E8" w:rsidRDefault="005874B5" w:rsidP="005874B5">
            <w:pPr>
              <w:pStyle w:val="TableText1"/>
              <w:widowControl w:val="0"/>
              <w:spacing w:before="0" w:after="0"/>
              <w:rPr>
                <w:rFonts w:ascii="Arial Narrow" w:hAnsi="Arial Narrow" w:cstheme="minorHAnsi"/>
                <w:highlight w:val="yellow"/>
              </w:rPr>
            </w:pPr>
            <w:r>
              <w:rPr>
                <w:rFonts w:ascii="Arial Narrow" w:hAnsi="Arial Narrow" w:cstheme="minorHAnsi"/>
              </w:rPr>
              <w:t>A 52-w</w:t>
            </w:r>
            <w:r w:rsidR="00B52CBB" w:rsidRPr="00FC1832">
              <w:rPr>
                <w:rFonts w:ascii="Arial Narrow" w:hAnsi="Arial Narrow" w:cstheme="minorHAnsi"/>
              </w:rPr>
              <w:t xml:space="preserve">eek </w:t>
            </w:r>
            <w:r>
              <w:rPr>
                <w:rFonts w:ascii="Arial Narrow" w:hAnsi="Arial Narrow" w:cstheme="minorHAnsi"/>
              </w:rPr>
              <w:t>i</w:t>
            </w:r>
            <w:r w:rsidR="00B52CBB" w:rsidRPr="00FC1832">
              <w:rPr>
                <w:rFonts w:ascii="Arial Narrow" w:hAnsi="Arial Narrow" w:cstheme="minorHAnsi"/>
              </w:rPr>
              <w:t xml:space="preserve">nternational, </w:t>
            </w:r>
            <w:r>
              <w:rPr>
                <w:rFonts w:ascii="Arial Narrow" w:hAnsi="Arial Narrow" w:cstheme="minorHAnsi"/>
              </w:rPr>
              <w:t>m</w:t>
            </w:r>
            <w:r w:rsidR="00B52CBB" w:rsidRPr="00FC1832">
              <w:rPr>
                <w:rFonts w:ascii="Arial Narrow" w:hAnsi="Arial Narrow" w:cstheme="minorHAnsi"/>
              </w:rPr>
              <w:t xml:space="preserve">ulti-centre, </w:t>
            </w:r>
            <w:r>
              <w:rPr>
                <w:rFonts w:ascii="Arial Narrow" w:hAnsi="Arial Narrow" w:cstheme="minorHAnsi"/>
              </w:rPr>
              <w:t>r</w:t>
            </w:r>
            <w:r w:rsidR="00B52CBB" w:rsidRPr="00FC1832">
              <w:rPr>
                <w:rFonts w:ascii="Arial Narrow" w:hAnsi="Arial Narrow" w:cstheme="minorHAnsi"/>
              </w:rPr>
              <w:t xml:space="preserve">andomised, </w:t>
            </w:r>
            <w:r>
              <w:rPr>
                <w:rFonts w:ascii="Arial Narrow" w:hAnsi="Arial Narrow" w:cstheme="minorHAnsi"/>
              </w:rPr>
              <w:t>p</w:t>
            </w:r>
            <w:r w:rsidR="00B52CBB" w:rsidRPr="00FC1832">
              <w:rPr>
                <w:rFonts w:ascii="Arial Narrow" w:hAnsi="Arial Narrow" w:cstheme="minorHAnsi"/>
              </w:rPr>
              <w:t xml:space="preserve">arallel-group, </w:t>
            </w:r>
            <w:r>
              <w:rPr>
                <w:rFonts w:ascii="Arial Narrow" w:hAnsi="Arial Narrow" w:cstheme="minorHAnsi"/>
              </w:rPr>
              <w:t>d</w:t>
            </w:r>
            <w:r w:rsidR="00B52CBB" w:rsidRPr="00FC1832">
              <w:rPr>
                <w:rFonts w:ascii="Arial Narrow" w:hAnsi="Arial Narrow" w:cstheme="minorHAnsi"/>
              </w:rPr>
              <w:t xml:space="preserve">ouble-blind, </w:t>
            </w:r>
            <w:r>
              <w:rPr>
                <w:rFonts w:ascii="Arial Narrow" w:hAnsi="Arial Narrow" w:cstheme="minorHAnsi"/>
              </w:rPr>
              <w:t>a</w:t>
            </w:r>
            <w:r w:rsidR="00B52CBB" w:rsidRPr="00FC1832">
              <w:rPr>
                <w:rFonts w:ascii="Arial Narrow" w:hAnsi="Arial Narrow" w:cstheme="minorHAnsi"/>
              </w:rPr>
              <w:t xml:space="preserve">ctive-controlled, </w:t>
            </w:r>
            <w:r>
              <w:rPr>
                <w:rFonts w:ascii="Arial Narrow" w:hAnsi="Arial Narrow" w:cstheme="minorHAnsi"/>
              </w:rPr>
              <w:t>p</w:t>
            </w:r>
            <w:r w:rsidR="00B52CBB" w:rsidRPr="00FC1832">
              <w:rPr>
                <w:rFonts w:ascii="Arial Narrow" w:hAnsi="Arial Narrow" w:cstheme="minorHAnsi"/>
              </w:rPr>
              <w:t xml:space="preserve">hase III </w:t>
            </w:r>
            <w:r>
              <w:rPr>
                <w:rFonts w:ascii="Arial Narrow" w:hAnsi="Arial Narrow" w:cstheme="minorHAnsi"/>
              </w:rPr>
              <w:t>s</w:t>
            </w:r>
            <w:r w:rsidR="00B52CBB" w:rsidRPr="00FC1832">
              <w:rPr>
                <w:rFonts w:ascii="Arial Narrow" w:hAnsi="Arial Narrow" w:cstheme="minorHAnsi"/>
              </w:rPr>
              <w:t xml:space="preserve">tudy </w:t>
            </w:r>
            <w:r>
              <w:rPr>
                <w:rFonts w:ascii="Arial Narrow" w:hAnsi="Arial Narrow" w:cstheme="minorHAnsi"/>
              </w:rPr>
              <w:t>w</w:t>
            </w:r>
            <w:r w:rsidR="00B52CBB" w:rsidRPr="00FC1832">
              <w:rPr>
                <w:rFonts w:ascii="Arial Narrow" w:hAnsi="Arial Narrow" w:cstheme="minorHAnsi"/>
              </w:rPr>
              <w:t>ith a 156-</w:t>
            </w:r>
            <w:r>
              <w:rPr>
                <w:rFonts w:ascii="Arial Narrow" w:hAnsi="Arial Narrow" w:cstheme="minorHAnsi"/>
              </w:rPr>
              <w:t>w</w:t>
            </w:r>
            <w:r w:rsidR="00B52CBB" w:rsidRPr="00FC1832">
              <w:rPr>
                <w:rFonts w:ascii="Arial Narrow" w:hAnsi="Arial Narrow" w:cstheme="minorHAnsi"/>
              </w:rPr>
              <w:t xml:space="preserve">eek </w:t>
            </w:r>
            <w:r>
              <w:rPr>
                <w:rFonts w:ascii="Arial Narrow" w:hAnsi="Arial Narrow" w:cstheme="minorHAnsi"/>
              </w:rPr>
              <w:t>e</w:t>
            </w:r>
            <w:r w:rsidR="00B52CBB" w:rsidRPr="00FC1832">
              <w:rPr>
                <w:rFonts w:ascii="Arial Narrow" w:hAnsi="Arial Narrow" w:cstheme="minorHAnsi"/>
              </w:rPr>
              <w:t xml:space="preserve">xtension </w:t>
            </w:r>
            <w:r>
              <w:rPr>
                <w:rFonts w:ascii="Arial Narrow" w:hAnsi="Arial Narrow" w:cstheme="minorHAnsi"/>
              </w:rPr>
              <w:t>p</w:t>
            </w:r>
            <w:r w:rsidR="00B52CBB" w:rsidRPr="00FC1832">
              <w:rPr>
                <w:rFonts w:ascii="Arial Narrow" w:hAnsi="Arial Narrow" w:cstheme="minorHAnsi"/>
              </w:rPr>
              <w:t xml:space="preserve">eriod to </w:t>
            </w:r>
            <w:r>
              <w:rPr>
                <w:rFonts w:ascii="Arial Narrow" w:hAnsi="Arial Narrow" w:cstheme="minorHAnsi"/>
              </w:rPr>
              <w:t>e</w:t>
            </w:r>
            <w:r w:rsidR="00B52CBB" w:rsidRPr="00FC1832">
              <w:rPr>
                <w:rFonts w:ascii="Arial Narrow" w:hAnsi="Arial Narrow" w:cstheme="minorHAnsi"/>
              </w:rPr>
              <w:t xml:space="preserve">valuate the </w:t>
            </w:r>
            <w:r>
              <w:rPr>
                <w:rFonts w:ascii="Arial Narrow" w:hAnsi="Arial Narrow" w:cstheme="minorHAnsi"/>
              </w:rPr>
              <w:t>e</w:t>
            </w:r>
            <w:r w:rsidR="00B52CBB" w:rsidRPr="00FC1832">
              <w:rPr>
                <w:rFonts w:ascii="Arial Narrow" w:hAnsi="Arial Narrow" w:cstheme="minorHAnsi"/>
              </w:rPr>
              <w:t xml:space="preserve">fficacy and </w:t>
            </w:r>
            <w:r>
              <w:rPr>
                <w:rFonts w:ascii="Arial Narrow" w:hAnsi="Arial Narrow" w:cstheme="minorHAnsi"/>
              </w:rPr>
              <w:t>s</w:t>
            </w:r>
            <w:r w:rsidR="00B52CBB" w:rsidRPr="00FC1832">
              <w:rPr>
                <w:rFonts w:ascii="Arial Narrow" w:hAnsi="Arial Narrow" w:cstheme="minorHAnsi"/>
              </w:rPr>
              <w:t xml:space="preserve">afety of </w:t>
            </w:r>
            <w:r>
              <w:rPr>
                <w:rFonts w:ascii="Arial Narrow" w:hAnsi="Arial Narrow" w:cstheme="minorHAnsi"/>
              </w:rPr>
              <w:t>d</w:t>
            </w:r>
            <w:r w:rsidR="00B52CBB" w:rsidRPr="00FC1832">
              <w:rPr>
                <w:rFonts w:ascii="Arial Narrow" w:hAnsi="Arial Narrow" w:cstheme="minorHAnsi"/>
              </w:rPr>
              <w:t xml:space="preserve">apagliflozin in </w:t>
            </w:r>
            <w:r>
              <w:rPr>
                <w:rFonts w:ascii="Arial Narrow" w:hAnsi="Arial Narrow" w:cstheme="minorHAnsi"/>
              </w:rPr>
              <w:t>c</w:t>
            </w:r>
            <w:r w:rsidR="00B52CBB" w:rsidRPr="00FC1832">
              <w:rPr>
                <w:rFonts w:ascii="Arial Narrow" w:hAnsi="Arial Narrow" w:cstheme="minorHAnsi"/>
              </w:rPr>
              <w:t xml:space="preserve">ombination </w:t>
            </w:r>
            <w:r>
              <w:rPr>
                <w:rFonts w:ascii="Arial Narrow" w:hAnsi="Arial Narrow" w:cstheme="minorHAnsi"/>
              </w:rPr>
              <w:t>w</w:t>
            </w:r>
            <w:r w:rsidR="00B52CBB" w:rsidRPr="00FC1832">
              <w:rPr>
                <w:rFonts w:ascii="Arial Narrow" w:hAnsi="Arial Narrow" w:cstheme="minorHAnsi"/>
              </w:rPr>
              <w:t xml:space="preserve">ith </w:t>
            </w:r>
            <w:r>
              <w:rPr>
                <w:rFonts w:ascii="Arial Narrow" w:hAnsi="Arial Narrow" w:cstheme="minorHAnsi"/>
              </w:rPr>
              <w:t>m</w:t>
            </w:r>
            <w:r w:rsidR="00B52CBB" w:rsidRPr="00FC1832">
              <w:rPr>
                <w:rFonts w:ascii="Arial Narrow" w:hAnsi="Arial Narrow" w:cstheme="minorHAnsi"/>
              </w:rPr>
              <w:t xml:space="preserve">etformin </w:t>
            </w:r>
            <w:r>
              <w:rPr>
                <w:rFonts w:ascii="Arial Narrow" w:hAnsi="Arial Narrow" w:cstheme="minorHAnsi"/>
              </w:rPr>
              <w:t>c</w:t>
            </w:r>
            <w:r w:rsidR="00B52CBB" w:rsidRPr="00FC1832">
              <w:rPr>
                <w:rFonts w:ascii="Arial Narrow" w:hAnsi="Arial Narrow" w:cstheme="minorHAnsi"/>
              </w:rPr>
              <w:t xml:space="preserve">ompared </w:t>
            </w:r>
            <w:r>
              <w:rPr>
                <w:rFonts w:ascii="Arial Narrow" w:hAnsi="Arial Narrow" w:cstheme="minorHAnsi"/>
              </w:rPr>
              <w:t>w</w:t>
            </w:r>
            <w:r w:rsidR="00B52CBB" w:rsidRPr="00FC1832">
              <w:rPr>
                <w:rFonts w:ascii="Arial Narrow" w:hAnsi="Arial Narrow" w:cstheme="minorHAnsi"/>
              </w:rPr>
              <w:t xml:space="preserve">ith </w:t>
            </w:r>
            <w:r>
              <w:rPr>
                <w:rFonts w:ascii="Arial Narrow" w:hAnsi="Arial Narrow" w:cstheme="minorHAnsi"/>
              </w:rPr>
              <w:t>s</w:t>
            </w:r>
            <w:r w:rsidR="00B52CBB" w:rsidRPr="00FC1832">
              <w:rPr>
                <w:rFonts w:ascii="Arial Narrow" w:hAnsi="Arial Narrow" w:cstheme="minorHAnsi"/>
              </w:rPr>
              <w:t xml:space="preserve">ulphonylurea </w:t>
            </w:r>
            <w:r>
              <w:rPr>
                <w:rFonts w:ascii="Arial Narrow" w:hAnsi="Arial Narrow" w:cstheme="minorHAnsi"/>
              </w:rPr>
              <w:t>i</w:t>
            </w:r>
            <w:r w:rsidR="00B52CBB" w:rsidRPr="00FC1832">
              <w:rPr>
                <w:rFonts w:ascii="Arial Narrow" w:hAnsi="Arial Narrow" w:cstheme="minorHAnsi"/>
              </w:rPr>
              <w:t xml:space="preserve">n </w:t>
            </w:r>
            <w:r>
              <w:rPr>
                <w:rFonts w:ascii="Arial Narrow" w:hAnsi="Arial Narrow" w:cstheme="minorHAnsi"/>
              </w:rPr>
              <w:t>c</w:t>
            </w:r>
            <w:r w:rsidR="00B52CBB" w:rsidRPr="00FC1832">
              <w:rPr>
                <w:rFonts w:ascii="Arial Narrow" w:hAnsi="Arial Narrow" w:cstheme="minorHAnsi"/>
              </w:rPr>
              <w:t xml:space="preserve">ombination </w:t>
            </w:r>
            <w:r>
              <w:rPr>
                <w:rFonts w:ascii="Arial Narrow" w:hAnsi="Arial Narrow" w:cstheme="minorHAnsi"/>
              </w:rPr>
              <w:t>w</w:t>
            </w:r>
            <w:r w:rsidR="00B52CBB" w:rsidRPr="00FC1832">
              <w:rPr>
                <w:rFonts w:ascii="Arial Narrow" w:hAnsi="Arial Narrow" w:cstheme="minorHAnsi"/>
              </w:rPr>
              <w:t xml:space="preserve">ith </w:t>
            </w:r>
            <w:r>
              <w:rPr>
                <w:rFonts w:ascii="Arial Narrow" w:hAnsi="Arial Narrow" w:cstheme="minorHAnsi"/>
              </w:rPr>
              <w:t>m</w:t>
            </w:r>
            <w:r w:rsidR="00B52CBB" w:rsidRPr="00FC1832">
              <w:rPr>
                <w:rFonts w:ascii="Arial Narrow" w:hAnsi="Arial Narrow" w:cstheme="minorHAnsi"/>
              </w:rPr>
              <w:t xml:space="preserve">etformin in </w:t>
            </w:r>
            <w:r>
              <w:rPr>
                <w:rFonts w:ascii="Arial Narrow" w:hAnsi="Arial Narrow" w:cstheme="minorHAnsi"/>
              </w:rPr>
              <w:t>a</w:t>
            </w:r>
            <w:r w:rsidR="00B52CBB" w:rsidRPr="00FC1832">
              <w:rPr>
                <w:rFonts w:ascii="Arial Narrow" w:hAnsi="Arial Narrow" w:cstheme="minorHAnsi"/>
              </w:rPr>
              <w:t xml:space="preserve">dult </w:t>
            </w:r>
            <w:r>
              <w:rPr>
                <w:rFonts w:ascii="Arial Narrow" w:hAnsi="Arial Narrow" w:cstheme="minorHAnsi"/>
              </w:rPr>
              <w:t>p</w:t>
            </w:r>
            <w:r w:rsidR="00B52CBB" w:rsidRPr="00FC1832">
              <w:rPr>
                <w:rFonts w:ascii="Arial Narrow" w:hAnsi="Arial Narrow" w:cstheme="minorHAnsi"/>
              </w:rPr>
              <w:t xml:space="preserve">atients </w:t>
            </w:r>
            <w:r>
              <w:rPr>
                <w:rFonts w:ascii="Arial Narrow" w:hAnsi="Arial Narrow" w:cstheme="minorHAnsi"/>
              </w:rPr>
              <w:t>w</w:t>
            </w:r>
            <w:r w:rsidR="00B52CBB" w:rsidRPr="00FC1832">
              <w:rPr>
                <w:rFonts w:ascii="Arial Narrow" w:hAnsi="Arial Narrow" w:cstheme="minorHAnsi"/>
              </w:rPr>
              <w:t xml:space="preserve">ith </w:t>
            </w:r>
            <w:r>
              <w:rPr>
                <w:rFonts w:ascii="Arial Narrow" w:hAnsi="Arial Narrow" w:cstheme="minorHAnsi"/>
              </w:rPr>
              <w:t>Type</w:t>
            </w:r>
            <w:r w:rsidR="00B52CBB" w:rsidRPr="00FC1832">
              <w:rPr>
                <w:rFonts w:ascii="Arial Narrow" w:hAnsi="Arial Narrow" w:cstheme="minorHAnsi"/>
              </w:rPr>
              <w:t xml:space="preserve"> 2 </w:t>
            </w:r>
            <w:r>
              <w:rPr>
                <w:rFonts w:ascii="Arial Narrow" w:hAnsi="Arial Narrow" w:cstheme="minorHAnsi"/>
              </w:rPr>
              <w:t>d</w:t>
            </w:r>
            <w:r w:rsidR="00B52CBB" w:rsidRPr="00FC1832">
              <w:rPr>
                <w:rFonts w:ascii="Arial Narrow" w:hAnsi="Arial Narrow" w:cstheme="minorHAnsi"/>
              </w:rPr>
              <w:t xml:space="preserve">iabetes </w:t>
            </w:r>
            <w:r>
              <w:rPr>
                <w:rFonts w:ascii="Arial Narrow" w:hAnsi="Arial Narrow" w:cstheme="minorHAnsi"/>
              </w:rPr>
              <w:t>w</w:t>
            </w:r>
            <w:r w:rsidR="00B52CBB" w:rsidRPr="00FC1832">
              <w:rPr>
                <w:rFonts w:ascii="Arial Narrow" w:hAnsi="Arial Narrow" w:cstheme="minorHAnsi"/>
              </w:rPr>
              <w:t xml:space="preserve">ho </w:t>
            </w:r>
            <w:r>
              <w:rPr>
                <w:rFonts w:ascii="Arial Narrow" w:hAnsi="Arial Narrow" w:cstheme="minorHAnsi"/>
              </w:rPr>
              <w:t>h</w:t>
            </w:r>
            <w:r w:rsidR="00B52CBB" w:rsidRPr="00FC1832">
              <w:rPr>
                <w:rFonts w:ascii="Arial Narrow" w:hAnsi="Arial Narrow" w:cstheme="minorHAnsi"/>
              </w:rPr>
              <w:t xml:space="preserve">ave </w:t>
            </w:r>
            <w:r>
              <w:rPr>
                <w:rFonts w:ascii="Arial Narrow" w:hAnsi="Arial Narrow" w:cstheme="minorHAnsi"/>
              </w:rPr>
              <w:t>i</w:t>
            </w:r>
            <w:r w:rsidR="00B52CBB" w:rsidRPr="00FC1832">
              <w:rPr>
                <w:rFonts w:ascii="Arial Narrow" w:hAnsi="Arial Narrow" w:cstheme="minorHAnsi"/>
              </w:rPr>
              <w:t xml:space="preserve">nadequate </w:t>
            </w:r>
            <w:r>
              <w:rPr>
                <w:rFonts w:ascii="Arial Narrow" w:hAnsi="Arial Narrow" w:cstheme="minorHAnsi"/>
              </w:rPr>
              <w:t>g</w:t>
            </w:r>
            <w:r w:rsidR="00B52CBB" w:rsidRPr="00FC1832">
              <w:rPr>
                <w:rFonts w:ascii="Arial Narrow" w:hAnsi="Arial Narrow" w:cstheme="minorHAnsi"/>
              </w:rPr>
              <w:t xml:space="preserve">lycaemic </w:t>
            </w:r>
            <w:r>
              <w:rPr>
                <w:rFonts w:ascii="Arial Narrow" w:hAnsi="Arial Narrow" w:cstheme="minorHAnsi"/>
              </w:rPr>
              <w:t>c</w:t>
            </w:r>
            <w:r w:rsidR="00B52CBB" w:rsidRPr="00FC1832">
              <w:rPr>
                <w:rFonts w:ascii="Arial Narrow" w:hAnsi="Arial Narrow" w:cstheme="minorHAnsi"/>
              </w:rPr>
              <w:t xml:space="preserve">ontrol on </w:t>
            </w:r>
            <w:r>
              <w:rPr>
                <w:rFonts w:ascii="Arial Narrow" w:hAnsi="Arial Narrow" w:cstheme="minorHAnsi"/>
              </w:rPr>
              <w:t>m</w:t>
            </w:r>
            <w:r w:rsidR="00B52CBB" w:rsidRPr="00FC1832">
              <w:rPr>
                <w:rFonts w:ascii="Arial Narrow" w:hAnsi="Arial Narrow" w:cstheme="minorHAnsi"/>
              </w:rPr>
              <w:t xml:space="preserve">etformin </w:t>
            </w:r>
            <w:r>
              <w:rPr>
                <w:rFonts w:ascii="Arial Narrow" w:hAnsi="Arial Narrow" w:cstheme="minorHAnsi"/>
              </w:rPr>
              <w:t>t</w:t>
            </w:r>
            <w:r w:rsidR="00B52CBB" w:rsidRPr="00FC1832">
              <w:rPr>
                <w:rFonts w:ascii="Arial Narrow" w:hAnsi="Arial Narrow" w:cstheme="minorHAnsi"/>
              </w:rPr>
              <w:t xml:space="preserve">herapy </w:t>
            </w:r>
            <w:r>
              <w:rPr>
                <w:rFonts w:ascii="Arial Narrow" w:hAnsi="Arial Narrow" w:cstheme="minorHAnsi"/>
              </w:rPr>
              <w:t>a</w:t>
            </w:r>
            <w:r w:rsidR="00B52CBB" w:rsidRPr="00FC1832">
              <w:rPr>
                <w:rFonts w:ascii="Arial Narrow" w:hAnsi="Arial Narrow" w:cstheme="minorHAnsi"/>
              </w:rPr>
              <w:t>lone.</w:t>
            </w:r>
            <w:r w:rsidR="00B52CBB">
              <w:rPr>
                <w:rFonts w:ascii="Arial Narrow" w:hAnsi="Arial Narrow" w:cstheme="minorHAnsi"/>
              </w:rPr>
              <w:t xml:space="preserve"> </w:t>
            </w:r>
          </w:p>
        </w:tc>
        <w:tc>
          <w:tcPr>
            <w:tcW w:w="994" w:type="pct"/>
          </w:tcPr>
          <w:p w:rsidR="00B52CBB" w:rsidRDefault="00B52CBB" w:rsidP="00D57585">
            <w:pPr>
              <w:jc w:val="left"/>
              <w:rPr>
                <w:rFonts w:ascii="Arial Narrow" w:hAnsi="Arial Narrow"/>
                <w:sz w:val="20"/>
              </w:rPr>
            </w:pPr>
            <w:r w:rsidRPr="009E3A17">
              <w:rPr>
                <w:rFonts w:ascii="Arial Narrow" w:hAnsi="Arial Narrow" w:cstheme="minorHAnsi"/>
              </w:rPr>
              <w:t>NCT00660907</w:t>
            </w:r>
          </w:p>
          <w:p w:rsidR="00B52CBB" w:rsidRDefault="00B52CBB" w:rsidP="00D57585">
            <w:pPr>
              <w:jc w:val="left"/>
              <w:rPr>
                <w:rFonts w:ascii="Arial Narrow" w:hAnsi="Arial Narrow"/>
                <w:i/>
                <w:iCs/>
                <w:sz w:val="20"/>
              </w:rPr>
            </w:pPr>
          </w:p>
          <w:p w:rsidR="00B52CBB" w:rsidRPr="004E2ADC" w:rsidRDefault="00B52CBB" w:rsidP="00D57585">
            <w:pPr>
              <w:jc w:val="left"/>
              <w:rPr>
                <w:rFonts w:ascii="Arial Narrow" w:hAnsi="Arial Narrow"/>
                <w:sz w:val="20"/>
              </w:rPr>
            </w:pPr>
          </w:p>
        </w:tc>
      </w:tr>
      <w:tr w:rsidR="00B52CBB" w:rsidRPr="004E2ADC"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FC1832" w:rsidRDefault="00B52CBB" w:rsidP="00D57585">
            <w:pPr>
              <w:pStyle w:val="TableText1"/>
              <w:widowControl w:val="0"/>
              <w:spacing w:before="0" w:after="0"/>
              <w:rPr>
                <w:rFonts w:ascii="Arial Narrow" w:hAnsi="Arial Narrow" w:cstheme="minorHAnsi"/>
              </w:rPr>
            </w:pPr>
            <w:r w:rsidRPr="008A5E57">
              <w:rPr>
                <w:rFonts w:ascii="Arial Narrow" w:hAnsi="Arial Narrow" w:cs="Calibri"/>
                <w:color w:val="000000"/>
                <w:lang w:val="it-IT"/>
              </w:rPr>
              <w:t>Nauck</w:t>
            </w:r>
            <w:r w:rsidRPr="009E3A17">
              <w:rPr>
                <w:rFonts w:ascii="Arial Narrow" w:hAnsi="Arial Narrow" w:cs="Calibri"/>
                <w:color w:val="000000"/>
                <w:lang w:val="it-IT"/>
              </w:rPr>
              <w:t xml:space="preserve"> MA, Del PS, Meier JJ et al. </w:t>
            </w:r>
            <w:r w:rsidRPr="009E3A17">
              <w:rPr>
                <w:rFonts w:ascii="Arial Narrow" w:hAnsi="Arial Narrow" w:cs="Calibri"/>
                <w:color w:val="000000"/>
              </w:rPr>
              <w:t xml:space="preserve">Dapagliflozin versus glipizide as add-on therapy in patients with </w:t>
            </w:r>
            <w:r w:rsidR="005874B5">
              <w:rPr>
                <w:rFonts w:ascii="Arial Narrow" w:hAnsi="Arial Narrow" w:cs="Calibri"/>
                <w:color w:val="000000"/>
              </w:rPr>
              <w:t>Type</w:t>
            </w:r>
            <w:r w:rsidRPr="009E3A17">
              <w:rPr>
                <w:rFonts w:ascii="Arial Narrow" w:hAnsi="Arial Narrow" w:cs="Calibri"/>
                <w:color w:val="000000"/>
              </w:rPr>
              <w:t xml:space="preserve"> 2 diabetes who have inadequate glycemic control with metformin: a randomized, 52-week, double-blind, active-controlled noninferiority trial. </w:t>
            </w:r>
          </w:p>
        </w:tc>
        <w:tc>
          <w:tcPr>
            <w:tcW w:w="994" w:type="pct"/>
          </w:tcPr>
          <w:p w:rsidR="00B52CBB" w:rsidRPr="00BA4779" w:rsidRDefault="00B52CBB" w:rsidP="00D57585">
            <w:pPr>
              <w:jc w:val="left"/>
              <w:rPr>
                <w:rFonts w:ascii="Arial Narrow" w:hAnsi="Arial Narrow"/>
                <w:sz w:val="20"/>
              </w:rPr>
            </w:pPr>
            <w:r w:rsidRPr="00BA4779">
              <w:rPr>
                <w:rFonts w:ascii="Arial Narrow" w:hAnsi="Arial Narrow"/>
                <w:iCs/>
                <w:sz w:val="20"/>
              </w:rPr>
              <w:t>Diabetes Care 2011; 34:2015-22</w:t>
            </w:r>
          </w:p>
          <w:p w:rsidR="00B52CBB" w:rsidRPr="00BA4779" w:rsidRDefault="00B52CBB" w:rsidP="00D57585">
            <w:pPr>
              <w:jc w:val="left"/>
              <w:rPr>
                <w:rFonts w:ascii="Arial Narrow" w:hAnsi="Arial Narrow"/>
                <w:sz w:val="20"/>
              </w:rPr>
            </w:pPr>
          </w:p>
          <w:p w:rsidR="00B52CBB" w:rsidRPr="00BA4779" w:rsidRDefault="00B52CBB" w:rsidP="00D57585">
            <w:pPr>
              <w:jc w:val="left"/>
              <w:rPr>
                <w:rFonts w:ascii="Arial Narrow" w:hAnsi="Arial Narrow"/>
                <w:sz w:val="20"/>
              </w:rPr>
            </w:pPr>
          </w:p>
        </w:tc>
      </w:tr>
      <w:tr w:rsidR="00B52CBB" w:rsidRPr="004E2ADC"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8A5E57" w:rsidRDefault="00B52CBB" w:rsidP="00D57585">
            <w:pPr>
              <w:pStyle w:val="TableText1"/>
              <w:widowControl w:val="0"/>
              <w:spacing w:before="0" w:after="0"/>
              <w:rPr>
                <w:rFonts w:ascii="Arial Narrow" w:hAnsi="Arial Narrow" w:cs="Calibri"/>
                <w:color w:val="000000"/>
                <w:lang w:val="it-IT"/>
              </w:rPr>
            </w:pPr>
            <w:r w:rsidRPr="009E3A17">
              <w:rPr>
                <w:rFonts w:ascii="Arial Narrow" w:hAnsi="Arial Narrow" w:cs="Calibri"/>
                <w:color w:val="000000"/>
              </w:rPr>
              <w:t xml:space="preserve">Nauck M, Del PS, Meier JJ et al. [Dapagliflozin versus glipizide as add-on therapy in patients with </w:t>
            </w:r>
            <w:r w:rsidR="005874B5">
              <w:rPr>
                <w:rFonts w:ascii="Arial Narrow" w:hAnsi="Arial Narrow" w:cs="Calibri"/>
                <w:color w:val="000000"/>
              </w:rPr>
              <w:t>Type</w:t>
            </w:r>
            <w:r w:rsidRPr="009E3A17">
              <w:rPr>
                <w:rFonts w:ascii="Arial Narrow" w:hAnsi="Arial Narrow" w:cs="Calibri"/>
                <w:color w:val="000000"/>
              </w:rPr>
              <w:t xml:space="preserve"> 2 diabetes who have inadequate glycemic control with metformin]. [German]. </w:t>
            </w:r>
          </w:p>
        </w:tc>
        <w:tc>
          <w:tcPr>
            <w:tcW w:w="994" w:type="pct"/>
          </w:tcPr>
          <w:p w:rsidR="00B52CBB" w:rsidRPr="00BA4779" w:rsidRDefault="00B52CBB" w:rsidP="00D57585">
            <w:pPr>
              <w:jc w:val="left"/>
              <w:rPr>
                <w:rFonts w:ascii="Arial Narrow" w:hAnsi="Arial Narrow"/>
                <w:iCs/>
                <w:sz w:val="20"/>
              </w:rPr>
            </w:pPr>
            <w:r w:rsidRPr="00BA4779">
              <w:rPr>
                <w:rFonts w:ascii="Arial Narrow" w:hAnsi="Arial Narrow" w:cs="Calibri"/>
                <w:color w:val="000000"/>
                <w:sz w:val="20"/>
              </w:rPr>
              <w:t>Deutsche Medizinische Wochenschrift 2013;138:Suppl-15.</w:t>
            </w:r>
          </w:p>
        </w:tc>
      </w:tr>
      <w:tr w:rsidR="00B52CBB" w:rsidRPr="004E2ADC" w:rsidTr="001F53DA">
        <w:tc>
          <w:tcPr>
            <w:tcW w:w="866" w:type="pct"/>
            <w:vMerge/>
          </w:tcPr>
          <w:p w:rsidR="00B52CBB" w:rsidRPr="002D1A0F" w:rsidRDefault="00B52CBB" w:rsidP="00D57585">
            <w:pPr>
              <w:pStyle w:val="TableText1"/>
              <w:widowControl w:val="0"/>
              <w:spacing w:before="0" w:after="0"/>
              <w:rPr>
                <w:rFonts w:ascii="Arial Narrow" w:hAnsi="Arial Narrow" w:cstheme="minorHAnsi"/>
                <w:bCs/>
              </w:rPr>
            </w:pPr>
          </w:p>
        </w:tc>
        <w:tc>
          <w:tcPr>
            <w:tcW w:w="3140" w:type="pct"/>
          </w:tcPr>
          <w:p w:rsidR="00B52CBB" w:rsidRPr="009E3A17" w:rsidRDefault="00B52CBB" w:rsidP="00D57585">
            <w:pPr>
              <w:pStyle w:val="TableText1"/>
              <w:widowControl w:val="0"/>
              <w:spacing w:before="0" w:after="0"/>
              <w:rPr>
                <w:rFonts w:ascii="Arial Narrow" w:hAnsi="Arial Narrow" w:cs="Calibri"/>
                <w:color w:val="000000"/>
              </w:rPr>
            </w:pPr>
            <w:r w:rsidRPr="008A5E57">
              <w:rPr>
                <w:rFonts w:ascii="Arial Narrow" w:hAnsi="Arial Narrow" w:cs="Calibri"/>
                <w:color w:val="000000"/>
                <w:lang w:val="it-IT"/>
              </w:rPr>
              <w:t>Nauck</w:t>
            </w:r>
            <w:r w:rsidRPr="009E3A17">
              <w:rPr>
                <w:rFonts w:ascii="Arial Narrow" w:hAnsi="Arial Narrow" w:cs="Calibri"/>
                <w:color w:val="000000"/>
                <w:lang w:val="it-IT"/>
              </w:rPr>
              <w:t xml:space="preserve"> MA, Del PS, Duran-Garcia S et al. </w:t>
            </w:r>
            <w:r w:rsidRPr="009E3A17">
              <w:rPr>
                <w:rFonts w:ascii="Arial Narrow" w:hAnsi="Arial Narrow" w:cs="Calibri"/>
                <w:color w:val="000000"/>
              </w:rPr>
              <w:t xml:space="preserve">Durability of glycaemic efficacy over 2 years with dapagliflozin versus glipizide as add-on therapies in patients whose </w:t>
            </w:r>
            <w:r w:rsidR="005874B5">
              <w:rPr>
                <w:rFonts w:ascii="Arial Narrow" w:hAnsi="Arial Narrow" w:cs="Calibri"/>
                <w:color w:val="000000"/>
              </w:rPr>
              <w:t>Type</w:t>
            </w:r>
            <w:r w:rsidRPr="009E3A17">
              <w:rPr>
                <w:rFonts w:ascii="Arial Narrow" w:hAnsi="Arial Narrow" w:cs="Calibri"/>
                <w:color w:val="000000"/>
              </w:rPr>
              <w:t xml:space="preserve"> 2 diabetes mellitus is inadequately controlled with metformin. </w:t>
            </w:r>
          </w:p>
        </w:tc>
        <w:tc>
          <w:tcPr>
            <w:tcW w:w="994" w:type="pct"/>
          </w:tcPr>
          <w:p w:rsidR="00B52CBB" w:rsidRPr="00BA4779" w:rsidRDefault="00B52CBB" w:rsidP="00D57585">
            <w:pPr>
              <w:jc w:val="left"/>
              <w:rPr>
                <w:rFonts w:ascii="Arial Narrow" w:hAnsi="Arial Narrow" w:cs="Calibri"/>
                <w:color w:val="000000"/>
                <w:sz w:val="20"/>
              </w:rPr>
            </w:pPr>
            <w:r w:rsidRPr="00BA4779">
              <w:rPr>
                <w:rFonts w:ascii="Arial Narrow" w:hAnsi="Arial Narrow" w:cs="Calibri"/>
                <w:color w:val="000000"/>
                <w:sz w:val="20"/>
              </w:rPr>
              <w:t>Diabetes, Obesity &amp; Metabolism 2014;16:1111-1120.</w:t>
            </w:r>
          </w:p>
        </w:tc>
      </w:tr>
    </w:tbl>
    <w:p w:rsidR="00713C5A" w:rsidRPr="00D13A3E" w:rsidRDefault="00713C5A" w:rsidP="00D57585">
      <w:pPr>
        <w:pStyle w:val="TableFooter"/>
      </w:pPr>
      <w:r>
        <w:t xml:space="preserve">                 Source: Table B.6 of the submission</w:t>
      </w:r>
    </w:p>
    <w:p w:rsidR="00862502" w:rsidRPr="008F120A" w:rsidRDefault="00862502" w:rsidP="00D57585">
      <w:pPr>
        <w:widowControl/>
        <w:rPr>
          <w:szCs w:val="22"/>
        </w:rPr>
      </w:pPr>
    </w:p>
    <w:p w:rsidR="00BC71C7" w:rsidRPr="00B50DB8" w:rsidRDefault="00BC71C7" w:rsidP="000028F6">
      <w:pPr>
        <w:pStyle w:val="ListParagraph"/>
        <w:widowControl/>
        <w:numPr>
          <w:ilvl w:val="1"/>
          <w:numId w:val="3"/>
        </w:numPr>
        <w:rPr>
          <w:szCs w:val="22"/>
        </w:rPr>
      </w:pPr>
      <w:r w:rsidRPr="00B50DB8">
        <w:rPr>
          <w:szCs w:val="22"/>
        </w:rPr>
        <w:t xml:space="preserve">The key features of the </w:t>
      </w:r>
      <w:r>
        <w:rPr>
          <w:szCs w:val="22"/>
        </w:rPr>
        <w:t>bioequivalence trials are su</w:t>
      </w:r>
      <w:r w:rsidRPr="00B50DB8">
        <w:rPr>
          <w:szCs w:val="22"/>
        </w:rPr>
        <w:t xml:space="preserve">mmarised </w:t>
      </w:r>
      <w:r w:rsidR="003130A9">
        <w:rPr>
          <w:szCs w:val="22"/>
        </w:rPr>
        <w:t xml:space="preserve">in </w:t>
      </w:r>
      <w:r>
        <w:rPr>
          <w:szCs w:val="22"/>
        </w:rPr>
        <w:t>T</w:t>
      </w:r>
      <w:r w:rsidRPr="00B50DB8">
        <w:rPr>
          <w:szCs w:val="22"/>
        </w:rPr>
        <w:t xml:space="preserve">able </w:t>
      </w:r>
      <w:r>
        <w:rPr>
          <w:szCs w:val="22"/>
        </w:rPr>
        <w:t>2</w:t>
      </w:r>
      <w:r w:rsidRPr="00B50DB8">
        <w:rPr>
          <w:szCs w:val="22"/>
        </w:rPr>
        <w:t xml:space="preserve">.  </w:t>
      </w:r>
    </w:p>
    <w:p w:rsidR="00BC71C7" w:rsidRDefault="00BC71C7" w:rsidP="00D57585">
      <w:pPr>
        <w:widowControl/>
        <w:rPr>
          <w:szCs w:val="22"/>
        </w:rPr>
      </w:pPr>
    </w:p>
    <w:p w:rsidR="00BC71C7" w:rsidRPr="00E2771E" w:rsidRDefault="00BC71C7" w:rsidP="00D57585">
      <w:pPr>
        <w:ind w:firstLine="720"/>
        <w:rPr>
          <w:rStyle w:val="CommentReference"/>
        </w:rPr>
      </w:pPr>
      <w:r>
        <w:rPr>
          <w:rStyle w:val="CommentReference"/>
        </w:rPr>
        <w:t>Table 2</w:t>
      </w:r>
      <w:r w:rsidRPr="00E2771E">
        <w:rPr>
          <w:rStyle w:val="CommentReference"/>
        </w:rPr>
        <w:t xml:space="preserve">: Key features of the included </w:t>
      </w:r>
      <w:r>
        <w:rPr>
          <w:rStyle w:val="CommentReference"/>
        </w:rPr>
        <w:t>bioequivalence trials</w:t>
      </w:r>
    </w:p>
    <w:tbl>
      <w:tblPr>
        <w:tblW w:w="459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features of trials to support submission"/>
      </w:tblPr>
      <w:tblGrid>
        <w:gridCol w:w="716"/>
        <w:gridCol w:w="327"/>
        <w:gridCol w:w="1041"/>
        <w:gridCol w:w="1598"/>
        <w:gridCol w:w="1016"/>
        <w:gridCol w:w="873"/>
        <w:gridCol w:w="873"/>
        <w:gridCol w:w="874"/>
        <w:gridCol w:w="1024"/>
      </w:tblGrid>
      <w:tr w:rsidR="003B7746" w:rsidRPr="00E2771E" w:rsidTr="00554F7E">
        <w:trPr>
          <w:trHeight w:val="342"/>
        </w:trPr>
        <w:tc>
          <w:tcPr>
            <w:tcW w:w="429" w:type="pct"/>
            <w:vMerge w:val="restart"/>
            <w:shd w:val="clear" w:color="auto" w:fill="auto"/>
            <w:vAlign w:val="center"/>
          </w:tcPr>
          <w:p w:rsidR="003B7746" w:rsidRPr="00E2771E" w:rsidRDefault="003B7746" w:rsidP="00D57585">
            <w:pPr>
              <w:jc w:val="left"/>
              <w:rPr>
                <w:rFonts w:ascii="Arial Narrow" w:hAnsi="Arial Narrow"/>
                <w:b/>
                <w:sz w:val="20"/>
                <w:lang w:val="en-US"/>
              </w:rPr>
            </w:pPr>
            <w:r w:rsidRPr="00E2771E">
              <w:rPr>
                <w:rFonts w:ascii="Arial Narrow" w:hAnsi="Arial Narrow"/>
                <w:b/>
                <w:sz w:val="20"/>
                <w:lang w:val="en-US"/>
              </w:rPr>
              <w:t>Trial</w:t>
            </w:r>
          </w:p>
        </w:tc>
        <w:tc>
          <w:tcPr>
            <w:tcW w:w="196" w:type="pct"/>
            <w:vMerge w:val="restart"/>
            <w:shd w:val="clear" w:color="auto" w:fill="auto"/>
            <w:vAlign w:val="center"/>
          </w:tcPr>
          <w:p w:rsidR="003B7746" w:rsidRPr="00E2771E" w:rsidRDefault="003B7746" w:rsidP="00D57585">
            <w:pPr>
              <w:jc w:val="center"/>
              <w:rPr>
                <w:rFonts w:ascii="Arial Narrow" w:hAnsi="Arial Narrow"/>
                <w:b/>
                <w:sz w:val="20"/>
                <w:lang w:val="en-US"/>
              </w:rPr>
            </w:pPr>
            <w:r w:rsidRPr="00E2771E">
              <w:rPr>
                <w:rFonts w:ascii="Arial Narrow" w:hAnsi="Arial Narrow"/>
                <w:b/>
                <w:sz w:val="20"/>
                <w:lang w:val="en-US"/>
              </w:rPr>
              <w:t>N</w:t>
            </w:r>
          </w:p>
        </w:tc>
        <w:tc>
          <w:tcPr>
            <w:tcW w:w="624" w:type="pct"/>
            <w:vMerge w:val="restart"/>
            <w:shd w:val="clear" w:color="auto" w:fill="auto"/>
            <w:vAlign w:val="center"/>
          </w:tcPr>
          <w:p w:rsidR="003B7746" w:rsidRPr="00E2771E" w:rsidRDefault="003B7746" w:rsidP="00D57585">
            <w:pPr>
              <w:jc w:val="center"/>
              <w:rPr>
                <w:rFonts w:ascii="Arial Narrow" w:hAnsi="Arial Narrow"/>
                <w:b/>
                <w:sz w:val="20"/>
                <w:lang w:val="en-US"/>
              </w:rPr>
            </w:pPr>
            <w:r>
              <w:rPr>
                <w:rFonts w:ascii="Arial Narrow" w:hAnsi="Arial Narrow"/>
                <w:b/>
                <w:sz w:val="20"/>
                <w:lang w:val="en-US"/>
              </w:rPr>
              <w:t>Design</w:t>
            </w:r>
          </w:p>
        </w:tc>
        <w:tc>
          <w:tcPr>
            <w:tcW w:w="958" w:type="pct"/>
            <w:vMerge w:val="restart"/>
            <w:vAlign w:val="center"/>
          </w:tcPr>
          <w:p w:rsidR="003B7746" w:rsidRDefault="003B7746" w:rsidP="00D57585">
            <w:pPr>
              <w:jc w:val="center"/>
              <w:rPr>
                <w:rFonts w:ascii="Arial Narrow" w:hAnsi="Arial Narrow"/>
                <w:b/>
                <w:sz w:val="20"/>
                <w:lang w:val="en-US"/>
              </w:rPr>
            </w:pPr>
            <w:r>
              <w:rPr>
                <w:rFonts w:ascii="Arial Narrow" w:hAnsi="Arial Narrow"/>
                <w:b/>
                <w:sz w:val="20"/>
                <w:lang w:val="en-US"/>
              </w:rPr>
              <w:t>FDC tested (empagliflozin/</w:t>
            </w:r>
          </w:p>
          <w:p w:rsidR="003B7746" w:rsidRPr="00E2771E" w:rsidRDefault="003B7746" w:rsidP="00D57585">
            <w:pPr>
              <w:jc w:val="center"/>
              <w:rPr>
                <w:rFonts w:ascii="Arial Narrow" w:hAnsi="Arial Narrow"/>
                <w:b/>
                <w:sz w:val="20"/>
                <w:lang w:val="en-US"/>
              </w:rPr>
            </w:pPr>
            <w:r>
              <w:rPr>
                <w:rFonts w:ascii="Arial Narrow" w:hAnsi="Arial Narrow"/>
                <w:b/>
                <w:sz w:val="20"/>
                <w:lang w:val="en-US"/>
              </w:rPr>
              <w:t>metformin IR)</w:t>
            </w:r>
          </w:p>
        </w:tc>
        <w:tc>
          <w:tcPr>
            <w:tcW w:w="609" w:type="pct"/>
            <w:vMerge w:val="restart"/>
            <w:shd w:val="clear" w:color="auto" w:fill="auto"/>
            <w:vAlign w:val="center"/>
          </w:tcPr>
          <w:p w:rsidR="003B7746" w:rsidRPr="00E2771E" w:rsidRDefault="003B7746" w:rsidP="00D57585">
            <w:pPr>
              <w:jc w:val="center"/>
              <w:rPr>
                <w:rFonts w:ascii="Arial Narrow" w:hAnsi="Arial Narrow"/>
                <w:b/>
                <w:sz w:val="20"/>
                <w:lang w:val="en-US"/>
              </w:rPr>
            </w:pPr>
            <w:r w:rsidRPr="00E2771E">
              <w:rPr>
                <w:rFonts w:ascii="Arial Narrow" w:hAnsi="Arial Narrow"/>
                <w:b/>
                <w:sz w:val="20"/>
                <w:lang w:val="en-US"/>
              </w:rPr>
              <w:t>Risk of bias</w:t>
            </w:r>
          </w:p>
        </w:tc>
        <w:tc>
          <w:tcPr>
            <w:tcW w:w="1570" w:type="pct"/>
            <w:gridSpan w:val="3"/>
            <w:shd w:val="clear" w:color="auto" w:fill="auto"/>
            <w:vAlign w:val="center"/>
          </w:tcPr>
          <w:p w:rsidR="003B7746" w:rsidRPr="00E2771E" w:rsidRDefault="003B7746" w:rsidP="00D57585">
            <w:pPr>
              <w:jc w:val="center"/>
              <w:rPr>
                <w:rFonts w:ascii="Arial Narrow" w:hAnsi="Arial Narrow"/>
                <w:b/>
                <w:sz w:val="20"/>
                <w:lang w:val="en-US"/>
              </w:rPr>
            </w:pPr>
            <w:r w:rsidRPr="00E2771E">
              <w:rPr>
                <w:rFonts w:ascii="Arial Narrow" w:hAnsi="Arial Narrow"/>
                <w:b/>
                <w:sz w:val="20"/>
                <w:lang w:val="en-US"/>
              </w:rPr>
              <w:t>Patient population</w:t>
            </w:r>
          </w:p>
        </w:tc>
        <w:tc>
          <w:tcPr>
            <w:tcW w:w="614" w:type="pct"/>
            <w:vMerge w:val="restart"/>
            <w:shd w:val="clear" w:color="auto" w:fill="auto"/>
            <w:vAlign w:val="center"/>
          </w:tcPr>
          <w:p w:rsidR="003B7746" w:rsidRPr="00E2771E" w:rsidRDefault="003B7746" w:rsidP="00D57585">
            <w:pPr>
              <w:jc w:val="center"/>
              <w:rPr>
                <w:rFonts w:ascii="Arial Narrow" w:hAnsi="Arial Narrow"/>
                <w:b/>
                <w:sz w:val="20"/>
                <w:lang w:val="en-US"/>
              </w:rPr>
            </w:pPr>
            <w:r w:rsidRPr="00E2771E">
              <w:rPr>
                <w:rFonts w:ascii="Arial Narrow" w:hAnsi="Arial Narrow"/>
                <w:b/>
                <w:sz w:val="20"/>
                <w:lang w:val="en-US"/>
              </w:rPr>
              <w:t>Outcome(s)</w:t>
            </w:r>
          </w:p>
        </w:tc>
      </w:tr>
      <w:tr w:rsidR="003B7746" w:rsidRPr="00E2771E" w:rsidTr="00554F7E">
        <w:trPr>
          <w:trHeight w:val="342"/>
        </w:trPr>
        <w:tc>
          <w:tcPr>
            <w:tcW w:w="429" w:type="pct"/>
            <w:vMerge/>
            <w:shd w:val="clear" w:color="auto" w:fill="auto"/>
            <w:vAlign w:val="center"/>
          </w:tcPr>
          <w:p w:rsidR="003B7746" w:rsidRPr="00E2771E" w:rsidRDefault="003B7746" w:rsidP="00D57585">
            <w:pPr>
              <w:jc w:val="left"/>
              <w:rPr>
                <w:rFonts w:ascii="Arial Narrow" w:hAnsi="Arial Narrow"/>
                <w:b/>
                <w:sz w:val="20"/>
                <w:lang w:val="en-US"/>
              </w:rPr>
            </w:pPr>
          </w:p>
        </w:tc>
        <w:tc>
          <w:tcPr>
            <w:tcW w:w="196" w:type="pct"/>
            <w:vMerge/>
            <w:shd w:val="clear" w:color="auto" w:fill="auto"/>
            <w:vAlign w:val="center"/>
          </w:tcPr>
          <w:p w:rsidR="003B7746" w:rsidRPr="00E2771E" w:rsidRDefault="003B7746" w:rsidP="00D57585">
            <w:pPr>
              <w:jc w:val="center"/>
              <w:rPr>
                <w:rFonts w:ascii="Arial Narrow" w:hAnsi="Arial Narrow"/>
                <w:b/>
                <w:sz w:val="20"/>
                <w:lang w:val="en-US"/>
              </w:rPr>
            </w:pPr>
          </w:p>
        </w:tc>
        <w:tc>
          <w:tcPr>
            <w:tcW w:w="624" w:type="pct"/>
            <w:vMerge/>
            <w:shd w:val="clear" w:color="auto" w:fill="auto"/>
            <w:vAlign w:val="center"/>
          </w:tcPr>
          <w:p w:rsidR="003B7746" w:rsidRDefault="003B7746" w:rsidP="00D57585">
            <w:pPr>
              <w:jc w:val="center"/>
              <w:rPr>
                <w:rFonts w:ascii="Arial Narrow" w:hAnsi="Arial Narrow"/>
                <w:b/>
                <w:sz w:val="20"/>
                <w:lang w:val="en-US"/>
              </w:rPr>
            </w:pPr>
          </w:p>
        </w:tc>
        <w:tc>
          <w:tcPr>
            <w:tcW w:w="958" w:type="pct"/>
            <w:vMerge/>
            <w:vAlign w:val="center"/>
          </w:tcPr>
          <w:p w:rsidR="003B7746" w:rsidRDefault="003B7746" w:rsidP="00D57585">
            <w:pPr>
              <w:jc w:val="center"/>
              <w:rPr>
                <w:rFonts w:ascii="Arial Narrow" w:hAnsi="Arial Narrow"/>
                <w:b/>
                <w:sz w:val="20"/>
                <w:lang w:val="en-US"/>
              </w:rPr>
            </w:pPr>
          </w:p>
        </w:tc>
        <w:tc>
          <w:tcPr>
            <w:tcW w:w="609" w:type="pct"/>
            <w:vMerge/>
            <w:shd w:val="clear" w:color="auto" w:fill="auto"/>
            <w:vAlign w:val="center"/>
          </w:tcPr>
          <w:p w:rsidR="003B7746" w:rsidRPr="00E2771E" w:rsidRDefault="003B7746" w:rsidP="00D57585">
            <w:pPr>
              <w:jc w:val="center"/>
              <w:rPr>
                <w:rFonts w:ascii="Arial Narrow" w:hAnsi="Arial Narrow"/>
                <w:b/>
                <w:sz w:val="20"/>
                <w:lang w:val="en-US"/>
              </w:rPr>
            </w:pPr>
          </w:p>
        </w:tc>
        <w:tc>
          <w:tcPr>
            <w:tcW w:w="523" w:type="pct"/>
            <w:shd w:val="clear" w:color="auto" w:fill="auto"/>
            <w:vAlign w:val="center"/>
          </w:tcPr>
          <w:p w:rsidR="003B7746" w:rsidRPr="009A0A8E" w:rsidRDefault="003B7746" w:rsidP="00D57585">
            <w:pPr>
              <w:jc w:val="center"/>
              <w:rPr>
                <w:rFonts w:ascii="Arial Narrow" w:hAnsi="Arial Narrow"/>
                <w:b/>
                <w:sz w:val="20"/>
                <w:lang w:val="en-US"/>
              </w:rPr>
            </w:pPr>
            <w:r>
              <w:rPr>
                <w:rFonts w:ascii="Arial Narrow" w:hAnsi="Arial Narrow"/>
                <w:b/>
                <w:sz w:val="20"/>
                <w:lang w:val="en-US"/>
              </w:rPr>
              <w:t>BMI kg/m</w:t>
            </w:r>
            <w:r>
              <w:rPr>
                <w:rFonts w:ascii="Arial Narrow" w:hAnsi="Arial Narrow"/>
                <w:b/>
                <w:sz w:val="20"/>
                <w:vertAlign w:val="superscript"/>
                <w:lang w:val="en-US"/>
              </w:rPr>
              <w:t>2</w:t>
            </w:r>
          </w:p>
        </w:tc>
        <w:tc>
          <w:tcPr>
            <w:tcW w:w="523" w:type="pct"/>
            <w:shd w:val="clear" w:color="auto" w:fill="auto"/>
            <w:vAlign w:val="center"/>
          </w:tcPr>
          <w:p w:rsidR="003B7746" w:rsidRPr="00E2771E" w:rsidRDefault="003B7746" w:rsidP="00D57585">
            <w:pPr>
              <w:jc w:val="center"/>
              <w:rPr>
                <w:rFonts w:ascii="Arial Narrow" w:hAnsi="Arial Narrow"/>
                <w:b/>
                <w:sz w:val="20"/>
                <w:lang w:val="en-US"/>
              </w:rPr>
            </w:pPr>
            <w:r>
              <w:rPr>
                <w:rFonts w:ascii="Arial Narrow" w:hAnsi="Arial Narrow"/>
                <w:b/>
                <w:sz w:val="20"/>
                <w:lang w:val="en-US"/>
              </w:rPr>
              <w:t>Age (years)</w:t>
            </w:r>
          </w:p>
        </w:tc>
        <w:tc>
          <w:tcPr>
            <w:tcW w:w="524" w:type="pct"/>
            <w:shd w:val="clear" w:color="auto" w:fill="auto"/>
            <w:vAlign w:val="center"/>
          </w:tcPr>
          <w:p w:rsidR="003B7746" w:rsidRPr="00E2771E" w:rsidRDefault="003B7746" w:rsidP="00D57585">
            <w:pPr>
              <w:jc w:val="center"/>
              <w:rPr>
                <w:rFonts w:ascii="Arial Narrow" w:hAnsi="Arial Narrow"/>
                <w:b/>
                <w:sz w:val="20"/>
                <w:lang w:val="en-US"/>
              </w:rPr>
            </w:pPr>
            <w:r>
              <w:rPr>
                <w:rFonts w:ascii="Arial Narrow" w:hAnsi="Arial Narrow"/>
                <w:b/>
                <w:sz w:val="20"/>
                <w:lang w:val="en-US"/>
              </w:rPr>
              <w:t>Ethnicity</w:t>
            </w:r>
          </w:p>
        </w:tc>
        <w:tc>
          <w:tcPr>
            <w:tcW w:w="614" w:type="pct"/>
            <w:vMerge/>
            <w:shd w:val="clear" w:color="auto" w:fill="auto"/>
            <w:vAlign w:val="center"/>
          </w:tcPr>
          <w:p w:rsidR="003B7746" w:rsidRPr="00E2771E" w:rsidRDefault="003B7746" w:rsidP="00D57585">
            <w:pPr>
              <w:jc w:val="center"/>
              <w:rPr>
                <w:rFonts w:ascii="Arial Narrow" w:hAnsi="Arial Narrow"/>
                <w:b/>
                <w:sz w:val="20"/>
                <w:lang w:val="en-US"/>
              </w:rPr>
            </w:pPr>
          </w:p>
        </w:tc>
      </w:tr>
      <w:tr w:rsidR="00BC71C7" w:rsidRPr="00E2771E" w:rsidTr="00554F7E">
        <w:tc>
          <w:tcPr>
            <w:tcW w:w="5000" w:type="pct"/>
            <w:gridSpan w:val="9"/>
            <w:vAlign w:val="center"/>
          </w:tcPr>
          <w:p w:rsidR="00BC71C7" w:rsidRPr="00E2771E" w:rsidRDefault="00BC71C7" w:rsidP="00D57585">
            <w:pPr>
              <w:jc w:val="left"/>
              <w:rPr>
                <w:rFonts w:ascii="Arial Narrow" w:hAnsi="Arial Narrow"/>
                <w:b/>
                <w:sz w:val="20"/>
                <w:lang w:val="en-US"/>
              </w:rPr>
            </w:pPr>
            <w:r>
              <w:rPr>
                <w:rFonts w:ascii="Arial Narrow" w:hAnsi="Arial Narrow"/>
                <w:b/>
                <w:sz w:val="20"/>
                <w:lang w:val="en-US"/>
              </w:rPr>
              <w:t>Bioequivalence trials</w:t>
            </w:r>
          </w:p>
        </w:tc>
      </w:tr>
      <w:tr w:rsidR="00BC71C7" w:rsidRPr="00E2771E" w:rsidTr="00554F7E">
        <w:tc>
          <w:tcPr>
            <w:tcW w:w="42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1276.5</w:t>
            </w:r>
          </w:p>
        </w:tc>
        <w:tc>
          <w:tcPr>
            <w:tcW w:w="196"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16</w:t>
            </w:r>
          </w:p>
        </w:tc>
        <w:tc>
          <w:tcPr>
            <w:tcW w:w="624"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R, OL, CO</w:t>
            </w:r>
          </w:p>
        </w:tc>
        <w:tc>
          <w:tcPr>
            <w:tcW w:w="958" w:type="pct"/>
            <w:vAlign w:val="center"/>
          </w:tcPr>
          <w:p w:rsidR="00BC71C7" w:rsidRPr="00E009B6" w:rsidRDefault="00BC71C7" w:rsidP="00D57585">
            <w:pPr>
              <w:pStyle w:val="COMtbl-textLeftAligned"/>
              <w:jc w:val="center"/>
              <w:rPr>
                <w:lang w:val="en-US"/>
              </w:rPr>
            </w:pPr>
            <w:r>
              <w:t>12.5mg/1</w:t>
            </w:r>
            <w:r w:rsidRPr="00E009B6">
              <w:t>000mg</w:t>
            </w:r>
          </w:p>
        </w:tc>
        <w:tc>
          <w:tcPr>
            <w:tcW w:w="60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Low</w:t>
            </w:r>
          </w:p>
        </w:tc>
        <w:tc>
          <w:tcPr>
            <w:tcW w:w="523" w:type="pct"/>
            <w:shd w:val="clear" w:color="auto" w:fill="auto"/>
            <w:vAlign w:val="center"/>
          </w:tcPr>
          <w:p w:rsidR="00BC71C7" w:rsidRPr="00E009B6" w:rsidRDefault="00BC71C7" w:rsidP="00D57585">
            <w:pPr>
              <w:pStyle w:val="COMtbl-textCentred"/>
              <w:rPr>
                <w:lang w:val="en-US"/>
              </w:rPr>
            </w:pPr>
            <w:r>
              <w:t xml:space="preserve">18.5 - </w:t>
            </w:r>
            <w:r w:rsidRPr="00505E47">
              <w:t>29.9</w:t>
            </w:r>
          </w:p>
        </w:tc>
        <w:tc>
          <w:tcPr>
            <w:tcW w:w="523" w:type="pct"/>
            <w:shd w:val="clear" w:color="auto" w:fill="auto"/>
            <w:vAlign w:val="center"/>
          </w:tcPr>
          <w:p w:rsidR="00BC71C7" w:rsidRPr="00E009B6" w:rsidRDefault="00BC71C7" w:rsidP="00D57585">
            <w:pPr>
              <w:pStyle w:val="COMtbl-textCentred"/>
              <w:rPr>
                <w:lang w:val="en-US"/>
              </w:rPr>
            </w:pPr>
            <w:r>
              <w:rPr>
                <w:lang w:val="en-US"/>
              </w:rPr>
              <w:t>18 – 55</w:t>
            </w:r>
          </w:p>
        </w:tc>
        <w:tc>
          <w:tcPr>
            <w:tcW w:w="524" w:type="pct"/>
            <w:shd w:val="clear" w:color="auto" w:fill="auto"/>
            <w:vAlign w:val="center"/>
          </w:tcPr>
          <w:p w:rsidR="00BC71C7" w:rsidRPr="00E009B6" w:rsidRDefault="00BC71C7" w:rsidP="00D57585">
            <w:pPr>
              <w:pStyle w:val="COMtbl-textCentred"/>
              <w:rPr>
                <w:lang w:val="en-US"/>
              </w:rPr>
            </w:pPr>
            <w:r>
              <w:rPr>
                <w:lang w:val="en-US"/>
              </w:rPr>
              <w:t>Caucasian</w:t>
            </w:r>
          </w:p>
        </w:tc>
        <w:tc>
          <w:tcPr>
            <w:tcW w:w="614" w:type="pct"/>
            <w:shd w:val="clear" w:color="auto" w:fill="auto"/>
            <w:vAlign w:val="center"/>
          </w:tcPr>
          <w:p w:rsidR="00BC71C7" w:rsidRPr="00E009B6" w:rsidRDefault="003B7746" w:rsidP="00D57585">
            <w:pPr>
              <w:pStyle w:val="COMtbl-textLeftAligned"/>
              <w:jc w:val="center"/>
              <w:rPr>
                <w:lang w:val="en-US"/>
              </w:rPr>
            </w:pPr>
            <w:r w:rsidRPr="003A234A">
              <w:t>AUC</w:t>
            </w:r>
            <w:r w:rsidRPr="003A234A">
              <w:rPr>
                <w:vertAlign w:val="subscript"/>
              </w:rPr>
              <w:t>0-infty</w:t>
            </w:r>
            <w:r>
              <w:rPr>
                <w:vertAlign w:val="subscript"/>
              </w:rPr>
              <w:t xml:space="preserve">, </w:t>
            </w:r>
            <w:r w:rsidRPr="003A234A">
              <w:t>C</w:t>
            </w:r>
            <w:r w:rsidRPr="003A234A">
              <w:rPr>
                <w:vertAlign w:val="subscript"/>
              </w:rPr>
              <w:t>max</w:t>
            </w:r>
          </w:p>
        </w:tc>
      </w:tr>
      <w:tr w:rsidR="00BC71C7" w:rsidRPr="00E2771E" w:rsidTr="00554F7E">
        <w:tc>
          <w:tcPr>
            <w:tcW w:w="42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1276.6</w:t>
            </w:r>
          </w:p>
        </w:tc>
        <w:tc>
          <w:tcPr>
            <w:tcW w:w="196"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24</w:t>
            </w:r>
          </w:p>
        </w:tc>
        <w:tc>
          <w:tcPr>
            <w:tcW w:w="624"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R, OL, CO</w:t>
            </w:r>
          </w:p>
        </w:tc>
        <w:tc>
          <w:tcPr>
            <w:tcW w:w="958" w:type="pct"/>
            <w:vAlign w:val="center"/>
          </w:tcPr>
          <w:p w:rsidR="00BC71C7" w:rsidRDefault="00BC71C7" w:rsidP="00D57585">
            <w:pPr>
              <w:pStyle w:val="COMtbl-textLeftAligned"/>
              <w:jc w:val="center"/>
            </w:pPr>
            <w:r w:rsidRPr="002071D1">
              <w:t>12.5mg/500mg</w:t>
            </w:r>
          </w:p>
          <w:p w:rsidR="00BC71C7" w:rsidRPr="00E009B6" w:rsidRDefault="00BC71C7" w:rsidP="00D57585">
            <w:pPr>
              <w:pStyle w:val="COMtbl-textLeftAligned"/>
              <w:jc w:val="center"/>
            </w:pPr>
            <w:r w:rsidRPr="002071D1">
              <w:t>5mg/500mg</w:t>
            </w:r>
          </w:p>
        </w:tc>
        <w:tc>
          <w:tcPr>
            <w:tcW w:w="60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Low</w:t>
            </w:r>
          </w:p>
        </w:tc>
        <w:tc>
          <w:tcPr>
            <w:tcW w:w="523" w:type="pct"/>
            <w:shd w:val="clear" w:color="auto" w:fill="auto"/>
            <w:vAlign w:val="center"/>
          </w:tcPr>
          <w:p w:rsidR="00BC71C7" w:rsidRPr="00E009B6" w:rsidRDefault="00BC71C7" w:rsidP="00D57585">
            <w:pPr>
              <w:pStyle w:val="COMtbl-textCentred"/>
              <w:rPr>
                <w:lang w:val="en-US"/>
              </w:rPr>
            </w:pPr>
            <w:r>
              <w:t>18.5 -</w:t>
            </w:r>
            <w:r w:rsidRPr="00505E47">
              <w:t xml:space="preserve"> 29.9</w:t>
            </w:r>
          </w:p>
        </w:tc>
        <w:tc>
          <w:tcPr>
            <w:tcW w:w="523" w:type="pct"/>
            <w:shd w:val="clear" w:color="auto" w:fill="auto"/>
            <w:vAlign w:val="center"/>
          </w:tcPr>
          <w:p w:rsidR="00BC71C7" w:rsidRPr="00E009B6" w:rsidRDefault="00BC71C7" w:rsidP="00D57585">
            <w:pPr>
              <w:pStyle w:val="COMtbl-textCentred"/>
              <w:rPr>
                <w:lang w:val="en-US"/>
              </w:rPr>
            </w:pPr>
            <w:r>
              <w:rPr>
                <w:lang w:val="en-US"/>
              </w:rPr>
              <w:t>18 – 50</w:t>
            </w:r>
          </w:p>
        </w:tc>
        <w:tc>
          <w:tcPr>
            <w:tcW w:w="524" w:type="pct"/>
            <w:shd w:val="clear" w:color="auto" w:fill="auto"/>
            <w:vAlign w:val="center"/>
          </w:tcPr>
          <w:p w:rsidR="00BC71C7" w:rsidRPr="00E009B6" w:rsidRDefault="00BC71C7" w:rsidP="00D57585">
            <w:pPr>
              <w:pStyle w:val="COMtbl-textCentred"/>
              <w:rPr>
                <w:lang w:val="en-US"/>
              </w:rPr>
            </w:pPr>
            <w:r>
              <w:rPr>
                <w:lang w:val="en-US"/>
              </w:rPr>
              <w:t>Caucasian</w:t>
            </w:r>
          </w:p>
        </w:tc>
        <w:tc>
          <w:tcPr>
            <w:tcW w:w="614" w:type="pct"/>
            <w:shd w:val="clear" w:color="auto" w:fill="auto"/>
            <w:vAlign w:val="center"/>
          </w:tcPr>
          <w:p w:rsidR="00BC71C7" w:rsidRPr="00E009B6" w:rsidRDefault="003B7746" w:rsidP="00D57585">
            <w:pPr>
              <w:pStyle w:val="COMtbl-textLeftAligned"/>
              <w:jc w:val="center"/>
              <w:rPr>
                <w:lang w:val="en-US"/>
              </w:rPr>
            </w:pPr>
            <w:r w:rsidRPr="003A234A">
              <w:t>AUC</w:t>
            </w:r>
            <w:r w:rsidRPr="003A234A">
              <w:rPr>
                <w:vertAlign w:val="subscript"/>
              </w:rPr>
              <w:t>0-infty</w:t>
            </w:r>
            <w:r>
              <w:rPr>
                <w:vertAlign w:val="subscript"/>
              </w:rPr>
              <w:t xml:space="preserve">, </w:t>
            </w:r>
            <w:r w:rsidRPr="003A234A">
              <w:t>C</w:t>
            </w:r>
            <w:r w:rsidRPr="003A234A">
              <w:rPr>
                <w:vertAlign w:val="subscript"/>
              </w:rPr>
              <w:t>max</w:t>
            </w:r>
          </w:p>
        </w:tc>
      </w:tr>
      <w:tr w:rsidR="00BC71C7" w:rsidRPr="00E2771E" w:rsidTr="00554F7E">
        <w:tc>
          <w:tcPr>
            <w:tcW w:w="42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1276.7</w:t>
            </w:r>
          </w:p>
        </w:tc>
        <w:tc>
          <w:tcPr>
            <w:tcW w:w="196"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36</w:t>
            </w:r>
          </w:p>
        </w:tc>
        <w:tc>
          <w:tcPr>
            <w:tcW w:w="624"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R, OL, CO</w:t>
            </w:r>
          </w:p>
        </w:tc>
        <w:tc>
          <w:tcPr>
            <w:tcW w:w="958" w:type="pct"/>
            <w:vAlign w:val="center"/>
          </w:tcPr>
          <w:p w:rsidR="00BC71C7" w:rsidRDefault="00BC71C7" w:rsidP="00D57585">
            <w:pPr>
              <w:pStyle w:val="COMtbl-textLeftAligned"/>
              <w:jc w:val="center"/>
            </w:pPr>
            <w:r w:rsidRPr="002071D1">
              <w:t>12.5mg/850mg</w:t>
            </w:r>
          </w:p>
          <w:p w:rsidR="00BC71C7" w:rsidRPr="00E009B6" w:rsidRDefault="00BC71C7" w:rsidP="00D57585">
            <w:pPr>
              <w:pStyle w:val="COMtbl-textLeftAligned"/>
              <w:jc w:val="center"/>
              <w:rPr>
                <w:lang w:val="en-US"/>
              </w:rPr>
            </w:pPr>
            <w:r w:rsidRPr="002071D1">
              <w:t>5mg/850mg</w:t>
            </w:r>
          </w:p>
        </w:tc>
        <w:tc>
          <w:tcPr>
            <w:tcW w:w="60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Low</w:t>
            </w:r>
          </w:p>
        </w:tc>
        <w:tc>
          <w:tcPr>
            <w:tcW w:w="523" w:type="pct"/>
            <w:shd w:val="clear" w:color="auto" w:fill="auto"/>
            <w:vAlign w:val="center"/>
          </w:tcPr>
          <w:p w:rsidR="00BC71C7" w:rsidRPr="00E009B6" w:rsidRDefault="00BC71C7" w:rsidP="00D57585">
            <w:pPr>
              <w:pStyle w:val="COMtbl-textCentred"/>
              <w:rPr>
                <w:lang w:val="en-US"/>
              </w:rPr>
            </w:pPr>
            <w:r>
              <w:t>18.5 -</w:t>
            </w:r>
            <w:r w:rsidRPr="00505E47">
              <w:t xml:space="preserve"> 29.9</w:t>
            </w:r>
          </w:p>
        </w:tc>
        <w:tc>
          <w:tcPr>
            <w:tcW w:w="523" w:type="pct"/>
            <w:shd w:val="clear" w:color="auto" w:fill="auto"/>
            <w:vAlign w:val="center"/>
          </w:tcPr>
          <w:p w:rsidR="00BC71C7" w:rsidRPr="00E009B6" w:rsidRDefault="00BC71C7" w:rsidP="00D57585">
            <w:pPr>
              <w:pStyle w:val="COMtbl-textCentred"/>
              <w:rPr>
                <w:lang w:val="en-US"/>
              </w:rPr>
            </w:pPr>
            <w:r>
              <w:rPr>
                <w:lang w:val="en-US"/>
              </w:rPr>
              <w:t>18 - 50</w:t>
            </w:r>
          </w:p>
        </w:tc>
        <w:tc>
          <w:tcPr>
            <w:tcW w:w="524" w:type="pct"/>
            <w:shd w:val="clear" w:color="auto" w:fill="auto"/>
            <w:vAlign w:val="center"/>
          </w:tcPr>
          <w:p w:rsidR="00BC71C7" w:rsidRPr="00E009B6" w:rsidRDefault="00BC71C7" w:rsidP="00D57585">
            <w:pPr>
              <w:pStyle w:val="COMtbl-textCentred"/>
              <w:rPr>
                <w:lang w:val="en-US"/>
              </w:rPr>
            </w:pPr>
            <w:r>
              <w:rPr>
                <w:lang w:val="en-US"/>
              </w:rPr>
              <w:t>Caucasian</w:t>
            </w:r>
          </w:p>
        </w:tc>
        <w:tc>
          <w:tcPr>
            <w:tcW w:w="614" w:type="pct"/>
            <w:shd w:val="clear" w:color="auto" w:fill="auto"/>
            <w:vAlign w:val="center"/>
          </w:tcPr>
          <w:p w:rsidR="00BC71C7" w:rsidRPr="00E009B6" w:rsidRDefault="003B7746" w:rsidP="00D57585">
            <w:pPr>
              <w:pStyle w:val="COMtbl-textLeftAligned"/>
              <w:jc w:val="center"/>
              <w:rPr>
                <w:lang w:val="en-US"/>
              </w:rPr>
            </w:pPr>
            <w:r w:rsidRPr="003A234A">
              <w:t>AUC</w:t>
            </w:r>
            <w:r w:rsidRPr="003A234A">
              <w:rPr>
                <w:vertAlign w:val="subscript"/>
              </w:rPr>
              <w:t>0-infty</w:t>
            </w:r>
            <w:r>
              <w:rPr>
                <w:vertAlign w:val="subscript"/>
              </w:rPr>
              <w:t xml:space="preserve">, </w:t>
            </w:r>
            <w:r w:rsidRPr="003A234A">
              <w:t>C</w:t>
            </w:r>
            <w:r w:rsidRPr="003A234A">
              <w:rPr>
                <w:vertAlign w:val="subscript"/>
              </w:rPr>
              <w:t>max</w:t>
            </w:r>
          </w:p>
        </w:tc>
      </w:tr>
      <w:tr w:rsidR="00BC71C7" w:rsidRPr="00E2771E" w:rsidTr="00554F7E">
        <w:tc>
          <w:tcPr>
            <w:tcW w:w="42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1276.8</w:t>
            </w:r>
          </w:p>
        </w:tc>
        <w:tc>
          <w:tcPr>
            <w:tcW w:w="196"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24</w:t>
            </w:r>
          </w:p>
        </w:tc>
        <w:tc>
          <w:tcPr>
            <w:tcW w:w="624"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R, OL, CO</w:t>
            </w:r>
          </w:p>
        </w:tc>
        <w:tc>
          <w:tcPr>
            <w:tcW w:w="958" w:type="pct"/>
            <w:vAlign w:val="center"/>
          </w:tcPr>
          <w:p w:rsidR="00BC71C7" w:rsidRDefault="00BC71C7" w:rsidP="00D57585">
            <w:pPr>
              <w:pStyle w:val="COMtbl-textLeftAligned"/>
              <w:jc w:val="center"/>
            </w:pPr>
            <w:r w:rsidRPr="002071D1">
              <w:t>12.5mg/1000mg</w:t>
            </w:r>
          </w:p>
          <w:p w:rsidR="00BC71C7" w:rsidRPr="00E009B6" w:rsidRDefault="00BC71C7" w:rsidP="00D57585">
            <w:pPr>
              <w:pStyle w:val="COMtbl-textLeftAligned"/>
              <w:jc w:val="center"/>
              <w:rPr>
                <w:lang w:val="en-US"/>
              </w:rPr>
            </w:pPr>
            <w:r w:rsidRPr="002071D1">
              <w:t>5mg/1000mg</w:t>
            </w:r>
          </w:p>
        </w:tc>
        <w:tc>
          <w:tcPr>
            <w:tcW w:w="60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Low</w:t>
            </w:r>
          </w:p>
        </w:tc>
        <w:tc>
          <w:tcPr>
            <w:tcW w:w="523" w:type="pct"/>
            <w:shd w:val="clear" w:color="auto" w:fill="auto"/>
            <w:vAlign w:val="center"/>
          </w:tcPr>
          <w:p w:rsidR="00BC71C7" w:rsidRPr="00E009B6" w:rsidRDefault="00BC71C7" w:rsidP="00D57585">
            <w:pPr>
              <w:pStyle w:val="COMtbl-textCentred"/>
              <w:rPr>
                <w:lang w:val="en-US"/>
              </w:rPr>
            </w:pPr>
            <w:r>
              <w:t>18.5 -</w:t>
            </w:r>
            <w:r w:rsidRPr="00505E47">
              <w:t xml:space="preserve"> 29.9</w:t>
            </w:r>
          </w:p>
        </w:tc>
        <w:tc>
          <w:tcPr>
            <w:tcW w:w="523" w:type="pct"/>
            <w:shd w:val="clear" w:color="auto" w:fill="auto"/>
            <w:vAlign w:val="center"/>
          </w:tcPr>
          <w:p w:rsidR="00BC71C7" w:rsidRPr="00E009B6" w:rsidRDefault="00BC71C7" w:rsidP="00D57585">
            <w:pPr>
              <w:pStyle w:val="COMtbl-textCentred"/>
              <w:rPr>
                <w:lang w:val="en-US"/>
              </w:rPr>
            </w:pPr>
            <w:r>
              <w:rPr>
                <w:lang w:val="en-US"/>
              </w:rPr>
              <w:t>18 - 50</w:t>
            </w:r>
          </w:p>
        </w:tc>
        <w:tc>
          <w:tcPr>
            <w:tcW w:w="524" w:type="pct"/>
            <w:shd w:val="clear" w:color="auto" w:fill="auto"/>
            <w:vAlign w:val="center"/>
          </w:tcPr>
          <w:p w:rsidR="00BC71C7" w:rsidRPr="00E009B6" w:rsidRDefault="00BC71C7" w:rsidP="00D57585">
            <w:pPr>
              <w:pStyle w:val="COMtbl-textCentred"/>
              <w:rPr>
                <w:lang w:val="en-US"/>
              </w:rPr>
            </w:pPr>
            <w:r>
              <w:rPr>
                <w:lang w:val="en-US"/>
              </w:rPr>
              <w:t>Caucasian</w:t>
            </w:r>
          </w:p>
        </w:tc>
        <w:tc>
          <w:tcPr>
            <w:tcW w:w="614" w:type="pct"/>
            <w:shd w:val="clear" w:color="auto" w:fill="auto"/>
            <w:vAlign w:val="center"/>
          </w:tcPr>
          <w:p w:rsidR="00BC71C7" w:rsidRPr="00E009B6" w:rsidRDefault="003B7746" w:rsidP="00D57585">
            <w:pPr>
              <w:pStyle w:val="COMtbl-textLeftAligned"/>
              <w:jc w:val="center"/>
              <w:rPr>
                <w:lang w:val="en-US"/>
              </w:rPr>
            </w:pPr>
            <w:r w:rsidRPr="003A234A">
              <w:t>AUC</w:t>
            </w:r>
            <w:r w:rsidRPr="003A234A">
              <w:rPr>
                <w:vertAlign w:val="subscript"/>
              </w:rPr>
              <w:t>0-infty</w:t>
            </w:r>
            <w:r>
              <w:rPr>
                <w:vertAlign w:val="subscript"/>
              </w:rPr>
              <w:t xml:space="preserve">, </w:t>
            </w:r>
            <w:r w:rsidRPr="003A234A">
              <w:t>C</w:t>
            </w:r>
            <w:r w:rsidRPr="003A234A">
              <w:rPr>
                <w:vertAlign w:val="subscript"/>
              </w:rPr>
              <w:t>max</w:t>
            </w:r>
          </w:p>
        </w:tc>
      </w:tr>
      <w:tr w:rsidR="00BC71C7" w:rsidRPr="00E2771E" w:rsidTr="00554F7E">
        <w:tc>
          <w:tcPr>
            <w:tcW w:w="42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1276.9</w:t>
            </w:r>
          </w:p>
        </w:tc>
        <w:tc>
          <w:tcPr>
            <w:tcW w:w="196"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16</w:t>
            </w:r>
          </w:p>
        </w:tc>
        <w:tc>
          <w:tcPr>
            <w:tcW w:w="624"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R, OL, CO</w:t>
            </w:r>
          </w:p>
        </w:tc>
        <w:tc>
          <w:tcPr>
            <w:tcW w:w="958" w:type="pct"/>
            <w:vAlign w:val="center"/>
          </w:tcPr>
          <w:p w:rsidR="00BC71C7" w:rsidRPr="009E48AE" w:rsidRDefault="00BC71C7" w:rsidP="00D57585">
            <w:pPr>
              <w:pStyle w:val="COMtbl-textLeftAligned"/>
              <w:jc w:val="center"/>
              <w:rPr>
                <w:vertAlign w:val="superscript"/>
              </w:rPr>
            </w:pPr>
            <w:r>
              <w:t>5mg EMPA twice daily</w:t>
            </w:r>
            <w:r>
              <w:rPr>
                <w:vertAlign w:val="superscript"/>
              </w:rPr>
              <w:t xml:space="preserve"> </w:t>
            </w:r>
            <w:r>
              <w:t>compared to 10</w:t>
            </w:r>
            <w:r w:rsidRPr="00246844">
              <w:t xml:space="preserve">mg </w:t>
            </w:r>
            <w:r>
              <w:t>EMPA</w:t>
            </w:r>
            <w:r w:rsidRPr="00246844">
              <w:t xml:space="preserve"> </w:t>
            </w:r>
            <w:r>
              <w:t>daily</w:t>
            </w:r>
            <w:r>
              <w:rPr>
                <w:vertAlign w:val="superscript"/>
              </w:rPr>
              <w:t>1</w:t>
            </w:r>
          </w:p>
        </w:tc>
        <w:tc>
          <w:tcPr>
            <w:tcW w:w="60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Low</w:t>
            </w:r>
          </w:p>
        </w:tc>
        <w:tc>
          <w:tcPr>
            <w:tcW w:w="523" w:type="pct"/>
            <w:shd w:val="clear" w:color="auto" w:fill="auto"/>
            <w:vAlign w:val="center"/>
          </w:tcPr>
          <w:p w:rsidR="00BC71C7" w:rsidRPr="00E009B6" w:rsidRDefault="00BC71C7" w:rsidP="00D57585">
            <w:pPr>
              <w:pStyle w:val="COMtbl-textCentred"/>
              <w:rPr>
                <w:lang w:val="en-US"/>
              </w:rPr>
            </w:pPr>
            <w:r>
              <w:t>18.5 -</w:t>
            </w:r>
            <w:r w:rsidRPr="00505E47">
              <w:t xml:space="preserve"> 29.9</w:t>
            </w:r>
          </w:p>
        </w:tc>
        <w:tc>
          <w:tcPr>
            <w:tcW w:w="523" w:type="pct"/>
            <w:shd w:val="clear" w:color="auto" w:fill="auto"/>
            <w:vAlign w:val="center"/>
          </w:tcPr>
          <w:p w:rsidR="00BC71C7" w:rsidRPr="00E009B6" w:rsidRDefault="00BC71C7" w:rsidP="00D57585">
            <w:pPr>
              <w:pStyle w:val="COMtbl-textCentred"/>
              <w:rPr>
                <w:lang w:val="en-US"/>
              </w:rPr>
            </w:pPr>
            <w:r>
              <w:rPr>
                <w:lang w:val="en-US"/>
              </w:rPr>
              <w:t>18 – 50</w:t>
            </w:r>
          </w:p>
        </w:tc>
        <w:tc>
          <w:tcPr>
            <w:tcW w:w="524" w:type="pct"/>
            <w:shd w:val="clear" w:color="auto" w:fill="auto"/>
            <w:vAlign w:val="center"/>
          </w:tcPr>
          <w:p w:rsidR="00BC71C7" w:rsidRPr="00E009B6" w:rsidRDefault="00BC71C7" w:rsidP="00D57585">
            <w:pPr>
              <w:pStyle w:val="COMtbl-textCentred"/>
              <w:rPr>
                <w:lang w:val="en-US"/>
              </w:rPr>
            </w:pPr>
            <w:r>
              <w:rPr>
                <w:lang w:val="en-US"/>
              </w:rPr>
              <w:t>Caucasian</w:t>
            </w:r>
          </w:p>
        </w:tc>
        <w:tc>
          <w:tcPr>
            <w:tcW w:w="614" w:type="pct"/>
            <w:shd w:val="clear" w:color="auto" w:fill="auto"/>
            <w:vAlign w:val="center"/>
          </w:tcPr>
          <w:p w:rsidR="00BC71C7" w:rsidRPr="00E009B6" w:rsidRDefault="003B7746" w:rsidP="00D57585">
            <w:pPr>
              <w:jc w:val="center"/>
              <w:rPr>
                <w:rFonts w:ascii="Arial Narrow" w:hAnsi="Arial Narrow"/>
                <w:sz w:val="20"/>
                <w:lang w:val="en-US"/>
              </w:rPr>
            </w:pPr>
            <w:r w:rsidRPr="003A234A">
              <w:rPr>
                <w:rFonts w:ascii="Arial Narrow" w:hAnsi="Arial Narrow" w:cstheme="minorHAnsi"/>
                <w:sz w:val="20"/>
              </w:rPr>
              <w:t>AUC</w:t>
            </w:r>
            <w:r w:rsidRPr="003A234A">
              <w:rPr>
                <w:rFonts w:ascii="Arial Narrow" w:hAnsi="Arial Narrow" w:cstheme="minorHAnsi"/>
                <w:sz w:val="20"/>
                <w:vertAlign w:val="subscript"/>
              </w:rPr>
              <w:t>0-24,ss</w:t>
            </w:r>
            <w:r w:rsidRPr="003A234A">
              <w:rPr>
                <w:rFonts w:ascii="Arial Narrow" w:hAnsi="Arial Narrow" w:cstheme="minorHAnsi"/>
                <w:sz w:val="20"/>
              </w:rPr>
              <w:t xml:space="preserve"> C</w:t>
            </w:r>
            <w:r w:rsidRPr="003A234A">
              <w:rPr>
                <w:rFonts w:ascii="Arial Narrow" w:hAnsi="Arial Narrow" w:cstheme="minorHAnsi"/>
                <w:sz w:val="20"/>
                <w:vertAlign w:val="subscript"/>
              </w:rPr>
              <w:t>max,ss</w:t>
            </w:r>
          </w:p>
        </w:tc>
      </w:tr>
      <w:tr w:rsidR="00BC71C7" w:rsidRPr="00E2771E" w:rsidTr="00554F7E">
        <w:tc>
          <w:tcPr>
            <w:tcW w:w="42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1276.23</w:t>
            </w:r>
          </w:p>
        </w:tc>
        <w:tc>
          <w:tcPr>
            <w:tcW w:w="196"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96</w:t>
            </w:r>
          </w:p>
        </w:tc>
        <w:tc>
          <w:tcPr>
            <w:tcW w:w="624"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R, OL, CO</w:t>
            </w:r>
          </w:p>
        </w:tc>
        <w:tc>
          <w:tcPr>
            <w:tcW w:w="958" w:type="pct"/>
            <w:vAlign w:val="center"/>
          </w:tcPr>
          <w:p w:rsidR="00BC71C7" w:rsidRDefault="00BC71C7" w:rsidP="00D57585">
            <w:pPr>
              <w:pStyle w:val="COMtbl-textLeftAligned"/>
              <w:jc w:val="center"/>
            </w:pPr>
            <w:r w:rsidRPr="002071D1">
              <w:t>12.5mg/500mg</w:t>
            </w:r>
          </w:p>
          <w:p w:rsidR="00BC71C7" w:rsidRDefault="00BC71C7" w:rsidP="00D57585">
            <w:pPr>
              <w:pStyle w:val="COMtbl-textLeftAligned"/>
              <w:jc w:val="center"/>
            </w:pPr>
            <w:r w:rsidRPr="002071D1">
              <w:t>12.5mg/850mg</w:t>
            </w:r>
          </w:p>
          <w:p w:rsidR="00BC71C7" w:rsidRDefault="00BC71C7" w:rsidP="00D57585">
            <w:pPr>
              <w:pStyle w:val="COMtbl-textLeftAligned"/>
              <w:jc w:val="center"/>
            </w:pPr>
            <w:r w:rsidRPr="002071D1">
              <w:t>5mg/500mg</w:t>
            </w:r>
          </w:p>
          <w:p w:rsidR="00BC71C7" w:rsidRPr="00E009B6" w:rsidRDefault="00BC71C7" w:rsidP="00D57585">
            <w:pPr>
              <w:pStyle w:val="COMtbl-textLeftAligned"/>
              <w:jc w:val="center"/>
            </w:pPr>
            <w:r>
              <w:t>5mg/85</w:t>
            </w:r>
            <w:r w:rsidRPr="002071D1">
              <w:t>0mg</w:t>
            </w:r>
          </w:p>
        </w:tc>
        <w:tc>
          <w:tcPr>
            <w:tcW w:w="60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Low</w:t>
            </w:r>
          </w:p>
        </w:tc>
        <w:tc>
          <w:tcPr>
            <w:tcW w:w="523" w:type="pct"/>
            <w:shd w:val="clear" w:color="auto" w:fill="auto"/>
            <w:vAlign w:val="center"/>
          </w:tcPr>
          <w:p w:rsidR="00BC71C7" w:rsidRPr="00E009B6" w:rsidRDefault="00BC71C7" w:rsidP="00D57585">
            <w:pPr>
              <w:pStyle w:val="COMtbl-textCentred"/>
              <w:rPr>
                <w:lang w:val="en-US"/>
              </w:rPr>
            </w:pPr>
            <w:r>
              <w:rPr>
                <w:lang w:val="en-US"/>
              </w:rPr>
              <w:t>19 - 24</w:t>
            </w:r>
          </w:p>
        </w:tc>
        <w:tc>
          <w:tcPr>
            <w:tcW w:w="523" w:type="pct"/>
            <w:shd w:val="clear" w:color="auto" w:fill="auto"/>
            <w:vAlign w:val="center"/>
          </w:tcPr>
          <w:p w:rsidR="00BC71C7" w:rsidRPr="00E009B6" w:rsidRDefault="00BC71C7" w:rsidP="00D57585">
            <w:pPr>
              <w:pStyle w:val="COMtbl-textCentred"/>
              <w:rPr>
                <w:lang w:val="en-US"/>
              </w:rPr>
            </w:pPr>
            <w:r>
              <w:rPr>
                <w:lang w:val="en-US"/>
              </w:rPr>
              <w:t>18 – 40</w:t>
            </w:r>
          </w:p>
        </w:tc>
        <w:tc>
          <w:tcPr>
            <w:tcW w:w="524" w:type="pct"/>
            <w:shd w:val="clear" w:color="auto" w:fill="auto"/>
            <w:vAlign w:val="center"/>
          </w:tcPr>
          <w:p w:rsidR="00BC71C7" w:rsidRPr="00E009B6" w:rsidRDefault="00BC71C7" w:rsidP="00D57585">
            <w:pPr>
              <w:pStyle w:val="COMtbl-textCentred"/>
              <w:rPr>
                <w:lang w:val="en-US"/>
              </w:rPr>
            </w:pPr>
            <w:r>
              <w:rPr>
                <w:lang w:val="en-US"/>
              </w:rPr>
              <w:t>Asian</w:t>
            </w:r>
          </w:p>
        </w:tc>
        <w:tc>
          <w:tcPr>
            <w:tcW w:w="614" w:type="pct"/>
            <w:shd w:val="clear" w:color="auto" w:fill="auto"/>
            <w:vAlign w:val="center"/>
          </w:tcPr>
          <w:p w:rsidR="00BC71C7" w:rsidRPr="00E009B6" w:rsidRDefault="003B7746" w:rsidP="00D57585">
            <w:pPr>
              <w:pStyle w:val="COMtbl-textLeftAligned"/>
              <w:jc w:val="center"/>
              <w:rPr>
                <w:lang w:val="en-US"/>
              </w:rPr>
            </w:pPr>
            <w:r w:rsidRPr="003A234A">
              <w:t>AUC</w:t>
            </w:r>
            <w:r w:rsidRPr="003A234A">
              <w:rPr>
                <w:vertAlign w:val="subscript"/>
              </w:rPr>
              <w:t>0-infty</w:t>
            </w:r>
            <w:r>
              <w:rPr>
                <w:vertAlign w:val="subscript"/>
              </w:rPr>
              <w:t xml:space="preserve">, </w:t>
            </w:r>
            <w:r w:rsidRPr="003A234A">
              <w:t>C</w:t>
            </w:r>
            <w:r w:rsidRPr="003A234A">
              <w:rPr>
                <w:vertAlign w:val="subscript"/>
              </w:rPr>
              <w:t>max</w:t>
            </w:r>
          </w:p>
        </w:tc>
      </w:tr>
      <w:tr w:rsidR="00BC71C7" w:rsidRPr="00E2771E" w:rsidTr="00554F7E">
        <w:tc>
          <w:tcPr>
            <w:tcW w:w="42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1276.24</w:t>
            </w:r>
          </w:p>
        </w:tc>
        <w:tc>
          <w:tcPr>
            <w:tcW w:w="196"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32</w:t>
            </w:r>
          </w:p>
        </w:tc>
        <w:tc>
          <w:tcPr>
            <w:tcW w:w="624"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R, OL, CO</w:t>
            </w:r>
          </w:p>
        </w:tc>
        <w:tc>
          <w:tcPr>
            <w:tcW w:w="958" w:type="pct"/>
            <w:vAlign w:val="center"/>
          </w:tcPr>
          <w:p w:rsidR="00BC71C7" w:rsidRPr="00E009B6" w:rsidRDefault="00BC71C7" w:rsidP="00D57585">
            <w:pPr>
              <w:pStyle w:val="COMtbl-textLeftAligned"/>
              <w:jc w:val="center"/>
              <w:rPr>
                <w:lang w:val="en-US"/>
              </w:rPr>
            </w:pPr>
            <w:r w:rsidRPr="002071D1">
              <w:t>12.5mg/500mg</w:t>
            </w:r>
          </w:p>
        </w:tc>
        <w:tc>
          <w:tcPr>
            <w:tcW w:w="609" w:type="pct"/>
            <w:shd w:val="clear" w:color="auto" w:fill="auto"/>
            <w:vAlign w:val="center"/>
          </w:tcPr>
          <w:p w:rsidR="00BC71C7" w:rsidRPr="00E009B6" w:rsidRDefault="00BC71C7" w:rsidP="00D57585">
            <w:pPr>
              <w:jc w:val="center"/>
              <w:rPr>
                <w:rFonts w:ascii="Arial Narrow" w:hAnsi="Arial Narrow"/>
                <w:sz w:val="20"/>
                <w:lang w:val="en-US"/>
              </w:rPr>
            </w:pPr>
            <w:r w:rsidRPr="00E009B6">
              <w:rPr>
                <w:rFonts w:ascii="Arial Narrow" w:hAnsi="Arial Narrow"/>
                <w:sz w:val="20"/>
                <w:lang w:val="en-US"/>
              </w:rPr>
              <w:t>Low</w:t>
            </w:r>
          </w:p>
        </w:tc>
        <w:tc>
          <w:tcPr>
            <w:tcW w:w="523" w:type="pct"/>
            <w:shd w:val="clear" w:color="auto" w:fill="auto"/>
            <w:vAlign w:val="center"/>
          </w:tcPr>
          <w:p w:rsidR="00BC71C7" w:rsidRPr="00E009B6" w:rsidRDefault="00BC71C7" w:rsidP="00D57585">
            <w:pPr>
              <w:pStyle w:val="COMtbl-textCentred"/>
              <w:rPr>
                <w:lang w:val="en-US"/>
              </w:rPr>
            </w:pPr>
            <w:r>
              <w:t>18.5 -</w:t>
            </w:r>
            <w:r w:rsidRPr="00505E47">
              <w:t xml:space="preserve"> 29.9</w:t>
            </w:r>
          </w:p>
        </w:tc>
        <w:tc>
          <w:tcPr>
            <w:tcW w:w="523" w:type="pct"/>
            <w:shd w:val="clear" w:color="auto" w:fill="auto"/>
            <w:vAlign w:val="center"/>
          </w:tcPr>
          <w:p w:rsidR="00BC71C7" w:rsidRPr="00E009B6" w:rsidRDefault="00BC71C7" w:rsidP="00D57585">
            <w:pPr>
              <w:pStyle w:val="COMtbl-textCentred"/>
              <w:rPr>
                <w:lang w:val="en-US"/>
              </w:rPr>
            </w:pPr>
            <w:r>
              <w:rPr>
                <w:lang w:val="en-US"/>
              </w:rPr>
              <w:t>18 - 50</w:t>
            </w:r>
          </w:p>
        </w:tc>
        <w:tc>
          <w:tcPr>
            <w:tcW w:w="524" w:type="pct"/>
            <w:shd w:val="clear" w:color="auto" w:fill="auto"/>
            <w:vAlign w:val="center"/>
          </w:tcPr>
          <w:p w:rsidR="00BC71C7" w:rsidRPr="00E009B6" w:rsidRDefault="00BC71C7" w:rsidP="00D57585">
            <w:pPr>
              <w:pStyle w:val="COMtbl-textCentred"/>
              <w:rPr>
                <w:lang w:val="en-US"/>
              </w:rPr>
            </w:pPr>
            <w:r>
              <w:rPr>
                <w:lang w:val="en-US"/>
              </w:rPr>
              <w:t>Predom-inantly  Caucasian</w:t>
            </w:r>
          </w:p>
        </w:tc>
        <w:tc>
          <w:tcPr>
            <w:tcW w:w="614" w:type="pct"/>
            <w:shd w:val="clear" w:color="auto" w:fill="auto"/>
            <w:vAlign w:val="center"/>
          </w:tcPr>
          <w:p w:rsidR="00BC71C7" w:rsidRPr="003B7746" w:rsidRDefault="003B7746" w:rsidP="00D57585">
            <w:pPr>
              <w:pStyle w:val="COMtbl-textLeftAligned"/>
              <w:jc w:val="center"/>
              <w:rPr>
                <w:lang w:val="en-US"/>
              </w:rPr>
            </w:pPr>
            <w:r w:rsidRPr="003B7746">
              <w:rPr>
                <w:rFonts w:cstheme="minorHAnsi"/>
              </w:rPr>
              <w:t>AUC</w:t>
            </w:r>
            <w:r w:rsidRPr="003B7746">
              <w:rPr>
                <w:rFonts w:cstheme="minorHAnsi"/>
                <w:vertAlign w:val="subscript"/>
              </w:rPr>
              <w:t>0-tz</w:t>
            </w:r>
            <w:r>
              <w:rPr>
                <w:rFonts w:cstheme="minorHAnsi"/>
              </w:rPr>
              <w:t xml:space="preserve">, </w:t>
            </w:r>
            <w:r w:rsidRPr="003B7746">
              <w:rPr>
                <w:rFonts w:cstheme="minorHAnsi"/>
              </w:rPr>
              <w:t>C</w:t>
            </w:r>
            <w:r w:rsidRPr="003B7746">
              <w:rPr>
                <w:rFonts w:cstheme="minorHAnsi"/>
                <w:vertAlign w:val="subscript"/>
              </w:rPr>
              <w:t xml:space="preserve">max </w:t>
            </w:r>
            <w:r w:rsidRPr="003B7746">
              <w:rPr>
                <w:rFonts w:cstheme="minorHAnsi"/>
              </w:rPr>
              <w:t>(metformin only)</w:t>
            </w:r>
          </w:p>
        </w:tc>
      </w:tr>
    </w:tbl>
    <w:p w:rsidR="00BC71C7" w:rsidRDefault="00BC71C7" w:rsidP="00D57585">
      <w:pPr>
        <w:pStyle w:val="TableFooter"/>
        <w:ind w:firstLine="720"/>
      </w:pPr>
      <w:r w:rsidRPr="0072416F">
        <w:t>Source: compiled during the evaluation</w:t>
      </w:r>
      <w:r>
        <w:t>.</w:t>
      </w:r>
    </w:p>
    <w:p w:rsidR="00BC71C7" w:rsidRDefault="00BC71C7" w:rsidP="00D57585">
      <w:pPr>
        <w:pStyle w:val="TableFooter"/>
        <w:ind w:firstLine="720"/>
      </w:pPr>
      <w:r>
        <w:rPr>
          <w:vertAlign w:val="superscript"/>
        </w:rPr>
        <w:t>1</w:t>
      </w:r>
      <w:r>
        <w:t>Trial 1276.9 assessed bioequivalence of 5mg empagliflozin twice daily to empagliflozin 10mg once daily.</w:t>
      </w:r>
    </w:p>
    <w:p w:rsidR="00BC71C7" w:rsidRPr="0090362B" w:rsidRDefault="00BC71C7" w:rsidP="00554F7E">
      <w:pPr>
        <w:pStyle w:val="TableFooter"/>
        <w:ind w:left="720"/>
      </w:pPr>
      <w:r>
        <w:t xml:space="preserve">Abbreviations: FDC, fixed dose combination; IR, immediate release; BMI, body mass index; R, randomised; OL, open-label; CO, cross over; </w:t>
      </w:r>
      <w:r w:rsidR="003B7746" w:rsidRPr="003A234A">
        <w:rPr>
          <w:szCs w:val="18"/>
        </w:rPr>
        <w:t>AUC</w:t>
      </w:r>
      <w:r w:rsidR="003B7746" w:rsidRPr="003A234A">
        <w:rPr>
          <w:szCs w:val="18"/>
          <w:vertAlign w:val="subscript"/>
        </w:rPr>
        <w:t>0-infty</w:t>
      </w:r>
      <w:r w:rsidR="003B7746" w:rsidRPr="003A234A">
        <w:rPr>
          <w:szCs w:val="18"/>
        </w:rPr>
        <w:t>, area under the concentration-time curve of the analyte in plasma over the time from 0 to infinity;</w:t>
      </w:r>
      <w:r>
        <w:t xml:space="preserve"> </w:t>
      </w:r>
      <w:r w:rsidR="003B7746" w:rsidRPr="003A234A">
        <w:rPr>
          <w:szCs w:val="18"/>
        </w:rPr>
        <w:t>C</w:t>
      </w:r>
      <w:r w:rsidR="003B7746" w:rsidRPr="003A234A">
        <w:rPr>
          <w:szCs w:val="18"/>
          <w:vertAlign w:val="subscript"/>
        </w:rPr>
        <w:t>max</w:t>
      </w:r>
      <w:r w:rsidR="003B7746" w:rsidRPr="003A234A">
        <w:rPr>
          <w:szCs w:val="18"/>
        </w:rPr>
        <w:t>, maximum plasma concentration</w:t>
      </w:r>
      <w:r w:rsidR="003B7746">
        <w:rPr>
          <w:szCs w:val="18"/>
        </w:rPr>
        <w:t xml:space="preserve">; </w:t>
      </w:r>
      <w:r w:rsidR="003B7746" w:rsidRPr="003A234A">
        <w:rPr>
          <w:szCs w:val="18"/>
        </w:rPr>
        <w:t>AUC</w:t>
      </w:r>
      <w:r w:rsidR="003B7746" w:rsidRPr="003A234A">
        <w:rPr>
          <w:szCs w:val="18"/>
          <w:vertAlign w:val="subscript"/>
        </w:rPr>
        <w:t>0-tz</w:t>
      </w:r>
      <w:r w:rsidR="003B7746" w:rsidRPr="003A234A">
        <w:rPr>
          <w:szCs w:val="18"/>
        </w:rPr>
        <w:t>, area under the plasma concentration-time curve from time 0 to time t</w:t>
      </w:r>
      <w:r w:rsidR="003B7746" w:rsidRPr="003A234A">
        <w:rPr>
          <w:szCs w:val="18"/>
          <w:vertAlign w:val="subscript"/>
        </w:rPr>
        <w:t>z</w:t>
      </w:r>
      <w:r w:rsidR="003B7746" w:rsidRPr="003A234A">
        <w:rPr>
          <w:szCs w:val="18"/>
        </w:rPr>
        <w:t xml:space="preserve"> of the last measurable concentration</w:t>
      </w:r>
      <w:r w:rsidR="003B7746">
        <w:rPr>
          <w:szCs w:val="18"/>
        </w:rPr>
        <w:t xml:space="preserve">; </w:t>
      </w:r>
      <w:r w:rsidR="003B7746" w:rsidRPr="003A234A">
        <w:rPr>
          <w:szCs w:val="18"/>
        </w:rPr>
        <w:t>C</w:t>
      </w:r>
      <w:r w:rsidR="003B7746" w:rsidRPr="003A234A">
        <w:rPr>
          <w:szCs w:val="18"/>
          <w:vertAlign w:val="subscript"/>
        </w:rPr>
        <w:t>max,ss</w:t>
      </w:r>
      <w:r w:rsidR="003B7746" w:rsidRPr="003A234A">
        <w:rPr>
          <w:szCs w:val="18"/>
        </w:rPr>
        <w:t>, maximum measured concentration of the analyte in plasma at steady state</w:t>
      </w:r>
      <w:r w:rsidR="003B7746">
        <w:rPr>
          <w:szCs w:val="18"/>
        </w:rPr>
        <w:t>.</w:t>
      </w:r>
    </w:p>
    <w:p w:rsidR="007F1017" w:rsidRDefault="007F1017" w:rsidP="00D57585"/>
    <w:p w:rsidR="00B60939" w:rsidRPr="00B27AD1" w:rsidRDefault="00B60939" w:rsidP="0070102D">
      <w:pPr>
        <w:pStyle w:val="Heading2"/>
      </w:pPr>
      <w:bookmarkStart w:id="11" w:name="_Toc430102470"/>
      <w:r w:rsidRPr="00B27AD1">
        <w:t>Comparative effectiveness</w:t>
      </w:r>
      <w:bookmarkEnd w:id="11"/>
    </w:p>
    <w:p w:rsidR="00B60939" w:rsidRPr="00882085" w:rsidRDefault="00B60939" w:rsidP="00D57585">
      <w:pPr>
        <w:rPr>
          <w:szCs w:val="22"/>
        </w:rPr>
      </w:pPr>
    </w:p>
    <w:p w:rsidR="00CD16D0" w:rsidRDefault="008C3493" w:rsidP="000028F6">
      <w:pPr>
        <w:pStyle w:val="ListParagraph"/>
        <w:widowControl/>
        <w:numPr>
          <w:ilvl w:val="1"/>
          <w:numId w:val="3"/>
        </w:numPr>
        <w:rPr>
          <w:szCs w:val="22"/>
        </w:rPr>
      </w:pPr>
      <w:r>
        <w:rPr>
          <w:szCs w:val="22"/>
        </w:rPr>
        <w:t>The results of bioequivalence study</w:t>
      </w:r>
      <w:r w:rsidR="007939FF">
        <w:rPr>
          <w:szCs w:val="22"/>
        </w:rPr>
        <w:t xml:space="preserve"> 1276.9, which compared empag</w:t>
      </w:r>
      <w:r w:rsidR="003104C4">
        <w:rPr>
          <w:szCs w:val="22"/>
        </w:rPr>
        <w:t>li</w:t>
      </w:r>
      <w:r w:rsidR="007939FF">
        <w:rPr>
          <w:szCs w:val="22"/>
        </w:rPr>
        <w:t>fl</w:t>
      </w:r>
      <w:r>
        <w:rPr>
          <w:szCs w:val="22"/>
        </w:rPr>
        <w:t xml:space="preserve">ozin 10mg once daily to empagliflozin 5mg twice daily are presented in </w:t>
      </w:r>
      <w:r w:rsidR="00CD16D0">
        <w:rPr>
          <w:szCs w:val="22"/>
        </w:rPr>
        <w:t>Table 3.</w:t>
      </w:r>
    </w:p>
    <w:p w:rsidR="008C3493" w:rsidRDefault="008C3493" w:rsidP="00D57585">
      <w:pPr>
        <w:pStyle w:val="ListParagraph"/>
        <w:widowControl/>
        <w:rPr>
          <w:szCs w:val="22"/>
        </w:rPr>
      </w:pPr>
    </w:p>
    <w:p w:rsidR="00E56B2E" w:rsidRDefault="00E56B2E">
      <w:pPr>
        <w:widowControl/>
        <w:jc w:val="left"/>
        <w:rPr>
          <w:rFonts w:ascii="Arial Narrow" w:hAnsi="Arial Narrow"/>
          <w:b/>
          <w:sz w:val="20"/>
        </w:rPr>
      </w:pPr>
      <w:r>
        <w:rPr>
          <w:rFonts w:ascii="Arial Narrow" w:hAnsi="Arial Narrow"/>
          <w:b/>
          <w:sz w:val="20"/>
        </w:rPr>
        <w:br w:type="page"/>
      </w:r>
    </w:p>
    <w:p w:rsidR="008C3493" w:rsidRPr="00907472" w:rsidRDefault="00D55132" w:rsidP="00D57585">
      <w:pPr>
        <w:ind w:left="720"/>
        <w:rPr>
          <w:rFonts w:ascii="Arial Narrow" w:hAnsi="Arial Narrow"/>
          <w:b/>
          <w:sz w:val="20"/>
        </w:rPr>
      </w:pPr>
      <w:r>
        <w:rPr>
          <w:rFonts w:ascii="Arial Narrow" w:hAnsi="Arial Narrow"/>
          <w:b/>
          <w:sz w:val="20"/>
        </w:rPr>
        <w:lastRenderedPageBreak/>
        <w:t>Table 3</w:t>
      </w:r>
      <w:r w:rsidR="008C3493" w:rsidRPr="00FE1173">
        <w:rPr>
          <w:rFonts w:ascii="Arial Narrow" w:hAnsi="Arial Narrow"/>
          <w:b/>
          <w:sz w:val="20"/>
        </w:rPr>
        <w:t xml:space="preserve">: Bioequivalence of </w:t>
      </w:r>
      <w:r w:rsidR="008C3493">
        <w:rPr>
          <w:rFonts w:ascii="Arial Narrow" w:hAnsi="Arial Narrow"/>
          <w:b/>
          <w:sz w:val="20"/>
        </w:rPr>
        <w:t>empagliflozin 5mg twice daily to empagliflozin 10mg daily in healthy adult</w:t>
      </w:r>
      <w:r w:rsidR="0090362B">
        <w:rPr>
          <w:rFonts w:ascii="Arial Narrow" w:hAnsi="Arial Narrow"/>
          <w:b/>
          <w:sz w:val="20"/>
        </w:rPr>
        <w:t>s</w:t>
      </w:r>
    </w:p>
    <w:tbl>
      <w:tblPr>
        <w:tblW w:w="4589"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ioequivalence summary"/>
        <w:tblDescription w:val="Empagliflozin 5mg twice daily vs. empagliflosin 10mg once daily bioequivalence summary"/>
      </w:tblPr>
      <w:tblGrid>
        <w:gridCol w:w="1011"/>
        <w:gridCol w:w="3185"/>
        <w:gridCol w:w="4287"/>
      </w:tblGrid>
      <w:tr w:rsidR="008C3493" w:rsidRPr="00A56200" w:rsidTr="00554F7E">
        <w:tc>
          <w:tcPr>
            <w:tcW w:w="596" w:type="pct"/>
            <w:vMerge w:val="restart"/>
            <w:tcBorders>
              <w:right w:val="single" w:sz="4" w:space="0" w:color="auto"/>
            </w:tcBorders>
            <w:vAlign w:val="center"/>
          </w:tcPr>
          <w:p w:rsidR="008C3493" w:rsidRPr="00A56200" w:rsidRDefault="008C3493" w:rsidP="00D57585">
            <w:pPr>
              <w:pStyle w:val="COMtbl-HEADCentred"/>
              <w:keepNext/>
              <w:jc w:val="left"/>
            </w:pPr>
            <w:r>
              <w:t>Trial</w:t>
            </w:r>
          </w:p>
        </w:tc>
        <w:tc>
          <w:tcPr>
            <w:tcW w:w="1877" w:type="pct"/>
            <w:vMerge w:val="restart"/>
            <w:tcBorders>
              <w:right w:val="single" w:sz="4" w:space="0" w:color="auto"/>
            </w:tcBorders>
            <w:vAlign w:val="center"/>
          </w:tcPr>
          <w:p w:rsidR="008C3493" w:rsidRPr="00A56200" w:rsidRDefault="008C3493" w:rsidP="00D57585">
            <w:pPr>
              <w:pStyle w:val="COMtbl-HEADCentred"/>
              <w:keepNext/>
            </w:pPr>
            <w:r>
              <w:t>Regimes compared</w:t>
            </w:r>
          </w:p>
        </w:tc>
        <w:tc>
          <w:tcPr>
            <w:tcW w:w="2527" w:type="pct"/>
            <w:tcBorders>
              <w:left w:val="single" w:sz="4" w:space="0" w:color="auto"/>
            </w:tcBorders>
            <w:vAlign w:val="center"/>
          </w:tcPr>
          <w:p w:rsidR="008C3493" w:rsidRPr="00A56200" w:rsidRDefault="008C3493" w:rsidP="00D57585">
            <w:pPr>
              <w:widowControl/>
              <w:jc w:val="center"/>
              <w:rPr>
                <w:b/>
              </w:rPr>
            </w:pPr>
            <w:r>
              <w:rPr>
                <w:rFonts w:ascii="Arial Narrow" w:hAnsi="Arial Narrow"/>
                <w:b/>
                <w:sz w:val="20"/>
              </w:rPr>
              <w:t>G</w:t>
            </w:r>
            <w:r w:rsidRPr="0069002F">
              <w:rPr>
                <w:rFonts w:ascii="Arial Narrow" w:hAnsi="Arial Narrow"/>
                <w:b/>
                <w:sz w:val="20"/>
              </w:rPr>
              <w:t>eometric mean ratio</w:t>
            </w:r>
            <w:r>
              <w:rPr>
                <w:rFonts w:ascii="Arial Narrow" w:hAnsi="Arial Narrow"/>
                <w:b/>
                <w:sz w:val="20"/>
              </w:rPr>
              <w:t>, %</w:t>
            </w:r>
            <w:r w:rsidRPr="0069002F">
              <w:rPr>
                <w:rFonts w:ascii="Arial Narrow" w:hAnsi="Arial Narrow"/>
                <w:b/>
                <w:sz w:val="20"/>
              </w:rPr>
              <w:t xml:space="preserve"> (90% CI)</w:t>
            </w:r>
          </w:p>
        </w:tc>
      </w:tr>
      <w:tr w:rsidR="007615C8" w:rsidRPr="00D27C4B" w:rsidTr="00554F7E">
        <w:tc>
          <w:tcPr>
            <w:tcW w:w="596" w:type="pct"/>
            <w:vMerge/>
            <w:tcBorders>
              <w:bottom w:val="single" w:sz="4" w:space="0" w:color="auto"/>
              <w:right w:val="single" w:sz="4" w:space="0" w:color="auto"/>
            </w:tcBorders>
            <w:vAlign w:val="center"/>
          </w:tcPr>
          <w:p w:rsidR="007615C8" w:rsidRPr="00A56200" w:rsidRDefault="007615C8" w:rsidP="00D57585">
            <w:pPr>
              <w:pStyle w:val="COMtbl-HEADCentred"/>
              <w:keepNext/>
              <w:jc w:val="left"/>
            </w:pPr>
          </w:p>
        </w:tc>
        <w:tc>
          <w:tcPr>
            <w:tcW w:w="1877" w:type="pct"/>
            <w:vMerge/>
            <w:tcBorders>
              <w:bottom w:val="single" w:sz="4" w:space="0" w:color="auto"/>
              <w:right w:val="single" w:sz="4" w:space="0" w:color="auto"/>
            </w:tcBorders>
            <w:vAlign w:val="center"/>
          </w:tcPr>
          <w:p w:rsidR="007615C8" w:rsidRPr="00A56200" w:rsidRDefault="007615C8" w:rsidP="00D57585">
            <w:pPr>
              <w:pStyle w:val="COMtbl-HEADCentred"/>
              <w:keepNext/>
            </w:pPr>
          </w:p>
        </w:tc>
        <w:tc>
          <w:tcPr>
            <w:tcW w:w="2527" w:type="pct"/>
            <w:tcBorders>
              <w:left w:val="single" w:sz="4" w:space="0" w:color="auto"/>
              <w:bottom w:val="single" w:sz="4" w:space="0" w:color="auto"/>
            </w:tcBorders>
            <w:vAlign w:val="center"/>
          </w:tcPr>
          <w:p w:rsidR="007615C8" w:rsidRPr="003F1297" w:rsidRDefault="007615C8" w:rsidP="00D57585">
            <w:pPr>
              <w:pStyle w:val="COMtbl-HEADCentred"/>
              <w:keepNext/>
            </w:pPr>
            <w:r w:rsidRPr="003F1297">
              <w:rPr>
                <w:b w:val="0"/>
              </w:rPr>
              <w:t>AUC</w:t>
            </w:r>
            <w:r w:rsidRPr="003F1297">
              <w:rPr>
                <w:b w:val="0"/>
                <w:vertAlign w:val="subscript"/>
              </w:rPr>
              <w:t>0-24,ss</w:t>
            </w:r>
          </w:p>
        </w:tc>
      </w:tr>
      <w:tr w:rsidR="007615C8" w:rsidTr="00554F7E">
        <w:tc>
          <w:tcPr>
            <w:tcW w:w="596" w:type="pct"/>
            <w:vMerge w:val="restart"/>
            <w:tcBorders>
              <w:bottom w:val="double" w:sz="4" w:space="0" w:color="auto"/>
            </w:tcBorders>
            <w:vAlign w:val="center"/>
          </w:tcPr>
          <w:p w:rsidR="007615C8" w:rsidRPr="00D55132" w:rsidRDefault="007615C8" w:rsidP="00D57585">
            <w:pPr>
              <w:pStyle w:val="COMtbl-textLeftAligned"/>
            </w:pPr>
            <w:r w:rsidRPr="00D55132">
              <w:t>1276.9</w:t>
            </w:r>
          </w:p>
        </w:tc>
        <w:tc>
          <w:tcPr>
            <w:tcW w:w="1877" w:type="pct"/>
            <w:tcBorders>
              <w:bottom w:val="single" w:sz="4" w:space="0" w:color="auto"/>
            </w:tcBorders>
          </w:tcPr>
          <w:p w:rsidR="007615C8" w:rsidRPr="00535F84" w:rsidRDefault="007615C8" w:rsidP="00D57585">
            <w:pPr>
              <w:pStyle w:val="COMtbl-textCentred"/>
              <w:rPr>
                <w:highlight w:val="yellow"/>
              </w:rPr>
            </w:pPr>
            <w:r>
              <w:t>Empagliflozin 5mg twice daily</w:t>
            </w:r>
          </w:p>
        </w:tc>
        <w:tc>
          <w:tcPr>
            <w:tcW w:w="2527" w:type="pct"/>
            <w:vMerge w:val="restart"/>
            <w:vAlign w:val="center"/>
          </w:tcPr>
          <w:p w:rsidR="007615C8" w:rsidRPr="00B67ABE" w:rsidRDefault="00B67ABE" w:rsidP="00D57585">
            <w:pPr>
              <w:pStyle w:val="COMtbl-textCentred"/>
              <w:rPr>
                <w:highlight w:val="black"/>
              </w:rPr>
            </w:pPr>
            <w:r>
              <w:rPr>
                <w:noProof/>
                <w:color w:val="000000"/>
                <w:highlight w:val="black"/>
              </w:rPr>
              <w:t>'''''''''''''' '''''''''''''''' ''''''''''''''''</w:t>
            </w:r>
          </w:p>
        </w:tc>
      </w:tr>
      <w:tr w:rsidR="007615C8" w:rsidTr="00554F7E">
        <w:tc>
          <w:tcPr>
            <w:tcW w:w="596" w:type="pct"/>
            <w:vMerge/>
            <w:tcBorders>
              <w:top w:val="double" w:sz="4" w:space="0" w:color="auto"/>
            </w:tcBorders>
            <w:vAlign w:val="center"/>
          </w:tcPr>
          <w:p w:rsidR="007615C8" w:rsidRPr="00373267" w:rsidRDefault="007615C8" w:rsidP="00D57585">
            <w:pPr>
              <w:pStyle w:val="COMtbl-textLeftAligned"/>
              <w:rPr>
                <w:b/>
              </w:rPr>
            </w:pPr>
          </w:p>
        </w:tc>
        <w:tc>
          <w:tcPr>
            <w:tcW w:w="1877" w:type="pct"/>
            <w:tcBorders>
              <w:top w:val="single" w:sz="4" w:space="0" w:color="auto"/>
            </w:tcBorders>
          </w:tcPr>
          <w:p w:rsidR="007615C8" w:rsidRDefault="007615C8" w:rsidP="00D57585">
            <w:pPr>
              <w:pStyle w:val="COMtbl-textCentred"/>
            </w:pPr>
            <w:r>
              <w:t>Empagliflozin 10mg daily</w:t>
            </w:r>
          </w:p>
        </w:tc>
        <w:tc>
          <w:tcPr>
            <w:tcW w:w="2527" w:type="pct"/>
            <w:vMerge/>
            <w:vAlign w:val="center"/>
          </w:tcPr>
          <w:p w:rsidR="007615C8" w:rsidRDefault="007615C8" w:rsidP="00D57585">
            <w:pPr>
              <w:pStyle w:val="COMtbl-textCentred"/>
            </w:pPr>
          </w:p>
        </w:tc>
      </w:tr>
    </w:tbl>
    <w:p w:rsidR="008C3493" w:rsidRDefault="008C3493" w:rsidP="00554F7E">
      <w:pPr>
        <w:pStyle w:val="COMtbl-textLeftAligned"/>
        <w:jc w:val="both"/>
        <w:rPr>
          <w:sz w:val="18"/>
          <w:szCs w:val="18"/>
        </w:rPr>
      </w:pPr>
      <w:r>
        <w:rPr>
          <w:sz w:val="18"/>
          <w:szCs w:val="18"/>
        </w:rPr>
        <w:tab/>
        <w:t>Source: Table B.8.1, p254 of the submission.</w:t>
      </w:r>
    </w:p>
    <w:p w:rsidR="008C3493" w:rsidRDefault="008C3493" w:rsidP="00554F7E">
      <w:pPr>
        <w:pStyle w:val="COMtbl-textLeftAligned"/>
        <w:ind w:left="720"/>
        <w:jc w:val="both"/>
        <w:rPr>
          <w:sz w:val="18"/>
        </w:rPr>
      </w:pPr>
      <w:r w:rsidRPr="00444FD3">
        <w:rPr>
          <w:sz w:val="18"/>
          <w:szCs w:val="18"/>
        </w:rPr>
        <w:t>Abbreviations:</w:t>
      </w:r>
      <w:r>
        <w:rPr>
          <w:sz w:val="18"/>
          <w:szCs w:val="22"/>
          <w:lang w:eastAsia="en-GB"/>
        </w:rPr>
        <w:t xml:space="preserve"> CI, confidence interval;</w:t>
      </w:r>
      <w:r w:rsidRPr="00444FD3">
        <w:rPr>
          <w:sz w:val="18"/>
          <w:szCs w:val="22"/>
          <w:lang w:eastAsia="en-GB"/>
        </w:rPr>
        <w:t xml:space="preserve"> </w:t>
      </w:r>
      <w:r>
        <w:rPr>
          <w:sz w:val="18"/>
          <w:szCs w:val="22"/>
          <w:lang w:eastAsia="en-GB"/>
        </w:rPr>
        <w:t>AUC, a</w:t>
      </w:r>
      <w:r w:rsidRPr="00444FD3">
        <w:rPr>
          <w:sz w:val="18"/>
          <w:szCs w:val="22"/>
          <w:lang w:eastAsia="en-GB"/>
        </w:rPr>
        <w:t>rea under the curve</w:t>
      </w:r>
      <w:r>
        <w:rPr>
          <w:sz w:val="18"/>
          <w:szCs w:val="22"/>
          <w:lang w:eastAsia="en-GB"/>
        </w:rPr>
        <w:t xml:space="preserve">; ss, steady state; </w:t>
      </w:r>
      <w:r w:rsidRPr="00444FD3">
        <w:rPr>
          <w:sz w:val="18"/>
          <w:szCs w:val="22"/>
          <w:lang w:eastAsia="en-GB"/>
        </w:rPr>
        <w:t>C</w:t>
      </w:r>
      <w:r w:rsidRPr="00444FD3">
        <w:rPr>
          <w:sz w:val="18"/>
          <w:szCs w:val="22"/>
          <w:vertAlign w:val="subscript"/>
          <w:lang w:eastAsia="en-GB"/>
        </w:rPr>
        <w:t>max</w:t>
      </w:r>
      <w:r>
        <w:rPr>
          <w:sz w:val="18"/>
          <w:szCs w:val="22"/>
          <w:lang w:eastAsia="en-GB"/>
        </w:rPr>
        <w:t>, m</w:t>
      </w:r>
      <w:r w:rsidRPr="00444FD3">
        <w:rPr>
          <w:sz w:val="18"/>
        </w:rPr>
        <w:t>aximum measured concent</w:t>
      </w:r>
      <w:r>
        <w:rPr>
          <w:sz w:val="18"/>
        </w:rPr>
        <w:t>ration of the analyte in plasma; NA, not applicable</w:t>
      </w:r>
    </w:p>
    <w:p w:rsidR="008C3493" w:rsidRDefault="008C3493" w:rsidP="00D57585">
      <w:pPr>
        <w:pStyle w:val="ListParagraph"/>
        <w:widowControl/>
        <w:rPr>
          <w:szCs w:val="22"/>
        </w:rPr>
      </w:pPr>
    </w:p>
    <w:p w:rsidR="00CD16D0" w:rsidRDefault="008C3493" w:rsidP="000028F6">
      <w:pPr>
        <w:pStyle w:val="ListParagraph"/>
        <w:widowControl/>
        <w:numPr>
          <w:ilvl w:val="1"/>
          <w:numId w:val="3"/>
        </w:numPr>
        <w:rPr>
          <w:szCs w:val="22"/>
        </w:rPr>
      </w:pPr>
      <w:r>
        <w:rPr>
          <w:szCs w:val="22"/>
        </w:rPr>
        <w:t xml:space="preserve">The results of the bioequivalence studies comparing the FDCs to their individual components are presented in </w:t>
      </w:r>
      <w:r w:rsidR="001513B5">
        <w:rPr>
          <w:szCs w:val="22"/>
        </w:rPr>
        <w:t>Table 4.</w:t>
      </w:r>
    </w:p>
    <w:p w:rsidR="001513B5" w:rsidRDefault="001513B5" w:rsidP="00D57585">
      <w:pPr>
        <w:pStyle w:val="ListParagraph"/>
        <w:widowControl/>
        <w:rPr>
          <w:szCs w:val="22"/>
        </w:rPr>
      </w:pPr>
    </w:p>
    <w:p w:rsidR="008C3493" w:rsidRDefault="00D55132" w:rsidP="00D57585">
      <w:pPr>
        <w:ind w:left="720"/>
        <w:rPr>
          <w:rFonts w:ascii="Arial Narrow" w:hAnsi="Arial Narrow"/>
          <w:b/>
          <w:sz w:val="20"/>
        </w:rPr>
      </w:pPr>
      <w:r>
        <w:rPr>
          <w:rFonts w:ascii="Arial Narrow" w:hAnsi="Arial Narrow"/>
          <w:b/>
          <w:sz w:val="20"/>
        </w:rPr>
        <w:t>Table 4</w:t>
      </w:r>
      <w:r w:rsidR="008C3493" w:rsidRPr="00FE1173">
        <w:rPr>
          <w:rFonts w:ascii="Arial Narrow" w:hAnsi="Arial Narrow"/>
          <w:b/>
          <w:sz w:val="20"/>
        </w:rPr>
        <w:t>: Bioequivalence of empagliflozin/metformin FDC</w:t>
      </w:r>
      <w:r w:rsidR="008C3493">
        <w:rPr>
          <w:rFonts w:ascii="Arial Narrow" w:hAnsi="Arial Narrow"/>
          <w:b/>
          <w:sz w:val="20"/>
        </w:rPr>
        <w:t>s</w:t>
      </w:r>
      <w:r w:rsidR="008C3493" w:rsidRPr="00FE1173">
        <w:rPr>
          <w:rFonts w:ascii="Arial Narrow" w:hAnsi="Arial Narrow"/>
          <w:b/>
          <w:sz w:val="20"/>
        </w:rPr>
        <w:t xml:space="preserve"> to individual components in healthy adult</w:t>
      </w:r>
      <w:r w:rsidR="0090362B">
        <w:rPr>
          <w:rFonts w:ascii="Arial Narrow" w:hAnsi="Arial Narrow"/>
          <w:b/>
          <w:sz w:val="20"/>
        </w:rPr>
        <w:t>s</w:t>
      </w:r>
    </w:p>
    <w:tbl>
      <w:tblPr>
        <w:tblW w:w="461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Bioequivalence of FDCs to individual components"/>
      </w:tblPr>
      <w:tblGrid>
        <w:gridCol w:w="874"/>
        <w:gridCol w:w="870"/>
        <w:gridCol w:w="1891"/>
        <w:gridCol w:w="870"/>
        <w:gridCol w:w="2053"/>
        <w:gridCol w:w="1968"/>
      </w:tblGrid>
      <w:tr w:rsidR="008C3493" w:rsidRPr="00A56200" w:rsidTr="00554F7E">
        <w:tc>
          <w:tcPr>
            <w:tcW w:w="513" w:type="pct"/>
            <w:vMerge w:val="restart"/>
            <w:tcBorders>
              <w:right w:val="single" w:sz="4" w:space="0" w:color="auto"/>
            </w:tcBorders>
            <w:vAlign w:val="center"/>
          </w:tcPr>
          <w:p w:rsidR="008C3493" w:rsidRPr="00A56200" w:rsidRDefault="008C3493" w:rsidP="00D57585">
            <w:pPr>
              <w:pStyle w:val="COMtbl-HEADCentred"/>
              <w:keepNext/>
              <w:jc w:val="left"/>
            </w:pPr>
            <w:r>
              <w:t>Trial</w:t>
            </w:r>
          </w:p>
        </w:tc>
        <w:tc>
          <w:tcPr>
            <w:tcW w:w="510" w:type="pct"/>
            <w:vMerge w:val="restart"/>
            <w:tcBorders>
              <w:right w:val="single" w:sz="4" w:space="0" w:color="auto"/>
            </w:tcBorders>
            <w:vAlign w:val="center"/>
          </w:tcPr>
          <w:p w:rsidR="008C3493" w:rsidRPr="00A56200" w:rsidRDefault="008C3493" w:rsidP="00D57585">
            <w:pPr>
              <w:pStyle w:val="COMtbl-HEADCentred"/>
              <w:keepNext/>
            </w:pPr>
            <w:r>
              <w:t xml:space="preserve">FDC </w:t>
            </w:r>
          </w:p>
        </w:tc>
        <w:tc>
          <w:tcPr>
            <w:tcW w:w="1109" w:type="pct"/>
            <w:vMerge w:val="restart"/>
            <w:vAlign w:val="center"/>
          </w:tcPr>
          <w:p w:rsidR="008C3493" w:rsidRDefault="008C3493" w:rsidP="00D57585">
            <w:pPr>
              <w:pStyle w:val="COMtbl-HEADCentred"/>
              <w:keepNext/>
            </w:pPr>
            <w:r>
              <w:t>Components tested</w:t>
            </w:r>
          </w:p>
        </w:tc>
        <w:tc>
          <w:tcPr>
            <w:tcW w:w="510" w:type="pct"/>
            <w:vMerge w:val="restart"/>
            <w:tcBorders>
              <w:right w:val="single" w:sz="4" w:space="0" w:color="auto"/>
            </w:tcBorders>
            <w:vAlign w:val="center"/>
          </w:tcPr>
          <w:p w:rsidR="008C3493" w:rsidRPr="00A56200" w:rsidRDefault="008C3493" w:rsidP="00D57585">
            <w:pPr>
              <w:pStyle w:val="COMtbl-HEADCentred"/>
              <w:keepNext/>
            </w:pPr>
            <w:r>
              <w:t>Food state</w:t>
            </w:r>
          </w:p>
        </w:tc>
        <w:tc>
          <w:tcPr>
            <w:tcW w:w="2358" w:type="pct"/>
            <w:gridSpan w:val="2"/>
            <w:tcBorders>
              <w:left w:val="single" w:sz="4" w:space="0" w:color="auto"/>
            </w:tcBorders>
            <w:vAlign w:val="center"/>
          </w:tcPr>
          <w:p w:rsidR="008C3493" w:rsidRPr="00A56200" w:rsidRDefault="008C3493" w:rsidP="00D57585">
            <w:pPr>
              <w:widowControl/>
              <w:jc w:val="center"/>
            </w:pPr>
            <w:r>
              <w:rPr>
                <w:rFonts w:ascii="Arial Narrow" w:hAnsi="Arial Narrow"/>
                <w:b/>
                <w:sz w:val="20"/>
              </w:rPr>
              <w:t>G</w:t>
            </w:r>
            <w:r w:rsidRPr="0069002F">
              <w:rPr>
                <w:rFonts w:ascii="Arial Narrow" w:hAnsi="Arial Narrow"/>
                <w:b/>
                <w:sz w:val="20"/>
              </w:rPr>
              <w:t>eometric mean ratio</w:t>
            </w:r>
            <w:r>
              <w:rPr>
                <w:rFonts w:ascii="Arial Narrow" w:hAnsi="Arial Narrow"/>
                <w:b/>
                <w:sz w:val="20"/>
              </w:rPr>
              <w:t>, %</w:t>
            </w:r>
            <w:r w:rsidRPr="0069002F">
              <w:rPr>
                <w:rFonts w:ascii="Arial Narrow" w:hAnsi="Arial Narrow"/>
                <w:b/>
                <w:sz w:val="20"/>
              </w:rPr>
              <w:t xml:space="preserve"> (90% CI)</w:t>
            </w:r>
          </w:p>
        </w:tc>
      </w:tr>
      <w:tr w:rsidR="008C3493" w:rsidRPr="00D27C4B" w:rsidTr="00554F7E">
        <w:tc>
          <w:tcPr>
            <w:tcW w:w="513" w:type="pct"/>
            <w:vMerge/>
            <w:tcBorders>
              <w:right w:val="single" w:sz="4" w:space="0" w:color="auto"/>
            </w:tcBorders>
            <w:vAlign w:val="center"/>
          </w:tcPr>
          <w:p w:rsidR="008C3493" w:rsidRPr="00A56200" w:rsidRDefault="008C3493" w:rsidP="00D57585">
            <w:pPr>
              <w:pStyle w:val="COMtbl-HEADCentred"/>
              <w:keepNext/>
            </w:pPr>
          </w:p>
        </w:tc>
        <w:tc>
          <w:tcPr>
            <w:tcW w:w="510" w:type="pct"/>
            <w:vMerge/>
            <w:tcBorders>
              <w:right w:val="single" w:sz="4" w:space="0" w:color="auto"/>
            </w:tcBorders>
            <w:vAlign w:val="center"/>
          </w:tcPr>
          <w:p w:rsidR="008C3493" w:rsidRPr="00A56200" w:rsidRDefault="008C3493" w:rsidP="00D57585">
            <w:pPr>
              <w:pStyle w:val="COMtbl-HEADCentred"/>
              <w:keepNext/>
            </w:pPr>
          </w:p>
        </w:tc>
        <w:tc>
          <w:tcPr>
            <w:tcW w:w="1109" w:type="pct"/>
            <w:vMerge/>
          </w:tcPr>
          <w:p w:rsidR="008C3493" w:rsidRPr="00A56200" w:rsidRDefault="008C3493" w:rsidP="00D57585">
            <w:pPr>
              <w:pStyle w:val="COMtbl-HEADCentred"/>
              <w:keepNext/>
            </w:pPr>
          </w:p>
        </w:tc>
        <w:tc>
          <w:tcPr>
            <w:tcW w:w="510" w:type="pct"/>
            <w:vMerge/>
            <w:tcBorders>
              <w:right w:val="single" w:sz="4" w:space="0" w:color="auto"/>
            </w:tcBorders>
            <w:vAlign w:val="center"/>
          </w:tcPr>
          <w:p w:rsidR="008C3493" w:rsidRPr="00A56200" w:rsidRDefault="008C3493" w:rsidP="00D57585">
            <w:pPr>
              <w:pStyle w:val="COMtbl-HEADCentred"/>
              <w:keepNext/>
            </w:pPr>
          </w:p>
        </w:tc>
        <w:tc>
          <w:tcPr>
            <w:tcW w:w="1204" w:type="pct"/>
            <w:tcBorders>
              <w:left w:val="single" w:sz="4" w:space="0" w:color="auto"/>
            </w:tcBorders>
            <w:vAlign w:val="center"/>
          </w:tcPr>
          <w:p w:rsidR="008C3493" w:rsidRPr="00A56200" w:rsidRDefault="008C3493" w:rsidP="00D57585">
            <w:pPr>
              <w:pStyle w:val="COMtbl-HEADCentred"/>
              <w:keepNext/>
              <w:rPr>
                <w:highlight w:val="yellow"/>
              </w:rPr>
            </w:pPr>
            <w:r w:rsidRPr="008E07BF">
              <w:t>AUC</w:t>
            </w:r>
            <w:r w:rsidRPr="008E07BF">
              <w:rPr>
                <w:vertAlign w:val="subscript"/>
              </w:rPr>
              <w:t>0-infty</w:t>
            </w:r>
          </w:p>
        </w:tc>
        <w:tc>
          <w:tcPr>
            <w:tcW w:w="1154" w:type="pct"/>
            <w:vAlign w:val="center"/>
          </w:tcPr>
          <w:p w:rsidR="008C3493" w:rsidRPr="00D27C4B" w:rsidRDefault="008C3493" w:rsidP="00D57585">
            <w:pPr>
              <w:pStyle w:val="COMtbl-HEADCentred"/>
              <w:keepNext/>
            </w:pPr>
            <w:r w:rsidRPr="00A56200">
              <w:t>C</w:t>
            </w:r>
            <w:r w:rsidRPr="00A56200">
              <w:rPr>
                <w:vertAlign w:val="subscript"/>
              </w:rPr>
              <w:t>max</w:t>
            </w:r>
          </w:p>
        </w:tc>
      </w:tr>
      <w:tr w:rsidR="008C3493" w:rsidTr="00554F7E">
        <w:tc>
          <w:tcPr>
            <w:tcW w:w="513" w:type="pct"/>
            <w:vMerge w:val="restart"/>
            <w:vAlign w:val="center"/>
          </w:tcPr>
          <w:p w:rsidR="008C3493" w:rsidRPr="00D55132" w:rsidRDefault="008C3493" w:rsidP="00D57585">
            <w:pPr>
              <w:pStyle w:val="COMtbl-textLeftAligned"/>
            </w:pPr>
            <w:r w:rsidRPr="00D55132">
              <w:t>1276.5</w:t>
            </w:r>
          </w:p>
        </w:tc>
        <w:tc>
          <w:tcPr>
            <w:tcW w:w="510" w:type="pct"/>
            <w:vMerge w:val="restart"/>
            <w:vAlign w:val="center"/>
          </w:tcPr>
          <w:p w:rsidR="008C3493" w:rsidRPr="00535F84" w:rsidRDefault="008C3493" w:rsidP="00D57585">
            <w:pPr>
              <w:pStyle w:val="COMtbl-textCentred"/>
              <w:rPr>
                <w:highlight w:val="yellow"/>
              </w:rPr>
            </w:pPr>
            <w:r w:rsidRPr="002071D1">
              <w:t>12.5mg</w:t>
            </w:r>
            <w:r>
              <w:t>/1000mg</w:t>
            </w:r>
          </w:p>
        </w:tc>
        <w:tc>
          <w:tcPr>
            <w:tcW w:w="1109" w:type="pct"/>
          </w:tcPr>
          <w:p w:rsidR="008C3493" w:rsidRPr="0017273D" w:rsidRDefault="008C3493" w:rsidP="00D57585">
            <w:pPr>
              <w:pStyle w:val="COMtbl-textCentred"/>
            </w:pPr>
            <w:r>
              <w:t>Empagliflozin 12.5mg</w:t>
            </w:r>
          </w:p>
        </w:tc>
        <w:tc>
          <w:tcPr>
            <w:tcW w:w="510" w:type="pct"/>
            <w:vMerge w:val="restart"/>
            <w:vAlign w:val="center"/>
          </w:tcPr>
          <w:p w:rsidR="008C3493" w:rsidRPr="00535F84" w:rsidRDefault="008C3493" w:rsidP="00D57585">
            <w:pPr>
              <w:pStyle w:val="COMtbl-textCentred"/>
              <w:rPr>
                <w:highlight w:val="yellow"/>
              </w:rPr>
            </w:pPr>
            <w:r w:rsidRPr="0017273D">
              <w:t>Fasted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535F84" w:rsidRDefault="008C3493" w:rsidP="00D57585">
            <w:pPr>
              <w:pStyle w:val="COMtbl-textCentred"/>
              <w:rPr>
                <w:highlight w:val="yellow"/>
              </w:rPr>
            </w:pPr>
          </w:p>
        </w:tc>
        <w:tc>
          <w:tcPr>
            <w:tcW w:w="1109" w:type="pct"/>
          </w:tcPr>
          <w:p w:rsidR="008C3493" w:rsidRPr="00535F84" w:rsidRDefault="008C3493" w:rsidP="00D57585">
            <w:pPr>
              <w:pStyle w:val="COMtbl-textCentred"/>
              <w:rPr>
                <w:highlight w:val="yellow"/>
              </w:rPr>
            </w:pPr>
            <w:r w:rsidRPr="00D27C4B">
              <w:t>Metformin</w:t>
            </w:r>
            <w:r>
              <w:t xml:space="preserve"> 1000mg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lang w:val="nb-NO"/>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restart"/>
            <w:vAlign w:val="center"/>
          </w:tcPr>
          <w:p w:rsidR="008C3493" w:rsidRPr="00D55132" w:rsidRDefault="008C3493" w:rsidP="00D57585">
            <w:pPr>
              <w:pStyle w:val="COMtbl-textLeftAligned"/>
            </w:pPr>
            <w:r w:rsidRPr="00D55132">
              <w:t>1276.6</w:t>
            </w:r>
          </w:p>
        </w:tc>
        <w:tc>
          <w:tcPr>
            <w:tcW w:w="510" w:type="pct"/>
            <w:vMerge w:val="restart"/>
            <w:vAlign w:val="center"/>
          </w:tcPr>
          <w:p w:rsidR="008C3493" w:rsidRPr="002071D1" w:rsidRDefault="008C3493" w:rsidP="00D57585">
            <w:pPr>
              <w:pStyle w:val="COMtbl-textCentred"/>
            </w:pPr>
            <w:r w:rsidRPr="002071D1">
              <w:t>12.5mg/500mg</w:t>
            </w:r>
          </w:p>
        </w:tc>
        <w:tc>
          <w:tcPr>
            <w:tcW w:w="1109" w:type="pct"/>
          </w:tcPr>
          <w:p w:rsidR="008C3493" w:rsidRDefault="008C3493" w:rsidP="00D57585">
            <w:pPr>
              <w:pStyle w:val="COMtbl-textCentred"/>
            </w:pPr>
            <w:r>
              <w:t>Empagliflozin 12.5mg</w:t>
            </w:r>
          </w:p>
        </w:tc>
        <w:tc>
          <w:tcPr>
            <w:tcW w:w="510" w:type="pct"/>
            <w:vMerge w:val="restart"/>
            <w:vAlign w:val="center"/>
          </w:tcPr>
          <w:p w:rsidR="008C3493" w:rsidRPr="0017273D" w:rsidRDefault="008C3493" w:rsidP="00D57585">
            <w:pPr>
              <w:pStyle w:val="COMtbl-textCentred"/>
            </w:pPr>
            <w:r>
              <w:t>Fed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500mg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ign w:val="center"/>
          </w:tcPr>
          <w:p w:rsidR="008C3493" w:rsidRPr="00D55132" w:rsidRDefault="008C3493" w:rsidP="00D57585">
            <w:pPr>
              <w:pStyle w:val="COMtbl-textLeftAligned"/>
            </w:pPr>
          </w:p>
        </w:tc>
        <w:tc>
          <w:tcPr>
            <w:tcW w:w="510" w:type="pct"/>
            <w:vMerge w:val="restart"/>
            <w:vAlign w:val="center"/>
          </w:tcPr>
          <w:p w:rsidR="008C3493" w:rsidRPr="002071D1" w:rsidRDefault="008C3493" w:rsidP="00D57585">
            <w:pPr>
              <w:pStyle w:val="COMtbl-textCentred"/>
            </w:pPr>
            <w:r w:rsidRPr="002071D1">
              <w:t>5mg/500mg</w:t>
            </w:r>
          </w:p>
        </w:tc>
        <w:tc>
          <w:tcPr>
            <w:tcW w:w="1109" w:type="pct"/>
          </w:tcPr>
          <w:p w:rsidR="008C3493" w:rsidRDefault="008C3493" w:rsidP="00D57585">
            <w:pPr>
              <w:pStyle w:val="COMtbl-textCentred"/>
            </w:pPr>
            <w:r>
              <w:t>Empagliflozin 5mg</w:t>
            </w:r>
          </w:p>
        </w:tc>
        <w:tc>
          <w:tcPr>
            <w:tcW w:w="510" w:type="pct"/>
            <w:vMerge w:val="restart"/>
            <w:vAlign w:val="center"/>
          </w:tcPr>
          <w:p w:rsidR="008C3493" w:rsidRPr="0017273D" w:rsidRDefault="008C3493" w:rsidP="00D57585">
            <w:pPr>
              <w:pStyle w:val="COMtbl-textCentred"/>
            </w:pPr>
            <w:r>
              <w:t>Fed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500mg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restart"/>
            <w:vAlign w:val="center"/>
          </w:tcPr>
          <w:p w:rsidR="008C3493" w:rsidRPr="00D55132" w:rsidRDefault="008C3493" w:rsidP="00D57585">
            <w:pPr>
              <w:pStyle w:val="COMtbl-textLeftAligned"/>
            </w:pPr>
            <w:r w:rsidRPr="00D55132">
              <w:t>1276.7</w:t>
            </w:r>
          </w:p>
        </w:tc>
        <w:tc>
          <w:tcPr>
            <w:tcW w:w="510" w:type="pct"/>
            <w:vMerge w:val="restart"/>
            <w:vAlign w:val="center"/>
          </w:tcPr>
          <w:p w:rsidR="008C3493" w:rsidRPr="002071D1" w:rsidRDefault="008C3493" w:rsidP="00D57585">
            <w:pPr>
              <w:pStyle w:val="COMtbl-textCentred"/>
            </w:pPr>
            <w:r w:rsidRPr="002071D1">
              <w:t>12.5mg/850mg</w:t>
            </w:r>
          </w:p>
        </w:tc>
        <w:tc>
          <w:tcPr>
            <w:tcW w:w="1109" w:type="pct"/>
          </w:tcPr>
          <w:p w:rsidR="008C3493" w:rsidRDefault="008C3493" w:rsidP="00D57585">
            <w:pPr>
              <w:pStyle w:val="COMtbl-textCentred"/>
            </w:pPr>
            <w:r>
              <w:t>Empagliflozin 12.5mg</w:t>
            </w:r>
          </w:p>
        </w:tc>
        <w:tc>
          <w:tcPr>
            <w:tcW w:w="510" w:type="pct"/>
            <w:vMerge w:val="restart"/>
            <w:vAlign w:val="center"/>
          </w:tcPr>
          <w:p w:rsidR="008C3493" w:rsidRPr="0017273D" w:rsidRDefault="008C3493" w:rsidP="00D57585">
            <w:pPr>
              <w:pStyle w:val="COMtbl-textCentred"/>
            </w:pPr>
            <w:r>
              <w:t>Fed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850mg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ign w:val="center"/>
          </w:tcPr>
          <w:p w:rsidR="008C3493" w:rsidRPr="00D55132" w:rsidRDefault="008C3493" w:rsidP="00D57585">
            <w:pPr>
              <w:pStyle w:val="COMtbl-textLeftAligned"/>
            </w:pPr>
          </w:p>
        </w:tc>
        <w:tc>
          <w:tcPr>
            <w:tcW w:w="510" w:type="pct"/>
            <w:vMerge w:val="restart"/>
            <w:vAlign w:val="center"/>
          </w:tcPr>
          <w:p w:rsidR="008C3493" w:rsidRPr="002071D1" w:rsidRDefault="008C3493" w:rsidP="00D57585">
            <w:pPr>
              <w:pStyle w:val="COMtbl-textCentred"/>
            </w:pPr>
            <w:r w:rsidRPr="002071D1">
              <w:t>5mg/850mg</w:t>
            </w:r>
          </w:p>
        </w:tc>
        <w:tc>
          <w:tcPr>
            <w:tcW w:w="1109" w:type="pct"/>
          </w:tcPr>
          <w:p w:rsidR="008C3493" w:rsidRDefault="008C3493" w:rsidP="00D57585">
            <w:pPr>
              <w:pStyle w:val="COMtbl-textCentred"/>
            </w:pPr>
            <w:r>
              <w:t>Empagliflozin 5mg</w:t>
            </w:r>
          </w:p>
        </w:tc>
        <w:tc>
          <w:tcPr>
            <w:tcW w:w="510" w:type="pct"/>
            <w:vMerge w:val="restart"/>
            <w:vAlign w:val="center"/>
          </w:tcPr>
          <w:p w:rsidR="008C3493" w:rsidRPr="0017273D" w:rsidRDefault="008C3493" w:rsidP="00D57585">
            <w:pPr>
              <w:pStyle w:val="COMtbl-textCentred"/>
            </w:pPr>
            <w:r>
              <w:t>Fed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850mg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restart"/>
            <w:vAlign w:val="center"/>
          </w:tcPr>
          <w:p w:rsidR="008C3493" w:rsidRPr="00D55132" w:rsidRDefault="008C3493" w:rsidP="00D57585">
            <w:pPr>
              <w:pStyle w:val="COMtbl-textLeftAligned"/>
            </w:pPr>
            <w:r w:rsidRPr="00D55132">
              <w:t>1276.8</w:t>
            </w:r>
          </w:p>
        </w:tc>
        <w:tc>
          <w:tcPr>
            <w:tcW w:w="510" w:type="pct"/>
            <w:vMerge w:val="restart"/>
            <w:vAlign w:val="center"/>
          </w:tcPr>
          <w:p w:rsidR="008C3493" w:rsidRPr="002071D1" w:rsidRDefault="008C3493" w:rsidP="00D57585">
            <w:pPr>
              <w:pStyle w:val="COMtbl-textCentred"/>
            </w:pPr>
            <w:r w:rsidRPr="002071D1">
              <w:t>12.5mg/1000mg</w:t>
            </w:r>
          </w:p>
        </w:tc>
        <w:tc>
          <w:tcPr>
            <w:tcW w:w="1109" w:type="pct"/>
          </w:tcPr>
          <w:p w:rsidR="008C3493" w:rsidRDefault="008C3493" w:rsidP="00D57585">
            <w:pPr>
              <w:pStyle w:val="COMtbl-textCentred"/>
            </w:pPr>
            <w:r>
              <w:t>Empagliflozin 12.5mg</w:t>
            </w:r>
          </w:p>
        </w:tc>
        <w:tc>
          <w:tcPr>
            <w:tcW w:w="510" w:type="pct"/>
            <w:vMerge w:val="restart"/>
            <w:vAlign w:val="center"/>
          </w:tcPr>
          <w:p w:rsidR="008C3493" w:rsidRPr="0017273D" w:rsidRDefault="008C3493" w:rsidP="00D57585">
            <w:pPr>
              <w:pStyle w:val="COMtbl-textCentred"/>
            </w:pPr>
            <w:r>
              <w:t>Fasted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1000mg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lang w:val="nb-NO"/>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ign w:val="center"/>
          </w:tcPr>
          <w:p w:rsidR="008C3493" w:rsidRPr="00D55132" w:rsidRDefault="008C3493" w:rsidP="00D57585">
            <w:pPr>
              <w:pStyle w:val="COMtbl-textLeftAligned"/>
            </w:pPr>
          </w:p>
        </w:tc>
        <w:tc>
          <w:tcPr>
            <w:tcW w:w="510" w:type="pct"/>
            <w:vMerge w:val="restart"/>
            <w:vAlign w:val="center"/>
          </w:tcPr>
          <w:p w:rsidR="008C3493" w:rsidRPr="002071D1" w:rsidRDefault="008C3493" w:rsidP="00D57585">
            <w:pPr>
              <w:pStyle w:val="COMtbl-textCentred"/>
            </w:pPr>
            <w:r w:rsidRPr="002071D1">
              <w:t>12.5mg/1000mg</w:t>
            </w:r>
          </w:p>
        </w:tc>
        <w:tc>
          <w:tcPr>
            <w:tcW w:w="1109" w:type="pct"/>
          </w:tcPr>
          <w:p w:rsidR="008C3493" w:rsidRDefault="008C3493" w:rsidP="00D57585">
            <w:pPr>
              <w:pStyle w:val="COMtbl-textCentred"/>
            </w:pPr>
            <w:r>
              <w:t>Empagliflozin 12.5mg</w:t>
            </w:r>
          </w:p>
        </w:tc>
        <w:tc>
          <w:tcPr>
            <w:tcW w:w="510" w:type="pct"/>
            <w:vMerge w:val="restart"/>
            <w:vAlign w:val="center"/>
          </w:tcPr>
          <w:p w:rsidR="008C3493" w:rsidRPr="0017273D" w:rsidRDefault="008C3493" w:rsidP="00D57585">
            <w:pPr>
              <w:pStyle w:val="COMtbl-textCentred"/>
            </w:pPr>
            <w:r>
              <w:t>Fed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1000mg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ign w:val="center"/>
          </w:tcPr>
          <w:p w:rsidR="008C3493" w:rsidRPr="00D55132" w:rsidRDefault="008C3493" w:rsidP="00D57585">
            <w:pPr>
              <w:pStyle w:val="COMtbl-textLeftAligned"/>
            </w:pPr>
          </w:p>
        </w:tc>
        <w:tc>
          <w:tcPr>
            <w:tcW w:w="510" w:type="pct"/>
            <w:vMerge w:val="restart"/>
            <w:vAlign w:val="center"/>
          </w:tcPr>
          <w:p w:rsidR="008C3493" w:rsidRPr="002071D1" w:rsidRDefault="008C3493" w:rsidP="00D57585">
            <w:pPr>
              <w:pStyle w:val="COMtbl-textCentred"/>
            </w:pPr>
            <w:r w:rsidRPr="002071D1">
              <w:t>5mg/1000mg</w:t>
            </w:r>
          </w:p>
        </w:tc>
        <w:tc>
          <w:tcPr>
            <w:tcW w:w="1109" w:type="pct"/>
          </w:tcPr>
          <w:p w:rsidR="008C3493" w:rsidRDefault="008C3493" w:rsidP="00D57585">
            <w:pPr>
              <w:pStyle w:val="COMtbl-textCentred"/>
            </w:pPr>
            <w:r>
              <w:t>Empagliflozin 5mg</w:t>
            </w:r>
          </w:p>
        </w:tc>
        <w:tc>
          <w:tcPr>
            <w:tcW w:w="510" w:type="pct"/>
            <w:vMerge w:val="restart"/>
            <w:vAlign w:val="center"/>
          </w:tcPr>
          <w:p w:rsidR="008C3493" w:rsidRPr="00535F84" w:rsidRDefault="008C3493" w:rsidP="00D57585">
            <w:pPr>
              <w:pStyle w:val="COMtbl-textCentred"/>
              <w:rPr>
                <w:highlight w:val="yellow"/>
              </w:rPr>
            </w:pPr>
            <w:r>
              <w:t>Fed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1000mg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restart"/>
            <w:vAlign w:val="center"/>
          </w:tcPr>
          <w:p w:rsidR="008C3493" w:rsidRPr="00D55132" w:rsidRDefault="008C3493" w:rsidP="00D57585">
            <w:pPr>
              <w:pStyle w:val="COMtbl-textLeftAligned"/>
            </w:pPr>
            <w:r w:rsidRPr="00D55132">
              <w:t>1276.23</w:t>
            </w:r>
          </w:p>
        </w:tc>
        <w:tc>
          <w:tcPr>
            <w:tcW w:w="510" w:type="pct"/>
            <w:vMerge w:val="restart"/>
            <w:vAlign w:val="center"/>
          </w:tcPr>
          <w:p w:rsidR="008C3493" w:rsidRPr="002071D1" w:rsidRDefault="008C3493" w:rsidP="00D57585">
            <w:pPr>
              <w:pStyle w:val="COMtbl-textCentred"/>
            </w:pPr>
            <w:r w:rsidRPr="002071D1">
              <w:t>5mg/500mg</w:t>
            </w:r>
          </w:p>
        </w:tc>
        <w:tc>
          <w:tcPr>
            <w:tcW w:w="1109" w:type="pct"/>
          </w:tcPr>
          <w:p w:rsidR="008C3493" w:rsidRPr="00973C41" w:rsidRDefault="008C3493" w:rsidP="00D57585">
            <w:pPr>
              <w:pStyle w:val="COMtbl-textCentred"/>
            </w:pPr>
            <w:r>
              <w:t>Empagliflozin 5mg</w:t>
            </w:r>
          </w:p>
        </w:tc>
        <w:tc>
          <w:tcPr>
            <w:tcW w:w="510" w:type="pct"/>
            <w:vMerge w:val="restart"/>
            <w:vAlign w:val="center"/>
          </w:tcPr>
          <w:p w:rsidR="008C3493" w:rsidRPr="00535F84" w:rsidRDefault="008C3493" w:rsidP="00D57585">
            <w:pPr>
              <w:pStyle w:val="COMtbl-textCentred"/>
              <w:rPr>
                <w:highlight w:val="yellow"/>
              </w:rPr>
            </w:pPr>
            <w:r w:rsidRPr="00973C41">
              <w:t>Fasted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500mg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r w:rsidR="008C3493" w:rsidTr="00554F7E">
        <w:tc>
          <w:tcPr>
            <w:tcW w:w="513" w:type="pct"/>
            <w:vMerge/>
            <w:vAlign w:val="center"/>
          </w:tcPr>
          <w:p w:rsidR="008C3493" w:rsidRPr="00D55132" w:rsidRDefault="008C3493" w:rsidP="00D57585">
            <w:pPr>
              <w:pStyle w:val="COMtbl-textLeftAligned"/>
            </w:pPr>
          </w:p>
        </w:tc>
        <w:tc>
          <w:tcPr>
            <w:tcW w:w="510" w:type="pct"/>
            <w:vMerge w:val="restart"/>
            <w:vAlign w:val="center"/>
          </w:tcPr>
          <w:p w:rsidR="008C3493" w:rsidRPr="002071D1" w:rsidRDefault="008C3493" w:rsidP="00D57585">
            <w:pPr>
              <w:pStyle w:val="COMtbl-textCentred"/>
            </w:pPr>
            <w:r w:rsidRPr="002071D1">
              <w:t>5mg/850mg</w:t>
            </w:r>
          </w:p>
        </w:tc>
        <w:tc>
          <w:tcPr>
            <w:tcW w:w="1109" w:type="pct"/>
          </w:tcPr>
          <w:p w:rsidR="008C3493" w:rsidRPr="00973C41" w:rsidRDefault="008C3493" w:rsidP="00D57585">
            <w:pPr>
              <w:pStyle w:val="COMtbl-textCentred"/>
            </w:pPr>
            <w:r>
              <w:t>Empagliflozin 5mg</w:t>
            </w:r>
          </w:p>
        </w:tc>
        <w:tc>
          <w:tcPr>
            <w:tcW w:w="510" w:type="pct"/>
            <w:vMerge w:val="restart"/>
            <w:vAlign w:val="center"/>
          </w:tcPr>
          <w:p w:rsidR="008C3493" w:rsidRPr="00973C41" w:rsidRDefault="008C3493" w:rsidP="00D57585">
            <w:pPr>
              <w:pStyle w:val="COMtbl-textCentred"/>
            </w:pPr>
            <w:r w:rsidRPr="00973C41">
              <w:t>Fasted</w:t>
            </w:r>
          </w:p>
        </w:tc>
        <w:tc>
          <w:tcPr>
            <w:tcW w:w="1204" w:type="pct"/>
            <w:vAlign w:val="center"/>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LeftAligned"/>
              <w:jc w:val="center"/>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973C41" w:rsidRDefault="008C3493" w:rsidP="00D57585">
            <w:pPr>
              <w:pStyle w:val="COMtbl-textCentred"/>
            </w:pPr>
            <w:r w:rsidRPr="00D27C4B">
              <w:t>Metformin</w:t>
            </w:r>
            <w:r>
              <w:t xml:space="preserve"> 850mg</w:t>
            </w:r>
          </w:p>
        </w:tc>
        <w:tc>
          <w:tcPr>
            <w:tcW w:w="510" w:type="pct"/>
            <w:vMerge/>
          </w:tcPr>
          <w:p w:rsidR="008C3493" w:rsidRPr="00973C41" w:rsidRDefault="008C3493" w:rsidP="00D57585">
            <w:pPr>
              <w:pStyle w:val="COMtbl-textCentred"/>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LeftAligned"/>
              <w:jc w:val="center"/>
              <w:rPr>
                <w:highlight w:val="black"/>
              </w:rPr>
            </w:pPr>
            <w:r>
              <w:rPr>
                <w:noProof/>
                <w:color w:val="000000"/>
                <w:highlight w:val="black"/>
              </w:rPr>
              <w:t>''''''''''''' ''''''''''''''''' ''''''''''''''''</w:t>
            </w:r>
          </w:p>
        </w:tc>
      </w:tr>
      <w:tr w:rsidR="008C3493" w:rsidTr="00554F7E">
        <w:tc>
          <w:tcPr>
            <w:tcW w:w="513" w:type="pct"/>
            <w:vMerge/>
            <w:vAlign w:val="center"/>
          </w:tcPr>
          <w:p w:rsidR="008C3493" w:rsidRPr="00D55132" w:rsidRDefault="008C3493" w:rsidP="00D57585">
            <w:pPr>
              <w:pStyle w:val="COMtbl-textLeftAligned"/>
            </w:pPr>
          </w:p>
        </w:tc>
        <w:tc>
          <w:tcPr>
            <w:tcW w:w="510" w:type="pct"/>
            <w:vMerge w:val="restart"/>
            <w:vAlign w:val="center"/>
          </w:tcPr>
          <w:p w:rsidR="008C3493" w:rsidRPr="002071D1" w:rsidRDefault="008C3493" w:rsidP="00D57585">
            <w:pPr>
              <w:pStyle w:val="COMtbl-textCentred"/>
            </w:pPr>
            <w:r w:rsidRPr="002071D1">
              <w:t>12.5mg/500mg</w:t>
            </w:r>
          </w:p>
        </w:tc>
        <w:tc>
          <w:tcPr>
            <w:tcW w:w="1109" w:type="pct"/>
          </w:tcPr>
          <w:p w:rsidR="008C3493" w:rsidRPr="00973C41" w:rsidRDefault="008C3493" w:rsidP="00D57585">
            <w:pPr>
              <w:pStyle w:val="COMtbl-textCentred"/>
            </w:pPr>
            <w:r>
              <w:t>Empagliflozin 12.5mg</w:t>
            </w:r>
          </w:p>
        </w:tc>
        <w:tc>
          <w:tcPr>
            <w:tcW w:w="510" w:type="pct"/>
            <w:vMerge w:val="restart"/>
            <w:vAlign w:val="center"/>
          </w:tcPr>
          <w:p w:rsidR="008C3493" w:rsidRPr="00973C41" w:rsidRDefault="008C3493" w:rsidP="00D57585">
            <w:pPr>
              <w:pStyle w:val="COMtbl-textCentred"/>
            </w:pPr>
            <w:r w:rsidRPr="00973C41">
              <w:t>Fasted</w:t>
            </w:r>
          </w:p>
        </w:tc>
        <w:tc>
          <w:tcPr>
            <w:tcW w:w="1204" w:type="pct"/>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LeftAligned"/>
              <w:jc w:val="center"/>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973C41" w:rsidRDefault="008C3493" w:rsidP="00D57585">
            <w:pPr>
              <w:pStyle w:val="COMtbl-textCentred"/>
            </w:pPr>
            <w:r w:rsidRPr="00D27C4B">
              <w:t>Metformin</w:t>
            </w:r>
            <w:r>
              <w:t xml:space="preserve"> 500mg</w:t>
            </w:r>
          </w:p>
        </w:tc>
        <w:tc>
          <w:tcPr>
            <w:tcW w:w="510" w:type="pct"/>
            <w:vMerge/>
          </w:tcPr>
          <w:p w:rsidR="008C3493" w:rsidRPr="00973C41" w:rsidRDefault="008C3493" w:rsidP="00D57585">
            <w:pPr>
              <w:pStyle w:val="COMtbl-textCentred"/>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LeftAligned"/>
              <w:jc w:val="center"/>
              <w:rPr>
                <w:highlight w:val="black"/>
              </w:rPr>
            </w:pPr>
            <w:r>
              <w:rPr>
                <w:noProof/>
                <w:color w:val="000000"/>
                <w:highlight w:val="black"/>
              </w:rPr>
              <w:t>'''''''''''' '''''''''''''''' '''''''''''''''''''</w:t>
            </w:r>
          </w:p>
        </w:tc>
      </w:tr>
      <w:tr w:rsidR="008C3493" w:rsidTr="00554F7E">
        <w:tc>
          <w:tcPr>
            <w:tcW w:w="513" w:type="pct"/>
            <w:vMerge/>
            <w:vAlign w:val="center"/>
          </w:tcPr>
          <w:p w:rsidR="008C3493" w:rsidRPr="00D55132" w:rsidRDefault="008C3493" w:rsidP="00D57585">
            <w:pPr>
              <w:pStyle w:val="COMtbl-textLeftAligned"/>
            </w:pPr>
          </w:p>
        </w:tc>
        <w:tc>
          <w:tcPr>
            <w:tcW w:w="510" w:type="pct"/>
            <w:vMerge w:val="restart"/>
            <w:vAlign w:val="center"/>
          </w:tcPr>
          <w:p w:rsidR="008C3493" w:rsidRPr="002071D1" w:rsidRDefault="008C3493" w:rsidP="00D57585">
            <w:pPr>
              <w:pStyle w:val="COMtbl-textCentred"/>
            </w:pPr>
            <w:r w:rsidRPr="002071D1">
              <w:t>12.5mg/850mg</w:t>
            </w:r>
          </w:p>
        </w:tc>
        <w:tc>
          <w:tcPr>
            <w:tcW w:w="1109" w:type="pct"/>
          </w:tcPr>
          <w:p w:rsidR="008C3493" w:rsidRPr="00973C41" w:rsidRDefault="008C3493" w:rsidP="00D57585">
            <w:pPr>
              <w:pStyle w:val="COMtbl-textCentred"/>
            </w:pPr>
            <w:r>
              <w:t>Empagliflozin 12.5mg</w:t>
            </w:r>
          </w:p>
        </w:tc>
        <w:tc>
          <w:tcPr>
            <w:tcW w:w="510" w:type="pct"/>
            <w:vMerge w:val="restart"/>
            <w:vAlign w:val="center"/>
          </w:tcPr>
          <w:p w:rsidR="008C3493" w:rsidRPr="00973C41" w:rsidRDefault="008C3493" w:rsidP="00D57585">
            <w:pPr>
              <w:pStyle w:val="COMtbl-textCentred"/>
            </w:pPr>
            <w:r w:rsidRPr="00973C41">
              <w:t>Fasted</w:t>
            </w:r>
          </w:p>
        </w:tc>
        <w:tc>
          <w:tcPr>
            <w:tcW w:w="1204" w:type="pct"/>
            <w:vAlign w:val="center"/>
          </w:tcPr>
          <w:p w:rsidR="008C3493" w:rsidRPr="00B67ABE" w:rsidRDefault="00B67ABE" w:rsidP="00D57585">
            <w:pPr>
              <w:pStyle w:val="COMtbl-textLeftAligned"/>
              <w:jc w:val="center"/>
              <w:rPr>
                <w:highlight w:val="black"/>
              </w:rPr>
            </w:pPr>
            <w:r>
              <w:rPr>
                <w:noProof/>
                <w:color w:val="000000"/>
                <w:highlight w:val="black"/>
              </w:rPr>
              <w:t>''''''''''''''' '''''''''''''''''''' '''''''''''''''''</w:t>
            </w:r>
          </w:p>
        </w:tc>
        <w:tc>
          <w:tcPr>
            <w:tcW w:w="1154" w:type="pct"/>
          </w:tcPr>
          <w:p w:rsidR="008C3493" w:rsidRPr="00B67ABE" w:rsidRDefault="00B67ABE" w:rsidP="00D57585">
            <w:pPr>
              <w:pStyle w:val="COMtbl-textLeftAligned"/>
              <w:jc w:val="center"/>
              <w:rPr>
                <w:highlight w:val="black"/>
              </w:rPr>
            </w:pPr>
            <w:r>
              <w:rPr>
                <w:noProof/>
                <w:color w:val="000000"/>
                <w:highlight w:val="black"/>
              </w:rPr>
              <w:t>'''''''''''' ''''''''''''''''''''' ''''''''''''''''''''</w:t>
            </w:r>
          </w:p>
        </w:tc>
      </w:tr>
      <w:tr w:rsidR="008C3493" w:rsidRPr="000E2409" w:rsidTr="00554F7E">
        <w:tc>
          <w:tcPr>
            <w:tcW w:w="513" w:type="pct"/>
            <w:vMerge/>
            <w:vAlign w:val="center"/>
          </w:tcPr>
          <w:p w:rsidR="008C3493" w:rsidRPr="00D55132" w:rsidRDefault="008C3493" w:rsidP="00D57585">
            <w:pPr>
              <w:pStyle w:val="COMtbl-textLeftAligned"/>
            </w:pPr>
          </w:p>
        </w:tc>
        <w:tc>
          <w:tcPr>
            <w:tcW w:w="510" w:type="pct"/>
            <w:vMerge/>
            <w:vAlign w:val="center"/>
          </w:tcPr>
          <w:p w:rsidR="008C3493" w:rsidRPr="002071D1" w:rsidRDefault="008C3493" w:rsidP="00D57585">
            <w:pPr>
              <w:pStyle w:val="COMtbl-textCentred"/>
            </w:pPr>
          </w:p>
        </w:tc>
        <w:tc>
          <w:tcPr>
            <w:tcW w:w="1109" w:type="pct"/>
          </w:tcPr>
          <w:p w:rsidR="008C3493" w:rsidRPr="00535F84" w:rsidRDefault="008C3493" w:rsidP="00D57585">
            <w:pPr>
              <w:pStyle w:val="COMtbl-textCentred"/>
              <w:rPr>
                <w:highlight w:val="yellow"/>
              </w:rPr>
            </w:pPr>
            <w:r w:rsidRPr="00D27C4B">
              <w:t>Metformin</w:t>
            </w:r>
            <w:r>
              <w:t xml:space="preserve"> 850mg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LeftAligned"/>
              <w:jc w:val="center"/>
              <w:rPr>
                <w:highlight w:val="black"/>
              </w:rPr>
            </w:pPr>
            <w:r>
              <w:rPr>
                <w:noProof/>
                <w:color w:val="000000"/>
                <w:highlight w:val="black"/>
              </w:rPr>
              <w:t>''''''''''''' '''''''''''''''' '''''''''''''''''</w:t>
            </w:r>
          </w:p>
        </w:tc>
      </w:tr>
      <w:tr w:rsidR="008C3493" w:rsidTr="00554F7E">
        <w:tc>
          <w:tcPr>
            <w:tcW w:w="513" w:type="pct"/>
            <w:vMerge w:val="restart"/>
            <w:vAlign w:val="center"/>
          </w:tcPr>
          <w:p w:rsidR="008C3493" w:rsidRPr="00D55132" w:rsidRDefault="008C3493" w:rsidP="00D57585">
            <w:pPr>
              <w:pStyle w:val="COMtbl-textLeftAligned"/>
            </w:pPr>
            <w:r w:rsidRPr="00D55132">
              <w:t>1276.24</w:t>
            </w:r>
          </w:p>
        </w:tc>
        <w:tc>
          <w:tcPr>
            <w:tcW w:w="510" w:type="pct"/>
            <w:vMerge w:val="restart"/>
            <w:vAlign w:val="center"/>
          </w:tcPr>
          <w:p w:rsidR="008C3493" w:rsidRPr="002071D1" w:rsidRDefault="008C3493" w:rsidP="00D57585">
            <w:pPr>
              <w:pStyle w:val="COMtbl-textCentred"/>
            </w:pPr>
            <w:r w:rsidRPr="002071D1">
              <w:t>12.5mg/500mg</w:t>
            </w:r>
          </w:p>
        </w:tc>
        <w:tc>
          <w:tcPr>
            <w:tcW w:w="1109" w:type="pct"/>
          </w:tcPr>
          <w:p w:rsidR="008C3493" w:rsidRPr="00DF07BC" w:rsidRDefault="008C3493" w:rsidP="00D57585">
            <w:pPr>
              <w:pStyle w:val="COMtbl-textCentred"/>
            </w:pPr>
            <w:r>
              <w:t>Empagliflozin 12.5mg</w:t>
            </w:r>
          </w:p>
        </w:tc>
        <w:tc>
          <w:tcPr>
            <w:tcW w:w="510" w:type="pct"/>
            <w:vMerge w:val="restart"/>
            <w:vAlign w:val="center"/>
          </w:tcPr>
          <w:p w:rsidR="008C3493" w:rsidRPr="00535F84" w:rsidRDefault="008C3493" w:rsidP="00D57585">
            <w:pPr>
              <w:pStyle w:val="COMtbl-textCentred"/>
              <w:rPr>
                <w:highlight w:val="yellow"/>
              </w:rPr>
            </w:pPr>
            <w:r w:rsidRPr="00DF07BC">
              <w:t>Fed</w:t>
            </w:r>
          </w:p>
        </w:tc>
        <w:tc>
          <w:tcPr>
            <w:tcW w:w="1204" w:type="pct"/>
          </w:tcPr>
          <w:p w:rsidR="008C3493" w:rsidRPr="0017273D" w:rsidRDefault="008C3493" w:rsidP="00D57585">
            <w:pPr>
              <w:pStyle w:val="COMtbl-textLeftAligned"/>
              <w:jc w:val="center"/>
            </w:pPr>
            <w:r>
              <w:t>NR</w:t>
            </w:r>
          </w:p>
        </w:tc>
        <w:tc>
          <w:tcPr>
            <w:tcW w:w="1154" w:type="pct"/>
          </w:tcPr>
          <w:p w:rsidR="008C3493" w:rsidRDefault="008C3493" w:rsidP="00D57585">
            <w:pPr>
              <w:pStyle w:val="COMtbl-textCentred"/>
            </w:pPr>
            <w:r>
              <w:t>NR</w:t>
            </w:r>
          </w:p>
        </w:tc>
      </w:tr>
      <w:tr w:rsidR="008C3493" w:rsidRPr="000E2409" w:rsidTr="00554F7E">
        <w:tc>
          <w:tcPr>
            <w:tcW w:w="513" w:type="pct"/>
            <w:vMerge/>
            <w:vAlign w:val="center"/>
          </w:tcPr>
          <w:p w:rsidR="008C3493" w:rsidRPr="00D27C4B" w:rsidRDefault="008C3493" w:rsidP="00D57585">
            <w:pPr>
              <w:pStyle w:val="COMtbl-textLeftAligned"/>
            </w:pPr>
          </w:p>
        </w:tc>
        <w:tc>
          <w:tcPr>
            <w:tcW w:w="510" w:type="pct"/>
            <w:vMerge/>
          </w:tcPr>
          <w:p w:rsidR="008C3493" w:rsidRPr="00535F84" w:rsidRDefault="008C3493" w:rsidP="00D57585">
            <w:pPr>
              <w:pStyle w:val="COMtbl-textCentred"/>
              <w:jc w:val="left"/>
              <w:rPr>
                <w:highlight w:val="yellow"/>
              </w:rPr>
            </w:pPr>
          </w:p>
        </w:tc>
        <w:tc>
          <w:tcPr>
            <w:tcW w:w="1109" w:type="pct"/>
          </w:tcPr>
          <w:p w:rsidR="008C3493" w:rsidRPr="00535F84" w:rsidRDefault="008C3493" w:rsidP="00D57585">
            <w:pPr>
              <w:pStyle w:val="COMtbl-textCentred"/>
              <w:rPr>
                <w:highlight w:val="yellow"/>
              </w:rPr>
            </w:pPr>
            <w:r w:rsidRPr="00D27C4B">
              <w:t>Metformin</w:t>
            </w:r>
            <w:r>
              <w:t xml:space="preserve"> 500mg</w:t>
            </w:r>
          </w:p>
        </w:tc>
        <w:tc>
          <w:tcPr>
            <w:tcW w:w="510" w:type="pct"/>
            <w:vMerge/>
          </w:tcPr>
          <w:p w:rsidR="008C3493" w:rsidRPr="00535F84" w:rsidRDefault="008C3493" w:rsidP="00D57585">
            <w:pPr>
              <w:pStyle w:val="COMtbl-textCentred"/>
              <w:rPr>
                <w:highlight w:val="yellow"/>
              </w:rPr>
            </w:pPr>
          </w:p>
        </w:tc>
        <w:tc>
          <w:tcPr>
            <w:tcW w:w="1204" w:type="pct"/>
          </w:tcPr>
          <w:p w:rsidR="008C3493" w:rsidRPr="00B67ABE" w:rsidRDefault="00B67ABE" w:rsidP="00D57585">
            <w:pPr>
              <w:pStyle w:val="COMtbl-textLeftAligned"/>
              <w:jc w:val="center"/>
              <w:rPr>
                <w:highlight w:val="black"/>
                <w:lang w:val="nb-NO"/>
              </w:rPr>
            </w:pPr>
            <w:r>
              <w:rPr>
                <w:noProof/>
                <w:color w:val="000000"/>
                <w:highlight w:val="black"/>
              </w:rPr>
              <w:t>'''''''''' ''''''''''''' '''''''''''''''</w:t>
            </w:r>
          </w:p>
        </w:tc>
        <w:tc>
          <w:tcPr>
            <w:tcW w:w="1154" w:type="pct"/>
          </w:tcPr>
          <w:p w:rsidR="008C3493" w:rsidRPr="00B67ABE" w:rsidRDefault="00B67ABE" w:rsidP="00D57585">
            <w:pPr>
              <w:pStyle w:val="COMtbl-textCentred"/>
              <w:rPr>
                <w:highlight w:val="black"/>
              </w:rPr>
            </w:pPr>
            <w:r>
              <w:rPr>
                <w:noProof/>
                <w:color w:val="000000"/>
                <w:highlight w:val="black"/>
              </w:rPr>
              <w:t>'''''''''' ''''''''''''''' '''''''''''''''</w:t>
            </w:r>
          </w:p>
        </w:tc>
      </w:tr>
    </w:tbl>
    <w:p w:rsidR="008C3493" w:rsidRDefault="008C3493" w:rsidP="00554F7E">
      <w:pPr>
        <w:pStyle w:val="COMtbl-textLeftAligned"/>
        <w:jc w:val="both"/>
        <w:rPr>
          <w:sz w:val="18"/>
          <w:szCs w:val="18"/>
        </w:rPr>
      </w:pPr>
      <w:r>
        <w:rPr>
          <w:rStyle w:val="CommentReference"/>
        </w:rPr>
        <w:tab/>
      </w:r>
      <w:r>
        <w:rPr>
          <w:rStyle w:val="CommentReference"/>
          <w:b w:val="0"/>
          <w:sz w:val="18"/>
        </w:rPr>
        <w:t xml:space="preserve">Source: </w:t>
      </w:r>
      <w:r>
        <w:rPr>
          <w:sz w:val="18"/>
          <w:szCs w:val="18"/>
        </w:rPr>
        <w:t>Tables B.8.1, p254; B.6.13, p173; B.6.15, p175 of the submission.</w:t>
      </w:r>
    </w:p>
    <w:p w:rsidR="008C3493" w:rsidRPr="00444FD3" w:rsidRDefault="008C3493" w:rsidP="00554F7E">
      <w:pPr>
        <w:pStyle w:val="COMtbl-textLeftAligned"/>
        <w:ind w:left="720"/>
        <w:jc w:val="both"/>
        <w:rPr>
          <w:sz w:val="18"/>
          <w:szCs w:val="22"/>
          <w:lang w:eastAsia="en-GB"/>
        </w:rPr>
      </w:pPr>
      <w:r w:rsidRPr="00444FD3">
        <w:rPr>
          <w:sz w:val="18"/>
          <w:szCs w:val="18"/>
        </w:rPr>
        <w:t>Abbreviations:</w:t>
      </w:r>
      <w:r>
        <w:rPr>
          <w:sz w:val="18"/>
          <w:szCs w:val="22"/>
          <w:lang w:eastAsia="en-GB"/>
        </w:rPr>
        <w:t xml:space="preserve"> </w:t>
      </w:r>
      <w:r>
        <w:rPr>
          <w:sz w:val="18"/>
        </w:rPr>
        <w:t>FDC, fixed dose combination;</w:t>
      </w:r>
      <w:r w:rsidRPr="00444FD3">
        <w:rPr>
          <w:sz w:val="18"/>
        </w:rPr>
        <w:t xml:space="preserve"> </w:t>
      </w:r>
      <w:r>
        <w:rPr>
          <w:sz w:val="18"/>
          <w:szCs w:val="22"/>
          <w:lang w:eastAsia="en-GB"/>
        </w:rPr>
        <w:t>CI, confidence interval;</w:t>
      </w:r>
      <w:r w:rsidRPr="00444FD3">
        <w:rPr>
          <w:sz w:val="18"/>
          <w:szCs w:val="22"/>
          <w:lang w:eastAsia="en-GB"/>
        </w:rPr>
        <w:t xml:space="preserve"> </w:t>
      </w:r>
      <w:r>
        <w:rPr>
          <w:sz w:val="18"/>
          <w:szCs w:val="22"/>
          <w:lang w:eastAsia="en-GB"/>
        </w:rPr>
        <w:t>AUC, a</w:t>
      </w:r>
      <w:r w:rsidRPr="00444FD3">
        <w:rPr>
          <w:sz w:val="18"/>
          <w:szCs w:val="22"/>
          <w:lang w:eastAsia="en-GB"/>
        </w:rPr>
        <w:t>rea under the curve</w:t>
      </w:r>
      <w:r>
        <w:rPr>
          <w:sz w:val="18"/>
          <w:szCs w:val="22"/>
          <w:lang w:eastAsia="en-GB"/>
        </w:rPr>
        <w:t xml:space="preserve">; infty, infinity; </w:t>
      </w:r>
      <w:r w:rsidRPr="00444FD3">
        <w:rPr>
          <w:sz w:val="18"/>
          <w:szCs w:val="22"/>
          <w:lang w:eastAsia="en-GB"/>
        </w:rPr>
        <w:t>C</w:t>
      </w:r>
      <w:r w:rsidRPr="00444FD3">
        <w:rPr>
          <w:sz w:val="18"/>
          <w:szCs w:val="22"/>
          <w:vertAlign w:val="subscript"/>
          <w:lang w:eastAsia="en-GB"/>
        </w:rPr>
        <w:t>max</w:t>
      </w:r>
      <w:r>
        <w:rPr>
          <w:sz w:val="18"/>
          <w:szCs w:val="22"/>
          <w:lang w:eastAsia="en-GB"/>
        </w:rPr>
        <w:t>, m</w:t>
      </w:r>
      <w:r w:rsidRPr="00444FD3">
        <w:rPr>
          <w:sz w:val="18"/>
        </w:rPr>
        <w:t>aximum measured concent</w:t>
      </w:r>
      <w:r>
        <w:rPr>
          <w:sz w:val="18"/>
        </w:rPr>
        <w:t>ration of the analyte in plasma; NR, not reported.</w:t>
      </w:r>
    </w:p>
    <w:p w:rsidR="008C3493" w:rsidRPr="00631000" w:rsidRDefault="008C3493" w:rsidP="00631000">
      <w:pPr>
        <w:pStyle w:val="COMtbl-textLeftAligned"/>
        <w:ind w:left="720" w:firstLine="720"/>
        <w:rPr>
          <w:sz w:val="18"/>
        </w:rPr>
      </w:pPr>
    </w:p>
    <w:p w:rsidR="00601C5D" w:rsidRPr="00631000" w:rsidRDefault="0090362B" w:rsidP="000028F6">
      <w:pPr>
        <w:pStyle w:val="ListParagraph"/>
        <w:widowControl/>
        <w:numPr>
          <w:ilvl w:val="1"/>
          <w:numId w:val="3"/>
        </w:numPr>
        <w:rPr>
          <w:szCs w:val="22"/>
        </w:rPr>
      </w:pPr>
      <w:r w:rsidRPr="00631000">
        <w:rPr>
          <w:szCs w:val="22"/>
        </w:rPr>
        <w:t>Sixteen-</w:t>
      </w:r>
      <w:r w:rsidR="007F0289" w:rsidRPr="00631000">
        <w:rPr>
          <w:szCs w:val="22"/>
        </w:rPr>
        <w:t>week HbA1c results for trial 1276.10</w:t>
      </w:r>
      <w:r w:rsidR="00CE4076" w:rsidRPr="00631000">
        <w:rPr>
          <w:szCs w:val="22"/>
        </w:rPr>
        <w:t>,</w:t>
      </w:r>
      <w:r w:rsidR="007F0289" w:rsidRPr="00631000">
        <w:rPr>
          <w:szCs w:val="22"/>
        </w:rPr>
        <w:t xml:space="preserve"> which compared the </w:t>
      </w:r>
      <w:r w:rsidR="007F0289" w:rsidRPr="00631000">
        <w:t>efficacy of twice daily to once daily dosing of empagliflozin (+ metformin)</w:t>
      </w:r>
      <w:r w:rsidR="00CE4076" w:rsidRPr="00631000">
        <w:t>,</w:t>
      </w:r>
      <w:r w:rsidR="007F0289" w:rsidRPr="00631000">
        <w:rPr>
          <w:szCs w:val="22"/>
        </w:rPr>
        <w:t xml:space="preserve"> were consistent with non-inferiority</w:t>
      </w:r>
      <w:r w:rsidR="00BC5714" w:rsidRPr="00631000">
        <w:rPr>
          <w:szCs w:val="22"/>
        </w:rPr>
        <w:t xml:space="preserve">, </w:t>
      </w:r>
      <w:r w:rsidR="00CE4076" w:rsidRPr="00631000">
        <w:rPr>
          <w:szCs w:val="22"/>
        </w:rPr>
        <w:t xml:space="preserve">using </w:t>
      </w:r>
      <w:r w:rsidR="00D35AA9" w:rsidRPr="00631000">
        <w:rPr>
          <w:szCs w:val="22"/>
        </w:rPr>
        <w:t>the</w:t>
      </w:r>
      <w:r w:rsidR="00CE4076" w:rsidRPr="00631000">
        <w:rPr>
          <w:szCs w:val="22"/>
        </w:rPr>
        <w:t xml:space="preserve"> pre-specified non-inferiority margin of 0.35%.</w:t>
      </w:r>
    </w:p>
    <w:p w:rsidR="00601C5D" w:rsidRDefault="00601C5D" w:rsidP="00D57585">
      <w:pPr>
        <w:pStyle w:val="ListParagraph"/>
        <w:widowControl/>
        <w:rPr>
          <w:szCs w:val="22"/>
        </w:rPr>
      </w:pPr>
    </w:p>
    <w:p w:rsidR="00601C5D" w:rsidRPr="00B27AD1" w:rsidRDefault="00601C5D" w:rsidP="000028F6">
      <w:pPr>
        <w:pStyle w:val="ListParagraph"/>
        <w:widowControl/>
        <w:numPr>
          <w:ilvl w:val="1"/>
          <w:numId w:val="3"/>
        </w:numPr>
        <w:rPr>
          <w:szCs w:val="22"/>
        </w:rPr>
      </w:pPr>
      <w:r w:rsidRPr="00B27AD1">
        <w:t xml:space="preserve">Indirect comparisons between empagliflozin and dapagliflozin (with metformin as background </w:t>
      </w:r>
      <w:r w:rsidR="007F0289" w:rsidRPr="00B27AD1">
        <w:t>therapy)</w:t>
      </w:r>
      <w:r w:rsidRPr="00B27AD1">
        <w:t xml:space="preserve"> were previously presented as part of the empagliflozin dual therapy submission at the July 2014 PBAC meeting.</w:t>
      </w:r>
      <w:r w:rsidR="007F0289" w:rsidRPr="00B27AD1">
        <w:t xml:space="preserve"> </w:t>
      </w:r>
    </w:p>
    <w:p w:rsidR="00B60939" w:rsidRPr="006D5ED4" w:rsidRDefault="002B631B" w:rsidP="0070102D">
      <w:pPr>
        <w:pStyle w:val="Heading2"/>
      </w:pPr>
      <w:bookmarkStart w:id="12" w:name="_Toc430102471"/>
      <w:r>
        <w:br w:type="page"/>
      </w:r>
      <w:r w:rsidR="00B60939" w:rsidRPr="006D5ED4">
        <w:lastRenderedPageBreak/>
        <w:t>Clinical claim</w:t>
      </w:r>
      <w:bookmarkEnd w:id="12"/>
    </w:p>
    <w:p w:rsidR="00CD16D0" w:rsidRDefault="00CD16D0" w:rsidP="00D57585">
      <w:pPr>
        <w:jc w:val="left"/>
      </w:pPr>
    </w:p>
    <w:p w:rsidR="0029620F" w:rsidRPr="00B27AD1" w:rsidRDefault="00601C5D" w:rsidP="000028F6">
      <w:pPr>
        <w:pStyle w:val="ListParagraph"/>
        <w:widowControl/>
        <w:numPr>
          <w:ilvl w:val="1"/>
          <w:numId w:val="3"/>
        </w:numPr>
        <w:rPr>
          <w:szCs w:val="22"/>
        </w:rPr>
      </w:pPr>
      <w:r>
        <w:rPr>
          <w:szCs w:val="22"/>
        </w:rPr>
        <w:t xml:space="preserve">The </w:t>
      </w:r>
      <w:r>
        <w:t>submission claim</w:t>
      </w:r>
      <w:r w:rsidR="0029620F">
        <w:t>ed</w:t>
      </w:r>
      <w:r>
        <w:t xml:space="preserve"> that the empagliflozin/metformin FDC is bioequivalent to the individual components taken concomitantly. </w:t>
      </w:r>
      <w:r w:rsidRPr="00B27AD1">
        <w:t xml:space="preserve">This claim has been assessed by the TGA </w:t>
      </w:r>
      <w:r w:rsidR="0090362B" w:rsidRPr="00B27AD1">
        <w:t>delegate who considered that bioequivalence had been demonstrated for each of the FDC tablets and their co-administered indivi</w:t>
      </w:r>
      <w:r w:rsidR="0029620F" w:rsidRPr="00B27AD1">
        <w:t>d</w:t>
      </w:r>
      <w:r w:rsidR="0090362B" w:rsidRPr="00B27AD1">
        <w:t>u</w:t>
      </w:r>
      <w:r w:rsidR="0029620F" w:rsidRPr="00B27AD1">
        <w:t>a</w:t>
      </w:r>
      <w:r w:rsidR="0090362B" w:rsidRPr="00B27AD1">
        <w:t>l components.</w:t>
      </w:r>
    </w:p>
    <w:p w:rsidR="00601C5D" w:rsidRPr="0029620F" w:rsidRDefault="00601C5D" w:rsidP="00554F7E">
      <w:pPr>
        <w:widowControl/>
        <w:rPr>
          <w:szCs w:val="22"/>
        </w:rPr>
      </w:pPr>
    </w:p>
    <w:p w:rsidR="00CD16D0" w:rsidRPr="00304C4B" w:rsidRDefault="00CD16D0" w:rsidP="000028F6">
      <w:pPr>
        <w:pStyle w:val="ListParagraph"/>
        <w:widowControl/>
        <w:numPr>
          <w:ilvl w:val="1"/>
          <w:numId w:val="3"/>
        </w:numPr>
        <w:rPr>
          <w:szCs w:val="22"/>
        </w:rPr>
      </w:pPr>
      <w:r>
        <w:t xml:space="preserve">The submission also claimed that empagliflozin (+ metformin) was non-inferior to the secondary comparator dapagliflozin (+ metformin) in terms of efficacy and safety. </w:t>
      </w:r>
      <w:r w:rsidR="008C3493" w:rsidRPr="00B27AD1">
        <w:t>While there have been minor updates to the included trials and trial datasets, the results remain consistent with those previously presented</w:t>
      </w:r>
      <w:r w:rsidR="00955CF8" w:rsidRPr="00B27AD1">
        <w:t xml:space="preserve"> at the July 2014 PBAC meeting.</w:t>
      </w:r>
    </w:p>
    <w:p w:rsidR="00304C4B" w:rsidRPr="00304C4B" w:rsidRDefault="00304C4B" w:rsidP="00304C4B">
      <w:pPr>
        <w:pStyle w:val="ListParagraph"/>
        <w:rPr>
          <w:szCs w:val="22"/>
        </w:rPr>
      </w:pPr>
    </w:p>
    <w:p w:rsidR="00304C4B" w:rsidRPr="00B27AD1" w:rsidRDefault="00304C4B" w:rsidP="000028F6">
      <w:pPr>
        <w:pStyle w:val="ListParagraph"/>
        <w:widowControl/>
        <w:numPr>
          <w:ilvl w:val="1"/>
          <w:numId w:val="3"/>
        </w:numPr>
        <w:rPr>
          <w:szCs w:val="22"/>
        </w:rPr>
      </w:pPr>
      <w:r>
        <w:rPr>
          <w:szCs w:val="22"/>
        </w:rPr>
        <w:t>The PBAC considered that the clinical claim was adequately supported.</w:t>
      </w:r>
    </w:p>
    <w:p w:rsidR="00955CF8" w:rsidRPr="00955CF8" w:rsidRDefault="00955CF8" w:rsidP="00D57585">
      <w:pPr>
        <w:widowControl/>
        <w:rPr>
          <w:szCs w:val="22"/>
        </w:rPr>
      </w:pPr>
    </w:p>
    <w:p w:rsidR="00B60939" w:rsidRPr="00F470D9" w:rsidRDefault="00B60939" w:rsidP="0070102D">
      <w:pPr>
        <w:pStyle w:val="Heading2"/>
      </w:pPr>
      <w:bookmarkStart w:id="13" w:name="_Toc430102472"/>
      <w:r w:rsidRPr="00F470D9">
        <w:t>Economic analysis</w:t>
      </w:r>
      <w:bookmarkEnd w:id="13"/>
      <w:r w:rsidR="00491B3A" w:rsidRPr="00F470D9">
        <w:t xml:space="preserve"> </w:t>
      </w:r>
    </w:p>
    <w:p w:rsidR="00B60939" w:rsidRPr="00882085" w:rsidRDefault="00B60939" w:rsidP="00D57585">
      <w:pPr>
        <w:ind w:left="720" w:hanging="720"/>
        <w:rPr>
          <w:szCs w:val="22"/>
        </w:rPr>
      </w:pPr>
    </w:p>
    <w:p w:rsidR="00B60939" w:rsidRPr="00B27AD1" w:rsidRDefault="001A5B57" w:rsidP="000028F6">
      <w:pPr>
        <w:pStyle w:val="ListParagraph"/>
        <w:widowControl/>
        <w:numPr>
          <w:ilvl w:val="1"/>
          <w:numId w:val="3"/>
        </w:numPr>
        <w:rPr>
          <w:szCs w:val="22"/>
        </w:rPr>
      </w:pPr>
      <w:r>
        <w:rPr>
          <w:iCs/>
        </w:rPr>
        <w:t>The submission presented</w:t>
      </w:r>
      <w:r w:rsidRPr="001242D8">
        <w:rPr>
          <w:iCs/>
        </w:rPr>
        <w:t xml:space="preserve"> a cost-minimisation analysis.</w:t>
      </w:r>
      <w:r w:rsidR="00A51B8C">
        <w:rPr>
          <w:iCs/>
        </w:rPr>
        <w:t xml:space="preserve"> The equi-effective doses </w:t>
      </w:r>
      <w:r w:rsidR="00601C5D">
        <w:rPr>
          <w:iCs/>
        </w:rPr>
        <w:t xml:space="preserve">for each of the FDCs </w:t>
      </w:r>
      <w:r w:rsidR="00D55132">
        <w:rPr>
          <w:iCs/>
        </w:rPr>
        <w:t>are summarised in Table 5</w:t>
      </w:r>
      <w:r w:rsidR="00A51B8C">
        <w:rPr>
          <w:iCs/>
        </w:rPr>
        <w:t xml:space="preserve">. </w:t>
      </w:r>
      <w:r w:rsidR="00A51B8C" w:rsidRPr="00B27AD1">
        <w:rPr>
          <w:iCs/>
        </w:rPr>
        <w:t xml:space="preserve">These </w:t>
      </w:r>
      <w:r w:rsidR="0029620F" w:rsidRPr="00B27AD1">
        <w:rPr>
          <w:iCs/>
        </w:rPr>
        <w:t>were consistent with the doses used to demonstrate bioequivalence.</w:t>
      </w:r>
    </w:p>
    <w:p w:rsidR="00A51B8C" w:rsidRPr="00A51B8C" w:rsidRDefault="00A51B8C" w:rsidP="00D57585">
      <w:pPr>
        <w:pStyle w:val="ListParagraph"/>
        <w:widowControl/>
        <w:rPr>
          <w:szCs w:val="22"/>
        </w:rPr>
      </w:pPr>
    </w:p>
    <w:p w:rsidR="00A51B8C" w:rsidRPr="00A51B8C" w:rsidRDefault="00A51B8C" w:rsidP="00D57585">
      <w:pPr>
        <w:pStyle w:val="COMtbl-textLeftAligned"/>
        <w:rPr>
          <w:b/>
        </w:rPr>
      </w:pPr>
      <w:r>
        <w:tab/>
      </w:r>
      <w:r w:rsidR="00D55132">
        <w:rPr>
          <w:b/>
        </w:rPr>
        <w:t>Table 5</w:t>
      </w:r>
      <w:r w:rsidRPr="00A51B8C">
        <w:rPr>
          <w:b/>
        </w:rPr>
        <w:t>: Equi-effective doses for the individual components of each FDC</w:t>
      </w:r>
    </w:p>
    <w:tbl>
      <w:tblPr>
        <w:tblStyle w:val="TableGrid"/>
        <w:tblW w:w="4610" w:type="pct"/>
        <w:tblInd w:w="704" w:type="dxa"/>
        <w:tblLook w:val="04A0" w:firstRow="1" w:lastRow="0" w:firstColumn="1" w:lastColumn="0" w:noHBand="0" w:noVBand="1"/>
        <w:tblCaption w:val="Equi-effective doses for FDC"/>
        <w:tblDescription w:val="A summary of the equi-effective doses for the fixed-dose combination between twice daily and once daily regimens"/>
      </w:tblPr>
      <w:tblGrid>
        <w:gridCol w:w="2761"/>
        <w:gridCol w:w="5761"/>
      </w:tblGrid>
      <w:tr w:rsidR="00A51B8C" w:rsidTr="00E6767F">
        <w:trPr>
          <w:tblHeader/>
        </w:trPr>
        <w:tc>
          <w:tcPr>
            <w:tcW w:w="1620" w:type="pct"/>
          </w:tcPr>
          <w:p w:rsidR="00A51B8C" w:rsidRPr="003308DD" w:rsidRDefault="00A51B8C" w:rsidP="00D57585">
            <w:pPr>
              <w:pStyle w:val="COMtbl-textLeftAligned"/>
              <w:jc w:val="center"/>
              <w:rPr>
                <w:b/>
              </w:rPr>
            </w:pPr>
            <w:r>
              <w:rPr>
                <w:b/>
              </w:rPr>
              <w:t>Empagliflozin/</w:t>
            </w:r>
            <w:r w:rsidR="0029620F">
              <w:rPr>
                <w:b/>
              </w:rPr>
              <w:t>m</w:t>
            </w:r>
            <w:r>
              <w:rPr>
                <w:b/>
              </w:rPr>
              <w:t>etformin FDC</w:t>
            </w:r>
          </w:p>
        </w:tc>
        <w:tc>
          <w:tcPr>
            <w:tcW w:w="3380" w:type="pct"/>
          </w:tcPr>
          <w:p w:rsidR="00A51B8C" w:rsidRPr="003308DD" w:rsidRDefault="00A51B8C" w:rsidP="00D57585">
            <w:pPr>
              <w:pStyle w:val="COMtbl-textLeftAligned"/>
              <w:jc w:val="center"/>
              <w:rPr>
                <w:b/>
              </w:rPr>
            </w:pPr>
            <w:r w:rsidRPr="003308DD">
              <w:rPr>
                <w:b/>
              </w:rPr>
              <w:t>Equi-effective doses</w:t>
            </w:r>
          </w:p>
        </w:tc>
      </w:tr>
      <w:tr w:rsidR="00A51B8C" w:rsidTr="00A51B8C">
        <w:tc>
          <w:tcPr>
            <w:tcW w:w="1620" w:type="pct"/>
          </w:tcPr>
          <w:p w:rsidR="00A51B8C" w:rsidRPr="003308DD" w:rsidRDefault="00A51B8C" w:rsidP="00D57585">
            <w:pPr>
              <w:pStyle w:val="COMtbl-textLeftAligned"/>
            </w:pPr>
            <w:r>
              <w:t xml:space="preserve">       5mg/500mg twice daily</w:t>
            </w:r>
          </w:p>
        </w:tc>
        <w:tc>
          <w:tcPr>
            <w:tcW w:w="3380" w:type="pct"/>
          </w:tcPr>
          <w:p w:rsidR="00A51B8C" w:rsidRDefault="00A51B8C" w:rsidP="00D57585">
            <w:pPr>
              <w:pStyle w:val="COMtbl-textLeftAligned"/>
              <w:ind w:left="720"/>
            </w:pPr>
            <w:r>
              <w:t>Empagliflozin 10mg daily/</w:t>
            </w:r>
            <w:r w:rsidR="0029620F">
              <w:t>m</w:t>
            </w:r>
            <w:r w:rsidRPr="003308DD">
              <w:t xml:space="preserve">etformin 500mg </w:t>
            </w:r>
            <w:r>
              <w:t>twice daily</w:t>
            </w:r>
          </w:p>
        </w:tc>
      </w:tr>
      <w:tr w:rsidR="00A51B8C" w:rsidTr="00A51B8C">
        <w:tc>
          <w:tcPr>
            <w:tcW w:w="1620" w:type="pct"/>
          </w:tcPr>
          <w:p w:rsidR="00A51B8C" w:rsidRPr="003308DD" w:rsidRDefault="00A51B8C" w:rsidP="00D57585">
            <w:pPr>
              <w:pStyle w:val="COMtbl-textLeftAligned"/>
            </w:pPr>
            <w:r>
              <w:t xml:space="preserve">       5mg/850mg twice daily</w:t>
            </w:r>
          </w:p>
        </w:tc>
        <w:tc>
          <w:tcPr>
            <w:tcW w:w="3380" w:type="pct"/>
          </w:tcPr>
          <w:p w:rsidR="00A51B8C" w:rsidRDefault="00A51B8C" w:rsidP="00D57585">
            <w:pPr>
              <w:pStyle w:val="COMtbl-textLeftAligned"/>
              <w:ind w:left="720"/>
            </w:pPr>
            <w:r>
              <w:t>Empagliflozin 10mg daily/</w:t>
            </w:r>
            <w:r w:rsidR="0029620F">
              <w:t>m</w:t>
            </w:r>
            <w:r w:rsidRPr="003308DD">
              <w:t xml:space="preserve">etformin </w:t>
            </w:r>
            <w:r>
              <w:t>850mg</w:t>
            </w:r>
            <w:r w:rsidRPr="003308DD">
              <w:t xml:space="preserve"> </w:t>
            </w:r>
            <w:r>
              <w:t>twice daily</w:t>
            </w:r>
          </w:p>
        </w:tc>
      </w:tr>
      <w:tr w:rsidR="00A51B8C" w:rsidTr="00A51B8C">
        <w:tc>
          <w:tcPr>
            <w:tcW w:w="1620" w:type="pct"/>
          </w:tcPr>
          <w:p w:rsidR="00A51B8C" w:rsidRPr="003308DD" w:rsidRDefault="00A51B8C" w:rsidP="00D57585">
            <w:pPr>
              <w:pStyle w:val="COMtbl-textLeftAligned"/>
            </w:pPr>
            <w:r>
              <w:t xml:space="preserve">       5mg/1000mg twice daily</w:t>
            </w:r>
          </w:p>
        </w:tc>
        <w:tc>
          <w:tcPr>
            <w:tcW w:w="3380" w:type="pct"/>
          </w:tcPr>
          <w:p w:rsidR="00A51B8C" w:rsidRDefault="00A51B8C" w:rsidP="00D57585">
            <w:pPr>
              <w:pStyle w:val="COMtbl-textLeftAligned"/>
              <w:ind w:left="720"/>
            </w:pPr>
            <w:r>
              <w:t>Empagliflozin 10mg daily/</w:t>
            </w:r>
            <w:r w:rsidR="0029620F">
              <w:t>m</w:t>
            </w:r>
            <w:r>
              <w:t>etformin 10</w:t>
            </w:r>
            <w:r w:rsidRPr="003308DD">
              <w:t xml:space="preserve">00mg </w:t>
            </w:r>
            <w:r>
              <w:t>twice daily</w:t>
            </w:r>
          </w:p>
        </w:tc>
      </w:tr>
      <w:tr w:rsidR="00A51B8C" w:rsidTr="00A51B8C">
        <w:tc>
          <w:tcPr>
            <w:tcW w:w="1620" w:type="pct"/>
          </w:tcPr>
          <w:p w:rsidR="00A51B8C" w:rsidRPr="003308DD" w:rsidRDefault="00A51B8C" w:rsidP="00D57585">
            <w:pPr>
              <w:pStyle w:val="COMtbl-textLeftAligned"/>
            </w:pPr>
            <w:r>
              <w:t xml:space="preserve">      12.5mg/500mg twice daily</w:t>
            </w:r>
          </w:p>
        </w:tc>
        <w:tc>
          <w:tcPr>
            <w:tcW w:w="3380" w:type="pct"/>
          </w:tcPr>
          <w:p w:rsidR="00A51B8C" w:rsidRDefault="00A51B8C" w:rsidP="00D57585">
            <w:pPr>
              <w:pStyle w:val="COMtbl-textLeftAligned"/>
              <w:ind w:left="720"/>
            </w:pPr>
            <w:r>
              <w:t>Empagliflozin 25mg daily/</w:t>
            </w:r>
            <w:r w:rsidR="0029620F">
              <w:t>m</w:t>
            </w:r>
            <w:r w:rsidRPr="003308DD">
              <w:t xml:space="preserve">etformin 500mg </w:t>
            </w:r>
            <w:r>
              <w:t>twice daily</w:t>
            </w:r>
          </w:p>
        </w:tc>
      </w:tr>
      <w:tr w:rsidR="00A51B8C" w:rsidTr="00A51B8C">
        <w:tc>
          <w:tcPr>
            <w:tcW w:w="1620" w:type="pct"/>
          </w:tcPr>
          <w:p w:rsidR="00A51B8C" w:rsidRPr="003308DD" w:rsidRDefault="00A51B8C" w:rsidP="00D57585">
            <w:pPr>
              <w:pStyle w:val="COMtbl-textLeftAligned"/>
            </w:pPr>
            <w:r>
              <w:t xml:space="preserve">      12.5mg/850mg twice daily</w:t>
            </w:r>
          </w:p>
        </w:tc>
        <w:tc>
          <w:tcPr>
            <w:tcW w:w="3380" w:type="pct"/>
          </w:tcPr>
          <w:p w:rsidR="00A51B8C" w:rsidRDefault="00A51B8C" w:rsidP="00D57585">
            <w:pPr>
              <w:pStyle w:val="COMtbl-textLeftAligned"/>
              <w:ind w:left="720"/>
            </w:pPr>
            <w:r>
              <w:t>Empagliflozin 25mg daily/</w:t>
            </w:r>
            <w:r w:rsidR="0029620F">
              <w:t>m</w:t>
            </w:r>
            <w:r>
              <w:t>etformin 85</w:t>
            </w:r>
            <w:r w:rsidRPr="003308DD">
              <w:t xml:space="preserve">0mg </w:t>
            </w:r>
            <w:r>
              <w:t>twice daily</w:t>
            </w:r>
          </w:p>
        </w:tc>
      </w:tr>
      <w:tr w:rsidR="00A51B8C" w:rsidTr="00A51B8C">
        <w:tc>
          <w:tcPr>
            <w:tcW w:w="1620" w:type="pct"/>
          </w:tcPr>
          <w:p w:rsidR="00A51B8C" w:rsidRPr="003308DD" w:rsidRDefault="00A51B8C" w:rsidP="00D57585">
            <w:pPr>
              <w:pStyle w:val="COMtbl-textLeftAligned"/>
            </w:pPr>
            <w:r>
              <w:t xml:space="preserve">      12.5mg/1000mg twice daily</w:t>
            </w:r>
          </w:p>
        </w:tc>
        <w:tc>
          <w:tcPr>
            <w:tcW w:w="3380" w:type="pct"/>
          </w:tcPr>
          <w:p w:rsidR="00A51B8C" w:rsidRDefault="00A51B8C" w:rsidP="00D57585">
            <w:pPr>
              <w:pStyle w:val="COMtbl-textLeftAligned"/>
              <w:ind w:left="720"/>
            </w:pPr>
            <w:r>
              <w:t>Empagliflozin 25mg daily/</w:t>
            </w:r>
            <w:r w:rsidR="0029620F">
              <w:t>m</w:t>
            </w:r>
            <w:r>
              <w:t>etformin 10</w:t>
            </w:r>
            <w:r w:rsidRPr="003308DD">
              <w:t xml:space="preserve">00mg </w:t>
            </w:r>
            <w:r>
              <w:t>twice daily</w:t>
            </w:r>
          </w:p>
        </w:tc>
      </w:tr>
    </w:tbl>
    <w:p w:rsidR="00275C5A" w:rsidRPr="0029620F" w:rsidRDefault="00955CF8" w:rsidP="00554F7E">
      <w:pPr>
        <w:pStyle w:val="COMtbl-textLeftAligned"/>
      </w:pPr>
      <w:r>
        <w:rPr>
          <w:sz w:val="18"/>
        </w:rPr>
        <w:tab/>
        <w:t>Source: Table D.1.1 of the submission.</w:t>
      </w:r>
    </w:p>
    <w:p w:rsidR="00955CF8" w:rsidRPr="00882085" w:rsidRDefault="00955CF8" w:rsidP="00D57585">
      <w:pPr>
        <w:ind w:left="720" w:hanging="720"/>
        <w:rPr>
          <w:szCs w:val="22"/>
        </w:rPr>
      </w:pPr>
    </w:p>
    <w:p w:rsidR="00955CF8" w:rsidRPr="00955CF8" w:rsidRDefault="00D55132" w:rsidP="000028F6">
      <w:pPr>
        <w:pStyle w:val="ListParagraph"/>
        <w:widowControl/>
        <w:numPr>
          <w:ilvl w:val="1"/>
          <w:numId w:val="3"/>
        </w:numPr>
        <w:rPr>
          <w:i/>
          <w:szCs w:val="22"/>
        </w:rPr>
      </w:pPr>
      <w:r>
        <w:t>Table 6</w:t>
      </w:r>
      <w:r w:rsidR="006A5328">
        <w:t xml:space="preserve"> summarises the proposed prices for the FDC tablets and their individual components. For each of the FDCs, the approved ex-manufacturer price per day was neutral compared to the daily cost of the individual components combined. </w:t>
      </w:r>
      <w:r w:rsidR="00EE2C94">
        <w:t>There was</w:t>
      </w:r>
      <w:r w:rsidR="006A5328">
        <w:t xml:space="preserve"> a small reduction in the DPMQ for each FDC compared to the summed individual components</w:t>
      </w:r>
      <w:r w:rsidR="00EE2C94">
        <w:t>.</w:t>
      </w:r>
    </w:p>
    <w:p w:rsidR="009C7BD7" w:rsidRDefault="009C7BD7" w:rsidP="00D57585">
      <w:pPr>
        <w:pStyle w:val="COMTbl-cap"/>
        <w:ind w:firstLine="720"/>
      </w:pPr>
    </w:p>
    <w:p w:rsidR="00955CF8" w:rsidRPr="00090C7E" w:rsidRDefault="00D55132" w:rsidP="00D57585">
      <w:pPr>
        <w:pStyle w:val="COMTbl-cap"/>
        <w:ind w:firstLine="720"/>
      </w:pPr>
      <w:r>
        <w:t>Table 6</w:t>
      </w:r>
      <w:r w:rsidR="00955CF8">
        <w:t>: Empagliflozin, metformin (immediate release) and FDC prices</w:t>
      </w:r>
    </w:p>
    <w:tbl>
      <w:tblPr>
        <w:tblStyle w:val="TableGrid"/>
        <w:tblW w:w="4610" w:type="pct"/>
        <w:tblInd w:w="704" w:type="dxa"/>
        <w:tblLook w:val="04A0" w:firstRow="1" w:lastRow="0" w:firstColumn="1" w:lastColumn="0" w:noHBand="0" w:noVBand="1"/>
        <w:tblCaption w:val="Component and fixed dose combination prices"/>
      </w:tblPr>
      <w:tblGrid>
        <w:gridCol w:w="3778"/>
        <w:gridCol w:w="781"/>
        <w:gridCol w:w="1321"/>
        <w:gridCol w:w="1321"/>
        <w:gridCol w:w="1321"/>
      </w:tblGrid>
      <w:tr w:rsidR="00955CF8" w:rsidTr="00E6767F">
        <w:trPr>
          <w:tblHeader/>
        </w:trPr>
        <w:tc>
          <w:tcPr>
            <w:tcW w:w="2217" w:type="pct"/>
            <w:vAlign w:val="center"/>
          </w:tcPr>
          <w:p w:rsidR="00955CF8" w:rsidRPr="00CA0A5E" w:rsidRDefault="00955CF8" w:rsidP="00D57585">
            <w:pPr>
              <w:rPr>
                <w:rFonts w:ascii="Arial Narrow" w:hAnsi="Arial Narrow"/>
              </w:rPr>
            </w:pPr>
            <w:r w:rsidRPr="00CA0A5E">
              <w:rPr>
                <w:rFonts w:ascii="Arial Narrow" w:hAnsi="Arial Narrow"/>
                <w:b/>
                <w:sz w:val="20"/>
                <w:szCs w:val="22"/>
              </w:rPr>
              <w:t>Resource item</w:t>
            </w:r>
          </w:p>
        </w:tc>
        <w:tc>
          <w:tcPr>
            <w:tcW w:w="458" w:type="pct"/>
            <w:vAlign w:val="center"/>
          </w:tcPr>
          <w:p w:rsidR="00955CF8" w:rsidRPr="00CA0A5E" w:rsidRDefault="00955CF8" w:rsidP="00D57585">
            <w:pPr>
              <w:jc w:val="center"/>
              <w:rPr>
                <w:rFonts w:ascii="Arial Narrow" w:hAnsi="Arial Narrow"/>
              </w:rPr>
            </w:pPr>
            <w:r>
              <w:rPr>
                <w:rFonts w:ascii="Arial Narrow" w:hAnsi="Arial Narrow"/>
                <w:b/>
                <w:sz w:val="20"/>
                <w:szCs w:val="22"/>
              </w:rPr>
              <w:t>Max. Qty</w:t>
            </w:r>
          </w:p>
        </w:tc>
        <w:tc>
          <w:tcPr>
            <w:tcW w:w="775" w:type="pct"/>
            <w:vAlign w:val="center"/>
          </w:tcPr>
          <w:p w:rsidR="00955CF8" w:rsidRPr="00CA0A5E" w:rsidRDefault="00955CF8" w:rsidP="00D57585">
            <w:pPr>
              <w:jc w:val="center"/>
              <w:rPr>
                <w:rFonts w:ascii="Arial Narrow" w:hAnsi="Arial Narrow"/>
              </w:rPr>
            </w:pPr>
            <w:r w:rsidRPr="00CA0A5E">
              <w:rPr>
                <w:rFonts w:ascii="Arial Narrow" w:hAnsi="Arial Narrow"/>
                <w:b/>
                <w:sz w:val="20"/>
                <w:szCs w:val="22"/>
              </w:rPr>
              <w:t>DPMQ</w:t>
            </w:r>
          </w:p>
        </w:tc>
        <w:tc>
          <w:tcPr>
            <w:tcW w:w="775" w:type="pct"/>
            <w:vAlign w:val="center"/>
          </w:tcPr>
          <w:p w:rsidR="00955CF8" w:rsidRPr="00CA0A5E" w:rsidRDefault="00955CF8" w:rsidP="00D57585">
            <w:pPr>
              <w:jc w:val="center"/>
              <w:rPr>
                <w:rFonts w:ascii="Arial Narrow" w:hAnsi="Arial Narrow"/>
              </w:rPr>
            </w:pPr>
            <w:r>
              <w:rPr>
                <w:rFonts w:ascii="Arial Narrow" w:hAnsi="Arial Narrow"/>
                <w:b/>
                <w:sz w:val="20"/>
                <w:szCs w:val="22"/>
              </w:rPr>
              <w:t>AEMP</w:t>
            </w:r>
          </w:p>
        </w:tc>
        <w:tc>
          <w:tcPr>
            <w:tcW w:w="775" w:type="pct"/>
            <w:vAlign w:val="center"/>
          </w:tcPr>
          <w:p w:rsidR="00955CF8" w:rsidRPr="00CA0A5E" w:rsidRDefault="00955CF8" w:rsidP="00D57585">
            <w:pPr>
              <w:jc w:val="center"/>
              <w:rPr>
                <w:rFonts w:ascii="Arial Narrow" w:hAnsi="Arial Narrow"/>
              </w:rPr>
            </w:pPr>
            <w:r>
              <w:rPr>
                <w:rFonts w:ascii="Arial Narrow" w:hAnsi="Arial Narrow"/>
                <w:b/>
                <w:sz w:val="20"/>
                <w:szCs w:val="22"/>
              </w:rPr>
              <w:t>AEMP</w:t>
            </w:r>
            <w:r w:rsidRPr="00CA0A5E">
              <w:rPr>
                <w:rFonts w:ascii="Arial Narrow" w:hAnsi="Arial Narrow"/>
                <w:b/>
                <w:sz w:val="20"/>
                <w:szCs w:val="22"/>
              </w:rPr>
              <w:t>/unit</w:t>
            </w:r>
          </w:p>
        </w:tc>
      </w:tr>
      <w:tr w:rsidR="00955CF8" w:rsidTr="00955CF8">
        <w:tc>
          <w:tcPr>
            <w:tcW w:w="5000" w:type="pct"/>
            <w:gridSpan w:val="5"/>
          </w:tcPr>
          <w:p w:rsidR="00955CF8" w:rsidRPr="00CA0A5E" w:rsidRDefault="00955CF8" w:rsidP="00D57585">
            <w:pPr>
              <w:rPr>
                <w:rFonts w:ascii="Arial Narrow" w:hAnsi="Arial Narrow"/>
              </w:rPr>
            </w:pPr>
            <w:r w:rsidRPr="00CA0A5E">
              <w:rPr>
                <w:rFonts w:ascii="Arial Narrow" w:hAnsi="Arial Narrow"/>
                <w:b/>
                <w:sz w:val="20"/>
                <w:szCs w:val="22"/>
              </w:rPr>
              <w:t>PBS listed individual components</w:t>
            </w:r>
          </w:p>
        </w:tc>
      </w:tr>
      <w:tr w:rsidR="00955CF8" w:rsidTr="00955CF8">
        <w:tc>
          <w:tcPr>
            <w:tcW w:w="2217" w:type="pct"/>
          </w:tcPr>
          <w:p w:rsidR="00955CF8" w:rsidRPr="00CA0A5E" w:rsidRDefault="00955CF8" w:rsidP="00D57585">
            <w:pPr>
              <w:rPr>
                <w:rFonts w:ascii="Arial Narrow" w:hAnsi="Arial Narrow"/>
              </w:rPr>
            </w:pPr>
            <w:r w:rsidRPr="00CA0A5E">
              <w:rPr>
                <w:rFonts w:ascii="Arial Narrow" w:hAnsi="Arial Narrow"/>
                <w:sz w:val="20"/>
                <w:szCs w:val="22"/>
              </w:rPr>
              <w:t>Empagliflozin 10mg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30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$60.97</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$47.01</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$1.57</w:t>
            </w:r>
          </w:p>
        </w:tc>
      </w:tr>
      <w:tr w:rsidR="00955CF8" w:rsidTr="00955CF8">
        <w:tc>
          <w:tcPr>
            <w:tcW w:w="2217" w:type="pct"/>
          </w:tcPr>
          <w:p w:rsidR="00955CF8" w:rsidRPr="00CA0A5E" w:rsidRDefault="00955CF8" w:rsidP="00D57585">
            <w:pPr>
              <w:rPr>
                <w:rFonts w:ascii="Arial Narrow" w:hAnsi="Arial Narrow"/>
              </w:rPr>
            </w:pPr>
            <w:r w:rsidRPr="00CA0A5E">
              <w:rPr>
                <w:rFonts w:ascii="Arial Narrow" w:hAnsi="Arial Narrow"/>
                <w:sz w:val="20"/>
                <w:szCs w:val="22"/>
              </w:rPr>
              <w:t>Empagliflozin 25mg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30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$60.97</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$47.01</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$1.57</w:t>
            </w:r>
          </w:p>
        </w:tc>
      </w:tr>
      <w:tr w:rsidR="00955CF8" w:rsidTr="00955CF8">
        <w:tc>
          <w:tcPr>
            <w:tcW w:w="2217" w:type="pct"/>
          </w:tcPr>
          <w:p w:rsidR="00955CF8" w:rsidRPr="00CA0A5E" w:rsidRDefault="00955CF8" w:rsidP="00D57585">
            <w:pPr>
              <w:rPr>
                <w:rFonts w:ascii="Arial Narrow" w:hAnsi="Arial Narrow"/>
              </w:rPr>
            </w:pPr>
            <w:r w:rsidRPr="00CA0A5E">
              <w:rPr>
                <w:rFonts w:ascii="Arial Narrow" w:hAnsi="Arial Narrow"/>
                <w:sz w:val="20"/>
                <w:szCs w:val="22"/>
              </w:rPr>
              <w:t>Metformin IR 500mg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100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$13.42</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$2.79</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$0.03</w:t>
            </w:r>
          </w:p>
        </w:tc>
      </w:tr>
      <w:tr w:rsidR="00955CF8" w:rsidTr="00955CF8">
        <w:trPr>
          <w:trHeight w:val="63"/>
        </w:trPr>
        <w:tc>
          <w:tcPr>
            <w:tcW w:w="2217" w:type="pct"/>
          </w:tcPr>
          <w:p w:rsidR="00955CF8" w:rsidRPr="00CA0A5E" w:rsidRDefault="00955CF8" w:rsidP="00D57585">
            <w:pPr>
              <w:rPr>
                <w:rFonts w:ascii="Arial Narrow" w:hAnsi="Arial Narrow"/>
              </w:rPr>
            </w:pPr>
            <w:r w:rsidRPr="00CA0A5E">
              <w:rPr>
                <w:rFonts w:ascii="Arial Narrow" w:hAnsi="Arial Narrow"/>
                <w:sz w:val="20"/>
                <w:szCs w:val="22"/>
              </w:rPr>
              <w:t>Metformin IR 850mg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60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$13.42</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$2.79</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$0.05</w:t>
            </w:r>
          </w:p>
        </w:tc>
      </w:tr>
      <w:tr w:rsidR="00955CF8" w:rsidTr="00955CF8">
        <w:tc>
          <w:tcPr>
            <w:tcW w:w="2217" w:type="pct"/>
          </w:tcPr>
          <w:p w:rsidR="00955CF8" w:rsidRPr="00CA0A5E" w:rsidRDefault="00955CF8" w:rsidP="00D57585">
            <w:pPr>
              <w:rPr>
                <w:rFonts w:ascii="Arial Narrow" w:hAnsi="Arial Narrow"/>
              </w:rPr>
            </w:pPr>
            <w:r w:rsidRPr="00CA0A5E">
              <w:rPr>
                <w:rFonts w:ascii="Arial Narrow" w:hAnsi="Arial Narrow"/>
                <w:sz w:val="20"/>
                <w:szCs w:val="22"/>
              </w:rPr>
              <w:t>Metformin IR 1</w:t>
            </w:r>
            <w:r>
              <w:rPr>
                <w:rFonts w:ascii="Arial Narrow" w:hAnsi="Arial Narrow"/>
                <w:sz w:val="20"/>
                <w:szCs w:val="22"/>
              </w:rPr>
              <w:t>000m</w:t>
            </w:r>
            <w:r w:rsidRPr="00CA0A5E">
              <w:rPr>
                <w:rFonts w:ascii="Arial Narrow" w:hAnsi="Arial Narrow"/>
                <w:sz w:val="20"/>
                <w:szCs w:val="22"/>
              </w:rPr>
              <w:t>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90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$15.65</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$4.86</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$0.05</w:t>
            </w:r>
          </w:p>
        </w:tc>
      </w:tr>
      <w:tr w:rsidR="00955CF8" w:rsidTr="00955CF8">
        <w:tc>
          <w:tcPr>
            <w:tcW w:w="5000" w:type="pct"/>
            <w:gridSpan w:val="5"/>
          </w:tcPr>
          <w:p w:rsidR="00955CF8" w:rsidRPr="00CA0A5E" w:rsidRDefault="00897471" w:rsidP="00D57585">
            <w:pPr>
              <w:rPr>
                <w:rFonts w:ascii="Arial Narrow" w:hAnsi="Arial Narrow"/>
              </w:rPr>
            </w:pPr>
            <w:r>
              <w:rPr>
                <w:rFonts w:ascii="Arial Narrow" w:hAnsi="Arial Narrow"/>
                <w:b/>
                <w:sz w:val="20"/>
                <w:szCs w:val="22"/>
              </w:rPr>
              <w:t>Empagliflozin/</w:t>
            </w:r>
            <w:r w:rsidR="00955CF8">
              <w:rPr>
                <w:rFonts w:ascii="Arial Narrow" w:hAnsi="Arial Narrow"/>
                <w:b/>
                <w:sz w:val="20"/>
                <w:szCs w:val="22"/>
              </w:rPr>
              <w:t>metformin FDC</w:t>
            </w:r>
          </w:p>
        </w:tc>
      </w:tr>
      <w:tr w:rsidR="00955CF8" w:rsidTr="00955CF8">
        <w:tc>
          <w:tcPr>
            <w:tcW w:w="2217" w:type="pct"/>
          </w:tcPr>
          <w:p w:rsidR="00955CF8" w:rsidRPr="00CA0A5E" w:rsidRDefault="00955CF8" w:rsidP="00D57585">
            <w:pPr>
              <w:rPr>
                <w:rFonts w:ascii="Arial Narrow" w:hAnsi="Arial Narrow"/>
              </w:rPr>
            </w:pPr>
            <w:r w:rsidRPr="00CA0A5E">
              <w:rPr>
                <w:rFonts w:ascii="Arial Narrow" w:hAnsi="Arial Narrow"/>
                <w:sz w:val="20"/>
                <w:szCs w:val="22"/>
              </w:rPr>
              <w:t>Empagliflozin 5mg + metformin 500mg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60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62.76</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48.68</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0.81</w:t>
            </w:r>
          </w:p>
        </w:tc>
      </w:tr>
      <w:tr w:rsidR="00955CF8" w:rsidTr="00955CF8">
        <w:tc>
          <w:tcPr>
            <w:tcW w:w="2217" w:type="pct"/>
          </w:tcPr>
          <w:p w:rsidR="00955CF8" w:rsidRPr="00CA0A5E" w:rsidRDefault="00955CF8" w:rsidP="00D57585">
            <w:pPr>
              <w:rPr>
                <w:rFonts w:ascii="Arial Narrow" w:hAnsi="Arial Narrow"/>
              </w:rPr>
            </w:pPr>
            <w:r w:rsidRPr="00CA0A5E">
              <w:rPr>
                <w:rFonts w:ascii="Arial Narrow" w:hAnsi="Arial Narrow"/>
                <w:sz w:val="20"/>
                <w:szCs w:val="22"/>
              </w:rPr>
              <w:t>Empagliflozin 5mg + metformin 850mg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60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63.96</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49.80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0.83</w:t>
            </w:r>
          </w:p>
        </w:tc>
      </w:tr>
      <w:tr w:rsidR="00955CF8" w:rsidTr="00955CF8">
        <w:tc>
          <w:tcPr>
            <w:tcW w:w="2217" w:type="pct"/>
          </w:tcPr>
          <w:p w:rsidR="00955CF8" w:rsidRPr="00CA0A5E" w:rsidRDefault="00955CF8" w:rsidP="00D57585">
            <w:pPr>
              <w:rPr>
                <w:rFonts w:ascii="Arial Narrow" w:hAnsi="Arial Narrow"/>
              </w:rPr>
            </w:pPr>
            <w:r w:rsidRPr="00CA0A5E">
              <w:rPr>
                <w:rFonts w:ascii="Arial Narrow" w:hAnsi="Arial Narrow"/>
                <w:sz w:val="20"/>
                <w:szCs w:val="22"/>
              </w:rPr>
              <w:t>Empagliflozin 5mg + metformin 1</w:t>
            </w:r>
            <w:r>
              <w:rPr>
                <w:rFonts w:ascii="Arial Narrow" w:hAnsi="Arial Narrow"/>
                <w:sz w:val="20"/>
                <w:szCs w:val="22"/>
              </w:rPr>
              <w:t>000mg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60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64.45</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50.25</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0.84</w:t>
            </w:r>
          </w:p>
        </w:tc>
      </w:tr>
      <w:tr w:rsidR="00955CF8" w:rsidTr="00955CF8">
        <w:trPr>
          <w:trHeight w:val="63"/>
        </w:trPr>
        <w:tc>
          <w:tcPr>
            <w:tcW w:w="2217" w:type="pct"/>
          </w:tcPr>
          <w:p w:rsidR="00955CF8" w:rsidRPr="00CA0A5E" w:rsidRDefault="00955CF8" w:rsidP="00D57585">
            <w:pPr>
              <w:rPr>
                <w:rFonts w:ascii="Arial Narrow" w:hAnsi="Arial Narrow"/>
              </w:rPr>
            </w:pPr>
            <w:r w:rsidRPr="00CA0A5E">
              <w:rPr>
                <w:rFonts w:ascii="Arial Narrow" w:hAnsi="Arial Narrow"/>
                <w:sz w:val="20"/>
                <w:szCs w:val="22"/>
              </w:rPr>
              <w:t>Empagliflozin 12.5mg + metformin 500mg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60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62.76</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48.68</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0.81</w:t>
            </w:r>
          </w:p>
        </w:tc>
      </w:tr>
      <w:tr w:rsidR="00955CF8" w:rsidTr="00955CF8">
        <w:tc>
          <w:tcPr>
            <w:tcW w:w="2217" w:type="pct"/>
          </w:tcPr>
          <w:p w:rsidR="00955CF8" w:rsidRPr="00CA0A5E" w:rsidRDefault="00955CF8" w:rsidP="00D57585">
            <w:pPr>
              <w:rPr>
                <w:rFonts w:ascii="Arial Narrow" w:hAnsi="Arial Narrow"/>
              </w:rPr>
            </w:pPr>
            <w:r w:rsidRPr="00CA0A5E">
              <w:rPr>
                <w:rFonts w:ascii="Arial Narrow" w:hAnsi="Arial Narrow"/>
                <w:sz w:val="20"/>
                <w:szCs w:val="22"/>
              </w:rPr>
              <w:lastRenderedPageBreak/>
              <w:t>Empagliflozin 12.5mg + metformin 850mg</w:t>
            </w:r>
          </w:p>
        </w:tc>
        <w:tc>
          <w:tcPr>
            <w:tcW w:w="458" w:type="pct"/>
          </w:tcPr>
          <w:p w:rsidR="00955CF8" w:rsidRPr="00CA0A5E" w:rsidRDefault="00955CF8" w:rsidP="00D57585">
            <w:pPr>
              <w:jc w:val="center"/>
              <w:rPr>
                <w:rFonts w:ascii="Arial Narrow" w:hAnsi="Arial Narrow"/>
              </w:rPr>
            </w:pPr>
            <w:r w:rsidRPr="00CA0A5E">
              <w:rPr>
                <w:rFonts w:ascii="Arial Narrow" w:hAnsi="Arial Narrow"/>
                <w:sz w:val="20"/>
                <w:szCs w:val="22"/>
              </w:rPr>
              <w:t>60</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63.96</w:t>
            </w:r>
          </w:p>
        </w:tc>
        <w:tc>
          <w:tcPr>
            <w:tcW w:w="775" w:type="pct"/>
          </w:tcPr>
          <w:p w:rsidR="00955CF8" w:rsidRPr="00CA0A5E" w:rsidRDefault="00955CF8" w:rsidP="00D57585">
            <w:pPr>
              <w:jc w:val="center"/>
              <w:rPr>
                <w:rFonts w:ascii="Arial Narrow" w:hAnsi="Arial Narrow"/>
              </w:rPr>
            </w:pPr>
            <w:r w:rsidRPr="00CA0A5E">
              <w:rPr>
                <w:rFonts w:ascii="Arial Narrow" w:hAnsi="Arial Narrow"/>
                <w:sz w:val="20"/>
                <w:szCs w:val="22"/>
              </w:rPr>
              <w:t>$</w:t>
            </w:r>
            <w:r w:rsidRPr="00D61F83">
              <w:rPr>
                <w:rFonts w:ascii="Arial Narrow" w:hAnsi="Arial Narrow"/>
                <w:sz w:val="20"/>
                <w:szCs w:val="22"/>
              </w:rPr>
              <w:t>49.80</w:t>
            </w:r>
          </w:p>
        </w:tc>
        <w:tc>
          <w:tcPr>
            <w:tcW w:w="775" w:type="pct"/>
          </w:tcPr>
          <w:p w:rsidR="00955CF8" w:rsidRPr="00D72A31" w:rsidRDefault="00955CF8" w:rsidP="00D57585">
            <w:pPr>
              <w:jc w:val="center"/>
              <w:rPr>
                <w:rFonts w:ascii="Arial Narrow" w:hAnsi="Arial Narrow"/>
                <w:sz w:val="20"/>
                <w:szCs w:val="22"/>
              </w:rPr>
            </w:pPr>
            <w:r w:rsidRPr="00CA0A5E">
              <w:rPr>
                <w:rFonts w:ascii="Arial Narrow" w:hAnsi="Arial Narrow"/>
                <w:sz w:val="20"/>
                <w:szCs w:val="22"/>
              </w:rPr>
              <w:t>$</w:t>
            </w:r>
            <w:r w:rsidRPr="00D61F83">
              <w:rPr>
                <w:rFonts w:ascii="Arial Narrow" w:hAnsi="Arial Narrow"/>
                <w:sz w:val="20"/>
                <w:szCs w:val="22"/>
              </w:rPr>
              <w:t>0.83</w:t>
            </w:r>
          </w:p>
        </w:tc>
      </w:tr>
      <w:tr w:rsidR="00955CF8" w:rsidTr="00955CF8">
        <w:tc>
          <w:tcPr>
            <w:tcW w:w="2217" w:type="pct"/>
          </w:tcPr>
          <w:p w:rsidR="00955CF8" w:rsidRPr="00CA0A5E" w:rsidRDefault="00955CF8" w:rsidP="00D57585">
            <w:pPr>
              <w:rPr>
                <w:rFonts w:ascii="Arial Narrow" w:hAnsi="Arial Narrow"/>
                <w:sz w:val="20"/>
                <w:szCs w:val="22"/>
              </w:rPr>
            </w:pPr>
            <w:r w:rsidRPr="00CA0A5E">
              <w:rPr>
                <w:rFonts w:ascii="Arial Narrow" w:hAnsi="Arial Narrow"/>
                <w:sz w:val="20"/>
                <w:szCs w:val="22"/>
              </w:rPr>
              <w:t>Em</w:t>
            </w:r>
            <w:r>
              <w:rPr>
                <w:rFonts w:ascii="Arial Narrow" w:hAnsi="Arial Narrow"/>
                <w:sz w:val="20"/>
                <w:szCs w:val="22"/>
              </w:rPr>
              <w:t>pagliflozin 12.5mg + metformin 1000</w:t>
            </w:r>
            <w:r w:rsidRPr="00CA0A5E">
              <w:rPr>
                <w:rFonts w:ascii="Arial Narrow" w:hAnsi="Arial Narrow"/>
                <w:sz w:val="20"/>
                <w:szCs w:val="22"/>
              </w:rPr>
              <w:t>mg</w:t>
            </w:r>
          </w:p>
        </w:tc>
        <w:tc>
          <w:tcPr>
            <w:tcW w:w="458" w:type="pct"/>
          </w:tcPr>
          <w:p w:rsidR="00955CF8" w:rsidRPr="00CA0A5E" w:rsidRDefault="00955CF8" w:rsidP="00D57585">
            <w:pPr>
              <w:jc w:val="center"/>
              <w:rPr>
                <w:rFonts w:ascii="Arial Narrow" w:hAnsi="Arial Narrow"/>
                <w:sz w:val="20"/>
                <w:szCs w:val="22"/>
              </w:rPr>
            </w:pPr>
            <w:r>
              <w:rPr>
                <w:rFonts w:ascii="Arial Narrow" w:hAnsi="Arial Narrow"/>
                <w:sz w:val="20"/>
                <w:szCs w:val="22"/>
              </w:rPr>
              <w:t>60</w:t>
            </w:r>
          </w:p>
        </w:tc>
        <w:tc>
          <w:tcPr>
            <w:tcW w:w="775" w:type="pct"/>
          </w:tcPr>
          <w:p w:rsidR="00955CF8" w:rsidRPr="00CA0A5E" w:rsidRDefault="00955CF8" w:rsidP="00D57585">
            <w:pPr>
              <w:jc w:val="center"/>
              <w:rPr>
                <w:rFonts w:ascii="Arial Narrow" w:hAnsi="Arial Narrow"/>
                <w:sz w:val="20"/>
                <w:szCs w:val="22"/>
              </w:rPr>
            </w:pPr>
            <w:r>
              <w:rPr>
                <w:rFonts w:ascii="Arial Narrow" w:hAnsi="Arial Narrow"/>
                <w:sz w:val="20"/>
                <w:szCs w:val="22"/>
              </w:rPr>
              <w:t>$</w:t>
            </w:r>
            <w:r w:rsidRPr="00D61F83">
              <w:rPr>
                <w:rFonts w:ascii="Arial Narrow" w:hAnsi="Arial Narrow"/>
                <w:sz w:val="20"/>
                <w:szCs w:val="22"/>
              </w:rPr>
              <w:t>64.45</w:t>
            </w:r>
          </w:p>
        </w:tc>
        <w:tc>
          <w:tcPr>
            <w:tcW w:w="775" w:type="pct"/>
          </w:tcPr>
          <w:p w:rsidR="00955CF8" w:rsidRPr="00CA0A5E" w:rsidRDefault="00955CF8" w:rsidP="00D57585">
            <w:pPr>
              <w:jc w:val="center"/>
              <w:rPr>
                <w:rFonts w:ascii="Arial Narrow" w:hAnsi="Arial Narrow"/>
                <w:sz w:val="20"/>
                <w:szCs w:val="22"/>
              </w:rPr>
            </w:pPr>
            <w:r>
              <w:rPr>
                <w:rFonts w:ascii="Arial Narrow" w:hAnsi="Arial Narrow"/>
                <w:sz w:val="20"/>
                <w:szCs w:val="22"/>
              </w:rPr>
              <w:t>$</w:t>
            </w:r>
            <w:r w:rsidRPr="00D61F83">
              <w:rPr>
                <w:rFonts w:ascii="Arial Narrow" w:hAnsi="Arial Narrow"/>
                <w:sz w:val="20"/>
                <w:szCs w:val="22"/>
              </w:rPr>
              <w:t>50.25</w:t>
            </w:r>
          </w:p>
        </w:tc>
        <w:tc>
          <w:tcPr>
            <w:tcW w:w="775" w:type="pct"/>
          </w:tcPr>
          <w:p w:rsidR="00955CF8" w:rsidRPr="00CA0A5E" w:rsidRDefault="00955CF8" w:rsidP="00D57585">
            <w:pPr>
              <w:jc w:val="center"/>
              <w:rPr>
                <w:rFonts w:ascii="Arial Narrow" w:hAnsi="Arial Narrow"/>
                <w:sz w:val="20"/>
                <w:szCs w:val="22"/>
              </w:rPr>
            </w:pPr>
            <w:r>
              <w:rPr>
                <w:rFonts w:ascii="Arial Narrow" w:hAnsi="Arial Narrow"/>
                <w:sz w:val="20"/>
                <w:szCs w:val="22"/>
              </w:rPr>
              <w:t>$</w:t>
            </w:r>
            <w:r w:rsidRPr="00D61F83">
              <w:rPr>
                <w:rFonts w:ascii="Arial Narrow" w:hAnsi="Arial Narrow"/>
                <w:sz w:val="20"/>
                <w:szCs w:val="22"/>
              </w:rPr>
              <w:t>0.84</w:t>
            </w:r>
          </w:p>
        </w:tc>
      </w:tr>
    </w:tbl>
    <w:p w:rsidR="00955CF8" w:rsidRDefault="00955CF8" w:rsidP="00D57585">
      <w:pPr>
        <w:pStyle w:val="COMtbl-textLeftAligned"/>
        <w:rPr>
          <w:sz w:val="18"/>
        </w:rPr>
      </w:pPr>
      <w:r>
        <w:rPr>
          <w:sz w:val="18"/>
        </w:rPr>
        <w:tab/>
        <w:t>Source: Table D.2.1 of the submission.</w:t>
      </w:r>
    </w:p>
    <w:p w:rsidR="00955CF8" w:rsidRDefault="00955CF8" w:rsidP="00D57585">
      <w:pPr>
        <w:pStyle w:val="COMtbl-textLeftAligned"/>
        <w:ind w:left="720"/>
        <w:rPr>
          <w:sz w:val="18"/>
        </w:rPr>
      </w:pPr>
      <w:r>
        <w:rPr>
          <w:sz w:val="18"/>
        </w:rPr>
        <w:t>Abbreviations: Max. Qty, maximum quantity; DPMQ, dispensed price for maximum quantity; AEMP, agreed ex-manufacturer price; FDC, fixed dose combination; IR, immediate release.</w:t>
      </w:r>
    </w:p>
    <w:p w:rsidR="00304C4B" w:rsidRDefault="00304C4B" w:rsidP="0070102D">
      <w:pPr>
        <w:pStyle w:val="Heading2"/>
      </w:pPr>
      <w:bookmarkStart w:id="14" w:name="_Toc430102473"/>
    </w:p>
    <w:p w:rsidR="00C25D9C" w:rsidRPr="00B27AD1" w:rsidRDefault="00A269FD" w:rsidP="0070102D">
      <w:pPr>
        <w:pStyle w:val="Heading2"/>
      </w:pPr>
      <w:r w:rsidRPr="00B27AD1">
        <w:t>Drug cost/patient</w:t>
      </w:r>
      <w:r w:rsidR="00C25D9C" w:rsidRPr="00B27AD1">
        <w:t>/</w:t>
      </w:r>
      <w:r w:rsidRPr="00B27AD1">
        <w:t>year</w:t>
      </w:r>
      <w:bookmarkEnd w:id="14"/>
    </w:p>
    <w:p w:rsidR="00C25D9C" w:rsidRPr="00C25D9C" w:rsidRDefault="00C25D9C" w:rsidP="00D57585">
      <w:pPr>
        <w:widowControl/>
        <w:rPr>
          <w:szCs w:val="22"/>
        </w:rPr>
      </w:pPr>
    </w:p>
    <w:p w:rsidR="00A269FD" w:rsidRDefault="00D55132" w:rsidP="000028F6">
      <w:pPr>
        <w:pStyle w:val="ListParagraph"/>
        <w:widowControl/>
        <w:numPr>
          <w:ilvl w:val="1"/>
          <w:numId w:val="3"/>
        </w:numPr>
        <w:rPr>
          <w:szCs w:val="22"/>
        </w:rPr>
      </w:pPr>
      <w:r>
        <w:rPr>
          <w:szCs w:val="22"/>
        </w:rPr>
        <w:t>Table 7</w:t>
      </w:r>
      <w:r w:rsidR="00676DEA">
        <w:rPr>
          <w:szCs w:val="22"/>
        </w:rPr>
        <w:t xml:space="preserve"> summarises the drug costs for a single patient for one year</w:t>
      </w:r>
      <w:r>
        <w:rPr>
          <w:szCs w:val="22"/>
        </w:rPr>
        <w:t xml:space="preserve"> (based on 12.167 [=365/30]</w:t>
      </w:r>
      <w:r w:rsidR="003252CF">
        <w:rPr>
          <w:szCs w:val="22"/>
        </w:rPr>
        <w:t xml:space="preserve"> scripts per year)</w:t>
      </w:r>
      <w:r w:rsidR="00676DEA">
        <w:rPr>
          <w:szCs w:val="22"/>
        </w:rPr>
        <w:t>.</w:t>
      </w:r>
    </w:p>
    <w:p w:rsidR="00676DEA" w:rsidRDefault="00676DEA" w:rsidP="00D57585">
      <w:pPr>
        <w:pStyle w:val="ListParagraph"/>
        <w:widowControl/>
        <w:rPr>
          <w:szCs w:val="22"/>
        </w:rPr>
      </w:pPr>
    </w:p>
    <w:p w:rsidR="00676DEA" w:rsidRPr="00676DEA" w:rsidRDefault="00D55132" w:rsidP="00D57585">
      <w:pPr>
        <w:pStyle w:val="COMtbl-textLeftAligned"/>
        <w:rPr>
          <w:b/>
        </w:rPr>
      </w:pPr>
      <w:r>
        <w:rPr>
          <w:b/>
        </w:rPr>
        <w:tab/>
        <w:t>Table 7</w:t>
      </w:r>
      <w:r w:rsidR="00676DEA">
        <w:rPr>
          <w:b/>
        </w:rPr>
        <w:t>: FDC drug costs per year</w:t>
      </w:r>
    </w:p>
    <w:tbl>
      <w:tblPr>
        <w:tblStyle w:val="TableGrid"/>
        <w:tblW w:w="0" w:type="auto"/>
        <w:tblInd w:w="720" w:type="dxa"/>
        <w:tblLook w:val="04A0" w:firstRow="1" w:lastRow="0" w:firstColumn="1" w:lastColumn="0" w:noHBand="0" w:noVBand="1"/>
        <w:tblCaption w:val="Drug costs per patient"/>
      </w:tblPr>
      <w:tblGrid>
        <w:gridCol w:w="3819"/>
        <w:gridCol w:w="4387"/>
      </w:tblGrid>
      <w:tr w:rsidR="00897471" w:rsidTr="00E6767F">
        <w:trPr>
          <w:tblHeader/>
        </w:trPr>
        <w:tc>
          <w:tcPr>
            <w:tcW w:w="3819" w:type="dxa"/>
          </w:tcPr>
          <w:p w:rsidR="00897471" w:rsidRPr="00897471" w:rsidRDefault="00897471" w:rsidP="00D57585">
            <w:pPr>
              <w:pStyle w:val="COMtbl-textLeftAligned"/>
              <w:jc w:val="center"/>
              <w:rPr>
                <w:b/>
              </w:rPr>
            </w:pPr>
            <w:r w:rsidRPr="00897471">
              <w:rPr>
                <w:b/>
              </w:rPr>
              <w:t>FDC</w:t>
            </w:r>
            <w:r>
              <w:rPr>
                <w:b/>
              </w:rPr>
              <w:t xml:space="preserve"> (Empagliflozin/</w:t>
            </w:r>
            <w:r w:rsidR="0029620F">
              <w:rPr>
                <w:b/>
              </w:rPr>
              <w:t>m</w:t>
            </w:r>
            <w:r>
              <w:rPr>
                <w:b/>
              </w:rPr>
              <w:t>etformin)</w:t>
            </w:r>
          </w:p>
        </w:tc>
        <w:tc>
          <w:tcPr>
            <w:tcW w:w="4387" w:type="dxa"/>
          </w:tcPr>
          <w:p w:rsidR="00897471" w:rsidRPr="00897471" w:rsidRDefault="00897471" w:rsidP="00D57585">
            <w:pPr>
              <w:pStyle w:val="ListParagraph"/>
              <w:widowControl/>
              <w:ind w:left="0"/>
              <w:jc w:val="center"/>
              <w:rPr>
                <w:rFonts w:ascii="Arial Narrow" w:hAnsi="Arial Narrow"/>
                <w:b/>
                <w:szCs w:val="22"/>
              </w:rPr>
            </w:pPr>
            <w:r w:rsidRPr="00897471">
              <w:rPr>
                <w:rFonts w:ascii="Arial Narrow" w:hAnsi="Arial Narrow"/>
                <w:b/>
                <w:szCs w:val="22"/>
              </w:rPr>
              <w:t>Cost/patient/year</w:t>
            </w:r>
          </w:p>
        </w:tc>
      </w:tr>
      <w:tr w:rsidR="00897471" w:rsidTr="004B1895">
        <w:tc>
          <w:tcPr>
            <w:tcW w:w="3819" w:type="dxa"/>
          </w:tcPr>
          <w:p w:rsidR="00897471" w:rsidRDefault="00897471" w:rsidP="00D57585">
            <w:pPr>
              <w:pStyle w:val="COMtbl-textCentred"/>
            </w:pPr>
            <w:r>
              <w:t>5mg/500mg</w:t>
            </w:r>
          </w:p>
        </w:tc>
        <w:tc>
          <w:tcPr>
            <w:tcW w:w="4387" w:type="dxa"/>
          </w:tcPr>
          <w:p w:rsidR="00897471" w:rsidRDefault="00676DEA" w:rsidP="00D57585">
            <w:pPr>
              <w:pStyle w:val="COMtbl-textCentred"/>
            </w:pPr>
            <w:r>
              <w:t>$</w:t>
            </w:r>
            <w:r w:rsidRPr="00D61F83">
              <w:t>764</w:t>
            </w:r>
          </w:p>
        </w:tc>
      </w:tr>
      <w:tr w:rsidR="00897471" w:rsidTr="004B1895">
        <w:tc>
          <w:tcPr>
            <w:tcW w:w="3819" w:type="dxa"/>
          </w:tcPr>
          <w:p w:rsidR="00897471" w:rsidRDefault="00897471" w:rsidP="00D57585">
            <w:pPr>
              <w:pStyle w:val="COMtbl-textCentred"/>
            </w:pPr>
            <w:r>
              <w:t>5mg/850mg</w:t>
            </w:r>
          </w:p>
        </w:tc>
        <w:tc>
          <w:tcPr>
            <w:tcW w:w="4387" w:type="dxa"/>
          </w:tcPr>
          <w:p w:rsidR="00897471" w:rsidRDefault="00676DEA" w:rsidP="00D57585">
            <w:pPr>
              <w:pStyle w:val="COMtbl-textCentred"/>
            </w:pPr>
            <w:r>
              <w:t>$</w:t>
            </w:r>
            <w:r w:rsidRPr="00D61F83">
              <w:t>778</w:t>
            </w:r>
          </w:p>
        </w:tc>
      </w:tr>
      <w:tr w:rsidR="00897471" w:rsidTr="004B1895">
        <w:tc>
          <w:tcPr>
            <w:tcW w:w="3819" w:type="dxa"/>
          </w:tcPr>
          <w:p w:rsidR="00897471" w:rsidRDefault="00897471" w:rsidP="00D57585">
            <w:pPr>
              <w:pStyle w:val="COMtbl-textCentred"/>
            </w:pPr>
            <w:r>
              <w:t>5mg/1000mg</w:t>
            </w:r>
          </w:p>
        </w:tc>
        <w:tc>
          <w:tcPr>
            <w:tcW w:w="4387" w:type="dxa"/>
          </w:tcPr>
          <w:p w:rsidR="00897471" w:rsidRDefault="00676DEA" w:rsidP="00D57585">
            <w:pPr>
              <w:pStyle w:val="COMtbl-textCentred"/>
            </w:pPr>
            <w:r>
              <w:t>$</w:t>
            </w:r>
            <w:r w:rsidRPr="00D61F83">
              <w:t>784</w:t>
            </w:r>
          </w:p>
        </w:tc>
      </w:tr>
      <w:tr w:rsidR="00676DEA" w:rsidTr="004B1895">
        <w:tc>
          <w:tcPr>
            <w:tcW w:w="3819" w:type="dxa"/>
          </w:tcPr>
          <w:p w:rsidR="00676DEA" w:rsidRDefault="00676DEA" w:rsidP="00D57585">
            <w:pPr>
              <w:pStyle w:val="COMtbl-textCentred"/>
            </w:pPr>
            <w:r>
              <w:t>12.5mg/500mg</w:t>
            </w:r>
          </w:p>
        </w:tc>
        <w:tc>
          <w:tcPr>
            <w:tcW w:w="4387" w:type="dxa"/>
          </w:tcPr>
          <w:p w:rsidR="00676DEA" w:rsidRDefault="00676DEA" w:rsidP="00D57585">
            <w:pPr>
              <w:pStyle w:val="COMtbl-textCentred"/>
            </w:pPr>
            <w:r>
              <w:t>$</w:t>
            </w:r>
            <w:r w:rsidRPr="00D61F83">
              <w:t>764</w:t>
            </w:r>
          </w:p>
        </w:tc>
      </w:tr>
      <w:tr w:rsidR="00676DEA" w:rsidTr="004B1895">
        <w:trPr>
          <w:trHeight w:val="58"/>
        </w:trPr>
        <w:tc>
          <w:tcPr>
            <w:tcW w:w="3819" w:type="dxa"/>
          </w:tcPr>
          <w:p w:rsidR="00676DEA" w:rsidRDefault="00676DEA" w:rsidP="00D57585">
            <w:pPr>
              <w:pStyle w:val="COMtbl-textCentred"/>
            </w:pPr>
            <w:r>
              <w:t>12.5mg/850mg</w:t>
            </w:r>
          </w:p>
        </w:tc>
        <w:tc>
          <w:tcPr>
            <w:tcW w:w="4387" w:type="dxa"/>
          </w:tcPr>
          <w:p w:rsidR="00676DEA" w:rsidRDefault="00676DEA" w:rsidP="00D57585">
            <w:pPr>
              <w:pStyle w:val="COMtbl-textCentred"/>
            </w:pPr>
            <w:r>
              <w:t>$</w:t>
            </w:r>
            <w:r w:rsidRPr="00D61F83">
              <w:t>778</w:t>
            </w:r>
          </w:p>
        </w:tc>
      </w:tr>
      <w:tr w:rsidR="00676DEA" w:rsidTr="004B1895">
        <w:tc>
          <w:tcPr>
            <w:tcW w:w="3819" w:type="dxa"/>
          </w:tcPr>
          <w:p w:rsidR="00676DEA" w:rsidRDefault="00676DEA" w:rsidP="00D57585">
            <w:pPr>
              <w:pStyle w:val="COMtbl-textCentred"/>
            </w:pPr>
            <w:r>
              <w:t>12.5mg/1000mg</w:t>
            </w:r>
          </w:p>
        </w:tc>
        <w:tc>
          <w:tcPr>
            <w:tcW w:w="4387" w:type="dxa"/>
          </w:tcPr>
          <w:p w:rsidR="00676DEA" w:rsidRDefault="00676DEA" w:rsidP="00D57585">
            <w:pPr>
              <w:pStyle w:val="COMtbl-textCentred"/>
            </w:pPr>
            <w:r>
              <w:t>$</w:t>
            </w:r>
            <w:r w:rsidRPr="00D61F83">
              <w:t>784</w:t>
            </w:r>
          </w:p>
        </w:tc>
      </w:tr>
    </w:tbl>
    <w:p w:rsidR="006A5328" w:rsidRDefault="006A5328" w:rsidP="00D57585">
      <w:pPr>
        <w:pStyle w:val="ListParagraph"/>
        <w:widowControl/>
        <w:rPr>
          <w:szCs w:val="22"/>
        </w:rPr>
      </w:pPr>
    </w:p>
    <w:p w:rsidR="00B60939" w:rsidRPr="00B27AD1" w:rsidRDefault="00B60939" w:rsidP="0070102D">
      <w:pPr>
        <w:pStyle w:val="Heading2"/>
      </w:pPr>
      <w:bookmarkStart w:id="15" w:name="_Toc430102474"/>
      <w:r w:rsidRPr="00B27AD1">
        <w:t>Estimated PBS usage &amp; financial implications</w:t>
      </w:r>
      <w:bookmarkEnd w:id="15"/>
    </w:p>
    <w:p w:rsidR="00676DEA" w:rsidRPr="00C25D9C" w:rsidRDefault="00676DEA" w:rsidP="00D57585">
      <w:pPr>
        <w:widowControl/>
        <w:rPr>
          <w:szCs w:val="22"/>
        </w:rPr>
      </w:pPr>
    </w:p>
    <w:p w:rsidR="00676DEA" w:rsidRDefault="00676DEA" w:rsidP="000028F6">
      <w:pPr>
        <w:pStyle w:val="ListParagraph"/>
        <w:widowControl/>
        <w:numPr>
          <w:ilvl w:val="1"/>
          <w:numId w:val="3"/>
        </w:numPr>
      </w:pPr>
      <w:r>
        <w:t>This submission was not considered by DUSC</w:t>
      </w:r>
      <w:r w:rsidRPr="00676DEA">
        <w:rPr>
          <w:color w:val="0070C0"/>
        </w:rPr>
        <w:t xml:space="preserve">. </w:t>
      </w:r>
      <w:r>
        <w:t xml:space="preserve">The financial analysis was based on a market share approach where a proportion of the patients taking a </w:t>
      </w:r>
      <w:r w:rsidR="00EE2C94">
        <w:t>sodium glucose cotransporter 2 (</w:t>
      </w:r>
      <w:r>
        <w:t>SGLT2</w:t>
      </w:r>
      <w:r w:rsidR="00EE2C94">
        <w:t>)</w:t>
      </w:r>
      <w:r>
        <w:t xml:space="preserve"> inhibitor and metformin switch to the empagliflozin/</w:t>
      </w:r>
      <w:r w:rsidR="003252CF">
        <w:t xml:space="preserve"> </w:t>
      </w:r>
      <w:r>
        <w:t xml:space="preserve">metformin FDC. </w:t>
      </w:r>
    </w:p>
    <w:p w:rsidR="00676DEA" w:rsidRDefault="00676DEA" w:rsidP="00D57585">
      <w:pPr>
        <w:pStyle w:val="ListParagraph"/>
        <w:widowControl/>
      </w:pPr>
    </w:p>
    <w:p w:rsidR="00676DEA" w:rsidRDefault="00676DEA" w:rsidP="000028F6">
      <w:pPr>
        <w:pStyle w:val="ListParagraph"/>
        <w:widowControl/>
        <w:numPr>
          <w:ilvl w:val="1"/>
          <w:numId w:val="3"/>
        </w:numPr>
      </w:pPr>
      <w:r>
        <w:t>Future SGLT2 inhibitor dual therapy uptake rates were predicted using historical monthly</w:t>
      </w:r>
      <w:r w:rsidR="003104C4">
        <w:t xml:space="preserve"> dipepti</w:t>
      </w:r>
      <w:r w:rsidR="00EE2C94">
        <w:t>dyl peptidase</w:t>
      </w:r>
      <w:r w:rsidR="003104C4">
        <w:t>-</w:t>
      </w:r>
      <w:r w:rsidR="00EE2C94">
        <w:t>4 (</w:t>
      </w:r>
      <w:r>
        <w:t>DPP-4</w:t>
      </w:r>
      <w:r w:rsidR="00EE2C94">
        <w:t>)</w:t>
      </w:r>
      <w:r>
        <w:t xml:space="preserve"> inhibitor uptake rates (matched for time since PBS listing), derived from Medicare 10% sample data. The proportion of patients using a SGLT2 inhibitor/metformin FDC was estimated from the corresponding historical proportion of patients using a DPP-4 inhibitor</w:t>
      </w:r>
      <w:r w:rsidR="003252CF">
        <w:t>/metformin</w:t>
      </w:r>
      <w:r>
        <w:t xml:space="preserve"> FDC. The total estimated SGLT2 inhibitor/metformin FDC </w:t>
      </w:r>
      <w:r w:rsidR="003252CF">
        <w:t xml:space="preserve">population was </w:t>
      </w:r>
      <w:r>
        <w:t>divided between the empagliflozin and dapagliflozin FDCs using a market share approach.</w:t>
      </w:r>
    </w:p>
    <w:p w:rsidR="004D34A5" w:rsidRDefault="004D34A5" w:rsidP="00D57585">
      <w:pPr>
        <w:pStyle w:val="ListParagraph"/>
      </w:pPr>
    </w:p>
    <w:p w:rsidR="00C25D9C" w:rsidRPr="004D34A5" w:rsidRDefault="004D34A5" w:rsidP="000028F6">
      <w:pPr>
        <w:pStyle w:val="ListParagraph"/>
        <w:widowControl/>
        <w:numPr>
          <w:ilvl w:val="1"/>
          <w:numId w:val="3"/>
        </w:numPr>
      </w:pPr>
      <w:r>
        <w:t xml:space="preserve">The estimated utilisation and </w:t>
      </w:r>
      <w:r w:rsidR="003252CF">
        <w:t>financial implications</w:t>
      </w:r>
      <w:r>
        <w:t xml:space="preserve"> associated with listing the FDC on t</w:t>
      </w:r>
      <w:r w:rsidR="00D55132">
        <w:t>he PBS are summarised in Table 8</w:t>
      </w:r>
      <w:r>
        <w:t>.</w:t>
      </w:r>
    </w:p>
    <w:p w:rsidR="00676DEA" w:rsidRDefault="00676DEA" w:rsidP="00D57585">
      <w:pPr>
        <w:ind w:firstLine="709"/>
        <w:rPr>
          <w:rStyle w:val="CommentReference"/>
        </w:rPr>
      </w:pPr>
    </w:p>
    <w:p w:rsidR="00676DEA" w:rsidRPr="00E8411A" w:rsidRDefault="00D55132" w:rsidP="00D57585">
      <w:pPr>
        <w:ind w:firstLine="720"/>
        <w:rPr>
          <w:rFonts w:ascii="Arial Narrow" w:hAnsi="Arial Narrow"/>
          <w:b/>
          <w:sz w:val="20"/>
        </w:rPr>
      </w:pPr>
      <w:r>
        <w:rPr>
          <w:rFonts w:ascii="Arial Narrow" w:hAnsi="Arial Narrow"/>
          <w:b/>
          <w:sz w:val="20"/>
        </w:rPr>
        <w:t>Table 8</w:t>
      </w:r>
      <w:r w:rsidR="004D34A5">
        <w:rPr>
          <w:rFonts w:ascii="Arial Narrow" w:hAnsi="Arial Narrow"/>
          <w:b/>
          <w:sz w:val="20"/>
        </w:rPr>
        <w:t>:</w:t>
      </w:r>
      <w:r w:rsidR="00676DEA">
        <w:rPr>
          <w:rFonts w:ascii="Arial Narrow" w:hAnsi="Arial Narrow"/>
          <w:b/>
          <w:sz w:val="20"/>
        </w:rPr>
        <w:t xml:space="preserve"> Estimated empagliflozin/metformin FDC use and net financial implications for the PBS/RPBS</w:t>
      </w:r>
    </w:p>
    <w:tbl>
      <w:tblPr>
        <w:tblStyle w:val="TableGrid"/>
        <w:tblW w:w="4610" w:type="pct"/>
        <w:tblInd w:w="704" w:type="dxa"/>
        <w:tblCellMar>
          <w:left w:w="28" w:type="dxa"/>
          <w:right w:w="28" w:type="dxa"/>
        </w:tblCellMar>
        <w:tblLook w:val="04A0" w:firstRow="1" w:lastRow="0" w:firstColumn="1" w:lastColumn="0" w:noHBand="0" w:noVBand="1"/>
        <w:tblCaption w:val="Utilisation estimates and financial implications"/>
      </w:tblPr>
      <w:tblGrid>
        <w:gridCol w:w="2738"/>
        <w:gridCol w:w="1127"/>
        <w:gridCol w:w="1127"/>
        <w:gridCol w:w="1127"/>
        <w:gridCol w:w="1127"/>
        <w:gridCol w:w="1129"/>
      </w:tblGrid>
      <w:tr w:rsidR="00676DEA" w:rsidRPr="00F71E33" w:rsidTr="00E6767F">
        <w:trPr>
          <w:tblHeader/>
        </w:trPr>
        <w:tc>
          <w:tcPr>
            <w:tcW w:w="1634" w:type="pct"/>
            <w:tcBorders>
              <w:bottom w:val="single" w:sz="4" w:space="0" w:color="auto"/>
            </w:tcBorders>
            <w:vAlign w:val="center"/>
          </w:tcPr>
          <w:p w:rsidR="00676DEA" w:rsidRPr="00F71E33" w:rsidRDefault="00676DEA" w:rsidP="00D57585">
            <w:pPr>
              <w:jc w:val="center"/>
              <w:rPr>
                <w:rFonts w:ascii="Arial Narrow" w:hAnsi="Arial Narrow"/>
                <w:sz w:val="20"/>
              </w:rPr>
            </w:pPr>
          </w:p>
        </w:tc>
        <w:tc>
          <w:tcPr>
            <w:tcW w:w="673" w:type="pct"/>
            <w:tcBorders>
              <w:bottom w:val="single" w:sz="4" w:space="0" w:color="auto"/>
            </w:tcBorders>
            <w:vAlign w:val="center"/>
          </w:tcPr>
          <w:p w:rsidR="00676DEA" w:rsidRPr="00C53526" w:rsidRDefault="00676DEA" w:rsidP="00AE7FE9">
            <w:pPr>
              <w:jc w:val="center"/>
              <w:rPr>
                <w:rFonts w:ascii="Arial Narrow" w:hAnsi="Arial Narrow"/>
                <w:b/>
                <w:sz w:val="20"/>
              </w:rPr>
            </w:pPr>
            <w:r w:rsidRPr="00C53526">
              <w:rPr>
                <w:rFonts w:ascii="Arial Narrow" w:hAnsi="Arial Narrow"/>
                <w:b/>
                <w:sz w:val="20"/>
              </w:rPr>
              <w:t>Year 1</w:t>
            </w:r>
          </w:p>
        </w:tc>
        <w:tc>
          <w:tcPr>
            <w:tcW w:w="673" w:type="pct"/>
            <w:tcBorders>
              <w:bottom w:val="single" w:sz="4" w:space="0" w:color="auto"/>
            </w:tcBorders>
            <w:vAlign w:val="center"/>
          </w:tcPr>
          <w:p w:rsidR="00676DEA" w:rsidRPr="00C53526" w:rsidRDefault="00676DEA" w:rsidP="00AE7FE9">
            <w:pPr>
              <w:jc w:val="center"/>
              <w:rPr>
                <w:rFonts w:ascii="Arial Narrow" w:hAnsi="Arial Narrow"/>
                <w:b/>
                <w:sz w:val="20"/>
              </w:rPr>
            </w:pPr>
            <w:r w:rsidRPr="00C53526">
              <w:rPr>
                <w:rFonts w:ascii="Arial Narrow" w:hAnsi="Arial Narrow"/>
                <w:b/>
                <w:sz w:val="20"/>
              </w:rPr>
              <w:t>Year 2</w:t>
            </w:r>
          </w:p>
        </w:tc>
        <w:tc>
          <w:tcPr>
            <w:tcW w:w="673" w:type="pct"/>
            <w:tcBorders>
              <w:bottom w:val="single" w:sz="4" w:space="0" w:color="auto"/>
            </w:tcBorders>
            <w:vAlign w:val="center"/>
          </w:tcPr>
          <w:p w:rsidR="00676DEA" w:rsidRPr="00C53526" w:rsidRDefault="00676DEA" w:rsidP="00AE7FE9">
            <w:pPr>
              <w:jc w:val="center"/>
              <w:rPr>
                <w:rFonts w:ascii="Arial Narrow" w:hAnsi="Arial Narrow"/>
                <w:b/>
                <w:sz w:val="20"/>
              </w:rPr>
            </w:pPr>
            <w:r w:rsidRPr="00C53526">
              <w:rPr>
                <w:rFonts w:ascii="Arial Narrow" w:hAnsi="Arial Narrow"/>
                <w:b/>
                <w:sz w:val="20"/>
              </w:rPr>
              <w:t>Year 3</w:t>
            </w:r>
          </w:p>
        </w:tc>
        <w:tc>
          <w:tcPr>
            <w:tcW w:w="673" w:type="pct"/>
            <w:tcBorders>
              <w:bottom w:val="single" w:sz="4" w:space="0" w:color="auto"/>
            </w:tcBorders>
            <w:vAlign w:val="center"/>
          </w:tcPr>
          <w:p w:rsidR="00676DEA" w:rsidRPr="00C53526" w:rsidRDefault="00676DEA" w:rsidP="00AE7FE9">
            <w:pPr>
              <w:jc w:val="center"/>
              <w:rPr>
                <w:rFonts w:ascii="Arial Narrow" w:hAnsi="Arial Narrow"/>
                <w:b/>
                <w:sz w:val="20"/>
              </w:rPr>
            </w:pPr>
            <w:r w:rsidRPr="00C53526">
              <w:rPr>
                <w:rFonts w:ascii="Arial Narrow" w:hAnsi="Arial Narrow"/>
                <w:b/>
                <w:sz w:val="20"/>
              </w:rPr>
              <w:t>Year 4</w:t>
            </w:r>
          </w:p>
        </w:tc>
        <w:tc>
          <w:tcPr>
            <w:tcW w:w="673" w:type="pct"/>
            <w:tcBorders>
              <w:bottom w:val="single" w:sz="4" w:space="0" w:color="auto"/>
            </w:tcBorders>
            <w:vAlign w:val="center"/>
          </w:tcPr>
          <w:p w:rsidR="00676DEA" w:rsidRPr="00C53526" w:rsidRDefault="00676DEA" w:rsidP="00AE7FE9">
            <w:pPr>
              <w:jc w:val="center"/>
              <w:rPr>
                <w:rFonts w:ascii="Arial Narrow" w:hAnsi="Arial Narrow"/>
                <w:b/>
                <w:sz w:val="20"/>
              </w:rPr>
            </w:pPr>
            <w:r w:rsidRPr="00C53526">
              <w:rPr>
                <w:rFonts w:ascii="Arial Narrow" w:hAnsi="Arial Narrow"/>
                <w:b/>
                <w:sz w:val="20"/>
              </w:rPr>
              <w:t>Year 5</w:t>
            </w:r>
          </w:p>
        </w:tc>
      </w:tr>
      <w:tr w:rsidR="00676DEA" w:rsidRPr="00F71E33" w:rsidTr="00AE7FE9">
        <w:tc>
          <w:tcPr>
            <w:tcW w:w="1634" w:type="pct"/>
            <w:tcBorders>
              <w:top w:val="single" w:sz="4" w:space="0" w:color="auto"/>
              <w:bottom w:val="single" w:sz="4" w:space="0" w:color="auto"/>
            </w:tcBorders>
            <w:vAlign w:val="center"/>
          </w:tcPr>
          <w:p w:rsidR="00676DEA" w:rsidRPr="00F71E33" w:rsidRDefault="00676DEA" w:rsidP="00D57585">
            <w:pPr>
              <w:jc w:val="left"/>
              <w:rPr>
                <w:rFonts w:ascii="Arial Narrow" w:hAnsi="Arial Narrow"/>
                <w:sz w:val="20"/>
              </w:rPr>
            </w:pPr>
            <w:r>
              <w:rPr>
                <w:rFonts w:ascii="Arial Narrow" w:hAnsi="Arial Narrow"/>
                <w:sz w:val="20"/>
              </w:rPr>
              <w:t>Total estimated SGLT2 + metformin prescriptions</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color w:val="000000"/>
                <w:highlight w:val="black"/>
                <w:lang w:eastAsia="en-AU"/>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color w:val="000000"/>
                <w:highlight w:val="black"/>
                <w:lang w:eastAsia="en-AU"/>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color w:val="000000"/>
                <w:highlight w:val="black"/>
                <w:lang w:eastAsia="en-AU"/>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color w:val="000000"/>
                <w:highlight w:val="black"/>
                <w:lang w:eastAsia="en-AU"/>
              </w:rPr>
            </w:pPr>
            <w:r>
              <w:rPr>
                <w:noProof/>
                <w:color w:val="000000"/>
                <w:highlight w:val="black"/>
              </w:rPr>
              <w:t>''''''''''''''''''</w:t>
            </w:r>
          </w:p>
        </w:tc>
      </w:tr>
      <w:tr w:rsidR="00676DEA" w:rsidRPr="00F71E33" w:rsidTr="00AE7FE9">
        <w:tc>
          <w:tcPr>
            <w:tcW w:w="1634" w:type="pct"/>
            <w:tcBorders>
              <w:top w:val="single" w:sz="4" w:space="0" w:color="auto"/>
              <w:bottom w:val="single" w:sz="4" w:space="0" w:color="auto"/>
            </w:tcBorders>
            <w:vAlign w:val="center"/>
          </w:tcPr>
          <w:p w:rsidR="00676DEA" w:rsidRPr="00F71E33" w:rsidRDefault="00676DEA" w:rsidP="00D57585">
            <w:pPr>
              <w:jc w:val="left"/>
              <w:rPr>
                <w:rFonts w:ascii="Arial Narrow" w:hAnsi="Arial Narrow"/>
                <w:sz w:val="20"/>
              </w:rPr>
            </w:pPr>
            <w:r>
              <w:rPr>
                <w:rFonts w:ascii="Arial Narrow" w:hAnsi="Arial Narrow"/>
                <w:sz w:val="20"/>
              </w:rPr>
              <w:t>FDC share of SGLT2 + metformin market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3252CF">
            <w:pPr>
              <w:pStyle w:val="COMtbl-textCentred"/>
              <w:rPr>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3252CF">
            <w:pPr>
              <w:pStyle w:val="COMtbl-textCentred"/>
              <w:rPr>
                <w:b/>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3252CF">
            <w:pPr>
              <w:pStyle w:val="COMtbl-textCentred"/>
              <w:rPr>
                <w:b/>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3252CF">
            <w:pPr>
              <w:pStyle w:val="COMtbl-textCentred"/>
              <w:rPr>
                <w:b/>
                <w:highlight w:val="black"/>
              </w:rPr>
            </w:pPr>
            <w:r>
              <w:rPr>
                <w:noProof/>
                <w:color w:val="000000"/>
                <w:highlight w:val="black"/>
              </w:rPr>
              <w:t>''''''''''''''''''''</w:t>
            </w:r>
          </w:p>
        </w:tc>
      </w:tr>
      <w:tr w:rsidR="00676DEA" w:rsidRPr="00F71E33" w:rsidTr="00AE7FE9">
        <w:tc>
          <w:tcPr>
            <w:tcW w:w="1634" w:type="pct"/>
            <w:tcBorders>
              <w:top w:val="single" w:sz="4" w:space="0" w:color="auto"/>
              <w:bottom w:val="single" w:sz="4" w:space="0" w:color="auto"/>
            </w:tcBorders>
            <w:vAlign w:val="center"/>
          </w:tcPr>
          <w:p w:rsidR="00676DEA" w:rsidRPr="00F71E33" w:rsidRDefault="00676DEA" w:rsidP="00D57585">
            <w:pPr>
              <w:jc w:val="left"/>
              <w:rPr>
                <w:rFonts w:ascii="Arial Narrow" w:hAnsi="Arial Narrow"/>
                <w:sz w:val="20"/>
              </w:rPr>
            </w:pPr>
            <w:r>
              <w:rPr>
                <w:rFonts w:ascii="Arial Narrow" w:hAnsi="Arial Narrow"/>
                <w:sz w:val="20"/>
              </w:rPr>
              <w:t>Empagliflozin/metformin FDC share of SGLT2/metformin FDC market, %</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highlight w:val="black"/>
                <w:vertAlign w:val="superscript"/>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tabs>
                <w:tab w:val="left" w:pos="348"/>
                <w:tab w:val="center" w:pos="488"/>
              </w:tabs>
              <w:jc w:val="left"/>
              <w:rPr>
                <w:highlight w:val="black"/>
              </w:rPr>
            </w:pPr>
            <w:r>
              <w:rPr>
                <w:noProof/>
                <w:color w:val="000000"/>
                <w:highlight w:val="black"/>
              </w:rPr>
              <w:t>''''''</w:t>
            </w:r>
          </w:p>
        </w:tc>
      </w:tr>
      <w:tr w:rsidR="00676DEA" w:rsidRPr="00F71E33" w:rsidTr="00AE7FE9">
        <w:tc>
          <w:tcPr>
            <w:tcW w:w="1634" w:type="pct"/>
            <w:tcBorders>
              <w:top w:val="single" w:sz="4" w:space="0" w:color="auto"/>
              <w:bottom w:val="single" w:sz="4" w:space="0" w:color="auto"/>
            </w:tcBorders>
            <w:vAlign w:val="center"/>
          </w:tcPr>
          <w:p w:rsidR="00676DEA" w:rsidRDefault="00676DEA" w:rsidP="00D57585">
            <w:pPr>
              <w:jc w:val="left"/>
              <w:rPr>
                <w:rFonts w:ascii="Arial Narrow" w:hAnsi="Arial Narrow"/>
                <w:sz w:val="20"/>
              </w:rPr>
            </w:pPr>
            <w:r>
              <w:rPr>
                <w:rFonts w:ascii="Arial Narrow" w:hAnsi="Arial Narrow"/>
                <w:sz w:val="20"/>
              </w:rPr>
              <w:t xml:space="preserve">Empagliflozin/metformin FDC </w:t>
            </w:r>
          </w:p>
          <w:p w:rsidR="00676DEA" w:rsidRDefault="00676DEA" w:rsidP="00D57585">
            <w:pPr>
              <w:jc w:val="left"/>
              <w:rPr>
                <w:rFonts w:ascii="Arial Narrow" w:hAnsi="Arial Narrow"/>
                <w:sz w:val="20"/>
              </w:rPr>
            </w:pPr>
            <w:r>
              <w:rPr>
                <w:rFonts w:ascii="Arial Narrow" w:hAnsi="Arial Narrow"/>
                <w:sz w:val="20"/>
              </w:rPr>
              <w:t>prescriptions</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highlight w:val="black"/>
                <w:lang w:eastAsia="en-AU"/>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highlight w:val="black"/>
                <w:lang w:eastAsia="en-AU"/>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highlight w:val="black"/>
                <w:lang w:eastAsia="en-AU"/>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highlight w:val="black"/>
                <w:lang w:eastAsia="en-AU"/>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rFonts w:cs="Times New Roman"/>
                <w:snapToGrid/>
                <w:highlight w:val="black"/>
                <w:lang w:eastAsia="en-AU"/>
              </w:rPr>
            </w:pPr>
            <w:r>
              <w:rPr>
                <w:noProof/>
                <w:color w:val="000000"/>
                <w:highlight w:val="black"/>
              </w:rPr>
              <w:t>'''''''''''''''''''''</w:t>
            </w:r>
          </w:p>
        </w:tc>
      </w:tr>
      <w:tr w:rsidR="00676DEA" w:rsidRPr="00F71E33" w:rsidTr="00AE7FE9">
        <w:tc>
          <w:tcPr>
            <w:tcW w:w="1634" w:type="pct"/>
            <w:tcBorders>
              <w:top w:val="single" w:sz="4" w:space="0" w:color="auto"/>
              <w:bottom w:val="single" w:sz="4" w:space="0" w:color="auto"/>
            </w:tcBorders>
            <w:vAlign w:val="center"/>
          </w:tcPr>
          <w:p w:rsidR="00676DEA" w:rsidRPr="00F71E33" w:rsidRDefault="00676DEA" w:rsidP="00D57585">
            <w:pPr>
              <w:jc w:val="left"/>
              <w:rPr>
                <w:rFonts w:ascii="Arial Narrow" w:hAnsi="Arial Narrow"/>
                <w:sz w:val="20"/>
              </w:rPr>
            </w:pPr>
            <w:r w:rsidRPr="00010A51">
              <w:rPr>
                <w:rFonts w:ascii="Arial Narrow" w:hAnsi="Arial Narrow"/>
                <w:sz w:val="20"/>
              </w:rPr>
              <w:t xml:space="preserve">Empagliflozin/metformin FDC </w:t>
            </w:r>
            <w:r w:rsidRPr="00010A51">
              <w:rPr>
                <w:rFonts w:ascii="Arial Narrow" w:hAnsi="Arial Narrow"/>
                <w:sz w:val="20"/>
              </w:rPr>
              <w:lastRenderedPageBreak/>
              <w:t>prescriptions (adjusted for pack size)</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b/>
                <w:highlight w:val="black"/>
              </w:rPr>
            </w:pPr>
            <w:r>
              <w:rPr>
                <w:noProof/>
                <w:color w:val="000000"/>
                <w:highlight w:val="black"/>
              </w:rPr>
              <w:lastRenderedPageBreak/>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b/>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b/>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b/>
                <w:highlight w:val="black"/>
              </w:rPr>
            </w:pPr>
            <w:r>
              <w:rPr>
                <w:noProof/>
                <w:color w:val="000000"/>
                <w:highlight w:val="black"/>
              </w:rPr>
              <w:t>'''''''''''''''''</w:t>
            </w:r>
          </w:p>
        </w:tc>
        <w:tc>
          <w:tcPr>
            <w:tcW w:w="673" w:type="pct"/>
            <w:tcBorders>
              <w:top w:val="single" w:sz="4" w:space="0" w:color="auto"/>
              <w:bottom w:val="single" w:sz="4" w:space="0" w:color="auto"/>
            </w:tcBorders>
            <w:vAlign w:val="center"/>
          </w:tcPr>
          <w:p w:rsidR="00676DEA" w:rsidRPr="00B67ABE" w:rsidRDefault="00B67ABE" w:rsidP="00D57585">
            <w:pPr>
              <w:pStyle w:val="COMtbl-textCentred"/>
              <w:rPr>
                <w:b/>
                <w:highlight w:val="black"/>
              </w:rPr>
            </w:pPr>
            <w:r>
              <w:rPr>
                <w:noProof/>
                <w:color w:val="000000"/>
                <w:highlight w:val="black"/>
              </w:rPr>
              <w:t>'''''''''''''''''''</w:t>
            </w:r>
          </w:p>
        </w:tc>
      </w:tr>
      <w:tr w:rsidR="00676DEA" w:rsidRPr="00F71E33" w:rsidTr="00AE7FE9">
        <w:tc>
          <w:tcPr>
            <w:tcW w:w="5000" w:type="pct"/>
            <w:gridSpan w:val="6"/>
            <w:tcBorders>
              <w:top w:val="single" w:sz="4" w:space="0" w:color="auto"/>
              <w:bottom w:val="single" w:sz="4" w:space="0" w:color="auto"/>
            </w:tcBorders>
            <w:vAlign w:val="center"/>
          </w:tcPr>
          <w:p w:rsidR="00676DEA" w:rsidRDefault="00676DEA" w:rsidP="00D57585">
            <w:pPr>
              <w:jc w:val="left"/>
              <w:rPr>
                <w:rFonts w:ascii="Arial Narrow" w:hAnsi="Arial Narrow"/>
                <w:sz w:val="20"/>
              </w:rPr>
            </w:pPr>
            <w:r>
              <w:rPr>
                <w:rFonts w:ascii="Arial Narrow" w:hAnsi="Arial Narrow"/>
                <w:b/>
                <w:sz w:val="20"/>
              </w:rPr>
              <w:lastRenderedPageBreak/>
              <w:t>Total</w:t>
            </w:r>
            <w:r w:rsidR="00457820">
              <w:rPr>
                <w:rFonts w:ascii="Arial Narrow" w:hAnsi="Arial Narrow"/>
                <w:b/>
                <w:sz w:val="20"/>
              </w:rPr>
              <w:t xml:space="preserve"> cost</w:t>
            </w:r>
            <w:r>
              <w:rPr>
                <w:rFonts w:ascii="Arial Narrow" w:hAnsi="Arial Narrow"/>
                <w:b/>
                <w:sz w:val="20"/>
              </w:rPr>
              <w:t xml:space="preserve"> empagliflozin/metformin FDC prescriptions </w:t>
            </w:r>
            <w:r w:rsidR="004B1895">
              <w:rPr>
                <w:rFonts w:ascii="Arial Narrow" w:hAnsi="Arial Narrow"/>
                <w:b/>
                <w:sz w:val="20"/>
              </w:rPr>
              <w:t xml:space="preserve">(less </w:t>
            </w:r>
            <w:r w:rsidR="003104C4">
              <w:rPr>
                <w:rFonts w:ascii="Arial Narrow" w:hAnsi="Arial Narrow"/>
                <w:b/>
                <w:sz w:val="20"/>
              </w:rPr>
              <w:t>co-payments</w:t>
            </w:r>
            <w:r w:rsidR="004B1895">
              <w:rPr>
                <w:rFonts w:ascii="Arial Narrow" w:hAnsi="Arial Narrow"/>
                <w:b/>
                <w:sz w:val="20"/>
              </w:rPr>
              <w:t>)</w:t>
            </w:r>
          </w:p>
        </w:tc>
      </w:tr>
      <w:tr w:rsidR="00676DEA" w:rsidRPr="00F71E33" w:rsidTr="00AE7FE9">
        <w:tc>
          <w:tcPr>
            <w:tcW w:w="1634" w:type="pct"/>
            <w:tcBorders>
              <w:top w:val="single" w:sz="4" w:space="0" w:color="auto"/>
              <w:bottom w:val="single" w:sz="4" w:space="0" w:color="auto"/>
            </w:tcBorders>
            <w:vAlign w:val="center"/>
          </w:tcPr>
          <w:p w:rsidR="00676DEA" w:rsidRPr="003F46DE" w:rsidRDefault="00676DEA" w:rsidP="00D57585">
            <w:pPr>
              <w:pStyle w:val="COMtbl-textLeftAligned"/>
            </w:pPr>
            <w:r w:rsidRPr="003F46DE">
              <w:t xml:space="preserve">Cost to PBS/RPBS </w:t>
            </w:r>
          </w:p>
        </w:tc>
        <w:tc>
          <w:tcPr>
            <w:tcW w:w="673" w:type="pct"/>
            <w:tcBorders>
              <w:top w:val="single" w:sz="4" w:space="0" w:color="auto"/>
              <w:bottom w:val="single" w:sz="4" w:space="0" w:color="auto"/>
            </w:tcBorders>
            <w:vAlign w:val="center"/>
          </w:tcPr>
          <w:p w:rsidR="00676DEA" w:rsidRPr="003F46DE" w:rsidRDefault="00676DEA" w:rsidP="00D57585">
            <w:pPr>
              <w:pStyle w:val="COMtbl-textLeftAligned"/>
              <w:jc w:val="center"/>
            </w:pPr>
            <w:r w:rsidRPr="003F46DE">
              <w:t>$</w:t>
            </w:r>
            <w:r w:rsidR="00B67ABE">
              <w:rPr>
                <w:noProof/>
                <w:color w:val="000000"/>
                <w:highlight w:val="black"/>
              </w:rPr>
              <w:t>''''''''''''''''''''''''</w:t>
            </w:r>
          </w:p>
        </w:tc>
        <w:tc>
          <w:tcPr>
            <w:tcW w:w="673" w:type="pct"/>
            <w:tcBorders>
              <w:top w:val="single" w:sz="4" w:space="0" w:color="auto"/>
              <w:bottom w:val="single" w:sz="4" w:space="0" w:color="auto"/>
            </w:tcBorders>
            <w:vAlign w:val="center"/>
          </w:tcPr>
          <w:p w:rsidR="00676DEA" w:rsidRPr="003F46DE" w:rsidRDefault="00676DEA" w:rsidP="00D57585">
            <w:pPr>
              <w:pStyle w:val="COMtbl-textLeftAligned"/>
              <w:jc w:val="center"/>
            </w:pPr>
            <w:r w:rsidRPr="003F46DE">
              <w:t>$</w:t>
            </w:r>
            <w:r w:rsidR="00B67ABE">
              <w:rPr>
                <w:noProof/>
                <w:color w:val="000000"/>
                <w:highlight w:val="black"/>
              </w:rPr>
              <w:t>''''''''''''''''''''''</w:t>
            </w:r>
          </w:p>
        </w:tc>
        <w:tc>
          <w:tcPr>
            <w:tcW w:w="673" w:type="pct"/>
            <w:tcBorders>
              <w:top w:val="single" w:sz="4" w:space="0" w:color="auto"/>
              <w:bottom w:val="single" w:sz="4" w:space="0" w:color="auto"/>
            </w:tcBorders>
            <w:vAlign w:val="center"/>
          </w:tcPr>
          <w:p w:rsidR="00676DEA" w:rsidRPr="003F46DE" w:rsidRDefault="00676DEA" w:rsidP="00D57585">
            <w:pPr>
              <w:pStyle w:val="COMtbl-textLeftAligned"/>
              <w:jc w:val="center"/>
            </w:pPr>
            <w:r w:rsidRPr="003F46DE">
              <w:t>$</w:t>
            </w:r>
            <w:r w:rsidR="00B67ABE">
              <w:rPr>
                <w:noProof/>
                <w:color w:val="000000"/>
                <w:highlight w:val="black"/>
              </w:rPr>
              <w:t>'''''''''''''''''''''''''</w:t>
            </w:r>
          </w:p>
        </w:tc>
        <w:tc>
          <w:tcPr>
            <w:tcW w:w="673" w:type="pct"/>
            <w:tcBorders>
              <w:top w:val="single" w:sz="4" w:space="0" w:color="auto"/>
              <w:bottom w:val="single" w:sz="4" w:space="0" w:color="auto"/>
            </w:tcBorders>
            <w:vAlign w:val="center"/>
          </w:tcPr>
          <w:p w:rsidR="00676DEA" w:rsidRPr="003F46DE" w:rsidRDefault="00676DEA" w:rsidP="00D57585">
            <w:pPr>
              <w:pStyle w:val="COMtbl-textLeftAligned"/>
              <w:jc w:val="center"/>
            </w:pPr>
            <w:r w:rsidRPr="003F46DE">
              <w:t>$</w:t>
            </w:r>
            <w:r w:rsidR="00B67ABE">
              <w:rPr>
                <w:noProof/>
                <w:color w:val="000000"/>
                <w:highlight w:val="black"/>
              </w:rPr>
              <w:t>'''''''''''''''''''''''</w:t>
            </w:r>
          </w:p>
        </w:tc>
        <w:tc>
          <w:tcPr>
            <w:tcW w:w="673" w:type="pct"/>
            <w:tcBorders>
              <w:top w:val="single" w:sz="4" w:space="0" w:color="auto"/>
              <w:bottom w:val="single" w:sz="4" w:space="0" w:color="auto"/>
            </w:tcBorders>
            <w:vAlign w:val="center"/>
          </w:tcPr>
          <w:p w:rsidR="00676DEA" w:rsidRPr="003F46DE" w:rsidRDefault="00676DEA" w:rsidP="00D57585">
            <w:pPr>
              <w:pStyle w:val="COMtbl-textLeftAligned"/>
              <w:jc w:val="center"/>
            </w:pPr>
            <w:r w:rsidRPr="003F46DE">
              <w:t>$</w:t>
            </w:r>
            <w:r w:rsidR="00B67ABE">
              <w:rPr>
                <w:noProof/>
                <w:color w:val="000000"/>
                <w:highlight w:val="black"/>
              </w:rPr>
              <w:t>''''''''''''''''''''''''''''</w:t>
            </w:r>
          </w:p>
        </w:tc>
      </w:tr>
      <w:tr w:rsidR="00676DEA" w:rsidRPr="00F71E33" w:rsidTr="00AE7FE9">
        <w:tc>
          <w:tcPr>
            <w:tcW w:w="5000" w:type="pct"/>
            <w:gridSpan w:val="6"/>
            <w:tcBorders>
              <w:top w:val="single" w:sz="4" w:space="0" w:color="auto"/>
            </w:tcBorders>
            <w:vAlign w:val="center"/>
          </w:tcPr>
          <w:p w:rsidR="00676DEA" w:rsidRPr="00FC1499" w:rsidRDefault="00676DEA" w:rsidP="00D57585">
            <w:pPr>
              <w:jc w:val="left"/>
              <w:rPr>
                <w:rFonts w:ascii="Arial Narrow" w:hAnsi="Arial Narrow"/>
                <w:b/>
                <w:sz w:val="20"/>
                <w:vertAlign w:val="superscript"/>
              </w:rPr>
            </w:pPr>
            <w:r>
              <w:rPr>
                <w:rFonts w:ascii="Arial Narrow" w:hAnsi="Arial Narrow"/>
                <w:b/>
                <w:sz w:val="20"/>
              </w:rPr>
              <w:t xml:space="preserve">Total </w:t>
            </w:r>
            <w:r w:rsidR="00457820">
              <w:rPr>
                <w:rFonts w:ascii="Arial Narrow" w:hAnsi="Arial Narrow"/>
                <w:b/>
                <w:sz w:val="20"/>
              </w:rPr>
              <w:t xml:space="preserve">cost </w:t>
            </w:r>
            <w:r>
              <w:rPr>
                <w:rFonts w:ascii="Arial Narrow" w:hAnsi="Arial Narrow"/>
                <w:b/>
                <w:sz w:val="20"/>
              </w:rPr>
              <w:t>prescriptions to be replaced by empagliflozin/metformin FDC</w:t>
            </w:r>
            <w:r w:rsidR="004B1895">
              <w:rPr>
                <w:rFonts w:ascii="Arial Narrow" w:hAnsi="Arial Narrow"/>
                <w:b/>
                <w:sz w:val="20"/>
              </w:rPr>
              <w:t xml:space="preserve"> (less </w:t>
            </w:r>
            <w:r w:rsidR="003104C4">
              <w:rPr>
                <w:rFonts w:ascii="Arial Narrow" w:hAnsi="Arial Narrow"/>
                <w:b/>
                <w:sz w:val="20"/>
              </w:rPr>
              <w:t>co-payments</w:t>
            </w:r>
            <w:r w:rsidR="004B1895">
              <w:rPr>
                <w:rFonts w:ascii="Arial Narrow" w:hAnsi="Arial Narrow"/>
                <w:b/>
                <w:sz w:val="20"/>
              </w:rPr>
              <w:t>)</w:t>
            </w:r>
          </w:p>
        </w:tc>
      </w:tr>
      <w:tr w:rsidR="00676DEA" w:rsidRPr="00F71E33" w:rsidTr="00AE7FE9">
        <w:tc>
          <w:tcPr>
            <w:tcW w:w="1634" w:type="pct"/>
            <w:tcBorders>
              <w:bottom w:val="single" w:sz="4" w:space="0" w:color="auto"/>
            </w:tcBorders>
            <w:vAlign w:val="center"/>
          </w:tcPr>
          <w:p w:rsidR="00676DEA" w:rsidRPr="00F71E33" w:rsidRDefault="00676DEA" w:rsidP="00D57585">
            <w:pPr>
              <w:pStyle w:val="COMtbl-textLeftAligned"/>
            </w:pPr>
            <w:r>
              <w:t>Cost to PBS/RPBS</w:t>
            </w:r>
          </w:p>
        </w:tc>
        <w:tc>
          <w:tcPr>
            <w:tcW w:w="673" w:type="pct"/>
            <w:tcBorders>
              <w:bottom w:val="single" w:sz="4" w:space="0" w:color="auto"/>
            </w:tcBorders>
            <w:vAlign w:val="center"/>
          </w:tcPr>
          <w:p w:rsidR="00676DEA" w:rsidRPr="00F71E33" w:rsidRDefault="00676DEA" w:rsidP="00D57585">
            <w:pPr>
              <w:pStyle w:val="COMtbl-textLeftAligned"/>
              <w:jc w:val="center"/>
              <w:rPr>
                <w:rFonts w:cstheme="minorHAnsi"/>
                <w:color w:val="000000"/>
              </w:rPr>
            </w:pPr>
            <w:r>
              <w:t>$</w:t>
            </w:r>
            <w:r w:rsidR="00B67ABE">
              <w:rPr>
                <w:noProof/>
                <w:color w:val="000000"/>
                <w:highlight w:val="black"/>
              </w:rPr>
              <w:t>'''''''''''''''''''''''</w:t>
            </w:r>
          </w:p>
        </w:tc>
        <w:tc>
          <w:tcPr>
            <w:tcW w:w="673" w:type="pct"/>
            <w:tcBorders>
              <w:bottom w:val="single" w:sz="4" w:space="0" w:color="auto"/>
            </w:tcBorders>
            <w:vAlign w:val="center"/>
          </w:tcPr>
          <w:p w:rsidR="00676DEA" w:rsidRPr="00F71E33" w:rsidRDefault="00676DEA" w:rsidP="00D57585">
            <w:pPr>
              <w:pStyle w:val="COMtbl-textLeftAligned"/>
              <w:jc w:val="center"/>
              <w:rPr>
                <w:rFonts w:cstheme="minorHAnsi"/>
                <w:color w:val="000000"/>
              </w:rPr>
            </w:pPr>
            <w:r>
              <w:t>$</w:t>
            </w:r>
            <w:r w:rsidR="00B67ABE">
              <w:rPr>
                <w:noProof/>
                <w:color w:val="000000"/>
                <w:highlight w:val="black"/>
              </w:rPr>
              <w:t>'''''''''''''''''''''''''</w:t>
            </w:r>
          </w:p>
        </w:tc>
        <w:tc>
          <w:tcPr>
            <w:tcW w:w="673" w:type="pct"/>
            <w:tcBorders>
              <w:bottom w:val="single" w:sz="4" w:space="0" w:color="auto"/>
            </w:tcBorders>
            <w:vAlign w:val="center"/>
          </w:tcPr>
          <w:p w:rsidR="00676DEA" w:rsidRPr="00F71E33" w:rsidRDefault="00676DEA" w:rsidP="00D57585">
            <w:pPr>
              <w:pStyle w:val="COMtbl-textLeftAligned"/>
              <w:jc w:val="center"/>
              <w:rPr>
                <w:rFonts w:cstheme="minorHAnsi"/>
                <w:color w:val="000000"/>
              </w:rPr>
            </w:pPr>
            <w:r>
              <w:t>$</w:t>
            </w:r>
            <w:r w:rsidR="00B67ABE">
              <w:rPr>
                <w:noProof/>
                <w:color w:val="000000"/>
                <w:highlight w:val="black"/>
              </w:rPr>
              <w:t>''''''''''''''''''''''''</w:t>
            </w:r>
          </w:p>
        </w:tc>
        <w:tc>
          <w:tcPr>
            <w:tcW w:w="673" w:type="pct"/>
            <w:tcBorders>
              <w:bottom w:val="single" w:sz="4" w:space="0" w:color="auto"/>
            </w:tcBorders>
            <w:vAlign w:val="center"/>
          </w:tcPr>
          <w:p w:rsidR="00676DEA" w:rsidRPr="00F71E33" w:rsidRDefault="00676DEA" w:rsidP="00D57585">
            <w:pPr>
              <w:pStyle w:val="COMtbl-textLeftAligned"/>
              <w:jc w:val="center"/>
              <w:rPr>
                <w:rFonts w:cstheme="minorHAnsi"/>
                <w:color w:val="000000"/>
              </w:rPr>
            </w:pPr>
            <w:r>
              <w:t>$</w:t>
            </w:r>
            <w:r w:rsidR="00B67ABE">
              <w:rPr>
                <w:noProof/>
                <w:color w:val="000000"/>
                <w:highlight w:val="black"/>
              </w:rPr>
              <w:t>'''''''''''''''''''''''''</w:t>
            </w:r>
          </w:p>
        </w:tc>
        <w:tc>
          <w:tcPr>
            <w:tcW w:w="673" w:type="pct"/>
            <w:tcBorders>
              <w:bottom w:val="single" w:sz="4" w:space="0" w:color="auto"/>
            </w:tcBorders>
            <w:vAlign w:val="center"/>
          </w:tcPr>
          <w:p w:rsidR="00676DEA" w:rsidRPr="00F71E33" w:rsidRDefault="00676DEA" w:rsidP="00D57585">
            <w:pPr>
              <w:pStyle w:val="COMtbl-textLeftAligned"/>
              <w:jc w:val="center"/>
              <w:rPr>
                <w:rFonts w:cstheme="minorHAnsi"/>
                <w:color w:val="000000"/>
              </w:rPr>
            </w:pPr>
            <w:r>
              <w:t>$</w:t>
            </w:r>
            <w:r w:rsidR="00B67ABE">
              <w:rPr>
                <w:noProof/>
                <w:color w:val="000000"/>
                <w:highlight w:val="black"/>
              </w:rPr>
              <w:t>'''''''''''''''''''''''''''</w:t>
            </w:r>
          </w:p>
        </w:tc>
      </w:tr>
      <w:tr w:rsidR="00676DEA" w:rsidRPr="00092658" w:rsidTr="00AE7FE9">
        <w:tc>
          <w:tcPr>
            <w:tcW w:w="5000" w:type="pct"/>
            <w:gridSpan w:val="6"/>
            <w:tcBorders>
              <w:top w:val="single" w:sz="4" w:space="0" w:color="auto"/>
            </w:tcBorders>
            <w:vAlign w:val="center"/>
          </w:tcPr>
          <w:p w:rsidR="00676DEA" w:rsidRPr="006670F7" w:rsidRDefault="00676DEA" w:rsidP="00D57585">
            <w:pPr>
              <w:jc w:val="left"/>
              <w:rPr>
                <w:rFonts w:ascii="Arial Narrow" w:hAnsi="Arial Narrow"/>
                <w:sz w:val="20"/>
              </w:rPr>
            </w:pPr>
            <w:r>
              <w:rPr>
                <w:rFonts w:ascii="Arial Narrow" w:hAnsi="Arial Narrow"/>
                <w:b/>
                <w:sz w:val="20"/>
              </w:rPr>
              <w:t xml:space="preserve">Net financial implications </w:t>
            </w:r>
            <w:r w:rsidR="004B1895">
              <w:rPr>
                <w:rFonts w:ascii="Arial Narrow" w:hAnsi="Arial Narrow"/>
                <w:b/>
                <w:sz w:val="20"/>
              </w:rPr>
              <w:t>of listing FDC</w:t>
            </w:r>
          </w:p>
        </w:tc>
      </w:tr>
      <w:tr w:rsidR="00676DEA" w:rsidRPr="006F2B57" w:rsidTr="00AE7FE9">
        <w:tc>
          <w:tcPr>
            <w:tcW w:w="1634" w:type="pct"/>
            <w:vAlign w:val="center"/>
          </w:tcPr>
          <w:p w:rsidR="00676DEA" w:rsidRPr="003F46DE" w:rsidRDefault="00676DEA" w:rsidP="00D57585">
            <w:pPr>
              <w:pStyle w:val="COMtbl-textLeftAligned"/>
            </w:pPr>
            <w:r w:rsidRPr="003F46DE">
              <w:t xml:space="preserve">Net cost to PBS/RPBS </w:t>
            </w:r>
          </w:p>
        </w:tc>
        <w:tc>
          <w:tcPr>
            <w:tcW w:w="673" w:type="pct"/>
            <w:vAlign w:val="center"/>
          </w:tcPr>
          <w:p w:rsidR="00676DEA" w:rsidRPr="003F46DE" w:rsidRDefault="00676DEA" w:rsidP="00D57585">
            <w:pPr>
              <w:pStyle w:val="COMtbl-textLeftAligned"/>
              <w:jc w:val="center"/>
            </w:pPr>
            <w:r w:rsidRPr="003F46DE">
              <w:t>-$</w:t>
            </w:r>
            <w:r w:rsidR="00B67ABE">
              <w:rPr>
                <w:noProof/>
                <w:color w:val="000000"/>
                <w:highlight w:val="black"/>
              </w:rPr>
              <w:t>'''''''''''''''''''</w:t>
            </w:r>
          </w:p>
        </w:tc>
        <w:tc>
          <w:tcPr>
            <w:tcW w:w="673" w:type="pct"/>
            <w:vAlign w:val="center"/>
          </w:tcPr>
          <w:p w:rsidR="00676DEA" w:rsidRPr="003F46DE" w:rsidRDefault="00676DEA" w:rsidP="00D57585">
            <w:pPr>
              <w:pStyle w:val="COMtbl-textLeftAligned"/>
              <w:jc w:val="center"/>
            </w:pPr>
            <w:r w:rsidRPr="003F46DE">
              <w:t>-$</w:t>
            </w:r>
            <w:r w:rsidR="00B67ABE">
              <w:rPr>
                <w:noProof/>
                <w:color w:val="000000"/>
                <w:highlight w:val="black"/>
              </w:rPr>
              <w:t>'''''''''''''''''''''</w:t>
            </w:r>
          </w:p>
        </w:tc>
        <w:tc>
          <w:tcPr>
            <w:tcW w:w="673" w:type="pct"/>
            <w:vAlign w:val="center"/>
          </w:tcPr>
          <w:p w:rsidR="00676DEA" w:rsidRPr="003F46DE" w:rsidRDefault="00676DEA" w:rsidP="00D57585">
            <w:pPr>
              <w:pStyle w:val="COMtbl-textLeftAligned"/>
              <w:jc w:val="center"/>
            </w:pPr>
            <w:r w:rsidRPr="003F46DE">
              <w:t>-$</w:t>
            </w:r>
            <w:r w:rsidR="00B67ABE">
              <w:rPr>
                <w:noProof/>
                <w:color w:val="000000"/>
                <w:highlight w:val="black"/>
              </w:rPr>
              <w:t>'''''''''''''''''</w:t>
            </w:r>
          </w:p>
        </w:tc>
        <w:tc>
          <w:tcPr>
            <w:tcW w:w="673" w:type="pct"/>
            <w:vAlign w:val="center"/>
          </w:tcPr>
          <w:p w:rsidR="00676DEA" w:rsidRPr="003F46DE" w:rsidRDefault="00676DEA" w:rsidP="00D57585">
            <w:pPr>
              <w:pStyle w:val="COMtbl-textLeftAligned"/>
              <w:jc w:val="center"/>
            </w:pPr>
            <w:r w:rsidRPr="003F46DE">
              <w:t>-$</w:t>
            </w:r>
            <w:r w:rsidR="00B67ABE">
              <w:rPr>
                <w:noProof/>
                <w:color w:val="000000"/>
                <w:highlight w:val="black"/>
              </w:rPr>
              <w:t>'''''''''''''''''''</w:t>
            </w:r>
          </w:p>
        </w:tc>
        <w:tc>
          <w:tcPr>
            <w:tcW w:w="673" w:type="pct"/>
            <w:vAlign w:val="center"/>
          </w:tcPr>
          <w:p w:rsidR="00676DEA" w:rsidRPr="003F46DE" w:rsidRDefault="00676DEA" w:rsidP="00D57585">
            <w:pPr>
              <w:pStyle w:val="COMtbl-textLeftAligned"/>
              <w:jc w:val="center"/>
            </w:pPr>
            <w:r w:rsidRPr="003F46DE">
              <w:t>-$</w:t>
            </w:r>
            <w:r w:rsidR="00B67ABE">
              <w:rPr>
                <w:noProof/>
                <w:color w:val="000000"/>
                <w:highlight w:val="black"/>
              </w:rPr>
              <w:t>'''''''''''''''''''''</w:t>
            </w:r>
          </w:p>
        </w:tc>
      </w:tr>
    </w:tbl>
    <w:p w:rsidR="004D34A5" w:rsidRPr="001C43F1" w:rsidRDefault="004D34A5" w:rsidP="00D57585">
      <w:pPr>
        <w:ind w:firstLine="720"/>
        <w:rPr>
          <w:rFonts w:ascii="Arial Narrow" w:hAnsi="Arial Narrow"/>
          <w:sz w:val="18"/>
        </w:rPr>
      </w:pPr>
      <w:r>
        <w:rPr>
          <w:rFonts w:ascii="Arial Narrow" w:hAnsi="Arial Narrow"/>
          <w:sz w:val="18"/>
          <w:vertAlign w:val="superscript"/>
        </w:rPr>
        <w:t>1</w:t>
      </w:r>
      <w:r>
        <w:rPr>
          <w:rFonts w:ascii="Arial Narrow" w:hAnsi="Arial Narrow"/>
          <w:sz w:val="18"/>
        </w:rPr>
        <w:t xml:space="preserve">Market share estimated at </w:t>
      </w:r>
      <w:r w:rsidR="00B67ABE">
        <w:rPr>
          <w:rFonts w:ascii="Arial Narrow" w:hAnsi="Arial Narrow"/>
          <w:noProof/>
          <w:color w:val="000000"/>
          <w:sz w:val="18"/>
          <w:highlight w:val="black"/>
        </w:rPr>
        <w:t>'''''''</w:t>
      </w:r>
      <w:r>
        <w:rPr>
          <w:rFonts w:ascii="Arial Narrow" w:hAnsi="Arial Narrow"/>
          <w:sz w:val="18"/>
        </w:rPr>
        <w:t xml:space="preserve">% for the first month of year 1, increasing incrementally each month to </w:t>
      </w:r>
      <w:r w:rsidR="00B67ABE">
        <w:rPr>
          <w:rFonts w:ascii="Arial Narrow" w:hAnsi="Arial Narrow"/>
          <w:noProof/>
          <w:color w:val="000000"/>
          <w:sz w:val="18"/>
          <w:highlight w:val="black"/>
        </w:rPr>
        <w:t>'''''''</w:t>
      </w:r>
      <w:r>
        <w:rPr>
          <w:rFonts w:ascii="Arial Narrow" w:hAnsi="Arial Narrow"/>
          <w:sz w:val="18"/>
        </w:rPr>
        <w:t xml:space="preserve">% at the end of year 1. </w:t>
      </w:r>
    </w:p>
    <w:p w:rsidR="004D34A5" w:rsidRPr="001568CA" w:rsidRDefault="004D34A5" w:rsidP="00D57585">
      <w:pPr>
        <w:ind w:left="720"/>
        <w:rPr>
          <w:rFonts w:ascii="Arial Narrow" w:hAnsi="Arial Narrow"/>
          <w:sz w:val="18"/>
        </w:rPr>
      </w:pPr>
      <w:r>
        <w:rPr>
          <w:rFonts w:ascii="Arial Narrow" w:hAnsi="Arial Narrow"/>
          <w:sz w:val="18"/>
        </w:rPr>
        <w:t>Abbreviations: SGLT2, sodium-glucose cotransporter 2; FDC, fixed dose combination; DPMQ, dispensed price for maximum quantity.</w:t>
      </w:r>
    </w:p>
    <w:p w:rsidR="004D34A5" w:rsidRPr="006A6A6A" w:rsidRDefault="004D34A5" w:rsidP="00D57585">
      <w:pPr>
        <w:ind w:left="709"/>
        <w:rPr>
          <w:rFonts w:ascii="Arial Narrow" w:hAnsi="Arial Narrow"/>
          <w:sz w:val="18"/>
        </w:rPr>
      </w:pPr>
      <w:r w:rsidRPr="006A6A6A">
        <w:rPr>
          <w:rFonts w:ascii="Arial Narrow" w:hAnsi="Arial Narrow"/>
          <w:sz w:val="18"/>
        </w:rPr>
        <w:t>Source: Tables</w:t>
      </w:r>
      <w:r>
        <w:rPr>
          <w:rFonts w:ascii="Arial Narrow" w:hAnsi="Arial Narrow"/>
          <w:sz w:val="18"/>
        </w:rPr>
        <w:t xml:space="preserve"> </w:t>
      </w:r>
      <w:r w:rsidRPr="00092658">
        <w:rPr>
          <w:rFonts w:ascii="Arial Narrow" w:hAnsi="Arial Narrow"/>
          <w:sz w:val="18"/>
        </w:rPr>
        <w:t>E</w:t>
      </w:r>
      <w:r>
        <w:rPr>
          <w:rFonts w:ascii="Arial Narrow" w:hAnsi="Arial Narrow"/>
          <w:sz w:val="18"/>
        </w:rPr>
        <w:t>.1.2, p275; E.1.3, p276; E.1.7, p280; E.2.1, p282; E.2.2, p283; E.2.3, p285; E.2.4, p286; E.3.1, p288; E.3.2, p289; E.3.3, p291; E.3.4, p292; E.4.1, p293</w:t>
      </w:r>
      <w:r w:rsidRPr="006A6A6A">
        <w:rPr>
          <w:rFonts w:ascii="Arial Narrow" w:hAnsi="Arial Narrow"/>
          <w:sz w:val="18"/>
        </w:rPr>
        <w:t xml:space="preserve"> of the submission</w:t>
      </w:r>
      <w:r>
        <w:rPr>
          <w:rFonts w:ascii="Arial Narrow" w:hAnsi="Arial Narrow"/>
          <w:sz w:val="18"/>
        </w:rPr>
        <w:t>.</w:t>
      </w:r>
    </w:p>
    <w:p w:rsidR="00C25D9C" w:rsidRPr="00C25D9C" w:rsidRDefault="00C25D9C" w:rsidP="00D57585">
      <w:pPr>
        <w:widowControl/>
        <w:rPr>
          <w:szCs w:val="22"/>
        </w:rPr>
      </w:pPr>
    </w:p>
    <w:p w:rsidR="004D34A5" w:rsidRPr="00B27AD1" w:rsidRDefault="004D34A5" w:rsidP="00F732CA">
      <w:pPr>
        <w:pStyle w:val="ListParagraph"/>
        <w:widowControl/>
        <w:numPr>
          <w:ilvl w:val="1"/>
          <w:numId w:val="3"/>
        </w:numPr>
        <w:rPr>
          <w:szCs w:val="22"/>
        </w:rPr>
      </w:pPr>
      <w:r w:rsidRPr="004D34A5">
        <w:t>The submission estimated a saving of $</w:t>
      </w:r>
      <w:r w:rsidR="00B67ABE">
        <w:rPr>
          <w:noProof/>
          <w:color w:val="000000"/>
          <w:highlight w:val="black"/>
        </w:rPr>
        <w:t>'''''''''''''''''''''</w:t>
      </w:r>
      <w:r w:rsidRPr="004D34A5">
        <w:t xml:space="preserve"> in the first year following listing, increasing to </w:t>
      </w:r>
      <w:r w:rsidR="003252CF">
        <w:t xml:space="preserve">a saving of </w:t>
      </w:r>
      <w:r w:rsidRPr="004D34A5">
        <w:t>$</w:t>
      </w:r>
      <w:r w:rsidR="00B67ABE">
        <w:rPr>
          <w:noProof/>
          <w:color w:val="000000"/>
          <w:highlight w:val="black"/>
        </w:rPr>
        <w:t>''''''''''''''''''</w:t>
      </w:r>
      <w:r w:rsidRPr="004D34A5">
        <w:t xml:space="preserve"> by year 5, resulting in a cumulative saving of </w:t>
      </w:r>
      <w:r w:rsidR="00F732CA" w:rsidRPr="00BA7A35">
        <w:t>less than $10 million per year</w:t>
      </w:r>
      <w:r w:rsidRPr="004D34A5">
        <w:t xml:space="preserve"> over the first 5 years. </w:t>
      </w:r>
      <w:r w:rsidRPr="00B27AD1">
        <w:t xml:space="preserve">In general, substitution of empagliflozin/metformin FDC for the individual components resulted in a lower net cost to the PBS/RPBS, predominantly due to a reduction in </w:t>
      </w:r>
      <w:r w:rsidR="00A4343A" w:rsidRPr="00B27AD1">
        <w:t>anticipated</w:t>
      </w:r>
      <w:r w:rsidRPr="00B27AD1">
        <w:t xml:space="preserve"> mark-ups and dispensing fees which more than offset the decrease in co-payments received.</w:t>
      </w:r>
    </w:p>
    <w:p w:rsidR="004B1895" w:rsidRPr="004B1895" w:rsidRDefault="004B1895" w:rsidP="00D57585">
      <w:pPr>
        <w:pStyle w:val="ListParagraph"/>
        <w:widowControl/>
        <w:rPr>
          <w:szCs w:val="22"/>
        </w:rPr>
      </w:pPr>
    </w:p>
    <w:p w:rsidR="004B1895" w:rsidRPr="004B1895" w:rsidRDefault="004B1895" w:rsidP="000028F6">
      <w:pPr>
        <w:pStyle w:val="ListParagraph"/>
        <w:widowControl/>
        <w:numPr>
          <w:ilvl w:val="1"/>
          <w:numId w:val="3"/>
        </w:numPr>
        <w:rPr>
          <w:szCs w:val="22"/>
        </w:rPr>
      </w:pPr>
      <w:r>
        <w:t>The utilisation and financial estimates were uncertain due to the following issues:</w:t>
      </w:r>
    </w:p>
    <w:p w:rsidR="004B1895" w:rsidRPr="004B1895" w:rsidRDefault="004B1895" w:rsidP="00D57585">
      <w:pPr>
        <w:pStyle w:val="ListParagraph"/>
        <w:rPr>
          <w:szCs w:val="22"/>
        </w:rPr>
      </w:pPr>
    </w:p>
    <w:p w:rsidR="004B1895" w:rsidRPr="009A1376" w:rsidRDefault="004B1895" w:rsidP="009A1376">
      <w:pPr>
        <w:pStyle w:val="ListParagraph"/>
        <w:numPr>
          <w:ilvl w:val="0"/>
          <w:numId w:val="8"/>
        </w:numPr>
        <w:rPr>
          <w:i/>
        </w:rPr>
      </w:pPr>
      <w:r w:rsidRPr="00B27AD1">
        <w:t>The submission provided summary level data for the Medicare 10% sample used in the submission. No details of how the original Medicare data had been adapted for use in the submission were provided.</w:t>
      </w:r>
      <w:r w:rsidR="009A1376">
        <w:t xml:space="preserve"> </w:t>
      </w:r>
      <w:r w:rsidR="009A1376" w:rsidRPr="002B3420">
        <w:t>The Pre-Sub-Committee Response (PSCR) (p1-2) reiterated the methodology used for this analysis.</w:t>
      </w:r>
    </w:p>
    <w:p w:rsidR="004B1895" w:rsidRPr="002B3420" w:rsidRDefault="004B1895" w:rsidP="009A1376">
      <w:pPr>
        <w:pStyle w:val="ListParagraph"/>
        <w:numPr>
          <w:ilvl w:val="0"/>
          <w:numId w:val="8"/>
        </w:numPr>
      </w:pPr>
      <w:r w:rsidRPr="00B27AD1">
        <w:t xml:space="preserve">Market share projections for the dapagliflozin and empagliflozin FDCs are uncertain, especially given differences in dosing regimens, metformin release profiles, and the </w:t>
      </w:r>
      <w:r w:rsidR="00A4343A" w:rsidRPr="00B27AD1">
        <w:t xml:space="preserve">unclear </w:t>
      </w:r>
      <w:r w:rsidRPr="00B27AD1">
        <w:t>timing of PBS listing</w:t>
      </w:r>
      <w:r w:rsidR="001858F7" w:rsidRPr="00B27AD1">
        <w:t>s</w:t>
      </w:r>
      <w:r w:rsidRPr="00B27AD1">
        <w:t>.</w:t>
      </w:r>
      <w:r w:rsidR="009A1376">
        <w:t xml:space="preserve"> </w:t>
      </w:r>
      <w:r w:rsidR="009A1376" w:rsidRPr="002B3420">
        <w:t>The PSCR (p2) stated that the dapagliflozin/metformin XR FDC (expected to compete with the empagliflozin/metformin FDC for market share) is now scheduled to be PBS listed in October 2015. The financial projections included in the submission had assumed listing in August 2015.</w:t>
      </w:r>
    </w:p>
    <w:p w:rsidR="00B733A8" w:rsidRPr="00B27AD1" w:rsidRDefault="00B733A8" w:rsidP="009A5CC6">
      <w:pPr>
        <w:pStyle w:val="ListParagraph"/>
        <w:numPr>
          <w:ilvl w:val="0"/>
          <w:numId w:val="8"/>
        </w:numPr>
      </w:pPr>
      <w:r w:rsidRPr="00B27AD1">
        <w:t xml:space="preserve">Although the </w:t>
      </w:r>
      <w:r w:rsidR="00BC5714" w:rsidRPr="00B27AD1">
        <w:t>de-listing</w:t>
      </w:r>
      <w:r w:rsidRPr="00B27AD1">
        <w:t xml:space="preserve"> of canagliflozin from the PBS schedule was factored in to the market share assumptions, future SGLT2 inhibitor market dynamics following canagliflozin </w:t>
      </w:r>
      <w:r w:rsidR="00BC5714" w:rsidRPr="00B27AD1">
        <w:t>removal</w:t>
      </w:r>
      <w:r w:rsidRPr="00B27AD1">
        <w:t xml:space="preserve"> are inherently uncertain.</w:t>
      </w:r>
    </w:p>
    <w:p w:rsidR="00A4343A" w:rsidRPr="00B27AD1" w:rsidRDefault="004B1895" w:rsidP="000028F6">
      <w:pPr>
        <w:pStyle w:val="ListParagraph"/>
        <w:numPr>
          <w:ilvl w:val="0"/>
          <w:numId w:val="8"/>
        </w:numPr>
      </w:pPr>
      <w:r w:rsidRPr="00B27AD1">
        <w:t xml:space="preserve">There </w:t>
      </w:r>
      <w:r w:rsidR="00A4343A" w:rsidRPr="00B27AD1">
        <w:t>may be</w:t>
      </w:r>
      <w:r w:rsidRPr="00B27AD1">
        <w:t xml:space="preserve"> </w:t>
      </w:r>
      <w:r w:rsidR="00A4343A" w:rsidRPr="00B27AD1">
        <w:t>additional</w:t>
      </w:r>
      <w:r w:rsidRPr="00B27AD1">
        <w:t xml:space="preserve"> costs to the PBS </w:t>
      </w:r>
      <w:r w:rsidR="00A4343A" w:rsidRPr="00B27AD1">
        <w:t>derived from:</w:t>
      </w:r>
    </w:p>
    <w:p w:rsidR="00A4343A" w:rsidRPr="00B27AD1" w:rsidRDefault="00A4343A" w:rsidP="000028F6">
      <w:pPr>
        <w:pStyle w:val="ListParagraph"/>
        <w:numPr>
          <w:ilvl w:val="1"/>
          <w:numId w:val="8"/>
        </w:numPr>
        <w:ind w:left="1418" w:hanging="284"/>
      </w:pPr>
      <w:r w:rsidRPr="00B27AD1">
        <w:t>g</w:t>
      </w:r>
      <w:r w:rsidR="004B1895" w:rsidRPr="00B27AD1">
        <w:t xml:space="preserve">eneral </w:t>
      </w:r>
      <w:r w:rsidRPr="00B27AD1">
        <w:t xml:space="preserve">patients previously self-funding metformin </w:t>
      </w:r>
      <w:r w:rsidR="00EE2C94" w:rsidRPr="00B27AD1">
        <w:t>therapy</w:t>
      </w:r>
      <w:r w:rsidRPr="00B27AD1">
        <w:t xml:space="preserve"> </w:t>
      </w:r>
      <w:r w:rsidR="001858F7" w:rsidRPr="00B27AD1">
        <w:t xml:space="preserve">who </w:t>
      </w:r>
      <w:r w:rsidRPr="00B27AD1">
        <w:t xml:space="preserve">switch to the </w:t>
      </w:r>
      <w:r w:rsidR="004B1895" w:rsidRPr="00B27AD1">
        <w:t>FDC</w:t>
      </w:r>
      <w:r w:rsidRPr="00B27AD1">
        <w:t xml:space="preserve">, </w:t>
      </w:r>
    </w:p>
    <w:p w:rsidR="004B1895" w:rsidRPr="00B27AD1" w:rsidRDefault="00A4343A" w:rsidP="000028F6">
      <w:pPr>
        <w:pStyle w:val="ListParagraph"/>
        <w:numPr>
          <w:ilvl w:val="1"/>
          <w:numId w:val="8"/>
        </w:numPr>
        <w:ind w:left="1134" w:firstLine="0"/>
      </w:pPr>
      <w:r w:rsidRPr="00B27AD1">
        <w:t>patients</w:t>
      </w:r>
      <w:r w:rsidR="004B1895" w:rsidRPr="00B27AD1">
        <w:t xml:space="preserve"> prescribed a FDC and </w:t>
      </w:r>
      <w:r w:rsidR="001858F7" w:rsidRPr="00B27AD1">
        <w:t xml:space="preserve">additional </w:t>
      </w:r>
      <w:r w:rsidR="004B1895" w:rsidRPr="00B27AD1">
        <w:t>metformin concurrently</w:t>
      </w:r>
      <w:r w:rsidRPr="00B27AD1">
        <w:t>.</w:t>
      </w:r>
    </w:p>
    <w:p w:rsidR="004B1895" w:rsidRDefault="004B1895" w:rsidP="009C619D">
      <w:pPr>
        <w:pStyle w:val="ListParagraph"/>
        <w:numPr>
          <w:ilvl w:val="0"/>
          <w:numId w:val="8"/>
        </w:numPr>
      </w:pPr>
      <w:r w:rsidRPr="00B27AD1">
        <w:t>The assumption that SGLT2 dual therapy growth rates will mirror historical DPP</w:t>
      </w:r>
      <w:r w:rsidR="00CE4076" w:rsidRPr="00B27AD1">
        <w:t>-</w:t>
      </w:r>
      <w:r w:rsidRPr="00B27AD1">
        <w:t>4 dual therapy growth, and that SGLT2</w:t>
      </w:r>
      <w:r w:rsidR="001858F7" w:rsidRPr="00B27AD1">
        <w:t>/metformin</w:t>
      </w:r>
      <w:r w:rsidRPr="00B27AD1">
        <w:t xml:space="preserve"> FDC use will mirror historical DPP</w:t>
      </w:r>
      <w:r w:rsidR="00CE4076" w:rsidRPr="00B27AD1">
        <w:t>-</w:t>
      </w:r>
      <w:r w:rsidRPr="00B27AD1">
        <w:t>4</w:t>
      </w:r>
      <w:r w:rsidR="001858F7" w:rsidRPr="00B27AD1">
        <w:t>/metformin</w:t>
      </w:r>
      <w:r w:rsidRPr="00B27AD1">
        <w:t xml:space="preserve"> FDC may not be appropriate</w:t>
      </w:r>
      <w:r w:rsidR="001858F7" w:rsidRPr="00B27AD1">
        <w:t>.</w:t>
      </w:r>
    </w:p>
    <w:p w:rsidR="004B1895" w:rsidRDefault="004B1895" w:rsidP="00D57585">
      <w:pPr>
        <w:widowControl/>
        <w:rPr>
          <w:szCs w:val="22"/>
        </w:rPr>
      </w:pPr>
    </w:p>
    <w:p w:rsidR="0070102D" w:rsidRDefault="0070102D" w:rsidP="00D57585">
      <w:pPr>
        <w:widowControl/>
        <w:rPr>
          <w:szCs w:val="22"/>
        </w:rPr>
      </w:pPr>
    </w:p>
    <w:p w:rsidR="00C266E0" w:rsidRPr="001D2D9F" w:rsidRDefault="00C266E0" w:rsidP="0070102D">
      <w:pPr>
        <w:pStyle w:val="Heading1"/>
      </w:pPr>
      <w:r w:rsidRPr="001D2D9F">
        <w:t>PBAC Outcome</w:t>
      </w:r>
    </w:p>
    <w:p w:rsidR="00C266E0" w:rsidRPr="001D2D9F" w:rsidRDefault="00C266E0" w:rsidP="002B3420">
      <w:pPr>
        <w:contextualSpacing/>
        <w:rPr>
          <w:b/>
          <w:bCs/>
          <w:szCs w:val="22"/>
          <w:lang w:val="en-GB"/>
        </w:rPr>
      </w:pPr>
    </w:p>
    <w:p w:rsidR="00C266E0" w:rsidRPr="001D2D9F" w:rsidRDefault="00304C4B" w:rsidP="002B3420">
      <w:pPr>
        <w:numPr>
          <w:ilvl w:val="1"/>
          <w:numId w:val="3"/>
        </w:numPr>
        <w:contextualSpacing/>
        <w:rPr>
          <w:bCs/>
          <w:szCs w:val="22"/>
          <w:lang w:val="en-GB"/>
        </w:rPr>
      </w:pPr>
      <w:r w:rsidRPr="001D2D9F">
        <w:rPr>
          <w:bCs/>
          <w:szCs w:val="22"/>
          <w:lang w:val="en-GB"/>
        </w:rPr>
        <w:t xml:space="preserve">The PBAC recommended empagliflozin/metformin FDC </w:t>
      </w:r>
      <w:r w:rsidR="00717937" w:rsidRPr="001D2D9F">
        <w:rPr>
          <w:bCs/>
          <w:szCs w:val="22"/>
          <w:lang w:val="en-GB"/>
        </w:rPr>
        <w:t>on a cost-minimisation basis with empagliflozin and metformin taken concomitantly.  The equi</w:t>
      </w:r>
      <w:r w:rsidR="00F13BBC">
        <w:rPr>
          <w:bCs/>
          <w:szCs w:val="22"/>
          <w:lang w:val="en-GB"/>
        </w:rPr>
        <w:t>-</w:t>
      </w:r>
      <w:r w:rsidR="00717937" w:rsidRPr="001D2D9F">
        <w:rPr>
          <w:bCs/>
          <w:szCs w:val="22"/>
          <w:lang w:val="en-GB"/>
        </w:rPr>
        <w:t>effective doses were</w:t>
      </w:r>
      <w:r w:rsidR="00E3452A" w:rsidRPr="001D2D9F">
        <w:rPr>
          <w:bCs/>
          <w:szCs w:val="22"/>
          <w:lang w:val="en-GB"/>
        </w:rPr>
        <w:t xml:space="preserve"> empagliflozin </w:t>
      </w:r>
      <w:r w:rsidR="00E3452A" w:rsidRPr="001D2D9F">
        <w:rPr>
          <w:bCs/>
          <w:szCs w:val="22"/>
        </w:rPr>
        <w:t>5mg/metformin 500mg twice dai</w:t>
      </w:r>
      <w:r w:rsidR="00F13BBC">
        <w:rPr>
          <w:bCs/>
          <w:szCs w:val="22"/>
        </w:rPr>
        <w:t xml:space="preserve">ly and empagliflozin 10mg daily and </w:t>
      </w:r>
      <w:r w:rsidR="00E3452A" w:rsidRPr="001D2D9F">
        <w:rPr>
          <w:bCs/>
          <w:szCs w:val="22"/>
        </w:rPr>
        <w:t>metformin 500mg twice daily</w:t>
      </w:r>
      <w:r w:rsidR="00F13BBC">
        <w:rPr>
          <w:bCs/>
          <w:szCs w:val="22"/>
        </w:rPr>
        <w:t xml:space="preserve"> taken concomitantly</w:t>
      </w:r>
      <w:r w:rsidR="00E3452A" w:rsidRPr="001D2D9F">
        <w:rPr>
          <w:bCs/>
          <w:szCs w:val="22"/>
        </w:rPr>
        <w:t>.</w:t>
      </w:r>
    </w:p>
    <w:p w:rsidR="00E3452A" w:rsidRPr="001D2D9F" w:rsidRDefault="00E3452A" w:rsidP="00E3452A">
      <w:pPr>
        <w:ind w:left="720"/>
        <w:contextualSpacing/>
        <w:rPr>
          <w:bCs/>
          <w:szCs w:val="22"/>
          <w:lang w:val="en-GB"/>
        </w:rPr>
      </w:pPr>
    </w:p>
    <w:p w:rsidR="00304C4B" w:rsidRPr="001D2D9F" w:rsidRDefault="00304C4B" w:rsidP="002B3420">
      <w:pPr>
        <w:numPr>
          <w:ilvl w:val="1"/>
          <w:numId w:val="3"/>
        </w:numPr>
        <w:contextualSpacing/>
        <w:rPr>
          <w:bCs/>
          <w:szCs w:val="22"/>
          <w:lang w:val="en-GB"/>
        </w:rPr>
      </w:pPr>
      <w:r w:rsidRPr="001D2D9F">
        <w:rPr>
          <w:bCs/>
          <w:szCs w:val="22"/>
          <w:lang w:val="en-GB"/>
        </w:rPr>
        <w:lastRenderedPageBreak/>
        <w:t>The PBAC noted that positive recommendations were also made at the November 2015 meeting for empagliflozin in triple oral combination with metformin and a sulfonylurea and in combination with insulin.  The PBAC therefore advised that the restriction for empagliflozin/metformin FDC should include use for those indications.</w:t>
      </w:r>
    </w:p>
    <w:p w:rsidR="00E3452A" w:rsidRDefault="00E3452A" w:rsidP="00E3452A">
      <w:pPr>
        <w:pStyle w:val="ListParagraph"/>
        <w:rPr>
          <w:bCs/>
          <w:szCs w:val="22"/>
          <w:highlight w:val="yellow"/>
          <w:lang w:val="en-GB"/>
        </w:rPr>
      </w:pPr>
    </w:p>
    <w:p w:rsidR="00E3452A" w:rsidRPr="000A1290" w:rsidRDefault="00E3452A" w:rsidP="00E3452A">
      <w:pPr>
        <w:numPr>
          <w:ilvl w:val="1"/>
          <w:numId w:val="3"/>
        </w:numPr>
        <w:contextualSpacing/>
        <w:rPr>
          <w:bCs/>
          <w:szCs w:val="22"/>
          <w:lang w:val="en-GB"/>
        </w:rPr>
      </w:pPr>
      <w:r w:rsidRPr="000A1290">
        <w:rPr>
          <w:bCs/>
          <w:szCs w:val="22"/>
          <w:lang w:val="en-GB"/>
        </w:rPr>
        <w:t xml:space="preserve">The PBAC </w:t>
      </w:r>
      <w:r>
        <w:rPr>
          <w:bCs/>
          <w:szCs w:val="22"/>
          <w:lang w:val="en-GB"/>
        </w:rPr>
        <w:t xml:space="preserve">also </w:t>
      </w:r>
      <w:r w:rsidRPr="000A1290">
        <w:rPr>
          <w:bCs/>
          <w:szCs w:val="22"/>
          <w:lang w:val="en-GB"/>
        </w:rPr>
        <w:t>recommended that the restriction permit a</w:t>
      </w:r>
      <w:r w:rsidRPr="000A1290">
        <w:rPr>
          <w:bCs/>
          <w:szCs w:val="22"/>
        </w:rPr>
        <w:t xml:space="preserve"> patient who had previously demonstrated that their diabetes was unable to be controlled with metformin or a sulfonylurea to access PBS subsidised empaglifl</w:t>
      </w:r>
      <w:r>
        <w:rPr>
          <w:bCs/>
          <w:szCs w:val="22"/>
        </w:rPr>
        <w:t>o</w:t>
      </w:r>
      <w:r w:rsidRPr="000A1290">
        <w:rPr>
          <w:bCs/>
          <w:szCs w:val="22"/>
        </w:rPr>
        <w:t>zin without the need to requalify.  The PBAC noted that this was consistent with the restriction for dapagliflozin.</w:t>
      </w:r>
    </w:p>
    <w:p w:rsidR="00E3452A" w:rsidRPr="000A1290" w:rsidRDefault="00E3452A" w:rsidP="00E3452A">
      <w:pPr>
        <w:ind w:left="720"/>
        <w:contextualSpacing/>
        <w:rPr>
          <w:bCs/>
          <w:szCs w:val="22"/>
          <w:lang w:val="en-GB"/>
        </w:rPr>
      </w:pPr>
    </w:p>
    <w:p w:rsidR="00E3452A" w:rsidRPr="000A1290" w:rsidRDefault="00E3452A" w:rsidP="00E3452A">
      <w:pPr>
        <w:numPr>
          <w:ilvl w:val="1"/>
          <w:numId w:val="3"/>
        </w:numPr>
        <w:contextualSpacing/>
        <w:rPr>
          <w:bCs/>
          <w:szCs w:val="22"/>
          <w:lang w:val="en-GB"/>
        </w:rPr>
      </w:pPr>
      <w:r w:rsidRPr="000A1290">
        <w:rPr>
          <w:bCs/>
          <w:szCs w:val="22"/>
          <w:lang w:val="en-GB"/>
        </w:rPr>
        <w:t>The PBAC considered that there was no reason to exempt empagliflozin</w:t>
      </w:r>
      <w:r>
        <w:rPr>
          <w:bCs/>
          <w:szCs w:val="22"/>
          <w:lang w:val="en-GB"/>
        </w:rPr>
        <w:t>/metformin FDC</w:t>
      </w:r>
      <w:r w:rsidRPr="000A1290">
        <w:rPr>
          <w:bCs/>
          <w:szCs w:val="22"/>
          <w:lang w:val="en-GB"/>
        </w:rPr>
        <w:t xml:space="preserve"> from the Safety Net 20 Day Rule.</w:t>
      </w:r>
    </w:p>
    <w:p w:rsidR="00E3452A" w:rsidRPr="000A1290" w:rsidRDefault="00E3452A" w:rsidP="00E3452A">
      <w:pPr>
        <w:pStyle w:val="ListParagraph"/>
        <w:rPr>
          <w:bCs/>
          <w:szCs w:val="22"/>
          <w:lang w:val="en-GB"/>
        </w:rPr>
      </w:pPr>
    </w:p>
    <w:p w:rsidR="00E3452A" w:rsidRPr="000A1290" w:rsidRDefault="00E3452A" w:rsidP="00E3452A">
      <w:pPr>
        <w:numPr>
          <w:ilvl w:val="1"/>
          <w:numId w:val="3"/>
        </w:numPr>
        <w:contextualSpacing/>
        <w:rPr>
          <w:bCs/>
          <w:szCs w:val="22"/>
          <w:lang w:val="en-GB"/>
        </w:rPr>
      </w:pPr>
      <w:r w:rsidRPr="000A1290">
        <w:rPr>
          <w:bCs/>
          <w:szCs w:val="22"/>
          <w:lang w:val="en-GB"/>
        </w:rPr>
        <w:t>The PBAC advised that empagliflozin</w:t>
      </w:r>
      <w:r>
        <w:rPr>
          <w:bCs/>
          <w:szCs w:val="22"/>
          <w:lang w:val="en-GB"/>
        </w:rPr>
        <w:t>/metformin FDC</w:t>
      </w:r>
      <w:r w:rsidRPr="000A1290">
        <w:rPr>
          <w:bCs/>
          <w:szCs w:val="22"/>
          <w:lang w:val="en-GB"/>
        </w:rPr>
        <w:t xml:space="preserve"> is suitable for prescribing by Nurse Practitioners for Continuing </w:t>
      </w:r>
      <w:r>
        <w:rPr>
          <w:bCs/>
          <w:szCs w:val="22"/>
          <w:lang w:val="en-GB"/>
        </w:rPr>
        <w:t>T</w:t>
      </w:r>
      <w:r w:rsidRPr="000A1290">
        <w:rPr>
          <w:bCs/>
          <w:szCs w:val="22"/>
          <w:lang w:val="en-GB"/>
        </w:rPr>
        <w:t>herapy Only.</w:t>
      </w:r>
    </w:p>
    <w:p w:rsidR="00E3452A" w:rsidRPr="000A1290" w:rsidRDefault="00E3452A" w:rsidP="00E3452A">
      <w:pPr>
        <w:pStyle w:val="ListParagraph"/>
        <w:rPr>
          <w:bCs/>
          <w:szCs w:val="22"/>
          <w:lang w:val="en-GB"/>
        </w:rPr>
      </w:pPr>
    </w:p>
    <w:p w:rsidR="00E3452A" w:rsidRPr="000A1290" w:rsidRDefault="00E3452A" w:rsidP="00E3452A">
      <w:pPr>
        <w:numPr>
          <w:ilvl w:val="1"/>
          <w:numId w:val="3"/>
        </w:numPr>
        <w:contextualSpacing/>
        <w:rPr>
          <w:bCs/>
          <w:szCs w:val="22"/>
          <w:lang w:val="en-GB"/>
        </w:rPr>
      </w:pPr>
      <w:r w:rsidRPr="000A1290">
        <w:rPr>
          <w:bCs/>
          <w:szCs w:val="22"/>
          <w:lang w:val="en-GB"/>
        </w:rPr>
        <w:t xml:space="preserve">Under Section 101(3BA) of the </w:t>
      </w:r>
      <w:r w:rsidRPr="000A1290">
        <w:rPr>
          <w:bCs/>
          <w:i/>
          <w:szCs w:val="22"/>
          <w:lang w:val="en-GB"/>
        </w:rPr>
        <w:t xml:space="preserve">National Health Act 1953, </w:t>
      </w:r>
      <w:r w:rsidRPr="000A1290">
        <w:rPr>
          <w:bCs/>
          <w:szCs w:val="22"/>
          <w:lang w:val="en-GB"/>
        </w:rPr>
        <w:t>the PBAC advised that empagliflozin</w:t>
      </w:r>
      <w:r>
        <w:rPr>
          <w:bCs/>
          <w:szCs w:val="22"/>
          <w:lang w:val="en-GB"/>
        </w:rPr>
        <w:t>/metformin FDC</w:t>
      </w:r>
      <w:r w:rsidRPr="000A1290">
        <w:rPr>
          <w:bCs/>
          <w:szCs w:val="22"/>
          <w:lang w:val="en-GB"/>
        </w:rPr>
        <w:t xml:space="preserve"> should be treated as interchangeable on an individual patient basis with dapagliflozin</w:t>
      </w:r>
      <w:r>
        <w:rPr>
          <w:bCs/>
          <w:szCs w:val="22"/>
          <w:lang w:val="en-GB"/>
        </w:rPr>
        <w:t>/metformin FDC</w:t>
      </w:r>
      <w:r w:rsidRPr="000A1290">
        <w:rPr>
          <w:bCs/>
          <w:szCs w:val="22"/>
          <w:lang w:val="en-GB"/>
        </w:rPr>
        <w:t xml:space="preserve">. </w:t>
      </w:r>
    </w:p>
    <w:p w:rsidR="00E3452A" w:rsidRPr="00304C4B" w:rsidRDefault="00E3452A" w:rsidP="00E3452A">
      <w:pPr>
        <w:ind w:left="720"/>
        <w:contextualSpacing/>
        <w:rPr>
          <w:bCs/>
          <w:szCs w:val="22"/>
          <w:highlight w:val="yellow"/>
          <w:lang w:val="en-GB"/>
        </w:rPr>
      </w:pPr>
    </w:p>
    <w:p w:rsidR="00C266E0" w:rsidRPr="001D2D9F" w:rsidRDefault="00C266E0" w:rsidP="0070102D">
      <w:pPr>
        <w:pStyle w:val="Heading2"/>
        <w:rPr>
          <w:lang w:val="en-GB"/>
        </w:rPr>
      </w:pPr>
      <w:r w:rsidRPr="001D2D9F">
        <w:rPr>
          <w:lang w:val="en-GB"/>
        </w:rPr>
        <w:t>Outcome:</w:t>
      </w:r>
    </w:p>
    <w:p w:rsidR="00C266E0" w:rsidRPr="001D2D9F" w:rsidRDefault="00C266E0" w:rsidP="002B3420">
      <w:pPr>
        <w:rPr>
          <w:bCs/>
          <w:szCs w:val="22"/>
          <w:lang w:val="en-GB"/>
        </w:rPr>
      </w:pPr>
      <w:r w:rsidRPr="001D2D9F">
        <w:rPr>
          <w:bCs/>
          <w:szCs w:val="22"/>
          <w:lang w:val="en-GB"/>
        </w:rPr>
        <w:t>Recommended</w:t>
      </w:r>
    </w:p>
    <w:p w:rsidR="00C266E0" w:rsidRDefault="00C266E0" w:rsidP="002B3420">
      <w:pPr>
        <w:rPr>
          <w:bCs/>
          <w:szCs w:val="22"/>
          <w:lang w:val="en-GB"/>
        </w:rPr>
      </w:pPr>
    </w:p>
    <w:p w:rsidR="0070102D" w:rsidRPr="001D2D9F" w:rsidRDefault="0070102D" w:rsidP="002B3420">
      <w:pPr>
        <w:rPr>
          <w:bCs/>
          <w:szCs w:val="22"/>
          <w:lang w:val="en-GB"/>
        </w:rPr>
      </w:pPr>
    </w:p>
    <w:p w:rsidR="00C266E0" w:rsidRPr="001D2D9F" w:rsidRDefault="00C266E0" w:rsidP="0070102D">
      <w:pPr>
        <w:pStyle w:val="Heading1"/>
        <w:rPr>
          <w:i/>
          <w:lang w:val="en-GB"/>
        </w:rPr>
      </w:pPr>
      <w:r w:rsidRPr="001D2D9F">
        <w:rPr>
          <w:lang w:val="en-GB"/>
        </w:rPr>
        <w:t>Recommended listing</w:t>
      </w:r>
    </w:p>
    <w:p w:rsidR="00C266E0" w:rsidRPr="001D2D9F" w:rsidRDefault="00C266E0" w:rsidP="002B3420">
      <w:pPr>
        <w:rPr>
          <w:b/>
          <w:bCs/>
          <w:i/>
          <w:szCs w:val="22"/>
          <w:lang w:val="en-GB"/>
        </w:rPr>
      </w:pPr>
    </w:p>
    <w:p w:rsidR="00C266E0" w:rsidRPr="001D2D9F" w:rsidRDefault="00C266E0" w:rsidP="00E3452A">
      <w:pPr>
        <w:numPr>
          <w:ilvl w:val="1"/>
          <w:numId w:val="3"/>
        </w:numPr>
        <w:contextualSpacing/>
        <w:rPr>
          <w:b/>
          <w:bCs/>
          <w:szCs w:val="22"/>
        </w:rPr>
      </w:pPr>
      <w:r w:rsidRPr="001D2D9F">
        <w:rPr>
          <w:bCs/>
          <w:szCs w:val="22"/>
        </w:rPr>
        <w:t>Add new item</w:t>
      </w:r>
    </w:p>
    <w:p w:rsidR="00C266E0" w:rsidRDefault="00C266E0" w:rsidP="00D57585">
      <w:pPr>
        <w:widowControl/>
        <w:rPr>
          <w:szCs w:val="22"/>
        </w:rPr>
      </w:pPr>
    </w:p>
    <w:tbl>
      <w:tblPr>
        <w:tblW w:w="4600" w:type="pct"/>
        <w:tblCellMar>
          <w:left w:w="28" w:type="dxa"/>
          <w:right w:w="28" w:type="dxa"/>
        </w:tblCellMar>
        <w:tblLook w:val="0000" w:firstRow="0" w:lastRow="0" w:firstColumn="0" w:lastColumn="0" w:noHBand="0" w:noVBand="0"/>
        <w:tblCaption w:val="Items recommended for listing on PBS"/>
      </w:tblPr>
      <w:tblGrid>
        <w:gridCol w:w="2935"/>
        <w:gridCol w:w="525"/>
        <w:gridCol w:w="667"/>
        <w:gridCol w:w="1345"/>
        <w:gridCol w:w="1569"/>
        <w:gridCol w:w="1315"/>
      </w:tblGrid>
      <w:tr w:rsidR="00486F93" w:rsidRPr="00413860" w:rsidTr="00304C4B">
        <w:trPr>
          <w:cantSplit/>
          <w:trHeight w:val="463"/>
        </w:trPr>
        <w:tc>
          <w:tcPr>
            <w:tcW w:w="1756" w:type="pct"/>
            <w:tcBorders>
              <w:bottom w:val="single" w:sz="4" w:space="0" w:color="auto"/>
            </w:tcBorders>
            <w:vAlign w:val="center"/>
          </w:tcPr>
          <w:p w:rsidR="00486F93" w:rsidRPr="008E51E4" w:rsidRDefault="00486F93" w:rsidP="00304C4B">
            <w:pPr>
              <w:keepNext/>
              <w:jc w:val="left"/>
              <w:rPr>
                <w:sz w:val="20"/>
              </w:rPr>
            </w:pPr>
            <w:r w:rsidRPr="008E51E4">
              <w:rPr>
                <w:sz w:val="20"/>
              </w:rPr>
              <w:t>Name, Restriction,</w:t>
            </w:r>
          </w:p>
          <w:p w:rsidR="00486F93" w:rsidRPr="008E51E4" w:rsidRDefault="00486F93" w:rsidP="00304C4B">
            <w:pPr>
              <w:keepNext/>
              <w:jc w:val="left"/>
              <w:rPr>
                <w:sz w:val="20"/>
              </w:rPr>
            </w:pPr>
            <w:r w:rsidRPr="008E51E4">
              <w:rPr>
                <w:sz w:val="20"/>
              </w:rPr>
              <w:t>Manner of administration and form</w:t>
            </w:r>
          </w:p>
        </w:tc>
        <w:tc>
          <w:tcPr>
            <w:tcW w:w="314" w:type="pct"/>
            <w:tcBorders>
              <w:bottom w:val="single" w:sz="4" w:space="0" w:color="auto"/>
            </w:tcBorders>
            <w:vAlign w:val="center"/>
          </w:tcPr>
          <w:p w:rsidR="00486F93" w:rsidRDefault="00486F93" w:rsidP="00304C4B">
            <w:pPr>
              <w:keepNext/>
              <w:jc w:val="center"/>
              <w:rPr>
                <w:sz w:val="20"/>
              </w:rPr>
            </w:pPr>
            <w:r>
              <w:rPr>
                <w:sz w:val="20"/>
              </w:rPr>
              <w:t>Max.</w:t>
            </w:r>
          </w:p>
          <w:p w:rsidR="00486F93" w:rsidRDefault="00486F93" w:rsidP="00304C4B">
            <w:pPr>
              <w:keepNext/>
              <w:jc w:val="center"/>
              <w:rPr>
                <w:sz w:val="20"/>
              </w:rPr>
            </w:pPr>
            <w:r>
              <w:rPr>
                <w:sz w:val="20"/>
              </w:rPr>
              <w:t>Qty</w:t>
            </w:r>
          </w:p>
        </w:tc>
        <w:tc>
          <w:tcPr>
            <w:tcW w:w="399" w:type="pct"/>
            <w:tcBorders>
              <w:bottom w:val="single" w:sz="4" w:space="0" w:color="auto"/>
            </w:tcBorders>
            <w:vAlign w:val="center"/>
          </w:tcPr>
          <w:p w:rsidR="00486F93" w:rsidRDefault="00486F93" w:rsidP="00304C4B">
            <w:pPr>
              <w:keepNext/>
              <w:jc w:val="center"/>
              <w:rPr>
                <w:sz w:val="20"/>
              </w:rPr>
            </w:pPr>
            <w:r>
              <w:rPr>
                <w:sz w:val="20"/>
              </w:rPr>
              <w:t>№.of</w:t>
            </w:r>
          </w:p>
          <w:p w:rsidR="00486F93" w:rsidRDefault="00486F93" w:rsidP="00304C4B">
            <w:pPr>
              <w:keepNext/>
              <w:jc w:val="center"/>
              <w:rPr>
                <w:sz w:val="20"/>
              </w:rPr>
            </w:pPr>
            <w:r>
              <w:rPr>
                <w:sz w:val="20"/>
              </w:rPr>
              <w:t>Rpts</w:t>
            </w:r>
          </w:p>
        </w:tc>
        <w:tc>
          <w:tcPr>
            <w:tcW w:w="805" w:type="pct"/>
            <w:tcBorders>
              <w:bottom w:val="single" w:sz="4" w:space="0" w:color="auto"/>
            </w:tcBorders>
            <w:vAlign w:val="center"/>
          </w:tcPr>
          <w:p w:rsidR="00486F93" w:rsidRDefault="00486F93" w:rsidP="00304C4B">
            <w:pPr>
              <w:keepNext/>
              <w:jc w:val="center"/>
              <w:rPr>
                <w:sz w:val="20"/>
              </w:rPr>
            </w:pPr>
          </w:p>
        </w:tc>
        <w:tc>
          <w:tcPr>
            <w:tcW w:w="1726" w:type="pct"/>
            <w:gridSpan w:val="2"/>
            <w:tcBorders>
              <w:bottom w:val="single" w:sz="4" w:space="0" w:color="auto"/>
            </w:tcBorders>
            <w:vAlign w:val="center"/>
          </w:tcPr>
          <w:p w:rsidR="00486F93" w:rsidRDefault="00486F93" w:rsidP="00304C4B">
            <w:pPr>
              <w:keepNext/>
              <w:jc w:val="center"/>
              <w:rPr>
                <w:sz w:val="20"/>
                <w:lang w:val="fr-FR"/>
              </w:rPr>
            </w:pPr>
            <w:r>
              <w:rPr>
                <w:sz w:val="20"/>
              </w:rPr>
              <w:t>Proprietary Name and Manufacturer</w:t>
            </w:r>
          </w:p>
        </w:tc>
      </w:tr>
      <w:tr w:rsidR="00486F93" w:rsidRPr="00413860" w:rsidTr="00304C4B">
        <w:trPr>
          <w:cantSplit/>
          <w:trHeight w:val="567"/>
        </w:trPr>
        <w:tc>
          <w:tcPr>
            <w:tcW w:w="1756" w:type="pct"/>
          </w:tcPr>
          <w:p w:rsidR="00486F93" w:rsidRPr="008E51E4" w:rsidRDefault="00486F93" w:rsidP="00304C4B">
            <w:pPr>
              <w:keepNext/>
              <w:rPr>
                <w:sz w:val="20"/>
              </w:rPr>
            </w:pPr>
            <w:r w:rsidRPr="008E51E4">
              <w:rPr>
                <w:smallCaps/>
                <w:sz w:val="20"/>
              </w:rPr>
              <w:t>Empagliflozin/metformin</w:t>
            </w:r>
          </w:p>
          <w:p w:rsidR="00486F93" w:rsidRPr="008E51E4" w:rsidRDefault="00486F93" w:rsidP="00304C4B">
            <w:pPr>
              <w:keepNext/>
              <w:rPr>
                <w:sz w:val="20"/>
              </w:rPr>
            </w:pPr>
            <w:r w:rsidRPr="008E51E4">
              <w:rPr>
                <w:sz w:val="20"/>
              </w:rPr>
              <w:t>Oral tablet, 5mg/500mg</w:t>
            </w:r>
          </w:p>
          <w:p w:rsidR="00486F93" w:rsidRPr="008E51E4" w:rsidRDefault="00486F93" w:rsidP="00304C4B">
            <w:pPr>
              <w:keepNext/>
              <w:rPr>
                <w:sz w:val="20"/>
              </w:rPr>
            </w:pPr>
            <w:r w:rsidRPr="008E51E4">
              <w:rPr>
                <w:smallCaps/>
                <w:sz w:val="20"/>
              </w:rPr>
              <w:t>Empagliflozin/metformin</w:t>
            </w:r>
          </w:p>
          <w:p w:rsidR="00486F93" w:rsidRPr="008E51E4" w:rsidRDefault="00486F93" w:rsidP="00304C4B">
            <w:pPr>
              <w:keepNext/>
              <w:rPr>
                <w:sz w:val="20"/>
              </w:rPr>
            </w:pPr>
            <w:r w:rsidRPr="008E51E4">
              <w:rPr>
                <w:sz w:val="20"/>
              </w:rPr>
              <w:t>Oral tablet, 5mg/850mg</w:t>
            </w:r>
          </w:p>
          <w:p w:rsidR="00486F93" w:rsidRPr="008E51E4" w:rsidRDefault="00486F93" w:rsidP="00304C4B">
            <w:pPr>
              <w:keepNext/>
              <w:rPr>
                <w:sz w:val="20"/>
              </w:rPr>
            </w:pPr>
            <w:r w:rsidRPr="008E51E4">
              <w:rPr>
                <w:smallCaps/>
                <w:sz w:val="20"/>
              </w:rPr>
              <w:t>Empagliflozin/metformin</w:t>
            </w:r>
          </w:p>
          <w:p w:rsidR="00486F93" w:rsidRPr="008E51E4" w:rsidRDefault="00486F93" w:rsidP="00304C4B">
            <w:pPr>
              <w:keepNext/>
              <w:rPr>
                <w:sz w:val="20"/>
              </w:rPr>
            </w:pPr>
            <w:r w:rsidRPr="008E51E4">
              <w:rPr>
                <w:sz w:val="20"/>
              </w:rPr>
              <w:t>Oral tablet, 5mg/1000mg</w:t>
            </w:r>
          </w:p>
          <w:p w:rsidR="00486F93" w:rsidRPr="008E51E4" w:rsidRDefault="00486F93" w:rsidP="00304C4B">
            <w:pPr>
              <w:keepNext/>
              <w:rPr>
                <w:sz w:val="20"/>
              </w:rPr>
            </w:pPr>
            <w:r w:rsidRPr="008E51E4">
              <w:rPr>
                <w:smallCaps/>
                <w:sz w:val="20"/>
              </w:rPr>
              <w:t>Empagliflozin/metformin</w:t>
            </w:r>
          </w:p>
          <w:p w:rsidR="00486F93" w:rsidRPr="008E51E4" w:rsidRDefault="00486F93" w:rsidP="00304C4B">
            <w:pPr>
              <w:keepNext/>
              <w:rPr>
                <w:sz w:val="20"/>
              </w:rPr>
            </w:pPr>
            <w:r w:rsidRPr="008E51E4">
              <w:rPr>
                <w:sz w:val="20"/>
              </w:rPr>
              <w:t>Oral tablet, 12.5mg/500mg</w:t>
            </w:r>
          </w:p>
          <w:p w:rsidR="00486F93" w:rsidRPr="008E51E4" w:rsidRDefault="00486F93" w:rsidP="00304C4B">
            <w:pPr>
              <w:keepNext/>
              <w:rPr>
                <w:sz w:val="20"/>
              </w:rPr>
            </w:pPr>
            <w:r w:rsidRPr="008E51E4">
              <w:rPr>
                <w:smallCaps/>
                <w:sz w:val="20"/>
              </w:rPr>
              <w:t>Empagliflozin/metformin</w:t>
            </w:r>
          </w:p>
          <w:p w:rsidR="00486F93" w:rsidRPr="008E51E4" w:rsidRDefault="00486F93" w:rsidP="00304C4B">
            <w:pPr>
              <w:keepNext/>
              <w:rPr>
                <w:sz w:val="20"/>
              </w:rPr>
            </w:pPr>
            <w:r w:rsidRPr="008E51E4">
              <w:rPr>
                <w:sz w:val="20"/>
              </w:rPr>
              <w:t>Oral tablet, 12.5mg/850mg</w:t>
            </w:r>
          </w:p>
          <w:p w:rsidR="00486F93" w:rsidRPr="008E51E4" w:rsidRDefault="00486F93" w:rsidP="00304C4B">
            <w:pPr>
              <w:keepNext/>
              <w:rPr>
                <w:sz w:val="20"/>
              </w:rPr>
            </w:pPr>
            <w:r w:rsidRPr="008E51E4">
              <w:rPr>
                <w:smallCaps/>
                <w:sz w:val="20"/>
              </w:rPr>
              <w:t>Empagliflozin/metformin</w:t>
            </w:r>
          </w:p>
          <w:p w:rsidR="00486F93" w:rsidRPr="008E51E4" w:rsidRDefault="00486F93" w:rsidP="00304C4B">
            <w:pPr>
              <w:keepNext/>
              <w:rPr>
                <w:sz w:val="20"/>
              </w:rPr>
            </w:pPr>
            <w:r w:rsidRPr="008E51E4">
              <w:rPr>
                <w:sz w:val="20"/>
              </w:rPr>
              <w:t>Oral tablet, 12.5mg/1000mg</w:t>
            </w:r>
          </w:p>
          <w:p w:rsidR="00486F93" w:rsidRPr="008E51E4" w:rsidRDefault="00486F93" w:rsidP="00304C4B">
            <w:pPr>
              <w:keepNext/>
              <w:jc w:val="left"/>
              <w:rPr>
                <w:sz w:val="20"/>
              </w:rPr>
            </w:pPr>
          </w:p>
        </w:tc>
        <w:tc>
          <w:tcPr>
            <w:tcW w:w="314" w:type="pct"/>
          </w:tcPr>
          <w:p w:rsidR="00486F93" w:rsidRDefault="00486F93" w:rsidP="00304C4B">
            <w:pPr>
              <w:keepNext/>
              <w:jc w:val="center"/>
              <w:rPr>
                <w:sz w:val="20"/>
              </w:rPr>
            </w:pPr>
          </w:p>
          <w:p w:rsidR="00486F93" w:rsidRDefault="00486F93" w:rsidP="00304C4B">
            <w:pPr>
              <w:keepNext/>
              <w:jc w:val="center"/>
              <w:rPr>
                <w:sz w:val="20"/>
              </w:rPr>
            </w:pPr>
            <w:r>
              <w:rPr>
                <w:sz w:val="20"/>
              </w:rPr>
              <w:t>60</w:t>
            </w:r>
          </w:p>
          <w:p w:rsidR="00486F93" w:rsidRDefault="00486F93" w:rsidP="00304C4B">
            <w:pPr>
              <w:keepNext/>
              <w:jc w:val="center"/>
              <w:rPr>
                <w:sz w:val="20"/>
              </w:rPr>
            </w:pPr>
          </w:p>
          <w:p w:rsidR="00486F93" w:rsidRDefault="00486F93" w:rsidP="00304C4B">
            <w:pPr>
              <w:keepNext/>
              <w:jc w:val="center"/>
              <w:rPr>
                <w:sz w:val="20"/>
              </w:rPr>
            </w:pPr>
            <w:r>
              <w:rPr>
                <w:sz w:val="20"/>
              </w:rPr>
              <w:t>60</w:t>
            </w:r>
          </w:p>
          <w:p w:rsidR="00486F93" w:rsidRDefault="00486F93" w:rsidP="00304C4B">
            <w:pPr>
              <w:keepNext/>
              <w:jc w:val="center"/>
              <w:rPr>
                <w:sz w:val="20"/>
              </w:rPr>
            </w:pPr>
          </w:p>
          <w:p w:rsidR="00486F93" w:rsidRDefault="00486F93" w:rsidP="00304C4B">
            <w:pPr>
              <w:keepNext/>
              <w:jc w:val="center"/>
              <w:rPr>
                <w:sz w:val="20"/>
              </w:rPr>
            </w:pPr>
            <w:r>
              <w:rPr>
                <w:sz w:val="20"/>
              </w:rPr>
              <w:t>60</w:t>
            </w:r>
          </w:p>
          <w:p w:rsidR="00486F93" w:rsidRDefault="00486F93" w:rsidP="00304C4B">
            <w:pPr>
              <w:keepNext/>
              <w:jc w:val="center"/>
              <w:rPr>
                <w:sz w:val="20"/>
              </w:rPr>
            </w:pPr>
          </w:p>
          <w:p w:rsidR="00486F93" w:rsidRDefault="00486F93" w:rsidP="00304C4B">
            <w:pPr>
              <w:keepNext/>
              <w:jc w:val="center"/>
              <w:rPr>
                <w:sz w:val="20"/>
              </w:rPr>
            </w:pPr>
            <w:r>
              <w:rPr>
                <w:sz w:val="20"/>
              </w:rPr>
              <w:t>60</w:t>
            </w:r>
          </w:p>
          <w:p w:rsidR="00486F93" w:rsidRDefault="00486F93" w:rsidP="00304C4B">
            <w:pPr>
              <w:keepNext/>
              <w:jc w:val="center"/>
              <w:rPr>
                <w:sz w:val="20"/>
              </w:rPr>
            </w:pPr>
          </w:p>
          <w:p w:rsidR="00486F93" w:rsidRDefault="00486F93" w:rsidP="00304C4B">
            <w:pPr>
              <w:keepNext/>
              <w:jc w:val="center"/>
              <w:rPr>
                <w:sz w:val="20"/>
              </w:rPr>
            </w:pPr>
            <w:r>
              <w:rPr>
                <w:sz w:val="20"/>
              </w:rPr>
              <w:t>60</w:t>
            </w:r>
          </w:p>
          <w:p w:rsidR="00486F93" w:rsidRDefault="00486F93" w:rsidP="00304C4B">
            <w:pPr>
              <w:keepNext/>
              <w:jc w:val="center"/>
              <w:rPr>
                <w:sz w:val="20"/>
              </w:rPr>
            </w:pPr>
          </w:p>
          <w:p w:rsidR="00486F93" w:rsidRDefault="00486F93" w:rsidP="00304C4B">
            <w:pPr>
              <w:keepNext/>
              <w:jc w:val="center"/>
              <w:rPr>
                <w:sz w:val="20"/>
              </w:rPr>
            </w:pPr>
            <w:r>
              <w:rPr>
                <w:sz w:val="20"/>
              </w:rPr>
              <w:t>60</w:t>
            </w:r>
          </w:p>
        </w:tc>
        <w:tc>
          <w:tcPr>
            <w:tcW w:w="399" w:type="pct"/>
          </w:tcPr>
          <w:p w:rsidR="00486F93" w:rsidRDefault="00486F93" w:rsidP="00304C4B">
            <w:pPr>
              <w:keepNext/>
              <w:jc w:val="center"/>
              <w:rPr>
                <w:sz w:val="20"/>
              </w:rPr>
            </w:pPr>
          </w:p>
          <w:p w:rsidR="00486F93" w:rsidRDefault="00486F93" w:rsidP="00304C4B">
            <w:pPr>
              <w:keepNext/>
              <w:jc w:val="center"/>
              <w:rPr>
                <w:sz w:val="20"/>
              </w:rPr>
            </w:pPr>
            <w:r>
              <w:rPr>
                <w:sz w:val="20"/>
              </w:rPr>
              <w:t>5</w:t>
            </w:r>
          </w:p>
          <w:p w:rsidR="00486F93" w:rsidRDefault="00486F93" w:rsidP="00304C4B">
            <w:pPr>
              <w:keepNext/>
              <w:jc w:val="center"/>
              <w:rPr>
                <w:sz w:val="20"/>
              </w:rPr>
            </w:pPr>
          </w:p>
          <w:p w:rsidR="00486F93" w:rsidRDefault="00486F93" w:rsidP="00304C4B">
            <w:pPr>
              <w:keepNext/>
              <w:jc w:val="center"/>
              <w:rPr>
                <w:sz w:val="20"/>
              </w:rPr>
            </w:pPr>
            <w:r>
              <w:rPr>
                <w:sz w:val="20"/>
              </w:rPr>
              <w:t>5</w:t>
            </w:r>
          </w:p>
          <w:p w:rsidR="00486F93" w:rsidRDefault="00486F93" w:rsidP="00304C4B">
            <w:pPr>
              <w:keepNext/>
              <w:jc w:val="center"/>
              <w:rPr>
                <w:sz w:val="20"/>
              </w:rPr>
            </w:pPr>
          </w:p>
          <w:p w:rsidR="00486F93" w:rsidRDefault="00486F93" w:rsidP="00304C4B">
            <w:pPr>
              <w:keepNext/>
              <w:jc w:val="center"/>
              <w:rPr>
                <w:sz w:val="20"/>
              </w:rPr>
            </w:pPr>
            <w:r>
              <w:rPr>
                <w:sz w:val="20"/>
              </w:rPr>
              <w:t>5</w:t>
            </w:r>
          </w:p>
          <w:p w:rsidR="00486F93" w:rsidRDefault="00486F93" w:rsidP="00304C4B">
            <w:pPr>
              <w:keepNext/>
              <w:jc w:val="center"/>
              <w:rPr>
                <w:sz w:val="20"/>
              </w:rPr>
            </w:pPr>
          </w:p>
          <w:p w:rsidR="00486F93" w:rsidRDefault="00486F93" w:rsidP="00304C4B">
            <w:pPr>
              <w:keepNext/>
              <w:jc w:val="center"/>
              <w:rPr>
                <w:sz w:val="20"/>
              </w:rPr>
            </w:pPr>
            <w:r>
              <w:rPr>
                <w:sz w:val="20"/>
              </w:rPr>
              <w:t>5</w:t>
            </w:r>
          </w:p>
          <w:p w:rsidR="00486F93" w:rsidRDefault="00486F93" w:rsidP="00304C4B">
            <w:pPr>
              <w:keepNext/>
              <w:jc w:val="center"/>
              <w:rPr>
                <w:sz w:val="20"/>
              </w:rPr>
            </w:pPr>
          </w:p>
          <w:p w:rsidR="00486F93" w:rsidRDefault="00486F93" w:rsidP="00304C4B">
            <w:pPr>
              <w:keepNext/>
              <w:jc w:val="center"/>
              <w:rPr>
                <w:sz w:val="20"/>
              </w:rPr>
            </w:pPr>
            <w:r>
              <w:rPr>
                <w:sz w:val="20"/>
              </w:rPr>
              <w:t>5</w:t>
            </w:r>
          </w:p>
          <w:p w:rsidR="00486F93" w:rsidRDefault="00486F93" w:rsidP="00304C4B">
            <w:pPr>
              <w:keepNext/>
              <w:jc w:val="center"/>
              <w:rPr>
                <w:sz w:val="20"/>
              </w:rPr>
            </w:pPr>
          </w:p>
          <w:p w:rsidR="00486F93" w:rsidRDefault="00486F93" w:rsidP="00304C4B">
            <w:pPr>
              <w:keepNext/>
              <w:jc w:val="center"/>
              <w:rPr>
                <w:sz w:val="20"/>
              </w:rPr>
            </w:pPr>
            <w:r>
              <w:rPr>
                <w:sz w:val="20"/>
              </w:rPr>
              <w:t>5</w:t>
            </w:r>
          </w:p>
        </w:tc>
        <w:tc>
          <w:tcPr>
            <w:tcW w:w="805" w:type="pct"/>
          </w:tcPr>
          <w:p w:rsidR="00486F93" w:rsidRDefault="00486F93" w:rsidP="00304C4B">
            <w:pPr>
              <w:keepNext/>
              <w:jc w:val="center"/>
              <w:rPr>
                <w:sz w:val="20"/>
              </w:rPr>
            </w:pPr>
          </w:p>
          <w:p w:rsidR="00486F93" w:rsidRDefault="00486F93" w:rsidP="00E3452A">
            <w:pPr>
              <w:keepNext/>
              <w:jc w:val="center"/>
              <w:rPr>
                <w:sz w:val="20"/>
              </w:rPr>
            </w:pPr>
          </w:p>
        </w:tc>
        <w:tc>
          <w:tcPr>
            <w:tcW w:w="939" w:type="pct"/>
          </w:tcPr>
          <w:p w:rsidR="00486F93" w:rsidRDefault="00486F93" w:rsidP="00304C4B">
            <w:pPr>
              <w:keepNext/>
              <w:jc w:val="center"/>
              <w:rPr>
                <w:i/>
                <w:sz w:val="20"/>
              </w:rPr>
            </w:pPr>
          </w:p>
          <w:p w:rsidR="00486F93" w:rsidRDefault="00552316" w:rsidP="00304C4B">
            <w:pPr>
              <w:keepNext/>
              <w:jc w:val="center"/>
              <w:rPr>
                <w:sz w:val="20"/>
              </w:rPr>
            </w:pPr>
            <w:r>
              <w:rPr>
                <w:sz w:val="20"/>
              </w:rPr>
              <w:t>Jardianceme</w:t>
            </w:r>
            <w:r w:rsidR="00486F93" w:rsidRPr="006D7CBD">
              <w:rPr>
                <w:sz w:val="20"/>
              </w:rPr>
              <w:t>t®/</w:t>
            </w:r>
          </w:p>
          <w:p w:rsidR="00486F93" w:rsidRDefault="00486F93" w:rsidP="00304C4B">
            <w:pPr>
              <w:keepNext/>
              <w:jc w:val="center"/>
              <w:rPr>
                <w:sz w:val="20"/>
              </w:rPr>
            </w:pPr>
            <w:r w:rsidRPr="006D7CBD">
              <w:rPr>
                <w:sz w:val="20"/>
              </w:rPr>
              <w:t xml:space="preserve">Jardiamet® </w:t>
            </w:r>
          </w:p>
        </w:tc>
        <w:tc>
          <w:tcPr>
            <w:tcW w:w="787" w:type="pct"/>
          </w:tcPr>
          <w:p w:rsidR="00486F93" w:rsidRDefault="00486F93" w:rsidP="00304C4B">
            <w:pPr>
              <w:keepNext/>
              <w:jc w:val="center"/>
              <w:rPr>
                <w:sz w:val="20"/>
              </w:rPr>
            </w:pPr>
            <w:r>
              <w:rPr>
                <w:sz w:val="20"/>
              </w:rPr>
              <w:t>Boehringer Ingelheim</w:t>
            </w:r>
          </w:p>
        </w:tc>
      </w:tr>
      <w:tr w:rsidR="00486F93" w:rsidRPr="00413860" w:rsidTr="00304C4B">
        <w:trPr>
          <w:cantSplit/>
          <w:trHeight w:val="354"/>
        </w:trPr>
        <w:tc>
          <w:tcPr>
            <w:tcW w:w="5000" w:type="pct"/>
            <w:gridSpan w:val="6"/>
            <w:vAlign w:val="center"/>
          </w:tcPr>
          <w:p w:rsidR="00486F93" w:rsidRPr="008E51E4" w:rsidRDefault="00486F93" w:rsidP="00304C4B">
            <w:pPr>
              <w:jc w:val="left"/>
              <w:rPr>
                <w:sz w:val="20"/>
              </w:rPr>
            </w:pPr>
            <w:r w:rsidRPr="008E51E4">
              <w:rPr>
                <w:b/>
                <w:sz w:val="20"/>
                <w:u w:val="single"/>
              </w:rPr>
              <w:t>Authority required (Streamlined):</w:t>
            </w:r>
            <w:r w:rsidRPr="008E51E4">
              <w:rPr>
                <w:sz w:val="20"/>
              </w:rPr>
              <w:t xml:space="preserve"> </w:t>
            </w:r>
          </w:p>
          <w:p w:rsidR="00486F93" w:rsidRPr="008E51E4" w:rsidRDefault="00486F93" w:rsidP="00304C4B">
            <w:pPr>
              <w:pStyle w:val="BodyText"/>
              <w:rPr>
                <w:rStyle w:val="CommentReference"/>
                <w:rFonts w:cs="Times New Roman"/>
              </w:rPr>
            </w:pPr>
            <w:r w:rsidRPr="008E51E4">
              <w:t>Dual therapy for Type 2 diabetes.</w:t>
            </w:r>
            <w:r w:rsidRPr="008E51E4">
              <w:rPr>
                <w:rStyle w:val="CommentReference"/>
                <w:rFonts w:cs="Times New Roman"/>
              </w:rPr>
              <w:t xml:space="preserve"> </w:t>
            </w:r>
          </w:p>
          <w:p w:rsidR="00486F93" w:rsidRPr="008E51E4" w:rsidRDefault="00486F93" w:rsidP="00304C4B">
            <w:pPr>
              <w:pStyle w:val="BodyText"/>
            </w:pPr>
          </w:p>
        </w:tc>
      </w:tr>
    </w:tbl>
    <w:p w:rsidR="00486F93" w:rsidRDefault="00486F93" w:rsidP="00486F93">
      <w:pPr>
        <w:widowControl/>
        <w:ind w:left="720"/>
        <w:jc w:val="left"/>
        <w:rPr>
          <w:b/>
          <w:snapToGrid/>
          <w:szCs w:val="22"/>
          <w:lang w:eastAsia="en-AU"/>
        </w:rPr>
      </w:pPr>
    </w:p>
    <w:p w:rsidR="00486F93" w:rsidRPr="00F25774" w:rsidRDefault="00486F93" w:rsidP="00486F93">
      <w:pPr>
        <w:widowControl/>
        <w:numPr>
          <w:ilvl w:val="0"/>
          <w:numId w:val="14"/>
        </w:numPr>
        <w:jc w:val="left"/>
        <w:rPr>
          <w:b/>
          <w:snapToGrid/>
          <w:szCs w:val="22"/>
          <w:lang w:eastAsia="en-AU"/>
        </w:rPr>
      </w:pPr>
      <w:r>
        <w:rPr>
          <w:b/>
          <w:snapToGrid/>
          <w:szCs w:val="22"/>
          <w:lang w:eastAsia="en-AU"/>
        </w:rPr>
        <w:t>Empagliflozin/</w:t>
      </w:r>
      <w:r w:rsidRPr="00F25774">
        <w:rPr>
          <w:b/>
          <w:snapToGrid/>
          <w:szCs w:val="22"/>
          <w:lang w:eastAsia="en-AU"/>
        </w:rPr>
        <w:t xml:space="preserve">metformin </w:t>
      </w:r>
    </w:p>
    <w:p w:rsidR="00486F93" w:rsidRPr="00F25774" w:rsidRDefault="00486F93" w:rsidP="00486F93">
      <w:pPr>
        <w:widowControl/>
        <w:rPr>
          <w:snapToGrid/>
          <w:szCs w:val="22"/>
          <w:lang w:eastAsia="en-AU"/>
        </w:rPr>
      </w:pPr>
    </w:p>
    <w:tbl>
      <w:tblPr>
        <w:tblW w:w="4600" w:type="pct"/>
        <w:tblInd w:w="108" w:type="dxa"/>
        <w:tblLayout w:type="fixed"/>
        <w:tblLook w:val="0000" w:firstRow="0" w:lastRow="0" w:firstColumn="0" w:lastColumn="0" w:noHBand="0" w:noVBand="0"/>
        <w:tblCaption w:val="Recommended PBS restriction - initial therapy"/>
      </w:tblPr>
      <w:tblGrid>
        <w:gridCol w:w="2624"/>
        <w:gridCol w:w="5880"/>
      </w:tblGrid>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 xml:space="preserve">Category / </w:t>
            </w:r>
          </w:p>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GENERAL – General Schedule (Code GE)</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lastRenderedPageBreak/>
              <w:t>Prescriber type:</w:t>
            </w:r>
          </w:p>
          <w:p w:rsidR="00486F93" w:rsidRPr="00F25774" w:rsidRDefault="00486F93" w:rsidP="00304C4B">
            <w:pPr>
              <w:widowControl/>
              <w:rPr>
                <w:rFonts w:ascii="Arial Narrow" w:hAnsi="Arial Narrow"/>
                <w:b/>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Dental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Medical Practitioners  </w:t>
            </w: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Nurse practitioners  </w:t>
            </w: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Optometrists</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Midwives</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86F93" w:rsidRPr="00F25774" w:rsidRDefault="00486F93" w:rsidP="00304C4B">
            <w:pPr>
              <w:widowControl/>
              <w:rPr>
                <w:rFonts w:ascii="Arial Narrow" w:hAnsi="Arial Narrow"/>
                <w:b/>
                <w:snapToGrid/>
                <w:sz w:val="20"/>
                <w:highlight w:val="green"/>
                <w:lang w:eastAsia="en-AU"/>
              </w:rPr>
            </w:pPr>
            <w:r w:rsidRPr="00F25774">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highlight w:val="green"/>
                <w:lang w:eastAsia="en-AU"/>
              </w:rPr>
            </w:pPr>
            <w:r w:rsidRPr="00F25774">
              <w:rPr>
                <w:rFonts w:ascii="Arial Narrow" w:hAnsi="Arial Narrow"/>
                <w:snapToGrid/>
                <w:sz w:val="20"/>
                <w:lang w:eastAsia="en-AU"/>
              </w:rPr>
              <w:t>Diabetes mellitus type 2</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Diabetes mellitus type 2</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Restriction Level / Method:</w:t>
            </w:r>
          </w:p>
          <w:p w:rsidR="00486F93" w:rsidRPr="00F25774" w:rsidRDefault="00486F93" w:rsidP="00304C4B">
            <w:pPr>
              <w:widowControl/>
              <w:jc w:val="left"/>
              <w:rPr>
                <w:rFonts w:ascii="Arial Narrow" w:hAnsi="Arial Narrow"/>
                <w:i/>
                <w:snapToGrid/>
                <w:sz w:val="20"/>
                <w:highlight w:val="yellow"/>
                <w:lang w:eastAsia="en-AU"/>
              </w:rPr>
            </w:pPr>
          </w:p>
          <w:p w:rsidR="00486F93" w:rsidRPr="00F25774" w:rsidRDefault="00486F93" w:rsidP="00304C4B">
            <w:pPr>
              <w:widowControl/>
              <w:jc w:val="left"/>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Restricted benefit</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In Writing</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Telephone</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Emergency</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Electronic</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Streamlined</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i/>
                <w:snapToGrid/>
                <w:sz w:val="20"/>
                <w:lang w:eastAsia="en-AU"/>
              </w:rPr>
            </w:pPr>
            <w:r w:rsidRPr="00F25774">
              <w:rPr>
                <w:rFonts w:ascii="Arial Narrow" w:hAnsi="Arial Narrow"/>
                <w:b/>
                <w:snapToGrid/>
                <w:sz w:val="20"/>
                <w:lang w:eastAsia="en-AU"/>
              </w:rPr>
              <w:t>Treatment criteria:</w:t>
            </w:r>
          </w:p>
          <w:p w:rsidR="00486F93" w:rsidRPr="00F25774" w:rsidRDefault="00486F93" w:rsidP="00304C4B">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Clinical criteria:</w:t>
            </w:r>
          </w:p>
          <w:p w:rsidR="00486F93" w:rsidRPr="00F25774" w:rsidRDefault="00486F93" w:rsidP="00304C4B">
            <w:pPr>
              <w:widowControl/>
              <w:rPr>
                <w:rFonts w:ascii="Arial Narrow" w:hAnsi="Arial Narrow"/>
                <w:i/>
                <w:snapToGrid/>
                <w:sz w:val="20"/>
                <w:lang w:eastAsia="en-AU"/>
              </w:rPr>
            </w:pP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Patient must have, or have had, a HbA1c measurement greater than 7% despite treatment with metformin; OR</w:t>
            </w:r>
          </w:p>
          <w:p w:rsidR="00486F93" w:rsidRPr="00F25774"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Patient must have, or have had, where HbA1c measurement is clinically inappropriate, blood glucose levels greater than 10 mmol per L in more than 20% of tests over a 2 week period despite treatment with metformin.</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Population criteria:</w:t>
            </w:r>
          </w:p>
          <w:p w:rsidR="00486F93" w:rsidRPr="00F25774" w:rsidRDefault="00486F93" w:rsidP="00304C4B">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Foreword</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Definitions</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Prescriber Instructions</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The HbA1c must be no more than 4 months old at the time treatment with a gliptin, a glitazone, a glucagon-like peptide-1 or an SGLT2 inhibitor was initiated.</w:t>
            </w: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Blood glucose monitoring may be used as an alternative assessment to HbA1c levels in the following circumstances:</w:t>
            </w: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(a) A clinical condition with reduced red blood cell survival, including haemolytic anaemias and haemoglobinopathies; and/or</w:t>
            </w: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(b) Had red cell transfusion within the previous 3 months</w:t>
            </w: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A patient whose diabetes was previously demonstrated unable to be controlled with metformin does not need to requalify on this criterion before being eligible for PBS-subsidised treatment with this fixed dose combination.</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Administrative Advice</w:t>
            </w:r>
          </w:p>
          <w:p w:rsidR="00486F93" w:rsidRPr="00F25774" w:rsidRDefault="00486F93" w:rsidP="00304C4B">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486F93" w:rsidRDefault="00486F93" w:rsidP="00E3452A">
            <w:pPr>
              <w:widowControl/>
              <w:jc w:val="left"/>
              <w:rPr>
                <w:rFonts w:ascii="Arial Narrow" w:hAnsi="Arial Narrow"/>
                <w:snapToGrid/>
                <w:sz w:val="20"/>
                <w:lang w:eastAsia="en-AU"/>
              </w:rPr>
            </w:pPr>
            <w:r w:rsidRPr="00486F93">
              <w:rPr>
                <w:rFonts w:ascii="Arial Narrow" w:hAnsi="Arial Narrow"/>
                <w:snapToGrid/>
                <w:sz w:val="20"/>
                <w:lang w:eastAsia="en-AU"/>
              </w:rPr>
              <w:t>The fixed dose combination is not PBS-subsidised for use, as initial therapy or in combination with a thiazolidinedione (glitazone), a dipeptidyl peptidase 4 inhibitor (gliptin) or a glucagon-like peptide-1.</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Cautions</w:t>
            </w:r>
          </w:p>
          <w:p w:rsidR="00486F93" w:rsidRPr="00F25774" w:rsidRDefault="00486F93" w:rsidP="00304C4B">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bl>
    <w:p w:rsidR="00486F93" w:rsidRPr="00F25774" w:rsidRDefault="00486F93" w:rsidP="00486F93">
      <w:pPr>
        <w:widowControl/>
        <w:rPr>
          <w:snapToGrid/>
          <w:szCs w:val="22"/>
          <w:lang w:eastAsia="en-AU"/>
        </w:rPr>
      </w:pPr>
    </w:p>
    <w:tbl>
      <w:tblPr>
        <w:tblW w:w="4600" w:type="pct"/>
        <w:tblInd w:w="108" w:type="dxa"/>
        <w:tblLayout w:type="fixed"/>
        <w:tblLook w:val="0000" w:firstRow="0" w:lastRow="0" w:firstColumn="0" w:lastColumn="0" w:noHBand="0" w:noVBand="0"/>
        <w:tblCaption w:val="Recommended PBS listing - continuing therapy"/>
      </w:tblPr>
      <w:tblGrid>
        <w:gridCol w:w="2624"/>
        <w:gridCol w:w="5880"/>
      </w:tblGrid>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lastRenderedPageBreak/>
              <w:t xml:space="preserve">Category / </w:t>
            </w:r>
          </w:p>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GENERAL – General Schedule (Code GE)</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Prescriber type:</w:t>
            </w:r>
          </w:p>
          <w:p w:rsidR="00486F93" w:rsidRPr="00F25774" w:rsidRDefault="00486F93" w:rsidP="00304C4B">
            <w:pPr>
              <w:widowControl/>
              <w:rPr>
                <w:rFonts w:ascii="Arial Narrow" w:hAnsi="Arial Narrow"/>
                <w:b/>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Dental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Medical Practitioners  </w:t>
            </w:r>
            <w:r w:rsidRPr="00F25774">
              <w:rPr>
                <w:rFonts w:ascii="Arial Narrow" w:hAnsi="Arial Narrow"/>
                <w:snapToGrid/>
                <w:sz w:val="20"/>
                <w:lang w:eastAsia="en-AU"/>
              </w:rPr>
              <w:fldChar w:fldCharType="begin">
                <w:ffData>
                  <w:name w:val="Check3"/>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Nurse practitioners  </w:t>
            </w: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Optometrists</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Midwives</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Diabetes mellitus type 2</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Diabetes mellitus type 2</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Continuing</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Restriction Level / Method:</w:t>
            </w:r>
          </w:p>
          <w:p w:rsidR="00486F93" w:rsidRPr="00F25774" w:rsidRDefault="00486F93" w:rsidP="00304C4B">
            <w:pPr>
              <w:widowControl/>
              <w:jc w:val="left"/>
              <w:rPr>
                <w:rFonts w:ascii="Arial Narrow" w:hAnsi="Arial Narrow"/>
                <w:i/>
                <w:snapToGrid/>
                <w:sz w:val="20"/>
                <w:highlight w:val="yellow"/>
                <w:lang w:eastAsia="en-AU"/>
              </w:rPr>
            </w:pPr>
          </w:p>
          <w:p w:rsidR="00486F93" w:rsidRPr="00F25774" w:rsidRDefault="00486F93" w:rsidP="00304C4B">
            <w:pPr>
              <w:widowControl/>
              <w:jc w:val="left"/>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Restricted benefit</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In Writing</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Telephone</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Emergency</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Electronic</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Streamlined</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b/>
                <w:snapToGrid/>
                <w:sz w:val="20"/>
                <w:lang w:eastAsia="en-AU"/>
              </w:rPr>
            </w:pPr>
            <w:r w:rsidRPr="00F25774">
              <w:rPr>
                <w:rFonts w:ascii="Arial Narrow" w:hAnsi="Arial Narrow"/>
                <w:b/>
                <w:snapToGrid/>
                <w:sz w:val="20"/>
                <w:lang w:eastAsia="en-AU"/>
              </w:rPr>
              <w:t>Treatment criteria:</w:t>
            </w:r>
          </w:p>
          <w:p w:rsidR="00486F93" w:rsidRPr="00F25774" w:rsidRDefault="00486F93" w:rsidP="00304C4B">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Clinical criteria:</w:t>
            </w:r>
          </w:p>
          <w:p w:rsidR="00486F93" w:rsidRPr="00F25774" w:rsidRDefault="00486F93" w:rsidP="00304C4B">
            <w:pPr>
              <w:widowControl/>
              <w:rPr>
                <w:rFonts w:ascii="Arial Narrow" w:hAnsi="Arial Narrow"/>
                <w:i/>
                <w:snapToGrid/>
                <w:sz w:val="20"/>
                <w:lang w:eastAsia="en-AU"/>
              </w:rPr>
            </w:pP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Patient must have previously received and been stabilised on a PBS-subsidised</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regimen of oral diabetic medicines which includes metformin and empagliflozin.</w:t>
            </w:r>
          </w:p>
          <w:p w:rsidR="00486F93" w:rsidRPr="00F25774" w:rsidRDefault="00486F93" w:rsidP="00304C4B">
            <w:pPr>
              <w:widowControl/>
              <w:rPr>
                <w:rFonts w:ascii="Arial Narrow" w:hAnsi="Arial Narrow"/>
                <w:snapToGrid/>
                <w:sz w:val="20"/>
                <w:lang w:eastAsia="en-AU"/>
              </w:rPr>
            </w:pP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Population criteria:</w:t>
            </w:r>
          </w:p>
          <w:p w:rsidR="00486F93" w:rsidRPr="00F25774" w:rsidRDefault="00486F93" w:rsidP="00304C4B">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Foreword</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Definitions</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Prescriber Instructions</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Administrative Advice</w:t>
            </w:r>
          </w:p>
          <w:p w:rsidR="00486F93" w:rsidRPr="00F25774" w:rsidRDefault="00486F93" w:rsidP="00304C4B">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b/>
                <w:snapToGrid/>
                <w:sz w:val="20"/>
                <w:lang w:eastAsia="en-AU"/>
              </w:rPr>
            </w:pPr>
            <w:r w:rsidRPr="00F25774">
              <w:rPr>
                <w:rFonts w:ascii="Arial Narrow" w:hAnsi="Arial Narrow"/>
                <w:b/>
                <w:snapToGrid/>
                <w:sz w:val="20"/>
                <w:lang w:eastAsia="en-AU"/>
              </w:rPr>
              <w:t>Note:</w:t>
            </w:r>
          </w:p>
          <w:p w:rsidR="00486F93" w:rsidRPr="00F25774" w:rsidRDefault="00486F93" w:rsidP="00304C4B">
            <w:pPr>
              <w:widowControl/>
              <w:jc w:val="left"/>
              <w:rPr>
                <w:rFonts w:ascii="Arial Narrow" w:hAnsi="Arial Narrow"/>
                <w:b/>
                <w:snapToGrid/>
                <w:sz w:val="20"/>
                <w:lang w:eastAsia="en-AU"/>
              </w:rPr>
            </w:pPr>
            <w:r w:rsidRPr="00F25774">
              <w:rPr>
                <w:rFonts w:ascii="Arial Narrow" w:hAnsi="Arial Narrow"/>
                <w:b/>
                <w:snapToGrid/>
                <w:sz w:val="20"/>
                <w:lang w:eastAsia="en-AU"/>
              </w:rPr>
              <w:t>Continuing Therapy Only:</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For prescribing by nurse practitioners as continuing therapy only, where the treatment of, and prescribing of medicine for, a patient has been initiated by a medical practitioner.</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Further information can be found in the Explanatory Notes for Nurse Practitioners.</w:t>
            </w:r>
          </w:p>
          <w:p w:rsidR="00486F93" w:rsidRPr="00F25774" w:rsidRDefault="00486F93" w:rsidP="00304C4B">
            <w:pPr>
              <w:widowControl/>
              <w:jc w:val="left"/>
              <w:rPr>
                <w:rFonts w:ascii="Arial Narrow" w:hAnsi="Arial Narrow"/>
                <w:snapToGrid/>
                <w:sz w:val="20"/>
                <w:lang w:eastAsia="en-AU"/>
              </w:rPr>
            </w:pPr>
          </w:p>
          <w:p w:rsidR="00486F93" w:rsidRPr="00F25774" w:rsidRDefault="00486F93" w:rsidP="00E3452A">
            <w:pPr>
              <w:widowControl/>
              <w:jc w:val="left"/>
              <w:rPr>
                <w:rFonts w:ascii="Arial Narrow" w:hAnsi="Arial Narrow"/>
                <w:snapToGrid/>
                <w:sz w:val="20"/>
                <w:lang w:eastAsia="en-AU"/>
              </w:rPr>
            </w:pPr>
            <w:r w:rsidRPr="00F25774">
              <w:rPr>
                <w:rFonts w:ascii="Arial Narrow" w:hAnsi="Arial Narrow"/>
                <w:snapToGrid/>
                <w:sz w:val="20"/>
                <w:lang w:eastAsia="en-AU"/>
              </w:rPr>
              <w:t>The fixed dose combination is not PBS-subsidised for use, as initial therapy or in combination with a thiazolidinedione (glitazone), a dipeptidyl peptidase 4 inhibitor (gliptin) or a glucagon-like peptide-1.</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Cautions</w:t>
            </w:r>
          </w:p>
          <w:p w:rsidR="00486F93" w:rsidRPr="00F25774" w:rsidRDefault="00486F93" w:rsidP="00304C4B">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bl>
    <w:p w:rsidR="00486F93" w:rsidRPr="00F25774" w:rsidRDefault="00486F93" w:rsidP="00486F93">
      <w:pPr>
        <w:widowControl/>
        <w:rPr>
          <w:snapToGrid/>
          <w:szCs w:val="22"/>
          <w:lang w:eastAsia="en-AU"/>
        </w:rPr>
      </w:pPr>
    </w:p>
    <w:p w:rsidR="00486F93" w:rsidRPr="00F25774" w:rsidRDefault="00486F93" w:rsidP="00486F93">
      <w:pPr>
        <w:widowControl/>
        <w:numPr>
          <w:ilvl w:val="0"/>
          <w:numId w:val="14"/>
        </w:numPr>
        <w:jc w:val="left"/>
        <w:rPr>
          <w:b/>
          <w:snapToGrid/>
          <w:szCs w:val="22"/>
          <w:lang w:eastAsia="en-AU"/>
        </w:rPr>
      </w:pPr>
      <w:r w:rsidRPr="00F25774">
        <w:rPr>
          <w:b/>
          <w:snapToGrid/>
          <w:szCs w:val="22"/>
          <w:lang w:eastAsia="en-AU"/>
        </w:rPr>
        <w:t>Empag</w:t>
      </w:r>
      <w:r>
        <w:rPr>
          <w:b/>
          <w:snapToGrid/>
          <w:szCs w:val="22"/>
          <w:lang w:eastAsia="en-AU"/>
        </w:rPr>
        <w:t>liflozin/</w:t>
      </w:r>
      <w:r w:rsidRPr="00F25774">
        <w:rPr>
          <w:b/>
          <w:snapToGrid/>
          <w:szCs w:val="22"/>
          <w:lang w:eastAsia="en-AU"/>
        </w:rPr>
        <w:t>metformin (triple therapy)</w:t>
      </w:r>
    </w:p>
    <w:p w:rsidR="00486F93" w:rsidRPr="00F25774" w:rsidRDefault="00486F93" w:rsidP="00486F93">
      <w:pPr>
        <w:widowControl/>
        <w:rPr>
          <w:b/>
          <w:snapToGrid/>
          <w:szCs w:val="22"/>
          <w:lang w:eastAsia="en-AU"/>
        </w:rPr>
      </w:pPr>
    </w:p>
    <w:tbl>
      <w:tblPr>
        <w:tblW w:w="4600" w:type="pct"/>
        <w:tblInd w:w="108" w:type="dxa"/>
        <w:tblLayout w:type="fixed"/>
        <w:tblLook w:val="0000" w:firstRow="0" w:lastRow="0" w:firstColumn="0" w:lastColumn="0" w:noHBand="0" w:noVBand="0"/>
        <w:tblCaption w:val="Recommended PBS restriction - triple therapy"/>
      </w:tblPr>
      <w:tblGrid>
        <w:gridCol w:w="2624"/>
        <w:gridCol w:w="5880"/>
      </w:tblGrid>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 xml:space="preserve">Category / </w:t>
            </w:r>
          </w:p>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GENERAL – General Schedule (Code GE)</w:t>
            </w:r>
          </w:p>
          <w:p w:rsidR="00486F93" w:rsidRPr="00F25774" w:rsidRDefault="00486F93" w:rsidP="00304C4B">
            <w:pPr>
              <w:widowControl/>
              <w:jc w:val="left"/>
              <w:rPr>
                <w:rFonts w:ascii="Arial Narrow" w:hAnsi="Arial Narrow"/>
                <w:snapToGrid/>
                <w:sz w:val="20"/>
                <w:lang w:eastAsia="en-AU"/>
              </w:rPr>
            </w:pP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Prescriber type:</w:t>
            </w:r>
          </w:p>
          <w:p w:rsidR="00486F93" w:rsidRPr="00F25774" w:rsidRDefault="00486F93" w:rsidP="00304C4B">
            <w:pPr>
              <w:widowControl/>
              <w:rPr>
                <w:rFonts w:ascii="Arial Narrow" w:hAnsi="Arial Narrow"/>
                <w:b/>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Dental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Medical Practitioners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Nurse practitioners  </w:t>
            </w: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Optometrists</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Midwives</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lastRenderedPageBreak/>
              <w:t>Severity:</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Diabetes mellitus type 2</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Diabetes mellitus type 2</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Restriction Level / Method:</w:t>
            </w:r>
          </w:p>
          <w:p w:rsidR="00486F93" w:rsidRPr="00F25774" w:rsidRDefault="00486F93" w:rsidP="00304C4B">
            <w:pPr>
              <w:widowControl/>
              <w:jc w:val="left"/>
              <w:rPr>
                <w:rFonts w:ascii="Arial Narrow" w:hAnsi="Arial Narrow"/>
                <w:i/>
                <w:snapToGrid/>
                <w:sz w:val="20"/>
                <w:highlight w:val="yellow"/>
                <w:lang w:eastAsia="en-AU"/>
              </w:rPr>
            </w:pPr>
          </w:p>
          <w:p w:rsidR="00486F93" w:rsidRPr="00F25774" w:rsidRDefault="00486F93" w:rsidP="00304C4B">
            <w:pPr>
              <w:widowControl/>
              <w:jc w:val="left"/>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Restricted benefit</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In Writing</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Telephone</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Emergency</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Electronic</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Streamlined</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b/>
                <w:snapToGrid/>
                <w:sz w:val="20"/>
                <w:lang w:eastAsia="en-AU"/>
              </w:rPr>
            </w:pPr>
            <w:r w:rsidRPr="00F25774">
              <w:rPr>
                <w:rFonts w:ascii="Arial Narrow" w:hAnsi="Arial Narrow"/>
                <w:b/>
                <w:snapToGrid/>
                <w:sz w:val="20"/>
                <w:lang w:eastAsia="en-AU"/>
              </w:rPr>
              <w:t>Treatment criteria:</w:t>
            </w:r>
          </w:p>
          <w:p w:rsidR="00486F93" w:rsidRPr="00F25774" w:rsidRDefault="00486F93" w:rsidP="00304C4B">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Clinical criteria:</w:t>
            </w:r>
          </w:p>
          <w:p w:rsidR="00486F93" w:rsidRPr="00F25774" w:rsidRDefault="00486F93" w:rsidP="00304C4B">
            <w:pPr>
              <w:widowControl/>
              <w:rPr>
                <w:rFonts w:ascii="Arial Narrow" w:hAnsi="Arial Narrow"/>
                <w:i/>
                <w:snapToGrid/>
                <w:sz w:val="20"/>
                <w:lang w:eastAsia="en-AU"/>
              </w:rPr>
            </w:pP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 xml:space="preserve">The treatment must be in combination with a sulfonylurea, </w:t>
            </w:r>
          </w:p>
          <w:p w:rsidR="00486F93" w:rsidRPr="00486F93" w:rsidRDefault="00486F93" w:rsidP="00304C4B">
            <w:pPr>
              <w:widowControl/>
              <w:jc w:val="left"/>
              <w:rPr>
                <w:rFonts w:ascii="Arial Narrow" w:hAnsi="Arial Narrow"/>
                <w:snapToGrid/>
                <w:sz w:val="20"/>
                <w:lang w:eastAsia="en-AU"/>
              </w:rPr>
            </w:pP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AND</w:t>
            </w:r>
          </w:p>
          <w:p w:rsidR="00486F93" w:rsidRPr="00486F93" w:rsidRDefault="00486F93" w:rsidP="00304C4B">
            <w:pPr>
              <w:widowControl/>
              <w:jc w:val="left"/>
              <w:rPr>
                <w:rFonts w:ascii="Arial Narrow" w:hAnsi="Arial Narrow"/>
                <w:snapToGrid/>
                <w:sz w:val="20"/>
                <w:lang w:eastAsia="en-AU"/>
              </w:rPr>
            </w:pP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w:t>
            </w:r>
          </w:p>
          <w:p w:rsidR="00486F93" w:rsidRPr="00486F93" w:rsidRDefault="00486F93" w:rsidP="00304C4B">
            <w:pPr>
              <w:widowControl/>
              <w:jc w:val="left"/>
              <w:rPr>
                <w:rFonts w:ascii="Arial Narrow" w:hAnsi="Arial Narrow"/>
                <w:snapToGrid/>
                <w:sz w:val="20"/>
                <w:highlight w:val="green"/>
                <w:lang w:eastAsia="en-AU"/>
              </w:rPr>
            </w:pPr>
          </w:p>
          <w:p w:rsidR="00486F93" w:rsidRPr="00486F93" w:rsidRDefault="00486F93" w:rsidP="00304C4B">
            <w:pPr>
              <w:widowControl/>
              <w:jc w:val="left"/>
              <w:rPr>
                <w:rFonts w:ascii="Arial Narrow" w:hAnsi="Arial Narrow"/>
                <w:snapToGrid/>
                <w:sz w:val="20"/>
                <w:lang w:eastAsia="en-AU"/>
              </w:rPr>
            </w:pPr>
            <w:r w:rsidRPr="00486F93">
              <w:rPr>
                <w:rFonts w:ascii="Arial Narrow" w:hAnsi="Arial Narrow"/>
                <w:snapToGrid/>
                <w:sz w:val="20"/>
                <w:lang w:eastAsia="en-AU"/>
              </w:rPr>
              <w:t>OR</w:t>
            </w:r>
          </w:p>
          <w:p w:rsidR="00486F93" w:rsidRPr="00486F93"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i/>
                <w:snapToGrid/>
                <w:sz w:val="20"/>
                <w:lang w:eastAsia="en-AU"/>
              </w:rPr>
            </w:pPr>
            <w:r w:rsidRPr="00486F93">
              <w:rPr>
                <w:rFonts w:ascii="Arial Narrow" w:hAnsi="Arial Narrow"/>
                <w:snapToGrid/>
                <w:sz w:val="20"/>
                <w:lang w:eastAsia="en-AU"/>
              </w:rPr>
              <w:t>Patient must have, or have had, where</w:t>
            </w:r>
            <w:r w:rsidR="00E3452A">
              <w:rPr>
                <w:rFonts w:ascii="Arial Narrow" w:hAnsi="Arial Narrow"/>
                <w:snapToGrid/>
                <w:sz w:val="20"/>
                <w:lang w:eastAsia="en-AU"/>
              </w:rPr>
              <w:t xml:space="preserve"> </w:t>
            </w:r>
            <w:r w:rsidRPr="00486F93">
              <w:rPr>
                <w:rFonts w:ascii="Arial Narrow" w:hAnsi="Arial Narrow"/>
                <w:snapToGrid/>
                <w:sz w:val="20"/>
                <w:lang w:eastAsia="en-AU"/>
              </w:rPr>
              <w:t>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snapToGrid/>
                <w:sz w:val="20"/>
                <w:lang w:eastAsia="en-AU"/>
              </w:rPr>
            </w:pPr>
            <w:r w:rsidRPr="00F25774">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i/>
                <w:snapToGrid/>
                <w:sz w:val="20"/>
                <w:lang w:eastAsia="en-AU"/>
              </w:rPr>
            </w:pPr>
          </w:p>
          <w:p w:rsidR="00486F93" w:rsidRPr="00F25774" w:rsidRDefault="00486F93" w:rsidP="00304C4B">
            <w:pPr>
              <w:widowControl/>
              <w:rPr>
                <w:rFonts w:ascii="Arial Narrow" w:hAnsi="Arial Narrow"/>
                <w:i/>
                <w:snapToGrid/>
                <w:sz w:val="20"/>
                <w:lang w:eastAsia="en-AU"/>
              </w:rPr>
            </w:pPr>
            <w:r w:rsidRPr="00F25774">
              <w:rPr>
                <w:rFonts w:ascii="Arial Narrow" w:hAnsi="Arial Narrow"/>
                <w:i/>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Foreword</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i/>
                <w:snapToGrid/>
                <w:sz w:val="20"/>
                <w:lang w:eastAsia="en-AU"/>
              </w:rPr>
            </w:pPr>
            <w:r w:rsidRPr="00F25774">
              <w:rPr>
                <w:rFonts w:ascii="Arial Narrow" w:hAnsi="Arial Narrow"/>
                <w:i/>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Definitions</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i/>
                <w:snapToGrid/>
                <w:sz w:val="20"/>
                <w:lang w:eastAsia="en-AU"/>
              </w:rPr>
            </w:pPr>
            <w:r w:rsidRPr="00F25774">
              <w:rPr>
                <w:rFonts w:ascii="Arial Narrow" w:hAnsi="Arial Narrow"/>
                <w:i/>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lastRenderedPageBreak/>
              <w:t>Prescriber Instructions</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486F93" w:rsidRDefault="00486F93" w:rsidP="00304C4B">
            <w:pPr>
              <w:widowControl/>
              <w:spacing w:after="240"/>
              <w:jc w:val="left"/>
              <w:rPr>
                <w:rFonts w:ascii="Arial Narrow" w:hAnsi="Arial Narrow"/>
                <w:snapToGrid/>
                <w:sz w:val="20"/>
                <w:lang w:eastAsia="en-AU"/>
              </w:rPr>
            </w:pPr>
            <w:r w:rsidRPr="00486F93">
              <w:rPr>
                <w:rFonts w:ascii="Arial Narrow" w:hAnsi="Arial Narrow"/>
                <w:snapToGrid/>
                <w:sz w:val="20"/>
                <w:lang w:eastAsia="en-AU"/>
              </w:rPr>
              <w:t xml:space="preserve">The date and level of the qualifying HbA1c measurement must be, or must have been, documented in the patient’s medical records at the time treatment with a gliptin, a glitazone, a glucagon-like peptide-1 or an SGLT2 inhibitor is initiated. </w:t>
            </w:r>
          </w:p>
          <w:p w:rsidR="00486F93" w:rsidRPr="00486F93" w:rsidRDefault="00486F93" w:rsidP="00304C4B">
            <w:pPr>
              <w:widowControl/>
              <w:spacing w:after="240"/>
              <w:jc w:val="left"/>
              <w:rPr>
                <w:rFonts w:ascii="Arial Narrow" w:hAnsi="Arial Narrow"/>
                <w:snapToGrid/>
                <w:sz w:val="20"/>
                <w:lang w:eastAsia="en-AU"/>
              </w:rPr>
            </w:pPr>
            <w:r w:rsidRPr="00486F93">
              <w:rPr>
                <w:rFonts w:ascii="Arial Narrow" w:hAnsi="Arial Narrow"/>
                <w:snapToGrid/>
                <w:sz w:val="20"/>
                <w:lang w:eastAsia="en-AU"/>
              </w:rPr>
              <w:t>The HbA1c must be no more than 4 months old at the time treatment with a gliptin, a glitazone, a glucagon-like peptide-1 or an SGLT2 inhibitor was initiated.</w:t>
            </w:r>
          </w:p>
          <w:p w:rsidR="00486F93" w:rsidRPr="00486F93" w:rsidRDefault="00486F93" w:rsidP="00304C4B">
            <w:pPr>
              <w:widowControl/>
              <w:spacing w:after="240"/>
              <w:jc w:val="left"/>
              <w:rPr>
                <w:rFonts w:ascii="Arial Narrow" w:hAnsi="Arial Narrow"/>
                <w:snapToGrid/>
                <w:sz w:val="20"/>
                <w:lang w:eastAsia="en-AU"/>
              </w:rPr>
            </w:pPr>
            <w:r w:rsidRPr="00486F93">
              <w:rPr>
                <w:rFonts w:ascii="Arial Narrow" w:hAnsi="Arial Narrow"/>
                <w:snapToGrid/>
                <w:sz w:val="20"/>
                <w:lang w:eastAsia="en-AU"/>
              </w:rPr>
              <w:t>Blood glucose monitoring may be used as an alternative assessment to HbA1c levels in the following circumstances:</w:t>
            </w:r>
          </w:p>
          <w:p w:rsidR="00486F93" w:rsidRPr="00486F93" w:rsidRDefault="00486F93" w:rsidP="00DD2818">
            <w:pPr>
              <w:widowControl/>
              <w:jc w:val="left"/>
              <w:rPr>
                <w:rFonts w:ascii="Arial Narrow" w:hAnsi="Arial Narrow"/>
                <w:snapToGrid/>
                <w:sz w:val="20"/>
                <w:lang w:eastAsia="en-AU"/>
              </w:rPr>
            </w:pPr>
            <w:r w:rsidRPr="00486F93">
              <w:rPr>
                <w:rFonts w:ascii="Arial Narrow" w:hAnsi="Arial Narrow"/>
                <w:snapToGrid/>
                <w:sz w:val="20"/>
                <w:lang w:eastAsia="en-AU"/>
              </w:rPr>
              <w:t>(a) A clinical condition with reduced red blood cell survival, including haemolytic anaemias and haemoglobinopathies; and/or</w:t>
            </w:r>
          </w:p>
          <w:p w:rsidR="00486F93" w:rsidRPr="00486F93" w:rsidRDefault="00486F93" w:rsidP="00304C4B">
            <w:pPr>
              <w:widowControl/>
              <w:spacing w:after="240"/>
              <w:jc w:val="left"/>
              <w:rPr>
                <w:rFonts w:ascii="Arial Narrow" w:hAnsi="Arial Narrow"/>
                <w:snapToGrid/>
                <w:sz w:val="20"/>
                <w:lang w:eastAsia="en-AU"/>
              </w:rPr>
            </w:pPr>
            <w:r w:rsidRPr="00486F93">
              <w:rPr>
                <w:rFonts w:ascii="Arial Narrow" w:hAnsi="Arial Narrow"/>
                <w:snapToGrid/>
                <w:sz w:val="20"/>
                <w:lang w:eastAsia="en-AU"/>
              </w:rPr>
              <w:t>(b) Had red cell transfusion within the previous 3 months</w:t>
            </w:r>
          </w:p>
          <w:p w:rsidR="00486F93" w:rsidRDefault="00486F93" w:rsidP="00304C4B">
            <w:pPr>
              <w:widowControl/>
              <w:spacing w:after="240"/>
              <w:jc w:val="left"/>
              <w:rPr>
                <w:rFonts w:ascii="Arial Narrow" w:hAnsi="Arial Narrow"/>
                <w:snapToGrid/>
                <w:sz w:val="20"/>
                <w:lang w:eastAsia="en-AU"/>
              </w:rPr>
            </w:pPr>
            <w:r w:rsidRPr="00486F93">
              <w:rPr>
                <w:rFonts w:ascii="Arial Narrow" w:hAnsi="Arial Narrow"/>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p w:rsidR="00CA05D8" w:rsidRPr="00CA05D8" w:rsidRDefault="00593167" w:rsidP="007005D0">
            <w:pPr>
              <w:widowControl/>
              <w:spacing w:after="240"/>
              <w:jc w:val="left"/>
              <w:rPr>
                <w:rFonts w:ascii="Arial Narrow" w:hAnsi="Arial Narrow"/>
                <w:snapToGrid/>
                <w:sz w:val="20"/>
                <w:lang w:eastAsia="en-AU"/>
              </w:rPr>
            </w:pPr>
            <w:r w:rsidRPr="00CA05D8">
              <w:rPr>
                <w:rFonts w:ascii="Arial Narrow" w:hAnsi="Arial Narrow"/>
                <w:snapToGrid/>
                <w:sz w:val="20"/>
                <w:lang w:eastAsia="en-AU"/>
              </w:rPr>
              <w:t xml:space="preserve">A patient whose diabetes was previously demonstrated unable to be controlled with metformin </w:t>
            </w:r>
            <w:r>
              <w:rPr>
                <w:rFonts w:ascii="Arial Narrow" w:hAnsi="Arial Narrow"/>
                <w:snapToGrid/>
                <w:sz w:val="20"/>
                <w:lang w:eastAsia="en-AU"/>
              </w:rPr>
              <w:t xml:space="preserve">or a sulfonylurea </w:t>
            </w:r>
            <w:r w:rsidRPr="00CA05D8">
              <w:rPr>
                <w:rFonts w:ascii="Arial Narrow" w:hAnsi="Arial Narrow"/>
                <w:snapToGrid/>
                <w:sz w:val="20"/>
                <w:lang w:eastAsia="en-AU"/>
              </w:rPr>
              <w:t>does not need to requalify on this criterion before being eligible for PBS-subsidised treatment with this fixed dose combination.</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Administrative Advice</w:t>
            </w:r>
          </w:p>
          <w:p w:rsidR="00486F93" w:rsidRPr="00F25774" w:rsidRDefault="00486F93" w:rsidP="00304C4B">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DD2818" w:rsidRDefault="00486F93" w:rsidP="00304C4B">
            <w:pPr>
              <w:widowControl/>
              <w:jc w:val="left"/>
              <w:rPr>
                <w:rFonts w:ascii="Arial Narrow" w:hAnsi="Arial Narrow"/>
                <w:b/>
                <w:snapToGrid/>
                <w:sz w:val="20"/>
                <w:lang w:eastAsia="en-AU"/>
              </w:rPr>
            </w:pPr>
            <w:r w:rsidRPr="00DD2818">
              <w:rPr>
                <w:rFonts w:ascii="Arial Narrow" w:hAnsi="Arial Narrow"/>
                <w:b/>
                <w:snapToGrid/>
                <w:sz w:val="20"/>
                <w:lang w:eastAsia="en-AU"/>
              </w:rPr>
              <w:t>Note:</w:t>
            </w:r>
          </w:p>
          <w:p w:rsidR="00486F93" w:rsidRPr="00DD2818" w:rsidRDefault="00486F93" w:rsidP="00304C4B">
            <w:pPr>
              <w:widowControl/>
              <w:jc w:val="left"/>
              <w:rPr>
                <w:rFonts w:ascii="Arial Narrow" w:hAnsi="Arial Narrow"/>
                <w:b/>
                <w:snapToGrid/>
                <w:sz w:val="20"/>
                <w:lang w:eastAsia="en-AU"/>
              </w:rPr>
            </w:pPr>
            <w:r w:rsidRPr="00DD2818">
              <w:rPr>
                <w:rFonts w:ascii="Arial Narrow" w:hAnsi="Arial Narrow"/>
                <w:b/>
                <w:snapToGrid/>
                <w:sz w:val="20"/>
                <w:lang w:eastAsia="en-AU"/>
              </w:rPr>
              <w:t>Continuing Therapy Only:</w:t>
            </w:r>
          </w:p>
          <w:p w:rsidR="00486F93" w:rsidRPr="00DD2818" w:rsidRDefault="00486F93" w:rsidP="00304C4B">
            <w:pPr>
              <w:widowControl/>
              <w:jc w:val="left"/>
              <w:rPr>
                <w:rFonts w:ascii="Arial Narrow" w:hAnsi="Arial Narrow"/>
                <w:snapToGrid/>
                <w:sz w:val="20"/>
                <w:lang w:eastAsia="en-AU"/>
              </w:rPr>
            </w:pPr>
            <w:r w:rsidRPr="00DD2818">
              <w:rPr>
                <w:rFonts w:ascii="Arial Narrow" w:hAnsi="Arial Narrow"/>
                <w:snapToGrid/>
                <w:sz w:val="20"/>
                <w:lang w:eastAsia="en-AU"/>
              </w:rPr>
              <w:t>For prescribing by nurse practitioners as continuing therapy only, where the treatment of, and prescribing of medicine for, a patient has been initiated by a medical practitioner.</w:t>
            </w:r>
          </w:p>
          <w:p w:rsidR="00486F93" w:rsidRPr="00DD2818" w:rsidRDefault="00486F93" w:rsidP="00304C4B">
            <w:pPr>
              <w:widowControl/>
              <w:jc w:val="left"/>
              <w:rPr>
                <w:rFonts w:ascii="Arial Narrow" w:hAnsi="Arial Narrow"/>
                <w:snapToGrid/>
                <w:sz w:val="20"/>
                <w:lang w:eastAsia="en-AU"/>
              </w:rPr>
            </w:pPr>
            <w:r w:rsidRPr="00DD2818">
              <w:rPr>
                <w:rFonts w:ascii="Arial Narrow" w:hAnsi="Arial Narrow"/>
                <w:snapToGrid/>
                <w:sz w:val="20"/>
                <w:lang w:eastAsia="en-AU"/>
              </w:rPr>
              <w:t>Further information can be found in the Explanatory Notes for Nurse Practitioners.</w:t>
            </w:r>
          </w:p>
          <w:p w:rsidR="00486F93" w:rsidRPr="00DD2818" w:rsidRDefault="00486F93" w:rsidP="00304C4B">
            <w:pPr>
              <w:widowControl/>
              <w:jc w:val="left"/>
              <w:rPr>
                <w:rFonts w:ascii="Arial Narrow" w:hAnsi="Arial Narrow"/>
                <w:snapToGrid/>
                <w:sz w:val="20"/>
                <w:lang w:eastAsia="en-AU"/>
              </w:rPr>
            </w:pPr>
          </w:p>
          <w:p w:rsidR="00486F93" w:rsidRPr="00DD2818" w:rsidRDefault="00486F93" w:rsidP="00304C4B">
            <w:pPr>
              <w:widowControl/>
              <w:jc w:val="left"/>
              <w:rPr>
                <w:rFonts w:ascii="Arial Narrow" w:hAnsi="Arial Narrow"/>
                <w:b/>
                <w:snapToGrid/>
                <w:sz w:val="20"/>
                <w:lang w:eastAsia="en-AU"/>
              </w:rPr>
            </w:pPr>
            <w:r w:rsidRPr="00DD2818">
              <w:rPr>
                <w:rFonts w:ascii="Arial Narrow" w:hAnsi="Arial Narrow"/>
                <w:b/>
                <w:snapToGrid/>
                <w:sz w:val="20"/>
                <w:lang w:eastAsia="en-AU"/>
              </w:rPr>
              <w:t>Note:</w:t>
            </w:r>
          </w:p>
          <w:p w:rsidR="00486F93" w:rsidRPr="00DD2818" w:rsidRDefault="00486F93" w:rsidP="00304C4B">
            <w:pPr>
              <w:widowControl/>
              <w:jc w:val="left"/>
              <w:rPr>
                <w:rFonts w:ascii="Arial Narrow" w:hAnsi="Arial Narrow"/>
                <w:snapToGrid/>
                <w:sz w:val="20"/>
                <w:lang w:eastAsia="en-AU"/>
              </w:rPr>
            </w:pPr>
            <w:r w:rsidRPr="00DD2818">
              <w:rPr>
                <w:rFonts w:ascii="Arial Narrow" w:hAnsi="Arial Narrow"/>
                <w:snapToGrid/>
                <w:sz w:val="20"/>
                <w:lang w:eastAsia="en-AU"/>
              </w:rPr>
              <w:t>The fixed dose combination is not PBS-subsidised for use, as initial therapy or in combination with a thiazolidinedione (glitazone), a dipeptidyl peptidase 4 inhibitor (gliptin) or a glucagon-like peptide-1.</w:t>
            </w:r>
          </w:p>
          <w:p w:rsidR="00486F93" w:rsidRPr="00DD2818"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i/>
                <w:snapToGrid/>
                <w:sz w:val="20"/>
                <w:lang w:eastAsia="en-AU"/>
              </w:rPr>
            </w:pPr>
            <w:r w:rsidRPr="00DD2818">
              <w:rPr>
                <w:rFonts w:ascii="Arial Narrow" w:hAnsi="Arial Narrow"/>
                <w:snapToGrid/>
                <w:sz w:val="20"/>
                <w:lang w:eastAsia="en-AU"/>
              </w:rPr>
              <w:t>PBS subsidised dual oral therapy does not include concomitant use of two of either: a gliptin, a glitazone or an SGLT2 inhibitor.</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Cautions</w:t>
            </w:r>
          </w:p>
          <w:p w:rsidR="00486F93" w:rsidRPr="00F25774" w:rsidRDefault="00486F93" w:rsidP="00304C4B">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bl>
    <w:p w:rsidR="00486F93" w:rsidRPr="00F25774" w:rsidRDefault="00486F93" w:rsidP="00486F93">
      <w:pPr>
        <w:widowControl/>
        <w:numPr>
          <w:ilvl w:val="0"/>
          <w:numId w:val="14"/>
        </w:numPr>
        <w:spacing w:after="240"/>
        <w:jc w:val="left"/>
        <w:rPr>
          <w:b/>
          <w:snapToGrid/>
          <w:szCs w:val="22"/>
          <w:lang w:eastAsia="en-AU"/>
        </w:rPr>
      </w:pPr>
      <w:r>
        <w:rPr>
          <w:b/>
          <w:snapToGrid/>
          <w:szCs w:val="22"/>
          <w:lang w:eastAsia="en-AU"/>
        </w:rPr>
        <w:t>Empagliflozin/</w:t>
      </w:r>
      <w:r w:rsidRPr="00F25774">
        <w:rPr>
          <w:b/>
          <w:snapToGrid/>
          <w:szCs w:val="22"/>
          <w:lang w:eastAsia="en-AU"/>
        </w:rPr>
        <w:t>metformin (insulin</w:t>
      </w:r>
      <w:r>
        <w:rPr>
          <w:b/>
          <w:snapToGrid/>
          <w:szCs w:val="22"/>
          <w:lang w:eastAsia="en-AU"/>
        </w:rPr>
        <w:t xml:space="preserve"> add-on</w:t>
      </w:r>
      <w:r w:rsidRPr="00F25774">
        <w:rPr>
          <w:b/>
          <w:snapToGrid/>
          <w:szCs w:val="22"/>
          <w:lang w:eastAsia="en-AU"/>
        </w:rPr>
        <w:t>)</w:t>
      </w:r>
    </w:p>
    <w:tbl>
      <w:tblPr>
        <w:tblW w:w="4600" w:type="pct"/>
        <w:tblInd w:w="108" w:type="dxa"/>
        <w:tblLayout w:type="fixed"/>
        <w:tblLook w:val="0000" w:firstRow="0" w:lastRow="0" w:firstColumn="0" w:lastColumn="0" w:noHBand="0" w:noVBand="0"/>
        <w:tblCaption w:val="Recommended PBS listing - with insulin add-on"/>
      </w:tblPr>
      <w:tblGrid>
        <w:gridCol w:w="2624"/>
        <w:gridCol w:w="5880"/>
      </w:tblGrid>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 xml:space="preserve">Category / </w:t>
            </w:r>
          </w:p>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GENERAL – General Schedule (Code GE)</w:t>
            </w:r>
          </w:p>
          <w:p w:rsidR="00486F93" w:rsidRPr="00F25774" w:rsidRDefault="00486F93" w:rsidP="00304C4B">
            <w:pPr>
              <w:widowControl/>
              <w:jc w:val="left"/>
              <w:rPr>
                <w:rFonts w:ascii="Arial Narrow" w:hAnsi="Arial Narrow"/>
                <w:snapToGrid/>
                <w:sz w:val="20"/>
                <w:lang w:eastAsia="en-AU"/>
              </w:rPr>
            </w:pP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Prescriber type:</w:t>
            </w:r>
          </w:p>
          <w:p w:rsidR="00486F93" w:rsidRPr="00F25774" w:rsidRDefault="00486F93" w:rsidP="00304C4B">
            <w:pPr>
              <w:widowControl/>
              <w:rPr>
                <w:rFonts w:ascii="Arial Narrow" w:hAnsi="Arial Narrow"/>
                <w:b/>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Dental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Medical Practitioners  </w:t>
            </w: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 xml:space="preserve">Nurse practitioners  </w:t>
            </w: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Optometrists</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Midwives</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Diabetes mellitus type 2</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Diabetes mellitus type 2</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lastRenderedPageBreak/>
              <w:t>Treatment phase:</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Restriction Level / Method:</w:t>
            </w:r>
          </w:p>
          <w:p w:rsidR="00486F93" w:rsidRPr="00F25774" w:rsidRDefault="00486F93" w:rsidP="00304C4B">
            <w:pPr>
              <w:widowControl/>
              <w:jc w:val="left"/>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1"/>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Restricted benefit</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In Writing</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3"/>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Telephone</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Emergency</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Check5"/>
                  <w:enabled/>
                  <w:calcOnExit w:val="0"/>
                  <w:checkBox>
                    <w:sizeAuto/>
                    <w:default w:val="0"/>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Authority Required - Electronic</w:t>
            </w: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fldChar w:fldCharType="begin">
                <w:ffData>
                  <w:name w:val=""/>
                  <w:enabled/>
                  <w:calcOnExit w:val="0"/>
                  <w:checkBox>
                    <w:sizeAuto/>
                    <w:default w:val="1"/>
                  </w:checkBox>
                </w:ffData>
              </w:fldChar>
            </w:r>
            <w:r w:rsidRPr="00F25774">
              <w:rPr>
                <w:rFonts w:ascii="Arial Narrow" w:hAnsi="Arial Narrow"/>
                <w:snapToGrid/>
                <w:sz w:val="20"/>
                <w:lang w:eastAsia="en-AU"/>
              </w:rPr>
              <w:instrText xml:space="preserve"> FORMCHECKBOX </w:instrText>
            </w:r>
            <w:r w:rsidR="00962006">
              <w:rPr>
                <w:rFonts w:ascii="Arial Narrow" w:hAnsi="Arial Narrow"/>
                <w:snapToGrid/>
                <w:sz w:val="20"/>
                <w:lang w:eastAsia="en-AU"/>
              </w:rPr>
            </w:r>
            <w:r w:rsidR="00962006">
              <w:rPr>
                <w:rFonts w:ascii="Arial Narrow" w:hAnsi="Arial Narrow"/>
                <w:snapToGrid/>
                <w:sz w:val="20"/>
                <w:lang w:eastAsia="en-AU"/>
              </w:rPr>
              <w:fldChar w:fldCharType="separate"/>
            </w:r>
            <w:r w:rsidRPr="00F25774">
              <w:rPr>
                <w:rFonts w:ascii="Arial Narrow" w:hAnsi="Arial Narrow"/>
                <w:snapToGrid/>
                <w:sz w:val="20"/>
                <w:lang w:eastAsia="en-AU"/>
              </w:rPr>
              <w:fldChar w:fldCharType="end"/>
            </w:r>
            <w:r w:rsidRPr="00F25774">
              <w:rPr>
                <w:rFonts w:ascii="Arial Narrow" w:hAnsi="Arial Narrow"/>
                <w:snapToGrid/>
                <w:sz w:val="20"/>
                <w:lang w:eastAsia="en-AU"/>
              </w:rPr>
              <w:t>Streamlined</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b/>
                <w:snapToGrid/>
                <w:sz w:val="20"/>
                <w:lang w:eastAsia="en-AU"/>
              </w:rPr>
            </w:pPr>
            <w:r w:rsidRPr="00F25774">
              <w:rPr>
                <w:rFonts w:ascii="Arial Narrow" w:hAnsi="Arial Narrow"/>
                <w:b/>
                <w:snapToGrid/>
                <w:sz w:val="20"/>
                <w:lang w:eastAsia="en-AU"/>
              </w:rPr>
              <w:t>Treatment criteria:</w:t>
            </w:r>
          </w:p>
          <w:p w:rsidR="00486F93" w:rsidRPr="00F25774" w:rsidRDefault="00486F93" w:rsidP="00304C4B">
            <w:pPr>
              <w:widowControl/>
              <w:jc w:val="left"/>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Clinical criteria:</w:t>
            </w:r>
          </w:p>
          <w:p w:rsidR="00486F93" w:rsidRPr="00F25774" w:rsidRDefault="00486F93" w:rsidP="00304C4B">
            <w:pPr>
              <w:widowControl/>
              <w:rPr>
                <w:rFonts w:ascii="Arial Narrow" w:hAnsi="Arial Narrow"/>
                <w:i/>
                <w:snapToGrid/>
                <w:sz w:val="20"/>
                <w:lang w:eastAsia="en-AU"/>
              </w:rPr>
            </w:pP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The treatment must be in combination with insulin, AND</w:t>
            </w:r>
          </w:p>
          <w:p w:rsidR="00486F93" w:rsidRPr="00C32DA5" w:rsidRDefault="00486F93" w:rsidP="00304C4B">
            <w:pPr>
              <w:widowControl/>
              <w:jc w:val="left"/>
              <w:rPr>
                <w:rFonts w:ascii="Arial Narrow" w:hAnsi="Arial Narrow"/>
                <w:snapToGrid/>
                <w:sz w:val="20"/>
                <w:lang w:eastAsia="en-AU"/>
              </w:rPr>
            </w:pPr>
          </w:p>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486F93" w:rsidRPr="00C32DA5" w:rsidRDefault="00486F93" w:rsidP="00304C4B">
            <w:pPr>
              <w:widowControl/>
              <w:jc w:val="left"/>
              <w:rPr>
                <w:rFonts w:ascii="Arial Narrow" w:hAnsi="Arial Narrow"/>
                <w:snapToGrid/>
                <w:sz w:val="20"/>
                <w:lang w:eastAsia="en-AU"/>
              </w:rPr>
            </w:pPr>
          </w:p>
          <w:p w:rsidR="00486F93" w:rsidRPr="00F25774" w:rsidRDefault="00486F93" w:rsidP="00304C4B">
            <w:pPr>
              <w:widowControl/>
              <w:jc w:val="left"/>
              <w:rPr>
                <w:rFonts w:ascii="Arial Narrow" w:hAnsi="Arial Narrow"/>
                <w:i/>
                <w:snapToGrid/>
                <w:sz w:val="20"/>
                <w:lang w:eastAsia="en-AU"/>
              </w:rPr>
            </w:pPr>
            <w:r w:rsidRPr="00C32DA5">
              <w:rPr>
                <w:rFonts w:ascii="Arial Narrow" w:hAnsi="Arial Narrow"/>
                <w:snapToGrid/>
                <w:sz w:val="20"/>
                <w:lang w:eastAsia="en-AU"/>
              </w:rPr>
              <w:t>Patient must have, or have had, whereHbA1c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snapToGrid/>
                <w:sz w:val="20"/>
                <w:lang w:eastAsia="en-AU"/>
              </w:rPr>
            </w:pPr>
            <w:r w:rsidRPr="00F25774">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i/>
                <w:snapToGrid/>
                <w:sz w:val="20"/>
                <w:lang w:eastAsia="en-AU"/>
              </w:rPr>
            </w:pPr>
          </w:p>
          <w:p w:rsidR="00486F93" w:rsidRPr="00F25774" w:rsidRDefault="00486F93" w:rsidP="00304C4B">
            <w:pPr>
              <w:widowControl/>
              <w:rPr>
                <w:rFonts w:ascii="Arial Narrow" w:hAnsi="Arial Narrow"/>
                <w:i/>
                <w:snapToGrid/>
                <w:sz w:val="20"/>
                <w:lang w:eastAsia="en-AU"/>
              </w:rPr>
            </w:pPr>
            <w:r w:rsidRPr="00F25774">
              <w:rPr>
                <w:rFonts w:ascii="Arial Narrow" w:hAnsi="Arial Narrow"/>
                <w:i/>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Foreword</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i/>
                <w:snapToGrid/>
                <w:sz w:val="20"/>
                <w:lang w:eastAsia="en-AU"/>
              </w:rPr>
            </w:pPr>
            <w:r w:rsidRPr="00F25774">
              <w:rPr>
                <w:rFonts w:ascii="Arial Narrow" w:hAnsi="Arial Narrow"/>
                <w:i/>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Definitions</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i/>
                <w:snapToGrid/>
                <w:sz w:val="20"/>
                <w:lang w:eastAsia="en-AU"/>
              </w:rPr>
            </w:pPr>
            <w:r w:rsidRPr="00F25774">
              <w:rPr>
                <w:rFonts w:ascii="Arial Narrow" w:hAnsi="Arial Narrow"/>
                <w:i/>
                <w:snapToGrid/>
                <w:sz w:val="20"/>
                <w:lang w:eastAsia="en-AU"/>
              </w:rPr>
              <w:t>-</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Prescriber Instructions</w:t>
            </w:r>
          </w:p>
          <w:p w:rsidR="00486F93" w:rsidRPr="00F25774" w:rsidRDefault="00486F93" w:rsidP="00304C4B">
            <w:pPr>
              <w:widowControl/>
              <w:rPr>
                <w:rFonts w:ascii="Arial Narrow" w:hAnsi="Arial Narrow"/>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 xml:space="preserve">The date and level of the qualifying HbA1c measurement must be, or must have been, documented in the patient’s medical records at the time treatment with a gliptin, a glitazone, a glucagon-like peptide-1 or an SGLT2 inhibitor is initiated. </w:t>
            </w:r>
          </w:p>
          <w:p w:rsidR="00486F93" w:rsidRPr="00C32DA5" w:rsidRDefault="00486F93" w:rsidP="00304C4B">
            <w:pPr>
              <w:widowControl/>
              <w:jc w:val="left"/>
              <w:rPr>
                <w:rFonts w:ascii="Arial Narrow" w:hAnsi="Arial Narrow"/>
                <w:snapToGrid/>
                <w:sz w:val="20"/>
                <w:lang w:eastAsia="en-AU"/>
              </w:rPr>
            </w:pPr>
          </w:p>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The HbA1c must be no more than 4 months old at the time treatment with a gliptin, a glitazone, a glucagon-like peptide-1 or an SGLT2 inhibitor was initiated.</w:t>
            </w:r>
          </w:p>
          <w:p w:rsidR="00486F93" w:rsidRPr="00C32DA5" w:rsidRDefault="00486F93" w:rsidP="00304C4B">
            <w:pPr>
              <w:widowControl/>
              <w:jc w:val="left"/>
              <w:rPr>
                <w:rFonts w:ascii="Arial Narrow" w:hAnsi="Arial Narrow"/>
                <w:snapToGrid/>
                <w:sz w:val="20"/>
                <w:lang w:eastAsia="en-AU"/>
              </w:rPr>
            </w:pPr>
          </w:p>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Blood glucose monitoring may be used as an alternative assessment to HbA1c levels in the following circumstances:</w:t>
            </w:r>
          </w:p>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(a) A clinical condition with reduced red blood cell survival, including haemolytic anaemias and haemoglobinopathies; and/or</w:t>
            </w:r>
          </w:p>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(b) Had red cell transfusion within the previous 3 months.</w:t>
            </w:r>
          </w:p>
          <w:p w:rsidR="00486F93" w:rsidRPr="00C32DA5" w:rsidRDefault="00486F93" w:rsidP="00304C4B">
            <w:pPr>
              <w:widowControl/>
              <w:jc w:val="left"/>
              <w:rPr>
                <w:rFonts w:ascii="Arial Narrow" w:hAnsi="Arial Narrow"/>
                <w:snapToGrid/>
                <w:sz w:val="20"/>
                <w:lang w:eastAsia="en-AU"/>
              </w:rPr>
            </w:pPr>
          </w:p>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p w:rsidR="00486F93" w:rsidRPr="00F25774" w:rsidRDefault="00486F93" w:rsidP="00304C4B">
            <w:pPr>
              <w:widowControl/>
              <w:jc w:val="left"/>
              <w:rPr>
                <w:rFonts w:ascii="Arial Narrow" w:hAnsi="Arial Narrow"/>
                <w:i/>
                <w:snapToGrid/>
                <w:sz w:val="20"/>
                <w:lang w:eastAsia="en-AU"/>
              </w:rPr>
            </w:pP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lastRenderedPageBreak/>
              <w:t>Administrative Advice</w:t>
            </w:r>
          </w:p>
          <w:p w:rsidR="00486F93" w:rsidRPr="00F25774" w:rsidRDefault="00486F93" w:rsidP="00304C4B">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C32DA5" w:rsidRDefault="00486F93" w:rsidP="00304C4B">
            <w:pPr>
              <w:widowControl/>
              <w:jc w:val="left"/>
              <w:rPr>
                <w:rFonts w:ascii="Arial Narrow" w:hAnsi="Arial Narrow"/>
                <w:b/>
                <w:snapToGrid/>
                <w:sz w:val="20"/>
                <w:lang w:eastAsia="en-AU"/>
              </w:rPr>
            </w:pPr>
            <w:r w:rsidRPr="00C32DA5">
              <w:rPr>
                <w:rFonts w:ascii="Arial Narrow" w:hAnsi="Arial Narrow"/>
                <w:b/>
                <w:snapToGrid/>
                <w:sz w:val="20"/>
                <w:lang w:eastAsia="en-AU"/>
              </w:rPr>
              <w:t>Note:</w:t>
            </w:r>
          </w:p>
          <w:p w:rsidR="00486F93" w:rsidRPr="00C32DA5" w:rsidRDefault="00486F93" w:rsidP="00304C4B">
            <w:pPr>
              <w:widowControl/>
              <w:jc w:val="left"/>
              <w:rPr>
                <w:rFonts w:ascii="Arial Narrow" w:hAnsi="Arial Narrow"/>
                <w:b/>
                <w:snapToGrid/>
                <w:sz w:val="20"/>
                <w:lang w:eastAsia="en-AU"/>
              </w:rPr>
            </w:pPr>
            <w:r w:rsidRPr="00C32DA5">
              <w:rPr>
                <w:rFonts w:ascii="Arial Narrow" w:hAnsi="Arial Narrow"/>
                <w:b/>
                <w:snapToGrid/>
                <w:sz w:val="20"/>
                <w:lang w:eastAsia="en-AU"/>
              </w:rPr>
              <w:t>Continuing Therapy Only:</w:t>
            </w:r>
          </w:p>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For prescribing by nurse practitioners as continuing therapy only, where the treatment of, and prescribing of medicine for, a patient has been initiated by a medical practitioner.</w:t>
            </w:r>
          </w:p>
          <w:p w:rsidR="00486F93" w:rsidRPr="00C32DA5" w:rsidRDefault="00486F93" w:rsidP="00304C4B">
            <w:pPr>
              <w:widowControl/>
              <w:jc w:val="left"/>
              <w:rPr>
                <w:rFonts w:ascii="Arial Narrow" w:hAnsi="Arial Narrow"/>
                <w:snapToGrid/>
                <w:sz w:val="20"/>
                <w:lang w:eastAsia="en-AU"/>
              </w:rPr>
            </w:pPr>
            <w:r w:rsidRPr="00C32DA5">
              <w:rPr>
                <w:rFonts w:ascii="Arial Narrow" w:hAnsi="Arial Narrow"/>
                <w:snapToGrid/>
                <w:sz w:val="20"/>
                <w:lang w:eastAsia="en-AU"/>
              </w:rPr>
              <w:t>Further information can be found in the Explanatory Notes for Nurse Practitioners.</w:t>
            </w:r>
          </w:p>
          <w:p w:rsidR="00486F93" w:rsidRPr="00F25774" w:rsidRDefault="00486F93" w:rsidP="00304C4B">
            <w:pPr>
              <w:widowControl/>
              <w:jc w:val="left"/>
              <w:rPr>
                <w:rFonts w:ascii="Arial Narrow" w:hAnsi="Arial Narrow"/>
                <w:i/>
                <w:snapToGrid/>
                <w:sz w:val="20"/>
                <w:lang w:eastAsia="en-AU"/>
              </w:rPr>
            </w:pPr>
          </w:p>
          <w:p w:rsidR="00486F93" w:rsidRPr="00C32DA5" w:rsidRDefault="00486F93" w:rsidP="00304C4B">
            <w:pPr>
              <w:widowControl/>
              <w:jc w:val="left"/>
              <w:rPr>
                <w:rFonts w:ascii="Arial Narrow" w:hAnsi="Arial Narrow"/>
                <w:b/>
                <w:snapToGrid/>
                <w:sz w:val="20"/>
                <w:lang w:eastAsia="en-AU"/>
              </w:rPr>
            </w:pPr>
            <w:r w:rsidRPr="00C32DA5">
              <w:rPr>
                <w:rFonts w:ascii="Arial Narrow" w:hAnsi="Arial Narrow"/>
                <w:b/>
                <w:snapToGrid/>
                <w:sz w:val="20"/>
                <w:lang w:eastAsia="en-AU"/>
              </w:rPr>
              <w:t>Note:</w:t>
            </w:r>
          </w:p>
          <w:p w:rsidR="00486F93" w:rsidRPr="00F25774" w:rsidRDefault="00486F93" w:rsidP="00E3452A">
            <w:pPr>
              <w:widowControl/>
              <w:jc w:val="left"/>
              <w:rPr>
                <w:rFonts w:ascii="Arial Narrow" w:hAnsi="Arial Narrow"/>
                <w:i/>
                <w:snapToGrid/>
                <w:sz w:val="20"/>
                <w:lang w:eastAsia="en-AU"/>
              </w:rPr>
            </w:pPr>
            <w:r w:rsidRPr="00C32DA5">
              <w:rPr>
                <w:rFonts w:ascii="Arial Narrow" w:hAnsi="Arial Narrow"/>
                <w:snapToGrid/>
                <w:sz w:val="20"/>
                <w:lang w:eastAsia="en-AU"/>
              </w:rPr>
              <w:t>The fixed dose combination is not PBS-subsidised for use as initial therapy or in combination with a thiazolidinedione (glitazone), a dipeptidyl peptidase 4 inhibitor (gliptin) or a glucagon-like peptide-1.</w:t>
            </w:r>
          </w:p>
        </w:tc>
      </w:tr>
      <w:tr w:rsidR="00486F93" w:rsidRPr="00F25774" w:rsidTr="00304C4B">
        <w:trPr>
          <w:cantSplit/>
          <w:trHeight w:val="360"/>
        </w:trPr>
        <w:tc>
          <w:tcPr>
            <w:tcW w:w="2835"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rPr>
                <w:rFonts w:ascii="Arial Narrow" w:hAnsi="Arial Narrow"/>
                <w:b/>
                <w:snapToGrid/>
                <w:sz w:val="20"/>
                <w:lang w:eastAsia="en-AU"/>
              </w:rPr>
            </w:pPr>
            <w:r w:rsidRPr="00F25774">
              <w:rPr>
                <w:rFonts w:ascii="Arial Narrow" w:hAnsi="Arial Narrow"/>
                <w:b/>
                <w:snapToGrid/>
                <w:sz w:val="20"/>
                <w:lang w:eastAsia="en-AU"/>
              </w:rPr>
              <w:t>Cautions</w:t>
            </w:r>
          </w:p>
          <w:p w:rsidR="00486F93" w:rsidRPr="00F25774" w:rsidRDefault="00486F93" w:rsidP="00304C4B">
            <w:pPr>
              <w:widowControl/>
              <w:rPr>
                <w:rFonts w:ascii="Arial Narrow" w:hAnsi="Arial Narrow"/>
                <w:i/>
                <w:snapToGrid/>
                <w:sz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486F93" w:rsidRPr="00F25774" w:rsidRDefault="00486F93" w:rsidP="00304C4B">
            <w:pPr>
              <w:widowControl/>
              <w:jc w:val="left"/>
              <w:rPr>
                <w:rFonts w:ascii="Arial Narrow" w:hAnsi="Arial Narrow"/>
                <w:snapToGrid/>
                <w:sz w:val="20"/>
                <w:lang w:eastAsia="en-AU"/>
              </w:rPr>
            </w:pPr>
            <w:r w:rsidRPr="00F25774">
              <w:rPr>
                <w:rFonts w:ascii="Arial Narrow" w:hAnsi="Arial Narrow"/>
                <w:snapToGrid/>
                <w:sz w:val="20"/>
                <w:lang w:eastAsia="en-AU"/>
              </w:rPr>
              <w:t>-</w:t>
            </w:r>
          </w:p>
        </w:tc>
      </w:tr>
    </w:tbl>
    <w:p w:rsidR="00486F93" w:rsidRDefault="00486F93" w:rsidP="00D57585">
      <w:pPr>
        <w:widowControl/>
        <w:rPr>
          <w:szCs w:val="22"/>
        </w:rPr>
      </w:pPr>
    </w:p>
    <w:p w:rsidR="00565C85" w:rsidRDefault="00565C85" w:rsidP="00565C85">
      <w:pPr>
        <w:rPr>
          <w:rStyle w:val="IntenseReference"/>
          <w:b w:val="0"/>
          <w:bCs w:val="0"/>
          <w:i w:val="0"/>
        </w:rPr>
      </w:pPr>
    </w:p>
    <w:p w:rsidR="00565C85" w:rsidRDefault="00565C85" w:rsidP="0070102D">
      <w:pPr>
        <w:pStyle w:val="Heading1"/>
        <w:rPr>
          <w:rFonts w:eastAsia="SimSun"/>
        </w:rPr>
      </w:pPr>
      <w:r>
        <w:rPr>
          <w:rFonts w:eastAsia="SimSun"/>
        </w:rPr>
        <w:t>Context for Decision</w:t>
      </w:r>
    </w:p>
    <w:p w:rsidR="00565C85" w:rsidRDefault="00565C85" w:rsidP="00565C85">
      <w:pPr>
        <w:ind w:left="720"/>
        <w:contextualSpacing/>
        <w:rPr>
          <w:b/>
        </w:rPr>
      </w:pPr>
    </w:p>
    <w:p w:rsidR="00565C85" w:rsidRDefault="00565C85" w:rsidP="00565C85">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65C85" w:rsidRDefault="00565C85" w:rsidP="00565C85"/>
    <w:p w:rsidR="0070102D" w:rsidRDefault="0070102D" w:rsidP="00565C85"/>
    <w:p w:rsidR="00565C85" w:rsidRDefault="00565C85" w:rsidP="0070102D">
      <w:pPr>
        <w:pStyle w:val="Heading1"/>
        <w:rPr>
          <w:rFonts w:eastAsia="SimSun"/>
        </w:rPr>
      </w:pPr>
      <w:r>
        <w:rPr>
          <w:rFonts w:eastAsia="SimSun"/>
        </w:rPr>
        <w:t>Sponsor’s Comment</w:t>
      </w:r>
    </w:p>
    <w:p w:rsidR="00D61F83" w:rsidRDefault="00D61F83" w:rsidP="00D61F83">
      <w:pPr>
        <w:ind w:left="720"/>
        <w:rPr>
          <w:rFonts w:eastAsia="SimSun"/>
          <w:b/>
          <w:szCs w:val="22"/>
        </w:rPr>
      </w:pPr>
    </w:p>
    <w:p w:rsidR="00D61F83" w:rsidRPr="00D61F83" w:rsidRDefault="00D61F83" w:rsidP="00D61F83">
      <w:pPr>
        <w:ind w:left="720"/>
        <w:rPr>
          <w:bCs/>
          <w:szCs w:val="22"/>
        </w:rPr>
      </w:pPr>
      <w:r w:rsidRPr="00D61F83">
        <w:rPr>
          <w:bCs/>
          <w:szCs w:val="22"/>
        </w:rPr>
        <w:t>The sponsor had no comment.</w:t>
      </w:r>
    </w:p>
    <w:p w:rsidR="00565C85" w:rsidRDefault="00565C85" w:rsidP="00565C85">
      <w:pPr>
        <w:tabs>
          <w:tab w:val="left" w:pos="2940"/>
        </w:tabs>
        <w:rPr>
          <w:szCs w:val="22"/>
        </w:rPr>
      </w:pPr>
    </w:p>
    <w:p w:rsidR="00565C85" w:rsidRDefault="00565C85" w:rsidP="00565C85">
      <w:pPr>
        <w:rPr>
          <w:szCs w:val="22"/>
        </w:rPr>
      </w:pPr>
    </w:p>
    <w:p w:rsidR="00565C85" w:rsidRDefault="00565C85" w:rsidP="00D57585">
      <w:pPr>
        <w:widowControl/>
        <w:rPr>
          <w:szCs w:val="22"/>
        </w:rPr>
      </w:pPr>
    </w:p>
    <w:sectPr w:rsidR="00565C85" w:rsidSect="0032384E">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8C40E" w15:done="0"/>
  <w15:commentEx w15:paraId="3E5A11E0" w15:done="0"/>
  <w15:commentEx w15:paraId="5664B83E" w15:done="0"/>
  <w15:commentEx w15:paraId="4C3CC5C2" w15:done="0"/>
  <w15:commentEx w15:paraId="28AD1462" w15:done="0"/>
  <w15:commentEx w15:paraId="5B2B87E2" w15:done="0"/>
  <w15:commentEx w15:paraId="5437A0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06" w:rsidRDefault="00962006" w:rsidP="00124A51">
      <w:r>
        <w:separator/>
      </w:r>
    </w:p>
  </w:endnote>
  <w:endnote w:type="continuationSeparator" w:id="0">
    <w:p w:rsidR="00962006" w:rsidRDefault="00962006"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06" w:rsidRDefault="00962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968707"/>
      <w:docPartObj>
        <w:docPartGallery w:val="Page Numbers (Bottom of Page)"/>
        <w:docPartUnique/>
      </w:docPartObj>
    </w:sdtPr>
    <w:sdtEndPr>
      <w:rPr>
        <w:noProof/>
      </w:rPr>
    </w:sdtEndPr>
    <w:sdtContent>
      <w:p w:rsidR="00962006" w:rsidRDefault="00962006">
        <w:pPr>
          <w:pStyle w:val="Footer"/>
          <w:jc w:val="center"/>
        </w:pPr>
        <w:r>
          <w:fldChar w:fldCharType="begin"/>
        </w:r>
        <w:r>
          <w:instrText xml:space="preserve"> PAGE   \* MERGEFORMAT </w:instrText>
        </w:r>
        <w:r>
          <w:fldChar w:fldCharType="separate"/>
        </w:r>
        <w:r w:rsidR="002E6015">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06" w:rsidRDefault="0096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06" w:rsidRDefault="00962006" w:rsidP="00124A51">
      <w:r>
        <w:separator/>
      </w:r>
    </w:p>
  </w:footnote>
  <w:footnote w:type="continuationSeparator" w:id="0">
    <w:p w:rsidR="00962006" w:rsidRDefault="00962006"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06" w:rsidRDefault="00962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06" w:rsidRPr="00450015" w:rsidRDefault="00962006" w:rsidP="006050A6">
    <w:pPr>
      <w:pStyle w:val="Header"/>
      <w:jc w:val="center"/>
    </w:pPr>
    <w:r w:rsidRPr="00C666B2">
      <w:rPr>
        <w:i/>
        <w:color w:val="808080"/>
      </w:rPr>
      <w:t>Public Summary Document – November 2015 PBAC Meeting</w:t>
    </w:r>
  </w:p>
  <w:p w:rsidR="00962006" w:rsidRPr="006050A6" w:rsidRDefault="00962006" w:rsidP="00605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06" w:rsidRDefault="00962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881"/>
    <w:multiLevelType w:val="hybridMultilevel"/>
    <w:tmpl w:val="79F8903E"/>
    <w:lvl w:ilvl="0" w:tplc="D7A21EAE">
      <w:start w:val="1"/>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82A360F"/>
    <w:multiLevelType w:val="hybridMultilevel"/>
    <w:tmpl w:val="46466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5D5834"/>
    <w:multiLevelType w:val="hybridMultilevel"/>
    <w:tmpl w:val="7E363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853BD"/>
    <w:multiLevelType w:val="hybridMultilevel"/>
    <w:tmpl w:val="0AB2972C"/>
    <w:lvl w:ilvl="0" w:tplc="050E6260">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257DDD"/>
    <w:multiLevelType w:val="hybridMultilevel"/>
    <w:tmpl w:val="9E06D29A"/>
    <w:lvl w:ilvl="0" w:tplc="050E6260">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D1456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nsid w:val="4B1363A0"/>
    <w:multiLevelType w:val="hybridMultilevel"/>
    <w:tmpl w:val="82EE7F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1FE48BA"/>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57053478"/>
    <w:multiLevelType w:val="hybridMultilevel"/>
    <w:tmpl w:val="0660FFB8"/>
    <w:lvl w:ilvl="0" w:tplc="89D413E2">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99B5888"/>
    <w:multiLevelType w:val="hybridMultilevel"/>
    <w:tmpl w:val="E556CF46"/>
    <w:lvl w:ilvl="0" w:tplc="8CC4CCB6">
      <w:start w:val="32"/>
      <w:numFmt w:val="bullet"/>
      <w:lvlText w:val="-"/>
      <w:lvlJc w:val="left"/>
      <w:pPr>
        <w:ind w:left="720" w:hanging="360"/>
      </w:pPr>
      <w:rPr>
        <w:rFonts w:ascii="Cambria" w:eastAsia="Times New Roman" w:hAnsi="Cambria" w:cs="Cambria"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086486D"/>
    <w:multiLevelType w:val="hybridMultilevel"/>
    <w:tmpl w:val="7E363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84D033C"/>
    <w:multiLevelType w:val="multilevel"/>
    <w:tmpl w:val="EB329D3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13"/>
  </w:num>
  <w:num w:numId="4">
    <w:abstractNumId w:val="0"/>
  </w:num>
  <w:num w:numId="5">
    <w:abstractNumId w:val="6"/>
  </w:num>
  <w:num w:numId="6">
    <w:abstractNumId w:val="9"/>
  </w:num>
  <w:num w:numId="7">
    <w:abstractNumId w:val="2"/>
  </w:num>
  <w:num w:numId="8">
    <w:abstractNumId w:val="8"/>
  </w:num>
  <w:num w:numId="9">
    <w:abstractNumId w:val="10"/>
  </w:num>
  <w:num w:numId="10">
    <w:abstractNumId w:val="11"/>
  </w:num>
  <w:num w:numId="11">
    <w:abstractNumId w:val="4"/>
  </w:num>
  <w:num w:numId="12">
    <w:abstractNumId w:val="5"/>
  </w:num>
  <w:num w:numId="13">
    <w:abstractNumId w:val="3"/>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rod Bell">
    <w15:presenceInfo w15:providerId="AD" w15:userId="S-1-5-21-1451058757-1749049392-1947940980-36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8F6"/>
    <w:rsid w:val="00003499"/>
    <w:rsid w:val="000048C8"/>
    <w:rsid w:val="00010A51"/>
    <w:rsid w:val="000120D5"/>
    <w:rsid w:val="00013247"/>
    <w:rsid w:val="0001500F"/>
    <w:rsid w:val="00015886"/>
    <w:rsid w:val="000162EF"/>
    <w:rsid w:val="0002225F"/>
    <w:rsid w:val="000227E3"/>
    <w:rsid w:val="000230C7"/>
    <w:rsid w:val="00023763"/>
    <w:rsid w:val="000326D4"/>
    <w:rsid w:val="00032EDE"/>
    <w:rsid w:val="00033B2E"/>
    <w:rsid w:val="00036BFA"/>
    <w:rsid w:val="00040895"/>
    <w:rsid w:val="00041B77"/>
    <w:rsid w:val="00043C37"/>
    <w:rsid w:val="00044D0A"/>
    <w:rsid w:val="00045DCD"/>
    <w:rsid w:val="00045ED0"/>
    <w:rsid w:val="000477DC"/>
    <w:rsid w:val="00052397"/>
    <w:rsid w:val="000546D7"/>
    <w:rsid w:val="000551F4"/>
    <w:rsid w:val="00057634"/>
    <w:rsid w:val="00057ED6"/>
    <w:rsid w:val="0006004A"/>
    <w:rsid w:val="00071248"/>
    <w:rsid w:val="000720B9"/>
    <w:rsid w:val="000804D3"/>
    <w:rsid w:val="0008126D"/>
    <w:rsid w:val="000812CA"/>
    <w:rsid w:val="00084A8A"/>
    <w:rsid w:val="00084AB5"/>
    <w:rsid w:val="00090C7E"/>
    <w:rsid w:val="00091B32"/>
    <w:rsid w:val="00091E4F"/>
    <w:rsid w:val="00094108"/>
    <w:rsid w:val="00095D49"/>
    <w:rsid w:val="00096639"/>
    <w:rsid w:val="00096DCD"/>
    <w:rsid w:val="000A0FD7"/>
    <w:rsid w:val="000A3950"/>
    <w:rsid w:val="000A72A9"/>
    <w:rsid w:val="000A784C"/>
    <w:rsid w:val="000B0AF0"/>
    <w:rsid w:val="000B0D84"/>
    <w:rsid w:val="000B124E"/>
    <w:rsid w:val="000B1AF3"/>
    <w:rsid w:val="000B36AB"/>
    <w:rsid w:val="000B5E81"/>
    <w:rsid w:val="000B7F1E"/>
    <w:rsid w:val="000C1282"/>
    <w:rsid w:val="000C1EC4"/>
    <w:rsid w:val="000C58E8"/>
    <w:rsid w:val="000D1BFC"/>
    <w:rsid w:val="000D401E"/>
    <w:rsid w:val="000D57E4"/>
    <w:rsid w:val="000D7177"/>
    <w:rsid w:val="000E1BB4"/>
    <w:rsid w:val="000E226A"/>
    <w:rsid w:val="000E36BB"/>
    <w:rsid w:val="000E72AF"/>
    <w:rsid w:val="000E758E"/>
    <w:rsid w:val="000E791F"/>
    <w:rsid w:val="000F066D"/>
    <w:rsid w:val="000F14FD"/>
    <w:rsid w:val="000F1A0F"/>
    <w:rsid w:val="000F3892"/>
    <w:rsid w:val="000F4BB8"/>
    <w:rsid w:val="000F6C6A"/>
    <w:rsid w:val="000F7127"/>
    <w:rsid w:val="000F7492"/>
    <w:rsid w:val="0010092D"/>
    <w:rsid w:val="00100F8A"/>
    <w:rsid w:val="001016CC"/>
    <w:rsid w:val="00102439"/>
    <w:rsid w:val="00104B40"/>
    <w:rsid w:val="00105A95"/>
    <w:rsid w:val="00105FE5"/>
    <w:rsid w:val="0011032E"/>
    <w:rsid w:val="0011348B"/>
    <w:rsid w:val="00113E08"/>
    <w:rsid w:val="001145B0"/>
    <w:rsid w:val="00116E19"/>
    <w:rsid w:val="00121137"/>
    <w:rsid w:val="001212A2"/>
    <w:rsid w:val="00121799"/>
    <w:rsid w:val="001222FC"/>
    <w:rsid w:val="00123421"/>
    <w:rsid w:val="001242D8"/>
    <w:rsid w:val="00124A51"/>
    <w:rsid w:val="00126621"/>
    <w:rsid w:val="00127E5D"/>
    <w:rsid w:val="001301E9"/>
    <w:rsid w:val="00130C5B"/>
    <w:rsid w:val="00132164"/>
    <w:rsid w:val="00133727"/>
    <w:rsid w:val="00135167"/>
    <w:rsid w:val="00137645"/>
    <w:rsid w:val="0013768B"/>
    <w:rsid w:val="0014015A"/>
    <w:rsid w:val="00140E99"/>
    <w:rsid w:val="00142415"/>
    <w:rsid w:val="0014285A"/>
    <w:rsid w:val="0014467C"/>
    <w:rsid w:val="001446C3"/>
    <w:rsid w:val="00145540"/>
    <w:rsid w:val="001456B0"/>
    <w:rsid w:val="00145728"/>
    <w:rsid w:val="001513B5"/>
    <w:rsid w:val="00153FD0"/>
    <w:rsid w:val="00155976"/>
    <w:rsid w:val="00156178"/>
    <w:rsid w:val="00157130"/>
    <w:rsid w:val="00160415"/>
    <w:rsid w:val="001617CB"/>
    <w:rsid w:val="001617CC"/>
    <w:rsid w:val="00162913"/>
    <w:rsid w:val="00163EFF"/>
    <w:rsid w:val="00164F76"/>
    <w:rsid w:val="001661FB"/>
    <w:rsid w:val="00172469"/>
    <w:rsid w:val="0017273D"/>
    <w:rsid w:val="00175A2C"/>
    <w:rsid w:val="00176001"/>
    <w:rsid w:val="00181C01"/>
    <w:rsid w:val="00184A82"/>
    <w:rsid w:val="001858F7"/>
    <w:rsid w:val="00185AB8"/>
    <w:rsid w:val="0018752F"/>
    <w:rsid w:val="00194985"/>
    <w:rsid w:val="00195222"/>
    <w:rsid w:val="001975D8"/>
    <w:rsid w:val="001A17F9"/>
    <w:rsid w:val="001A2416"/>
    <w:rsid w:val="001A30FA"/>
    <w:rsid w:val="001A429A"/>
    <w:rsid w:val="001A5B57"/>
    <w:rsid w:val="001A722B"/>
    <w:rsid w:val="001A7FD0"/>
    <w:rsid w:val="001B1D51"/>
    <w:rsid w:val="001B27D0"/>
    <w:rsid w:val="001B3443"/>
    <w:rsid w:val="001C00EC"/>
    <w:rsid w:val="001C219A"/>
    <w:rsid w:val="001C31ED"/>
    <w:rsid w:val="001C43F1"/>
    <w:rsid w:val="001C5B56"/>
    <w:rsid w:val="001C6E66"/>
    <w:rsid w:val="001D115F"/>
    <w:rsid w:val="001D1D5B"/>
    <w:rsid w:val="001D2D9F"/>
    <w:rsid w:val="001D42E4"/>
    <w:rsid w:val="001D7602"/>
    <w:rsid w:val="001D7991"/>
    <w:rsid w:val="001D7CE5"/>
    <w:rsid w:val="001D7F5E"/>
    <w:rsid w:val="001E0B5D"/>
    <w:rsid w:val="001E1FAE"/>
    <w:rsid w:val="001E238E"/>
    <w:rsid w:val="001E2B1E"/>
    <w:rsid w:val="001E52EB"/>
    <w:rsid w:val="001E52F5"/>
    <w:rsid w:val="001E740C"/>
    <w:rsid w:val="001F1235"/>
    <w:rsid w:val="001F141E"/>
    <w:rsid w:val="001F1CB3"/>
    <w:rsid w:val="001F25AA"/>
    <w:rsid w:val="001F53DA"/>
    <w:rsid w:val="001F5749"/>
    <w:rsid w:val="001F7361"/>
    <w:rsid w:val="001F75A7"/>
    <w:rsid w:val="001F79D3"/>
    <w:rsid w:val="001F7C57"/>
    <w:rsid w:val="00202351"/>
    <w:rsid w:val="00202466"/>
    <w:rsid w:val="0020385F"/>
    <w:rsid w:val="002045E2"/>
    <w:rsid w:val="00204F6C"/>
    <w:rsid w:val="00205763"/>
    <w:rsid w:val="00207021"/>
    <w:rsid w:val="002071D1"/>
    <w:rsid w:val="00207D00"/>
    <w:rsid w:val="002105C1"/>
    <w:rsid w:val="002116FB"/>
    <w:rsid w:val="002121DF"/>
    <w:rsid w:val="00213E15"/>
    <w:rsid w:val="00214254"/>
    <w:rsid w:val="00215DD2"/>
    <w:rsid w:val="00221AAC"/>
    <w:rsid w:val="002231A8"/>
    <w:rsid w:val="00223B49"/>
    <w:rsid w:val="00224DD4"/>
    <w:rsid w:val="00226DB1"/>
    <w:rsid w:val="00230125"/>
    <w:rsid w:val="002309CC"/>
    <w:rsid w:val="00234400"/>
    <w:rsid w:val="002372C5"/>
    <w:rsid w:val="0024253E"/>
    <w:rsid w:val="00243C1C"/>
    <w:rsid w:val="00253BCB"/>
    <w:rsid w:val="002546A6"/>
    <w:rsid w:val="00254DCF"/>
    <w:rsid w:val="0025534B"/>
    <w:rsid w:val="00255BB7"/>
    <w:rsid w:val="002567AC"/>
    <w:rsid w:val="00262A87"/>
    <w:rsid w:val="00264861"/>
    <w:rsid w:val="00265492"/>
    <w:rsid w:val="00272511"/>
    <w:rsid w:val="00272EAC"/>
    <w:rsid w:val="00275C5A"/>
    <w:rsid w:val="00280A73"/>
    <w:rsid w:val="00280B9D"/>
    <w:rsid w:val="00281014"/>
    <w:rsid w:val="00282F99"/>
    <w:rsid w:val="00283568"/>
    <w:rsid w:val="00285B5B"/>
    <w:rsid w:val="00287F4B"/>
    <w:rsid w:val="00291662"/>
    <w:rsid w:val="00294551"/>
    <w:rsid w:val="00294A1A"/>
    <w:rsid w:val="0029620F"/>
    <w:rsid w:val="002A14AB"/>
    <w:rsid w:val="002A5EC2"/>
    <w:rsid w:val="002B0C14"/>
    <w:rsid w:val="002B13B3"/>
    <w:rsid w:val="002B1C1F"/>
    <w:rsid w:val="002B3420"/>
    <w:rsid w:val="002B432F"/>
    <w:rsid w:val="002B502F"/>
    <w:rsid w:val="002B57C2"/>
    <w:rsid w:val="002B5BCB"/>
    <w:rsid w:val="002B631B"/>
    <w:rsid w:val="002B6AE3"/>
    <w:rsid w:val="002B6CCE"/>
    <w:rsid w:val="002C24ED"/>
    <w:rsid w:val="002C2775"/>
    <w:rsid w:val="002C27C1"/>
    <w:rsid w:val="002C3048"/>
    <w:rsid w:val="002C7CD0"/>
    <w:rsid w:val="002D0AA5"/>
    <w:rsid w:val="002D1A0F"/>
    <w:rsid w:val="002D349E"/>
    <w:rsid w:val="002D39D9"/>
    <w:rsid w:val="002D750B"/>
    <w:rsid w:val="002D7939"/>
    <w:rsid w:val="002D7FF2"/>
    <w:rsid w:val="002E0606"/>
    <w:rsid w:val="002E405C"/>
    <w:rsid w:val="002E5286"/>
    <w:rsid w:val="002E6015"/>
    <w:rsid w:val="002E645E"/>
    <w:rsid w:val="002F5455"/>
    <w:rsid w:val="002F5F6F"/>
    <w:rsid w:val="002F7EE5"/>
    <w:rsid w:val="00301017"/>
    <w:rsid w:val="00304C4B"/>
    <w:rsid w:val="0030786C"/>
    <w:rsid w:val="0031031A"/>
    <w:rsid w:val="003104C4"/>
    <w:rsid w:val="00310981"/>
    <w:rsid w:val="00311902"/>
    <w:rsid w:val="003130A9"/>
    <w:rsid w:val="003132A3"/>
    <w:rsid w:val="003133BE"/>
    <w:rsid w:val="00313442"/>
    <w:rsid w:val="0031366F"/>
    <w:rsid w:val="00315014"/>
    <w:rsid w:val="00315498"/>
    <w:rsid w:val="00316547"/>
    <w:rsid w:val="0032384E"/>
    <w:rsid w:val="003252CF"/>
    <w:rsid w:val="00325BF9"/>
    <w:rsid w:val="003308DD"/>
    <w:rsid w:val="00332860"/>
    <w:rsid w:val="00333235"/>
    <w:rsid w:val="003366C9"/>
    <w:rsid w:val="003371B0"/>
    <w:rsid w:val="0034017B"/>
    <w:rsid w:val="00342512"/>
    <w:rsid w:val="00342E66"/>
    <w:rsid w:val="003454BF"/>
    <w:rsid w:val="00347688"/>
    <w:rsid w:val="00350949"/>
    <w:rsid w:val="00352B15"/>
    <w:rsid w:val="00352D45"/>
    <w:rsid w:val="00353F6C"/>
    <w:rsid w:val="0035620E"/>
    <w:rsid w:val="0036042E"/>
    <w:rsid w:val="00360D94"/>
    <w:rsid w:val="00361F52"/>
    <w:rsid w:val="0036234C"/>
    <w:rsid w:val="00364FB9"/>
    <w:rsid w:val="00365389"/>
    <w:rsid w:val="00366DBE"/>
    <w:rsid w:val="003677B6"/>
    <w:rsid w:val="0037215B"/>
    <w:rsid w:val="00373267"/>
    <w:rsid w:val="00374006"/>
    <w:rsid w:val="0037521B"/>
    <w:rsid w:val="00377C64"/>
    <w:rsid w:val="00380449"/>
    <w:rsid w:val="0038365C"/>
    <w:rsid w:val="00385079"/>
    <w:rsid w:val="00390DA4"/>
    <w:rsid w:val="0039264C"/>
    <w:rsid w:val="003966BA"/>
    <w:rsid w:val="00396FD0"/>
    <w:rsid w:val="003A07E3"/>
    <w:rsid w:val="003A1A7A"/>
    <w:rsid w:val="003A234A"/>
    <w:rsid w:val="003A2DEF"/>
    <w:rsid w:val="003A4165"/>
    <w:rsid w:val="003A6F27"/>
    <w:rsid w:val="003B12F1"/>
    <w:rsid w:val="003B131A"/>
    <w:rsid w:val="003B31E4"/>
    <w:rsid w:val="003B3313"/>
    <w:rsid w:val="003B4879"/>
    <w:rsid w:val="003B7467"/>
    <w:rsid w:val="003B7746"/>
    <w:rsid w:val="003C2073"/>
    <w:rsid w:val="003C4511"/>
    <w:rsid w:val="003C5E54"/>
    <w:rsid w:val="003C63AA"/>
    <w:rsid w:val="003D1828"/>
    <w:rsid w:val="003D2422"/>
    <w:rsid w:val="003D2D5C"/>
    <w:rsid w:val="003D467C"/>
    <w:rsid w:val="003D4876"/>
    <w:rsid w:val="003D6445"/>
    <w:rsid w:val="003D680F"/>
    <w:rsid w:val="003D6F6F"/>
    <w:rsid w:val="003D7BBE"/>
    <w:rsid w:val="003E16BE"/>
    <w:rsid w:val="003E1BD0"/>
    <w:rsid w:val="003E1D70"/>
    <w:rsid w:val="003E7B18"/>
    <w:rsid w:val="003F02C9"/>
    <w:rsid w:val="003F11E5"/>
    <w:rsid w:val="003F1297"/>
    <w:rsid w:val="003F20CE"/>
    <w:rsid w:val="003F30FF"/>
    <w:rsid w:val="003F4156"/>
    <w:rsid w:val="003F46DE"/>
    <w:rsid w:val="003F693D"/>
    <w:rsid w:val="003F7D6A"/>
    <w:rsid w:val="00401526"/>
    <w:rsid w:val="00401E21"/>
    <w:rsid w:val="00410110"/>
    <w:rsid w:val="00410708"/>
    <w:rsid w:val="00410EC7"/>
    <w:rsid w:val="00413831"/>
    <w:rsid w:val="00414249"/>
    <w:rsid w:val="00414476"/>
    <w:rsid w:val="00415747"/>
    <w:rsid w:val="00415C55"/>
    <w:rsid w:val="00420B9F"/>
    <w:rsid w:val="0042142E"/>
    <w:rsid w:val="00422618"/>
    <w:rsid w:val="00427DFB"/>
    <w:rsid w:val="004319F8"/>
    <w:rsid w:val="004323AD"/>
    <w:rsid w:val="00433044"/>
    <w:rsid w:val="00437337"/>
    <w:rsid w:val="00440583"/>
    <w:rsid w:val="004440ED"/>
    <w:rsid w:val="004443A7"/>
    <w:rsid w:val="004444AE"/>
    <w:rsid w:val="0044455D"/>
    <w:rsid w:val="00444FD3"/>
    <w:rsid w:val="004464EB"/>
    <w:rsid w:val="00446F58"/>
    <w:rsid w:val="00450F49"/>
    <w:rsid w:val="00454599"/>
    <w:rsid w:val="00454B36"/>
    <w:rsid w:val="00455D45"/>
    <w:rsid w:val="00456DA3"/>
    <w:rsid w:val="00457820"/>
    <w:rsid w:val="004579A5"/>
    <w:rsid w:val="00462D1C"/>
    <w:rsid w:val="00464595"/>
    <w:rsid w:val="00465874"/>
    <w:rsid w:val="00466FEE"/>
    <w:rsid w:val="00474BA2"/>
    <w:rsid w:val="00477A03"/>
    <w:rsid w:val="00481636"/>
    <w:rsid w:val="004867E2"/>
    <w:rsid w:val="00486F93"/>
    <w:rsid w:val="00491002"/>
    <w:rsid w:val="004910D1"/>
    <w:rsid w:val="00491B3A"/>
    <w:rsid w:val="00492CFD"/>
    <w:rsid w:val="00493364"/>
    <w:rsid w:val="0049426E"/>
    <w:rsid w:val="004962D2"/>
    <w:rsid w:val="00496DA8"/>
    <w:rsid w:val="00497D22"/>
    <w:rsid w:val="004A097C"/>
    <w:rsid w:val="004A0DA1"/>
    <w:rsid w:val="004A6597"/>
    <w:rsid w:val="004A6CFC"/>
    <w:rsid w:val="004A7AAD"/>
    <w:rsid w:val="004B0A60"/>
    <w:rsid w:val="004B0E80"/>
    <w:rsid w:val="004B1895"/>
    <w:rsid w:val="004B1CB4"/>
    <w:rsid w:val="004B2F18"/>
    <w:rsid w:val="004B392B"/>
    <w:rsid w:val="004B3DDB"/>
    <w:rsid w:val="004B44FD"/>
    <w:rsid w:val="004B5CFC"/>
    <w:rsid w:val="004B7617"/>
    <w:rsid w:val="004C4AED"/>
    <w:rsid w:val="004D207A"/>
    <w:rsid w:val="004D20ED"/>
    <w:rsid w:val="004D34A5"/>
    <w:rsid w:val="004E0EB8"/>
    <w:rsid w:val="004E2374"/>
    <w:rsid w:val="004E2571"/>
    <w:rsid w:val="004E28B2"/>
    <w:rsid w:val="004E2ADC"/>
    <w:rsid w:val="004E43B2"/>
    <w:rsid w:val="004F0A5B"/>
    <w:rsid w:val="004F1D02"/>
    <w:rsid w:val="004F2679"/>
    <w:rsid w:val="004F5451"/>
    <w:rsid w:val="004F5531"/>
    <w:rsid w:val="004F7865"/>
    <w:rsid w:val="00500A75"/>
    <w:rsid w:val="00503E7B"/>
    <w:rsid w:val="005046EE"/>
    <w:rsid w:val="00505129"/>
    <w:rsid w:val="005056C6"/>
    <w:rsid w:val="00506640"/>
    <w:rsid w:val="00506928"/>
    <w:rsid w:val="005152B5"/>
    <w:rsid w:val="00515F9D"/>
    <w:rsid w:val="00517289"/>
    <w:rsid w:val="005204BC"/>
    <w:rsid w:val="00520F26"/>
    <w:rsid w:val="00521029"/>
    <w:rsid w:val="00521319"/>
    <w:rsid w:val="00523C28"/>
    <w:rsid w:val="00524AAB"/>
    <w:rsid w:val="00526DEF"/>
    <w:rsid w:val="00533580"/>
    <w:rsid w:val="00537617"/>
    <w:rsid w:val="00541D55"/>
    <w:rsid w:val="0054201F"/>
    <w:rsid w:val="00547698"/>
    <w:rsid w:val="00552316"/>
    <w:rsid w:val="00552BD3"/>
    <w:rsid w:val="00552D2B"/>
    <w:rsid w:val="005546A2"/>
    <w:rsid w:val="00554F7E"/>
    <w:rsid w:val="00555109"/>
    <w:rsid w:val="005565C8"/>
    <w:rsid w:val="00557D1A"/>
    <w:rsid w:val="00561B44"/>
    <w:rsid w:val="00563721"/>
    <w:rsid w:val="005654D6"/>
    <w:rsid w:val="00565C85"/>
    <w:rsid w:val="0056696F"/>
    <w:rsid w:val="00570ADD"/>
    <w:rsid w:val="005712D3"/>
    <w:rsid w:val="00572229"/>
    <w:rsid w:val="00572E28"/>
    <w:rsid w:val="00574320"/>
    <w:rsid w:val="00575D8D"/>
    <w:rsid w:val="0057611D"/>
    <w:rsid w:val="00576972"/>
    <w:rsid w:val="00577ECF"/>
    <w:rsid w:val="005816CD"/>
    <w:rsid w:val="00582B80"/>
    <w:rsid w:val="00583699"/>
    <w:rsid w:val="005874B5"/>
    <w:rsid w:val="00591FCB"/>
    <w:rsid w:val="005930C4"/>
    <w:rsid w:val="00593167"/>
    <w:rsid w:val="0059515F"/>
    <w:rsid w:val="00595544"/>
    <w:rsid w:val="00596A62"/>
    <w:rsid w:val="005973F0"/>
    <w:rsid w:val="0059751C"/>
    <w:rsid w:val="005A1073"/>
    <w:rsid w:val="005A37A5"/>
    <w:rsid w:val="005A388D"/>
    <w:rsid w:val="005A4CD2"/>
    <w:rsid w:val="005B4F64"/>
    <w:rsid w:val="005B5857"/>
    <w:rsid w:val="005B779A"/>
    <w:rsid w:val="005C1B83"/>
    <w:rsid w:val="005C3086"/>
    <w:rsid w:val="005C346B"/>
    <w:rsid w:val="005C5AF8"/>
    <w:rsid w:val="005C5C50"/>
    <w:rsid w:val="005C5EC7"/>
    <w:rsid w:val="005D044D"/>
    <w:rsid w:val="005D0916"/>
    <w:rsid w:val="005D18AD"/>
    <w:rsid w:val="005D5280"/>
    <w:rsid w:val="005E14A2"/>
    <w:rsid w:val="005E2507"/>
    <w:rsid w:val="005E385F"/>
    <w:rsid w:val="005E4AAA"/>
    <w:rsid w:val="005E6B47"/>
    <w:rsid w:val="005E7120"/>
    <w:rsid w:val="005E73C0"/>
    <w:rsid w:val="005F2706"/>
    <w:rsid w:val="005F4738"/>
    <w:rsid w:val="005F6A8F"/>
    <w:rsid w:val="00600C06"/>
    <w:rsid w:val="00601C5D"/>
    <w:rsid w:val="006050A6"/>
    <w:rsid w:val="00607669"/>
    <w:rsid w:val="00612F97"/>
    <w:rsid w:val="0061379B"/>
    <w:rsid w:val="00615CA4"/>
    <w:rsid w:val="00616802"/>
    <w:rsid w:val="00616E6B"/>
    <w:rsid w:val="00617E12"/>
    <w:rsid w:val="00617EDD"/>
    <w:rsid w:val="00621477"/>
    <w:rsid w:val="006257C5"/>
    <w:rsid w:val="00631000"/>
    <w:rsid w:val="00631D6B"/>
    <w:rsid w:val="00631D6C"/>
    <w:rsid w:val="006323FA"/>
    <w:rsid w:val="00632BC2"/>
    <w:rsid w:val="0063479F"/>
    <w:rsid w:val="00634A09"/>
    <w:rsid w:val="006364A1"/>
    <w:rsid w:val="0063748D"/>
    <w:rsid w:val="00637BFD"/>
    <w:rsid w:val="00640DE7"/>
    <w:rsid w:val="006411A8"/>
    <w:rsid w:val="00642A38"/>
    <w:rsid w:val="006471CC"/>
    <w:rsid w:val="006478E3"/>
    <w:rsid w:val="0065079F"/>
    <w:rsid w:val="006528DB"/>
    <w:rsid w:val="00664336"/>
    <w:rsid w:val="00672157"/>
    <w:rsid w:val="00672521"/>
    <w:rsid w:val="00672F72"/>
    <w:rsid w:val="00673282"/>
    <w:rsid w:val="00674E42"/>
    <w:rsid w:val="0067598C"/>
    <w:rsid w:val="00676DEA"/>
    <w:rsid w:val="00682112"/>
    <w:rsid w:val="006828B6"/>
    <w:rsid w:val="00684F6C"/>
    <w:rsid w:val="006872BA"/>
    <w:rsid w:val="0069002F"/>
    <w:rsid w:val="00690C72"/>
    <w:rsid w:val="006917D7"/>
    <w:rsid w:val="00691915"/>
    <w:rsid w:val="006935C6"/>
    <w:rsid w:val="00694F44"/>
    <w:rsid w:val="0069534E"/>
    <w:rsid w:val="0069658C"/>
    <w:rsid w:val="006A5328"/>
    <w:rsid w:val="006B1C47"/>
    <w:rsid w:val="006B493E"/>
    <w:rsid w:val="006B4FE8"/>
    <w:rsid w:val="006B64D5"/>
    <w:rsid w:val="006B704F"/>
    <w:rsid w:val="006B79D3"/>
    <w:rsid w:val="006C2464"/>
    <w:rsid w:val="006C2A8E"/>
    <w:rsid w:val="006C5204"/>
    <w:rsid w:val="006D37E0"/>
    <w:rsid w:val="006D3C7D"/>
    <w:rsid w:val="006D4287"/>
    <w:rsid w:val="006D5D5F"/>
    <w:rsid w:val="006D5ED4"/>
    <w:rsid w:val="006D7CBD"/>
    <w:rsid w:val="006E1A05"/>
    <w:rsid w:val="006E67CB"/>
    <w:rsid w:val="006E74CE"/>
    <w:rsid w:val="006F541B"/>
    <w:rsid w:val="006F63A5"/>
    <w:rsid w:val="007001EB"/>
    <w:rsid w:val="007005D0"/>
    <w:rsid w:val="0070102D"/>
    <w:rsid w:val="00702247"/>
    <w:rsid w:val="00702593"/>
    <w:rsid w:val="0070276E"/>
    <w:rsid w:val="00702F8F"/>
    <w:rsid w:val="00705319"/>
    <w:rsid w:val="00706686"/>
    <w:rsid w:val="00710934"/>
    <w:rsid w:val="00710DD9"/>
    <w:rsid w:val="0071161F"/>
    <w:rsid w:val="00711A36"/>
    <w:rsid w:val="00713C5A"/>
    <w:rsid w:val="007172AD"/>
    <w:rsid w:val="00717937"/>
    <w:rsid w:val="00721F9F"/>
    <w:rsid w:val="0072416F"/>
    <w:rsid w:val="00726BF5"/>
    <w:rsid w:val="00727EAA"/>
    <w:rsid w:val="00730AF4"/>
    <w:rsid w:val="0073104C"/>
    <w:rsid w:val="00735328"/>
    <w:rsid w:val="0073685B"/>
    <w:rsid w:val="007378DD"/>
    <w:rsid w:val="00737C17"/>
    <w:rsid w:val="00742824"/>
    <w:rsid w:val="0074540C"/>
    <w:rsid w:val="00746205"/>
    <w:rsid w:val="00746C2E"/>
    <w:rsid w:val="00750074"/>
    <w:rsid w:val="0075210F"/>
    <w:rsid w:val="00753B63"/>
    <w:rsid w:val="0075596B"/>
    <w:rsid w:val="007615C8"/>
    <w:rsid w:val="00761B08"/>
    <w:rsid w:val="007626B4"/>
    <w:rsid w:val="007638C9"/>
    <w:rsid w:val="00765EB0"/>
    <w:rsid w:val="00766E41"/>
    <w:rsid w:val="007722F9"/>
    <w:rsid w:val="007734D8"/>
    <w:rsid w:val="007739B3"/>
    <w:rsid w:val="007748B8"/>
    <w:rsid w:val="00775961"/>
    <w:rsid w:val="0077692C"/>
    <w:rsid w:val="0077745C"/>
    <w:rsid w:val="007824FF"/>
    <w:rsid w:val="007829AD"/>
    <w:rsid w:val="0078572A"/>
    <w:rsid w:val="00787D9F"/>
    <w:rsid w:val="00792885"/>
    <w:rsid w:val="00792ECB"/>
    <w:rsid w:val="00792F3A"/>
    <w:rsid w:val="007939FF"/>
    <w:rsid w:val="00794438"/>
    <w:rsid w:val="00794804"/>
    <w:rsid w:val="007948BD"/>
    <w:rsid w:val="00795C36"/>
    <w:rsid w:val="00796189"/>
    <w:rsid w:val="007A0A12"/>
    <w:rsid w:val="007A367B"/>
    <w:rsid w:val="007A4909"/>
    <w:rsid w:val="007A7D34"/>
    <w:rsid w:val="007B251D"/>
    <w:rsid w:val="007B4F48"/>
    <w:rsid w:val="007B77D1"/>
    <w:rsid w:val="007C286F"/>
    <w:rsid w:val="007C361D"/>
    <w:rsid w:val="007C492D"/>
    <w:rsid w:val="007D03FA"/>
    <w:rsid w:val="007D0B38"/>
    <w:rsid w:val="007D1F58"/>
    <w:rsid w:val="007D3CE9"/>
    <w:rsid w:val="007E0C57"/>
    <w:rsid w:val="007E4F66"/>
    <w:rsid w:val="007E65B4"/>
    <w:rsid w:val="007F0289"/>
    <w:rsid w:val="007F1017"/>
    <w:rsid w:val="007F4A3F"/>
    <w:rsid w:val="008039C2"/>
    <w:rsid w:val="008042FC"/>
    <w:rsid w:val="008047EB"/>
    <w:rsid w:val="00805142"/>
    <w:rsid w:val="00807A8B"/>
    <w:rsid w:val="00807C58"/>
    <w:rsid w:val="00812149"/>
    <w:rsid w:val="008166EF"/>
    <w:rsid w:val="00817DBF"/>
    <w:rsid w:val="0082205B"/>
    <w:rsid w:val="008264EB"/>
    <w:rsid w:val="00831569"/>
    <w:rsid w:val="0083188B"/>
    <w:rsid w:val="00833B05"/>
    <w:rsid w:val="008345AA"/>
    <w:rsid w:val="008359E9"/>
    <w:rsid w:val="00837FF9"/>
    <w:rsid w:val="00840B38"/>
    <w:rsid w:val="00840CA2"/>
    <w:rsid w:val="00843CAD"/>
    <w:rsid w:val="00846F5E"/>
    <w:rsid w:val="00851357"/>
    <w:rsid w:val="00853042"/>
    <w:rsid w:val="0085311C"/>
    <w:rsid w:val="00854C4F"/>
    <w:rsid w:val="00856E9A"/>
    <w:rsid w:val="00857091"/>
    <w:rsid w:val="008570AC"/>
    <w:rsid w:val="00857E1E"/>
    <w:rsid w:val="008602EE"/>
    <w:rsid w:val="0086080E"/>
    <w:rsid w:val="00862502"/>
    <w:rsid w:val="00862C6E"/>
    <w:rsid w:val="00862D23"/>
    <w:rsid w:val="008634BD"/>
    <w:rsid w:val="00864565"/>
    <w:rsid w:val="00874DFE"/>
    <w:rsid w:val="00877B0A"/>
    <w:rsid w:val="00880FD6"/>
    <w:rsid w:val="00881DB7"/>
    <w:rsid w:val="00882874"/>
    <w:rsid w:val="00883787"/>
    <w:rsid w:val="00885649"/>
    <w:rsid w:val="008863B3"/>
    <w:rsid w:val="008864CB"/>
    <w:rsid w:val="008873C2"/>
    <w:rsid w:val="00890846"/>
    <w:rsid w:val="00891187"/>
    <w:rsid w:val="00894489"/>
    <w:rsid w:val="008963A5"/>
    <w:rsid w:val="00896546"/>
    <w:rsid w:val="0089662E"/>
    <w:rsid w:val="008968A5"/>
    <w:rsid w:val="00896DD7"/>
    <w:rsid w:val="00896F36"/>
    <w:rsid w:val="00897471"/>
    <w:rsid w:val="008A3C3E"/>
    <w:rsid w:val="008A5E57"/>
    <w:rsid w:val="008A7217"/>
    <w:rsid w:val="008A79DE"/>
    <w:rsid w:val="008A7AD2"/>
    <w:rsid w:val="008B2D25"/>
    <w:rsid w:val="008B3242"/>
    <w:rsid w:val="008B7D7E"/>
    <w:rsid w:val="008C16CB"/>
    <w:rsid w:val="008C2CC0"/>
    <w:rsid w:val="008C3493"/>
    <w:rsid w:val="008C7ECB"/>
    <w:rsid w:val="008D1F12"/>
    <w:rsid w:val="008D33E1"/>
    <w:rsid w:val="008D4CBA"/>
    <w:rsid w:val="008D4D1D"/>
    <w:rsid w:val="008D7437"/>
    <w:rsid w:val="008D7801"/>
    <w:rsid w:val="008E07BF"/>
    <w:rsid w:val="008E1B9E"/>
    <w:rsid w:val="008E3237"/>
    <w:rsid w:val="008E429F"/>
    <w:rsid w:val="008E51E4"/>
    <w:rsid w:val="008E6037"/>
    <w:rsid w:val="008E7B86"/>
    <w:rsid w:val="008F0C6F"/>
    <w:rsid w:val="008F120A"/>
    <w:rsid w:val="008F3744"/>
    <w:rsid w:val="008F48EB"/>
    <w:rsid w:val="008F4B0A"/>
    <w:rsid w:val="008F4F0B"/>
    <w:rsid w:val="008F75A5"/>
    <w:rsid w:val="00901388"/>
    <w:rsid w:val="0090362B"/>
    <w:rsid w:val="00905411"/>
    <w:rsid w:val="009062A5"/>
    <w:rsid w:val="00906BE6"/>
    <w:rsid w:val="00907472"/>
    <w:rsid w:val="0091029D"/>
    <w:rsid w:val="00911272"/>
    <w:rsid w:val="00911739"/>
    <w:rsid w:val="009123E8"/>
    <w:rsid w:val="00914102"/>
    <w:rsid w:val="009225CF"/>
    <w:rsid w:val="00923E46"/>
    <w:rsid w:val="009324C9"/>
    <w:rsid w:val="00933061"/>
    <w:rsid w:val="00935BC1"/>
    <w:rsid w:val="00936249"/>
    <w:rsid w:val="00936A8A"/>
    <w:rsid w:val="00942300"/>
    <w:rsid w:val="00946E93"/>
    <w:rsid w:val="00955CF8"/>
    <w:rsid w:val="009568BF"/>
    <w:rsid w:val="00957731"/>
    <w:rsid w:val="0095785E"/>
    <w:rsid w:val="00962006"/>
    <w:rsid w:val="00962CB9"/>
    <w:rsid w:val="009632E2"/>
    <w:rsid w:val="00964312"/>
    <w:rsid w:val="00964484"/>
    <w:rsid w:val="0096587B"/>
    <w:rsid w:val="009664E1"/>
    <w:rsid w:val="009725F2"/>
    <w:rsid w:val="00973C41"/>
    <w:rsid w:val="00974293"/>
    <w:rsid w:val="00977A17"/>
    <w:rsid w:val="00981649"/>
    <w:rsid w:val="00983E57"/>
    <w:rsid w:val="00984C79"/>
    <w:rsid w:val="00987E03"/>
    <w:rsid w:val="009904EF"/>
    <w:rsid w:val="00991FD4"/>
    <w:rsid w:val="00994084"/>
    <w:rsid w:val="00996B1A"/>
    <w:rsid w:val="00997BE7"/>
    <w:rsid w:val="009A0A8E"/>
    <w:rsid w:val="009A1376"/>
    <w:rsid w:val="009A151F"/>
    <w:rsid w:val="009A5CC6"/>
    <w:rsid w:val="009B0AF1"/>
    <w:rsid w:val="009B160B"/>
    <w:rsid w:val="009B20BF"/>
    <w:rsid w:val="009B28C0"/>
    <w:rsid w:val="009B3E26"/>
    <w:rsid w:val="009B53F6"/>
    <w:rsid w:val="009C14EC"/>
    <w:rsid w:val="009C2083"/>
    <w:rsid w:val="009C619D"/>
    <w:rsid w:val="009C7BD7"/>
    <w:rsid w:val="009D1828"/>
    <w:rsid w:val="009D1CCC"/>
    <w:rsid w:val="009D3A01"/>
    <w:rsid w:val="009D5B91"/>
    <w:rsid w:val="009E1FD4"/>
    <w:rsid w:val="009E233E"/>
    <w:rsid w:val="009E3A17"/>
    <w:rsid w:val="009E48AE"/>
    <w:rsid w:val="009E4C07"/>
    <w:rsid w:val="009F0A77"/>
    <w:rsid w:val="009F4741"/>
    <w:rsid w:val="009F504C"/>
    <w:rsid w:val="009F55FE"/>
    <w:rsid w:val="00A0136E"/>
    <w:rsid w:val="00A0260B"/>
    <w:rsid w:val="00A03D43"/>
    <w:rsid w:val="00A03F8C"/>
    <w:rsid w:val="00A04380"/>
    <w:rsid w:val="00A07018"/>
    <w:rsid w:val="00A11C78"/>
    <w:rsid w:val="00A1224C"/>
    <w:rsid w:val="00A13630"/>
    <w:rsid w:val="00A13948"/>
    <w:rsid w:val="00A140D4"/>
    <w:rsid w:val="00A16DD6"/>
    <w:rsid w:val="00A22286"/>
    <w:rsid w:val="00A2556A"/>
    <w:rsid w:val="00A26901"/>
    <w:rsid w:val="00A269FD"/>
    <w:rsid w:val="00A26FC0"/>
    <w:rsid w:val="00A27AEC"/>
    <w:rsid w:val="00A30B59"/>
    <w:rsid w:val="00A32B1F"/>
    <w:rsid w:val="00A35189"/>
    <w:rsid w:val="00A35D16"/>
    <w:rsid w:val="00A365C1"/>
    <w:rsid w:val="00A378F4"/>
    <w:rsid w:val="00A4066C"/>
    <w:rsid w:val="00A4343A"/>
    <w:rsid w:val="00A43C59"/>
    <w:rsid w:val="00A44620"/>
    <w:rsid w:val="00A44958"/>
    <w:rsid w:val="00A47D06"/>
    <w:rsid w:val="00A5000C"/>
    <w:rsid w:val="00A50ECD"/>
    <w:rsid w:val="00A51B8C"/>
    <w:rsid w:val="00A52729"/>
    <w:rsid w:val="00A53675"/>
    <w:rsid w:val="00A56B6A"/>
    <w:rsid w:val="00A578DC"/>
    <w:rsid w:val="00A60366"/>
    <w:rsid w:val="00A62C47"/>
    <w:rsid w:val="00A6489D"/>
    <w:rsid w:val="00A664EF"/>
    <w:rsid w:val="00A6725B"/>
    <w:rsid w:val="00A67CFD"/>
    <w:rsid w:val="00A72070"/>
    <w:rsid w:val="00A86E8B"/>
    <w:rsid w:val="00A8732E"/>
    <w:rsid w:val="00A8799E"/>
    <w:rsid w:val="00A93072"/>
    <w:rsid w:val="00A94D66"/>
    <w:rsid w:val="00A959D8"/>
    <w:rsid w:val="00AA0D3E"/>
    <w:rsid w:val="00AA2CA6"/>
    <w:rsid w:val="00AA7E74"/>
    <w:rsid w:val="00AB042A"/>
    <w:rsid w:val="00AB047E"/>
    <w:rsid w:val="00AB2D34"/>
    <w:rsid w:val="00AB3430"/>
    <w:rsid w:val="00AB45E6"/>
    <w:rsid w:val="00AB585B"/>
    <w:rsid w:val="00AB65EE"/>
    <w:rsid w:val="00AB6DE1"/>
    <w:rsid w:val="00AB742D"/>
    <w:rsid w:val="00AB7CFA"/>
    <w:rsid w:val="00AC6C6D"/>
    <w:rsid w:val="00AC7A77"/>
    <w:rsid w:val="00AD05CD"/>
    <w:rsid w:val="00AD5824"/>
    <w:rsid w:val="00AD716F"/>
    <w:rsid w:val="00AD73AB"/>
    <w:rsid w:val="00AE0183"/>
    <w:rsid w:val="00AE1532"/>
    <w:rsid w:val="00AE1C96"/>
    <w:rsid w:val="00AE31F1"/>
    <w:rsid w:val="00AE3379"/>
    <w:rsid w:val="00AE7240"/>
    <w:rsid w:val="00AE7FE9"/>
    <w:rsid w:val="00AF14BB"/>
    <w:rsid w:val="00AF6A71"/>
    <w:rsid w:val="00AF70C9"/>
    <w:rsid w:val="00B06626"/>
    <w:rsid w:val="00B124A1"/>
    <w:rsid w:val="00B16F85"/>
    <w:rsid w:val="00B21203"/>
    <w:rsid w:val="00B213E6"/>
    <w:rsid w:val="00B21CA7"/>
    <w:rsid w:val="00B22025"/>
    <w:rsid w:val="00B27AD1"/>
    <w:rsid w:val="00B27C7A"/>
    <w:rsid w:val="00B32AED"/>
    <w:rsid w:val="00B333A9"/>
    <w:rsid w:val="00B335E5"/>
    <w:rsid w:val="00B379AD"/>
    <w:rsid w:val="00B42851"/>
    <w:rsid w:val="00B42F51"/>
    <w:rsid w:val="00B43899"/>
    <w:rsid w:val="00B505E5"/>
    <w:rsid w:val="00B50DB8"/>
    <w:rsid w:val="00B52AAD"/>
    <w:rsid w:val="00B52CBB"/>
    <w:rsid w:val="00B53639"/>
    <w:rsid w:val="00B53905"/>
    <w:rsid w:val="00B54B5B"/>
    <w:rsid w:val="00B552CA"/>
    <w:rsid w:val="00B5562E"/>
    <w:rsid w:val="00B57000"/>
    <w:rsid w:val="00B574B6"/>
    <w:rsid w:val="00B60939"/>
    <w:rsid w:val="00B60AFD"/>
    <w:rsid w:val="00B610D9"/>
    <w:rsid w:val="00B61EA5"/>
    <w:rsid w:val="00B6207D"/>
    <w:rsid w:val="00B62715"/>
    <w:rsid w:val="00B633B2"/>
    <w:rsid w:val="00B67ABE"/>
    <w:rsid w:val="00B72990"/>
    <w:rsid w:val="00B733A8"/>
    <w:rsid w:val="00B744E9"/>
    <w:rsid w:val="00B74C93"/>
    <w:rsid w:val="00B7680A"/>
    <w:rsid w:val="00B77EDB"/>
    <w:rsid w:val="00B818A4"/>
    <w:rsid w:val="00B833B0"/>
    <w:rsid w:val="00B84138"/>
    <w:rsid w:val="00B8649C"/>
    <w:rsid w:val="00B90078"/>
    <w:rsid w:val="00B92C3A"/>
    <w:rsid w:val="00B92D0B"/>
    <w:rsid w:val="00B93150"/>
    <w:rsid w:val="00B93D1F"/>
    <w:rsid w:val="00B94945"/>
    <w:rsid w:val="00B95369"/>
    <w:rsid w:val="00B955FF"/>
    <w:rsid w:val="00B97FC1"/>
    <w:rsid w:val="00BA078E"/>
    <w:rsid w:val="00BA133E"/>
    <w:rsid w:val="00BA36A5"/>
    <w:rsid w:val="00BA4779"/>
    <w:rsid w:val="00BA6170"/>
    <w:rsid w:val="00BA7A35"/>
    <w:rsid w:val="00BB0E0F"/>
    <w:rsid w:val="00BB70D7"/>
    <w:rsid w:val="00BB7405"/>
    <w:rsid w:val="00BC048D"/>
    <w:rsid w:val="00BC18C3"/>
    <w:rsid w:val="00BC1EAA"/>
    <w:rsid w:val="00BC2827"/>
    <w:rsid w:val="00BC3591"/>
    <w:rsid w:val="00BC5714"/>
    <w:rsid w:val="00BC71C7"/>
    <w:rsid w:val="00BD0753"/>
    <w:rsid w:val="00BD4ECA"/>
    <w:rsid w:val="00BD565E"/>
    <w:rsid w:val="00BD6508"/>
    <w:rsid w:val="00BD6CF3"/>
    <w:rsid w:val="00BE11F0"/>
    <w:rsid w:val="00BE2180"/>
    <w:rsid w:val="00BE3784"/>
    <w:rsid w:val="00BE3DF8"/>
    <w:rsid w:val="00BE4275"/>
    <w:rsid w:val="00BE63E6"/>
    <w:rsid w:val="00BE6C1B"/>
    <w:rsid w:val="00BF2433"/>
    <w:rsid w:val="00BF597A"/>
    <w:rsid w:val="00BF61C9"/>
    <w:rsid w:val="00BF6F79"/>
    <w:rsid w:val="00BF7CF0"/>
    <w:rsid w:val="00C043EF"/>
    <w:rsid w:val="00C12286"/>
    <w:rsid w:val="00C15058"/>
    <w:rsid w:val="00C15EF7"/>
    <w:rsid w:val="00C165FF"/>
    <w:rsid w:val="00C20886"/>
    <w:rsid w:val="00C20F0E"/>
    <w:rsid w:val="00C2158D"/>
    <w:rsid w:val="00C21874"/>
    <w:rsid w:val="00C2390E"/>
    <w:rsid w:val="00C2391A"/>
    <w:rsid w:val="00C2464C"/>
    <w:rsid w:val="00C25418"/>
    <w:rsid w:val="00C25D9C"/>
    <w:rsid w:val="00C266E0"/>
    <w:rsid w:val="00C26747"/>
    <w:rsid w:val="00C26957"/>
    <w:rsid w:val="00C301AB"/>
    <w:rsid w:val="00C30976"/>
    <w:rsid w:val="00C31649"/>
    <w:rsid w:val="00C328F9"/>
    <w:rsid w:val="00C32DA5"/>
    <w:rsid w:val="00C40385"/>
    <w:rsid w:val="00C40E80"/>
    <w:rsid w:val="00C4565E"/>
    <w:rsid w:val="00C57954"/>
    <w:rsid w:val="00C6115A"/>
    <w:rsid w:val="00C61317"/>
    <w:rsid w:val="00C61C4D"/>
    <w:rsid w:val="00C638BA"/>
    <w:rsid w:val="00C642E5"/>
    <w:rsid w:val="00C65576"/>
    <w:rsid w:val="00C66165"/>
    <w:rsid w:val="00C666F7"/>
    <w:rsid w:val="00C705A3"/>
    <w:rsid w:val="00C750C8"/>
    <w:rsid w:val="00C76ACD"/>
    <w:rsid w:val="00C76FF8"/>
    <w:rsid w:val="00C77C81"/>
    <w:rsid w:val="00C8213F"/>
    <w:rsid w:val="00C8279E"/>
    <w:rsid w:val="00C83689"/>
    <w:rsid w:val="00C84CD2"/>
    <w:rsid w:val="00C87309"/>
    <w:rsid w:val="00C8797A"/>
    <w:rsid w:val="00C90FC5"/>
    <w:rsid w:val="00C91C7A"/>
    <w:rsid w:val="00C9248D"/>
    <w:rsid w:val="00C938CF"/>
    <w:rsid w:val="00C941D2"/>
    <w:rsid w:val="00C946D3"/>
    <w:rsid w:val="00C95616"/>
    <w:rsid w:val="00C97F19"/>
    <w:rsid w:val="00CA05D8"/>
    <w:rsid w:val="00CA061B"/>
    <w:rsid w:val="00CA0A5E"/>
    <w:rsid w:val="00CA2398"/>
    <w:rsid w:val="00CA5245"/>
    <w:rsid w:val="00CA7B09"/>
    <w:rsid w:val="00CB0DA0"/>
    <w:rsid w:val="00CB520F"/>
    <w:rsid w:val="00CB56CC"/>
    <w:rsid w:val="00CB5B1A"/>
    <w:rsid w:val="00CB73F6"/>
    <w:rsid w:val="00CC5CE0"/>
    <w:rsid w:val="00CD16D0"/>
    <w:rsid w:val="00CD314C"/>
    <w:rsid w:val="00CD316E"/>
    <w:rsid w:val="00CD4404"/>
    <w:rsid w:val="00CD4741"/>
    <w:rsid w:val="00CD5298"/>
    <w:rsid w:val="00CD5535"/>
    <w:rsid w:val="00CD6ACF"/>
    <w:rsid w:val="00CD6ADC"/>
    <w:rsid w:val="00CD6F4F"/>
    <w:rsid w:val="00CE284E"/>
    <w:rsid w:val="00CE4076"/>
    <w:rsid w:val="00CE49B8"/>
    <w:rsid w:val="00CE6274"/>
    <w:rsid w:val="00CE77F6"/>
    <w:rsid w:val="00CE7AEE"/>
    <w:rsid w:val="00CF06E4"/>
    <w:rsid w:val="00CF165E"/>
    <w:rsid w:val="00CF421C"/>
    <w:rsid w:val="00CF43A2"/>
    <w:rsid w:val="00CF456B"/>
    <w:rsid w:val="00CF5028"/>
    <w:rsid w:val="00CF5A22"/>
    <w:rsid w:val="00CF6625"/>
    <w:rsid w:val="00CF7108"/>
    <w:rsid w:val="00D0262E"/>
    <w:rsid w:val="00D110BD"/>
    <w:rsid w:val="00D17D6C"/>
    <w:rsid w:val="00D213FF"/>
    <w:rsid w:val="00D22BF7"/>
    <w:rsid w:val="00D25C65"/>
    <w:rsid w:val="00D268A8"/>
    <w:rsid w:val="00D31D1B"/>
    <w:rsid w:val="00D357FF"/>
    <w:rsid w:val="00D35AA9"/>
    <w:rsid w:val="00D37B87"/>
    <w:rsid w:val="00D416F8"/>
    <w:rsid w:val="00D4657D"/>
    <w:rsid w:val="00D51BCB"/>
    <w:rsid w:val="00D535CF"/>
    <w:rsid w:val="00D55132"/>
    <w:rsid w:val="00D55348"/>
    <w:rsid w:val="00D55370"/>
    <w:rsid w:val="00D55E4C"/>
    <w:rsid w:val="00D56C48"/>
    <w:rsid w:val="00D57585"/>
    <w:rsid w:val="00D5766E"/>
    <w:rsid w:val="00D61D6C"/>
    <w:rsid w:val="00D61F83"/>
    <w:rsid w:val="00D629A8"/>
    <w:rsid w:val="00D63A6F"/>
    <w:rsid w:val="00D67834"/>
    <w:rsid w:val="00D7030B"/>
    <w:rsid w:val="00D723CD"/>
    <w:rsid w:val="00D72A31"/>
    <w:rsid w:val="00D741F3"/>
    <w:rsid w:val="00D742AD"/>
    <w:rsid w:val="00D74C60"/>
    <w:rsid w:val="00D75921"/>
    <w:rsid w:val="00D75A52"/>
    <w:rsid w:val="00D76A44"/>
    <w:rsid w:val="00D770A2"/>
    <w:rsid w:val="00D808B9"/>
    <w:rsid w:val="00D80DD1"/>
    <w:rsid w:val="00D91355"/>
    <w:rsid w:val="00D93753"/>
    <w:rsid w:val="00D947DC"/>
    <w:rsid w:val="00D961E1"/>
    <w:rsid w:val="00DA4242"/>
    <w:rsid w:val="00DA7572"/>
    <w:rsid w:val="00DA77A5"/>
    <w:rsid w:val="00DB075E"/>
    <w:rsid w:val="00DB5D22"/>
    <w:rsid w:val="00DC0819"/>
    <w:rsid w:val="00DC49E1"/>
    <w:rsid w:val="00DC5501"/>
    <w:rsid w:val="00DC5760"/>
    <w:rsid w:val="00DC5DEE"/>
    <w:rsid w:val="00DC6E23"/>
    <w:rsid w:val="00DD0510"/>
    <w:rsid w:val="00DD2818"/>
    <w:rsid w:val="00DD2931"/>
    <w:rsid w:val="00DD3392"/>
    <w:rsid w:val="00DD3718"/>
    <w:rsid w:val="00DD3F28"/>
    <w:rsid w:val="00DD4537"/>
    <w:rsid w:val="00DD4E15"/>
    <w:rsid w:val="00DE0E6F"/>
    <w:rsid w:val="00DE25A6"/>
    <w:rsid w:val="00DE2699"/>
    <w:rsid w:val="00DE2C0E"/>
    <w:rsid w:val="00DE423A"/>
    <w:rsid w:val="00DE465B"/>
    <w:rsid w:val="00DE4FCB"/>
    <w:rsid w:val="00DE5222"/>
    <w:rsid w:val="00DE7C58"/>
    <w:rsid w:val="00DF07BC"/>
    <w:rsid w:val="00DF0AFF"/>
    <w:rsid w:val="00DF2BAC"/>
    <w:rsid w:val="00DF5D2B"/>
    <w:rsid w:val="00DF7BC1"/>
    <w:rsid w:val="00E009B6"/>
    <w:rsid w:val="00E04F3E"/>
    <w:rsid w:val="00E10149"/>
    <w:rsid w:val="00E1142C"/>
    <w:rsid w:val="00E11601"/>
    <w:rsid w:val="00E11947"/>
    <w:rsid w:val="00E13D7E"/>
    <w:rsid w:val="00E16372"/>
    <w:rsid w:val="00E1727D"/>
    <w:rsid w:val="00E174C3"/>
    <w:rsid w:val="00E20ED6"/>
    <w:rsid w:val="00E21358"/>
    <w:rsid w:val="00E21743"/>
    <w:rsid w:val="00E2249B"/>
    <w:rsid w:val="00E22A0D"/>
    <w:rsid w:val="00E22D55"/>
    <w:rsid w:val="00E23492"/>
    <w:rsid w:val="00E24DD7"/>
    <w:rsid w:val="00E25FAA"/>
    <w:rsid w:val="00E2683C"/>
    <w:rsid w:val="00E26BA9"/>
    <w:rsid w:val="00E2771E"/>
    <w:rsid w:val="00E2786D"/>
    <w:rsid w:val="00E31149"/>
    <w:rsid w:val="00E31201"/>
    <w:rsid w:val="00E32FE8"/>
    <w:rsid w:val="00E3452A"/>
    <w:rsid w:val="00E36DD0"/>
    <w:rsid w:val="00E3729E"/>
    <w:rsid w:val="00E37569"/>
    <w:rsid w:val="00E4031E"/>
    <w:rsid w:val="00E41E30"/>
    <w:rsid w:val="00E42BEF"/>
    <w:rsid w:val="00E43255"/>
    <w:rsid w:val="00E43D70"/>
    <w:rsid w:val="00E44207"/>
    <w:rsid w:val="00E47B2C"/>
    <w:rsid w:val="00E50498"/>
    <w:rsid w:val="00E51560"/>
    <w:rsid w:val="00E5298E"/>
    <w:rsid w:val="00E53708"/>
    <w:rsid w:val="00E54827"/>
    <w:rsid w:val="00E5510B"/>
    <w:rsid w:val="00E55424"/>
    <w:rsid w:val="00E55BB5"/>
    <w:rsid w:val="00E56B2E"/>
    <w:rsid w:val="00E61B21"/>
    <w:rsid w:val="00E62EA9"/>
    <w:rsid w:val="00E65B93"/>
    <w:rsid w:val="00E65E79"/>
    <w:rsid w:val="00E664AA"/>
    <w:rsid w:val="00E67416"/>
    <w:rsid w:val="00E6767F"/>
    <w:rsid w:val="00E7028E"/>
    <w:rsid w:val="00E718B6"/>
    <w:rsid w:val="00E722AC"/>
    <w:rsid w:val="00E72BE7"/>
    <w:rsid w:val="00E73581"/>
    <w:rsid w:val="00E77D83"/>
    <w:rsid w:val="00E83BDF"/>
    <w:rsid w:val="00E85F0E"/>
    <w:rsid w:val="00E87257"/>
    <w:rsid w:val="00E87D3E"/>
    <w:rsid w:val="00E902C9"/>
    <w:rsid w:val="00E91C08"/>
    <w:rsid w:val="00E91F80"/>
    <w:rsid w:val="00E92816"/>
    <w:rsid w:val="00E93D21"/>
    <w:rsid w:val="00E94106"/>
    <w:rsid w:val="00E94467"/>
    <w:rsid w:val="00E94648"/>
    <w:rsid w:val="00E947C5"/>
    <w:rsid w:val="00EA02F5"/>
    <w:rsid w:val="00EA1331"/>
    <w:rsid w:val="00EA3124"/>
    <w:rsid w:val="00EA3864"/>
    <w:rsid w:val="00EA3D3D"/>
    <w:rsid w:val="00EA52B7"/>
    <w:rsid w:val="00EA6525"/>
    <w:rsid w:val="00EB0A09"/>
    <w:rsid w:val="00EB15B6"/>
    <w:rsid w:val="00EB1F69"/>
    <w:rsid w:val="00EB4916"/>
    <w:rsid w:val="00EB5446"/>
    <w:rsid w:val="00EB615E"/>
    <w:rsid w:val="00EC00C9"/>
    <w:rsid w:val="00EC0F18"/>
    <w:rsid w:val="00EC5224"/>
    <w:rsid w:val="00ED145D"/>
    <w:rsid w:val="00EE07D3"/>
    <w:rsid w:val="00EE0D70"/>
    <w:rsid w:val="00EE272F"/>
    <w:rsid w:val="00EE2C94"/>
    <w:rsid w:val="00EF080D"/>
    <w:rsid w:val="00EF2C61"/>
    <w:rsid w:val="00EF31BB"/>
    <w:rsid w:val="00EF3675"/>
    <w:rsid w:val="00EF4A9A"/>
    <w:rsid w:val="00EF569E"/>
    <w:rsid w:val="00EF6076"/>
    <w:rsid w:val="00F01CD4"/>
    <w:rsid w:val="00F062BE"/>
    <w:rsid w:val="00F067A2"/>
    <w:rsid w:val="00F10D91"/>
    <w:rsid w:val="00F13BBC"/>
    <w:rsid w:val="00F16885"/>
    <w:rsid w:val="00F22783"/>
    <w:rsid w:val="00F234D6"/>
    <w:rsid w:val="00F24837"/>
    <w:rsid w:val="00F24F16"/>
    <w:rsid w:val="00F2575F"/>
    <w:rsid w:val="00F25774"/>
    <w:rsid w:val="00F33DE9"/>
    <w:rsid w:val="00F356FC"/>
    <w:rsid w:val="00F3619A"/>
    <w:rsid w:val="00F36555"/>
    <w:rsid w:val="00F37707"/>
    <w:rsid w:val="00F41B53"/>
    <w:rsid w:val="00F438DE"/>
    <w:rsid w:val="00F46551"/>
    <w:rsid w:val="00F46CB6"/>
    <w:rsid w:val="00F470D9"/>
    <w:rsid w:val="00F47233"/>
    <w:rsid w:val="00F50ECC"/>
    <w:rsid w:val="00F525FB"/>
    <w:rsid w:val="00F53E4D"/>
    <w:rsid w:val="00F5419F"/>
    <w:rsid w:val="00F5420F"/>
    <w:rsid w:val="00F55E73"/>
    <w:rsid w:val="00F562FB"/>
    <w:rsid w:val="00F60092"/>
    <w:rsid w:val="00F6235A"/>
    <w:rsid w:val="00F62E25"/>
    <w:rsid w:val="00F63A27"/>
    <w:rsid w:val="00F6684F"/>
    <w:rsid w:val="00F70293"/>
    <w:rsid w:val="00F7050C"/>
    <w:rsid w:val="00F70C09"/>
    <w:rsid w:val="00F732CA"/>
    <w:rsid w:val="00F7338A"/>
    <w:rsid w:val="00F762CF"/>
    <w:rsid w:val="00F763A9"/>
    <w:rsid w:val="00F77B6E"/>
    <w:rsid w:val="00F77D74"/>
    <w:rsid w:val="00F80E5D"/>
    <w:rsid w:val="00F8386F"/>
    <w:rsid w:val="00F851CE"/>
    <w:rsid w:val="00F85CBF"/>
    <w:rsid w:val="00F926E8"/>
    <w:rsid w:val="00F92FC5"/>
    <w:rsid w:val="00F932C5"/>
    <w:rsid w:val="00F955C3"/>
    <w:rsid w:val="00F97A78"/>
    <w:rsid w:val="00FA11AE"/>
    <w:rsid w:val="00FA24E7"/>
    <w:rsid w:val="00FA3779"/>
    <w:rsid w:val="00FA5AD8"/>
    <w:rsid w:val="00FA5C39"/>
    <w:rsid w:val="00FB0866"/>
    <w:rsid w:val="00FB113F"/>
    <w:rsid w:val="00FB1519"/>
    <w:rsid w:val="00FB2FCB"/>
    <w:rsid w:val="00FB38DB"/>
    <w:rsid w:val="00FB498F"/>
    <w:rsid w:val="00FB49E2"/>
    <w:rsid w:val="00FB592B"/>
    <w:rsid w:val="00FB7D85"/>
    <w:rsid w:val="00FC0F1B"/>
    <w:rsid w:val="00FC1074"/>
    <w:rsid w:val="00FC1499"/>
    <w:rsid w:val="00FC1832"/>
    <w:rsid w:val="00FC1884"/>
    <w:rsid w:val="00FC222B"/>
    <w:rsid w:val="00FD2100"/>
    <w:rsid w:val="00FD315B"/>
    <w:rsid w:val="00FD446D"/>
    <w:rsid w:val="00FD4A24"/>
    <w:rsid w:val="00FD642E"/>
    <w:rsid w:val="00FE1173"/>
    <w:rsid w:val="00FE37F4"/>
    <w:rsid w:val="00FE7CD4"/>
    <w:rsid w:val="00FF0153"/>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6" w:uiPriority="3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486F93"/>
    <w:pPr>
      <w:widowControl w:val="0"/>
      <w:jc w:val="both"/>
    </w:pPr>
    <w:rPr>
      <w:rFonts w:ascii="Arial" w:hAnsi="Arial" w:cs="Arial"/>
      <w:snapToGrid w:val="0"/>
      <w:sz w:val="22"/>
      <w:lang w:eastAsia="en-US"/>
    </w:rPr>
  </w:style>
  <w:style w:type="paragraph" w:styleId="Heading1">
    <w:name w:val="heading 1"/>
    <w:basedOn w:val="PBACHeading1"/>
    <w:next w:val="Normal"/>
    <w:qFormat/>
    <w:rsid w:val="0070102D"/>
    <w:pPr>
      <w:outlineLvl w:val="0"/>
    </w:pPr>
  </w:style>
  <w:style w:type="paragraph" w:styleId="Heading2">
    <w:name w:val="heading 2"/>
    <w:basedOn w:val="Normal"/>
    <w:next w:val="Normal"/>
    <w:link w:val="Heading2Char"/>
    <w:qFormat/>
    <w:rsid w:val="0070102D"/>
    <w:pPr>
      <w:spacing w:after="200" w:line="276" w:lineRule="auto"/>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0102D"/>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PBACHeading1"/>
    <w:next w:val="Normal"/>
    <w:link w:val="TitleChar"/>
    <w:rsid w:val="0070102D"/>
    <w:pPr>
      <w:numPr>
        <w:numId w:val="0"/>
      </w:numPr>
      <w:ind w:left="720" w:hanging="720"/>
      <w:outlineLvl w:val="0"/>
    </w:pPr>
    <w:rPr>
      <w:rFonts w:ascii="Arial Bold" w:hAnsi="Arial Bold"/>
      <w:caps/>
      <w:sz w:val="28"/>
      <w:szCs w:val="20"/>
    </w:rPr>
  </w:style>
  <w:style w:type="character" w:customStyle="1" w:styleId="TitleChar">
    <w:name w:val="Title Char"/>
    <w:basedOn w:val="DefaultParagraphFont"/>
    <w:link w:val="Title"/>
    <w:rsid w:val="0070102D"/>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paragraph" w:customStyle="1" w:styleId="COMBody">
    <w:name w:val="COMBody"/>
    <w:basedOn w:val="Normal"/>
    <w:link w:val="COMBodyChar"/>
    <w:qFormat/>
    <w:rsid w:val="00280A73"/>
    <w:rPr>
      <w:snapToGrid/>
      <w:szCs w:val="22"/>
    </w:rPr>
  </w:style>
  <w:style w:type="character" w:customStyle="1" w:styleId="COMBodyChar">
    <w:name w:val="COMBody Char"/>
    <w:basedOn w:val="DefaultParagraphFont"/>
    <w:link w:val="COMBody"/>
    <w:rsid w:val="00280A73"/>
    <w:rPr>
      <w:rFonts w:ascii="Arial" w:hAnsi="Arial" w:cs="Arial"/>
      <w:sz w:val="22"/>
      <w:szCs w:val="22"/>
      <w:lang w:eastAsia="en-US"/>
    </w:rPr>
  </w:style>
  <w:style w:type="paragraph" w:customStyle="1" w:styleId="TableHeaderRow">
    <w:name w:val="Table Header Row"/>
    <w:basedOn w:val="Normal"/>
    <w:qFormat/>
    <w:rsid w:val="00524AAB"/>
    <w:pPr>
      <w:keepNext/>
      <w:widowControl/>
      <w:spacing w:before="60" w:after="60"/>
      <w:contextualSpacing/>
      <w:jc w:val="center"/>
    </w:pPr>
    <w:rPr>
      <w:rFonts w:cs="Times New Roman"/>
      <w:b/>
      <w:snapToGrid/>
      <w:sz w:val="20"/>
      <w:szCs w:val="24"/>
      <w:lang w:eastAsia="en-AU"/>
    </w:rPr>
  </w:style>
  <w:style w:type="paragraph" w:customStyle="1" w:styleId="TableText1">
    <w:name w:val="Table Text"/>
    <w:basedOn w:val="Normal"/>
    <w:qFormat/>
    <w:rsid w:val="009D1828"/>
    <w:pPr>
      <w:widowControl/>
      <w:spacing w:before="40" w:after="40"/>
      <w:jc w:val="left"/>
    </w:pPr>
    <w:rPr>
      <w:rFonts w:eastAsia="SimSun" w:cs="Arial Narrow"/>
      <w:snapToGrid/>
      <w:sz w:val="20"/>
    </w:rPr>
  </w:style>
  <w:style w:type="paragraph" w:customStyle="1" w:styleId="COMtbl-HEADLeftAligned">
    <w:name w:val="COMtbl-HEAD Left Aligned"/>
    <w:basedOn w:val="Normal"/>
    <w:qFormat/>
    <w:rsid w:val="00287F4B"/>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287F4B"/>
    <w:pPr>
      <w:jc w:val="center"/>
    </w:pPr>
  </w:style>
  <w:style w:type="paragraph" w:customStyle="1" w:styleId="COMTbl-cap">
    <w:name w:val="COMTbl-cap"/>
    <w:basedOn w:val="Normal"/>
    <w:link w:val="COMTbl-capChar"/>
    <w:qFormat/>
    <w:rsid w:val="00287F4B"/>
    <w:pPr>
      <w:keepNext/>
    </w:pPr>
    <w:rPr>
      <w:rFonts w:ascii="Arial Narrow" w:hAnsi="Arial Narrow"/>
      <w:b/>
      <w:sz w:val="20"/>
    </w:rPr>
  </w:style>
  <w:style w:type="character" w:customStyle="1" w:styleId="COMTbl-capChar">
    <w:name w:val="COMTbl-cap Char"/>
    <w:basedOn w:val="DefaultParagraphFont"/>
    <w:link w:val="COMTbl-cap"/>
    <w:rsid w:val="00287F4B"/>
    <w:rPr>
      <w:rFonts w:ascii="Arial Narrow" w:hAnsi="Arial Narrow" w:cs="Arial"/>
      <w:b/>
      <w:snapToGrid w:val="0"/>
      <w:lang w:eastAsia="en-US"/>
    </w:rPr>
  </w:style>
  <w:style w:type="paragraph" w:customStyle="1" w:styleId="COMtbl-textLeftAligned">
    <w:name w:val="COMtbl-text Left Aligned"/>
    <w:basedOn w:val="COMtbl-HEADLeftAligned"/>
    <w:qFormat/>
    <w:rsid w:val="00287F4B"/>
    <w:rPr>
      <w:b w:val="0"/>
    </w:rPr>
  </w:style>
  <w:style w:type="paragraph" w:customStyle="1" w:styleId="COMtbl-textCentred">
    <w:name w:val="COMtbl-text Centred"/>
    <w:basedOn w:val="COMtbl-HEADCentred"/>
    <w:qFormat/>
    <w:rsid w:val="00287F4B"/>
    <w:rPr>
      <w:b w:val="0"/>
    </w:rPr>
  </w:style>
  <w:style w:type="table" w:customStyle="1" w:styleId="TableGrid1">
    <w:name w:val="Table Grid1"/>
    <w:basedOn w:val="TableNormal"/>
    <w:next w:val="TableGrid"/>
    <w:uiPriority w:val="59"/>
    <w:rsid w:val="001724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s">
    <w:name w:val="Table Footnotes"/>
    <w:basedOn w:val="Normal"/>
    <w:qFormat/>
    <w:rsid w:val="003C4511"/>
    <w:pPr>
      <w:widowControl/>
      <w:spacing w:after="360"/>
      <w:contextualSpacing/>
      <w:jc w:val="left"/>
    </w:pPr>
    <w:rPr>
      <w:rFonts w:asciiTheme="minorHAnsi" w:hAnsiTheme="minorHAnsi"/>
      <w:snapToGrid/>
      <w:sz w:val="18"/>
      <w:szCs w:val="22"/>
      <w:lang w:eastAsia="en-AU"/>
    </w:rPr>
  </w:style>
  <w:style w:type="paragraph" w:customStyle="1" w:styleId="COMTbl-foot">
    <w:name w:val="COMTbl-foot"/>
    <w:basedOn w:val="TableFooter"/>
    <w:link w:val="COMTbl-footChar"/>
    <w:qFormat/>
    <w:rsid w:val="00D72A31"/>
  </w:style>
  <w:style w:type="character" w:customStyle="1" w:styleId="COMTbl-footChar">
    <w:name w:val="COMTbl-foot Char"/>
    <w:basedOn w:val="DefaultParagraphFont"/>
    <w:link w:val="COMTbl-foot"/>
    <w:rsid w:val="00D72A31"/>
    <w:rPr>
      <w:rFonts w:ascii="Arial Narrow" w:hAnsi="Arial Narrow" w:cs="Arial"/>
      <w:snapToGrid w:val="0"/>
      <w:sz w:val="18"/>
      <w:lang w:eastAsia="en-US"/>
    </w:rPr>
  </w:style>
  <w:style w:type="paragraph" w:customStyle="1" w:styleId="COMH2">
    <w:name w:val="COMH2"/>
    <w:basedOn w:val="Heading2"/>
    <w:link w:val="COMH2Char"/>
    <w:qFormat/>
    <w:rsid w:val="003C2073"/>
    <w:pPr>
      <w:keepNext/>
      <w:spacing w:after="220"/>
    </w:pPr>
  </w:style>
  <w:style w:type="character" w:customStyle="1" w:styleId="COMH2Char">
    <w:name w:val="COMH2 Char"/>
    <w:basedOn w:val="Heading2Char"/>
    <w:link w:val="COMH2"/>
    <w:rsid w:val="003C2073"/>
    <w:rPr>
      <w:rFonts w:ascii="Arial" w:hAnsi="Arial" w:cs="Arial"/>
      <w:b/>
      <w:bCs/>
      <w:snapToGrid w:val="0"/>
      <w:sz w:val="22"/>
      <w:szCs w:val="22"/>
      <w:lang w:eastAsia="en-US"/>
    </w:rPr>
  </w:style>
  <w:style w:type="paragraph" w:customStyle="1" w:styleId="Default">
    <w:name w:val="Default"/>
    <w:rsid w:val="00E72BE7"/>
    <w:pPr>
      <w:autoSpaceDE w:val="0"/>
      <w:autoSpaceDN w:val="0"/>
      <w:adjustRightInd w:val="0"/>
    </w:pPr>
    <w:rPr>
      <w:rFonts w:ascii="Cambria" w:hAnsi="Cambria" w:cs="Cambria"/>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90FC5"/>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C266E0"/>
    <w:rPr>
      <w:b/>
      <w:bCs/>
      <w:i/>
      <w:smallCaps/>
      <w:color w:val="C0504D" w:themeColor="accent2"/>
      <w:spacing w:val="5"/>
      <w:u w:val="none"/>
    </w:rPr>
  </w:style>
  <w:style w:type="character" w:customStyle="1" w:styleId="ListParagraphChar">
    <w:name w:val="List Paragraph Char"/>
    <w:link w:val="ListParagraph"/>
    <w:uiPriority w:val="72"/>
    <w:rsid w:val="00E3452A"/>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6" w:uiPriority="3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486F93"/>
    <w:pPr>
      <w:widowControl w:val="0"/>
      <w:jc w:val="both"/>
    </w:pPr>
    <w:rPr>
      <w:rFonts w:ascii="Arial" w:hAnsi="Arial" w:cs="Arial"/>
      <w:snapToGrid w:val="0"/>
      <w:sz w:val="22"/>
      <w:lang w:eastAsia="en-US"/>
    </w:rPr>
  </w:style>
  <w:style w:type="paragraph" w:styleId="Heading1">
    <w:name w:val="heading 1"/>
    <w:basedOn w:val="PBACHeading1"/>
    <w:next w:val="Normal"/>
    <w:qFormat/>
    <w:rsid w:val="0070102D"/>
    <w:pPr>
      <w:outlineLvl w:val="0"/>
    </w:pPr>
  </w:style>
  <w:style w:type="paragraph" w:styleId="Heading2">
    <w:name w:val="heading 2"/>
    <w:basedOn w:val="Normal"/>
    <w:next w:val="Normal"/>
    <w:link w:val="Heading2Char"/>
    <w:qFormat/>
    <w:rsid w:val="0070102D"/>
    <w:pPr>
      <w:spacing w:after="200" w:line="276" w:lineRule="auto"/>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0102D"/>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PBACHeading1"/>
    <w:next w:val="Normal"/>
    <w:link w:val="TitleChar"/>
    <w:rsid w:val="0070102D"/>
    <w:pPr>
      <w:numPr>
        <w:numId w:val="0"/>
      </w:numPr>
      <w:ind w:left="720" w:hanging="720"/>
      <w:outlineLvl w:val="0"/>
    </w:pPr>
    <w:rPr>
      <w:rFonts w:ascii="Arial Bold" w:hAnsi="Arial Bold"/>
      <w:caps/>
      <w:sz w:val="28"/>
      <w:szCs w:val="20"/>
    </w:rPr>
  </w:style>
  <w:style w:type="character" w:customStyle="1" w:styleId="TitleChar">
    <w:name w:val="Title Char"/>
    <w:basedOn w:val="DefaultParagraphFont"/>
    <w:link w:val="Title"/>
    <w:rsid w:val="0070102D"/>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paragraph" w:customStyle="1" w:styleId="COMBody">
    <w:name w:val="COMBody"/>
    <w:basedOn w:val="Normal"/>
    <w:link w:val="COMBodyChar"/>
    <w:qFormat/>
    <w:rsid w:val="00280A73"/>
    <w:rPr>
      <w:snapToGrid/>
      <w:szCs w:val="22"/>
    </w:rPr>
  </w:style>
  <w:style w:type="character" w:customStyle="1" w:styleId="COMBodyChar">
    <w:name w:val="COMBody Char"/>
    <w:basedOn w:val="DefaultParagraphFont"/>
    <w:link w:val="COMBody"/>
    <w:rsid w:val="00280A73"/>
    <w:rPr>
      <w:rFonts w:ascii="Arial" w:hAnsi="Arial" w:cs="Arial"/>
      <w:sz w:val="22"/>
      <w:szCs w:val="22"/>
      <w:lang w:eastAsia="en-US"/>
    </w:rPr>
  </w:style>
  <w:style w:type="paragraph" w:customStyle="1" w:styleId="TableHeaderRow">
    <w:name w:val="Table Header Row"/>
    <w:basedOn w:val="Normal"/>
    <w:qFormat/>
    <w:rsid w:val="00524AAB"/>
    <w:pPr>
      <w:keepNext/>
      <w:widowControl/>
      <w:spacing w:before="60" w:after="60"/>
      <w:contextualSpacing/>
      <w:jc w:val="center"/>
    </w:pPr>
    <w:rPr>
      <w:rFonts w:cs="Times New Roman"/>
      <w:b/>
      <w:snapToGrid/>
      <w:sz w:val="20"/>
      <w:szCs w:val="24"/>
      <w:lang w:eastAsia="en-AU"/>
    </w:rPr>
  </w:style>
  <w:style w:type="paragraph" w:customStyle="1" w:styleId="TableText1">
    <w:name w:val="Table Text"/>
    <w:basedOn w:val="Normal"/>
    <w:qFormat/>
    <w:rsid w:val="009D1828"/>
    <w:pPr>
      <w:widowControl/>
      <w:spacing w:before="40" w:after="40"/>
      <w:jc w:val="left"/>
    </w:pPr>
    <w:rPr>
      <w:rFonts w:eastAsia="SimSun" w:cs="Arial Narrow"/>
      <w:snapToGrid/>
      <w:sz w:val="20"/>
    </w:rPr>
  </w:style>
  <w:style w:type="paragraph" w:customStyle="1" w:styleId="COMtbl-HEADLeftAligned">
    <w:name w:val="COMtbl-HEAD Left Aligned"/>
    <w:basedOn w:val="Normal"/>
    <w:qFormat/>
    <w:rsid w:val="00287F4B"/>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287F4B"/>
    <w:pPr>
      <w:jc w:val="center"/>
    </w:pPr>
  </w:style>
  <w:style w:type="paragraph" w:customStyle="1" w:styleId="COMTbl-cap">
    <w:name w:val="COMTbl-cap"/>
    <w:basedOn w:val="Normal"/>
    <w:link w:val="COMTbl-capChar"/>
    <w:qFormat/>
    <w:rsid w:val="00287F4B"/>
    <w:pPr>
      <w:keepNext/>
    </w:pPr>
    <w:rPr>
      <w:rFonts w:ascii="Arial Narrow" w:hAnsi="Arial Narrow"/>
      <w:b/>
      <w:sz w:val="20"/>
    </w:rPr>
  </w:style>
  <w:style w:type="character" w:customStyle="1" w:styleId="COMTbl-capChar">
    <w:name w:val="COMTbl-cap Char"/>
    <w:basedOn w:val="DefaultParagraphFont"/>
    <w:link w:val="COMTbl-cap"/>
    <w:rsid w:val="00287F4B"/>
    <w:rPr>
      <w:rFonts w:ascii="Arial Narrow" w:hAnsi="Arial Narrow" w:cs="Arial"/>
      <w:b/>
      <w:snapToGrid w:val="0"/>
      <w:lang w:eastAsia="en-US"/>
    </w:rPr>
  </w:style>
  <w:style w:type="paragraph" w:customStyle="1" w:styleId="COMtbl-textLeftAligned">
    <w:name w:val="COMtbl-text Left Aligned"/>
    <w:basedOn w:val="COMtbl-HEADLeftAligned"/>
    <w:qFormat/>
    <w:rsid w:val="00287F4B"/>
    <w:rPr>
      <w:b w:val="0"/>
    </w:rPr>
  </w:style>
  <w:style w:type="paragraph" w:customStyle="1" w:styleId="COMtbl-textCentred">
    <w:name w:val="COMtbl-text Centred"/>
    <w:basedOn w:val="COMtbl-HEADCentred"/>
    <w:qFormat/>
    <w:rsid w:val="00287F4B"/>
    <w:rPr>
      <w:b w:val="0"/>
    </w:rPr>
  </w:style>
  <w:style w:type="table" w:customStyle="1" w:styleId="TableGrid1">
    <w:name w:val="Table Grid1"/>
    <w:basedOn w:val="TableNormal"/>
    <w:next w:val="TableGrid"/>
    <w:uiPriority w:val="59"/>
    <w:rsid w:val="001724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s">
    <w:name w:val="Table Footnotes"/>
    <w:basedOn w:val="Normal"/>
    <w:qFormat/>
    <w:rsid w:val="003C4511"/>
    <w:pPr>
      <w:widowControl/>
      <w:spacing w:after="360"/>
      <w:contextualSpacing/>
      <w:jc w:val="left"/>
    </w:pPr>
    <w:rPr>
      <w:rFonts w:asciiTheme="minorHAnsi" w:hAnsiTheme="minorHAnsi"/>
      <w:snapToGrid/>
      <w:sz w:val="18"/>
      <w:szCs w:val="22"/>
      <w:lang w:eastAsia="en-AU"/>
    </w:rPr>
  </w:style>
  <w:style w:type="paragraph" w:customStyle="1" w:styleId="COMTbl-foot">
    <w:name w:val="COMTbl-foot"/>
    <w:basedOn w:val="TableFooter"/>
    <w:link w:val="COMTbl-footChar"/>
    <w:qFormat/>
    <w:rsid w:val="00D72A31"/>
  </w:style>
  <w:style w:type="character" w:customStyle="1" w:styleId="COMTbl-footChar">
    <w:name w:val="COMTbl-foot Char"/>
    <w:basedOn w:val="DefaultParagraphFont"/>
    <w:link w:val="COMTbl-foot"/>
    <w:rsid w:val="00D72A31"/>
    <w:rPr>
      <w:rFonts w:ascii="Arial Narrow" w:hAnsi="Arial Narrow" w:cs="Arial"/>
      <w:snapToGrid w:val="0"/>
      <w:sz w:val="18"/>
      <w:lang w:eastAsia="en-US"/>
    </w:rPr>
  </w:style>
  <w:style w:type="paragraph" w:customStyle="1" w:styleId="COMH2">
    <w:name w:val="COMH2"/>
    <w:basedOn w:val="Heading2"/>
    <w:link w:val="COMH2Char"/>
    <w:qFormat/>
    <w:rsid w:val="003C2073"/>
    <w:pPr>
      <w:keepNext/>
      <w:spacing w:after="220"/>
    </w:pPr>
  </w:style>
  <w:style w:type="character" w:customStyle="1" w:styleId="COMH2Char">
    <w:name w:val="COMH2 Char"/>
    <w:basedOn w:val="Heading2Char"/>
    <w:link w:val="COMH2"/>
    <w:rsid w:val="003C2073"/>
    <w:rPr>
      <w:rFonts w:ascii="Arial" w:hAnsi="Arial" w:cs="Arial"/>
      <w:b/>
      <w:bCs/>
      <w:snapToGrid w:val="0"/>
      <w:sz w:val="22"/>
      <w:szCs w:val="22"/>
      <w:lang w:eastAsia="en-US"/>
    </w:rPr>
  </w:style>
  <w:style w:type="paragraph" w:customStyle="1" w:styleId="Default">
    <w:name w:val="Default"/>
    <w:rsid w:val="00E72BE7"/>
    <w:pPr>
      <w:autoSpaceDE w:val="0"/>
      <w:autoSpaceDN w:val="0"/>
      <w:adjustRightInd w:val="0"/>
    </w:pPr>
    <w:rPr>
      <w:rFonts w:ascii="Cambria" w:hAnsi="Cambria" w:cs="Cambria"/>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90FC5"/>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C266E0"/>
    <w:rPr>
      <w:b/>
      <w:bCs/>
      <w:i/>
      <w:smallCaps/>
      <w:color w:val="C0504D" w:themeColor="accent2"/>
      <w:spacing w:val="5"/>
      <w:u w:val="none"/>
    </w:rPr>
  </w:style>
  <w:style w:type="character" w:customStyle="1" w:styleId="ListParagraphChar">
    <w:name w:val="List Paragraph Char"/>
    <w:link w:val="ListParagraph"/>
    <w:uiPriority w:val="72"/>
    <w:rsid w:val="00E3452A"/>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3769">
      <w:bodyDiv w:val="1"/>
      <w:marLeft w:val="0"/>
      <w:marRight w:val="0"/>
      <w:marTop w:val="0"/>
      <w:marBottom w:val="0"/>
      <w:divBdr>
        <w:top w:val="none" w:sz="0" w:space="0" w:color="auto"/>
        <w:left w:val="none" w:sz="0" w:space="0" w:color="auto"/>
        <w:bottom w:val="none" w:sz="0" w:space="0" w:color="auto"/>
        <w:right w:val="none" w:sz="0" w:space="0" w:color="auto"/>
      </w:divBdr>
    </w:div>
    <w:div w:id="558709600">
      <w:bodyDiv w:val="1"/>
      <w:marLeft w:val="0"/>
      <w:marRight w:val="0"/>
      <w:marTop w:val="0"/>
      <w:marBottom w:val="0"/>
      <w:divBdr>
        <w:top w:val="none" w:sz="0" w:space="0" w:color="auto"/>
        <w:left w:val="none" w:sz="0" w:space="0" w:color="auto"/>
        <w:bottom w:val="none" w:sz="0" w:space="0" w:color="auto"/>
        <w:right w:val="none" w:sz="0" w:space="0" w:color="auto"/>
      </w:divBdr>
    </w:div>
    <w:div w:id="620697004">
      <w:bodyDiv w:val="1"/>
      <w:marLeft w:val="0"/>
      <w:marRight w:val="0"/>
      <w:marTop w:val="0"/>
      <w:marBottom w:val="0"/>
      <w:divBdr>
        <w:top w:val="none" w:sz="0" w:space="0" w:color="auto"/>
        <w:left w:val="none" w:sz="0" w:space="0" w:color="auto"/>
        <w:bottom w:val="none" w:sz="0" w:space="0" w:color="auto"/>
        <w:right w:val="none" w:sz="0" w:space="0" w:color="auto"/>
      </w:divBdr>
    </w:div>
    <w:div w:id="789282580">
      <w:bodyDiv w:val="1"/>
      <w:marLeft w:val="0"/>
      <w:marRight w:val="0"/>
      <w:marTop w:val="0"/>
      <w:marBottom w:val="0"/>
      <w:divBdr>
        <w:top w:val="none" w:sz="0" w:space="0" w:color="auto"/>
        <w:left w:val="none" w:sz="0" w:space="0" w:color="auto"/>
        <w:bottom w:val="none" w:sz="0" w:space="0" w:color="auto"/>
        <w:right w:val="none" w:sz="0" w:space="0" w:color="auto"/>
      </w:divBdr>
      <w:divsChild>
        <w:div w:id="1899244705">
          <w:marLeft w:val="0"/>
          <w:marRight w:val="120"/>
          <w:marTop w:val="0"/>
          <w:marBottom w:val="0"/>
          <w:divBdr>
            <w:top w:val="none" w:sz="0" w:space="0" w:color="auto"/>
            <w:left w:val="none" w:sz="0" w:space="0" w:color="auto"/>
            <w:bottom w:val="none" w:sz="0" w:space="0" w:color="auto"/>
            <w:right w:val="none" w:sz="0" w:space="0" w:color="auto"/>
          </w:divBdr>
          <w:divsChild>
            <w:div w:id="2003657134">
              <w:marLeft w:val="0"/>
              <w:marRight w:val="0"/>
              <w:marTop w:val="0"/>
              <w:marBottom w:val="0"/>
              <w:divBdr>
                <w:top w:val="none" w:sz="0" w:space="0" w:color="auto"/>
                <w:left w:val="none" w:sz="0" w:space="0" w:color="auto"/>
                <w:bottom w:val="none" w:sz="0" w:space="0" w:color="auto"/>
                <w:right w:val="none" w:sz="0" w:space="0" w:color="auto"/>
              </w:divBdr>
              <w:divsChild>
                <w:div w:id="1929577322">
                  <w:marLeft w:val="0"/>
                  <w:marRight w:val="0"/>
                  <w:marTop w:val="0"/>
                  <w:marBottom w:val="0"/>
                  <w:divBdr>
                    <w:top w:val="none" w:sz="0" w:space="0" w:color="auto"/>
                    <w:left w:val="none" w:sz="0" w:space="0" w:color="auto"/>
                    <w:bottom w:val="none" w:sz="0" w:space="0" w:color="auto"/>
                    <w:right w:val="none" w:sz="0" w:space="0" w:color="auto"/>
                  </w:divBdr>
                  <w:divsChild>
                    <w:div w:id="1921987494">
                      <w:marLeft w:val="0"/>
                      <w:marRight w:val="0"/>
                      <w:marTop w:val="0"/>
                      <w:marBottom w:val="0"/>
                      <w:divBdr>
                        <w:top w:val="none" w:sz="0" w:space="0" w:color="auto"/>
                        <w:left w:val="none" w:sz="0" w:space="0" w:color="auto"/>
                        <w:bottom w:val="none" w:sz="0" w:space="0" w:color="auto"/>
                        <w:right w:val="none" w:sz="0" w:space="0" w:color="auto"/>
                      </w:divBdr>
                      <w:divsChild>
                        <w:div w:id="168251470">
                          <w:marLeft w:val="0"/>
                          <w:marRight w:val="0"/>
                          <w:marTop w:val="0"/>
                          <w:marBottom w:val="0"/>
                          <w:divBdr>
                            <w:top w:val="none" w:sz="0" w:space="0" w:color="auto"/>
                            <w:left w:val="none" w:sz="0" w:space="0" w:color="auto"/>
                            <w:bottom w:val="none" w:sz="0" w:space="0" w:color="auto"/>
                            <w:right w:val="none" w:sz="0" w:space="0" w:color="auto"/>
                          </w:divBdr>
                          <w:divsChild>
                            <w:div w:id="1289625162">
                              <w:marLeft w:val="0"/>
                              <w:marRight w:val="0"/>
                              <w:marTop w:val="0"/>
                              <w:marBottom w:val="0"/>
                              <w:divBdr>
                                <w:top w:val="none" w:sz="0" w:space="0" w:color="auto"/>
                                <w:left w:val="none" w:sz="0" w:space="0" w:color="auto"/>
                                <w:bottom w:val="none" w:sz="0" w:space="0" w:color="auto"/>
                                <w:right w:val="none" w:sz="0" w:space="0" w:color="auto"/>
                              </w:divBdr>
                              <w:divsChild>
                                <w:div w:id="1602296192">
                                  <w:marLeft w:val="0"/>
                                  <w:marRight w:val="0"/>
                                  <w:marTop w:val="0"/>
                                  <w:marBottom w:val="0"/>
                                  <w:divBdr>
                                    <w:top w:val="none" w:sz="0" w:space="0" w:color="auto"/>
                                    <w:left w:val="none" w:sz="0" w:space="0" w:color="auto"/>
                                    <w:bottom w:val="none" w:sz="0" w:space="0" w:color="auto"/>
                                    <w:right w:val="none" w:sz="0" w:space="0" w:color="auto"/>
                                  </w:divBdr>
                                  <w:divsChild>
                                    <w:div w:id="2040281655">
                                      <w:marLeft w:val="0"/>
                                      <w:marRight w:val="0"/>
                                      <w:marTop w:val="0"/>
                                      <w:marBottom w:val="0"/>
                                      <w:divBdr>
                                        <w:top w:val="none" w:sz="0" w:space="0" w:color="auto"/>
                                        <w:left w:val="none" w:sz="0" w:space="0" w:color="auto"/>
                                        <w:bottom w:val="none" w:sz="0" w:space="0" w:color="auto"/>
                                        <w:right w:val="none" w:sz="0" w:space="0" w:color="auto"/>
                                      </w:divBdr>
                                      <w:divsChild>
                                        <w:div w:id="1281184927">
                                          <w:marLeft w:val="0"/>
                                          <w:marRight w:val="0"/>
                                          <w:marTop w:val="0"/>
                                          <w:marBottom w:val="0"/>
                                          <w:divBdr>
                                            <w:top w:val="none" w:sz="0" w:space="0" w:color="auto"/>
                                            <w:left w:val="none" w:sz="0" w:space="0" w:color="auto"/>
                                            <w:bottom w:val="none" w:sz="0" w:space="0" w:color="auto"/>
                                            <w:right w:val="none" w:sz="0" w:space="0" w:color="auto"/>
                                          </w:divBdr>
                                          <w:divsChild>
                                            <w:div w:id="1091664700">
                                              <w:marLeft w:val="0"/>
                                              <w:marRight w:val="0"/>
                                              <w:marTop w:val="0"/>
                                              <w:marBottom w:val="0"/>
                                              <w:divBdr>
                                                <w:top w:val="none" w:sz="0" w:space="0" w:color="auto"/>
                                                <w:left w:val="none" w:sz="0" w:space="0" w:color="auto"/>
                                                <w:bottom w:val="none" w:sz="0" w:space="0" w:color="auto"/>
                                                <w:right w:val="none" w:sz="0" w:space="0" w:color="auto"/>
                                              </w:divBdr>
                                              <w:divsChild>
                                                <w:div w:id="771822381">
                                                  <w:marLeft w:val="0"/>
                                                  <w:marRight w:val="0"/>
                                                  <w:marTop w:val="0"/>
                                                  <w:marBottom w:val="0"/>
                                                  <w:divBdr>
                                                    <w:top w:val="none" w:sz="0" w:space="0" w:color="auto"/>
                                                    <w:left w:val="none" w:sz="0" w:space="0" w:color="auto"/>
                                                    <w:bottom w:val="none" w:sz="0" w:space="0" w:color="auto"/>
                                                    <w:right w:val="none" w:sz="0" w:space="0" w:color="auto"/>
                                                  </w:divBdr>
                                                  <w:divsChild>
                                                    <w:div w:id="1111784137">
                                                      <w:marLeft w:val="0"/>
                                                      <w:marRight w:val="0"/>
                                                      <w:marTop w:val="0"/>
                                                      <w:marBottom w:val="0"/>
                                                      <w:divBdr>
                                                        <w:top w:val="none" w:sz="0" w:space="0" w:color="auto"/>
                                                        <w:left w:val="none" w:sz="0" w:space="0" w:color="auto"/>
                                                        <w:bottom w:val="none" w:sz="0" w:space="0" w:color="auto"/>
                                                        <w:right w:val="none" w:sz="0" w:space="0" w:color="auto"/>
                                                      </w:divBdr>
                                                      <w:divsChild>
                                                        <w:div w:id="988438379">
                                                          <w:marLeft w:val="0"/>
                                                          <w:marRight w:val="0"/>
                                                          <w:marTop w:val="0"/>
                                                          <w:marBottom w:val="0"/>
                                                          <w:divBdr>
                                                            <w:top w:val="none" w:sz="0" w:space="0" w:color="auto"/>
                                                            <w:left w:val="none" w:sz="0" w:space="0" w:color="auto"/>
                                                            <w:bottom w:val="none" w:sz="0" w:space="0" w:color="auto"/>
                                                            <w:right w:val="none" w:sz="0" w:space="0" w:color="auto"/>
                                                          </w:divBdr>
                                                          <w:divsChild>
                                                            <w:div w:id="652639873">
                                                              <w:marLeft w:val="0"/>
                                                              <w:marRight w:val="0"/>
                                                              <w:marTop w:val="0"/>
                                                              <w:marBottom w:val="0"/>
                                                              <w:divBdr>
                                                                <w:top w:val="none" w:sz="0" w:space="0" w:color="auto"/>
                                                                <w:left w:val="none" w:sz="0" w:space="0" w:color="auto"/>
                                                                <w:bottom w:val="none" w:sz="0" w:space="0" w:color="auto"/>
                                                                <w:right w:val="none" w:sz="0" w:space="0" w:color="auto"/>
                                                              </w:divBdr>
                                                              <w:divsChild>
                                                                <w:div w:id="899242922">
                                                                  <w:marLeft w:val="480"/>
                                                                  <w:marRight w:val="0"/>
                                                                  <w:marTop w:val="0"/>
                                                                  <w:marBottom w:val="0"/>
                                                                  <w:divBdr>
                                                                    <w:top w:val="none" w:sz="0" w:space="0" w:color="auto"/>
                                                                    <w:left w:val="none" w:sz="0" w:space="0" w:color="auto"/>
                                                                    <w:bottom w:val="none" w:sz="0" w:space="0" w:color="auto"/>
                                                                    <w:right w:val="none" w:sz="0" w:space="0" w:color="auto"/>
                                                                  </w:divBdr>
                                                                  <w:divsChild>
                                                                    <w:div w:id="781417682">
                                                                      <w:marLeft w:val="0"/>
                                                                      <w:marRight w:val="0"/>
                                                                      <w:marTop w:val="0"/>
                                                                      <w:marBottom w:val="0"/>
                                                                      <w:divBdr>
                                                                        <w:top w:val="none" w:sz="0" w:space="0" w:color="auto"/>
                                                                        <w:left w:val="none" w:sz="0" w:space="0" w:color="auto"/>
                                                                        <w:bottom w:val="none" w:sz="0" w:space="0" w:color="auto"/>
                                                                        <w:right w:val="none" w:sz="0" w:space="0" w:color="auto"/>
                                                                      </w:divBdr>
                                                                      <w:divsChild>
                                                                        <w:div w:id="284964068">
                                                                          <w:marLeft w:val="0"/>
                                                                          <w:marRight w:val="0"/>
                                                                          <w:marTop w:val="0"/>
                                                                          <w:marBottom w:val="0"/>
                                                                          <w:divBdr>
                                                                            <w:top w:val="none" w:sz="0" w:space="0" w:color="auto"/>
                                                                            <w:left w:val="none" w:sz="0" w:space="0" w:color="auto"/>
                                                                            <w:bottom w:val="none" w:sz="0" w:space="0" w:color="auto"/>
                                                                            <w:right w:val="none" w:sz="0" w:space="0" w:color="auto"/>
                                                                          </w:divBdr>
                                                                          <w:divsChild>
                                                                            <w:div w:id="1798644435">
                                                                              <w:marLeft w:val="0"/>
                                                                              <w:marRight w:val="0"/>
                                                                              <w:marTop w:val="0"/>
                                                                              <w:marBottom w:val="0"/>
                                                                              <w:divBdr>
                                                                                <w:top w:val="none" w:sz="0" w:space="0" w:color="auto"/>
                                                                                <w:left w:val="none" w:sz="0" w:space="0" w:color="auto"/>
                                                                                <w:bottom w:val="none" w:sz="0" w:space="0" w:color="auto"/>
                                                                                <w:right w:val="none" w:sz="0" w:space="0" w:color="auto"/>
                                                                              </w:divBdr>
                                                                              <w:divsChild>
                                                                                <w:div w:id="1643198294">
                                                                                  <w:marLeft w:val="0"/>
                                                                                  <w:marRight w:val="0"/>
                                                                                  <w:marTop w:val="0"/>
                                                                                  <w:marBottom w:val="0"/>
                                                                                  <w:divBdr>
                                                                                    <w:top w:val="none" w:sz="0" w:space="0" w:color="auto"/>
                                                                                    <w:left w:val="none" w:sz="0" w:space="0" w:color="auto"/>
                                                                                    <w:bottom w:val="none" w:sz="0" w:space="0" w:color="auto"/>
                                                                                    <w:right w:val="none" w:sz="0" w:space="0" w:color="auto"/>
                                                                                  </w:divBdr>
                                                                                  <w:divsChild>
                                                                                    <w:div w:id="744572188">
                                                                                      <w:marLeft w:val="0"/>
                                                                                      <w:marRight w:val="0"/>
                                                                                      <w:marTop w:val="0"/>
                                                                                      <w:marBottom w:val="0"/>
                                                                                      <w:divBdr>
                                                                                        <w:top w:val="none" w:sz="0" w:space="0" w:color="auto"/>
                                                                                        <w:left w:val="none" w:sz="0" w:space="0" w:color="auto"/>
                                                                                        <w:bottom w:val="none" w:sz="0" w:space="0" w:color="auto"/>
                                                                                        <w:right w:val="none" w:sz="0" w:space="0" w:color="auto"/>
                                                                                      </w:divBdr>
                                                                                      <w:divsChild>
                                                                                        <w:div w:id="1065254572">
                                                                                          <w:marLeft w:val="0"/>
                                                                                          <w:marRight w:val="0"/>
                                                                                          <w:marTop w:val="0"/>
                                                                                          <w:marBottom w:val="0"/>
                                                                                          <w:divBdr>
                                                                                            <w:top w:val="none" w:sz="0" w:space="0" w:color="auto"/>
                                                                                            <w:left w:val="none" w:sz="0" w:space="0" w:color="auto"/>
                                                                                            <w:bottom w:val="single" w:sz="6" w:space="23" w:color="auto"/>
                                                                                            <w:right w:val="none" w:sz="0" w:space="0" w:color="auto"/>
                                                                                          </w:divBdr>
                                                                                          <w:divsChild>
                                                                                            <w:div w:id="992219709">
                                                                                              <w:marLeft w:val="0"/>
                                                                                              <w:marRight w:val="0"/>
                                                                                              <w:marTop w:val="0"/>
                                                                                              <w:marBottom w:val="0"/>
                                                                                              <w:divBdr>
                                                                                                <w:top w:val="none" w:sz="0" w:space="0" w:color="auto"/>
                                                                                                <w:left w:val="none" w:sz="0" w:space="0" w:color="auto"/>
                                                                                                <w:bottom w:val="none" w:sz="0" w:space="0" w:color="auto"/>
                                                                                                <w:right w:val="none" w:sz="0" w:space="0" w:color="auto"/>
                                                                                              </w:divBdr>
                                                                                              <w:divsChild>
                                                                                                <w:div w:id="345518962">
                                                                                                  <w:marLeft w:val="0"/>
                                                                                                  <w:marRight w:val="0"/>
                                                                                                  <w:marTop w:val="0"/>
                                                                                                  <w:marBottom w:val="0"/>
                                                                                                  <w:divBdr>
                                                                                                    <w:top w:val="none" w:sz="0" w:space="0" w:color="auto"/>
                                                                                                    <w:left w:val="none" w:sz="0" w:space="0" w:color="auto"/>
                                                                                                    <w:bottom w:val="none" w:sz="0" w:space="0" w:color="auto"/>
                                                                                                    <w:right w:val="none" w:sz="0" w:space="0" w:color="auto"/>
                                                                                                  </w:divBdr>
                                                                                                  <w:divsChild>
                                                                                                    <w:div w:id="1550721454">
                                                                                                      <w:marLeft w:val="0"/>
                                                                                                      <w:marRight w:val="0"/>
                                                                                                      <w:marTop w:val="0"/>
                                                                                                      <w:marBottom w:val="0"/>
                                                                                                      <w:divBdr>
                                                                                                        <w:top w:val="none" w:sz="0" w:space="0" w:color="auto"/>
                                                                                                        <w:left w:val="none" w:sz="0" w:space="0" w:color="auto"/>
                                                                                                        <w:bottom w:val="none" w:sz="0" w:space="0" w:color="auto"/>
                                                                                                        <w:right w:val="none" w:sz="0" w:space="0" w:color="auto"/>
                                                                                                      </w:divBdr>
                                                                                                      <w:divsChild>
                                                                                                        <w:div w:id="1649480691">
                                                                                                          <w:marLeft w:val="0"/>
                                                                                                          <w:marRight w:val="0"/>
                                                                                                          <w:marTop w:val="0"/>
                                                                                                          <w:marBottom w:val="120"/>
                                                                                                          <w:divBdr>
                                                                                                            <w:top w:val="single" w:sz="6" w:space="2" w:color="D3D3D3"/>
                                                                                                            <w:left w:val="single" w:sz="6" w:space="2" w:color="D3D3D3"/>
                                                                                                            <w:bottom w:val="single" w:sz="6" w:space="2" w:color="D3D3D3"/>
                                                                                                            <w:right w:val="single" w:sz="6" w:space="2" w:color="D3D3D3"/>
                                                                                                          </w:divBdr>
                                                                                                          <w:divsChild>
                                                                                                            <w:div w:id="1398505277">
                                                                                                              <w:marLeft w:val="0"/>
                                                                                                              <w:marRight w:val="0"/>
                                                                                                              <w:marTop w:val="0"/>
                                                                                                              <w:marBottom w:val="0"/>
                                                                                                              <w:divBdr>
                                                                                                                <w:top w:val="none" w:sz="0" w:space="0" w:color="auto"/>
                                                                                                                <w:left w:val="none" w:sz="0" w:space="0" w:color="auto"/>
                                                                                                                <w:bottom w:val="none" w:sz="0" w:space="0" w:color="auto"/>
                                                                                                                <w:right w:val="none" w:sz="0" w:space="0" w:color="auto"/>
                                                                                                              </w:divBdr>
                                                                                                              <w:divsChild>
                                                                                                                <w:div w:id="730543360">
                                                                                                                  <w:marLeft w:val="0"/>
                                                                                                                  <w:marRight w:val="0"/>
                                                                                                                  <w:marTop w:val="0"/>
                                                                                                                  <w:marBottom w:val="0"/>
                                                                                                                  <w:divBdr>
                                                                                                                    <w:top w:val="none" w:sz="0" w:space="0" w:color="auto"/>
                                                                                                                    <w:left w:val="none" w:sz="0" w:space="0" w:color="auto"/>
                                                                                                                    <w:bottom w:val="none" w:sz="0" w:space="0" w:color="auto"/>
                                                                                                                    <w:right w:val="none" w:sz="0" w:space="0" w:color="auto"/>
                                                                                                                  </w:divBdr>
                                                                                                                  <w:divsChild>
                                                                                                                    <w:div w:id="655450470">
                                                                                                                      <w:marLeft w:val="0"/>
                                                                                                                      <w:marRight w:val="0"/>
                                                                                                                      <w:marTop w:val="0"/>
                                                                                                                      <w:marBottom w:val="0"/>
                                                                                                                      <w:divBdr>
                                                                                                                        <w:top w:val="none" w:sz="0" w:space="0" w:color="auto"/>
                                                                                                                        <w:left w:val="none" w:sz="0" w:space="0" w:color="auto"/>
                                                                                                                        <w:bottom w:val="none" w:sz="0" w:space="0" w:color="auto"/>
                                                                                                                        <w:right w:val="none" w:sz="0" w:space="0" w:color="auto"/>
                                                                                                                      </w:divBdr>
                                                                                                                      <w:divsChild>
                                                                                                                        <w:div w:id="1394432081">
                                                                                                                          <w:marLeft w:val="0"/>
                                                                                                                          <w:marRight w:val="0"/>
                                                                                                                          <w:marTop w:val="0"/>
                                                                                                                          <w:marBottom w:val="0"/>
                                                                                                                          <w:divBdr>
                                                                                                                            <w:top w:val="none" w:sz="0" w:space="0" w:color="auto"/>
                                                                                                                            <w:left w:val="none" w:sz="0" w:space="0" w:color="auto"/>
                                                                                                                            <w:bottom w:val="none" w:sz="0" w:space="0" w:color="auto"/>
                                                                                                                            <w:right w:val="none" w:sz="0" w:space="0" w:color="auto"/>
                                                                                                                          </w:divBdr>
                                                                                                                        </w:div>
                                                                                                                        <w:div w:id="1289975795">
                                                                                                                          <w:marLeft w:val="720"/>
                                                                                                                          <w:marRight w:val="0"/>
                                                                                                                          <w:marTop w:val="0"/>
                                                                                                                          <w:marBottom w:val="0"/>
                                                                                                                          <w:divBdr>
                                                                                                                            <w:top w:val="none" w:sz="0" w:space="0" w:color="auto"/>
                                                                                                                            <w:left w:val="none" w:sz="0" w:space="0" w:color="auto"/>
                                                                                                                            <w:bottom w:val="none" w:sz="0" w:space="0" w:color="auto"/>
                                                                                                                            <w:right w:val="none" w:sz="0" w:space="0" w:color="auto"/>
                                                                                                                          </w:divBdr>
                                                                                                                        </w:div>
                                                                                                                        <w:div w:id="1631857306">
                                                                                                                          <w:marLeft w:val="720"/>
                                                                                                                          <w:marRight w:val="0"/>
                                                                                                                          <w:marTop w:val="0"/>
                                                                                                                          <w:marBottom w:val="0"/>
                                                                                                                          <w:divBdr>
                                                                                                                            <w:top w:val="none" w:sz="0" w:space="0" w:color="auto"/>
                                                                                                                            <w:left w:val="none" w:sz="0" w:space="0" w:color="auto"/>
                                                                                                                            <w:bottom w:val="none" w:sz="0" w:space="0" w:color="auto"/>
                                                                                                                            <w:right w:val="none" w:sz="0" w:space="0" w:color="auto"/>
                                                                                                                          </w:divBdr>
                                                                                                                        </w:div>
                                                                                                                        <w:div w:id="2055157212">
                                                                                                                          <w:marLeft w:val="720"/>
                                                                                                                          <w:marRight w:val="0"/>
                                                                                                                          <w:marTop w:val="0"/>
                                                                                                                          <w:marBottom w:val="0"/>
                                                                                                                          <w:divBdr>
                                                                                                                            <w:top w:val="none" w:sz="0" w:space="0" w:color="auto"/>
                                                                                                                            <w:left w:val="none" w:sz="0" w:space="0" w:color="auto"/>
                                                                                                                            <w:bottom w:val="none" w:sz="0" w:space="0" w:color="auto"/>
                                                                                                                            <w:right w:val="none" w:sz="0" w:space="0" w:color="auto"/>
                                                                                                                          </w:divBdr>
                                                                                                                        </w:div>
                                                                                                                        <w:div w:id="1381515141">
                                                                                                                          <w:marLeft w:val="0"/>
                                                                                                                          <w:marRight w:val="0"/>
                                                                                                                          <w:marTop w:val="0"/>
                                                                                                                          <w:marBottom w:val="0"/>
                                                                                                                          <w:divBdr>
                                                                                                                            <w:top w:val="none" w:sz="0" w:space="0" w:color="auto"/>
                                                                                                                            <w:left w:val="none" w:sz="0" w:space="0" w:color="auto"/>
                                                                                                                            <w:bottom w:val="none" w:sz="0" w:space="0" w:color="auto"/>
                                                                                                                            <w:right w:val="none" w:sz="0" w:space="0" w:color="auto"/>
                                                                                                                          </w:divBdr>
                                                                                                                        </w:div>
                                                                                                                        <w:div w:id="1779981453">
                                                                                                                          <w:marLeft w:val="0"/>
                                                                                                                          <w:marRight w:val="0"/>
                                                                                                                          <w:marTop w:val="0"/>
                                                                                                                          <w:marBottom w:val="0"/>
                                                                                                                          <w:divBdr>
                                                                                                                            <w:top w:val="none" w:sz="0" w:space="0" w:color="auto"/>
                                                                                                                            <w:left w:val="none" w:sz="0" w:space="0" w:color="auto"/>
                                                                                                                            <w:bottom w:val="none" w:sz="0" w:space="0" w:color="auto"/>
                                                                                                                            <w:right w:val="none" w:sz="0" w:space="0" w:color="auto"/>
                                                                                                                          </w:divBdr>
                                                                                                                        </w:div>
                                                                                                                        <w:div w:id="1092237296">
                                                                                                                          <w:marLeft w:val="0"/>
                                                                                                                          <w:marRight w:val="0"/>
                                                                                                                          <w:marTop w:val="0"/>
                                                                                                                          <w:marBottom w:val="0"/>
                                                                                                                          <w:divBdr>
                                                                                                                            <w:top w:val="none" w:sz="0" w:space="0" w:color="auto"/>
                                                                                                                            <w:left w:val="none" w:sz="0" w:space="0" w:color="auto"/>
                                                                                                                            <w:bottom w:val="none" w:sz="0" w:space="0" w:color="auto"/>
                                                                                                                            <w:right w:val="none" w:sz="0" w:space="0" w:color="auto"/>
                                                                                                                          </w:divBdr>
                                                                                                                        </w:div>
                                                                                                                        <w:div w:id="220143344">
                                                                                                                          <w:marLeft w:val="0"/>
                                                                                                                          <w:marRight w:val="0"/>
                                                                                                                          <w:marTop w:val="0"/>
                                                                                                                          <w:marBottom w:val="0"/>
                                                                                                                          <w:divBdr>
                                                                                                                            <w:top w:val="none" w:sz="0" w:space="0" w:color="auto"/>
                                                                                                                            <w:left w:val="none" w:sz="0" w:space="0" w:color="auto"/>
                                                                                                                            <w:bottom w:val="none" w:sz="0" w:space="0" w:color="auto"/>
                                                                                                                            <w:right w:val="none" w:sz="0" w:space="0" w:color="auto"/>
                                                                                                                          </w:divBdr>
                                                                                                                        </w:div>
                                                                                                                        <w:div w:id="1663270115">
                                                                                                                          <w:marLeft w:val="0"/>
                                                                                                                          <w:marRight w:val="0"/>
                                                                                                                          <w:marTop w:val="0"/>
                                                                                                                          <w:marBottom w:val="0"/>
                                                                                                                          <w:divBdr>
                                                                                                                            <w:top w:val="none" w:sz="0" w:space="0" w:color="auto"/>
                                                                                                                            <w:left w:val="none" w:sz="0" w:space="0" w:color="auto"/>
                                                                                                                            <w:bottom w:val="none" w:sz="0" w:space="0" w:color="auto"/>
                                                                                                                            <w:right w:val="none" w:sz="0" w:space="0" w:color="auto"/>
                                                                                                                          </w:divBdr>
                                                                                                                        </w:div>
                                                                                                                        <w:div w:id="1344281606">
                                                                                                                          <w:marLeft w:val="0"/>
                                                                                                                          <w:marRight w:val="0"/>
                                                                                                                          <w:marTop w:val="0"/>
                                                                                                                          <w:marBottom w:val="0"/>
                                                                                                                          <w:divBdr>
                                                                                                                            <w:top w:val="none" w:sz="0" w:space="0" w:color="auto"/>
                                                                                                                            <w:left w:val="none" w:sz="0" w:space="0" w:color="auto"/>
                                                                                                                            <w:bottom w:val="none" w:sz="0" w:space="0" w:color="auto"/>
                                                                                                                            <w:right w:val="none" w:sz="0" w:space="0" w:color="auto"/>
                                                                                                                          </w:divBdr>
                                                                                                                        </w:div>
                                                                                                                        <w:div w:id="858394136">
                                                                                                                          <w:marLeft w:val="0"/>
                                                                                                                          <w:marRight w:val="0"/>
                                                                                                                          <w:marTop w:val="0"/>
                                                                                                                          <w:marBottom w:val="0"/>
                                                                                                                          <w:divBdr>
                                                                                                                            <w:top w:val="none" w:sz="0" w:space="0" w:color="auto"/>
                                                                                                                            <w:left w:val="none" w:sz="0" w:space="0" w:color="auto"/>
                                                                                                                            <w:bottom w:val="none" w:sz="0" w:space="0" w:color="auto"/>
                                                                                                                            <w:right w:val="none" w:sz="0" w:space="0" w:color="auto"/>
                                                                                                                          </w:divBdr>
                                                                                                                        </w:div>
                                                                                                                        <w:div w:id="1061252559">
                                                                                                                          <w:marLeft w:val="0"/>
                                                                                                                          <w:marRight w:val="0"/>
                                                                                                                          <w:marTop w:val="0"/>
                                                                                                                          <w:marBottom w:val="0"/>
                                                                                                                          <w:divBdr>
                                                                                                                            <w:top w:val="none" w:sz="0" w:space="0" w:color="auto"/>
                                                                                                                            <w:left w:val="none" w:sz="0" w:space="0" w:color="auto"/>
                                                                                                                            <w:bottom w:val="none" w:sz="0" w:space="0" w:color="auto"/>
                                                                                                                            <w:right w:val="none" w:sz="0" w:space="0" w:color="auto"/>
                                                                                                                          </w:divBdr>
                                                                                                                        </w:div>
                                                                                                                        <w:div w:id="871184729">
                                                                                                                          <w:marLeft w:val="0"/>
                                                                                                                          <w:marRight w:val="0"/>
                                                                                                                          <w:marTop w:val="0"/>
                                                                                                                          <w:marBottom w:val="0"/>
                                                                                                                          <w:divBdr>
                                                                                                                            <w:top w:val="none" w:sz="0" w:space="0" w:color="auto"/>
                                                                                                                            <w:left w:val="none" w:sz="0" w:space="0" w:color="auto"/>
                                                                                                                            <w:bottom w:val="none" w:sz="0" w:space="0" w:color="auto"/>
                                                                                                                            <w:right w:val="none" w:sz="0" w:space="0" w:color="auto"/>
                                                                                                                          </w:divBdr>
                                                                                                                        </w:div>
                                                                                                                        <w:div w:id="744111378">
                                                                                                                          <w:marLeft w:val="0"/>
                                                                                                                          <w:marRight w:val="0"/>
                                                                                                                          <w:marTop w:val="0"/>
                                                                                                                          <w:marBottom w:val="0"/>
                                                                                                                          <w:divBdr>
                                                                                                                            <w:top w:val="none" w:sz="0" w:space="0" w:color="auto"/>
                                                                                                                            <w:left w:val="none" w:sz="0" w:space="0" w:color="auto"/>
                                                                                                                            <w:bottom w:val="none" w:sz="0" w:space="0" w:color="auto"/>
                                                                                                                            <w:right w:val="none" w:sz="0" w:space="0" w:color="auto"/>
                                                                                                                          </w:divBdr>
                                                                                                                        </w:div>
                                                                                                                        <w:div w:id="20267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927981">
      <w:bodyDiv w:val="1"/>
      <w:marLeft w:val="0"/>
      <w:marRight w:val="0"/>
      <w:marTop w:val="0"/>
      <w:marBottom w:val="0"/>
      <w:divBdr>
        <w:top w:val="none" w:sz="0" w:space="0" w:color="auto"/>
        <w:left w:val="none" w:sz="0" w:space="0" w:color="auto"/>
        <w:bottom w:val="none" w:sz="0" w:space="0" w:color="auto"/>
        <w:right w:val="none" w:sz="0" w:space="0" w:color="auto"/>
      </w:divBdr>
    </w:div>
    <w:div w:id="860431039">
      <w:bodyDiv w:val="1"/>
      <w:marLeft w:val="0"/>
      <w:marRight w:val="0"/>
      <w:marTop w:val="0"/>
      <w:marBottom w:val="0"/>
      <w:divBdr>
        <w:top w:val="none" w:sz="0" w:space="0" w:color="auto"/>
        <w:left w:val="none" w:sz="0" w:space="0" w:color="auto"/>
        <w:bottom w:val="none" w:sz="0" w:space="0" w:color="auto"/>
        <w:right w:val="none" w:sz="0" w:space="0" w:color="auto"/>
      </w:divBdr>
    </w:div>
    <w:div w:id="867062034">
      <w:bodyDiv w:val="1"/>
      <w:marLeft w:val="0"/>
      <w:marRight w:val="0"/>
      <w:marTop w:val="0"/>
      <w:marBottom w:val="0"/>
      <w:divBdr>
        <w:top w:val="none" w:sz="0" w:space="0" w:color="auto"/>
        <w:left w:val="none" w:sz="0" w:space="0" w:color="auto"/>
        <w:bottom w:val="none" w:sz="0" w:space="0" w:color="auto"/>
        <w:right w:val="none" w:sz="0" w:space="0" w:color="auto"/>
      </w:divBdr>
    </w:div>
    <w:div w:id="868878122">
      <w:bodyDiv w:val="1"/>
      <w:marLeft w:val="0"/>
      <w:marRight w:val="0"/>
      <w:marTop w:val="0"/>
      <w:marBottom w:val="0"/>
      <w:divBdr>
        <w:top w:val="none" w:sz="0" w:space="0" w:color="auto"/>
        <w:left w:val="none" w:sz="0" w:space="0" w:color="auto"/>
        <w:bottom w:val="none" w:sz="0" w:space="0" w:color="auto"/>
        <w:right w:val="none" w:sz="0" w:space="0" w:color="auto"/>
      </w:divBdr>
    </w:div>
    <w:div w:id="895047639">
      <w:bodyDiv w:val="1"/>
      <w:marLeft w:val="0"/>
      <w:marRight w:val="0"/>
      <w:marTop w:val="0"/>
      <w:marBottom w:val="0"/>
      <w:divBdr>
        <w:top w:val="none" w:sz="0" w:space="0" w:color="auto"/>
        <w:left w:val="none" w:sz="0" w:space="0" w:color="auto"/>
        <w:bottom w:val="none" w:sz="0" w:space="0" w:color="auto"/>
        <w:right w:val="none" w:sz="0" w:space="0" w:color="auto"/>
      </w:divBdr>
    </w:div>
    <w:div w:id="940258182">
      <w:bodyDiv w:val="1"/>
      <w:marLeft w:val="0"/>
      <w:marRight w:val="0"/>
      <w:marTop w:val="0"/>
      <w:marBottom w:val="0"/>
      <w:divBdr>
        <w:top w:val="none" w:sz="0" w:space="0" w:color="auto"/>
        <w:left w:val="none" w:sz="0" w:space="0" w:color="auto"/>
        <w:bottom w:val="none" w:sz="0" w:space="0" w:color="auto"/>
        <w:right w:val="none" w:sz="0" w:space="0" w:color="auto"/>
      </w:divBdr>
    </w:div>
    <w:div w:id="1030448251">
      <w:bodyDiv w:val="1"/>
      <w:marLeft w:val="0"/>
      <w:marRight w:val="0"/>
      <w:marTop w:val="0"/>
      <w:marBottom w:val="0"/>
      <w:divBdr>
        <w:top w:val="none" w:sz="0" w:space="0" w:color="auto"/>
        <w:left w:val="none" w:sz="0" w:space="0" w:color="auto"/>
        <w:bottom w:val="none" w:sz="0" w:space="0" w:color="auto"/>
        <w:right w:val="none" w:sz="0" w:space="0" w:color="auto"/>
      </w:divBdr>
    </w:div>
    <w:div w:id="1120031042">
      <w:bodyDiv w:val="1"/>
      <w:marLeft w:val="0"/>
      <w:marRight w:val="0"/>
      <w:marTop w:val="0"/>
      <w:marBottom w:val="0"/>
      <w:divBdr>
        <w:top w:val="none" w:sz="0" w:space="0" w:color="auto"/>
        <w:left w:val="none" w:sz="0" w:space="0" w:color="auto"/>
        <w:bottom w:val="none" w:sz="0" w:space="0" w:color="auto"/>
        <w:right w:val="none" w:sz="0" w:space="0" w:color="auto"/>
      </w:divBdr>
    </w:div>
    <w:div w:id="1265530123">
      <w:bodyDiv w:val="1"/>
      <w:marLeft w:val="0"/>
      <w:marRight w:val="0"/>
      <w:marTop w:val="0"/>
      <w:marBottom w:val="0"/>
      <w:divBdr>
        <w:top w:val="none" w:sz="0" w:space="0" w:color="auto"/>
        <w:left w:val="none" w:sz="0" w:space="0" w:color="auto"/>
        <w:bottom w:val="none" w:sz="0" w:space="0" w:color="auto"/>
        <w:right w:val="none" w:sz="0" w:space="0" w:color="auto"/>
      </w:divBdr>
      <w:divsChild>
        <w:div w:id="1843230166">
          <w:marLeft w:val="0"/>
          <w:marRight w:val="120"/>
          <w:marTop w:val="0"/>
          <w:marBottom w:val="0"/>
          <w:divBdr>
            <w:top w:val="none" w:sz="0" w:space="0" w:color="auto"/>
            <w:left w:val="none" w:sz="0" w:space="0" w:color="auto"/>
            <w:bottom w:val="none" w:sz="0" w:space="0" w:color="auto"/>
            <w:right w:val="none" w:sz="0" w:space="0" w:color="auto"/>
          </w:divBdr>
          <w:divsChild>
            <w:div w:id="618487751">
              <w:marLeft w:val="0"/>
              <w:marRight w:val="0"/>
              <w:marTop w:val="0"/>
              <w:marBottom w:val="0"/>
              <w:divBdr>
                <w:top w:val="none" w:sz="0" w:space="0" w:color="auto"/>
                <w:left w:val="none" w:sz="0" w:space="0" w:color="auto"/>
                <w:bottom w:val="none" w:sz="0" w:space="0" w:color="auto"/>
                <w:right w:val="none" w:sz="0" w:space="0" w:color="auto"/>
              </w:divBdr>
              <w:divsChild>
                <w:div w:id="1748576667">
                  <w:marLeft w:val="0"/>
                  <w:marRight w:val="0"/>
                  <w:marTop w:val="0"/>
                  <w:marBottom w:val="0"/>
                  <w:divBdr>
                    <w:top w:val="none" w:sz="0" w:space="0" w:color="auto"/>
                    <w:left w:val="none" w:sz="0" w:space="0" w:color="auto"/>
                    <w:bottom w:val="none" w:sz="0" w:space="0" w:color="auto"/>
                    <w:right w:val="none" w:sz="0" w:space="0" w:color="auto"/>
                  </w:divBdr>
                  <w:divsChild>
                    <w:div w:id="969170122">
                      <w:marLeft w:val="0"/>
                      <w:marRight w:val="0"/>
                      <w:marTop w:val="0"/>
                      <w:marBottom w:val="0"/>
                      <w:divBdr>
                        <w:top w:val="none" w:sz="0" w:space="0" w:color="auto"/>
                        <w:left w:val="none" w:sz="0" w:space="0" w:color="auto"/>
                        <w:bottom w:val="none" w:sz="0" w:space="0" w:color="auto"/>
                        <w:right w:val="none" w:sz="0" w:space="0" w:color="auto"/>
                      </w:divBdr>
                      <w:divsChild>
                        <w:div w:id="2056007948">
                          <w:marLeft w:val="0"/>
                          <w:marRight w:val="0"/>
                          <w:marTop w:val="0"/>
                          <w:marBottom w:val="0"/>
                          <w:divBdr>
                            <w:top w:val="none" w:sz="0" w:space="0" w:color="auto"/>
                            <w:left w:val="none" w:sz="0" w:space="0" w:color="auto"/>
                            <w:bottom w:val="none" w:sz="0" w:space="0" w:color="auto"/>
                            <w:right w:val="none" w:sz="0" w:space="0" w:color="auto"/>
                          </w:divBdr>
                          <w:divsChild>
                            <w:div w:id="343091803">
                              <w:marLeft w:val="0"/>
                              <w:marRight w:val="0"/>
                              <w:marTop w:val="0"/>
                              <w:marBottom w:val="0"/>
                              <w:divBdr>
                                <w:top w:val="none" w:sz="0" w:space="0" w:color="auto"/>
                                <w:left w:val="none" w:sz="0" w:space="0" w:color="auto"/>
                                <w:bottom w:val="none" w:sz="0" w:space="0" w:color="auto"/>
                                <w:right w:val="none" w:sz="0" w:space="0" w:color="auto"/>
                              </w:divBdr>
                              <w:divsChild>
                                <w:div w:id="392042842">
                                  <w:marLeft w:val="0"/>
                                  <w:marRight w:val="0"/>
                                  <w:marTop w:val="0"/>
                                  <w:marBottom w:val="0"/>
                                  <w:divBdr>
                                    <w:top w:val="none" w:sz="0" w:space="0" w:color="auto"/>
                                    <w:left w:val="none" w:sz="0" w:space="0" w:color="auto"/>
                                    <w:bottom w:val="none" w:sz="0" w:space="0" w:color="auto"/>
                                    <w:right w:val="none" w:sz="0" w:space="0" w:color="auto"/>
                                  </w:divBdr>
                                  <w:divsChild>
                                    <w:div w:id="1599484799">
                                      <w:marLeft w:val="0"/>
                                      <w:marRight w:val="0"/>
                                      <w:marTop w:val="0"/>
                                      <w:marBottom w:val="0"/>
                                      <w:divBdr>
                                        <w:top w:val="none" w:sz="0" w:space="0" w:color="auto"/>
                                        <w:left w:val="none" w:sz="0" w:space="0" w:color="auto"/>
                                        <w:bottom w:val="none" w:sz="0" w:space="0" w:color="auto"/>
                                        <w:right w:val="none" w:sz="0" w:space="0" w:color="auto"/>
                                      </w:divBdr>
                                      <w:divsChild>
                                        <w:div w:id="658196357">
                                          <w:marLeft w:val="0"/>
                                          <w:marRight w:val="0"/>
                                          <w:marTop w:val="0"/>
                                          <w:marBottom w:val="0"/>
                                          <w:divBdr>
                                            <w:top w:val="none" w:sz="0" w:space="0" w:color="auto"/>
                                            <w:left w:val="none" w:sz="0" w:space="0" w:color="auto"/>
                                            <w:bottom w:val="none" w:sz="0" w:space="0" w:color="auto"/>
                                            <w:right w:val="none" w:sz="0" w:space="0" w:color="auto"/>
                                          </w:divBdr>
                                          <w:divsChild>
                                            <w:div w:id="1336491270">
                                              <w:marLeft w:val="0"/>
                                              <w:marRight w:val="0"/>
                                              <w:marTop w:val="0"/>
                                              <w:marBottom w:val="0"/>
                                              <w:divBdr>
                                                <w:top w:val="none" w:sz="0" w:space="0" w:color="auto"/>
                                                <w:left w:val="none" w:sz="0" w:space="0" w:color="auto"/>
                                                <w:bottom w:val="none" w:sz="0" w:space="0" w:color="auto"/>
                                                <w:right w:val="none" w:sz="0" w:space="0" w:color="auto"/>
                                              </w:divBdr>
                                              <w:divsChild>
                                                <w:div w:id="1919827394">
                                                  <w:marLeft w:val="0"/>
                                                  <w:marRight w:val="0"/>
                                                  <w:marTop w:val="0"/>
                                                  <w:marBottom w:val="0"/>
                                                  <w:divBdr>
                                                    <w:top w:val="none" w:sz="0" w:space="0" w:color="auto"/>
                                                    <w:left w:val="none" w:sz="0" w:space="0" w:color="auto"/>
                                                    <w:bottom w:val="none" w:sz="0" w:space="0" w:color="auto"/>
                                                    <w:right w:val="none" w:sz="0" w:space="0" w:color="auto"/>
                                                  </w:divBdr>
                                                  <w:divsChild>
                                                    <w:div w:id="776753561">
                                                      <w:marLeft w:val="0"/>
                                                      <w:marRight w:val="0"/>
                                                      <w:marTop w:val="0"/>
                                                      <w:marBottom w:val="0"/>
                                                      <w:divBdr>
                                                        <w:top w:val="none" w:sz="0" w:space="0" w:color="auto"/>
                                                        <w:left w:val="none" w:sz="0" w:space="0" w:color="auto"/>
                                                        <w:bottom w:val="none" w:sz="0" w:space="0" w:color="auto"/>
                                                        <w:right w:val="none" w:sz="0" w:space="0" w:color="auto"/>
                                                      </w:divBdr>
                                                      <w:divsChild>
                                                        <w:div w:id="332032512">
                                                          <w:marLeft w:val="0"/>
                                                          <w:marRight w:val="0"/>
                                                          <w:marTop w:val="0"/>
                                                          <w:marBottom w:val="0"/>
                                                          <w:divBdr>
                                                            <w:top w:val="none" w:sz="0" w:space="0" w:color="auto"/>
                                                            <w:left w:val="none" w:sz="0" w:space="0" w:color="auto"/>
                                                            <w:bottom w:val="none" w:sz="0" w:space="0" w:color="auto"/>
                                                            <w:right w:val="none" w:sz="0" w:space="0" w:color="auto"/>
                                                          </w:divBdr>
                                                          <w:divsChild>
                                                            <w:div w:id="1345521261">
                                                              <w:marLeft w:val="0"/>
                                                              <w:marRight w:val="0"/>
                                                              <w:marTop w:val="0"/>
                                                              <w:marBottom w:val="0"/>
                                                              <w:divBdr>
                                                                <w:top w:val="none" w:sz="0" w:space="0" w:color="auto"/>
                                                                <w:left w:val="none" w:sz="0" w:space="0" w:color="auto"/>
                                                                <w:bottom w:val="none" w:sz="0" w:space="0" w:color="auto"/>
                                                                <w:right w:val="none" w:sz="0" w:space="0" w:color="auto"/>
                                                              </w:divBdr>
                                                              <w:divsChild>
                                                                <w:div w:id="1583416472">
                                                                  <w:marLeft w:val="480"/>
                                                                  <w:marRight w:val="0"/>
                                                                  <w:marTop w:val="0"/>
                                                                  <w:marBottom w:val="0"/>
                                                                  <w:divBdr>
                                                                    <w:top w:val="none" w:sz="0" w:space="0" w:color="auto"/>
                                                                    <w:left w:val="none" w:sz="0" w:space="0" w:color="auto"/>
                                                                    <w:bottom w:val="none" w:sz="0" w:space="0" w:color="auto"/>
                                                                    <w:right w:val="none" w:sz="0" w:space="0" w:color="auto"/>
                                                                  </w:divBdr>
                                                                  <w:divsChild>
                                                                    <w:div w:id="1424836542">
                                                                      <w:marLeft w:val="0"/>
                                                                      <w:marRight w:val="0"/>
                                                                      <w:marTop w:val="0"/>
                                                                      <w:marBottom w:val="0"/>
                                                                      <w:divBdr>
                                                                        <w:top w:val="none" w:sz="0" w:space="0" w:color="auto"/>
                                                                        <w:left w:val="none" w:sz="0" w:space="0" w:color="auto"/>
                                                                        <w:bottom w:val="none" w:sz="0" w:space="0" w:color="auto"/>
                                                                        <w:right w:val="none" w:sz="0" w:space="0" w:color="auto"/>
                                                                      </w:divBdr>
                                                                      <w:divsChild>
                                                                        <w:div w:id="1002390198">
                                                                          <w:marLeft w:val="0"/>
                                                                          <w:marRight w:val="0"/>
                                                                          <w:marTop w:val="0"/>
                                                                          <w:marBottom w:val="0"/>
                                                                          <w:divBdr>
                                                                            <w:top w:val="none" w:sz="0" w:space="0" w:color="auto"/>
                                                                            <w:left w:val="none" w:sz="0" w:space="0" w:color="auto"/>
                                                                            <w:bottom w:val="none" w:sz="0" w:space="0" w:color="auto"/>
                                                                            <w:right w:val="none" w:sz="0" w:space="0" w:color="auto"/>
                                                                          </w:divBdr>
                                                                          <w:divsChild>
                                                                            <w:div w:id="179860613">
                                                                              <w:marLeft w:val="0"/>
                                                                              <w:marRight w:val="0"/>
                                                                              <w:marTop w:val="0"/>
                                                                              <w:marBottom w:val="0"/>
                                                                              <w:divBdr>
                                                                                <w:top w:val="none" w:sz="0" w:space="0" w:color="auto"/>
                                                                                <w:left w:val="none" w:sz="0" w:space="0" w:color="auto"/>
                                                                                <w:bottom w:val="none" w:sz="0" w:space="0" w:color="auto"/>
                                                                                <w:right w:val="none" w:sz="0" w:space="0" w:color="auto"/>
                                                                              </w:divBdr>
                                                                              <w:divsChild>
                                                                                <w:div w:id="599801827">
                                                                                  <w:marLeft w:val="0"/>
                                                                                  <w:marRight w:val="0"/>
                                                                                  <w:marTop w:val="0"/>
                                                                                  <w:marBottom w:val="0"/>
                                                                                  <w:divBdr>
                                                                                    <w:top w:val="none" w:sz="0" w:space="0" w:color="auto"/>
                                                                                    <w:left w:val="none" w:sz="0" w:space="0" w:color="auto"/>
                                                                                    <w:bottom w:val="none" w:sz="0" w:space="0" w:color="auto"/>
                                                                                    <w:right w:val="none" w:sz="0" w:space="0" w:color="auto"/>
                                                                                  </w:divBdr>
                                                                                  <w:divsChild>
                                                                                    <w:div w:id="674381676">
                                                                                      <w:marLeft w:val="0"/>
                                                                                      <w:marRight w:val="0"/>
                                                                                      <w:marTop w:val="0"/>
                                                                                      <w:marBottom w:val="0"/>
                                                                                      <w:divBdr>
                                                                                        <w:top w:val="none" w:sz="0" w:space="0" w:color="auto"/>
                                                                                        <w:left w:val="none" w:sz="0" w:space="0" w:color="auto"/>
                                                                                        <w:bottom w:val="none" w:sz="0" w:space="0" w:color="auto"/>
                                                                                        <w:right w:val="none" w:sz="0" w:space="0" w:color="auto"/>
                                                                                      </w:divBdr>
                                                                                      <w:divsChild>
                                                                                        <w:div w:id="1167136927">
                                                                                          <w:marLeft w:val="0"/>
                                                                                          <w:marRight w:val="0"/>
                                                                                          <w:marTop w:val="0"/>
                                                                                          <w:marBottom w:val="0"/>
                                                                                          <w:divBdr>
                                                                                            <w:top w:val="none" w:sz="0" w:space="0" w:color="auto"/>
                                                                                            <w:left w:val="none" w:sz="0" w:space="0" w:color="auto"/>
                                                                                            <w:bottom w:val="single" w:sz="6" w:space="23" w:color="auto"/>
                                                                                            <w:right w:val="none" w:sz="0" w:space="0" w:color="auto"/>
                                                                                          </w:divBdr>
                                                                                          <w:divsChild>
                                                                                            <w:div w:id="376702848">
                                                                                              <w:marLeft w:val="0"/>
                                                                                              <w:marRight w:val="0"/>
                                                                                              <w:marTop w:val="0"/>
                                                                                              <w:marBottom w:val="0"/>
                                                                                              <w:divBdr>
                                                                                                <w:top w:val="none" w:sz="0" w:space="0" w:color="auto"/>
                                                                                                <w:left w:val="none" w:sz="0" w:space="0" w:color="auto"/>
                                                                                                <w:bottom w:val="none" w:sz="0" w:space="0" w:color="auto"/>
                                                                                                <w:right w:val="none" w:sz="0" w:space="0" w:color="auto"/>
                                                                                              </w:divBdr>
                                                                                              <w:divsChild>
                                                                                                <w:div w:id="1851261789">
                                                                                                  <w:marLeft w:val="0"/>
                                                                                                  <w:marRight w:val="0"/>
                                                                                                  <w:marTop w:val="0"/>
                                                                                                  <w:marBottom w:val="0"/>
                                                                                                  <w:divBdr>
                                                                                                    <w:top w:val="none" w:sz="0" w:space="0" w:color="auto"/>
                                                                                                    <w:left w:val="none" w:sz="0" w:space="0" w:color="auto"/>
                                                                                                    <w:bottom w:val="none" w:sz="0" w:space="0" w:color="auto"/>
                                                                                                    <w:right w:val="none" w:sz="0" w:space="0" w:color="auto"/>
                                                                                                  </w:divBdr>
                                                                                                  <w:divsChild>
                                                                                                    <w:div w:id="1310284068">
                                                                                                      <w:marLeft w:val="0"/>
                                                                                                      <w:marRight w:val="0"/>
                                                                                                      <w:marTop w:val="0"/>
                                                                                                      <w:marBottom w:val="0"/>
                                                                                                      <w:divBdr>
                                                                                                        <w:top w:val="none" w:sz="0" w:space="0" w:color="auto"/>
                                                                                                        <w:left w:val="none" w:sz="0" w:space="0" w:color="auto"/>
                                                                                                        <w:bottom w:val="none" w:sz="0" w:space="0" w:color="auto"/>
                                                                                                        <w:right w:val="none" w:sz="0" w:space="0" w:color="auto"/>
                                                                                                      </w:divBdr>
                                                                                                      <w:divsChild>
                                                                                                        <w:div w:id="875234299">
                                                                                                          <w:marLeft w:val="0"/>
                                                                                                          <w:marRight w:val="0"/>
                                                                                                          <w:marTop w:val="0"/>
                                                                                                          <w:marBottom w:val="120"/>
                                                                                                          <w:divBdr>
                                                                                                            <w:top w:val="single" w:sz="6" w:space="2" w:color="D3D3D3"/>
                                                                                                            <w:left w:val="single" w:sz="6" w:space="2" w:color="D3D3D3"/>
                                                                                                            <w:bottom w:val="single" w:sz="6" w:space="2" w:color="D3D3D3"/>
                                                                                                            <w:right w:val="single" w:sz="6" w:space="2" w:color="D3D3D3"/>
                                                                                                          </w:divBdr>
                                                                                                          <w:divsChild>
                                                                                                            <w:div w:id="639529917">
                                                                                                              <w:marLeft w:val="0"/>
                                                                                                              <w:marRight w:val="0"/>
                                                                                                              <w:marTop w:val="0"/>
                                                                                                              <w:marBottom w:val="0"/>
                                                                                                              <w:divBdr>
                                                                                                                <w:top w:val="none" w:sz="0" w:space="0" w:color="auto"/>
                                                                                                                <w:left w:val="none" w:sz="0" w:space="0" w:color="auto"/>
                                                                                                                <w:bottom w:val="none" w:sz="0" w:space="0" w:color="auto"/>
                                                                                                                <w:right w:val="none" w:sz="0" w:space="0" w:color="auto"/>
                                                                                                              </w:divBdr>
                                                                                                              <w:divsChild>
                                                                                                                <w:div w:id="805437671">
                                                                                                                  <w:marLeft w:val="0"/>
                                                                                                                  <w:marRight w:val="0"/>
                                                                                                                  <w:marTop w:val="0"/>
                                                                                                                  <w:marBottom w:val="0"/>
                                                                                                                  <w:divBdr>
                                                                                                                    <w:top w:val="none" w:sz="0" w:space="0" w:color="auto"/>
                                                                                                                    <w:left w:val="none" w:sz="0" w:space="0" w:color="auto"/>
                                                                                                                    <w:bottom w:val="none" w:sz="0" w:space="0" w:color="auto"/>
                                                                                                                    <w:right w:val="none" w:sz="0" w:space="0" w:color="auto"/>
                                                                                                                  </w:divBdr>
                                                                                                                  <w:divsChild>
                                                                                                                    <w:div w:id="1975794033">
                                                                                                                      <w:marLeft w:val="0"/>
                                                                                                                      <w:marRight w:val="0"/>
                                                                                                                      <w:marTop w:val="0"/>
                                                                                                                      <w:marBottom w:val="0"/>
                                                                                                                      <w:divBdr>
                                                                                                                        <w:top w:val="none" w:sz="0" w:space="0" w:color="auto"/>
                                                                                                                        <w:left w:val="none" w:sz="0" w:space="0" w:color="auto"/>
                                                                                                                        <w:bottom w:val="none" w:sz="0" w:space="0" w:color="auto"/>
                                                                                                                        <w:right w:val="none" w:sz="0" w:space="0" w:color="auto"/>
                                                                                                                      </w:divBdr>
                                                                                                                      <w:divsChild>
                                                                                                                        <w:div w:id="2093430902">
                                                                                                                          <w:marLeft w:val="0"/>
                                                                                                                          <w:marRight w:val="0"/>
                                                                                                                          <w:marTop w:val="0"/>
                                                                                                                          <w:marBottom w:val="0"/>
                                                                                                                          <w:divBdr>
                                                                                                                            <w:top w:val="none" w:sz="0" w:space="0" w:color="auto"/>
                                                                                                                            <w:left w:val="none" w:sz="0" w:space="0" w:color="auto"/>
                                                                                                                            <w:bottom w:val="none" w:sz="0" w:space="0" w:color="auto"/>
                                                                                                                            <w:right w:val="none" w:sz="0" w:space="0" w:color="auto"/>
                                                                                                                          </w:divBdr>
                                                                                                                        </w:div>
                                                                                                                        <w:div w:id="640110889">
                                                                                                                          <w:marLeft w:val="720"/>
                                                                                                                          <w:marRight w:val="0"/>
                                                                                                                          <w:marTop w:val="0"/>
                                                                                                                          <w:marBottom w:val="0"/>
                                                                                                                          <w:divBdr>
                                                                                                                            <w:top w:val="none" w:sz="0" w:space="0" w:color="auto"/>
                                                                                                                            <w:left w:val="none" w:sz="0" w:space="0" w:color="auto"/>
                                                                                                                            <w:bottom w:val="none" w:sz="0" w:space="0" w:color="auto"/>
                                                                                                                            <w:right w:val="none" w:sz="0" w:space="0" w:color="auto"/>
                                                                                                                          </w:divBdr>
                                                                                                                        </w:div>
                                                                                                                        <w:div w:id="1022171752">
                                                                                                                          <w:marLeft w:val="720"/>
                                                                                                                          <w:marRight w:val="0"/>
                                                                                                                          <w:marTop w:val="0"/>
                                                                                                                          <w:marBottom w:val="0"/>
                                                                                                                          <w:divBdr>
                                                                                                                            <w:top w:val="none" w:sz="0" w:space="0" w:color="auto"/>
                                                                                                                            <w:left w:val="none" w:sz="0" w:space="0" w:color="auto"/>
                                                                                                                            <w:bottom w:val="none" w:sz="0" w:space="0" w:color="auto"/>
                                                                                                                            <w:right w:val="none" w:sz="0" w:space="0" w:color="auto"/>
                                                                                                                          </w:divBdr>
                                                                                                                        </w:div>
                                                                                                                        <w:div w:id="384765343">
                                                                                                                          <w:marLeft w:val="720"/>
                                                                                                                          <w:marRight w:val="0"/>
                                                                                                                          <w:marTop w:val="0"/>
                                                                                                                          <w:marBottom w:val="0"/>
                                                                                                                          <w:divBdr>
                                                                                                                            <w:top w:val="none" w:sz="0" w:space="0" w:color="auto"/>
                                                                                                                            <w:left w:val="none" w:sz="0" w:space="0" w:color="auto"/>
                                                                                                                            <w:bottom w:val="none" w:sz="0" w:space="0" w:color="auto"/>
                                                                                                                            <w:right w:val="none" w:sz="0" w:space="0" w:color="auto"/>
                                                                                                                          </w:divBdr>
                                                                                                                        </w:div>
                                                                                                                        <w:div w:id="273023964">
                                                                                                                          <w:marLeft w:val="0"/>
                                                                                                                          <w:marRight w:val="0"/>
                                                                                                                          <w:marTop w:val="0"/>
                                                                                                                          <w:marBottom w:val="0"/>
                                                                                                                          <w:divBdr>
                                                                                                                            <w:top w:val="none" w:sz="0" w:space="0" w:color="auto"/>
                                                                                                                            <w:left w:val="none" w:sz="0" w:space="0" w:color="auto"/>
                                                                                                                            <w:bottom w:val="none" w:sz="0" w:space="0" w:color="auto"/>
                                                                                                                            <w:right w:val="none" w:sz="0" w:space="0" w:color="auto"/>
                                                                                                                          </w:divBdr>
                                                                                                                        </w:div>
                                                                                                                        <w:div w:id="690567428">
                                                                                                                          <w:marLeft w:val="0"/>
                                                                                                                          <w:marRight w:val="0"/>
                                                                                                                          <w:marTop w:val="0"/>
                                                                                                                          <w:marBottom w:val="0"/>
                                                                                                                          <w:divBdr>
                                                                                                                            <w:top w:val="none" w:sz="0" w:space="0" w:color="auto"/>
                                                                                                                            <w:left w:val="none" w:sz="0" w:space="0" w:color="auto"/>
                                                                                                                            <w:bottom w:val="none" w:sz="0" w:space="0" w:color="auto"/>
                                                                                                                            <w:right w:val="none" w:sz="0" w:space="0" w:color="auto"/>
                                                                                                                          </w:divBdr>
                                                                                                                        </w:div>
                                                                                                                        <w:div w:id="1909608028">
                                                                                                                          <w:marLeft w:val="0"/>
                                                                                                                          <w:marRight w:val="0"/>
                                                                                                                          <w:marTop w:val="0"/>
                                                                                                                          <w:marBottom w:val="0"/>
                                                                                                                          <w:divBdr>
                                                                                                                            <w:top w:val="none" w:sz="0" w:space="0" w:color="auto"/>
                                                                                                                            <w:left w:val="none" w:sz="0" w:space="0" w:color="auto"/>
                                                                                                                            <w:bottom w:val="none" w:sz="0" w:space="0" w:color="auto"/>
                                                                                                                            <w:right w:val="none" w:sz="0" w:space="0" w:color="auto"/>
                                                                                                                          </w:divBdr>
                                                                                                                        </w:div>
                                                                                                                        <w:div w:id="1076441366">
                                                                                                                          <w:marLeft w:val="0"/>
                                                                                                                          <w:marRight w:val="0"/>
                                                                                                                          <w:marTop w:val="0"/>
                                                                                                                          <w:marBottom w:val="0"/>
                                                                                                                          <w:divBdr>
                                                                                                                            <w:top w:val="none" w:sz="0" w:space="0" w:color="auto"/>
                                                                                                                            <w:left w:val="none" w:sz="0" w:space="0" w:color="auto"/>
                                                                                                                            <w:bottom w:val="none" w:sz="0" w:space="0" w:color="auto"/>
                                                                                                                            <w:right w:val="none" w:sz="0" w:space="0" w:color="auto"/>
                                                                                                                          </w:divBdr>
                                                                                                                        </w:div>
                                                                                                                        <w:div w:id="1100175046">
                                                                                                                          <w:marLeft w:val="0"/>
                                                                                                                          <w:marRight w:val="0"/>
                                                                                                                          <w:marTop w:val="0"/>
                                                                                                                          <w:marBottom w:val="0"/>
                                                                                                                          <w:divBdr>
                                                                                                                            <w:top w:val="none" w:sz="0" w:space="0" w:color="auto"/>
                                                                                                                            <w:left w:val="none" w:sz="0" w:space="0" w:color="auto"/>
                                                                                                                            <w:bottom w:val="none" w:sz="0" w:space="0" w:color="auto"/>
                                                                                                                            <w:right w:val="none" w:sz="0" w:space="0" w:color="auto"/>
                                                                                                                          </w:divBdr>
                                                                                                                        </w:div>
                                                                                                                        <w:div w:id="383337455">
                                                                                                                          <w:marLeft w:val="0"/>
                                                                                                                          <w:marRight w:val="0"/>
                                                                                                                          <w:marTop w:val="0"/>
                                                                                                                          <w:marBottom w:val="0"/>
                                                                                                                          <w:divBdr>
                                                                                                                            <w:top w:val="none" w:sz="0" w:space="0" w:color="auto"/>
                                                                                                                            <w:left w:val="none" w:sz="0" w:space="0" w:color="auto"/>
                                                                                                                            <w:bottom w:val="none" w:sz="0" w:space="0" w:color="auto"/>
                                                                                                                            <w:right w:val="none" w:sz="0" w:space="0" w:color="auto"/>
                                                                                                                          </w:divBdr>
                                                                                                                        </w:div>
                                                                                                                        <w:div w:id="927814491">
                                                                                                                          <w:marLeft w:val="0"/>
                                                                                                                          <w:marRight w:val="0"/>
                                                                                                                          <w:marTop w:val="0"/>
                                                                                                                          <w:marBottom w:val="0"/>
                                                                                                                          <w:divBdr>
                                                                                                                            <w:top w:val="none" w:sz="0" w:space="0" w:color="auto"/>
                                                                                                                            <w:left w:val="none" w:sz="0" w:space="0" w:color="auto"/>
                                                                                                                            <w:bottom w:val="none" w:sz="0" w:space="0" w:color="auto"/>
                                                                                                                            <w:right w:val="none" w:sz="0" w:space="0" w:color="auto"/>
                                                                                                                          </w:divBdr>
                                                                                                                        </w:div>
                                                                                                                        <w:div w:id="1488781849">
                                                                                                                          <w:marLeft w:val="0"/>
                                                                                                                          <w:marRight w:val="0"/>
                                                                                                                          <w:marTop w:val="0"/>
                                                                                                                          <w:marBottom w:val="0"/>
                                                                                                                          <w:divBdr>
                                                                                                                            <w:top w:val="none" w:sz="0" w:space="0" w:color="auto"/>
                                                                                                                            <w:left w:val="none" w:sz="0" w:space="0" w:color="auto"/>
                                                                                                                            <w:bottom w:val="none" w:sz="0" w:space="0" w:color="auto"/>
                                                                                                                            <w:right w:val="none" w:sz="0" w:space="0" w:color="auto"/>
                                                                                                                          </w:divBdr>
                                                                                                                        </w:div>
                                                                                                                        <w:div w:id="56512324">
                                                                                                                          <w:marLeft w:val="0"/>
                                                                                                                          <w:marRight w:val="0"/>
                                                                                                                          <w:marTop w:val="0"/>
                                                                                                                          <w:marBottom w:val="0"/>
                                                                                                                          <w:divBdr>
                                                                                                                            <w:top w:val="none" w:sz="0" w:space="0" w:color="auto"/>
                                                                                                                            <w:left w:val="none" w:sz="0" w:space="0" w:color="auto"/>
                                                                                                                            <w:bottom w:val="none" w:sz="0" w:space="0" w:color="auto"/>
                                                                                                                            <w:right w:val="none" w:sz="0" w:space="0" w:color="auto"/>
                                                                                                                          </w:divBdr>
                                                                                                                        </w:div>
                                                                                                                        <w:div w:id="2137334489">
                                                                                                                          <w:marLeft w:val="0"/>
                                                                                                                          <w:marRight w:val="0"/>
                                                                                                                          <w:marTop w:val="0"/>
                                                                                                                          <w:marBottom w:val="0"/>
                                                                                                                          <w:divBdr>
                                                                                                                            <w:top w:val="none" w:sz="0" w:space="0" w:color="auto"/>
                                                                                                                            <w:left w:val="none" w:sz="0" w:space="0" w:color="auto"/>
                                                                                                                            <w:bottom w:val="none" w:sz="0" w:space="0" w:color="auto"/>
                                                                                                                            <w:right w:val="none" w:sz="0" w:space="0" w:color="auto"/>
                                                                                                                          </w:divBdr>
                                                                                                                        </w:div>
                                                                                                                        <w:div w:id="1620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784852">
      <w:bodyDiv w:val="1"/>
      <w:marLeft w:val="0"/>
      <w:marRight w:val="0"/>
      <w:marTop w:val="0"/>
      <w:marBottom w:val="0"/>
      <w:divBdr>
        <w:top w:val="none" w:sz="0" w:space="0" w:color="auto"/>
        <w:left w:val="none" w:sz="0" w:space="0" w:color="auto"/>
        <w:bottom w:val="none" w:sz="0" w:space="0" w:color="auto"/>
        <w:right w:val="none" w:sz="0" w:space="0" w:color="auto"/>
      </w:divBdr>
      <w:divsChild>
        <w:div w:id="765274717">
          <w:marLeft w:val="0"/>
          <w:marRight w:val="0"/>
          <w:marTop w:val="270"/>
          <w:marBottom w:val="90"/>
          <w:divBdr>
            <w:top w:val="single" w:sz="6" w:space="18" w:color="CCCCCC"/>
            <w:left w:val="single" w:sz="6" w:space="14" w:color="CCCCCC"/>
            <w:bottom w:val="single" w:sz="6" w:space="11" w:color="CCCCCC"/>
            <w:right w:val="single" w:sz="6" w:space="14" w:color="CCCCCC"/>
          </w:divBdr>
          <w:divsChild>
            <w:div w:id="1813138492">
              <w:marLeft w:val="0"/>
              <w:marRight w:val="0"/>
              <w:marTop w:val="0"/>
              <w:marBottom w:val="0"/>
              <w:divBdr>
                <w:top w:val="none" w:sz="0" w:space="0" w:color="auto"/>
                <w:left w:val="none" w:sz="0" w:space="0" w:color="auto"/>
                <w:bottom w:val="none" w:sz="0" w:space="0" w:color="auto"/>
                <w:right w:val="none" w:sz="0" w:space="0" w:color="auto"/>
              </w:divBdr>
              <w:divsChild>
                <w:div w:id="603266950">
                  <w:marLeft w:val="0"/>
                  <w:marRight w:val="0"/>
                  <w:marTop w:val="360"/>
                  <w:marBottom w:val="0"/>
                  <w:divBdr>
                    <w:top w:val="none" w:sz="0" w:space="0" w:color="auto"/>
                    <w:left w:val="none" w:sz="0" w:space="0" w:color="auto"/>
                    <w:bottom w:val="none" w:sz="0" w:space="0" w:color="auto"/>
                    <w:right w:val="none" w:sz="0" w:space="0" w:color="auto"/>
                  </w:divBdr>
                  <w:divsChild>
                    <w:div w:id="14089631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88341301">
      <w:bodyDiv w:val="1"/>
      <w:marLeft w:val="0"/>
      <w:marRight w:val="0"/>
      <w:marTop w:val="0"/>
      <w:marBottom w:val="0"/>
      <w:divBdr>
        <w:top w:val="none" w:sz="0" w:space="0" w:color="auto"/>
        <w:left w:val="none" w:sz="0" w:space="0" w:color="auto"/>
        <w:bottom w:val="none" w:sz="0" w:space="0" w:color="auto"/>
        <w:right w:val="none" w:sz="0" w:space="0" w:color="auto"/>
      </w:divBdr>
    </w:div>
    <w:div w:id="1462114022">
      <w:bodyDiv w:val="1"/>
      <w:marLeft w:val="0"/>
      <w:marRight w:val="0"/>
      <w:marTop w:val="0"/>
      <w:marBottom w:val="0"/>
      <w:divBdr>
        <w:top w:val="none" w:sz="0" w:space="0" w:color="auto"/>
        <w:left w:val="none" w:sz="0" w:space="0" w:color="auto"/>
        <w:bottom w:val="none" w:sz="0" w:space="0" w:color="auto"/>
        <w:right w:val="none" w:sz="0" w:space="0" w:color="auto"/>
      </w:divBdr>
    </w:div>
    <w:div w:id="1550532437">
      <w:bodyDiv w:val="1"/>
      <w:marLeft w:val="0"/>
      <w:marRight w:val="0"/>
      <w:marTop w:val="0"/>
      <w:marBottom w:val="0"/>
      <w:divBdr>
        <w:top w:val="none" w:sz="0" w:space="0" w:color="auto"/>
        <w:left w:val="none" w:sz="0" w:space="0" w:color="auto"/>
        <w:bottom w:val="none" w:sz="0" w:space="0" w:color="auto"/>
        <w:right w:val="none" w:sz="0" w:space="0" w:color="auto"/>
      </w:divBdr>
    </w:div>
    <w:div w:id="1580604081">
      <w:bodyDiv w:val="1"/>
      <w:marLeft w:val="0"/>
      <w:marRight w:val="0"/>
      <w:marTop w:val="0"/>
      <w:marBottom w:val="0"/>
      <w:divBdr>
        <w:top w:val="none" w:sz="0" w:space="0" w:color="auto"/>
        <w:left w:val="none" w:sz="0" w:space="0" w:color="auto"/>
        <w:bottom w:val="none" w:sz="0" w:space="0" w:color="auto"/>
        <w:right w:val="none" w:sz="0" w:space="0" w:color="auto"/>
      </w:divBdr>
    </w:div>
    <w:div w:id="1610351699">
      <w:bodyDiv w:val="1"/>
      <w:marLeft w:val="0"/>
      <w:marRight w:val="0"/>
      <w:marTop w:val="0"/>
      <w:marBottom w:val="0"/>
      <w:divBdr>
        <w:top w:val="none" w:sz="0" w:space="0" w:color="auto"/>
        <w:left w:val="none" w:sz="0" w:space="0" w:color="auto"/>
        <w:bottom w:val="none" w:sz="0" w:space="0" w:color="auto"/>
        <w:right w:val="none" w:sz="0" w:space="0" w:color="auto"/>
      </w:divBdr>
    </w:div>
    <w:div w:id="1619140625">
      <w:bodyDiv w:val="1"/>
      <w:marLeft w:val="0"/>
      <w:marRight w:val="0"/>
      <w:marTop w:val="0"/>
      <w:marBottom w:val="0"/>
      <w:divBdr>
        <w:top w:val="none" w:sz="0" w:space="0" w:color="auto"/>
        <w:left w:val="none" w:sz="0" w:space="0" w:color="auto"/>
        <w:bottom w:val="none" w:sz="0" w:space="0" w:color="auto"/>
        <w:right w:val="none" w:sz="0" w:space="0" w:color="auto"/>
      </w:divBdr>
    </w:div>
    <w:div w:id="1732772464">
      <w:bodyDiv w:val="1"/>
      <w:marLeft w:val="0"/>
      <w:marRight w:val="0"/>
      <w:marTop w:val="0"/>
      <w:marBottom w:val="0"/>
      <w:divBdr>
        <w:top w:val="none" w:sz="0" w:space="0" w:color="auto"/>
        <w:left w:val="none" w:sz="0" w:space="0" w:color="auto"/>
        <w:bottom w:val="none" w:sz="0" w:space="0" w:color="auto"/>
        <w:right w:val="none" w:sz="0" w:space="0" w:color="auto"/>
      </w:divBdr>
    </w:div>
    <w:div w:id="1762986957">
      <w:bodyDiv w:val="1"/>
      <w:marLeft w:val="0"/>
      <w:marRight w:val="0"/>
      <w:marTop w:val="0"/>
      <w:marBottom w:val="0"/>
      <w:divBdr>
        <w:top w:val="none" w:sz="0" w:space="0" w:color="auto"/>
        <w:left w:val="none" w:sz="0" w:space="0" w:color="auto"/>
        <w:bottom w:val="none" w:sz="0" w:space="0" w:color="auto"/>
        <w:right w:val="none" w:sz="0" w:space="0" w:color="auto"/>
      </w:divBdr>
    </w:div>
    <w:div w:id="1764185972">
      <w:bodyDiv w:val="1"/>
      <w:marLeft w:val="0"/>
      <w:marRight w:val="0"/>
      <w:marTop w:val="0"/>
      <w:marBottom w:val="0"/>
      <w:divBdr>
        <w:top w:val="none" w:sz="0" w:space="0" w:color="auto"/>
        <w:left w:val="none" w:sz="0" w:space="0" w:color="auto"/>
        <w:bottom w:val="none" w:sz="0" w:space="0" w:color="auto"/>
        <w:right w:val="none" w:sz="0" w:space="0" w:color="auto"/>
      </w:divBdr>
    </w:div>
    <w:div w:id="1774475798">
      <w:bodyDiv w:val="1"/>
      <w:marLeft w:val="0"/>
      <w:marRight w:val="0"/>
      <w:marTop w:val="0"/>
      <w:marBottom w:val="0"/>
      <w:divBdr>
        <w:top w:val="none" w:sz="0" w:space="0" w:color="auto"/>
        <w:left w:val="none" w:sz="0" w:space="0" w:color="auto"/>
        <w:bottom w:val="none" w:sz="0" w:space="0" w:color="auto"/>
        <w:right w:val="none" w:sz="0" w:space="0" w:color="auto"/>
      </w:divBdr>
    </w:div>
    <w:div w:id="18454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9465-583B-46FC-BBC2-94E29BA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7491</Words>
  <Characters>49165</Characters>
  <Application>Microsoft Office Word</Application>
  <DocSecurity>0</DocSecurity>
  <Lines>409</Lines>
  <Paragraphs>113</Paragraphs>
  <ScaleCrop>false</ScaleCrop>
  <HeadingPairs>
    <vt:vector size="2" baseType="variant">
      <vt:variant>
        <vt:lpstr>Title</vt:lpstr>
      </vt:variant>
      <vt:variant>
        <vt:i4>1</vt:i4>
      </vt:variant>
    </vt:vector>
  </HeadingPairs>
  <TitlesOfParts>
    <vt:vector size="1" baseType="lpstr">
      <vt:lpstr>5.06 empagliflozin with metformin FDC</vt:lpstr>
    </vt:vector>
  </TitlesOfParts>
  <LinksUpToDate>false</LinksUpToDate>
  <CharactersWithSpaces>56543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 empagliflozin with metformin FDC</dc:title>
  <dc:creator/>
  <cp:lastModifiedBy/>
  <cp:revision>1</cp:revision>
  <dcterms:created xsi:type="dcterms:W3CDTF">2016-02-26T05:48:00Z</dcterms:created>
  <dcterms:modified xsi:type="dcterms:W3CDTF">2016-02-26T06:10:00Z</dcterms:modified>
</cp:coreProperties>
</file>