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FB29BA" w:rsidRDefault="000F32F4" w:rsidP="00FB29BA">
      <w:pPr>
        <w:pStyle w:val="Title"/>
      </w:pPr>
      <w:r w:rsidRPr="00FB29BA">
        <w:t>6.16</w:t>
      </w:r>
      <w:r w:rsidR="007C0F57" w:rsidRPr="00FB29BA">
        <w:tab/>
      </w:r>
      <w:r w:rsidRPr="00FB29BA">
        <w:t>EVEROLIMUS</w:t>
      </w:r>
    </w:p>
    <w:p w:rsidR="00C27B58" w:rsidRPr="00FB29BA" w:rsidRDefault="007E77EE" w:rsidP="00FB29BA">
      <w:pPr>
        <w:pStyle w:val="Title"/>
        <w:ind w:firstLine="0"/>
      </w:pPr>
      <w:r w:rsidRPr="00FB29BA">
        <w:t>tablets</w:t>
      </w:r>
      <w:r w:rsidR="0004240E" w:rsidRPr="00FB29BA">
        <w:t xml:space="preserve">, </w:t>
      </w:r>
      <w:r w:rsidRPr="00FB29BA">
        <w:t>250mcg, 500mcg, 750mcg</w:t>
      </w:r>
      <w:r w:rsidR="0004240E" w:rsidRPr="00FB29BA">
        <w:t>,</w:t>
      </w:r>
      <w:r w:rsidRPr="00FB29BA">
        <w:t xml:space="preserve"> 1mg</w:t>
      </w:r>
    </w:p>
    <w:p w:rsidR="00D3280C" w:rsidRPr="00FB29BA" w:rsidRDefault="007E77EE" w:rsidP="00FB29BA">
      <w:pPr>
        <w:pStyle w:val="Title"/>
        <w:ind w:firstLine="0"/>
      </w:pPr>
      <w:r w:rsidRPr="00FB29BA">
        <w:t>Certican</w:t>
      </w:r>
      <w:r w:rsidR="0004240E" w:rsidRPr="00FB29BA">
        <w:t>®</w:t>
      </w:r>
      <w:r w:rsidR="00EF44A0" w:rsidRPr="00FB29BA">
        <w:t xml:space="preserve">, </w:t>
      </w:r>
      <w:r w:rsidRPr="00FB29BA">
        <w:t xml:space="preserve">Novartis Pharmaceuticals Australia </w:t>
      </w:r>
    </w:p>
    <w:p w:rsidR="00CE10C4" w:rsidRDefault="00CE10C4" w:rsidP="00C27B58">
      <w:pPr>
        <w:pStyle w:val="NoSpacing"/>
      </w:pPr>
    </w:p>
    <w:p w:rsidR="00C27B58" w:rsidRDefault="00C27B58" w:rsidP="00C27B58">
      <w:pPr>
        <w:pStyle w:val="NoSpacing"/>
      </w:pPr>
    </w:p>
    <w:p w:rsidR="00CE10C4" w:rsidRPr="00FB29BA" w:rsidRDefault="00CE10C4" w:rsidP="00FB29BA">
      <w:pPr>
        <w:pStyle w:val="Heading1"/>
      </w:pPr>
      <w:r w:rsidRPr="00FB29BA">
        <w:t xml:space="preserve">Purpose of </w:t>
      </w:r>
      <w:r w:rsidR="0004240E" w:rsidRPr="00FB29BA">
        <w:t>Application</w:t>
      </w:r>
    </w:p>
    <w:p w:rsidR="006A12A5" w:rsidRPr="00882085" w:rsidRDefault="006A12A5" w:rsidP="00882085">
      <w:pPr>
        <w:jc w:val="both"/>
        <w:rPr>
          <w:rFonts w:ascii="Arial" w:hAnsi="Arial"/>
          <w:sz w:val="22"/>
          <w:szCs w:val="22"/>
        </w:rPr>
      </w:pPr>
    </w:p>
    <w:p w:rsidR="00F9629A" w:rsidRPr="00135D40" w:rsidRDefault="00EF44A0" w:rsidP="00135D40">
      <w:pPr>
        <w:pStyle w:val="ListParagraph"/>
        <w:numPr>
          <w:ilvl w:val="1"/>
          <w:numId w:val="25"/>
        </w:numPr>
        <w:jc w:val="both"/>
      </w:pPr>
      <w:r>
        <w:rPr>
          <w:rFonts w:ascii="Arial" w:hAnsi="Arial"/>
          <w:sz w:val="22"/>
          <w:szCs w:val="22"/>
        </w:rPr>
        <w:t>The mi</w:t>
      </w:r>
      <w:r w:rsidR="00FF2801">
        <w:rPr>
          <w:rFonts w:ascii="Arial" w:hAnsi="Arial"/>
          <w:sz w:val="22"/>
          <w:szCs w:val="22"/>
        </w:rPr>
        <w:t xml:space="preserve">nor submission sought </w:t>
      </w:r>
      <w:r w:rsidR="00135D40">
        <w:rPr>
          <w:rFonts w:ascii="Arial" w:hAnsi="Arial"/>
          <w:sz w:val="22"/>
          <w:szCs w:val="22"/>
        </w:rPr>
        <w:t>change to the PBS listing of everolimus (Certican</w:t>
      </w:r>
      <w:r w:rsidR="00135D40">
        <w:rPr>
          <w:rFonts w:ascii="Arial" w:hAnsi="Arial" w:cs="Arial"/>
          <w:sz w:val="22"/>
          <w:szCs w:val="22"/>
        </w:rPr>
        <w:t>®</w:t>
      </w:r>
      <w:r w:rsidR="00135D40">
        <w:rPr>
          <w:rFonts w:ascii="Arial" w:hAnsi="Arial"/>
          <w:sz w:val="22"/>
          <w:szCs w:val="22"/>
        </w:rPr>
        <w:t xml:space="preserve">) </w:t>
      </w:r>
      <w:r w:rsidR="002319F4">
        <w:rPr>
          <w:rFonts w:ascii="Arial" w:hAnsi="Arial"/>
          <w:sz w:val="22"/>
          <w:szCs w:val="22"/>
        </w:rPr>
        <w:t>under the General Schedule</w:t>
      </w:r>
      <w:r w:rsidR="00135D40">
        <w:rPr>
          <w:rFonts w:ascii="Arial" w:hAnsi="Arial"/>
          <w:sz w:val="22"/>
          <w:szCs w:val="22"/>
        </w:rPr>
        <w:t xml:space="preserve">, from “authority required” to “unrestricted listing”, </w:t>
      </w:r>
      <w:r w:rsidR="002319F4">
        <w:rPr>
          <w:rFonts w:ascii="Arial" w:hAnsi="Arial"/>
          <w:sz w:val="22"/>
          <w:szCs w:val="22"/>
        </w:rPr>
        <w:t>in transplant indications</w:t>
      </w:r>
      <w:r w:rsidR="00135D40">
        <w:rPr>
          <w:rFonts w:ascii="Arial" w:hAnsi="Arial"/>
          <w:sz w:val="22"/>
          <w:szCs w:val="22"/>
        </w:rPr>
        <w:t xml:space="preserve">. </w:t>
      </w:r>
    </w:p>
    <w:p w:rsidR="00AE3DC1" w:rsidRDefault="00AE3DC1" w:rsidP="00135D40">
      <w:pPr>
        <w:pStyle w:val="ListParagraph"/>
        <w:jc w:val="both"/>
        <w:rPr>
          <w:rFonts w:ascii="Arial" w:hAnsi="Arial"/>
          <w:b/>
          <w:sz w:val="22"/>
          <w:szCs w:val="22"/>
        </w:rPr>
      </w:pPr>
    </w:p>
    <w:p w:rsidR="00FB29BA" w:rsidRDefault="00FB29BA" w:rsidP="00135D40">
      <w:pPr>
        <w:pStyle w:val="ListParagraph"/>
        <w:jc w:val="both"/>
        <w:rPr>
          <w:rFonts w:ascii="Arial" w:hAnsi="Arial"/>
          <w:b/>
          <w:sz w:val="22"/>
          <w:szCs w:val="22"/>
        </w:rPr>
      </w:pPr>
    </w:p>
    <w:p w:rsidR="00135D40" w:rsidRPr="00AE3DC1" w:rsidRDefault="00AE3DC1" w:rsidP="00FB29BA">
      <w:pPr>
        <w:pStyle w:val="Heading1"/>
        <w:rPr>
          <w:rFonts w:cs="Arial"/>
        </w:rPr>
      </w:pPr>
      <w:r w:rsidRPr="00882085">
        <w:t>Requested listing</w:t>
      </w:r>
    </w:p>
    <w:p w:rsidR="00AE3DC1" w:rsidRPr="00AE3DC1" w:rsidRDefault="00AE3DC1" w:rsidP="00AE3DC1">
      <w:pPr>
        <w:pStyle w:val="ListParagraph"/>
        <w:jc w:val="both"/>
        <w:rPr>
          <w:rFonts w:ascii="Arial" w:hAnsi="Arial" w:cs="Arial"/>
        </w:rPr>
      </w:pPr>
    </w:p>
    <w:p w:rsidR="00135D40" w:rsidRPr="00AE3DC1" w:rsidRDefault="00135D40" w:rsidP="00135D40">
      <w:pPr>
        <w:pStyle w:val="ListParagraph"/>
        <w:numPr>
          <w:ilvl w:val="1"/>
          <w:numId w:val="25"/>
        </w:numPr>
        <w:jc w:val="both"/>
        <w:rPr>
          <w:rFonts w:ascii="Arial" w:hAnsi="Arial" w:cs="Arial"/>
        </w:rPr>
      </w:pPr>
      <w:r w:rsidRPr="00135D40">
        <w:rPr>
          <w:rFonts w:ascii="Arial" w:hAnsi="Arial"/>
          <w:sz w:val="22"/>
          <w:szCs w:val="22"/>
        </w:rPr>
        <w:t>The submission sought change of authority for everolimus 250 microgram, 500 microgram, 750 microgram and 1mg tablets.</w:t>
      </w:r>
    </w:p>
    <w:p w:rsidR="00AE3DC1" w:rsidRPr="00AE3DC1" w:rsidRDefault="00AE3DC1" w:rsidP="00AE3DC1">
      <w:pPr>
        <w:pStyle w:val="ListParagraph"/>
        <w:jc w:val="both"/>
        <w:rPr>
          <w:rFonts w:ascii="Arial" w:hAnsi="Arial" w:cs="Arial"/>
        </w:rPr>
      </w:pPr>
    </w:p>
    <w:p w:rsidR="00C61C0E" w:rsidRPr="001A30B1" w:rsidRDefault="00AE3DC1" w:rsidP="001A30B1">
      <w:pPr>
        <w:pStyle w:val="ListParagraph"/>
        <w:numPr>
          <w:ilvl w:val="1"/>
          <w:numId w:val="25"/>
        </w:numPr>
        <w:jc w:val="both"/>
        <w:rPr>
          <w:rFonts w:ascii="Arial" w:hAnsi="Arial"/>
          <w:sz w:val="22"/>
          <w:szCs w:val="22"/>
        </w:rPr>
      </w:pPr>
      <w:r>
        <w:rPr>
          <w:rFonts w:ascii="Arial" w:hAnsi="Arial"/>
          <w:sz w:val="22"/>
          <w:szCs w:val="22"/>
        </w:rPr>
        <w:t xml:space="preserve">Details of the </w:t>
      </w:r>
      <w:r w:rsidR="00AA01E8">
        <w:rPr>
          <w:rFonts w:ascii="Arial" w:hAnsi="Arial"/>
          <w:sz w:val="22"/>
          <w:szCs w:val="22"/>
        </w:rPr>
        <w:t>everolimus</w:t>
      </w:r>
      <w:r>
        <w:rPr>
          <w:rFonts w:ascii="Arial" w:hAnsi="Arial"/>
          <w:sz w:val="22"/>
          <w:szCs w:val="22"/>
        </w:rPr>
        <w:t xml:space="preserve"> PBS listings under General Category </w:t>
      </w:r>
      <w:r w:rsidR="00C477A9">
        <w:rPr>
          <w:rFonts w:ascii="Arial" w:hAnsi="Arial"/>
          <w:sz w:val="22"/>
          <w:szCs w:val="22"/>
        </w:rPr>
        <w:t>p</w:t>
      </w:r>
      <w:r>
        <w:rPr>
          <w:rFonts w:ascii="Arial" w:hAnsi="Arial"/>
          <w:sz w:val="22"/>
          <w:szCs w:val="22"/>
        </w:rPr>
        <w:t>rogram are presented below</w:t>
      </w:r>
      <w:r w:rsidR="000276B8">
        <w:rPr>
          <w:rFonts w:ascii="Arial" w:hAnsi="Arial"/>
          <w:sz w:val="22"/>
          <w:szCs w:val="22"/>
        </w:rPr>
        <w:t xml:space="preserve"> (all listings are General Schedule Authority Required)</w:t>
      </w:r>
      <w:r>
        <w:rPr>
          <w:rFonts w:ascii="Arial" w:hAnsi="Arial"/>
          <w:sz w:val="22"/>
          <w:szCs w:val="22"/>
        </w:rPr>
        <w:t>.</w:t>
      </w:r>
    </w:p>
    <w:p w:rsidR="00AE3DC1" w:rsidRPr="002319F4" w:rsidRDefault="00AE3DC1" w:rsidP="00AE3DC1">
      <w:pPr>
        <w:pStyle w:val="ListParagraph"/>
        <w:jc w:val="both"/>
        <w:rPr>
          <w:rFonts w:ascii="Arial" w:hAnsi="Arial" w:cs="Arial"/>
        </w:rPr>
      </w:pPr>
    </w:p>
    <w:p w:rsidR="00AE3DC1" w:rsidRPr="00BD666B" w:rsidRDefault="00AE3DC1" w:rsidP="00AE3DC1">
      <w:pPr>
        <w:ind w:firstLine="709"/>
        <w:jc w:val="both"/>
        <w:rPr>
          <w:rFonts w:ascii="Arial Narrow" w:hAnsi="Arial Narrow"/>
          <w:b/>
          <w:sz w:val="20"/>
          <w:szCs w:val="20"/>
        </w:rPr>
      </w:pPr>
      <w:r w:rsidRPr="00BD666B">
        <w:rPr>
          <w:rFonts w:ascii="Arial Narrow" w:hAnsi="Arial Narrow"/>
          <w:b/>
          <w:sz w:val="20"/>
          <w:szCs w:val="20"/>
        </w:rPr>
        <w:t>Everolimus PBS listing in General Category (transplant indications)</w:t>
      </w:r>
    </w:p>
    <w:tbl>
      <w:tblPr>
        <w:tblStyle w:val="TableGrid"/>
        <w:tblW w:w="0" w:type="auto"/>
        <w:tblInd w:w="817" w:type="dxa"/>
        <w:tblLook w:val="04A0" w:firstRow="1" w:lastRow="0" w:firstColumn="1" w:lastColumn="0" w:noHBand="0" w:noVBand="1"/>
        <w:tblCaption w:val="Everolimus PBS listing in General Category (transplant indications)"/>
      </w:tblPr>
      <w:tblGrid>
        <w:gridCol w:w="2693"/>
        <w:gridCol w:w="1701"/>
        <w:gridCol w:w="1418"/>
        <w:gridCol w:w="1417"/>
        <w:gridCol w:w="1196"/>
      </w:tblGrid>
      <w:tr w:rsidR="00AE3DC1" w:rsidRPr="00730E58" w:rsidTr="00EA72FF">
        <w:trPr>
          <w:tblHeader/>
        </w:trPr>
        <w:tc>
          <w:tcPr>
            <w:tcW w:w="2693"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 xml:space="preserve">Australian </w:t>
            </w:r>
            <w:r>
              <w:rPr>
                <w:rFonts w:ascii="Arial Narrow" w:hAnsi="Arial Narrow"/>
                <w:b/>
                <w:sz w:val="20"/>
                <w:szCs w:val="20"/>
              </w:rPr>
              <w:t>approved name</w:t>
            </w:r>
          </w:p>
        </w:tc>
        <w:tc>
          <w:tcPr>
            <w:tcW w:w="1701" w:type="dxa"/>
          </w:tcPr>
          <w:p w:rsidR="00AE3DC1" w:rsidRPr="00730E58" w:rsidRDefault="00AE3DC1" w:rsidP="002C0406">
            <w:pPr>
              <w:jc w:val="both"/>
              <w:rPr>
                <w:rFonts w:ascii="Arial Narrow" w:hAnsi="Arial Narrow"/>
                <w:b/>
                <w:sz w:val="20"/>
                <w:szCs w:val="20"/>
              </w:rPr>
            </w:pPr>
            <w:r>
              <w:rPr>
                <w:rFonts w:ascii="Arial Narrow" w:hAnsi="Arial Narrow"/>
                <w:b/>
                <w:sz w:val="20"/>
                <w:szCs w:val="20"/>
              </w:rPr>
              <w:t>everolimus</w:t>
            </w:r>
          </w:p>
        </w:tc>
        <w:tc>
          <w:tcPr>
            <w:tcW w:w="1418" w:type="dxa"/>
          </w:tcPr>
          <w:p w:rsidR="00AE3DC1" w:rsidRPr="00730E58" w:rsidRDefault="00AE3DC1" w:rsidP="002C0406">
            <w:pPr>
              <w:jc w:val="both"/>
              <w:rPr>
                <w:rFonts w:ascii="Arial Narrow" w:hAnsi="Arial Narrow"/>
                <w:b/>
                <w:sz w:val="20"/>
                <w:szCs w:val="20"/>
              </w:rPr>
            </w:pPr>
            <w:r>
              <w:rPr>
                <w:rFonts w:ascii="Arial Narrow" w:hAnsi="Arial Narrow"/>
                <w:b/>
                <w:sz w:val="20"/>
                <w:szCs w:val="20"/>
              </w:rPr>
              <w:t>everolimus</w:t>
            </w:r>
          </w:p>
        </w:tc>
        <w:tc>
          <w:tcPr>
            <w:tcW w:w="1417"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everolimus</w:t>
            </w:r>
          </w:p>
        </w:tc>
        <w:tc>
          <w:tcPr>
            <w:tcW w:w="1196"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everolimus</w:t>
            </w:r>
          </w:p>
        </w:tc>
      </w:tr>
      <w:tr w:rsidR="00AE3DC1" w:rsidRPr="00730E58" w:rsidTr="002C0406">
        <w:tc>
          <w:tcPr>
            <w:tcW w:w="2693"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Brand name</w:t>
            </w:r>
          </w:p>
        </w:tc>
        <w:tc>
          <w:tcPr>
            <w:tcW w:w="1701"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Certican®</w:t>
            </w:r>
          </w:p>
        </w:tc>
        <w:tc>
          <w:tcPr>
            <w:tcW w:w="1418"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Certican®</w:t>
            </w:r>
          </w:p>
        </w:tc>
        <w:tc>
          <w:tcPr>
            <w:tcW w:w="1417"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Certican®</w:t>
            </w:r>
          </w:p>
        </w:tc>
        <w:tc>
          <w:tcPr>
            <w:tcW w:w="1196" w:type="dxa"/>
          </w:tcPr>
          <w:p w:rsidR="00AE3DC1" w:rsidRPr="00730E58" w:rsidRDefault="00AE3DC1" w:rsidP="002C0406">
            <w:pPr>
              <w:jc w:val="both"/>
              <w:rPr>
                <w:rFonts w:ascii="Arial Narrow" w:hAnsi="Arial Narrow"/>
                <w:b/>
                <w:sz w:val="20"/>
                <w:szCs w:val="20"/>
              </w:rPr>
            </w:pPr>
            <w:r w:rsidRPr="00730E58">
              <w:rPr>
                <w:rFonts w:ascii="Arial Narrow" w:hAnsi="Arial Narrow"/>
                <w:b/>
                <w:sz w:val="20"/>
                <w:szCs w:val="20"/>
              </w:rPr>
              <w:t>Certican®</w:t>
            </w:r>
          </w:p>
        </w:tc>
      </w:tr>
      <w:tr w:rsidR="00AE3DC1" w:rsidRPr="00730E58" w:rsidTr="002C0406">
        <w:tc>
          <w:tcPr>
            <w:tcW w:w="2693"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(Name, form &amp; strength and pack size)</w:t>
            </w:r>
          </w:p>
        </w:tc>
        <w:tc>
          <w:tcPr>
            <w:tcW w:w="1701" w:type="dxa"/>
          </w:tcPr>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everolimus</w:t>
            </w:r>
          </w:p>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250 microgram</w:t>
            </w:r>
          </w:p>
          <w:p w:rsidR="00AE3DC1" w:rsidRPr="00730E58" w:rsidRDefault="00AE3DC1" w:rsidP="002C0406">
            <w:pPr>
              <w:jc w:val="both"/>
              <w:rPr>
                <w:rFonts w:ascii="Arial Narrow" w:hAnsi="Arial Narrow"/>
                <w:sz w:val="20"/>
                <w:szCs w:val="20"/>
              </w:rPr>
            </w:pPr>
            <w:r w:rsidRPr="00730E58">
              <w:rPr>
                <w:rFonts w:ascii="Arial Narrow" w:hAnsi="Arial Narrow"/>
                <w:bCs/>
                <w:sz w:val="20"/>
                <w:szCs w:val="20"/>
              </w:rPr>
              <w:t>tablet, 60</w:t>
            </w:r>
          </w:p>
        </w:tc>
        <w:tc>
          <w:tcPr>
            <w:tcW w:w="1418" w:type="dxa"/>
          </w:tcPr>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everolimus</w:t>
            </w:r>
          </w:p>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500 microgram</w:t>
            </w:r>
          </w:p>
          <w:p w:rsidR="00AE3DC1" w:rsidRPr="00730E58" w:rsidRDefault="00AE3DC1" w:rsidP="002C0406">
            <w:pPr>
              <w:jc w:val="both"/>
              <w:rPr>
                <w:rFonts w:ascii="Arial Narrow" w:hAnsi="Arial Narrow"/>
                <w:sz w:val="20"/>
                <w:szCs w:val="20"/>
              </w:rPr>
            </w:pPr>
            <w:r w:rsidRPr="00730E58">
              <w:rPr>
                <w:rFonts w:ascii="Arial Narrow" w:hAnsi="Arial Narrow"/>
                <w:bCs/>
                <w:sz w:val="20"/>
                <w:szCs w:val="20"/>
              </w:rPr>
              <w:t>tablet, 60</w:t>
            </w:r>
          </w:p>
        </w:tc>
        <w:tc>
          <w:tcPr>
            <w:tcW w:w="1417" w:type="dxa"/>
          </w:tcPr>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everolimus</w:t>
            </w:r>
          </w:p>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750 microgram</w:t>
            </w:r>
          </w:p>
          <w:p w:rsidR="00AE3DC1" w:rsidRPr="00730E58" w:rsidRDefault="00AE3DC1" w:rsidP="002C0406">
            <w:pPr>
              <w:jc w:val="both"/>
              <w:rPr>
                <w:rFonts w:ascii="Arial Narrow" w:hAnsi="Arial Narrow"/>
                <w:sz w:val="20"/>
                <w:szCs w:val="20"/>
              </w:rPr>
            </w:pPr>
            <w:r w:rsidRPr="00730E58">
              <w:rPr>
                <w:rFonts w:ascii="Arial Narrow" w:hAnsi="Arial Narrow"/>
                <w:bCs/>
                <w:sz w:val="20"/>
                <w:szCs w:val="20"/>
              </w:rPr>
              <w:t>tablet, 60</w:t>
            </w:r>
          </w:p>
        </w:tc>
        <w:tc>
          <w:tcPr>
            <w:tcW w:w="1196" w:type="dxa"/>
          </w:tcPr>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everolimus</w:t>
            </w:r>
          </w:p>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1mg</w:t>
            </w:r>
          </w:p>
          <w:p w:rsidR="00AE3DC1" w:rsidRPr="00730E58" w:rsidRDefault="00AE3DC1" w:rsidP="002C0406">
            <w:pPr>
              <w:jc w:val="both"/>
              <w:rPr>
                <w:rFonts w:ascii="Arial Narrow" w:hAnsi="Arial Narrow"/>
                <w:sz w:val="20"/>
                <w:szCs w:val="20"/>
              </w:rPr>
            </w:pPr>
            <w:r w:rsidRPr="00730E58">
              <w:rPr>
                <w:rFonts w:ascii="Arial Narrow" w:hAnsi="Arial Narrow"/>
                <w:bCs/>
                <w:sz w:val="20"/>
                <w:szCs w:val="20"/>
              </w:rPr>
              <w:t>tablet, 60</w:t>
            </w:r>
          </w:p>
        </w:tc>
      </w:tr>
      <w:tr w:rsidR="00AE3DC1" w:rsidRPr="00730E58" w:rsidTr="002C0406">
        <w:tc>
          <w:tcPr>
            <w:tcW w:w="2693"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PBS status</w:t>
            </w:r>
          </w:p>
        </w:tc>
        <w:tc>
          <w:tcPr>
            <w:tcW w:w="1701"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PBS-listed</w:t>
            </w:r>
          </w:p>
        </w:tc>
        <w:tc>
          <w:tcPr>
            <w:tcW w:w="1418"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PBS-listed</w:t>
            </w:r>
          </w:p>
        </w:tc>
        <w:tc>
          <w:tcPr>
            <w:tcW w:w="1417"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PBS-listed</w:t>
            </w:r>
          </w:p>
        </w:tc>
        <w:tc>
          <w:tcPr>
            <w:tcW w:w="1196"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PBS-listed</w:t>
            </w:r>
          </w:p>
        </w:tc>
      </w:tr>
      <w:tr w:rsidR="00AE3DC1" w:rsidRPr="00730E58" w:rsidTr="002C0406">
        <w:tc>
          <w:tcPr>
            <w:tcW w:w="2693" w:type="dxa"/>
          </w:tcPr>
          <w:p w:rsidR="00AE3DC1" w:rsidRPr="00730E58" w:rsidRDefault="00AE3DC1" w:rsidP="000276B8">
            <w:pPr>
              <w:rPr>
                <w:rFonts w:ascii="Arial Narrow" w:hAnsi="Arial Narrow"/>
                <w:sz w:val="20"/>
                <w:szCs w:val="20"/>
              </w:rPr>
            </w:pPr>
            <w:r w:rsidRPr="00730E58">
              <w:rPr>
                <w:rFonts w:ascii="Arial Narrow" w:hAnsi="Arial Narrow"/>
                <w:sz w:val="20"/>
                <w:szCs w:val="20"/>
              </w:rPr>
              <w:t>Max Qty</w:t>
            </w:r>
          </w:p>
        </w:tc>
        <w:tc>
          <w:tcPr>
            <w:tcW w:w="1701"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60</w:t>
            </w:r>
          </w:p>
        </w:tc>
        <w:tc>
          <w:tcPr>
            <w:tcW w:w="1418"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60</w:t>
            </w:r>
          </w:p>
        </w:tc>
        <w:tc>
          <w:tcPr>
            <w:tcW w:w="1417"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120</w:t>
            </w:r>
          </w:p>
        </w:tc>
        <w:tc>
          <w:tcPr>
            <w:tcW w:w="1196"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120</w:t>
            </w:r>
          </w:p>
        </w:tc>
      </w:tr>
      <w:tr w:rsidR="00AE3DC1" w:rsidRPr="00730E58" w:rsidTr="002C0406">
        <w:tc>
          <w:tcPr>
            <w:tcW w:w="2693"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Number of repeats</w:t>
            </w:r>
          </w:p>
        </w:tc>
        <w:tc>
          <w:tcPr>
            <w:tcW w:w="1701"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3</w:t>
            </w:r>
          </w:p>
        </w:tc>
        <w:tc>
          <w:tcPr>
            <w:tcW w:w="1418"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3</w:t>
            </w:r>
          </w:p>
        </w:tc>
        <w:tc>
          <w:tcPr>
            <w:tcW w:w="1417"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3</w:t>
            </w:r>
          </w:p>
        </w:tc>
        <w:tc>
          <w:tcPr>
            <w:tcW w:w="1196"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3</w:t>
            </w:r>
          </w:p>
        </w:tc>
      </w:tr>
      <w:tr w:rsidR="00AE3DC1" w:rsidRPr="00730E58" w:rsidTr="002C0406">
        <w:tc>
          <w:tcPr>
            <w:tcW w:w="2693"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DPMQ</w:t>
            </w:r>
          </w:p>
        </w:tc>
        <w:tc>
          <w:tcPr>
            <w:tcW w:w="1701"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$268.79</w:t>
            </w:r>
          </w:p>
        </w:tc>
        <w:tc>
          <w:tcPr>
            <w:tcW w:w="1418"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$527.16</w:t>
            </w:r>
          </w:p>
        </w:tc>
        <w:tc>
          <w:tcPr>
            <w:tcW w:w="1417"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$1522.17</w:t>
            </w:r>
          </w:p>
        </w:tc>
        <w:tc>
          <w:tcPr>
            <w:tcW w:w="1196"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$2002.77</w:t>
            </w:r>
          </w:p>
        </w:tc>
      </w:tr>
      <w:tr w:rsidR="00AE3DC1" w:rsidRPr="00730E58" w:rsidTr="002C0406">
        <w:tc>
          <w:tcPr>
            <w:tcW w:w="2693" w:type="dxa"/>
          </w:tcPr>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Everolimus mg</w:t>
            </w:r>
          </w:p>
          <w:p w:rsidR="00AE3DC1" w:rsidRPr="00730E58" w:rsidRDefault="00AE3DC1" w:rsidP="002C0406">
            <w:pPr>
              <w:jc w:val="both"/>
              <w:rPr>
                <w:rFonts w:ascii="Arial Narrow" w:hAnsi="Arial Narrow"/>
                <w:sz w:val="20"/>
                <w:szCs w:val="20"/>
              </w:rPr>
            </w:pPr>
            <w:r w:rsidRPr="00730E58">
              <w:rPr>
                <w:rFonts w:ascii="Arial Narrow" w:hAnsi="Arial Narrow"/>
                <w:bCs/>
                <w:sz w:val="20"/>
                <w:szCs w:val="20"/>
              </w:rPr>
              <w:t>for Max Qty.</w:t>
            </w:r>
          </w:p>
        </w:tc>
        <w:tc>
          <w:tcPr>
            <w:tcW w:w="1701"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15mg</w:t>
            </w:r>
          </w:p>
        </w:tc>
        <w:tc>
          <w:tcPr>
            <w:tcW w:w="1418"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30mg</w:t>
            </w:r>
          </w:p>
        </w:tc>
        <w:tc>
          <w:tcPr>
            <w:tcW w:w="1417"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90mg</w:t>
            </w:r>
          </w:p>
        </w:tc>
        <w:tc>
          <w:tcPr>
            <w:tcW w:w="1196"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120mg</w:t>
            </w:r>
          </w:p>
        </w:tc>
      </w:tr>
      <w:tr w:rsidR="00AE3DC1" w:rsidRPr="00730E58" w:rsidTr="002C0406">
        <w:tc>
          <w:tcPr>
            <w:tcW w:w="2693" w:type="dxa"/>
          </w:tcPr>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Proportion of</w:t>
            </w:r>
          </w:p>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Certican use in</w:t>
            </w:r>
          </w:p>
          <w:p w:rsidR="00AE3DC1" w:rsidRPr="00730E58" w:rsidRDefault="00AE3DC1" w:rsidP="002C0406">
            <w:pPr>
              <w:jc w:val="both"/>
              <w:rPr>
                <w:rFonts w:ascii="Arial Narrow" w:hAnsi="Arial Narrow"/>
                <w:bCs/>
                <w:sz w:val="20"/>
                <w:szCs w:val="20"/>
              </w:rPr>
            </w:pPr>
            <w:r w:rsidRPr="00730E58">
              <w:rPr>
                <w:rFonts w:ascii="Arial Narrow" w:hAnsi="Arial Narrow"/>
                <w:bCs/>
                <w:sz w:val="20"/>
                <w:szCs w:val="20"/>
              </w:rPr>
              <w:t>General</w:t>
            </w:r>
          </w:p>
          <w:p w:rsidR="00AE3DC1" w:rsidRPr="00730E58" w:rsidRDefault="00AE3DC1" w:rsidP="002C0406">
            <w:pPr>
              <w:jc w:val="both"/>
              <w:rPr>
                <w:rFonts w:ascii="Arial Narrow" w:hAnsi="Arial Narrow"/>
                <w:sz w:val="20"/>
                <w:szCs w:val="20"/>
              </w:rPr>
            </w:pPr>
            <w:r w:rsidRPr="00730E58">
              <w:rPr>
                <w:rFonts w:ascii="Arial Narrow" w:hAnsi="Arial Narrow"/>
                <w:bCs/>
                <w:sz w:val="20"/>
                <w:szCs w:val="20"/>
              </w:rPr>
              <w:t>Category</w:t>
            </w:r>
          </w:p>
        </w:tc>
        <w:tc>
          <w:tcPr>
            <w:tcW w:w="1701"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12%</w:t>
            </w:r>
          </w:p>
        </w:tc>
        <w:tc>
          <w:tcPr>
            <w:tcW w:w="1418"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35%</w:t>
            </w:r>
          </w:p>
        </w:tc>
        <w:tc>
          <w:tcPr>
            <w:tcW w:w="1417"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26%</w:t>
            </w:r>
          </w:p>
        </w:tc>
        <w:tc>
          <w:tcPr>
            <w:tcW w:w="1196" w:type="dxa"/>
          </w:tcPr>
          <w:p w:rsidR="00AE3DC1" w:rsidRPr="00730E58" w:rsidRDefault="00AE3DC1" w:rsidP="002C0406">
            <w:pPr>
              <w:jc w:val="both"/>
              <w:rPr>
                <w:rFonts w:ascii="Arial Narrow" w:hAnsi="Arial Narrow"/>
                <w:sz w:val="20"/>
                <w:szCs w:val="20"/>
              </w:rPr>
            </w:pPr>
            <w:r w:rsidRPr="00730E58">
              <w:rPr>
                <w:rFonts w:ascii="Arial Narrow" w:hAnsi="Arial Narrow"/>
                <w:sz w:val="20"/>
                <w:szCs w:val="20"/>
              </w:rPr>
              <w:t>27%</w:t>
            </w:r>
          </w:p>
        </w:tc>
      </w:tr>
    </w:tbl>
    <w:p w:rsidR="002319F4" w:rsidRPr="002319F4" w:rsidRDefault="002319F4" w:rsidP="002319F4">
      <w:pPr>
        <w:pStyle w:val="ListParagraph"/>
        <w:jc w:val="both"/>
        <w:rPr>
          <w:rFonts w:ascii="Arial" w:hAnsi="Arial" w:cs="Arial"/>
        </w:rPr>
      </w:pPr>
    </w:p>
    <w:p w:rsidR="002319F4" w:rsidRPr="00AE3DC1" w:rsidRDefault="002319F4" w:rsidP="002319F4">
      <w:pPr>
        <w:pStyle w:val="ListParagraph"/>
        <w:numPr>
          <w:ilvl w:val="1"/>
          <w:numId w:val="25"/>
        </w:numPr>
        <w:jc w:val="both"/>
        <w:rPr>
          <w:rFonts w:ascii="Arial" w:hAnsi="Arial" w:cs="Arial"/>
        </w:rPr>
      </w:pPr>
      <w:r w:rsidRPr="002319F4">
        <w:rPr>
          <w:rFonts w:ascii="Arial" w:hAnsi="Arial"/>
          <w:sz w:val="22"/>
          <w:szCs w:val="22"/>
        </w:rPr>
        <w:t>No change is requested for the authority requirement for Certican® (everolimus) under Section 100 (Highly Specialised Drugs) – Public Hospitals and Section 100 (Highly Specialised Drugs) –</w:t>
      </w:r>
      <w:r w:rsidR="007E77EE">
        <w:rPr>
          <w:rFonts w:ascii="Arial" w:hAnsi="Arial"/>
          <w:sz w:val="22"/>
          <w:szCs w:val="22"/>
        </w:rPr>
        <w:t xml:space="preserve"> </w:t>
      </w:r>
      <w:r w:rsidRPr="002319F4">
        <w:rPr>
          <w:rFonts w:ascii="Arial" w:hAnsi="Arial"/>
          <w:sz w:val="22"/>
          <w:szCs w:val="22"/>
        </w:rPr>
        <w:t>Private Hospitals in transplant indications.</w:t>
      </w:r>
    </w:p>
    <w:p w:rsidR="00AE3DC1" w:rsidRPr="002319F4" w:rsidRDefault="00AE3DC1" w:rsidP="00AE3DC1">
      <w:pPr>
        <w:pStyle w:val="ListParagraph"/>
        <w:jc w:val="both"/>
        <w:rPr>
          <w:rFonts w:ascii="Arial" w:hAnsi="Arial" w:cs="Arial"/>
        </w:rPr>
      </w:pPr>
    </w:p>
    <w:p w:rsidR="00AE3DC1" w:rsidRPr="00C0629A" w:rsidRDefault="00AE3DC1" w:rsidP="00AE3DC1">
      <w:pPr>
        <w:pStyle w:val="ListParagraph"/>
        <w:numPr>
          <w:ilvl w:val="1"/>
          <w:numId w:val="25"/>
        </w:numPr>
        <w:jc w:val="both"/>
        <w:rPr>
          <w:rFonts w:ascii="Arial" w:hAnsi="Arial"/>
          <w:b/>
          <w:sz w:val="22"/>
          <w:szCs w:val="22"/>
        </w:rPr>
      </w:pPr>
      <w:r>
        <w:rPr>
          <w:rFonts w:ascii="Arial" w:hAnsi="Arial"/>
          <w:sz w:val="22"/>
          <w:szCs w:val="22"/>
        </w:rPr>
        <w:t>E</w:t>
      </w:r>
      <w:r w:rsidRPr="00C0629A">
        <w:rPr>
          <w:rFonts w:ascii="Arial" w:hAnsi="Arial"/>
          <w:sz w:val="22"/>
          <w:szCs w:val="22"/>
        </w:rPr>
        <w:t xml:space="preserve">verolimus </w:t>
      </w:r>
      <w:r>
        <w:rPr>
          <w:rFonts w:ascii="Arial" w:hAnsi="Arial"/>
          <w:sz w:val="22"/>
          <w:szCs w:val="22"/>
        </w:rPr>
        <w:t xml:space="preserve">exists in two </w:t>
      </w:r>
      <w:r w:rsidRPr="00C0629A">
        <w:rPr>
          <w:rFonts w:ascii="Arial" w:hAnsi="Arial"/>
          <w:sz w:val="22"/>
          <w:szCs w:val="22"/>
        </w:rPr>
        <w:t xml:space="preserve">brands on the PBS.  Everolimus, as an </w:t>
      </w:r>
      <w:r w:rsidR="009553D2" w:rsidRPr="00C0629A">
        <w:rPr>
          <w:rFonts w:ascii="Arial" w:hAnsi="Arial"/>
          <w:sz w:val="22"/>
          <w:szCs w:val="22"/>
        </w:rPr>
        <w:t>immunosuppress</w:t>
      </w:r>
      <w:r w:rsidR="009553D2">
        <w:rPr>
          <w:rFonts w:ascii="Arial" w:hAnsi="Arial"/>
          <w:sz w:val="22"/>
          <w:szCs w:val="22"/>
        </w:rPr>
        <w:t>ant</w:t>
      </w:r>
      <w:r w:rsidR="009553D2" w:rsidRPr="00C0629A">
        <w:rPr>
          <w:rFonts w:ascii="Arial" w:hAnsi="Arial"/>
          <w:sz w:val="22"/>
          <w:szCs w:val="22"/>
        </w:rPr>
        <w:t xml:space="preserve"> </w:t>
      </w:r>
      <w:r w:rsidRPr="00C0629A">
        <w:rPr>
          <w:rFonts w:ascii="Arial" w:hAnsi="Arial"/>
          <w:sz w:val="22"/>
          <w:szCs w:val="22"/>
        </w:rPr>
        <w:t>for transplant indications, is PBS-listed as Certican® in low dose tablets containing everolimus 250 microgram, 500 microgram, 750 microgram and 1mg. Everolimus is also PBS-listed for oncology indications, where it is employed at the starting dose of 10 mg once daily, as Afinitor®.</w:t>
      </w:r>
    </w:p>
    <w:p w:rsidR="00AE3DC1" w:rsidRPr="00C0629A" w:rsidRDefault="00AE3DC1" w:rsidP="00AE3DC1">
      <w:pPr>
        <w:pStyle w:val="ListParagraph"/>
        <w:jc w:val="both"/>
        <w:rPr>
          <w:rFonts w:ascii="Arial" w:hAnsi="Arial"/>
          <w:b/>
          <w:sz w:val="22"/>
          <w:szCs w:val="22"/>
        </w:rPr>
      </w:pPr>
    </w:p>
    <w:p w:rsidR="00AE3DC1" w:rsidRPr="00126298" w:rsidRDefault="00AE3DC1" w:rsidP="00AE3DC1">
      <w:pPr>
        <w:pStyle w:val="ListParagraph"/>
        <w:numPr>
          <w:ilvl w:val="1"/>
          <w:numId w:val="25"/>
        </w:numPr>
        <w:jc w:val="both"/>
        <w:rPr>
          <w:rFonts w:ascii="Arial" w:hAnsi="Arial"/>
          <w:b/>
          <w:sz w:val="22"/>
          <w:szCs w:val="22"/>
        </w:rPr>
      </w:pPr>
      <w:r>
        <w:rPr>
          <w:rFonts w:ascii="Arial" w:hAnsi="Arial"/>
          <w:sz w:val="22"/>
          <w:szCs w:val="22"/>
        </w:rPr>
        <w:t>The two brands Certican</w:t>
      </w:r>
      <w:r>
        <w:rPr>
          <w:rFonts w:ascii="Arial" w:hAnsi="Arial" w:cs="Arial"/>
          <w:sz w:val="22"/>
          <w:szCs w:val="22"/>
        </w:rPr>
        <w:t>®</w:t>
      </w:r>
      <w:r>
        <w:rPr>
          <w:rFonts w:ascii="Arial" w:hAnsi="Arial"/>
          <w:sz w:val="22"/>
          <w:szCs w:val="22"/>
        </w:rPr>
        <w:t xml:space="preserve"> and Afinitor</w:t>
      </w:r>
      <w:r>
        <w:rPr>
          <w:rFonts w:ascii="Arial" w:hAnsi="Arial" w:cs="Arial"/>
          <w:sz w:val="22"/>
          <w:szCs w:val="22"/>
        </w:rPr>
        <w:t>® are used for separate indications, dosage, dose strengths, PBS maximum quantity, co-administered therapies and duration of treatment and are not interchangeable in clinical practice.</w:t>
      </w:r>
    </w:p>
    <w:p w:rsidR="00126298" w:rsidRPr="00126298" w:rsidRDefault="00126298" w:rsidP="00126298">
      <w:pPr>
        <w:pStyle w:val="ListParagraph"/>
        <w:jc w:val="both"/>
        <w:rPr>
          <w:rFonts w:ascii="Arial" w:hAnsi="Arial"/>
          <w:b/>
          <w:sz w:val="22"/>
          <w:szCs w:val="22"/>
        </w:rPr>
      </w:pPr>
    </w:p>
    <w:p w:rsidR="00126298" w:rsidRPr="002E62E1" w:rsidRDefault="00126298" w:rsidP="00126298">
      <w:pPr>
        <w:pStyle w:val="ListParagraph"/>
        <w:numPr>
          <w:ilvl w:val="1"/>
          <w:numId w:val="25"/>
        </w:numPr>
        <w:jc w:val="both"/>
        <w:rPr>
          <w:rFonts w:ascii="Arial" w:hAnsi="Arial"/>
          <w:sz w:val="22"/>
          <w:szCs w:val="22"/>
        </w:rPr>
      </w:pPr>
      <w:r>
        <w:rPr>
          <w:rFonts w:ascii="Arial" w:hAnsi="Arial"/>
          <w:sz w:val="22"/>
          <w:szCs w:val="22"/>
        </w:rPr>
        <w:lastRenderedPageBreak/>
        <w:t>The submission stated</w:t>
      </w:r>
      <w:r w:rsidRPr="009F3A8D">
        <w:rPr>
          <w:rFonts w:ascii="Arial" w:hAnsi="Arial"/>
          <w:sz w:val="22"/>
          <w:szCs w:val="22"/>
        </w:rPr>
        <w:t xml:space="preserve"> that a</w:t>
      </w:r>
      <w:r w:rsidRPr="002E62E1">
        <w:rPr>
          <w:rFonts w:ascii="Arial" w:hAnsi="Arial"/>
          <w:sz w:val="22"/>
          <w:szCs w:val="22"/>
        </w:rPr>
        <w:t xml:space="preserve"> change in authority requirement for everolimus</w:t>
      </w:r>
      <w:r w:rsidRPr="002E62E1">
        <w:rPr>
          <w:rFonts w:ascii="Sabon" w:hAnsi="Sabon" w:cs="Sabon"/>
          <w:sz w:val="22"/>
          <w:szCs w:val="22"/>
        </w:rPr>
        <w:t xml:space="preserve"> </w:t>
      </w:r>
      <w:r w:rsidRPr="002E62E1">
        <w:rPr>
          <w:rFonts w:ascii="Arial" w:hAnsi="Arial"/>
          <w:sz w:val="22"/>
          <w:szCs w:val="22"/>
        </w:rPr>
        <w:t>is consistent with the recent changes to the authority requirements for currently PBS</w:t>
      </w:r>
      <w:r w:rsidR="00AA01E8">
        <w:rPr>
          <w:rFonts w:ascii="Arial" w:hAnsi="Arial"/>
          <w:sz w:val="22"/>
          <w:szCs w:val="22"/>
        </w:rPr>
        <w:t xml:space="preserve"> </w:t>
      </w:r>
      <w:r w:rsidRPr="002E62E1">
        <w:rPr>
          <w:rFonts w:ascii="Arial" w:hAnsi="Arial"/>
          <w:sz w:val="22"/>
          <w:szCs w:val="22"/>
        </w:rPr>
        <w:t xml:space="preserve">listed comparator immunosuppressive drugs for transplant indications, under the General Schedule. </w:t>
      </w:r>
    </w:p>
    <w:p w:rsidR="00126298" w:rsidRPr="00882085" w:rsidRDefault="00126298" w:rsidP="00126298">
      <w:pPr>
        <w:pStyle w:val="ListParagraph"/>
        <w:jc w:val="both"/>
        <w:rPr>
          <w:rFonts w:ascii="Arial" w:hAnsi="Arial"/>
          <w:sz w:val="22"/>
          <w:szCs w:val="22"/>
        </w:rPr>
      </w:pPr>
    </w:p>
    <w:p w:rsidR="00126298" w:rsidRPr="00882085" w:rsidRDefault="00126298" w:rsidP="00126298">
      <w:pPr>
        <w:pStyle w:val="ListParagraph"/>
        <w:numPr>
          <w:ilvl w:val="1"/>
          <w:numId w:val="25"/>
        </w:numPr>
        <w:jc w:val="both"/>
        <w:rPr>
          <w:rFonts w:ascii="Arial" w:hAnsi="Arial"/>
          <w:sz w:val="22"/>
          <w:szCs w:val="22"/>
        </w:rPr>
      </w:pPr>
      <w:r>
        <w:rPr>
          <w:rFonts w:ascii="Arial" w:hAnsi="Arial"/>
          <w:sz w:val="22"/>
          <w:szCs w:val="22"/>
        </w:rPr>
        <w:t>The submission proposed that removal of the authority restrictions to prescribe Certican</w:t>
      </w:r>
      <w:r>
        <w:rPr>
          <w:rFonts w:ascii="Arial" w:hAnsi="Arial" w:cs="Arial"/>
          <w:sz w:val="22"/>
          <w:szCs w:val="22"/>
        </w:rPr>
        <w:t>®</w:t>
      </w:r>
      <w:r>
        <w:rPr>
          <w:rFonts w:ascii="Arial" w:hAnsi="Arial"/>
          <w:sz w:val="22"/>
          <w:szCs w:val="22"/>
        </w:rPr>
        <w:t xml:space="preserve"> under the General Schedule would reduce administrative burden for clinicians.</w:t>
      </w:r>
    </w:p>
    <w:p w:rsidR="00AE3DC1" w:rsidRPr="00C423FD" w:rsidRDefault="00AE3DC1" w:rsidP="00AE3DC1">
      <w:pPr>
        <w:pStyle w:val="ListParagraph"/>
        <w:jc w:val="both"/>
        <w:rPr>
          <w:rFonts w:ascii="Arial" w:hAnsi="Arial"/>
          <w:b/>
          <w:sz w:val="22"/>
          <w:szCs w:val="22"/>
        </w:rPr>
      </w:pPr>
    </w:p>
    <w:p w:rsidR="00AE3DC1" w:rsidRPr="00C0629A" w:rsidRDefault="00AE3DC1" w:rsidP="00AE3DC1">
      <w:pPr>
        <w:pStyle w:val="ListParagraph"/>
        <w:numPr>
          <w:ilvl w:val="1"/>
          <w:numId w:val="25"/>
        </w:numPr>
        <w:jc w:val="both"/>
        <w:rPr>
          <w:rFonts w:ascii="Arial" w:hAnsi="Arial"/>
          <w:b/>
          <w:sz w:val="22"/>
          <w:szCs w:val="22"/>
        </w:rPr>
      </w:pPr>
      <w:r>
        <w:rPr>
          <w:rFonts w:ascii="Arial" w:hAnsi="Arial"/>
          <w:sz w:val="22"/>
          <w:szCs w:val="22"/>
        </w:rPr>
        <w:t xml:space="preserve">The submission anticipated that any requested change in the authority for transplant indications would not be expected to result in any leakage to oncology </w:t>
      </w:r>
      <w:r w:rsidR="007A6596">
        <w:rPr>
          <w:rFonts w:ascii="Arial" w:hAnsi="Arial"/>
          <w:sz w:val="22"/>
          <w:szCs w:val="22"/>
        </w:rPr>
        <w:t>indications. The</w:t>
      </w:r>
      <w:r w:rsidR="009F2F5A">
        <w:rPr>
          <w:rFonts w:ascii="Arial" w:hAnsi="Arial"/>
          <w:sz w:val="22"/>
          <w:szCs w:val="22"/>
        </w:rPr>
        <w:t xml:space="preserve"> submission attributed this to the higher dosage of everolimus in oncology in</w:t>
      </w:r>
      <w:r w:rsidR="00E71B63">
        <w:rPr>
          <w:rFonts w:ascii="Arial" w:hAnsi="Arial"/>
          <w:sz w:val="22"/>
          <w:szCs w:val="22"/>
        </w:rPr>
        <w:t>d</w:t>
      </w:r>
      <w:r w:rsidR="009F2F5A">
        <w:rPr>
          <w:rFonts w:ascii="Arial" w:hAnsi="Arial"/>
          <w:sz w:val="22"/>
          <w:szCs w:val="22"/>
        </w:rPr>
        <w:t>ications with a starting dose of 10mg once daily</w:t>
      </w:r>
      <w:r w:rsidR="007A6596">
        <w:rPr>
          <w:rFonts w:ascii="Arial" w:hAnsi="Arial"/>
          <w:sz w:val="22"/>
          <w:szCs w:val="22"/>
        </w:rPr>
        <w:t xml:space="preserve"> which would imply that multiple Certican</w:t>
      </w:r>
      <w:r w:rsidR="007A6596">
        <w:rPr>
          <w:rFonts w:ascii="Arial" w:hAnsi="Arial" w:cs="Arial"/>
          <w:sz w:val="22"/>
          <w:szCs w:val="22"/>
        </w:rPr>
        <w:t>® prescriptions would be required per month for each patient.</w:t>
      </w:r>
    </w:p>
    <w:p w:rsidR="00CB76ED" w:rsidRDefault="00CB76ED" w:rsidP="00882085">
      <w:pPr>
        <w:jc w:val="both"/>
        <w:rPr>
          <w:rFonts w:ascii="Arial" w:hAnsi="Arial"/>
          <w:b/>
          <w:sz w:val="22"/>
          <w:szCs w:val="22"/>
        </w:rPr>
      </w:pPr>
    </w:p>
    <w:p w:rsidR="00FB29BA" w:rsidRPr="00882085" w:rsidRDefault="00FB29BA" w:rsidP="00882085">
      <w:pPr>
        <w:jc w:val="both"/>
        <w:rPr>
          <w:rFonts w:ascii="Arial" w:hAnsi="Arial"/>
          <w:b/>
          <w:sz w:val="22"/>
          <w:szCs w:val="22"/>
        </w:rPr>
      </w:pPr>
    </w:p>
    <w:p w:rsidR="00CE10C4" w:rsidRPr="00882085" w:rsidRDefault="00CE10C4" w:rsidP="00FB29BA">
      <w:pPr>
        <w:pStyle w:val="Heading1"/>
      </w:pPr>
      <w:r w:rsidRPr="00882085">
        <w:t>Background</w:t>
      </w:r>
    </w:p>
    <w:p w:rsidR="006A12A5" w:rsidRPr="00882085" w:rsidRDefault="006A12A5" w:rsidP="00882085">
      <w:pPr>
        <w:jc w:val="both"/>
        <w:rPr>
          <w:rFonts w:ascii="Arial" w:hAnsi="Arial"/>
          <w:sz w:val="22"/>
          <w:szCs w:val="22"/>
        </w:rPr>
      </w:pPr>
    </w:p>
    <w:p w:rsidR="002B1AE6" w:rsidRPr="007F2A39" w:rsidRDefault="00542058" w:rsidP="007F2A39">
      <w:pPr>
        <w:pStyle w:val="ListParagraph"/>
        <w:numPr>
          <w:ilvl w:val="1"/>
          <w:numId w:val="25"/>
        </w:numPr>
        <w:jc w:val="both"/>
        <w:rPr>
          <w:rFonts w:ascii="Arial" w:hAnsi="Arial"/>
          <w:i/>
          <w:sz w:val="22"/>
          <w:szCs w:val="22"/>
        </w:rPr>
      </w:pPr>
      <w:r w:rsidRPr="007F2A39">
        <w:rPr>
          <w:rFonts w:ascii="Arial" w:hAnsi="Arial"/>
          <w:sz w:val="22"/>
          <w:szCs w:val="22"/>
        </w:rPr>
        <w:t xml:space="preserve">Everolimus (Certican®) </w:t>
      </w:r>
      <w:r w:rsidR="00476245" w:rsidRPr="007F2A39">
        <w:rPr>
          <w:rFonts w:ascii="Arial" w:hAnsi="Arial"/>
          <w:sz w:val="22"/>
          <w:szCs w:val="22"/>
        </w:rPr>
        <w:t>is TGA registered for</w:t>
      </w:r>
      <w:r w:rsidR="007F2A39" w:rsidRPr="007F2A39">
        <w:rPr>
          <w:rFonts w:ascii="Arial" w:hAnsi="Arial"/>
          <w:sz w:val="22"/>
          <w:szCs w:val="22"/>
        </w:rPr>
        <w:t xml:space="preserve"> the prophylaxis of organ rejection in adult patients at mild to moderate immunological risk receiving an allogeneic renal or cardiac transplant and in adult patients receiving an allogeneic hepatic transplant</w:t>
      </w:r>
      <w:r w:rsidR="007F2A39">
        <w:rPr>
          <w:rFonts w:ascii="Arial" w:hAnsi="Arial"/>
          <w:sz w:val="22"/>
          <w:szCs w:val="22"/>
        </w:rPr>
        <w:t xml:space="preserve">. </w:t>
      </w:r>
    </w:p>
    <w:p w:rsidR="006B0D94" w:rsidRPr="00882085" w:rsidRDefault="006B0D94" w:rsidP="00882085">
      <w:pPr>
        <w:pStyle w:val="ListParagraph"/>
        <w:jc w:val="both"/>
        <w:rPr>
          <w:rFonts w:ascii="Arial" w:hAnsi="Arial"/>
          <w:sz w:val="22"/>
          <w:szCs w:val="22"/>
        </w:rPr>
      </w:pPr>
    </w:p>
    <w:p w:rsidR="00326E79" w:rsidRDefault="007F2A39" w:rsidP="007F2A39">
      <w:pPr>
        <w:pStyle w:val="ListParagraph"/>
        <w:numPr>
          <w:ilvl w:val="1"/>
          <w:numId w:val="25"/>
        </w:numPr>
        <w:jc w:val="both"/>
        <w:rPr>
          <w:rFonts w:ascii="Arial" w:hAnsi="Arial"/>
          <w:sz w:val="22"/>
          <w:szCs w:val="22"/>
        </w:rPr>
      </w:pPr>
      <w:r w:rsidRPr="007F2A39">
        <w:rPr>
          <w:rFonts w:ascii="Arial" w:hAnsi="Arial"/>
          <w:sz w:val="22"/>
          <w:szCs w:val="22"/>
        </w:rPr>
        <w:t>Everolimus tablet, 250 microgram, 500 microgram, 750 microgram and dispersible tablet 250 microgram, Certican® were recommended for list</w:t>
      </w:r>
      <w:r>
        <w:rPr>
          <w:rFonts w:ascii="Arial" w:hAnsi="Arial"/>
          <w:sz w:val="22"/>
          <w:szCs w:val="22"/>
        </w:rPr>
        <w:t>ing</w:t>
      </w:r>
      <w:r w:rsidRPr="007F2A39">
        <w:rPr>
          <w:rFonts w:ascii="Arial" w:hAnsi="Arial"/>
          <w:sz w:val="22"/>
          <w:szCs w:val="22"/>
        </w:rPr>
        <w:t xml:space="preserve"> at </w:t>
      </w:r>
      <w:r>
        <w:rPr>
          <w:rFonts w:ascii="Arial" w:hAnsi="Arial"/>
          <w:sz w:val="22"/>
          <w:szCs w:val="22"/>
        </w:rPr>
        <w:t xml:space="preserve">the </w:t>
      </w:r>
      <w:r w:rsidRPr="007F2A39">
        <w:rPr>
          <w:rFonts w:ascii="Arial" w:hAnsi="Arial"/>
          <w:sz w:val="22"/>
          <w:szCs w:val="22"/>
        </w:rPr>
        <w:t xml:space="preserve">March 2005 PBAC meeting for </w:t>
      </w:r>
      <w:r w:rsidR="009553D2">
        <w:rPr>
          <w:rFonts w:ascii="Arial" w:hAnsi="Arial"/>
          <w:sz w:val="22"/>
          <w:szCs w:val="22"/>
        </w:rPr>
        <w:t xml:space="preserve">the management of </w:t>
      </w:r>
      <w:r w:rsidRPr="007F2A39">
        <w:rPr>
          <w:rFonts w:ascii="Arial" w:hAnsi="Arial"/>
          <w:sz w:val="22"/>
          <w:szCs w:val="22"/>
        </w:rPr>
        <w:t>renal and cardiac transplant</w:t>
      </w:r>
      <w:r>
        <w:rPr>
          <w:rFonts w:ascii="Arial" w:hAnsi="Arial"/>
          <w:sz w:val="22"/>
          <w:szCs w:val="22"/>
        </w:rPr>
        <w:t>.</w:t>
      </w:r>
    </w:p>
    <w:p w:rsidR="007F2A39" w:rsidRDefault="007F2A39" w:rsidP="007F2A39">
      <w:pPr>
        <w:pStyle w:val="ListParagraph"/>
        <w:jc w:val="both"/>
        <w:rPr>
          <w:rFonts w:ascii="Arial" w:hAnsi="Arial"/>
          <w:sz w:val="22"/>
          <w:szCs w:val="22"/>
        </w:rPr>
      </w:pPr>
    </w:p>
    <w:p w:rsidR="007F2A39" w:rsidRPr="007F2A39" w:rsidRDefault="007F2A39" w:rsidP="007F2A39">
      <w:pPr>
        <w:pStyle w:val="ListParagraph"/>
        <w:numPr>
          <w:ilvl w:val="1"/>
          <w:numId w:val="25"/>
        </w:numPr>
        <w:jc w:val="both"/>
        <w:rPr>
          <w:rFonts w:ascii="Arial" w:hAnsi="Arial"/>
          <w:sz w:val="22"/>
          <w:szCs w:val="22"/>
        </w:rPr>
      </w:pPr>
      <w:r w:rsidRPr="007F2A39">
        <w:rPr>
          <w:rFonts w:ascii="Arial" w:hAnsi="Arial"/>
          <w:sz w:val="22"/>
          <w:szCs w:val="22"/>
        </w:rPr>
        <w:t xml:space="preserve">Everolimus tablet, 1 mg, Certican® was recommended as a new strength of everolimus for the management </w:t>
      </w:r>
      <w:r>
        <w:rPr>
          <w:rFonts w:ascii="Arial" w:hAnsi="Arial"/>
          <w:sz w:val="22"/>
          <w:szCs w:val="22"/>
        </w:rPr>
        <w:t>of renal and cardiac transplant at the November 2009 PBAC meeting.</w:t>
      </w:r>
    </w:p>
    <w:p w:rsidR="007A6596" w:rsidRDefault="007A6596" w:rsidP="00882085">
      <w:pPr>
        <w:jc w:val="both"/>
        <w:rPr>
          <w:rFonts w:ascii="Arial" w:hAnsi="Arial"/>
          <w:b/>
          <w:sz w:val="22"/>
          <w:szCs w:val="22"/>
        </w:rPr>
      </w:pPr>
    </w:p>
    <w:p w:rsidR="000E7371" w:rsidRDefault="001074BF" w:rsidP="001074BF">
      <w:pPr>
        <w:pStyle w:val="ListParagraph"/>
        <w:numPr>
          <w:ilvl w:val="1"/>
          <w:numId w:val="25"/>
        </w:numPr>
        <w:jc w:val="both"/>
        <w:rPr>
          <w:rFonts w:ascii="Arial" w:hAnsi="Arial"/>
          <w:sz w:val="22"/>
          <w:szCs w:val="22"/>
        </w:rPr>
      </w:pPr>
      <w:r w:rsidRPr="001074BF">
        <w:rPr>
          <w:rFonts w:ascii="Arial" w:hAnsi="Arial"/>
          <w:sz w:val="22"/>
          <w:szCs w:val="22"/>
        </w:rPr>
        <w:t>As part of the Post-Market Review of Authority Required PBS listings</w:t>
      </w:r>
      <w:r w:rsidR="00AA01E8">
        <w:rPr>
          <w:rFonts w:ascii="Arial" w:hAnsi="Arial"/>
          <w:sz w:val="22"/>
          <w:szCs w:val="22"/>
        </w:rPr>
        <w:t xml:space="preserve"> (the Review)</w:t>
      </w:r>
      <w:r>
        <w:rPr>
          <w:rFonts w:ascii="Arial" w:hAnsi="Arial"/>
          <w:sz w:val="22"/>
          <w:szCs w:val="22"/>
        </w:rPr>
        <w:t>, o</w:t>
      </w:r>
      <w:r w:rsidR="007A6596">
        <w:rPr>
          <w:rFonts w:ascii="Arial" w:hAnsi="Arial"/>
          <w:sz w:val="22"/>
          <w:szCs w:val="22"/>
        </w:rPr>
        <w:t xml:space="preserve">n 1 May 2015, listings for the following immunomodulating drugs: cyclosporin, mycophenolate, sirolimus, tacrolimus for the management of </w:t>
      </w:r>
      <w:r w:rsidR="000E7371" w:rsidRPr="001074BF">
        <w:rPr>
          <w:rFonts w:ascii="Arial" w:hAnsi="Arial"/>
          <w:sz w:val="22"/>
          <w:szCs w:val="22"/>
        </w:rPr>
        <w:t>transplant</w:t>
      </w:r>
      <w:r w:rsidR="007A6596" w:rsidRPr="001074BF">
        <w:rPr>
          <w:rFonts w:ascii="Arial" w:hAnsi="Arial"/>
          <w:sz w:val="22"/>
          <w:szCs w:val="22"/>
        </w:rPr>
        <w:t xml:space="preserve"> re</w:t>
      </w:r>
      <w:r w:rsidR="000E7371" w:rsidRPr="001074BF">
        <w:rPr>
          <w:rFonts w:ascii="Arial" w:hAnsi="Arial"/>
          <w:sz w:val="22"/>
          <w:szCs w:val="22"/>
        </w:rPr>
        <w:t>jection</w:t>
      </w:r>
      <w:r w:rsidR="000E7371">
        <w:rPr>
          <w:rFonts w:ascii="Arial" w:hAnsi="Arial"/>
          <w:sz w:val="22"/>
          <w:szCs w:val="22"/>
        </w:rPr>
        <w:t xml:space="preserve"> were amended from Section 85 Aut</w:t>
      </w:r>
      <w:r>
        <w:rPr>
          <w:rFonts w:ascii="Arial" w:hAnsi="Arial"/>
          <w:sz w:val="22"/>
          <w:szCs w:val="22"/>
        </w:rPr>
        <w:t xml:space="preserve">hority Required to Unrestricted. </w:t>
      </w:r>
      <w:r w:rsidR="000E7371">
        <w:rPr>
          <w:rFonts w:ascii="Arial" w:hAnsi="Arial"/>
          <w:sz w:val="22"/>
          <w:szCs w:val="22"/>
        </w:rPr>
        <w:t xml:space="preserve">The restriction for initiation, stabilisation and review of therapy remained as Section 100 listing. </w:t>
      </w:r>
    </w:p>
    <w:p w:rsidR="00AA01E8" w:rsidRDefault="00AA01E8" w:rsidP="00AA01E8">
      <w:pPr>
        <w:pStyle w:val="ListParagraph"/>
        <w:jc w:val="both"/>
        <w:rPr>
          <w:rFonts w:ascii="Arial" w:hAnsi="Arial"/>
          <w:sz w:val="22"/>
          <w:szCs w:val="22"/>
        </w:rPr>
      </w:pPr>
    </w:p>
    <w:p w:rsidR="00AA01E8" w:rsidRDefault="00AA01E8" w:rsidP="001074BF">
      <w:pPr>
        <w:pStyle w:val="ListParagraph"/>
        <w:numPr>
          <w:ilvl w:val="1"/>
          <w:numId w:val="25"/>
        </w:numPr>
        <w:jc w:val="both"/>
        <w:rPr>
          <w:rFonts w:ascii="Arial" w:hAnsi="Arial"/>
          <w:sz w:val="22"/>
          <w:szCs w:val="22"/>
        </w:rPr>
      </w:pPr>
      <w:r>
        <w:rPr>
          <w:rFonts w:ascii="Arial" w:hAnsi="Arial"/>
          <w:sz w:val="22"/>
          <w:szCs w:val="22"/>
        </w:rPr>
        <w:t xml:space="preserve">The listings for everolimus 250mcg, 500mcg, 750mcg and </w:t>
      </w:r>
      <w:r w:rsidR="00CB76ED">
        <w:rPr>
          <w:rFonts w:ascii="Arial" w:hAnsi="Arial"/>
          <w:sz w:val="22"/>
          <w:szCs w:val="22"/>
        </w:rPr>
        <w:t>1mg and dispersible tablet</w:t>
      </w:r>
      <w:r>
        <w:rPr>
          <w:rFonts w:ascii="Arial" w:hAnsi="Arial"/>
          <w:sz w:val="22"/>
          <w:szCs w:val="22"/>
        </w:rPr>
        <w:t xml:space="preserve"> </w:t>
      </w:r>
      <w:r w:rsidR="00CB76ED" w:rsidRPr="00CB76ED">
        <w:rPr>
          <w:rFonts w:ascii="Arial" w:hAnsi="Arial"/>
          <w:sz w:val="22"/>
          <w:szCs w:val="22"/>
        </w:rPr>
        <w:t xml:space="preserve">250mcg </w:t>
      </w:r>
      <w:r>
        <w:rPr>
          <w:rFonts w:ascii="Arial" w:hAnsi="Arial"/>
          <w:sz w:val="22"/>
          <w:szCs w:val="22"/>
        </w:rPr>
        <w:t>are also being considered in the context of the Review. To date</w:t>
      </w:r>
      <w:r w:rsidR="00CB76ED">
        <w:rPr>
          <w:rFonts w:ascii="Arial" w:hAnsi="Arial"/>
          <w:sz w:val="22"/>
          <w:szCs w:val="22"/>
        </w:rPr>
        <w:t>,</w:t>
      </w:r>
      <w:r>
        <w:rPr>
          <w:rFonts w:ascii="Arial" w:hAnsi="Arial"/>
          <w:sz w:val="22"/>
          <w:szCs w:val="22"/>
        </w:rPr>
        <w:t xml:space="preserve"> no changes to these listings have been made as a result of the Review.</w:t>
      </w:r>
    </w:p>
    <w:p w:rsidR="001074BF" w:rsidRDefault="001074BF" w:rsidP="008E68FC">
      <w:pPr>
        <w:spacing w:line="480" w:lineRule="auto"/>
        <w:jc w:val="both"/>
        <w:rPr>
          <w:rFonts w:ascii="Arial" w:hAnsi="Arial"/>
          <w:sz w:val="22"/>
          <w:szCs w:val="22"/>
        </w:rPr>
      </w:pPr>
    </w:p>
    <w:p w:rsidR="000B558D" w:rsidRDefault="008D7A41" w:rsidP="00FB29BA">
      <w:pPr>
        <w:pStyle w:val="Heading1"/>
      </w:pPr>
      <w:r>
        <w:t>C</w:t>
      </w:r>
      <w:r w:rsidR="00D84934">
        <w:t>onsideration of the evidence</w:t>
      </w:r>
    </w:p>
    <w:p w:rsidR="00F276F2" w:rsidRDefault="00F276F2" w:rsidP="00F276F2">
      <w:pPr>
        <w:jc w:val="both"/>
        <w:rPr>
          <w:rFonts w:ascii="Arial" w:hAnsi="Arial"/>
          <w:b/>
          <w:sz w:val="22"/>
          <w:szCs w:val="22"/>
          <w:highlight w:val="yellow"/>
        </w:rPr>
      </w:pPr>
      <w:bookmarkStart w:id="0" w:name="_GoBack"/>
      <w:bookmarkEnd w:id="0"/>
    </w:p>
    <w:p w:rsidR="00F276F2" w:rsidRPr="00FB29BA" w:rsidRDefault="00F276F2" w:rsidP="00FB29BA">
      <w:pPr>
        <w:pStyle w:val="Heading2"/>
      </w:pPr>
      <w:r w:rsidRPr="00FB29BA">
        <w:t>Sponsor hearing</w:t>
      </w:r>
    </w:p>
    <w:p w:rsidR="00F276F2" w:rsidRPr="0033098D" w:rsidRDefault="00F276F2" w:rsidP="00F276F2">
      <w:pPr>
        <w:jc w:val="both"/>
        <w:rPr>
          <w:rFonts w:ascii="Arial" w:hAnsi="Arial"/>
          <w:b/>
          <w:sz w:val="22"/>
          <w:szCs w:val="22"/>
        </w:rPr>
      </w:pPr>
    </w:p>
    <w:p w:rsidR="00F276F2" w:rsidRPr="0033098D" w:rsidRDefault="00F276F2" w:rsidP="00F276F2">
      <w:pPr>
        <w:pStyle w:val="ListParagraph"/>
        <w:numPr>
          <w:ilvl w:val="1"/>
          <w:numId w:val="25"/>
        </w:numPr>
        <w:jc w:val="both"/>
        <w:rPr>
          <w:rFonts w:ascii="Arial" w:hAnsi="Arial"/>
          <w:b/>
          <w:sz w:val="22"/>
          <w:szCs w:val="22"/>
        </w:rPr>
      </w:pPr>
      <w:r w:rsidRPr="0033098D">
        <w:rPr>
          <w:rFonts w:ascii="Arial" w:hAnsi="Arial" w:cs="Arial"/>
          <w:bCs/>
          <w:snapToGrid w:val="0"/>
          <w:sz w:val="22"/>
          <w:szCs w:val="22"/>
        </w:rPr>
        <w:t>There was no hearing for this item as it was a minor submission.</w:t>
      </w:r>
    </w:p>
    <w:p w:rsidR="00F276F2" w:rsidRPr="0033098D" w:rsidRDefault="00F276F2" w:rsidP="00F276F2">
      <w:pPr>
        <w:jc w:val="both"/>
        <w:rPr>
          <w:rFonts w:ascii="Arial" w:hAnsi="Arial"/>
          <w:b/>
          <w:sz w:val="22"/>
          <w:szCs w:val="22"/>
        </w:rPr>
      </w:pPr>
    </w:p>
    <w:p w:rsidR="00F276F2" w:rsidRPr="0033098D" w:rsidRDefault="00F276F2" w:rsidP="00FB29BA">
      <w:pPr>
        <w:pStyle w:val="Heading2"/>
      </w:pPr>
      <w:r w:rsidRPr="0033098D">
        <w:t>Consumer comments</w:t>
      </w:r>
    </w:p>
    <w:p w:rsidR="00F276F2" w:rsidRPr="0033098D" w:rsidRDefault="00F276F2" w:rsidP="00F276F2">
      <w:pPr>
        <w:jc w:val="both"/>
        <w:rPr>
          <w:rFonts w:ascii="Arial" w:hAnsi="Arial"/>
          <w:b/>
          <w:sz w:val="22"/>
          <w:szCs w:val="22"/>
        </w:rPr>
      </w:pPr>
    </w:p>
    <w:p w:rsidR="00F276F2" w:rsidRPr="0033098D" w:rsidRDefault="00F276F2" w:rsidP="00F276F2">
      <w:pPr>
        <w:pStyle w:val="ListParagraph"/>
        <w:numPr>
          <w:ilvl w:val="1"/>
          <w:numId w:val="25"/>
        </w:numPr>
        <w:jc w:val="both"/>
        <w:rPr>
          <w:rFonts w:ascii="Arial" w:hAnsi="Arial"/>
          <w:b/>
          <w:sz w:val="22"/>
          <w:szCs w:val="22"/>
        </w:rPr>
      </w:pPr>
      <w:r w:rsidRPr="0033098D">
        <w:rPr>
          <w:rFonts w:ascii="Arial" w:hAnsi="Arial" w:cs="Arial"/>
          <w:bCs/>
          <w:snapToGrid w:val="0"/>
          <w:sz w:val="22"/>
          <w:szCs w:val="22"/>
        </w:rPr>
        <w:t>The PBAC noted that no consumer comments were received for this item.</w:t>
      </w:r>
    </w:p>
    <w:p w:rsidR="00BB7EC3" w:rsidRDefault="00BB7EC3" w:rsidP="001A30B1">
      <w:pPr>
        <w:spacing w:line="720" w:lineRule="auto"/>
        <w:jc w:val="both"/>
        <w:rPr>
          <w:rFonts w:ascii="Arial" w:hAnsi="Arial"/>
          <w:sz w:val="22"/>
          <w:szCs w:val="22"/>
        </w:rPr>
      </w:pPr>
    </w:p>
    <w:p w:rsidR="005A3173" w:rsidRPr="00F276F2" w:rsidRDefault="005A3173" w:rsidP="00FB29BA">
      <w:pPr>
        <w:pStyle w:val="Heading2"/>
      </w:pPr>
      <w:r w:rsidRPr="00F276F2">
        <w:lastRenderedPageBreak/>
        <w:t>Estimated PBS usage &amp; financial implications</w:t>
      </w:r>
    </w:p>
    <w:p w:rsidR="005A3173" w:rsidRPr="00882085" w:rsidRDefault="005A3173" w:rsidP="00882085">
      <w:pPr>
        <w:ind w:left="720" w:hanging="720"/>
        <w:jc w:val="both"/>
        <w:rPr>
          <w:rFonts w:ascii="Arial" w:hAnsi="Arial"/>
          <w:b/>
          <w:i/>
          <w:sz w:val="22"/>
          <w:szCs w:val="22"/>
        </w:rPr>
      </w:pPr>
    </w:p>
    <w:p w:rsidR="00C00DA7" w:rsidRPr="00C00DA7" w:rsidRDefault="00FF2801" w:rsidP="0051234F">
      <w:pPr>
        <w:pStyle w:val="ListParagraph"/>
        <w:ind w:left="709"/>
        <w:jc w:val="both"/>
        <w:rPr>
          <w:rFonts w:ascii="Arial" w:hAnsi="Arial"/>
          <w:sz w:val="22"/>
          <w:szCs w:val="22"/>
        </w:rPr>
      </w:pPr>
      <w:r>
        <w:rPr>
          <w:rFonts w:ascii="Arial" w:hAnsi="Arial"/>
          <w:sz w:val="22"/>
          <w:szCs w:val="22"/>
        </w:rPr>
        <w:t>The minor submission estimated</w:t>
      </w:r>
      <w:r w:rsidR="00C00DA7">
        <w:rPr>
          <w:rFonts w:ascii="Arial" w:hAnsi="Arial"/>
          <w:sz w:val="22"/>
          <w:szCs w:val="22"/>
        </w:rPr>
        <w:t xml:space="preserve"> there to be no financial implications to the PBS</w:t>
      </w:r>
      <w:r w:rsidR="00AA27D5">
        <w:rPr>
          <w:rFonts w:ascii="Arial" w:hAnsi="Arial"/>
          <w:sz w:val="22"/>
          <w:szCs w:val="22"/>
        </w:rPr>
        <w:t xml:space="preserve"> </w:t>
      </w:r>
      <w:r w:rsidR="0051234F" w:rsidRPr="0051234F">
        <w:rPr>
          <w:rFonts w:ascii="Arial" w:hAnsi="Arial"/>
          <w:sz w:val="22"/>
          <w:szCs w:val="22"/>
        </w:rPr>
        <w:t>as the majority of the</w:t>
      </w:r>
      <w:r w:rsidR="0051234F">
        <w:rPr>
          <w:rFonts w:ascii="Arial" w:hAnsi="Arial"/>
          <w:sz w:val="22"/>
          <w:szCs w:val="22"/>
        </w:rPr>
        <w:t xml:space="preserve"> </w:t>
      </w:r>
      <w:r w:rsidR="0051234F" w:rsidRPr="0051234F">
        <w:rPr>
          <w:rFonts w:ascii="Arial" w:hAnsi="Arial"/>
          <w:sz w:val="22"/>
          <w:szCs w:val="22"/>
        </w:rPr>
        <w:t xml:space="preserve">eligible patients would continue to receive everolimus </w:t>
      </w:r>
      <w:r w:rsidR="00BB162F" w:rsidRPr="00BB162F">
        <w:rPr>
          <w:rFonts w:ascii="Arial" w:hAnsi="Arial"/>
          <w:sz w:val="22"/>
          <w:szCs w:val="22"/>
        </w:rPr>
        <w:t>Certican®</w:t>
      </w:r>
      <w:r w:rsidR="00BB162F">
        <w:rPr>
          <w:rFonts w:ascii="Arial" w:hAnsi="Arial"/>
          <w:sz w:val="22"/>
          <w:szCs w:val="22"/>
        </w:rPr>
        <w:t xml:space="preserve"> </w:t>
      </w:r>
      <w:r w:rsidR="0051234F" w:rsidRPr="0051234F">
        <w:rPr>
          <w:rFonts w:ascii="Arial" w:hAnsi="Arial"/>
          <w:sz w:val="22"/>
          <w:szCs w:val="22"/>
        </w:rPr>
        <w:t xml:space="preserve">in the general category. </w:t>
      </w:r>
      <w:r w:rsidR="009F2F5A">
        <w:rPr>
          <w:rFonts w:ascii="Arial" w:hAnsi="Arial"/>
          <w:sz w:val="22"/>
          <w:szCs w:val="22"/>
        </w:rPr>
        <w:t>The sponsor stated that g</w:t>
      </w:r>
      <w:r w:rsidR="0051234F" w:rsidRPr="0051234F">
        <w:rPr>
          <w:rFonts w:ascii="Arial" w:hAnsi="Arial"/>
          <w:sz w:val="22"/>
          <w:szCs w:val="22"/>
        </w:rPr>
        <w:t>iven the</w:t>
      </w:r>
      <w:r w:rsidR="0051234F">
        <w:rPr>
          <w:rFonts w:ascii="Arial" w:hAnsi="Arial"/>
          <w:sz w:val="22"/>
          <w:szCs w:val="22"/>
        </w:rPr>
        <w:t xml:space="preserve"> </w:t>
      </w:r>
      <w:r w:rsidR="0051234F" w:rsidRPr="0051234F">
        <w:rPr>
          <w:rFonts w:ascii="Arial" w:hAnsi="Arial"/>
          <w:sz w:val="22"/>
          <w:szCs w:val="22"/>
        </w:rPr>
        <w:t>finite number of patients shared across indications amongst commonly used</w:t>
      </w:r>
      <w:r w:rsidR="0051234F">
        <w:rPr>
          <w:rFonts w:ascii="Arial" w:hAnsi="Arial"/>
          <w:sz w:val="22"/>
          <w:szCs w:val="22"/>
        </w:rPr>
        <w:t xml:space="preserve"> </w:t>
      </w:r>
      <w:r w:rsidR="0051234F" w:rsidRPr="0051234F">
        <w:rPr>
          <w:rFonts w:ascii="Arial" w:hAnsi="Arial"/>
          <w:sz w:val="22"/>
          <w:szCs w:val="22"/>
        </w:rPr>
        <w:t>immunosuppressive agents, the requested change will remain cost neutral to the PBS and</w:t>
      </w:r>
      <w:r w:rsidR="0051234F">
        <w:rPr>
          <w:rFonts w:ascii="Arial" w:hAnsi="Arial"/>
          <w:sz w:val="22"/>
          <w:szCs w:val="22"/>
        </w:rPr>
        <w:t xml:space="preserve"> </w:t>
      </w:r>
      <w:r w:rsidR="0051234F" w:rsidRPr="0051234F">
        <w:rPr>
          <w:rFonts w:ascii="Arial" w:hAnsi="Arial"/>
          <w:sz w:val="22"/>
          <w:szCs w:val="22"/>
        </w:rPr>
        <w:t>government budget.</w:t>
      </w:r>
    </w:p>
    <w:p w:rsidR="00BB7EC3" w:rsidRDefault="00BB7EC3" w:rsidP="008E68FC">
      <w:pPr>
        <w:spacing w:line="480" w:lineRule="auto"/>
        <w:jc w:val="both"/>
        <w:rPr>
          <w:rFonts w:ascii="Arial" w:hAnsi="Arial"/>
          <w:sz w:val="22"/>
          <w:szCs w:val="22"/>
        </w:rPr>
      </w:pPr>
    </w:p>
    <w:p w:rsidR="00F276F2" w:rsidRPr="009E45A5" w:rsidRDefault="00F276F2" w:rsidP="00FB29BA">
      <w:pPr>
        <w:pStyle w:val="Heading1"/>
        <w:rPr>
          <w:snapToGrid w:val="0"/>
          <w:lang w:eastAsia="en-US"/>
        </w:rPr>
      </w:pPr>
      <w:r w:rsidRPr="009E45A5">
        <w:rPr>
          <w:snapToGrid w:val="0"/>
          <w:lang w:eastAsia="en-US"/>
        </w:rPr>
        <w:t>PBAC Outcome</w:t>
      </w:r>
    </w:p>
    <w:p w:rsidR="00F276F2" w:rsidRPr="000E195B" w:rsidRDefault="00F276F2" w:rsidP="00F276F2">
      <w:pPr>
        <w:contextualSpacing/>
        <w:jc w:val="both"/>
        <w:rPr>
          <w:rFonts w:ascii="Arial" w:hAnsi="Arial" w:cs="Arial"/>
          <w:b/>
          <w:bCs/>
          <w:snapToGrid w:val="0"/>
          <w:sz w:val="22"/>
          <w:szCs w:val="22"/>
          <w:highlight w:val="yellow"/>
          <w:lang w:val="en-GB" w:eastAsia="en-US"/>
        </w:rPr>
      </w:pPr>
    </w:p>
    <w:p w:rsidR="00F276F2" w:rsidRPr="00AA01E8" w:rsidRDefault="009E45A5" w:rsidP="00F276F2">
      <w:pPr>
        <w:widowControl w:val="0"/>
        <w:numPr>
          <w:ilvl w:val="1"/>
          <w:numId w:val="25"/>
        </w:numPr>
        <w:spacing w:after="120"/>
        <w:contextualSpacing/>
        <w:jc w:val="both"/>
        <w:rPr>
          <w:rFonts w:ascii="Arial" w:hAnsi="Arial" w:cs="Arial"/>
          <w:b/>
          <w:bCs/>
          <w:snapToGrid w:val="0"/>
          <w:sz w:val="22"/>
          <w:szCs w:val="22"/>
          <w:lang w:val="en-GB" w:eastAsia="en-US"/>
        </w:rPr>
      </w:pPr>
      <w:r>
        <w:rPr>
          <w:rFonts w:ascii="Arial" w:hAnsi="Arial" w:cs="Arial"/>
          <w:bCs/>
          <w:snapToGrid w:val="0"/>
          <w:sz w:val="22"/>
          <w:szCs w:val="22"/>
          <w:lang w:val="en-GB" w:eastAsia="en-US"/>
        </w:rPr>
        <w:t>The PBAC rejected the general listing request of everolimus</w:t>
      </w:r>
      <w:r w:rsidR="00B00B1A">
        <w:rPr>
          <w:rFonts w:ascii="Arial" w:hAnsi="Arial" w:cs="Arial"/>
          <w:bCs/>
          <w:snapToGrid w:val="0"/>
          <w:sz w:val="22"/>
          <w:szCs w:val="22"/>
          <w:lang w:val="en-GB" w:eastAsia="en-US"/>
        </w:rPr>
        <w:t xml:space="preserve"> </w:t>
      </w:r>
      <w:r w:rsidR="00B00B1A" w:rsidRPr="007F2A39">
        <w:rPr>
          <w:rFonts w:ascii="Arial" w:hAnsi="Arial"/>
          <w:sz w:val="22"/>
          <w:szCs w:val="22"/>
        </w:rPr>
        <w:t xml:space="preserve">for </w:t>
      </w:r>
      <w:r w:rsidR="00B00B1A">
        <w:rPr>
          <w:rFonts w:ascii="Arial" w:hAnsi="Arial"/>
          <w:sz w:val="22"/>
          <w:szCs w:val="22"/>
        </w:rPr>
        <w:t xml:space="preserve">transplant indications. </w:t>
      </w:r>
    </w:p>
    <w:p w:rsidR="00AA01E8" w:rsidRPr="00AA01E8" w:rsidRDefault="00AA01E8" w:rsidP="00AA01E8">
      <w:pPr>
        <w:widowControl w:val="0"/>
        <w:spacing w:after="120"/>
        <w:ind w:left="720"/>
        <w:contextualSpacing/>
        <w:jc w:val="both"/>
        <w:rPr>
          <w:rFonts w:ascii="Arial" w:hAnsi="Arial" w:cs="Arial"/>
          <w:b/>
          <w:bCs/>
          <w:snapToGrid w:val="0"/>
          <w:sz w:val="22"/>
          <w:szCs w:val="22"/>
          <w:lang w:val="en-GB" w:eastAsia="en-US"/>
        </w:rPr>
      </w:pPr>
    </w:p>
    <w:p w:rsidR="00AA01E8" w:rsidRPr="003F1940" w:rsidRDefault="00AA01E8" w:rsidP="00F276F2">
      <w:pPr>
        <w:widowControl w:val="0"/>
        <w:numPr>
          <w:ilvl w:val="1"/>
          <w:numId w:val="25"/>
        </w:numPr>
        <w:spacing w:after="120"/>
        <w:contextualSpacing/>
        <w:jc w:val="both"/>
        <w:rPr>
          <w:rFonts w:ascii="Arial" w:hAnsi="Arial" w:cs="Arial"/>
          <w:b/>
          <w:bCs/>
          <w:snapToGrid w:val="0"/>
          <w:sz w:val="22"/>
          <w:szCs w:val="22"/>
          <w:lang w:val="en-GB" w:eastAsia="en-US"/>
        </w:rPr>
      </w:pPr>
      <w:r>
        <w:rPr>
          <w:rFonts w:ascii="Arial" w:hAnsi="Arial" w:cs="Arial"/>
          <w:bCs/>
          <w:snapToGrid w:val="0"/>
          <w:sz w:val="22"/>
          <w:szCs w:val="22"/>
          <w:lang w:val="en-GB" w:eastAsia="en-US"/>
        </w:rPr>
        <w:t xml:space="preserve">The PBAC noted that the listings </w:t>
      </w:r>
      <w:r w:rsidR="00136472">
        <w:rPr>
          <w:rFonts w:ascii="Arial" w:hAnsi="Arial" w:cs="Arial"/>
          <w:bCs/>
          <w:snapToGrid w:val="0"/>
          <w:sz w:val="22"/>
          <w:szCs w:val="22"/>
          <w:lang w:val="en-GB" w:eastAsia="en-US"/>
        </w:rPr>
        <w:t>for ever</w:t>
      </w:r>
      <w:r w:rsidR="00E2641A">
        <w:rPr>
          <w:rFonts w:ascii="Arial" w:hAnsi="Arial" w:cs="Arial"/>
          <w:bCs/>
          <w:snapToGrid w:val="0"/>
          <w:sz w:val="22"/>
          <w:szCs w:val="22"/>
          <w:lang w:val="en-GB" w:eastAsia="en-US"/>
        </w:rPr>
        <w:t>o</w:t>
      </w:r>
      <w:r w:rsidR="00136472">
        <w:rPr>
          <w:rFonts w:ascii="Arial" w:hAnsi="Arial" w:cs="Arial"/>
          <w:bCs/>
          <w:snapToGrid w:val="0"/>
          <w:sz w:val="22"/>
          <w:szCs w:val="22"/>
          <w:lang w:val="en-GB" w:eastAsia="en-US"/>
        </w:rPr>
        <w:t>limus referred to in the minor submission are also being considered in the context of the Post Market Review of PBS A</w:t>
      </w:r>
      <w:r w:rsidR="00CB76ED">
        <w:rPr>
          <w:rFonts w:ascii="Arial" w:hAnsi="Arial" w:cs="Arial"/>
          <w:bCs/>
          <w:snapToGrid w:val="0"/>
          <w:sz w:val="22"/>
          <w:szCs w:val="22"/>
          <w:lang w:val="en-GB" w:eastAsia="en-US"/>
        </w:rPr>
        <w:t>uthorities. The PBAC therefore declined to recommend any changes to these listings until the Review is complete and its recommendations have been implemented.</w:t>
      </w:r>
    </w:p>
    <w:p w:rsidR="003F1940" w:rsidRPr="003F1940" w:rsidRDefault="003F1940" w:rsidP="003F1940">
      <w:pPr>
        <w:widowControl w:val="0"/>
        <w:spacing w:after="120"/>
        <w:ind w:left="720"/>
        <w:contextualSpacing/>
        <w:jc w:val="both"/>
        <w:rPr>
          <w:rFonts w:ascii="Arial" w:hAnsi="Arial" w:cs="Arial"/>
          <w:b/>
          <w:bCs/>
          <w:snapToGrid w:val="0"/>
          <w:sz w:val="22"/>
          <w:szCs w:val="22"/>
          <w:lang w:val="en-GB" w:eastAsia="en-US"/>
        </w:rPr>
      </w:pPr>
    </w:p>
    <w:p w:rsidR="003F1940" w:rsidRPr="00B00B1A" w:rsidRDefault="003F1940" w:rsidP="00F276F2">
      <w:pPr>
        <w:widowControl w:val="0"/>
        <w:numPr>
          <w:ilvl w:val="1"/>
          <w:numId w:val="25"/>
        </w:numPr>
        <w:spacing w:after="120"/>
        <w:contextualSpacing/>
        <w:jc w:val="both"/>
        <w:rPr>
          <w:rFonts w:ascii="Arial" w:hAnsi="Arial" w:cs="Arial"/>
          <w:b/>
          <w:bCs/>
          <w:snapToGrid w:val="0"/>
          <w:sz w:val="22"/>
          <w:szCs w:val="22"/>
          <w:lang w:val="en-GB" w:eastAsia="en-US"/>
        </w:rPr>
      </w:pPr>
      <w:r>
        <w:rPr>
          <w:rFonts w:ascii="Arial" w:hAnsi="Arial" w:cs="Arial"/>
          <w:bCs/>
          <w:snapToGrid w:val="0"/>
          <w:sz w:val="22"/>
          <w:szCs w:val="22"/>
          <w:lang w:val="en-GB" w:eastAsia="en-US"/>
        </w:rPr>
        <w:t xml:space="preserve">The PBAC noted that the submission is </w:t>
      </w:r>
      <w:r w:rsidR="00CB76ED">
        <w:rPr>
          <w:rFonts w:ascii="Arial" w:hAnsi="Arial" w:cs="Arial"/>
          <w:bCs/>
          <w:snapToGrid w:val="0"/>
          <w:sz w:val="22"/>
          <w:szCs w:val="22"/>
          <w:lang w:val="en-GB" w:eastAsia="en-US"/>
        </w:rPr>
        <w:t xml:space="preserve">not </w:t>
      </w:r>
      <w:r>
        <w:rPr>
          <w:rFonts w:ascii="Arial" w:hAnsi="Arial" w:cs="Arial"/>
          <w:bCs/>
          <w:snapToGrid w:val="0"/>
          <w:sz w:val="22"/>
          <w:szCs w:val="22"/>
          <w:lang w:val="en-GB" w:eastAsia="en-US"/>
        </w:rPr>
        <w:t>eligible for an independent review.</w:t>
      </w:r>
    </w:p>
    <w:p w:rsidR="002E4431" w:rsidRDefault="002E4431" w:rsidP="00F276F2">
      <w:pPr>
        <w:jc w:val="both"/>
        <w:rPr>
          <w:rFonts w:ascii="Arial" w:hAnsi="Arial" w:cs="Arial"/>
          <w:b/>
          <w:bCs/>
          <w:snapToGrid w:val="0"/>
          <w:sz w:val="22"/>
          <w:szCs w:val="22"/>
          <w:lang w:val="en-GB" w:eastAsia="en-US"/>
        </w:rPr>
      </w:pPr>
    </w:p>
    <w:p w:rsidR="00F276F2" w:rsidRPr="0033098D" w:rsidRDefault="00F276F2" w:rsidP="00FB29BA">
      <w:pPr>
        <w:pStyle w:val="Heading2"/>
        <w:rPr>
          <w:snapToGrid w:val="0"/>
          <w:lang w:val="en-GB" w:eastAsia="en-US"/>
        </w:rPr>
      </w:pPr>
      <w:r w:rsidRPr="0033098D">
        <w:rPr>
          <w:snapToGrid w:val="0"/>
          <w:lang w:val="en-GB" w:eastAsia="en-US"/>
        </w:rPr>
        <w:t>Outcome:</w:t>
      </w:r>
    </w:p>
    <w:p w:rsidR="00F276F2" w:rsidRPr="0033098D" w:rsidRDefault="00F276F2" w:rsidP="00F276F2">
      <w:pPr>
        <w:jc w:val="both"/>
        <w:rPr>
          <w:rFonts w:ascii="Arial" w:hAnsi="Arial" w:cs="Arial"/>
          <w:bCs/>
          <w:snapToGrid w:val="0"/>
          <w:sz w:val="22"/>
          <w:szCs w:val="22"/>
          <w:lang w:val="en-GB" w:eastAsia="en-US"/>
        </w:rPr>
      </w:pPr>
      <w:r w:rsidRPr="0033098D">
        <w:rPr>
          <w:rFonts w:ascii="Arial" w:hAnsi="Arial" w:cs="Arial"/>
          <w:bCs/>
          <w:snapToGrid w:val="0"/>
          <w:sz w:val="22"/>
          <w:szCs w:val="22"/>
          <w:lang w:val="en-GB" w:eastAsia="en-US"/>
        </w:rPr>
        <w:t xml:space="preserve">Rejected </w:t>
      </w:r>
    </w:p>
    <w:p w:rsidR="00F276F2" w:rsidRDefault="00F276F2" w:rsidP="00F276F2">
      <w:pPr>
        <w:jc w:val="both"/>
        <w:rPr>
          <w:rFonts w:ascii="Arial" w:hAnsi="Arial" w:cs="Arial"/>
          <w:bCs/>
          <w:snapToGrid w:val="0"/>
          <w:sz w:val="22"/>
          <w:szCs w:val="22"/>
          <w:highlight w:val="yellow"/>
          <w:lang w:val="en-GB" w:eastAsia="en-US"/>
        </w:rPr>
      </w:pPr>
    </w:p>
    <w:p w:rsidR="001A30B1" w:rsidRPr="0009229E" w:rsidRDefault="001A30B1" w:rsidP="001A30B1">
      <w:pPr>
        <w:rPr>
          <w:bCs/>
          <w:szCs w:val="22"/>
        </w:rPr>
      </w:pPr>
    </w:p>
    <w:p w:rsidR="001A30B1" w:rsidRDefault="001A30B1" w:rsidP="00FB29BA">
      <w:pPr>
        <w:pStyle w:val="Heading1"/>
        <w:rPr>
          <w:rFonts w:eastAsia="SimSun"/>
          <w:lang w:eastAsia="en-US"/>
        </w:rPr>
      </w:pPr>
      <w:r>
        <w:rPr>
          <w:rFonts w:eastAsia="SimSun"/>
          <w:lang w:eastAsia="en-US"/>
        </w:rPr>
        <w:t>Context for Decision</w:t>
      </w:r>
    </w:p>
    <w:p w:rsidR="001A30B1" w:rsidRDefault="001A30B1" w:rsidP="001A30B1">
      <w:pPr>
        <w:ind w:left="720"/>
        <w:contextualSpacing/>
        <w:rPr>
          <w:b/>
        </w:rPr>
      </w:pPr>
    </w:p>
    <w:p w:rsidR="001A30B1" w:rsidRDefault="001A30B1" w:rsidP="001A30B1">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A30B1" w:rsidRDefault="001A30B1" w:rsidP="001A30B1"/>
    <w:p w:rsidR="001A30B1" w:rsidRDefault="001A30B1" w:rsidP="00FB29BA">
      <w:pPr>
        <w:pStyle w:val="Heading1"/>
        <w:rPr>
          <w:rFonts w:eastAsia="SimSun"/>
          <w:lang w:eastAsia="en-US"/>
        </w:rPr>
      </w:pPr>
      <w:r>
        <w:rPr>
          <w:rFonts w:eastAsia="SimSun"/>
          <w:lang w:eastAsia="en-US"/>
        </w:rPr>
        <w:t>Sponsor’s Comment</w:t>
      </w:r>
    </w:p>
    <w:p w:rsidR="001A30B1" w:rsidRDefault="001A30B1" w:rsidP="001A30B1">
      <w:pPr>
        <w:tabs>
          <w:tab w:val="left" w:pos="2940"/>
        </w:tabs>
        <w:jc w:val="both"/>
        <w:rPr>
          <w:rFonts w:ascii="Arial" w:hAnsi="Arial"/>
          <w:sz w:val="22"/>
          <w:szCs w:val="22"/>
        </w:rPr>
      </w:pPr>
    </w:p>
    <w:p w:rsidR="0063232E" w:rsidRPr="00F472BF" w:rsidRDefault="0063232E" w:rsidP="0063232E">
      <w:pPr>
        <w:pStyle w:val="ListParagraph"/>
        <w:jc w:val="both"/>
        <w:rPr>
          <w:rFonts w:ascii="Arial" w:hAnsi="Arial" w:cs="Arial"/>
          <w:bCs/>
          <w:snapToGrid w:val="0"/>
          <w:sz w:val="22"/>
          <w:szCs w:val="22"/>
        </w:rPr>
      </w:pPr>
      <w:r w:rsidRPr="00F472BF">
        <w:rPr>
          <w:rFonts w:ascii="Arial" w:hAnsi="Arial" w:cs="Arial"/>
          <w:bCs/>
          <w:snapToGrid w:val="0"/>
          <w:sz w:val="22"/>
          <w:szCs w:val="22"/>
        </w:rPr>
        <w:t xml:space="preserve">Novartis looks forward to a </w:t>
      </w:r>
      <w:r>
        <w:rPr>
          <w:rFonts w:ascii="Arial" w:hAnsi="Arial" w:cs="Arial"/>
          <w:bCs/>
          <w:snapToGrid w:val="0"/>
          <w:sz w:val="22"/>
          <w:szCs w:val="22"/>
        </w:rPr>
        <w:t>speedy publication of the report on the Post Market Review of PBS Authorities to resolve access issues related to everolimus for transplant indications.</w:t>
      </w:r>
    </w:p>
    <w:p w:rsidR="001A30B1" w:rsidRPr="000E195B" w:rsidRDefault="001A30B1" w:rsidP="0063232E">
      <w:pPr>
        <w:ind w:left="720"/>
        <w:jc w:val="both"/>
        <w:rPr>
          <w:rFonts w:ascii="Arial" w:hAnsi="Arial" w:cs="Arial"/>
          <w:bCs/>
          <w:snapToGrid w:val="0"/>
          <w:sz w:val="22"/>
          <w:szCs w:val="22"/>
          <w:highlight w:val="yellow"/>
          <w:lang w:val="en-GB" w:eastAsia="en-US"/>
        </w:rPr>
      </w:pPr>
    </w:p>
    <w:sectPr w:rsidR="001A30B1" w:rsidRPr="000E195B"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CD" w:rsidRDefault="00F81FCD">
      <w:r>
        <w:separator/>
      </w:r>
    </w:p>
    <w:p w:rsidR="00F81FCD" w:rsidRDefault="00F81FCD"/>
  </w:endnote>
  <w:endnote w:type="continuationSeparator" w:id="0">
    <w:p w:rsidR="00F81FCD" w:rsidRDefault="00F81FCD">
      <w:r>
        <w:continuationSeparator/>
      </w:r>
    </w:p>
    <w:p w:rsidR="00F81FCD" w:rsidRDefault="00F81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abon">
    <w:altName w:val="MS Mincho"/>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35D40" w:rsidTr="005A3173">
      <w:trPr>
        <w:trHeight w:val="151"/>
      </w:trPr>
      <w:tc>
        <w:tcPr>
          <w:tcW w:w="2250" w:type="pct"/>
          <w:tcBorders>
            <w:top w:val="nil"/>
            <w:left w:val="nil"/>
            <w:bottom w:val="single" w:sz="4" w:space="0" w:color="4F81BD"/>
            <w:right w:val="nil"/>
          </w:tcBorders>
        </w:tcPr>
        <w:p w:rsidR="00135D40" w:rsidRPr="005A3173" w:rsidRDefault="00135D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35D40" w:rsidRPr="005A3173" w:rsidRDefault="00135D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35D40" w:rsidRPr="005A3173" w:rsidRDefault="00135D40" w:rsidP="005A3173">
          <w:pPr>
            <w:pStyle w:val="Header"/>
            <w:spacing w:line="276" w:lineRule="auto"/>
            <w:rPr>
              <w:rFonts w:ascii="Calibri" w:eastAsia="MS Gothic" w:hAnsi="Calibri"/>
              <w:b/>
              <w:bCs/>
              <w:color w:val="4F81BD"/>
            </w:rPr>
          </w:pPr>
        </w:p>
      </w:tc>
    </w:tr>
    <w:tr w:rsidR="00135D40" w:rsidTr="005A3173">
      <w:trPr>
        <w:trHeight w:val="150"/>
      </w:trPr>
      <w:tc>
        <w:tcPr>
          <w:tcW w:w="2250" w:type="pct"/>
          <w:tcBorders>
            <w:top w:val="single" w:sz="4" w:space="0" w:color="4F81BD"/>
            <w:left w:val="nil"/>
            <w:bottom w:val="nil"/>
            <w:right w:val="nil"/>
          </w:tcBorders>
        </w:tcPr>
        <w:p w:rsidR="00135D40" w:rsidRPr="005A3173" w:rsidRDefault="00135D40" w:rsidP="005A3173">
          <w:pPr>
            <w:pStyle w:val="Header"/>
            <w:spacing w:line="276" w:lineRule="auto"/>
            <w:rPr>
              <w:rFonts w:ascii="Calibri" w:eastAsia="MS Gothic" w:hAnsi="Calibri"/>
              <w:b/>
              <w:bCs/>
              <w:color w:val="4F81BD"/>
            </w:rPr>
          </w:pPr>
        </w:p>
      </w:tc>
      <w:tc>
        <w:tcPr>
          <w:tcW w:w="0" w:type="auto"/>
          <w:vMerge/>
          <w:vAlign w:val="center"/>
          <w:hideMark/>
        </w:tcPr>
        <w:p w:rsidR="00135D40" w:rsidRPr="005A3173" w:rsidRDefault="00135D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135D40" w:rsidRPr="005A3173" w:rsidRDefault="00135D40" w:rsidP="005A3173">
          <w:pPr>
            <w:pStyle w:val="Header"/>
            <w:spacing w:line="276" w:lineRule="auto"/>
            <w:rPr>
              <w:rFonts w:ascii="Calibri" w:eastAsia="MS Gothic" w:hAnsi="Calibri"/>
              <w:b/>
              <w:bCs/>
              <w:color w:val="4F81BD"/>
            </w:rPr>
          </w:pPr>
        </w:p>
      </w:tc>
    </w:tr>
  </w:tbl>
  <w:p w:rsidR="00135D40" w:rsidRDefault="00135D4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D40" w:rsidRDefault="00135D40">
    <w:pPr>
      <w:pStyle w:val="Footer"/>
    </w:pPr>
  </w:p>
  <w:p w:rsidR="00135D40" w:rsidRDefault="00135D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135D40" w:rsidRPr="00F276F2" w:rsidRDefault="00F276F2" w:rsidP="00F276F2">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6C131E">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35D40" w:rsidTr="005A3173">
      <w:trPr>
        <w:trHeight w:val="151"/>
      </w:trPr>
      <w:tc>
        <w:tcPr>
          <w:tcW w:w="2250" w:type="pct"/>
          <w:tcBorders>
            <w:top w:val="nil"/>
            <w:left w:val="nil"/>
            <w:bottom w:val="single" w:sz="4" w:space="0" w:color="4F81BD"/>
            <w:right w:val="nil"/>
          </w:tcBorders>
        </w:tcPr>
        <w:p w:rsidR="00135D40" w:rsidRPr="005A3173" w:rsidRDefault="00135D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35D40" w:rsidRPr="005A3173" w:rsidRDefault="00135D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35D40" w:rsidRPr="005A3173" w:rsidRDefault="00135D40" w:rsidP="005A3173">
          <w:pPr>
            <w:pStyle w:val="Header"/>
            <w:spacing w:line="276" w:lineRule="auto"/>
            <w:rPr>
              <w:rFonts w:ascii="Calibri" w:eastAsia="MS Gothic" w:hAnsi="Calibri"/>
              <w:b/>
              <w:bCs/>
              <w:color w:val="4F81BD"/>
            </w:rPr>
          </w:pPr>
        </w:p>
      </w:tc>
    </w:tr>
    <w:tr w:rsidR="00135D40" w:rsidTr="005A3173">
      <w:trPr>
        <w:trHeight w:val="150"/>
      </w:trPr>
      <w:tc>
        <w:tcPr>
          <w:tcW w:w="2250" w:type="pct"/>
          <w:tcBorders>
            <w:top w:val="single" w:sz="4" w:space="0" w:color="4F81BD"/>
            <w:left w:val="nil"/>
            <w:bottom w:val="nil"/>
            <w:right w:val="nil"/>
          </w:tcBorders>
        </w:tcPr>
        <w:p w:rsidR="00135D40" w:rsidRPr="005A3173" w:rsidRDefault="00135D40" w:rsidP="005A3173">
          <w:pPr>
            <w:pStyle w:val="Header"/>
            <w:spacing w:line="276" w:lineRule="auto"/>
            <w:rPr>
              <w:rFonts w:ascii="Calibri" w:eastAsia="MS Gothic" w:hAnsi="Calibri"/>
              <w:b/>
              <w:bCs/>
              <w:color w:val="4F81BD"/>
            </w:rPr>
          </w:pPr>
        </w:p>
      </w:tc>
      <w:tc>
        <w:tcPr>
          <w:tcW w:w="0" w:type="auto"/>
          <w:vMerge/>
          <w:vAlign w:val="center"/>
          <w:hideMark/>
        </w:tcPr>
        <w:p w:rsidR="00135D40" w:rsidRPr="005A3173" w:rsidRDefault="00135D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135D40" w:rsidRPr="005A3173" w:rsidRDefault="00135D4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35D40" w:rsidTr="005A3173">
      <w:trPr>
        <w:trHeight w:val="151"/>
      </w:trPr>
      <w:tc>
        <w:tcPr>
          <w:tcW w:w="2250" w:type="pct"/>
          <w:tcBorders>
            <w:top w:val="nil"/>
            <w:left w:val="nil"/>
            <w:bottom w:val="single" w:sz="4" w:space="0" w:color="4F81BD"/>
            <w:right w:val="nil"/>
          </w:tcBorders>
        </w:tcPr>
        <w:p w:rsidR="00135D40" w:rsidRPr="005A3173" w:rsidRDefault="00135D4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35D40" w:rsidRPr="005A3173" w:rsidRDefault="00135D4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35D40" w:rsidRPr="005A3173" w:rsidRDefault="00135D40" w:rsidP="005A3173">
          <w:pPr>
            <w:pStyle w:val="Header"/>
            <w:spacing w:line="276" w:lineRule="auto"/>
            <w:rPr>
              <w:rFonts w:ascii="Calibri" w:eastAsia="MS Gothic" w:hAnsi="Calibri"/>
              <w:b/>
              <w:bCs/>
              <w:color w:val="4F81BD"/>
            </w:rPr>
          </w:pPr>
        </w:p>
      </w:tc>
    </w:tr>
    <w:tr w:rsidR="00135D40" w:rsidTr="005A3173">
      <w:trPr>
        <w:trHeight w:val="150"/>
      </w:trPr>
      <w:tc>
        <w:tcPr>
          <w:tcW w:w="2250" w:type="pct"/>
          <w:tcBorders>
            <w:top w:val="single" w:sz="4" w:space="0" w:color="4F81BD"/>
            <w:left w:val="nil"/>
            <w:bottom w:val="nil"/>
            <w:right w:val="nil"/>
          </w:tcBorders>
        </w:tcPr>
        <w:p w:rsidR="00135D40" w:rsidRPr="005A3173" w:rsidRDefault="00135D40" w:rsidP="005A3173">
          <w:pPr>
            <w:pStyle w:val="Header"/>
            <w:spacing w:line="276" w:lineRule="auto"/>
            <w:rPr>
              <w:rFonts w:ascii="Calibri" w:eastAsia="MS Gothic" w:hAnsi="Calibri"/>
              <w:b/>
              <w:bCs/>
              <w:color w:val="4F81BD"/>
            </w:rPr>
          </w:pPr>
        </w:p>
      </w:tc>
      <w:tc>
        <w:tcPr>
          <w:tcW w:w="0" w:type="auto"/>
          <w:vMerge/>
          <w:vAlign w:val="center"/>
          <w:hideMark/>
        </w:tcPr>
        <w:p w:rsidR="00135D40" w:rsidRPr="005A3173" w:rsidRDefault="00135D40" w:rsidP="005A3173">
          <w:pPr>
            <w:rPr>
              <w:rFonts w:ascii="Calibri" w:hAnsi="Calibri"/>
              <w:color w:val="365F91"/>
              <w:sz w:val="22"/>
              <w:szCs w:val="22"/>
            </w:rPr>
          </w:pPr>
        </w:p>
      </w:tc>
      <w:tc>
        <w:tcPr>
          <w:tcW w:w="2250" w:type="pct"/>
          <w:tcBorders>
            <w:top w:val="single" w:sz="4" w:space="0" w:color="4F81BD"/>
            <w:left w:val="nil"/>
            <w:bottom w:val="nil"/>
            <w:right w:val="nil"/>
          </w:tcBorders>
        </w:tcPr>
        <w:p w:rsidR="00135D40" w:rsidRPr="005A3173" w:rsidRDefault="00135D40" w:rsidP="005A3173">
          <w:pPr>
            <w:pStyle w:val="Header"/>
            <w:spacing w:line="276" w:lineRule="auto"/>
            <w:rPr>
              <w:rFonts w:ascii="Calibri" w:eastAsia="MS Gothic" w:hAnsi="Calibri"/>
              <w:b/>
              <w:bCs/>
              <w:color w:val="4F81BD"/>
            </w:rPr>
          </w:pPr>
        </w:p>
      </w:tc>
    </w:tr>
  </w:tbl>
  <w:p w:rsidR="00135D40" w:rsidRPr="007C0F57" w:rsidRDefault="00135D4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35D40" w:rsidRPr="007C0F57" w:rsidRDefault="00135D40" w:rsidP="007C0F57">
    <w:pPr>
      <w:pStyle w:val="Footer"/>
      <w:jc w:val="center"/>
      <w:rPr>
        <w:b/>
        <w:i/>
        <w:sz w:val="20"/>
        <w:szCs w:val="20"/>
      </w:rPr>
    </w:pPr>
    <w:r w:rsidRPr="007C0F57">
      <w:rPr>
        <w:b/>
        <w:i/>
        <w:sz w:val="20"/>
        <w:szCs w:val="20"/>
      </w:rPr>
      <w:t>Commercial-in-Confidence</w:t>
    </w:r>
  </w:p>
  <w:p w:rsidR="00135D40" w:rsidRDefault="00135D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CD" w:rsidRDefault="00F81FCD">
      <w:r>
        <w:separator/>
      </w:r>
    </w:p>
    <w:p w:rsidR="00F81FCD" w:rsidRDefault="00F81FCD"/>
  </w:footnote>
  <w:footnote w:type="continuationSeparator" w:id="0">
    <w:p w:rsidR="00F81FCD" w:rsidRDefault="00F81FCD">
      <w:r>
        <w:continuationSeparator/>
      </w:r>
    </w:p>
    <w:p w:rsidR="00F81FCD" w:rsidRDefault="00F81F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35D40" w:rsidRPr="008E0D90" w:rsidTr="00A06225">
      <w:trPr>
        <w:trHeight w:val="151"/>
      </w:trPr>
      <w:tc>
        <w:tcPr>
          <w:tcW w:w="2389" w:type="pct"/>
          <w:tcBorders>
            <w:top w:val="nil"/>
            <w:left w:val="nil"/>
            <w:bottom w:val="single" w:sz="4" w:space="0" w:color="4F81BD"/>
            <w:right w:val="nil"/>
          </w:tcBorders>
        </w:tcPr>
        <w:p w:rsidR="00135D40" w:rsidRPr="00A06225" w:rsidRDefault="00135D40">
          <w:pPr>
            <w:pStyle w:val="Header"/>
            <w:spacing w:line="276" w:lineRule="auto"/>
            <w:rPr>
              <w:rFonts w:ascii="Cambria" w:eastAsia="MS Gothic" w:hAnsi="Cambria"/>
              <w:b/>
              <w:bCs/>
              <w:color w:val="4F81BD"/>
            </w:rPr>
          </w:pPr>
        </w:p>
      </w:tc>
      <w:tc>
        <w:tcPr>
          <w:tcW w:w="333" w:type="pct"/>
          <w:vMerge w:val="restart"/>
          <w:noWrap/>
          <w:vAlign w:val="center"/>
          <w:hideMark/>
        </w:tcPr>
        <w:p w:rsidR="00135D40" w:rsidRPr="00A06225" w:rsidRDefault="00135D4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35D40" w:rsidRPr="00A06225" w:rsidRDefault="00135D40">
          <w:pPr>
            <w:pStyle w:val="Header"/>
            <w:spacing w:line="276" w:lineRule="auto"/>
            <w:rPr>
              <w:rFonts w:ascii="Cambria" w:eastAsia="MS Gothic" w:hAnsi="Cambria"/>
              <w:b/>
              <w:bCs/>
              <w:color w:val="4F81BD"/>
            </w:rPr>
          </w:pPr>
        </w:p>
      </w:tc>
    </w:tr>
    <w:tr w:rsidR="00135D40" w:rsidRPr="008E0D90" w:rsidTr="00A06225">
      <w:trPr>
        <w:trHeight w:val="150"/>
      </w:trPr>
      <w:tc>
        <w:tcPr>
          <w:tcW w:w="2389" w:type="pct"/>
          <w:tcBorders>
            <w:top w:val="single" w:sz="4" w:space="0" w:color="4F81BD"/>
            <w:left w:val="nil"/>
            <w:bottom w:val="nil"/>
            <w:right w:val="nil"/>
          </w:tcBorders>
        </w:tcPr>
        <w:p w:rsidR="00135D40" w:rsidRPr="00A06225" w:rsidRDefault="00135D40">
          <w:pPr>
            <w:pStyle w:val="Header"/>
            <w:spacing w:line="276" w:lineRule="auto"/>
            <w:rPr>
              <w:rFonts w:ascii="Cambria" w:eastAsia="MS Gothic" w:hAnsi="Cambria"/>
              <w:b/>
              <w:bCs/>
              <w:color w:val="4F81BD"/>
            </w:rPr>
          </w:pPr>
        </w:p>
      </w:tc>
      <w:tc>
        <w:tcPr>
          <w:tcW w:w="0" w:type="auto"/>
          <w:vMerge/>
          <w:vAlign w:val="center"/>
          <w:hideMark/>
        </w:tcPr>
        <w:p w:rsidR="00135D40" w:rsidRPr="00A06225" w:rsidRDefault="00135D40">
          <w:pPr>
            <w:rPr>
              <w:rFonts w:ascii="Cambria" w:hAnsi="Cambria"/>
              <w:color w:val="4F81BD"/>
              <w:sz w:val="22"/>
              <w:szCs w:val="22"/>
            </w:rPr>
          </w:pPr>
        </w:p>
      </w:tc>
      <w:tc>
        <w:tcPr>
          <w:tcW w:w="2278" w:type="pct"/>
          <w:tcBorders>
            <w:top w:val="single" w:sz="4" w:space="0" w:color="4F81BD"/>
            <w:left w:val="nil"/>
            <w:bottom w:val="nil"/>
            <w:right w:val="nil"/>
          </w:tcBorders>
        </w:tcPr>
        <w:p w:rsidR="00135D40" w:rsidRPr="00A06225" w:rsidRDefault="00135D40">
          <w:pPr>
            <w:pStyle w:val="Header"/>
            <w:spacing w:line="276" w:lineRule="auto"/>
            <w:rPr>
              <w:rFonts w:ascii="Cambria" w:eastAsia="MS Gothic" w:hAnsi="Cambria"/>
              <w:b/>
              <w:bCs/>
              <w:color w:val="4F81BD"/>
            </w:rPr>
          </w:pPr>
        </w:p>
      </w:tc>
    </w:tr>
  </w:tbl>
  <w:p w:rsidR="00135D40" w:rsidRDefault="00135D40">
    <w:pPr>
      <w:pStyle w:val="Header"/>
    </w:pPr>
  </w:p>
  <w:p w:rsidR="00135D40" w:rsidRDefault="00135D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B1" w:rsidRPr="00DF217D" w:rsidRDefault="001A30B1" w:rsidP="001A30B1">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135D40" w:rsidRPr="001A30B1" w:rsidRDefault="00135D40" w:rsidP="001A3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0C8212C6"/>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4"/>
  </w:num>
  <w:num w:numId="3">
    <w:abstractNumId w:val="20"/>
  </w:num>
  <w:num w:numId="4">
    <w:abstractNumId w:val="0"/>
  </w:num>
  <w:num w:numId="5">
    <w:abstractNumId w:val="6"/>
  </w:num>
  <w:num w:numId="6">
    <w:abstractNumId w:val="19"/>
  </w:num>
  <w:num w:numId="7">
    <w:abstractNumId w:val="16"/>
  </w:num>
  <w:num w:numId="8">
    <w:abstractNumId w:val="5"/>
  </w:num>
  <w:num w:numId="9">
    <w:abstractNumId w:val="8"/>
  </w:num>
  <w:num w:numId="10">
    <w:abstractNumId w:val="32"/>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5"/>
  </w:num>
  <w:num w:numId="15">
    <w:abstractNumId w:val="27"/>
  </w:num>
  <w:num w:numId="16">
    <w:abstractNumId w:val="23"/>
  </w:num>
  <w:num w:numId="17">
    <w:abstractNumId w:val="37"/>
  </w:num>
  <w:num w:numId="18">
    <w:abstractNumId w:val="13"/>
  </w:num>
  <w:num w:numId="19">
    <w:abstractNumId w:val="18"/>
  </w:num>
  <w:num w:numId="20">
    <w:abstractNumId w:val="4"/>
  </w:num>
  <w:num w:numId="21">
    <w:abstractNumId w:val="30"/>
  </w:num>
  <w:num w:numId="22">
    <w:abstractNumId w:val="33"/>
  </w:num>
  <w:num w:numId="23">
    <w:abstractNumId w:val="39"/>
  </w:num>
  <w:num w:numId="24">
    <w:abstractNumId w:val="15"/>
  </w:num>
  <w:num w:numId="25">
    <w:abstractNumId w:val="38"/>
  </w:num>
  <w:num w:numId="26">
    <w:abstractNumId w:val="28"/>
  </w:num>
  <w:num w:numId="27">
    <w:abstractNumId w:val="12"/>
  </w:num>
  <w:num w:numId="28">
    <w:abstractNumId w:val="7"/>
  </w:num>
  <w:num w:numId="29">
    <w:abstractNumId w:val="25"/>
  </w:num>
  <w:num w:numId="30">
    <w:abstractNumId w:val="3"/>
  </w:num>
  <w:num w:numId="31">
    <w:abstractNumId w:val="26"/>
  </w:num>
  <w:num w:numId="32">
    <w:abstractNumId w:val="36"/>
  </w:num>
  <w:num w:numId="33">
    <w:abstractNumId w:val="24"/>
  </w:num>
  <w:num w:numId="34">
    <w:abstractNumId w:val="40"/>
  </w:num>
  <w:num w:numId="35">
    <w:abstractNumId w:val="11"/>
  </w:num>
  <w:num w:numId="36">
    <w:abstractNumId w:val="22"/>
  </w:num>
  <w:num w:numId="37">
    <w:abstractNumId w:val="29"/>
  </w:num>
  <w:num w:numId="38">
    <w:abstractNumId w:val="9"/>
  </w:num>
  <w:num w:numId="39">
    <w:abstractNumId w:val="17"/>
  </w:num>
  <w:num w:numId="40">
    <w:abstractNumId w:val="1"/>
  </w:num>
  <w:num w:numId="41">
    <w:abstractNumId w:val="14"/>
  </w:num>
  <w:num w:numId="42">
    <w:abstractNumId w:val="3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76B8"/>
    <w:rsid w:val="0003106B"/>
    <w:rsid w:val="000421A1"/>
    <w:rsid w:val="0004240E"/>
    <w:rsid w:val="00045E26"/>
    <w:rsid w:val="00050CC7"/>
    <w:rsid w:val="000514B5"/>
    <w:rsid w:val="00060BB7"/>
    <w:rsid w:val="00060E64"/>
    <w:rsid w:val="00066755"/>
    <w:rsid w:val="00081DD3"/>
    <w:rsid w:val="00090481"/>
    <w:rsid w:val="000969AD"/>
    <w:rsid w:val="000B558D"/>
    <w:rsid w:val="000C6996"/>
    <w:rsid w:val="000D23BA"/>
    <w:rsid w:val="000E681E"/>
    <w:rsid w:val="000E7371"/>
    <w:rsid w:val="000F32F4"/>
    <w:rsid w:val="000F4E6A"/>
    <w:rsid w:val="001074BF"/>
    <w:rsid w:val="001107BF"/>
    <w:rsid w:val="0012417C"/>
    <w:rsid w:val="00126298"/>
    <w:rsid w:val="00135D40"/>
    <w:rsid w:val="00136472"/>
    <w:rsid w:val="00142395"/>
    <w:rsid w:val="00142714"/>
    <w:rsid w:val="001452ED"/>
    <w:rsid w:val="001830CE"/>
    <w:rsid w:val="00196307"/>
    <w:rsid w:val="001A30B1"/>
    <w:rsid w:val="001B017F"/>
    <w:rsid w:val="001B5129"/>
    <w:rsid w:val="001C1195"/>
    <w:rsid w:val="001D7691"/>
    <w:rsid w:val="00213CFB"/>
    <w:rsid w:val="002319F4"/>
    <w:rsid w:val="00271BA1"/>
    <w:rsid w:val="00277505"/>
    <w:rsid w:val="0029458F"/>
    <w:rsid w:val="002A104C"/>
    <w:rsid w:val="002A4960"/>
    <w:rsid w:val="002B1AE6"/>
    <w:rsid w:val="002B30F8"/>
    <w:rsid w:val="002C212F"/>
    <w:rsid w:val="002E3153"/>
    <w:rsid w:val="002E4431"/>
    <w:rsid w:val="002E62E1"/>
    <w:rsid w:val="002E72CA"/>
    <w:rsid w:val="0031392B"/>
    <w:rsid w:val="00326E79"/>
    <w:rsid w:val="0033098D"/>
    <w:rsid w:val="00332B2F"/>
    <w:rsid w:val="003367EF"/>
    <w:rsid w:val="00341AE4"/>
    <w:rsid w:val="003741FA"/>
    <w:rsid w:val="003872CF"/>
    <w:rsid w:val="0039782C"/>
    <w:rsid w:val="003A5B4A"/>
    <w:rsid w:val="003B23C5"/>
    <w:rsid w:val="003B2A75"/>
    <w:rsid w:val="003D4AC4"/>
    <w:rsid w:val="003D63B7"/>
    <w:rsid w:val="003E468B"/>
    <w:rsid w:val="003F1940"/>
    <w:rsid w:val="003F5C8C"/>
    <w:rsid w:val="004465BD"/>
    <w:rsid w:val="00460746"/>
    <w:rsid w:val="00466ADA"/>
    <w:rsid w:val="00476245"/>
    <w:rsid w:val="00485940"/>
    <w:rsid w:val="00487075"/>
    <w:rsid w:val="004A5A85"/>
    <w:rsid w:val="004B5640"/>
    <w:rsid w:val="004C1BD7"/>
    <w:rsid w:val="004C691D"/>
    <w:rsid w:val="004E692D"/>
    <w:rsid w:val="00501554"/>
    <w:rsid w:val="0051234F"/>
    <w:rsid w:val="00514CD7"/>
    <w:rsid w:val="005319B2"/>
    <w:rsid w:val="00532C74"/>
    <w:rsid w:val="00534E2E"/>
    <w:rsid w:val="00542058"/>
    <w:rsid w:val="00544552"/>
    <w:rsid w:val="00581932"/>
    <w:rsid w:val="005915A7"/>
    <w:rsid w:val="005963BB"/>
    <w:rsid w:val="005A3173"/>
    <w:rsid w:val="005A3223"/>
    <w:rsid w:val="005A3DA3"/>
    <w:rsid w:val="005A52C4"/>
    <w:rsid w:val="005D03AB"/>
    <w:rsid w:val="005D5017"/>
    <w:rsid w:val="005F73D4"/>
    <w:rsid w:val="00601A91"/>
    <w:rsid w:val="00602BA3"/>
    <w:rsid w:val="00614159"/>
    <w:rsid w:val="00617C00"/>
    <w:rsid w:val="006263BF"/>
    <w:rsid w:val="0062748A"/>
    <w:rsid w:val="00630A2C"/>
    <w:rsid w:val="0063232E"/>
    <w:rsid w:val="00636E43"/>
    <w:rsid w:val="00651169"/>
    <w:rsid w:val="00653D69"/>
    <w:rsid w:val="00670A76"/>
    <w:rsid w:val="006711AA"/>
    <w:rsid w:val="00672B57"/>
    <w:rsid w:val="00675622"/>
    <w:rsid w:val="006906DB"/>
    <w:rsid w:val="006A12A5"/>
    <w:rsid w:val="006B0D94"/>
    <w:rsid w:val="006B485D"/>
    <w:rsid w:val="006C131E"/>
    <w:rsid w:val="006C708E"/>
    <w:rsid w:val="006D6EC7"/>
    <w:rsid w:val="006F4EA0"/>
    <w:rsid w:val="006F5125"/>
    <w:rsid w:val="007174BB"/>
    <w:rsid w:val="00730E58"/>
    <w:rsid w:val="0076420C"/>
    <w:rsid w:val="007753C2"/>
    <w:rsid w:val="007838B8"/>
    <w:rsid w:val="007A6596"/>
    <w:rsid w:val="007C0F57"/>
    <w:rsid w:val="007C40B6"/>
    <w:rsid w:val="007C729F"/>
    <w:rsid w:val="007E1D28"/>
    <w:rsid w:val="007E77EE"/>
    <w:rsid w:val="007F2641"/>
    <w:rsid w:val="007F2A39"/>
    <w:rsid w:val="007F7C36"/>
    <w:rsid w:val="00806796"/>
    <w:rsid w:val="00826F6D"/>
    <w:rsid w:val="00833128"/>
    <w:rsid w:val="00833EBF"/>
    <w:rsid w:val="008508D8"/>
    <w:rsid w:val="00856DDD"/>
    <w:rsid w:val="00863E68"/>
    <w:rsid w:val="00866F13"/>
    <w:rsid w:val="00875B16"/>
    <w:rsid w:val="00882085"/>
    <w:rsid w:val="00883188"/>
    <w:rsid w:val="00897D58"/>
    <w:rsid w:val="008A1956"/>
    <w:rsid w:val="008A4937"/>
    <w:rsid w:val="008B378E"/>
    <w:rsid w:val="008D3C82"/>
    <w:rsid w:val="008D447E"/>
    <w:rsid w:val="008D7A41"/>
    <w:rsid w:val="008E3680"/>
    <w:rsid w:val="008E5870"/>
    <w:rsid w:val="008E68FC"/>
    <w:rsid w:val="008F1434"/>
    <w:rsid w:val="008F26C7"/>
    <w:rsid w:val="008F7355"/>
    <w:rsid w:val="009067B7"/>
    <w:rsid w:val="00930937"/>
    <w:rsid w:val="00933E6C"/>
    <w:rsid w:val="00942160"/>
    <w:rsid w:val="00946261"/>
    <w:rsid w:val="009553D2"/>
    <w:rsid w:val="009602C5"/>
    <w:rsid w:val="00970AFA"/>
    <w:rsid w:val="00974C21"/>
    <w:rsid w:val="009B0F67"/>
    <w:rsid w:val="009C703C"/>
    <w:rsid w:val="009D3CAA"/>
    <w:rsid w:val="009E45A5"/>
    <w:rsid w:val="009F2F5A"/>
    <w:rsid w:val="009F3A8D"/>
    <w:rsid w:val="009F4E46"/>
    <w:rsid w:val="009F5B65"/>
    <w:rsid w:val="009F5F2E"/>
    <w:rsid w:val="00A06225"/>
    <w:rsid w:val="00A128E6"/>
    <w:rsid w:val="00A37C8D"/>
    <w:rsid w:val="00A5273B"/>
    <w:rsid w:val="00A53A9D"/>
    <w:rsid w:val="00A55FEE"/>
    <w:rsid w:val="00A62C1A"/>
    <w:rsid w:val="00A6426D"/>
    <w:rsid w:val="00A70622"/>
    <w:rsid w:val="00A70977"/>
    <w:rsid w:val="00A8390C"/>
    <w:rsid w:val="00A928BD"/>
    <w:rsid w:val="00AA01E8"/>
    <w:rsid w:val="00AA27D5"/>
    <w:rsid w:val="00AA4D1C"/>
    <w:rsid w:val="00AC5206"/>
    <w:rsid w:val="00AE11A5"/>
    <w:rsid w:val="00AE13E2"/>
    <w:rsid w:val="00AE3DC1"/>
    <w:rsid w:val="00AF68CC"/>
    <w:rsid w:val="00B00B1A"/>
    <w:rsid w:val="00B025C1"/>
    <w:rsid w:val="00B205AA"/>
    <w:rsid w:val="00B22E84"/>
    <w:rsid w:val="00B25F75"/>
    <w:rsid w:val="00B32864"/>
    <w:rsid w:val="00B43E90"/>
    <w:rsid w:val="00B56118"/>
    <w:rsid w:val="00B6773F"/>
    <w:rsid w:val="00B801BA"/>
    <w:rsid w:val="00BB162F"/>
    <w:rsid w:val="00BB69F5"/>
    <w:rsid w:val="00BB7EC3"/>
    <w:rsid w:val="00BC4B9A"/>
    <w:rsid w:val="00BD666B"/>
    <w:rsid w:val="00BD784C"/>
    <w:rsid w:val="00BF4CB6"/>
    <w:rsid w:val="00C00DA7"/>
    <w:rsid w:val="00C0629A"/>
    <w:rsid w:val="00C10EF3"/>
    <w:rsid w:val="00C12768"/>
    <w:rsid w:val="00C27B58"/>
    <w:rsid w:val="00C35996"/>
    <w:rsid w:val="00C423FD"/>
    <w:rsid w:val="00C477A9"/>
    <w:rsid w:val="00C5342C"/>
    <w:rsid w:val="00C61C0E"/>
    <w:rsid w:val="00C6256A"/>
    <w:rsid w:val="00C73350"/>
    <w:rsid w:val="00C91449"/>
    <w:rsid w:val="00C92D10"/>
    <w:rsid w:val="00CB76ED"/>
    <w:rsid w:val="00CE10C4"/>
    <w:rsid w:val="00CE27B5"/>
    <w:rsid w:val="00CE6176"/>
    <w:rsid w:val="00CF70E9"/>
    <w:rsid w:val="00D0321E"/>
    <w:rsid w:val="00D1455A"/>
    <w:rsid w:val="00D21567"/>
    <w:rsid w:val="00D3280C"/>
    <w:rsid w:val="00D3406A"/>
    <w:rsid w:val="00D469B2"/>
    <w:rsid w:val="00D67DF5"/>
    <w:rsid w:val="00D741EB"/>
    <w:rsid w:val="00D84934"/>
    <w:rsid w:val="00D91271"/>
    <w:rsid w:val="00DA2CB5"/>
    <w:rsid w:val="00DA4BAC"/>
    <w:rsid w:val="00DD4C4B"/>
    <w:rsid w:val="00DE6D27"/>
    <w:rsid w:val="00DF217D"/>
    <w:rsid w:val="00DF26A7"/>
    <w:rsid w:val="00E164B3"/>
    <w:rsid w:val="00E16910"/>
    <w:rsid w:val="00E2641A"/>
    <w:rsid w:val="00E40507"/>
    <w:rsid w:val="00E56F0D"/>
    <w:rsid w:val="00E65E54"/>
    <w:rsid w:val="00E71B63"/>
    <w:rsid w:val="00E80155"/>
    <w:rsid w:val="00E848C0"/>
    <w:rsid w:val="00E91B96"/>
    <w:rsid w:val="00E941A1"/>
    <w:rsid w:val="00E95CE3"/>
    <w:rsid w:val="00EA2825"/>
    <w:rsid w:val="00EA72FF"/>
    <w:rsid w:val="00EB5088"/>
    <w:rsid w:val="00ED09E8"/>
    <w:rsid w:val="00ED1644"/>
    <w:rsid w:val="00EF44A0"/>
    <w:rsid w:val="00EF4FED"/>
    <w:rsid w:val="00F050BD"/>
    <w:rsid w:val="00F05657"/>
    <w:rsid w:val="00F25578"/>
    <w:rsid w:val="00F258E5"/>
    <w:rsid w:val="00F276F2"/>
    <w:rsid w:val="00F300BC"/>
    <w:rsid w:val="00F3334E"/>
    <w:rsid w:val="00F41C81"/>
    <w:rsid w:val="00F43D21"/>
    <w:rsid w:val="00F50EC4"/>
    <w:rsid w:val="00F52D6B"/>
    <w:rsid w:val="00F57A6D"/>
    <w:rsid w:val="00F638CC"/>
    <w:rsid w:val="00F64CC1"/>
    <w:rsid w:val="00F81FCD"/>
    <w:rsid w:val="00F8247A"/>
    <w:rsid w:val="00F9629A"/>
    <w:rsid w:val="00FA5883"/>
    <w:rsid w:val="00FA6055"/>
    <w:rsid w:val="00FB29BA"/>
    <w:rsid w:val="00FB322F"/>
    <w:rsid w:val="00FB442F"/>
    <w:rsid w:val="00FC1929"/>
    <w:rsid w:val="00FC5B4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B29BA"/>
    <w:pPr>
      <w:numPr>
        <w:numId w:val="25"/>
      </w:numPr>
      <w:jc w:val="both"/>
      <w:outlineLvl w:val="0"/>
    </w:pPr>
    <w:rPr>
      <w:rFonts w:ascii="Arial" w:hAnsi="Arial"/>
      <w:b/>
      <w:sz w:val="22"/>
      <w:szCs w:val="22"/>
    </w:rPr>
  </w:style>
  <w:style w:type="paragraph" w:styleId="Heading2">
    <w:name w:val="heading 2"/>
    <w:basedOn w:val="Normal"/>
    <w:next w:val="Normal"/>
    <w:qFormat/>
    <w:rsid w:val="00FB29BA"/>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1A30B1"/>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1A30B1"/>
    <w:rPr>
      <w:sz w:val="24"/>
      <w:szCs w:val="24"/>
    </w:rPr>
  </w:style>
  <w:style w:type="paragraph" w:styleId="Title">
    <w:name w:val="Title"/>
    <w:basedOn w:val="Normal"/>
    <w:next w:val="Normal"/>
    <w:link w:val="TitleChar"/>
    <w:qFormat/>
    <w:rsid w:val="00FB29BA"/>
    <w:pPr>
      <w:ind w:left="720" w:hanging="720"/>
      <w:outlineLvl w:val="0"/>
    </w:pPr>
    <w:rPr>
      <w:rFonts w:ascii="Arial" w:hAnsi="Arial"/>
      <w:b/>
      <w:sz w:val="28"/>
      <w:szCs w:val="28"/>
    </w:rPr>
  </w:style>
  <w:style w:type="character" w:customStyle="1" w:styleId="TitleChar">
    <w:name w:val="Title Char"/>
    <w:basedOn w:val="DefaultParagraphFont"/>
    <w:link w:val="Title"/>
    <w:rsid w:val="00FB29BA"/>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B29BA"/>
    <w:pPr>
      <w:numPr>
        <w:numId w:val="25"/>
      </w:numPr>
      <w:jc w:val="both"/>
      <w:outlineLvl w:val="0"/>
    </w:pPr>
    <w:rPr>
      <w:rFonts w:ascii="Arial" w:hAnsi="Arial"/>
      <w:b/>
      <w:sz w:val="22"/>
      <w:szCs w:val="22"/>
    </w:rPr>
  </w:style>
  <w:style w:type="paragraph" w:styleId="Heading2">
    <w:name w:val="heading 2"/>
    <w:basedOn w:val="Normal"/>
    <w:next w:val="Normal"/>
    <w:qFormat/>
    <w:rsid w:val="00FB29BA"/>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1A30B1"/>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1A30B1"/>
    <w:rPr>
      <w:sz w:val="24"/>
      <w:szCs w:val="24"/>
    </w:rPr>
  </w:style>
  <w:style w:type="paragraph" w:styleId="Title">
    <w:name w:val="Title"/>
    <w:basedOn w:val="Normal"/>
    <w:next w:val="Normal"/>
    <w:link w:val="TitleChar"/>
    <w:qFormat/>
    <w:rsid w:val="00FB29BA"/>
    <w:pPr>
      <w:ind w:left="720" w:hanging="720"/>
      <w:outlineLvl w:val="0"/>
    </w:pPr>
    <w:rPr>
      <w:rFonts w:ascii="Arial" w:hAnsi="Arial"/>
      <w:b/>
      <w:sz w:val="28"/>
      <w:szCs w:val="28"/>
    </w:rPr>
  </w:style>
  <w:style w:type="character" w:customStyle="1" w:styleId="TitleChar">
    <w:name w:val="Title Char"/>
    <w:basedOn w:val="DefaultParagraphFont"/>
    <w:link w:val="Title"/>
    <w:rsid w:val="00FB29BA"/>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6.16 EVEROLIMUS</vt:lpstr>
    </vt:vector>
  </TitlesOfParts>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 EVEROLIMUS</dc:title>
  <dc:creator/>
  <cp:lastModifiedBy/>
  <cp:revision>1</cp:revision>
  <dcterms:created xsi:type="dcterms:W3CDTF">2016-02-24T20:54:00Z</dcterms:created>
  <dcterms:modified xsi:type="dcterms:W3CDTF">2016-02-28T22:10:00Z</dcterms:modified>
</cp:coreProperties>
</file>