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0E" w:rsidRPr="009D5B0E" w:rsidRDefault="0038658B" w:rsidP="009D5B0E">
      <w:pPr>
        <w:pStyle w:val="Title"/>
        <w:rPr>
          <w:rStyle w:val="TitleChar"/>
          <w:b/>
        </w:rPr>
      </w:pPr>
      <w:r w:rsidRPr="009D5B0E">
        <w:rPr>
          <w:rStyle w:val="TitleChar"/>
          <w:b/>
        </w:rPr>
        <w:t xml:space="preserve">3.01 </w:t>
      </w:r>
      <w:r w:rsidR="0071208D" w:rsidRPr="009D5B0E">
        <w:rPr>
          <w:rStyle w:val="TitleChar"/>
          <w:b/>
        </w:rPr>
        <w:t>GLYCOPYRRONIUM BROMIDE,</w:t>
      </w:r>
    </w:p>
    <w:p w:rsidR="009D5B0E" w:rsidRDefault="0071208D" w:rsidP="00DC1CD6">
      <w:pPr>
        <w:pStyle w:val="Title"/>
        <w:ind w:firstLine="0"/>
        <w:rPr>
          <w:rStyle w:val="TitleChar"/>
          <w:b/>
        </w:rPr>
      </w:pPr>
      <w:proofErr w:type="gramStart"/>
      <w:r w:rsidRPr="009D5B0E">
        <w:rPr>
          <w:rStyle w:val="TitleChar"/>
          <w:b/>
        </w:rPr>
        <w:t>powder</w:t>
      </w:r>
      <w:proofErr w:type="gramEnd"/>
      <w:r w:rsidRPr="009D5B0E">
        <w:rPr>
          <w:rStyle w:val="TitleChar"/>
          <w:b/>
        </w:rPr>
        <w:t xml:space="preserve"> for inhalation, 50 microgram, </w:t>
      </w:r>
      <w:proofErr w:type="spellStart"/>
      <w:r w:rsidRPr="009D5B0E">
        <w:rPr>
          <w:rStyle w:val="TitleChar"/>
          <w:b/>
        </w:rPr>
        <w:t>Seebri</w:t>
      </w:r>
      <w:proofErr w:type="spellEnd"/>
      <w:r w:rsidRPr="009D5B0E">
        <w:rPr>
          <w:rStyle w:val="TitleChar"/>
          <w:b/>
        </w:rPr>
        <w:t xml:space="preserve">®, </w:t>
      </w:r>
      <w:proofErr w:type="spellStart"/>
      <w:r w:rsidRPr="009D5B0E">
        <w:rPr>
          <w:rStyle w:val="TitleChar"/>
          <w:b/>
        </w:rPr>
        <w:t>Breezhaler</w:t>
      </w:r>
      <w:proofErr w:type="spellEnd"/>
      <w:r w:rsidRPr="009D5B0E">
        <w:rPr>
          <w:rStyle w:val="TitleChar"/>
          <w:b/>
        </w:rPr>
        <w:t>®</w:t>
      </w:r>
      <w:r w:rsidR="009D5B0E">
        <w:rPr>
          <w:rStyle w:val="TitleChar"/>
          <w:b/>
        </w:rPr>
        <w:t>,</w:t>
      </w:r>
    </w:p>
    <w:p w:rsidR="006728B5" w:rsidRPr="009D5B0E" w:rsidRDefault="0071208D" w:rsidP="00DC1CD6">
      <w:pPr>
        <w:pStyle w:val="Title"/>
        <w:ind w:firstLine="0"/>
        <w:rPr>
          <w:rFonts w:cs="Arial"/>
          <w:b w:val="0"/>
          <w:snapToGrid w:val="0"/>
          <w:lang w:eastAsia="en-US"/>
        </w:rPr>
      </w:pPr>
      <w:r w:rsidRPr="009D5B0E">
        <w:rPr>
          <w:rStyle w:val="TitleChar"/>
          <w:b/>
        </w:rPr>
        <w:t>Novartis Pharmaceuticals Australia Pty Ltd</w:t>
      </w:r>
      <w:r w:rsidRPr="009D5B0E">
        <w:rPr>
          <w:b w:val="0"/>
        </w:rPr>
        <w:t>.</w:t>
      </w:r>
    </w:p>
    <w:p w:rsidR="006728B5" w:rsidRDefault="006728B5" w:rsidP="006728B5">
      <w:pPr>
        <w:widowControl w:val="0"/>
        <w:tabs>
          <w:tab w:val="right" w:pos="8669"/>
        </w:tabs>
        <w:rPr>
          <w:rFonts w:ascii="Arial" w:hAnsi="Arial" w:cs="Arial"/>
          <w:b/>
        </w:rPr>
      </w:pPr>
      <w:bookmarkStart w:id="0" w:name="_GoBack"/>
      <w:bookmarkEnd w:id="0"/>
    </w:p>
    <w:p w:rsidR="00DC1CD6" w:rsidRDefault="00DC1CD6" w:rsidP="006728B5">
      <w:pPr>
        <w:widowControl w:val="0"/>
        <w:tabs>
          <w:tab w:val="right" w:pos="8669"/>
        </w:tabs>
        <w:rPr>
          <w:rFonts w:ascii="Arial" w:hAnsi="Arial" w:cs="Arial"/>
          <w:b/>
        </w:rPr>
      </w:pPr>
    </w:p>
    <w:p w:rsidR="006457A7" w:rsidRPr="009D5B0E" w:rsidRDefault="006457A7" w:rsidP="009D5B0E">
      <w:pPr>
        <w:pStyle w:val="Heading1"/>
        <w:numPr>
          <w:ilvl w:val="0"/>
          <w:numId w:val="4"/>
        </w:numPr>
      </w:pPr>
      <w:r w:rsidRPr="009D5B0E">
        <w:t>Purpose of application</w:t>
      </w:r>
    </w:p>
    <w:p w:rsidR="006457A7" w:rsidRPr="007F3953" w:rsidRDefault="006457A7" w:rsidP="006457A7">
      <w:pPr>
        <w:rPr>
          <w:rFonts w:ascii="Arial" w:hAnsi="Arial" w:cs="Arial"/>
          <w:snapToGrid w:val="0"/>
          <w:sz w:val="22"/>
          <w:szCs w:val="22"/>
          <w:lang w:eastAsia="en-US"/>
        </w:rPr>
      </w:pPr>
    </w:p>
    <w:p w:rsidR="006457A7" w:rsidRPr="007F3953" w:rsidRDefault="0071208D" w:rsidP="006457A7">
      <w:pPr>
        <w:pStyle w:val="ListParagraph"/>
        <w:numPr>
          <w:ilvl w:val="1"/>
          <w:numId w:val="4"/>
        </w:numPr>
        <w:rPr>
          <w:rFonts w:ascii="Arial" w:hAnsi="Arial" w:cs="Arial"/>
          <w:snapToGrid w:val="0"/>
          <w:sz w:val="22"/>
          <w:szCs w:val="22"/>
          <w:lang w:eastAsia="en-US"/>
        </w:rPr>
      </w:pPr>
      <w:r w:rsidRPr="007F3953">
        <w:rPr>
          <w:rFonts w:ascii="Arial" w:hAnsi="Arial" w:cs="Arial"/>
          <w:sz w:val="22"/>
          <w:szCs w:val="22"/>
        </w:rPr>
        <w:t>To provide data from the GLISTEN trial when completed, to confirm the assessment of comparative effectiveness and safety of glycopyrronium in combination with LAB/ICS</w:t>
      </w:r>
    </w:p>
    <w:p w:rsidR="006457A7" w:rsidRPr="007F3953" w:rsidRDefault="006457A7" w:rsidP="0071208D">
      <w:pPr>
        <w:jc w:val="both"/>
        <w:rPr>
          <w:rFonts w:ascii="Arial" w:hAnsi="Arial"/>
          <w:b/>
          <w:sz w:val="22"/>
          <w:szCs w:val="22"/>
        </w:rPr>
      </w:pPr>
    </w:p>
    <w:p w:rsidR="000A2E52" w:rsidRPr="007F3953" w:rsidRDefault="000A2E52" w:rsidP="006457A7">
      <w:pPr>
        <w:pStyle w:val="ListParagraph"/>
        <w:jc w:val="both"/>
        <w:rPr>
          <w:rFonts w:ascii="Arial" w:hAnsi="Arial"/>
          <w:b/>
          <w:sz w:val="22"/>
          <w:szCs w:val="22"/>
        </w:rPr>
      </w:pPr>
    </w:p>
    <w:p w:rsidR="006728B5" w:rsidRPr="007F3953" w:rsidRDefault="006728B5" w:rsidP="009D5B0E">
      <w:pPr>
        <w:pStyle w:val="Heading1"/>
      </w:pPr>
      <w:r w:rsidRPr="007F3953">
        <w:t>Background</w:t>
      </w:r>
    </w:p>
    <w:p w:rsidR="00596402" w:rsidRPr="007F3953" w:rsidRDefault="00596402" w:rsidP="006457A7">
      <w:pPr>
        <w:jc w:val="both"/>
        <w:rPr>
          <w:rFonts w:ascii="Arial" w:hAnsi="Arial"/>
          <w:b/>
          <w:sz w:val="22"/>
          <w:szCs w:val="22"/>
        </w:rPr>
      </w:pPr>
    </w:p>
    <w:p w:rsidR="006457A7" w:rsidRPr="007F3953" w:rsidRDefault="0071208D" w:rsidP="006457A7">
      <w:pPr>
        <w:pStyle w:val="ListParagraph"/>
        <w:numPr>
          <w:ilvl w:val="1"/>
          <w:numId w:val="4"/>
        </w:numPr>
        <w:rPr>
          <w:rFonts w:ascii="Arial" w:hAnsi="Arial" w:cs="Arial"/>
          <w:snapToGrid w:val="0"/>
          <w:sz w:val="22"/>
          <w:szCs w:val="22"/>
          <w:lang w:eastAsia="en-US"/>
        </w:rPr>
      </w:pPr>
      <w:r w:rsidRPr="007F3953">
        <w:rPr>
          <w:rFonts w:ascii="Arial" w:hAnsi="Arial" w:cs="Arial"/>
          <w:snapToGrid w:val="0"/>
          <w:sz w:val="22"/>
          <w:szCs w:val="22"/>
          <w:lang w:eastAsia="en-US"/>
        </w:rPr>
        <w:t xml:space="preserve">At the November 2013 meeting, </w:t>
      </w:r>
      <w:r w:rsidRPr="007F3953">
        <w:rPr>
          <w:rFonts w:ascii="Arial" w:hAnsi="Arial"/>
          <w:sz w:val="22"/>
          <w:szCs w:val="22"/>
        </w:rPr>
        <w:t>the PBAC recommended a restricted benefit listing of glycopyrronium</w:t>
      </w:r>
      <w:r w:rsidRPr="007F3953">
        <w:rPr>
          <w:rFonts w:ascii="Arial" w:hAnsi="Arial" w:cs="Arial"/>
          <w:sz w:val="22"/>
          <w:szCs w:val="22"/>
        </w:rPr>
        <w:t xml:space="preserve"> for patients with COPD, with the same restriction as tiotropium. </w:t>
      </w:r>
    </w:p>
    <w:p w:rsidR="0071208D" w:rsidRPr="007F3953" w:rsidRDefault="0071208D" w:rsidP="0071208D">
      <w:pPr>
        <w:rPr>
          <w:rFonts w:ascii="Arial" w:hAnsi="Arial" w:cs="Arial"/>
          <w:snapToGrid w:val="0"/>
          <w:sz w:val="22"/>
          <w:szCs w:val="22"/>
          <w:lang w:eastAsia="en-US"/>
        </w:rPr>
      </w:pPr>
    </w:p>
    <w:p w:rsidR="0071208D" w:rsidRPr="007F3953" w:rsidRDefault="0071208D" w:rsidP="006457A7">
      <w:pPr>
        <w:pStyle w:val="ListParagraph"/>
        <w:numPr>
          <w:ilvl w:val="1"/>
          <w:numId w:val="4"/>
        </w:numPr>
        <w:rPr>
          <w:rFonts w:ascii="Arial" w:hAnsi="Arial" w:cs="Arial"/>
          <w:snapToGrid w:val="0"/>
          <w:sz w:val="22"/>
          <w:szCs w:val="22"/>
          <w:lang w:eastAsia="en-US"/>
        </w:rPr>
      </w:pPr>
      <w:r w:rsidRPr="007F3953">
        <w:rPr>
          <w:rFonts w:ascii="Arial" w:hAnsi="Arial" w:cs="Arial"/>
          <w:sz w:val="22"/>
          <w:szCs w:val="22"/>
        </w:rPr>
        <w:t>The minutes stated that ‘The PBAC requested that the sponsor provide data from the GLISTEN trial when it was completed, to confirm the assessment of comparative effectiveness and safety of glycopyrronium in combination with LAB/ICS’.</w:t>
      </w:r>
    </w:p>
    <w:p w:rsidR="0071208D" w:rsidRPr="007F3953" w:rsidRDefault="0071208D" w:rsidP="0071208D">
      <w:pPr>
        <w:pStyle w:val="ListParagraph"/>
        <w:rPr>
          <w:rFonts w:ascii="Arial" w:hAnsi="Arial" w:cs="Arial"/>
          <w:snapToGrid w:val="0"/>
          <w:sz w:val="22"/>
          <w:szCs w:val="22"/>
          <w:lang w:eastAsia="en-US"/>
        </w:rPr>
      </w:pPr>
    </w:p>
    <w:p w:rsidR="006457A7" w:rsidRPr="007F3953" w:rsidRDefault="0071208D" w:rsidP="0071208D">
      <w:pPr>
        <w:pStyle w:val="ListParagraph"/>
        <w:numPr>
          <w:ilvl w:val="1"/>
          <w:numId w:val="4"/>
        </w:numPr>
        <w:rPr>
          <w:rFonts w:ascii="Arial" w:hAnsi="Arial" w:cs="Arial"/>
          <w:snapToGrid w:val="0"/>
          <w:sz w:val="22"/>
          <w:szCs w:val="22"/>
          <w:lang w:eastAsia="en-US"/>
        </w:rPr>
      </w:pPr>
      <w:r w:rsidRPr="007F3953">
        <w:rPr>
          <w:rFonts w:ascii="Arial" w:hAnsi="Arial" w:cs="Arial"/>
          <w:snapToGrid w:val="0"/>
          <w:sz w:val="22"/>
          <w:szCs w:val="22"/>
          <w:lang w:eastAsia="en-US"/>
        </w:rPr>
        <w:t>The sponsor provided the publication: Firth et al, Glycopyrronium once-daily significantly improves</w:t>
      </w:r>
      <w:r w:rsidR="0003652C" w:rsidRPr="007F3953">
        <w:rPr>
          <w:rFonts w:ascii="Arial" w:hAnsi="Arial" w:cs="Arial"/>
          <w:snapToGrid w:val="0"/>
          <w:sz w:val="22"/>
          <w:szCs w:val="22"/>
          <w:lang w:eastAsia="en-US"/>
        </w:rPr>
        <w:t xml:space="preserve"> </w:t>
      </w:r>
      <w:r w:rsidRPr="007F3953">
        <w:rPr>
          <w:rFonts w:ascii="Arial" w:hAnsi="Arial" w:cs="Arial"/>
          <w:snapToGrid w:val="0"/>
          <w:sz w:val="22"/>
          <w:szCs w:val="22"/>
          <w:lang w:eastAsia="en-US"/>
        </w:rPr>
        <w:t>lung function and health status when combined</w:t>
      </w:r>
      <w:r w:rsidR="0003652C" w:rsidRPr="007F3953">
        <w:rPr>
          <w:rFonts w:ascii="Arial" w:hAnsi="Arial" w:cs="Arial"/>
          <w:snapToGrid w:val="0"/>
          <w:sz w:val="22"/>
          <w:szCs w:val="22"/>
          <w:lang w:eastAsia="en-US"/>
        </w:rPr>
        <w:t xml:space="preserve"> </w:t>
      </w:r>
      <w:r w:rsidRPr="007F3953">
        <w:rPr>
          <w:rFonts w:ascii="Arial" w:hAnsi="Arial" w:cs="Arial"/>
          <w:snapToGrid w:val="0"/>
          <w:sz w:val="22"/>
          <w:szCs w:val="22"/>
          <w:lang w:eastAsia="en-US"/>
        </w:rPr>
        <w:t>with salmeterol/fluticasone in patients with COPD: the GLISTEN study—a randomised controlled trial</w:t>
      </w:r>
      <w:r w:rsidR="0003652C" w:rsidRPr="007F3953">
        <w:rPr>
          <w:rFonts w:ascii="Arial" w:hAnsi="Arial" w:cs="Arial"/>
          <w:snapToGrid w:val="0"/>
          <w:sz w:val="22"/>
          <w:szCs w:val="22"/>
          <w:lang w:eastAsia="en-US"/>
        </w:rPr>
        <w:t xml:space="preserve"> (2015) Thorax.</w:t>
      </w:r>
    </w:p>
    <w:p w:rsidR="000A2E52" w:rsidRPr="007F3953" w:rsidRDefault="000A2E52" w:rsidP="0038658B">
      <w:pPr>
        <w:jc w:val="both"/>
        <w:rPr>
          <w:rFonts w:ascii="Arial" w:hAnsi="Arial"/>
          <w:b/>
          <w:sz w:val="22"/>
          <w:szCs w:val="22"/>
        </w:rPr>
      </w:pPr>
    </w:p>
    <w:p w:rsidR="00F26945" w:rsidRPr="00F26945" w:rsidRDefault="00F26945" w:rsidP="00F26945">
      <w:pPr>
        <w:jc w:val="both"/>
        <w:rPr>
          <w:rFonts w:ascii="Arial" w:hAnsi="Arial"/>
          <w:sz w:val="22"/>
          <w:szCs w:val="22"/>
        </w:rPr>
      </w:pPr>
    </w:p>
    <w:p w:rsidR="00F26945" w:rsidRDefault="00F26945" w:rsidP="009D5B0E">
      <w:pPr>
        <w:pStyle w:val="Heading1"/>
        <w:rPr>
          <w:snapToGrid w:val="0"/>
          <w:lang w:eastAsia="en-US"/>
        </w:rPr>
      </w:pPr>
      <w:r w:rsidRPr="00B20701">
        <w:rPr>
          <w:snapToGrid w:val="0"/>
          <w:lang w:eastAsia="en-US"/>
        </w:rPr>
        <w:t>PBAC Outcome</w:t>
      </w:r>
    </w:p>
    <w:p w:rsidR="009D5B0E" w:rsidRPr="009D5B0E" w:rsidRDefault="009D5B0E" w:rsidP="009D5B0E">
      <w:pPr>
        <w:rPr>
          <w:lang w:eastAsia="en-US"/>
        </w:rPr>
      </w:pPr>
    </w:p>
    <w:p w:rsidR="00DE2C6B" w:rsidRPr="00F26945" w:rsidRDefault="00F26945" w:rsidP="00F26945">
      <w:pPr>
        <w:pStyle w:val="ListParagraph"/>
        <w:numPr>
          <w:ilvl w:val="1"/>
          <w:numId w:val="4"/>
        </w:numPr>
        <w:rPr>
          <w:rFonts w:ascii="Arial" w:hAnsi="Arial" w:cs="Arial"/>
          <w:sz w:val="22"/>
          <w:szCs w:val="22"/>
        </w:rPr>
      </w:pPr>
      <w:r>
        <w:rPr>
          <w:rFonts w:ascii="Arial" w:hAnsi="Arial" w:cs="Arial"/>
          <w:bCs/>
          <w:snapToGrid w:val="0"/>
          <w:sz w:val="22"/>
          <w:szCs w:val="22"/>
          <w:lang w:val="en-GB" w:eastAsia="en-US"/>
        </w:rPr>
        <w:t xml:space="preserve">The PBAC noted the </w:t>
      </w:r>
      <w:r w:rsidRPr="007F3953">
        <w:rPr>
          <w:rFonts w:ascii="Arial" w:hAnsi="Arial" w:cs="Arial"/>
          <w:snapToGrid w:val="0"/>
          <w:sz w:val="22"/>
          <w:szCs w:val="22"/>
          <w:lang w:eastAsia="en-US"/>
        </w:rPr>
        <w:t>the publication: Firth et al, Glycopyrronium once-daily significantly improves lung function and health status when combined with salmeterol/fluticasone in patients with COPD: the GLISTEN study—a randomised controlled trial. (2015) Thorax</w:t>
      </w:r>
      <w:r>
        <w:rPr>
          <w:rFonts w:ascii="Arial" w:hAnsi="Arial" w:cs="Arial"/>
          <w:snapToGrid w:val="0"/>
          <w:sz w:val="22"/>
          <w:szCs w:val="22"/>
          <w:lang w:eastAsia="en-US"/>
        </w:rPr>
        <w:t>.</w:t>
      </w:r>
    </w:p>
    <w:p w:rsidR="00F26945" w:rsidRPr="00F26945" w:rsidRDefault="00F26945" w:rsidP="00F26945">
      <w:pPr>
        <w:rPr>
          <w:rFonts w:ascii="Arial" w:hAnsi="Arial" w:cs="Arial"/>
          <w:sz w:val="22"/>
          <w:szCs w:val="22"/>
        </w:rPr>
      </w:pPr>
    </w:p>
    <w:p w:rsidR="00F26945" w:rsidRPr="00F26945" w:rsidRDefault="00F26945" w:rsidP="00F26945">
      <w:pPr>
        <w:pStyle w:val="ListParagraph"/>
        <w:numPr>
          <w:ilvl w:val="1"/>
          <w:numId w:val="4"/>
        </w:numPr>
        <w:rPr>
          <w:rFonts w:ascii="Arial" w:hAnsi="Arial" w:cs="Arial"/>
          <w:sz w:val="22"/>
          <w:szCs w:val="22"/>
        </w:rPr>
      </w:pPr>
      <w:r>
        <w:rPr>
          <w:rFonts w:ascii="Arial" w:hAnsi="Arial" w:cs="Arial"/>
          <w:snapToGrid w:val="0"/>
          <w:sz w:val="22"/>
          <w:szCs w:val="22"/>
          <w:lang w:eastAsia="en-US"/>
        </w:rPr>
        <w:t xml:space="preserve">The PBAC noted that publication reaffirmed the view of the Committee in November 2013 that </w:t>
      </w:r>
      <w:r w:rsidRPr="00F26945">
        <w:rPr>
          <w:rFonts w:ascii="Arial" w:hAnsi="Arial" w:cs="Arial"/>
          <w:snapToGrid w:val="0"/>
          <w:sz w:val="22"/>
          <w:szCs w:val="22"/>
          <w:lang w:eastAsia="en-US"/>
        </w:rPr>
        <w:t>glycopyrronium was non-inferior in regards to efficacy and safety with tiotropium</w:t>
      </w:r>
      <w:r>
        <w:rPr>
          <w:rFonts w:ascii="Arial" w:hAnsi="Arial" w:cs="Arial"/>
          <w:snapToGrid w:val="0"/>
          <w:sz w:val="22"/>
          <w:szCs w:val="22"/>
          <w:lang w:eastAsia="en-US"/>
        </w:rPr>
        <w:t xml:space="preserve">. </w:t>
      </w:r>
    </w:p>
    <w:p w:rsidR="00F26945" w:rsidRPr="00F26945" w:rsidRDefault="00F26945" w:rsidP="00F26945">
      <w:pPr>
        <w:rPr>
          <w:rFonts w:ascii="Arial" w:hAnsi="Arial" w:cs="Arial"/>
          <w:sz w:val="22"/>
          <w:szCs w:val="22"/>
        </w:rPr>
      </w:pPr>
    </w:p>
    <w:p w:rsidR="00F26945" w:rsidRPr="0045232F" w:rsidRDefault="00F26945" w:rsidP="00F26945">
      <w:pPr>
        <w:pStyle w:val="ListParagraph"/>
        <w:numPr>
          <w:ilvl w:val="1"/>
          <w:numId w:val="4"/>
        </w:numPr>
        <w:rPr>
          <w:rFonts w:ascii="Arial" w:hAnsi="Arial" w:cs="Arial"/>
          <w:sz w:val="22"/>
          <w:szCs w:val="22"/>
        </w:rPr>
      </w:pPr>
      <w:r w:rsidRPr="0045232F">
        <w:rPr>
          <w:rFonts w:ascii="Arial" w:hAnsi="Arial" w:cs="Arial"/>
          <w:snapToGrid w:val="0"/>
          <w:sz w:val="22"/>
          <w:szCs w:val="22"/>
          <w:lang w:eastAsia="en-US"/>
        </w:rPr>
        <w:t xml:space="preserve">The PBAC thanked the sponsor for providing the data from the GLISTEN trial when it was completed. </w:t>
      </w:r>
    </w:p>
    <w:p w:rsidR="009D5B0E" w:rsidRPr="0045232F" w:rsidRDefault="009D5B0E" w:rsidP="0045232F">
      <w:pPr>
        <w:rPr>
          <w:rFonts w:ascii="Arial" w:hAnsi="Arial" w:cs="Arial"/>
          <w:sz w:val="22"/>
          <w:szCs w:val="22"/>
        </w:rPr>
      </w:pPr>
    </w:p>
    <w:p w:rsidR="001762E8" w:rsidRDefault="001762E8" w:rsidP="009D5B0E">
      <w:pPr>
        <w:pStyle w:val="Heading1"/>
        <w:rPr>
          <w:rFonts w:eastAsia="SimSun"/>
          <w:lang w:eastAsia="en-US"/>
        </w:rPr>
      </w:pPr>
      <w:r>
        <w:rPr>
          <w:rFonts w:eastAsia="SimSun"/>
          <w:lang w:eastAsia="en-US"/>
        </w:rPr>
        <w:t>Context for Decision</w:t>
      </w:r>
    </w:p>
    <w:p w:rsidR="001762E8" w:rsidRDefault="001762E8" w:rsidP="001762E8">
      <w:pPr>
        <w:ind w:left="720"/>
        <w:contextualSpacing/>
        <w:rPr>
          <w:b/>
        </w:rPr>
      </w:pPr>
    </w:p>
    <w:p w:rsidR="00DC1CD6" w:rsidRDefault="001762E8" w:rsidP="0045232F">
      <w:pPr>
        <w:ind w:left="720"/>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r w:rsidR="0045232F">
        <w:t xml:space="preserve"> </w:t>
      </w:r>
    </w:p>
    <w:p w:rsidR="00DC1CD6" w:rsidRDefault="00DC1CD6" w:rsidP="001762E8"/>
    <w:p w:rsidR="001762E8" w:rsidRDefault="001762E8" w:rsidP="009D5B0E">
      <w:pPr>
        <w:pStyle w:val="Heading1"/>
        <w:rPr>
          <w:rFonts w:eastAsia="SimSun"/>
          <w:lang w:eastAsia="en-US"/>
        </w:rPr>
      </w:pPr>
      <w:r>
        <w:rPr>
          <w:rFonts w:eastAsia="SimSun"/>
          <w:lang w:eastAsia="en-US"/>
        </w:rPr>
        <w:t>Sponsor’s Comment</w:t>
      </w:r>
    </w:p>
    <w:p w:rsidR="001762E8" w:rsidRDefault="001762E8" w:rsidP="00F26945">
      <w:pPr>
        <w:pStyle w:val="ListParagraph"/>
        <w:rPr>
          <w:rFonts w:ascii="Arial" w:hAnsi="Arial" w:cs="Arial"/>
          <w:sz w:val="22"/>
          <w:szCs w:val="22"/>
        </w:rPr>
      </w:pPr>
    </w:p>
    <w:p w:rsidR="001762E8" w:rsidRPr="007F3953" w:rsidRDefault="001762E8" w:rsidP="00F26945">
      <w:pPr>
        <w:pStyle w:val="ListParagraph"/>
        <w:rPr>
          <w:rFonts w:ascii="Arial" w:hAnsi="Arial" w:cs="Arial"/>
          <w:sz w:val="22"/>
          <w:szCs w:val="22"/>
        </w:rPr>
      </w:pPr>
      <w:r>
        <w:rPr>
          <w:rFonts w:ascii="Arial" w:hAnsi="Arial" w:cs="Arial"/>
          <w:sz w:val="22"/>
          <w:szCs w:val="22"/>
        </w:rPr>
        <w:t xml:space="preserve">The sponsor had no comment. </w:t>
      </w:r>
    </w:p>
    <w:sectPr w:rsidR="001762E8" w:rsidRPr="007F395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73" w:rsidRDefault="003F2B73" w:rsidP="00F31FFD">
      <w:r>
        <w:separator/>
      </w:r>
    </w:p>
  </w:endnote>
  <w:endnote w:type="continuationSeparator" w:id="0">
    <w:p w:rsidR="003F2B73" w:rsidRDefault="003F2B73"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rFonts w:ascii="Arial" w:hAnsi="Arial" w:cs="Arial"/>
        <w:noProof/>
        <w:sz w:val="22"/>
      </w:rPr>
    </w:sdtEndPr>
    <w:sdtContent>
      <w:p w:rsidR="00F26945" w:rsidRDefault="00F26945" w:rsidP="00F26945">
        <w:pPr>
          <w:pStyle w:val="Footer"/>
          <w:jc w:val="center"/>
          <w:rPr>
            <w:rFonts w:ascii="Arial Narrow" w:hAnsi="Arial Narrow"/>
            <w:sz w:val="20"/>
            <w:szCs w:val="20"/>
          </w:rPr>
        </w:pPr>
      </w:p>
      <w:p w:rsidR="00F26945" w:rsidRDefault="00F26945" w:rsidP="00F26945">
        <w:pPr>
          <w:pStyle w:val="Footer"/>
          <w:jc w:val="center"/>
          <w:rPr>
            <w:rFonts w:ascii="Arial" w:hAnsi="Arial" w:cs="Arial"/>
            <w:noProof/>
            <w:sz w:val="22"/>
            <w:szCs w:val="20"/>
          </w:rPr>
        </w:pPr>
        <w:r w:rsidRPr="00AF2E29">
          <w:rPr>
            <w:rFonts w:ascii="Arial" w:hAnsi="Arial" w:cs="Arial"/>
            <w:sz w:val="22"/>
            <w:szCs w:val="20"/>
          </w:rPr>
          <w:fldChar w:fldCharType="begin"/>
        </w:r>
        <w:r w:rsidRPr="00AF2E29">
          <w:rPr>
            <w:rFonts w:ascii="Arial" w:hAnsi="Arial" w:cs="Arial"/>
            <w:sz w:val="22"/>
            <w:szCs w:val="20"/>
          </w:rPr>
          <w:instrText xml:space="preserve"> PAGE   \* MERGEFORMAT </w:instrText>
        </w:r>
        <w:r w:rsidRPr="00AF2E29">
          <w:rPr>
            <w:rFonts w:ascii="Arial" w:hAnsi="Arial" w:cs="Arial"/>
            <w:sz w:val="22"/>
            <w:szCs w:val="20"/>
          </w:rPr>
          <w:fldChar w:fldCharType="separate"/>
        </w:r>
        <w:r w:rsidR="00CE61C8">
          <w:rPr>
            <w:rFonts w:ascii="Arial" w:hAnsi="Arial" w:cs="Arial"/>
            <w:noProof/>
            <w:sz w:val="22"/>
            <w:szCs w:val="20"/>
          </w:rPr>
          <w:t>1</w:t>
        </w:r>
        <w:r w:rsidRPr="00AF2E29">
          <w:rPr>
            <w:rFonts w:ascii="Arial" w:hAnsi="Arial" w:cs="Arial"/>
            <w:noProof/>
            <w:sz w:val="22"/>
            <w:szCs w:val="20"/>
          </w:rPr>
          <w:fldChar w:fldCharType="end"/>
        </w:r>
      </w:p>
    </w:sdtContent>
  </w:sdt>
  <w:p w:rsidR="00F31FFD" w:rsidRDefault="00F3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73" w:rsidRDefault="003F2B73" w:rsidP="00F31FFD">
      <w:r>
        <w:separator/>
      </w:r>
    </w:p>
  </w:footnote>
  <w:footnote w:type="continuationSeparator" w:id="0">
    <w:p w:rsidR="003F2B73" w:rsidRDefault="003F2B73" w:rsidP="00F3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45" w:rsidRPr="00DF217D" w:rsidRDefault="002100CA" w:rsidP="00F26945">
    <w:pPr>
      <w:pStyle w:val="Header"/>
      <w:ind w:left="360"/>
      <w:jc w:val="center"/>
      <w:rPr>
        <w:rFonts w:ascii="Arial" w:hAnsi="Arial" w:cs="Arial"/>
        <w:i/>
        <w:color w:val="808080"/>
        <w:sz w:val="22"/>
      </w:rPr>
    </w:pPr>
    <w:r>
      <w:rPr>
        <w:rFonts w:ascii="Arial" w:hAnsi="Arial" w:cs="Arial"/>
        <w:i/>
        <w:color w:val="808080"/>
        <w:sz w:val="22"/>
      </w:rPr>
      <w:t>Public Summary Document</w:t>
    </w:r>
    <w:r w:rsidR="00F26945">
      <w:rPr>
        <w:rFonts w:ascii="Arial" w:hAnsi="Arial" w:cs="Arial"/>
        <w:i/>
        <w:color w:val="808080"/>
        <w:sz w:val="22"/>
      </w:rPr>
      <w:t xml:space="preserve"> </w:t>
    </w:r>
    <w:r w:rsidR="00F26945" w:rsidRPr="00DF217D">
      <w:rPr>
        <w:rFonts w:ascii="Arial" w:hAnsi="Arial" w:cs="Arial"/>
        <w:i/>
        <w:color w:val="808080"/>
        <w:sz w:val="22"/>
      </w:rPr>
      <w:t xml:space="preserve">– </w:t>
    </w:r>
    <w:r w:rsidR="00F26945">
      <w:rPr>
        <w:rFonts w:ascii="Arial" w:hAnsi="Arial" w:cs="Arial"/>
        <w:i/>
        <w:color w:val="808080"/>
        <w:sz w:val="22"/>
      </w:rPr>
      <w:t xml:space="preserve">November 2015 </w:t>
    </w:r>
    <w:r w:rsidR="00F26945" w:rsidRPr="00DF217D">
      <w:rPr>
        <w:rFonts w:ascii="Arial" w:hAnsi="Arial" w:cs="Arial"/>
        <w:i/>
        <w:color w:val="808080"/>
        <w:sz w:val="22"/>
      </w:rPr>
      <w:t>PBAC</w:t>
    </w:r>
    <w:r w:rsidR="00F26945">
      <w:rPr>
        <w:rFonts w:ascii="Arial" w:hAnsi="Arial" w:cs="Arial"/>
        <w:i/>
        <w:color w:val="808080"/>
        <w:sz w:val="22"/>
      </w:rPr>
      <w:t xml:space="preserve"> </w:t>
    </w:r>
    <w:r w:rsidR="00F26945" w:rsidRPr="00DF217D">
      <w:rPr>
        <w:rFonts w:ascii="Arial" w:hAnsi="Arial" w:cs="Arial"/>
        <w:i/>
        <w:color w:val="808080"/>
        <w:sz w:val="22"/>
      </w:rPr>
      <w:t>Meeting</w:t>
    </w:r>
  </w:p>
  <w:p w:rsidR="00F26945" w:rsidRDefault="00F26945" w:rsidP="00F26945">
    <w:pPr>
      <w:pStyle w:val="Header"/>
      <w:tabs>
        <w:tab w:val="center" w:pos="4693"/>
        <w:tab w:val="left" w:pos="6547"/>
      </w:tabs>
      <w:ind w:left="360"/>
      <w:jc w:val="center"/>
      <w:rPr>
        <w:rFonts w:ascii="Arial" w:hAnsi="Arial" w:cs="Arial"/>
        <w:i/>
        <w:color w:val="808080"/>
        <w:sz w:val="22"/>
      </w:rPr>
    </w:pPr>
  </w:p>
  <w:p w:rsidR="00F31FFD" w:rsidRPr="00F26945" w:rsidRDefault="00F31FFD" w:rsidP="00F26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4D033C"/>
    <w:multiLevelType w:val="multilevel"/>
    <w:tmpl w:val="8D36D73C"/>
    <w:lvl w:ilvl="0">
      <w:start w:val="1"/>
      <w:numFmt w:val="decimal"/>
      <w:pStyle w:val="Heading1"/>
      <w:lvlText w:val="%1"/>
      <w:lvlJc w:val="left"/>
      <w:pPr>
        <w:ind w:left="720" w:hanging="7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3652C"/>
    <w:rsid w:val="000A2E52"/>
    <w:rsid w:val="000F30B8"/>
    <w:rsid w:val="00133188"/>
    <w:rsid w:val="001762E8"/>
    <w:rsid w:val="002100CA"/>
    <w:rsid w:val="00246DF7"/>
    <w:rsid w:val="0038658B"/>
    <w:rsid w:val="003D4239"/>
    <w:rsid w:val="003F2B73"/>
    <w:rsid w:val="00447B31"/>
    <w:rsid w:val="0045232F"/>
    <w:rsid w:val="004C5951"/>
    <w:rsid w:val="004F691F"/>
    <w:rsid w:val="00596402"/>
    <w:rsid w:val="005D6F2A"/>
    <w:rsid w:val="006457A7"/>
    <w:rsid w:val="006728B5"/>
    <w:rsid w:val="00683AE0"/>
    <w:rsid w:val="00685B7D"/>
    <w:rsid w:val="006927A1"/>
    <w:rsid w:val="0071208D"/>
    <w:rsid w:val="007505AB"/>
    <w:rsid w:val="00795F43"/>
    <w:rsid w:val="00796FDD"/>
    <w:rsid w:val="007B18D0"/>
    <w:rsid w:val="007E7D09"/>
    <w:rsid w:val="007F3953"/>
    <w:rsid w:val="007F4E20"/>
    <w:rsid w:val="00807C1E"/>
    <w:rsid w:val="008374A2"/>
    <w:rsid w:val="00872473"/>
    <w:rsid w:val="009D5B0E"/>
    <w:rsid w:val="009D6B14"/>
    <w:rsid w:val="00AA0534"/>
    <w:rsid w:val="00AF26FA"/>
    <w:rsid w:val="00BA3C99"/>
    <w:rsid w:val="00CD369E"/>
    <w:rsid w:val="00CE61C8"/>
    <w:rsid w:val="00D4385D"/>
    <w:rsid w:val="00DC1CD6"/>
    <w:rsid w:val="00DC3016"/>
    <w:rsid w:val="00DE2C6B"/>
    <w:rsid w:val="00F26945"/>
    <w:rsid w:val="00F31FFD"/>
    <w:rsid w:val="00FD68B7"/>
    <w:rsid w:val="00FD7082"/>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Paragraph"/>
    <w:next w:val="Normal"/>
    <w:link w:val="Heading1Char"/>
    <w:uiPriority w:val="9"/>
    <w:qFormat/>
    <w:rsid w:val="009D5B0E"/>
    <w:pPr>
      <w:numPr>
        <w:numId w:val="5"/>
      </w:numPr>
      <w:jc w:val="both"/>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basedOn w:val="Normal"/>
    <w:link w:val="ListParagraphChar"/>
    <w:uiPriority w:val="72"/>
    <w:qFormat/>
    <w:rsid w:val="006457A7"/>
    <w:pPr>
      <w:ind w:left="720"/>
      <w:contextualSpacing/>
    </w:pPr>
  </w:style>
  <w:style w:type="character" w:customStyle="1" w:styleId="ListParagraphChar">
    <w:name w:val="List Paragraph Char"/>
    <w:basedOn w:val="DefaultParagraphFont"/>
    <w:link w:val="ListParagraph"/>
    <w:uiPriority w:val="72"/>
    <w:rsid w:val="00F26945"/>
    <w:rPr>
      <w:rFonts w:eastAsia="Times New Roman" w:cs="Times New Roman"/>
      <w:szCs w:val="24"/>
      <w:lang w:eastAsia="en-AU"/>
    </w:rPr>
  </w:style>
  <w:style w:type="paragraph" w:styleId="Title">
    <w:name w:val="Title"/>
    <w:basedOn w:val="Normal"/>
    <w:next w:val="Normal"/>
    <w:link w:val="TitleChar"/>
    <w:uiPriority w:val="10"/>
    <w:qFormat/>
    <w:rsid w:val="009D5B0E"/>
    <w:pPr>
      <w:ind w:left="720" w:hanging="720"/>
      <w:outlineLvl w:val="0"/>
    </w:pPr>
    <w:rPr>
      <w:rFonts w:ascii="Arial" w:hAnsi="Arial"/>
      <w:b/>
      <w:sz w:val="28"/>
      <w:szCs w:val="28"/>
    </w:rPr>
  </w:style>
  <w:style w:type="character" w:customStyle="1" w:styleId="TitleChar">
    <w:name w:val="Title Char"/>
    <w:basedOn w:val="DefaultParagraphFont"/>
    <w:link w:val="Title"/>
    <w:uiPriority w:val="10"/>
    <w:rsid w:val="009D5B0E"/>
    <w:rPr>
      <w:rFonts w:ascii="Arial" w:eastAsia="Times New Roman" w:hAnsi="Arial" w:cs="Times New Roman"/>
      <w:b/>
      <w:sz w:val="28"/>
      <w:szCs w:val="28"/>
      <w:lang w:eastAsia="en-AU"/>
    </w:rPr>
  </w:style>
  <w:style w:type="character" w:customStyle="1" w:styleId="Heading1Char">
    <w:name w:val="Heading 1 Char"/>
    <w:basedOn w:val="DefaultParagraphFont"/>
    <w:link w:val="Heading1"/>
    <w:uiPriority w:val="9"/>
    <w:rsid w:val="009D5B0E"/>
    <w:rPr>
      <w:rFonts w:ascii="Arial" w:eastAsia="Times New Roman" w:hAnsi="Arial" w:cs="Times New Roman"/>
      <w:b/>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Paragraph"/>
    <w:next w:val="Normal"/>
    <w:link w:val="Heading1Char"/>
    <w:uiPriority w:val="9"/>
    <w:qFormat/>
    <w:rsid w:val="009D5B0E"/>
    <w:pPr>
      <w:numPr>
        <w:numId w:val="5"/>
      </w:numPr>
      <w:jc w:val="both"/>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basedOn w:val="Normal"/>
    <w:link w:val="ListParagraphChar"/>
    <w:uiPriority w:val="72"/>
    <w:qFormat/>
    <w:rsid w:val="006457A7"/>
    <w:pPr>
      <w:ind w:left="720"/>
      <w:contextualSpacing/>
    </w:pPr>
  </w:style>
  <w:style w:type="character" w:customStyle="1" w:styleId="ListParagraphChar">
    <w:name w:val="List Paragraph Char"/>
    <w:basedOn w:val="DefaultParagraphFont"/>
    <w:link w:val="ListParagraph"/>
    <w:uiPriority w:val="72"/>
    <w:rsid w:val="00F26945"/>
    <w:rPr>
      <w:rFonts w:eastAsia="Times New Roman" w:cs="Times New Roman"/>
      <w:szCs w:val="24"/>
      <w:lang w:eastAsia="en-AU"/>
    </w:rPr>
  </w:style>
  <w:style w:type="paragraph" w:styleId="Title">
    <w:name w:val="Title"/>
    <w:basedOn w:val="Normal"/>
    <w:next w:val="Normal"/>
    <w:link w:val="TitleChar"/>
    <w:uiPriority w:val="10"/>
    <w:qFormat/>
    <w:rsid w:val="009D5B0E"/>
    <w:pPr>
      <w:ind w:left="720" w:hanging="720"/>
      <w:outlineLvl w:val="0"/>
    </w:pPr>
    <w:rPr>
      <w:rFonts w:ascii="Arial" w:hAnsi="Arial"/>
      <w:b/>
      <w:sz w:val="28"/>
      <w:szCs w:val="28"/>
    </w:rPr>
  </w:style>
  <w:style w:type="character" w:customStyle="1" w:styleId="TitleChar">
    <w:name w:val="Title Char"/>
    <w:basedOn w:val="DefaultParagraphFont"/>
    <w:link w:val="Title"/>
    <w:uiPriority w:val="10"/>
    <w:rsid w:val="009D5B0E"/>
    <w:rPr>
      <w:rFonts w:ascii="Arial" w:eastAsia="Times New Roman" w:hAnsi="Arial" w:cs="Times New Roman"/>
      <w:b/>
      <w:sz w:val="28"/>
      <w:szCs w:val="28"/>
      <w:lang w:eastAsia="en-AU"/>
    </w:rPr>
  </w:style>
  <w:style w:type="character" w:customStyle="1" w:styleId="Heading1Char">
    <w:name w:val="Heading 1 Char"/>
    <w:basedOn w:val="DefaultParagraphFont"/>
    <w:link w:val="Heading1"/>
    <w:uiPriority w:val="9"/>
    <w:rsid w:val="009D5B0E"/>
    <w:rPr>
      <w:rFonts w:ascii="Arial" w:eastAsia="Times New Roman" w:hAnsi="Arial" w:cs="Times New Roman"/>
      <w:b/>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3.01 glycopyrronium</vt:lpstr>
    </vt:vector>
  </TitlesOfParts>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 glycopyrronium</dc:title>
  <dc:creator/>
  <cp:lastModifiedBy/>
  <cp:revision>1</cp:revision>
  <dcterms:created xsi:type="dcterms:W3CDTF">2016-01-25T02:37:00Z</dcterms:created>
  <dcterms:modified xsi:type="dcterms:W3CDTF">2016-03-16T01:40:00Z</dcterms:modified>
</cp:coreProperties>
</file>