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851FEA" w:rsidRDefault="00D65B04" w:rsidP="00851FEA">
      <w:pPr>
        <w:pStyle w:val="Title"/>
      </w:pPr>
      <w:r w:rsidRPr="00851FEA">
        <w:t>7</w:t>
      </w:r>
      <w:r w:rsidR="0004240E" w:rsidRPr="00851FEA">
        <w:t>.</w:t>
      </w:r>
      <w:r w:rsidRPr="00851FEA">
        <w:t>12</w:t>
      </w:r>
      <w:r w:rsidR="007C0F57" w:rsidRPr="00851FEA">
        <w:tab/>
      </w:r>
      <w:r w:rsidR="002156AD" w:rsidRPr="00851FEA">
        <w:t>IVACAFTOR</w:t>
      </w:r>
    </w:p>
    <w:p w:rsidR="00C27B58" w:rsidRPr="00851FEA" w:rsidRDefault="002156AD" w:rsidP="00851FEA">
      <w:pPr>
        <w:pStyle w:val="Title"/>
        <w:ind w:firstLine="0"/>
      </w:pPr>
      <w:r w:rsidRPr="00851FEA">
        <w:t>tablet</w:t>
      </w:r>
      <w:r w:rsidR="0004240E" w:rsidRPr="00851FEA">
        <w:t xml:space="preserve">, </w:t>
      </w:r>
      <w:r w:rsidRPr="00851FEA">
        <w:t>150mg</w:t>
      </w:r>
      <w:r w:rsidR="0004240E" w:rsidRPr="00851FEA">
        <w:t>,</w:t>
      </w:r>
    </w:p>
    <w:p w:rsidR="00D3280C" w:rsidRPr="00851FEA" w:rsidRDefault="002156AD" w:rsidP="00851FEA">
      <w:pPr>
        <w:pStyle w:val="Title"/>
        <w:ind w:firstLine="0"/>
      </w:pPr>
      <w:r w:rsidRPr="00851FEA">
        <w:t>Kalydeco</w:t>
      </w:r>
      <w:r w:rsidR="0004240E" w:rsidRPr="00851FEA">
        <w:t>®</w:t>
      </w:r>
      <w:r w:rsidR="00EF44A0" w:rsidRPr="00851FEA">
        <w:t xml:space="preserve">, </w:t>
      </w:r>
      <w:r w:rsidRPr="00851FEA">
        <w:t>Vertex Pharmaceuticals</w:t>
      </w:r>
    </w:p>
    <w:p w:rsidR="00C27B58" w:rsidRDefault="00C27B58" w:rsidP="00851FEA">
      <w:pPr>
        <w:pStyle w:val="NoSpacing"/>
        <w:spacing w:line="480" w:lineRule="auto"/>
      </w:pPr>
    </w:p>
    <w:p w:rsidR="00CE10C4" w:rsidRPr="00882085" w:rsidRDefault="00CE10C4" w:rsidP="00851FEA">
      <w:pPr>
        <w:pStyle w:val="Heading1"/>
      </w:pPr>
      <w:bookmarkStart w:id="0" w:name="_GoBack"/>
      <w:bookmarkEnd w:id="0"/>
      <w:r w:rsidRPr="00882085">
        <w:t xml:space="preserve">Purpose of </w:t>
      </w:r>
      <w:r w:rsidR="002156AD" w:rsidRPr="00851FEA">
        <w:t>Item</w:t>
      </w:r>
    </w:p>
    <w:p w:rsidR="006A12A5" w:rsidRPr="00882085" w:rsidRDefault="006A12A5" w:rsidP="00882085">
      <w:pPr>
        <w:jc w:val="both"/>
        <w:rPr>
          <w:rFonts w:ascii="Arial" w:hAnsi="Arial"/>
          <w:sz w:val="22"/>
          <w:szCs w:val="22"/>
        </w:rPr>
      </w:pPr>
    </w:p>
    <w:p w:rsidR="00FE4A8A" w:rsidRPr="00FE4A8A" w:rsidRDefault="00AF156B" w:rsidP="006F3A4B">
      <w:pPr>
        <w:pStyle w:val="ListParagraph"/>
        <w:numPr>
          <w:ilvl w:val="1"/>
          <w:numId w:val="1"/>
        </w:numPr>
        <w:jc w:val="both"/>
        <w:rPr>
          <w:rFonts w:ascii="Arial" w:hAnsi="Arial"/>
          <w:b/>
          <w:sz w:val="22"/>
          <w:szCs w:val="22"/>
        </w:rPr>
      </w:pPr>
      <w:r>
        <w:rPr>
          <w:rFonts w:ascii="Arial" w:hAnsi="Arial"/>
          <w:sz w:val="22"/>
          <w:szCs w:val="22"/>
        </w:rPr>
        <w:t xml:space="preserve">This minor submission </w:t>
      </w:r>
      <w:r w:rsidR="002156AD">
        <w:rPr>
          <w:rFonts w:ascii="Arial" w:hAnsi="Arial"/>
          <w:sz w:val="22"/>
          <w:szCs w:val="22"/>
        </w:rPr>
        <w:t>provide</w:t>
      </w:r>
      <w:r w:rsidR="00E523AA">
        <w:rPr>
          <w:rFonts w:ascii="Arial" w:hAnsi="Arial"/>
          <w:sz w:val="22"/>
          <w:szCs w:val="22"/>
        </w:rPr>
        <w:t>d additional</w:t>
      </w:r>
      <w:r w:rsidR="002156AD">
        <w:rPr>
          <w:rFonts w:ascii="Arial" w:hAnsi="Arial"/>
          <w:sz w:val="22"/>
          <w:szCs w:val="22"/>
        </w:rPr>
        <w:t xml:space="preserve"> </w:t>
      </w:r>
      <w:r w:rsidR="002156AD" w:rsidRPr="002156AD">
        <w:rPr>
          <w:rFonts w:ascii="Arial" w:hAnsi="Arial"/>
          <w:sz w:val="22"/>
          <w:szCs w:val="22"/>
        </w:rPr>
        <w:t xml:space="preserve">efficacy and safety data </w:t>
      </w:r>
      <w:r w:rsidR="00646FB5">
        <w:rPr>
          <w:rFonts w:ascii="Arial" w:hAnsi="Arial"/>
          <w:sz w:val="22"/>
          <w:szCs w:val="22"/>
        </w:rPr>
        <w:t>on the use of</w:t>
      </w:r>
      <w:r w:rsidR="002156AD" w:rsidRPr="002156AD">
        <w:rPr>
          <w:rFonts w:ascii="Arial" w:hAnsi="Arial"/>
          <w:sz w:val="22"/>
          <w:szCs w:val="22"/>
        </w:rPr>
        <w:t xml:space="preserve"> ivacaftor </w:t>
      </w:r>
      <w:r w:rsidR="00B7204A">
        <w:rPr>
          <w:rFonts w:ascii="Arial" w:hAnsi="Arial"/>
          <w:sz w:val="22"/>
          <w:szCs w:val="22"/>
        </w:rPr>
        <w:t>for</w:t>
      </w:r>
      <w:r w:rsidR="002156AD" w:rsidRPr="002156AD">
        <w:rPr>
          <w:rFonts w:ascii="Arial" w:hAnsi="Arial"/>
          <w:sz w:val="22"/>
          <w:szCs w:val="22"/>
        </w:rPr>
        <w:t xml:space="preserve"> the treatment of cystic fibrosis (CF) in patients aged 6 years and older </w:t>
      </w:r>
      <w:r>
        <w:rPr>
          <w:rFonts w:ascii="Arial" w:hAnsi="Arial"/>
          <w:sz w:val="22"/>
          <w:szCs w:val="22"/>
        </w:rPr>
        <w:t>with</w:t>
      </w:r>
      <w:r w:rsidR="002156AD" w:rsidRPr="002156AD">
        <w:rPr>
          <w:rFonts w:ascii="Arial" w:hAnsi="Arial"/>
          <w:sz w:val="22"/>
          <w:szCs w:val="22"/>
        </w:rPr>
        <w:t xml:space="preserve"> a G551D or other gating (class III) mutation in the </w:t>
      </w:r>
      <w:r w:rsidR="00FA5648">
        <w:rPr>
          <w:rFonts w:ascii="Arial" w:hAnsi="Arial"/>
          <w:sz w:val="22"/>
          <w:szCs w:val="22"/>
        </w:rPr>
        <w:t>cystic fibrosis transmembrane conductance regulator</w:t>
      </w:r>
      <w:r w:rsidR="00FA5648" w:rsidRPr="002156AD">
        <w:rPr>
          <w:rFonts w:ascii="Arial" w:hAnsi="Arial"/>
          <w:sz w:val="22"/>
          <w:szCs w:val="22"/>
        </w:rPr>
        <w:t xml:space="preserve"> </w:t>
      </w:r>
      <w:r w:rsidR="00FA5648">
        <w:rPr>
          <w:rFonts w:ascii="Arial" w:hAnsi="Arial"/>
          <w:sz w:val="22"/>
          <w:szCs w:val="22"/>
        </w:rPr>
        <w:t>(</w:t>
      </w:r>
      <w:r w:rsidR="002156AD" w:rsidRPr="002156AD">
        <w:rPr>
          <w:rFonts w:ascii="Arial" w:hAnsi="Arial"/>
          <w:sz w:val="22"/>
          <w:szCs w:val="22"/>
        </w:rPr>
        <w:t>CFTR</w:t>
      </w:r>
      <w:r w:rsidR="00FA5648">
        <w:rPr>
          <w:rFonts w:ascii="Arial" w:hAnsi="Arial"/>
          <w:sz w:val="22"/>
          <w:szCs w:val="22"/>
        </w:rPr>
        <w:t>)</w:t>
      </w:r>
      <w:r w:rsidR="002156AD" w:rsidRPr="002156AD">
        <w:rPr>
          <w:rFonts w:ascii="Arial" w:hAnsi="Arial"/>
          <w:sz w:val="22"/>
          <w:szCs w:val="22"/>
        </w:rPr>
        <w:t xml:space="preserve"> gene </w:t>
      </w:r>
      <w:r>
        <w:rPr>
          <w:rFonts w:ascii="Arial" w:hAnsi="Arial"/>
          <w:sz w:val="22"/>
          <w:szCs w:val="22"/>
        </w:rPr>
        <w:t xml:space="preserve">who have </w:t>
      </w:r>
      <w:r w:rsidR="002156AD" w:rsidRPr="002156AD">
        <w:rPr>
          <w:rFonts w:ascii="Arial" w:hAnsi="Arial"/>
          <w:sz w:val="22"/>
          <w:szCs w:val="22"/>
        </w:rPr>
        <w:t>severe CF disease (</w:t>
      </w:r>
      <w:r w:rsidR="00B7204A">
        <w:rPr>
          <w:rFonts w:ascii="Arial" w:hAnsi="Arial"/>
          <w:sz w:val="22"/>
          <w:szCs w:val="22"/>
        </w:rPr>
        <w:t>f</w:t>
      </w:r>
      <w:r w:rsidR="00B7204A" w:rsidRPr="00B7204A">
        <w:rPr>
          <w:rFonts w:ascii="Arial" w:hAnsi="Arial"/>
          <w:sz w:val="22"/>
          <w:szCs w:val="22"/>
        </w:rPr>
        <w:t>orced expiratory volume in one second</w:t>
      </w:r>
      <w:r w:rsidR="00B7204A">
        <w:rPr>
          <w:rFonts w:ascii="Arial" w:hAnsi="Arial"/>
          <w:sz w:val="22"/>
          <w:szCs w:val="22"/>
        </w:rPr>
        <w:t xml:space="preserve"> (</w:t>
      </w:r>
      <w:r w:rsidR="00B7204A" w:rsidRPr="00B7204A">
        <w:rPr>
          <w:rFonts w:ascii="Arial" w:hAnsi="Arial"/>
          <w:sz w:val="22"/>
          <w:szCs w:val="22"/>
        </w:rPr>
        <w:t>FEV</w:t>
      </w:r>
      <w:r w:rsidR="00B7204A" w:rsidRPr="00B7204A">
        <w:rPr>
          <w:rFonts w:ascii="Arial" w:hAnsi="Arial"/>
          <w:sz w:val="22"/>
          <w:szCs w:val="22"/>
          <w:vertAlign w:val="subscript"/>
        </w:rPr>
        <w:t>1</w:t>
      </w:r>
      <w:r w:rsidR="00B7204A">
        <w:rPr>
          <w:rFonts w:ascii="Arial" w:hAnsi="Arial"/>
          <w:sz w:val="22"/>
          <w:szCs w:val="22"/>
        </w:rPr>
        <w:t xml:space="preserve">) </w:t>
      </w:r>
      <w:r w:rsidR="002156AD" w:rsidRPr="002156AD">
        <w:rPr>
          <w:rFonts w:ascii="Arial" w:hAnsi="Arial"/>
          <w:sz w:val="22"/>
          <w:szCs w:val="22"/>
        </w:rPr>
        <w:t>&lt;40% predicted)</w:t>
      </w:r>
      <w:r w:rsidR="00FF6466">
        <w:rPr>
          <w:rFonts w:ascii="Arial" w:hAnsi="Arial"/>
          <w:sz w:val="22"/>
          <w:szCs w:val="22"/>
        </w:rPr>
        <w:t>, as requested by the PBAC</w:t>
      </w:r>
      <w:r w:rsidR="002156AD" w:rsidRPr="002156AD">
        <w:rPr>
          <w:rFonts w:ascii="Arial" w:hAnsi="Arial"/>
          <w:sz w:val="22"/>
          <w:szCs w:val="22"/>
        </w:rPr>
        <w:t xml:space="preserve">. </w:t>
      </w:r>
      <w:r w:rsidR="00D91A17" w:rsidRPr="00D91A17">
        <w:rPr>
          <w:rFonts w:ascii="Arial" w:hAnsi="Arial"/>
          <w:sz w:val="22"/>
          <w:szCs w:val="22"/>
        </w:rPr>
        <w:t>Th</w:t>
      </w:r>
      <w:r>
        <w:rPr>
          <w:rFonts w:ascii="Arial" w:hAnsi="Arial"/>
          <w:sz w:val="22"/>
          <w:szCs w:val="22"/>
        </w:rPr>
        <w:t>e</w:t>
      </w:r>
      <w:r w:rsidR="00D91A17" w:rsidRPr="00D91A17">
        <w:rPr>
          <w:rFonts w:ascii="Arial" w:hAnsi="Arial"/>
          <w:sz w:val="22"/>
          <w:szCs w:val="22"/>
        </w:rPr>
        <w:t xml:space="preserve"> submission</w:t>
      </w:r>
      <w:r w:rsidR="00D91A17">
        <w:rPr>
          <w:rFonts w:ascii="Arial" w:hAnsi="Arial"/>
          <w:sz w:val="22"/>
          <w:szCs w:val="22"/>
        </w:rPr>
        <w:t xml:space="preserve"> stated that the clinical </w:t>
      </w:r>
      <w:r w:rsidR="007C1D4A">
        <w:rPr>
          <w:rFonts w:ascii="Arial" w:hAnsi="Arial"/>
          <w:sz w:val="22"/>
          <w:szCs w:val="22"/>
        </w:rPr>
        <w:t xml:space="preserve">evidence </w:t>
      </w:r>
      <w:r>
        <w:rPr>
          <w:rFonts w:ascii="Arial" w:hAnsi="Arial"/>
          <w:sz w:val="22"/>
          <w:szCs w:val="22"/>
        </w:rPr>
        <w:t xml:space="preserve">presented </w:t>
      </w:r>
      <w:r w:rsidR="007E01ED">
        <w:rPr>
          <w:rFonts w:ascii="Arial" w:hAnsi="Arial"/>
          <w:noProof/>
          <w:color w:val="000000"/>
          <w:sz w:val="22"/>
          <w:szCs w:val="22"/>
          <w:highlight w:val="black"/>
        </w:rPr>
        <w:t>'''''''''''''''''' '''''''' '''''''''''''''''''''''''''' '''' '''''''''''''''' ''''''' '''''''''''''''' ''''''''''' '''''''''''''''''' ''''''' '''''''''''''''''''' '''''''''' ''''''' ''''''''''''''''''''''''''''''''''''''' '''' '''''''''''''' ''''''''' '''''''''' '''''''''''</w:t>
      </w:r>
      <w:r w:rsidR="00D91A17" w:rsidRPr="00D91A17">
        <w:rPr>
          <w:rFonts w:ascii="Arial" w:hAnsi="Arial"/>
          <w:sz w:val="22"/>
          <w:szCs w:val="22"/>
        </w:rPr>
        <w:t>.</w:t>
      </w:r>
      <w:r w:rsidR="00FE4A8A" w:rsidRPr="00FE4A8A">
        <w:rPr>
          <w:rFonts w:ascii="Arial" w:hAnsi="Arial"/>
          <w:sz w:val="22"/>
          <w:szCs w:val="22"/>
        </w:rPr>
        <w:t xml:space="preserve"> </w:t>
      </w:r>
    </w:p>
    <w:p w:rsidR="00FE4A8A" w:rsidRPr="00FE4A8A" w:rsidRDefault="00FE4A8A" w:rsidP="00FE4A8A">
      <w:pPr>
        <w:pStyle w:val="ListParagraph"/>
        <w:jc w:val="both"/>
        <w:rPr>
          <w:rFonts w:ascii="Arial" w:hAnsi="Arial"/>
          <w:b/>
          <w:sz w:val="22"/>
          <w:szCs w:val="22"/>
        </w:rPr>
      </w:pPr>
    </w:p>
    <w:p w:rsidR="002156AD" w:rsidRPr="002C713F" w:rsidRDefault="00FE4A8A" w:rsidP="006F3A4B">
      <w:pPr>
        <w:pStyle w:val="ListParagraph"/>
        <w:numPr>
          <w:ilvl w:val="1"/>
          <w:numId w:val="1"/>
        </w:numPr>
        <w:jc w:val="both"/>
        <w:rPr>
          <w:rFonts w:ascii="Arial" w:hAnsi="Arial"/>
          <w:b/>
          <w:sz w:val="22"/>
          <w:szCs w:val="22"/>
        </w:rPr>
      </w:pPr>
      <w:r w:rsidRPr="002C713F">
        <w:rPr>
          <w:rFonts w:ascii="Arial" w:hAnsi="Arial"/>
          <w:sz w:val="22"/>
          <w:szCs w:val="22"/>
        </w:rPr>
        <w:t>While considering previous ivacaftor submissions, the PBAC noted that “limited evidence is available for ivacaftor in more severe patients; i.e. those with a predicted FEV</w:t>
      </w:r>
      <w:r w:rsidRPr="002C713F">
        <w:rPr>
          <w:rFonts w:ascii="Arial" w:hAnsi="Arial"/>
          <w:sz w:val="22"/>
          <w:szCs w:val="22"/>
          <w:vertAlign w:val="subscript"/>
        </w:rPr>
        <w:t>1</w:t>
      </w:r>
      <w:r w:rsidRPr="002C713F">
        <w:rPr>
          <w:rFonts w:ascii="Arial" w:hAnsi="Arial"/>
          <w:sz w:val="22"/>
          <w:szCs w:val="22"/>
        </w:rPr>
        <w:t xml:space="preserve">% of less than 40%” (p2, ivacaftor public summary document (PSD), November 2013 PBAC meeting). </w:t>
      </w:r>
      <w:r w:rsidR="007B6CE7" w:rsidRPr="002C713F">
        <w:rPr>
          <w:rFonts w:ascii="Arial" w:hAnsi="Arial"/>
          <w:sz w:val="22"/>
          <w:szCs w:val="22"/>
        </w:rPr>
        <w:t xml:space="preserve">The </w:t>
      </w:r>
      <w:r w:rsidR="00C31FCC" w:rsidRPr="002C713F">
        <w:rPr>
          <w:rFonts w:ascii="Arial" w:hAnsi="Arial"/>
          <w:sz w:val="22"/>
          <w:szCs w:val="22"/>
        </w:rPr>
        <w:t xml:space="preserve">populations </w:t>
      </w:r>
      <w:r w:rsidR="007C1D4A" w:rsidRPr="002C713F">
        <w:rPr>
          <w:rFonts w:ascii="Arial" w:hAnsi="Arial"/>
          <w:sz w:val="22"/>
          <w:szCs w:val="22"/>
        </w:rPr>
        <w:t>of</w:t>
      </w:r>
      <w:r w:rsidR="00C31FCC" w:rsidRPr="002C713F">
        <w:rPr>
          <w:rFonts w:ascii="Arial" w:hAnsi="Arial"/>
          <w:sz w:val="22"/>
          <w:szCs w:val="22"/>
        </w:rPr>
        <w:t xml:space="preserve"> the </w:t>
      </w:r>
      <w:r w:rsidR="007B6CE7" w:rsidRPr="002C713F">
        <w:rPr>
          <w:rFonts w:ascii="Arial" w:hAnsi="Arial"/>
          <w:sz w:val="22"/>
          <w:szCs w:val="22"/>
        </w:rPr>
        <w:t>key trials</w:t>
      </w:r>
      <w:r w:rsidR="007C1D4A" w:rsidRPr="002C713F">
        <w:rPr>
          <w:rFonts w:ascii="Arial" w:hAnsi="Arial"/>
          <w:sz w:val="22"/>
          <w:szCs w:val="22"/>
        </w:rPr>
        <w:t xml:space="preserve"> in previous submissions</w:t>
      </w:r>
      <w:r w:rsidR="007B6CE7" w:rsidRPr="002C713F">
        <w:rPr>
          <w:rFonts w:ascii="Arial" w:hAnsi="Arial"/>
          <w:sz w:val="22"/>
          <w:szCs w:val="22"/>
        </w:rPr>
        <w:t>, STRIVE</w:t>
      </w:r>
      <w:r w:rsidR="00EF731E" w:rsidRPr="002C713F">
        <w:rPr>
          <w:rFonts w:ascii="Arial" w:hAnsi="Arial"/>
          <w:sz w:val="22"/>
          <w:szCs w:val="22"/>
        </w:rPr>
        <w:t xml:space="preserve"> (G551D mutation)</w:t>
      </w:r>
      <w:r w:rsidR="007B6CE7" w:rsidRPr="002C713F">
        <w:rPr>
          <w:rFonts w:ascii="Arial" w:hAnsi="Arial"/>
          <w:sz w:val="22"/>
          <w:szCs w:val="22"/>
        </w:rPr>
        <w:t xml:space="preserve">, ENVISION </w:t>
      </w:r>
      <w:r w:rsidR="00EF731E" w:rsidRPr="002C713F">
        <w:rPr>
          <w:rFonts w:ascii="Arial" w:hAnsi="Arial"/>
          <w:sz w:val="22"/>
          <w:szCs w:val="22"/>
        </w:rPr>
        <w:t xml:space="preserve">(G551D mutation) </w:t>
      </w:r>
      <w:r w:rsidR="007B6CE7" w:rsidRPr="002C713F">
        <w:rPr>
          <w:rFonts w:ascii="Arial" w:hAnsi="Arial"/>
          <w:sz w:val="22"/>
          <w:szCs w:val="22"/>
        </w:rPr>
        <w:t>and KONNECTION</w:t>
      </w:r>
      <w:r w:rsidR="00EF731E" w:rsidRPr="002C713F">
        <w:rPr>
          <w:rFonts w:ascii="Arial" w:hAnsi="Arial"/>
          <w:sz w:val="22"/>
          <w:szCs w:val="22"/>
        </w:rPr>
        <w:t xml:space="preserve"> (non-G551D gating mutation)</w:t>
      </w:r>
      <w:r w:rsidR="007B6CE7" w:rsidRPr="002C713F">
        <w:rPr>
          <w:rFonts w:ascii="Arial" w:hAnsi="Arial"/>
          <w:sz w:val="22"/>
          <w:szCs w:val="22"/>
        </w:rPr>
        <w:t xml:space="preserve">, </w:t>
      </w:r>
      <w:r w:rsidR="00C31FCC" w:rsidRPr="002C713F">
        <w:rPr>
          <w:rFonts w:ascii="Arial" w:hAnsi="Arial"/>
          <w:sz w:val="22"/>
          <w:szCs w:val="22"/>
        </w:rPr>
        <w:t xml:space="preserve">were restricted to </w:t>
      </w:r>
      <w:r w:rsidR="007B6CE7" w:rsidRPr="002C713F">
        <w:rPr>
          <w:rFonts w:ascii="Arial" w:hAnsi="Arial"/>
          <w:sz w:val="22"/>
          <w:szCs w:val="22"/>
        </w:rPr>
        <w:t>patients with a FEV</w:t>
      </w:r>
      <w:r w:rsidR="007B6CE7" w:rsidRPr="002C713F">
        <w:rPr>
          <w:rFonts w:ascii="Arial" w:hAnsi="Arial"/>
          <w:sz w:val="22"/>
          <w:szCs w:val="22"/>
          <w:vertAlign w:val="subscript"/>
        </w:rPr>
        <w:t>1</w:t>
      </w:r>
      <w:r w:rsidR="007B6CE7" w:rsidRPr="002C713F">
        <w:rPr>
          <w:rFonts w:ascii="Arial" w:hAnsi="Arial"/>
          <w:sz w:val="22"/>
          <w:szCs w:val="22"/>
        </w:rPr>
        <w:t xml:space="preserve"> </w:t>
      </w:r>
      <w:r w:rsidR="00C31FCC" w:rsidRPr="002C713F">
        <w:rPr>
          <w:rFonts w:ascii="Arial" w:hAnsi="Arial" w:cs="Arial"/>
          <w:sz w:val="22"/>
          <w:szCs w:val="22"/>
        </w:rPr>
        <w:t>≥</w:t>
      </w:r>
      <w:r w:rsidR="007B6CE7" w:rsidRPr="002C713F">
        <w:rPr>
          <w:rFonts w:ascii="Arial" w:hAnsi="Arial"/>
          <w:sz w:val="22"/>
          <w:szCs w:val="22"/>
        </w:rPr>
        <w:t>40% predicted at screening</w:t>
      </w:r>
      <w:r w:rsidR="00C31FCC" w:rsidRPr="002C713F">
        <w:rPr>
          <w:rFonts w:ascii="Arial" w:hAnsi="Arial"/>
          <w:sz w:val="22"/>
          <w:szCs w:val="22"/>
        </w:rPr>
        <w:t xml:space="preserve">. </w:t>
      </w:r>
    </w:p>
    <w:p w:rsidR="00F9629A" w:rsidRDefault="00F9629A" w:rsidP="00851FEA">
      <w:pPr>
        <w:pStyle w:val="NoSpacing"/>
        <w:spacing w:line="480" w:lineRule="auto"/>
      </w:pPr>
    </w:p>
    <w:p w:rsidR="00450720" w:rsidRPr="00882085" w:rsidRDefault="00450720" w:rsidP="00851FEA">
      <w:pPr>
        <w:pStyle w:val="Heading1"/>
      </w:pPr>
      <w:r w:rsidRPr="00882085">
        <w:t>Requested listing</w:t>
      </w:r>
    </w:p>
    <w:p w:rsidR="00EF44A0" w:rsidRDefault="00EF44A0" w:rsidP="00450720">
      <w:pPr>
        <w:pStyle w:val="NoSpacing"/>
        <w:ind w:left="709"/>
      </w:pPr>
    </w:p>
    <w:p w:rsidR="00450720" w:rsidRPr="00826F6D" w:rsidRDefault="00450720" w:rsidP="006F3A4B">
      <w:pPr>
        <w:pStyle w:val="ListParagraph"/>
        <w:numPr>
          <w:ilvl w:val="1"/>
          <w:numId w:val="1"/>
        </w:numPr>
        <w:jc w:val="both"/>
        <w:rPr>
          <w:rFonts w:ascii="Arial" w:hAnsi="Arial"/>
          <w:sz w:val="22"/>
          <w:szCs w:val="22"/>
        </w:rPr>
      </w:pPr>
      <w:r>
        <w:rPr>
          <w:rFonts w:ascii="Arial" w:hAnsi="Arial"/>
          <w:sz w:val="22"/>
          <w:szCs w:val="22"/>
        </w:rPr>
        <w:t xml:space="preserve">The submission did not seek a new listing for ivacaftor. </w:t>
      </w:r>
    </w:p>
    <w:p w:rsidR="004C7EF9" w:rsidRPr="004E4CE1" w:rsidRDefault="004C7EF9" w:rsidP="00851FEA">
      <w:pPr>
        <w:spacing w:line="480" w:lineRule="auto"/>
        <w:rPr>
          <w:rFonts w:ascii="Arial" w:hAnsi="Arial"/>
          <w:sz w:val="22"/>
          <w:szCs w:val="22"/>
        </w:rPr>
      </w:pPr>
    </w:p>
    <w:p w:rsidR="00CE10C4" w:rsidRPr="00882085" w:rsidRDefault="00CE10C4" w:rsidP="00851FEA">
      <w:pPr>
        <w:pStyle w:val="Heading1"/>
      </w:pPr>
      <w:r w:rsidRPr="00882085">
        <w:t>Background</w:t>
      </w:r>
    </w:p>
    <w:p w:rsidR="006A12A5" w:rsidRPr="00882085" w:rsidRDefault="006A12A5" w:rsidP="00882085">
      <w:pPr>
        <w:jc w:val="both"/>
        <w:rPr>
          <w:rFonts w:ascii="Arial" w:hAnsi="Arial"/>
          <w:sz w:val="22"/>
          <w:szCs w:val="22"/>
        </w:rPr>
      </w:pPr>
    </w:p>
    <w:p w:rsidR="002B1AE6" w:rsidRPr="004F798B" w:rsidRDefault="007D6F15" w:rsidP="007D6F15">
      <w:pPr>
        <w:pStyle w:val="ListParagraph"/>
        <w:numPr>
          <w:ilvl w:val="1"/>
          <w:numId w:val="1"/>
        </w:numPr>
        <w:jc w:val="both"/>
        <w:rPr>
          <w:rFonts w:ascii="Arial" w:hAnsi="Arial"/>
          <w:i/>
          <w:sz w:val="22"/>
          <w:szCs w:val="22"/>
        </w:rPr>
      </w:pPr>
      <w:r>
        <w:rPr>
          <w:rFonts w:ascii="Arial" w:hAnsi="Arial"/>
          <w:sz w:val="22"/>
          <w:szCs w:val="22"/>
        </w:rPr>
        <w:t>Ivacaftor</w:t>
      </w:r>
      <w:r w:rsidR="00476245" w:rsidRPr="004F798B">
        <w:rPr>
          <w:rFonts w:ascii="Arial" w:hAnsi="Arial"/>
          <w:sz w:val="22"/>
          <w:szCs w:val="22"/>
        </w:rPr>
        <w:t xml:space="preserve"> </w:t>
      </w:r>
      <w:r>
        <w:rPr>
          <w:rFonts w:ascii="Arial" w:hAnsi="Arial"/>
          <w:sz w:val="22"/>
          <w:szCs w:val="22"/>
        </w:rPr>
        <w:t xml:space="preserve">was </w:t>
      </w:r>
      <w:r w:rsidRPr="007D6F15">
        <w:rPr>
          <w:rFonts w:ascii="Arial" w:hAnsi="Arial"/>
          <w:sz w:val="22"/>
          <w:szCs w:val="22"/>
        </w:rPr>
        <w:t>listed on the Australian Register of Therapeutic Goods (ARTG)</w:t>
      </w:r>
      <w:r>
        <w:rPr>
          <w:rFonts w:ascii="Arial" w:hAnsi="Arial"/>
          <w:sz w:val="22"/>
          <w:szCs w:val="22"/>
        </w:rPr>
        <w:t xml:space="preserve"> o</w:t>
      </w:r>
      <w:r w:rsidR="004F798B">
        <w:rPr>
          <w:rFonts w:ascii="Arial" w:hAnsi="Arial"/>
          <w:sz w:val="22"/>
          <w:szCs w:val="22"/>
        </w:rPr>
        <w:t>n 14</w:t>
      </w:r>
      <w:r w:rsidR="004F798B" w:rsidRPr="004F798B">
        <w:rPr>
          <w:rFonts w:ascii="Arial" w:hAnsi="Arial"/>
          <w:sz w:val="22"/>
          <w:szCs w:val="22"/>
          <w:vertAlign w:val="superscript"/>
        </w:rPr>
        <w:t>th</w:t>
      </w:r>
      <w:r w:rsidR="004F798B">
        <w:rPr>
          <w:rFonts w:ascii="Arial" w:hAnsi="Arial"/>
          <w:sz w:val="22"/>
          <w:szCs w:val="22"/>
        </w:rPr>
        <w:t xml:space="preserve"> August 2014 </w:t>
      </w:r>
      <w:r w:rsidR="00476245" w:rsidRPr="004F798B">
        <w:rPr>
          <w:rFonts w:ascii="Arial" w:hAnsi="Arial"/>
          <w:sz w:val="22"/>
          <w:szCs w:val="22"/>
        </w:rPr>
        <w:t>for</w:t>
      </w:r>
      <w:r w:rsidR="004F798B" w:rsidRPr="004F798B">
        <w:rPr>
          <w:rFonts w:ascii="Arial" w:hAnsi="Arial"/>
          <w:sz w:val="22"/>
          <w:szCs w:val="22"/>
        </w:rPr>
        <w:t xml:space="preserve"> the treatment of CF in patients age 6 years and</w:t>
      </w:r>
      <w:r w:rsidR="004F798B">
        <w:rPr>
          <w:rFonts w:ascii="Arial" w:hAnsi="Arial"/>
          <w:sz w:val="22"/>
          <w:szCs w:val="22"/>
        </w:rPr>
        <w:t xml:space="preserve"> </w:t>
      </w:r>
      <w:r w:rsidR="004F798B" w:rsidRPr="004F798B">
        <w:rPr>
          <w:rFonts w:ascii="Arial" w:hAnsi="Arial"/>
          <w:sz w:val="22"/>
          <w:szCs w:val="22"/>
        </w:rPr>
        <w:t>older who have a G551D or other gating (class III) mutation in the CFTR gene</w:t>
      </w:r>
      <w:r w:rsidR="004F798B">
        <w:rPr>
          <w:rFonts w:ascii="Arial" w:hAnsi="Arial"/>
          <w:sz w:val="22"/>
          <w:szCs w:val="22"/>
        </w:rPr>
        <w:t xml:space="preserve">. </w:t>
      </w:r>
      <w:r w:rsidR="004F798B" w:rsidRPr="004F798B">
        <w:rPr>
          <w:rFonts w:ascii="Arial" w:hAnsi="Arial"/>
          <w:sz w:val="22"/>
          <w:szCs w:val="22"/>
        </w:rPr>
        <w:t xml:space="preserve">Before this date, ivacaftor was registered </w:t>
      </w:r>
      <w:r>
        <w:rPr>
          <w:rFonts w:ascii="Arial" w:hAnsi="Arial"/>
          <w:sz w:val="22"/>
          <w:szCs w:val="22"/>
        </w:rPr>
        <w:t xml:space="preserve">with the </w:t>
      </w:r>
      <w:r w:rsidRPr="007D6F15">
        <w:rPr>
          <w:rFonts w:ascii="Arial" w:hAnsi="Arial"/>
          <w:sz w:val="22"/>
          <w:szCs w:val="22"/>
        </w:rPr>
        <w:t>Therapeutic Goods Administration</w:t>
      </w:r>
      <w:r>
        <w:rPr>
          <w:rFonts w:ascii="Arial" w:hAnsi="Arial"/>
          <w:sz w:val="22"/>
          <w:szCs w:val="22"/>
        </w:rPr>
        <w:t xml:space="preserve"> (</w:t>
      </w:r>
      <w:r w:rsidRPr="004F798B">
        <w:rPr>
          <w:rFonts w:ascii="Arial" w:hAnsi="Arial"/>
          <w:sz w:val="22"/>
          <w:szCs w:val="22"/>
        </w:rPr>
        <w:t>TGA</w:t>
      </w:r>
      <w:r>
        <w:rPr>
          <w:rFonts w:ascii="Arial" w:hAnsi="Arial"/>
          <w:sz w:val="22"/>
          <w:szCs w:val="22"/>
        </w:rPr>
        <w:t>)</w:t>
      </w:r>
      <w:r w:rsidRPr="004F798B">
        <w:rPr>
          <w:rFonts w:ascii="Arial" w:hAnsi="Arial"/>
          <w:sz w:val="22"/>
          <w:szCs w:val="22"/>
        </w:rPr>
        <w:t xml:space="preserve"> </w:t>
      </w:r>
      <w:r w:rsidR="004F798B" w:rsidRPr="004F798B">
        <w:rPr>
          <w:rFonts w:ascii="Arial" w:hAnsi="Arial"/>
          <w:sz w:val="22"/>
          <w:szCs w:val="22"/>
        </w:rPr>
        <w:t xml:space="preserve">for the treatment of </w:t>
      </w:r>
      <w:r w:rsidR="004F798B">
        <w:rPr>
          <w:rFonts w:ascii="Arial" w:hAnsi="Arial"/>
          <w:sz w:val="22"/>
          <w:szCs w:val="22"/>
        </w:rPr>
        <w:t>CF</w:t>
      </w:r>
      <w:r w:rsidR="004F798B" w:rsidRPr="004F798B">
        <w:rPr>
          <w:rFonts w:ascii="Arial" w:hAnsi="Arial"/>
          <w:sz w:val="22"/>
          <w:szCs w:val="22"/>
        </w:rPr>
        <w:t xml:space="preserve"> in patients age 6 years and older who have a G551D mutation in the CFTR gene.</w:t>
      </w:r>
    </w:p>
    <w:p w:rsidR="006B0D94" w:rsidRPr="00882085" w:rsidRDefault="006B0D94" w:rsidP="00882085">
      <w:pPr>
        <w:pStyle w:val="ListParagraph"/>
        <w:jc w:val="both"/>
        <w:rPr>
          <w:rFonts w:ascii="Arial" w:hAnsi="Arial"/>
          <w:sz w:val="22"/>
          <w:szCs w:val="22"/>
        </w:rPr>
      </w:pPr>
    </w:p>
    <w:p w:rsidR="004F798B" w:rsidRDefault="007D6F15" w:rsidP="006F3A4B">
      <w:pPr>
        <w:pStyle w:val="ListParagraph"/>
        <w:numPr>
          <w:ilvl w:val="1"/>
          <w:numId w:val="1"/>
        </w:numPr>
        <w:jc w:val="both"/>
        <w:rPr>
          <w:rFonts w:ascii="Arial" w:hAnsi="Arial"/>
          <w:sz w:val="22"/>
          <w:szCs w:val="22"/>
        </w:rPr>
      </w:pPr>
      <w:r>
        <w:rPr>
          <w:rFonts w:ascii="Arial" w:hAnsi="Arial"/>
          <w:sz w:val="22"/>
          <w:szCs w:val="22"/>
        </w:rPr>
        <w:t>At the July 2013 meeting, t</w:t>
      </w:r>
      <w:r w:rsidR="004F798B" w:rsidRPr="004F798B">
        <w:rPr>
          <w:rFonts w:ascii="Arial" w:hAnsi="Arial"/>
          <w:sz w:val="22"/>
          <w:szCs w:val="22"/>
        </w:rPr>
        <w:t xml:space="preserve">he PBAC considered a major submission for ivacaftor </w:t>
      </w:r>
      <w:r w:rsidR="00572AF0">
        <w:rPr>
          <w:rFonts w:ascii="Arial" w:hAnsi="Arial"/>
          <w:sz w:val="22"/>
          <w:szCs w:val="22"/>
        </w:rPr>
        <w:t>which sought a listing for treatment of CF patients aged 6 years and older who have a G551D mutation in the CFTR gene</w:t>
      </w:r>
      <w:r w:rsidR="004F798B" w:rsidRPr="004F798B">
        <w:rPr>
          <w:rFonts w:ascii="Arial" w:hAnsi="Arial"/>
          <w:sz w:val="22"/>
          <w:szCs w:val="22"/>
        </w:rPr>
        <w:t xml:space="preserve">. The PBAC noted that it </w:t>
      </w:r>
      <w:r w:rsidR="004F798B">
        <w:rPr>
          <w:rFonts w:ascii="Arial" w:hAnsi="Arial"/>
          <w:sz w:val="22"/>
          <w:szCs w:val="22"/>
        </w:rPr>
        <w:t>might</w:t>
      </w:r>
      <w:r w:rsidR="004F798B" w:rsidRPr="004F798B">
        <w:rPr>
          <w:rFonts w:ascii="Arial" w:hAnsi="Arial"/>
          <w:sz w:val="22"/>
          <w:szCs w:val="22"/>
        </w:rPr>
        <w:t xml:space="preserve"> be possible to reduce the dose of ivacaftor in clinical practice by co-administering ivacaftor with a strong CYP3A inhibitor</w:t>
      </w:r>
      <w:r w:rsidR="0015424C">
        <w:rPr>
          <w:rFonts w:ascii="Arial" w:hAnsi="Arial"/>
          <w:sz w:val="22"/>
          <w:szCs w:val="22"/>
        </w:rPr>
        <w:t xml:space="preserve">. But </w:t>
      </w:r>
      <w:r w:rsidR="004F798B" w:rsidRPr="004F798B">
        <w:rPr>
          <w:rFonts w:ascii="Arial" w:hAnsi="Arial"/>
          <w:sz w:val="22"/>
          <w:szCs w:val="22"/>
        </w:rPr>
        <w:t xml:space="preserve">even with a dose reduction, the cost per </w:t>
      </w:r>
      <w:r w:rsidR="004F798B">
        <w:rPr>
          <w:rFonts w:ascii="Arial" w:hAnsi="Arial"/>
          <w:sz w:val="22"/>
          <w:szCs w:val="22"/>
        </w:rPr>
        <w:t>quality-adjusted life-year (</w:t>
      </w:r>
      <w:r w:rsidR="004F798B" w:rsidRPr="004F798B">
        <w:rPr>
          <w:rFonts w:ascii="Arial" w:hAnsi="Arial"/>
          <w:sz w:val="22"/>
          <w:szCs w:val="22"/>
        </w:rPr>
        <w:t>QALY</w:t>
      </w:r>
      <w:r w:rsidR="004F798B">
        <w:rPr>
          <w:rFonts w:ascii="Arial" w:hAnsi="Arial"/>
          <w:sz w:val="22"/>
          <w:szCs w:val="22"/>
        </w:rPr>
        <w:t>)</w:t>
      </w:r>
      <w:r w:rsidR="004F798B" w:rsidRPr="004F798B">
        <w:rPr>
          <w:rFonts w:ascii="Arial" w:hAnsi="Arial"/>
          <w:sz w:val="22"/>
          <w:szCs w:val="22"/>
        </w:rPr>
        <w:t xml:space="preserve"> would remain too high. The PBAC decided to defer</w:t>
      </w:r>
      <w:r w:rsidR="004F798B">
        <w:rPr>
          <w:rFonts w:ascii="Arial" w:hAnsi="Arial"/>
          <w:sz w:val="22"/>
          <w:szCs w:val="22"/>
        </w:rPr>
        <w:t xml:space="preserve"> </w:t>
      </w:r>
      <w:r w:rsidR="004F798B" w:rsidRPr="004F798B">
        <w:rPr>
          <w:rFonts w:ascii="Arial" w:hAnsi="Arial"/>
          <w:sz w:val="22"/>
          <w:szCs w:val="22"/>
        </w:rPr>
        <w:t>making a recommendation to allow the sponsor to consider the Committee’s views and to submit a new price proposal for PBS listing</w:t>
      </w:r>
      <w:r w:rsidR="002E2B69">
        <w:rPr>
          <w:rFonts w:ascii="Arial" w:hAnsi="Arial"/>
          <w:sz w:val="22"/>
          <w:szCs w:val="22"/>
        </w:rPr>
        <w:t xml:space="preserve"> (Ivacaftor PSD, July 2013 PBAC meeting)</w:t>
      </w:r>
      <w:r w:rsidR="004F798B" w:rsidRPr="004F798B">
        <w:rPr>
          <w:rFonts w:ascii="Arial" w:hAnsi="Arial"/>
          <w:sz w:val="22"/>
          <w:szCs w:val="22"/>
        </w:rPr>
        <w:t>.</w:t>
      </w:r>
      <w:r w:rsidR="00D91A17" w:rsidRPr="00D91A17">
        <w:rPr>
          <w:rFonts w:ascii="Arial" w:hAnsi="Arial"/>
          <w:sz w:val="22"/>
          <w:szCs w:val="22"/>
        </w:rPr>
        <w:t xml:space="preserve"> </w:t>
      </w:r>
    </w:p>
    <w:p w:rsidR="004F798B" w:rsidRPr="004F798B" w:rsidRDefault="004F798B" w:rsidP="004F798B">
      <w:pPr>
        <w:pStyle w:val="ListParagraph"/>
        <w:rPr>
          <w:rFonts w:ascii="Arial" w:hAnsi="Arial"/>
          <w:sz w:val="22"/>
          <w:szCs w:val="22"/>
        </w:rPr>
      </w:pPr>
    </w:p>
    <w:p w:rsidR="006E3C6E" w:rsidRPr="00B146A7" w:rsidRDefault="007B6CE7" w:rsidP="00C1331B">
      <w:pPr>
        <w:pStyle w:val="ListParagraph"/>
        <w:numPr>
          <w:ilvl w:val="1"/>
          <w:numId w:val="1"/>
        </w:numPr>
        <w:jc w:val="both"/>
        <w:rPr>
          <w:rFonts w:ascii="Arial" w:hAnsi="Arial"/>
          <w:sz w:val="22"/>
          <w:szCs w:val="22"/>
        </w:rPr>
      </w:pPr>
      <w:r w:rsidRPr="006E3C6E">
        <w:rPr>
          <w:rFonts w:ascii="Arial" w:hAnsi="Arial"/>
          <w:sz w:val="22"/>
          <w:szCs w:val="22"/>
        </w:rPr>
        <w:t xml:space="preserve">A minor submission was considered at the November 2013 meeting. </w:t>
      </w:r>
      <w:r w:rsidR="00F552EB" w:rsidRPr="006E3C6E">
        <w:rPr>
          <w:rFonts w:ascii="Arial" w:hAnsi="Arial"/>
          <w:sz w:val="22"/>
          <w:szCs w:val="22"/>
        </w:rPr>
        <w:t xml:space="preserve">The PBAC considered the sponsor’s arguments and concluded that the current data about the </w:t>
      </w:r>
      <w:r w:rsidR="00F552EB" w:rsidRPr="006E3C6E">
        <w:rPr>
          <w:rFonts w:ascii="Arial" w:hAnsi="Arial"/>
          <w:sz w:val="22"/>
          <w:szCs w:val="22"/>
        </w:rPr>
        <w:lastRenderedPageBreak/>
        <w:t xml:space="preserve">dose of ivacaftor when used with other CYP3A4 inhibitors </w:t>
      </w:r>
      <w:r w:rsidRPr="006E3C6E">
        <w:rPr>
          <w:rFonts w:ascii="Arial" w:hAnsi="Arial"/>
          <w:sz w:val="22"/>
          <w:szCs w:val="22"/>
        </w:rPr>
        <w:t>(</w:t>
      </w:r>
      <w:r w:rsidRPr="006E3C6E">
        <w:rPr>
          <w:rFonts w:ascii="Arial" w:hAnsi="Arial"/>
          <w:i/>
          <w:sz w:val="22"/>
          <w:szCs w:val="22"/>
        </w:rPr>
        <w:t>e</w:t>
      </w:r>
      <w:r w:rsidR="00BE64D8">
        <w:rPr>
          <w:rFonts w:ascii="Arial" w:hAnsi="Arial"/>
          <w:i/>
          <w:sz w:val="22"/>
          <w:szCs w:val="22"/>
        </w:rPr>
        <w:t>.</w:t>
      </w:r>
      <w:r w:rsidRPr="006E3C6E">
        <w:rPr>
          <w:rFonts w:ascii="Arial" w:hAnsi="Arial"/>
          <w:i/>
          <w:sz w:val="22"/>
          <w:szCs w:val="22"/>
        </w:rPr>
        <w:t>g</w:t>
      </w:r>
      <w:r w:rsidR="00BE64D8">
        <w:rPr>
          <w:rFonts w:ascii="Arial" w:hAnsi="Arial"/>
          <w:i/>
          <w:sz w:val="22"/>
          <w:szCs w:val="22"/>
        </w:rPr>
        <w:t>.</w:t>
      </w:r>
      <w:r w:rsidRPr="006E3C6E">
        <w:rPr>
          <w:rFonts w:ascii="Arial" w:hAnsi="Arial"/>
          <w:i/>
          <w:sz w:val="22"/>
          <w:szCs w:val="22"/>
        </w:rPr>
        <w:t xml:space="preserve"> </w:t>
      </w:r>
      <w:r w:rsidRPr="006E3C6E">
        <w:rPr>
          <w:rFonts w:ascii="Arial" w:hAnsi="Arial"/>
          <w:sz w:val="22"/>
          <w:szCs w:val="22"/>
        </w:rPr>
        <w:t xml:space="preserve">macrolide antibiotics) </w:t>
      </w:r>
      <w:r w:rsidR="00271223">
        <w:rPr>
          <w:rFonts w:ascii="Arial" w:hAnsi="Arial"/>
          <w:sz w:val="22"/>
          <w:szCs w:val="22"/>
        </w:rPr>
        <w:t>was</w:t>
      </w:r>
      <w:r w:rsidR="00271223" w:rsidRPr="006E3C6E">
        <w:rPr>
          <w:rFonts w:ascii="Arial" w:hAnsi="Arial"/>
          <w:sz w:val="22"/>
          <w:szCs w:val="22"/>
        </w:rPr>
        <w:t xml:space="preserve"> </w:t>
      </w:r>
      <w:r w:rsidR="00F552EB" w:rsidRPr="006E3C6E">
        <w:rPr>
          <w:rFonts w:ascii="Arial" w:hAnsi="Arial"/>
          <w:sz w:val="22"/>
          <w:szCs w:val="22"/>
        </w:rPr>
        <w:t>limited and would therefore not support, at this point in time, a PBS restriction in which a subsidy would only be provided for ivacaftor if used with a booster-like regimen.</w:t>
      </w:r>
      <w:r w:rsidRPr="006E3C6E">
        <w:rPr>
          <w:rFonts w:ascii="Arial" w:hAnsi="Arial"/>
          <w:sz w:val="22"/>
          <w:szCs w:val="22"/>
        </w:rPr>
        <w:t xml:space="preserve"> </w:t>
      </w:r>
      <w:r w:rsidR="00572AF0" w:rsidRPr="006E3C6E">
        <w:rPr>
          <w:rFonts w:ascii="Arial" w:hAnsi="Arial"/>
          <w:sz w:val="22"/>
          <w:szCs w:val="22"/>
        </w:rPr>
        <w:t xml:space="preserve">The PBAC recommended the listing of ivacaftor for treatment of CF patients aged 6 years or </w:t>
      </w:r>
      <w:r w:rsidR="00FE4A8A" w:rsidRPr="006E3C6E">
        <w:rPr>
          <w:rFonts w:ascii="Arial" w:hAnsi="Arial"/>
          <w:sz w:val="22"/>
          <w:szCs w:val="22"/>
        </w:rPr>
        <w:t>older who have a G551D mutation</w:t>
      </w:r>
      <w:r w:rsidR="00572AF0" w:rsidRPr="006E3C6E">
        <w:rPr>
          <w:rFonts w:ascii="Arial" w:hAnsi="Arial"/>
          <w:sz w:val="22"/>
          <w:szCs w:val="22"/>
        </w:rPr>
        <w:t xml:space="preserve">. The PBAC expressed the view that ivacaftor would not be cost-effective under the sponsor’s pricing proposal. The PBAC considered that the cost-effectiveness of ivacaftor would be acceptable if the incremental cost-effectiveness ratio (ICER) </w:t>
      </w:r>
      <w:r w:rsidR="00271223">
        <w:rPr>
          <w:rFonts w:ascii="Arial" w:hAnsi="Arial"/>
          <w:sz w:val="22"/>
          <w:szCs w:val="22"/>
        </w:rPr>
        <w:t>was between</w:t>
      </w:r>
      <w:r w:rsidR="00572AF0" w:rsidRPr="006E3C6E">
        <w:rPr>
          <w:rFonts w:ascii="Arial" w:hAnsi="Arial"/>
          <w:sz w:val="22"/>
          <w:szCs w:val="22"/>
        </w:rPr>
        <w:t xml:space="preserve"> $</w:t>
      </w:r>
      <w:r w:rsidR="00572AF0" w:rsidRPr="00D47E73">
        <w:rPr>
          <w:rFonts w:ascii="Arial" w:hAnsi="Arial"/>
          <w:sz w:val="22"/>
          <w:szCs w:val="22"/>
        </w:rPr>
        <w:t>60,000-80,000</w:t>
      </w:r>
      <w:r w:rsidR="00572AF0" w:rsidRPr="006E3C6E">
        <w:rPr>
          <w:rFonts w:ascii="Arial" w:hAnsi="Arial"/>
          <w:sz w:val="22"/>
          <w:szCs w:val="22"/>
        </w:rPr>
        <w:t xml:space="preserve"> per </w:t>
      </w:r>
      <w:r w:rsidR="00271223">
        <w:rPr>
          <w:rFonts w:ascii="Arial" w:hAnsi="Arial"/>
          <w:sz w:val="22"/>
          <w:szCs w:val="22"/>
        </w:rPr>
        <w:t xml:space="preserve">QALY </w:t>
      </w:r>
      <w:r w:rsidR="00572AF0" w:rsidRPr="006E3C6E">
        <w:rPr>
          <w:rFonts w:ascii="Arial" w:hAnsi="Arial"/>
          <w:sz w:val="22"/>
          <w:szCs w:val="22"/>
        </w:rPr>
        <w:t xml:space="preserve">gained, and if </w:t>
      </w:r>
      <w:r w:rsidR="00A92502" w:rsidRPr="006E3C6E">
        <w:rPr>
          <w:rFonts w:ascii="Arial" w:hAnsi="Arial"/>
          <w:sz w:val="22"/>
          <w:szCs w:val="22"/>
        </w:rPr>
        <w:t>risk sharing agreement</w:t>
      </w:r>
      <w:r w:rsidR="006E3C6E" w:rsidRPr="006E3C6E">
        <w:rPr>
          <w:rFonts w:ascii="Arial" w:hAnsi="Arial"/>
          <w:sz w:val="22"/>
          <w:szCs w:val="22"/>
        </w:rPr>
        <w:t>s</w:t>
      </w:r>
      <w:r w:rsidR="00A92502" w:rsidRPr="006E3C6E">
        <w:rPr>
          <w:rFonts w:ascii="Arial" w:hAnsi="Arial"/>
          <w:sz w:val="22"/>
          <w:szCs w:val="22"/>
        </w:rPr>
        <w:t xml:space="preserve"> w</w:t>
      </w:r>
      <w:r w:rsidR="006E3C6E" w:rsidRPr="006E3C6E">
        <w:rPr>
          <w:rFonts w:ascii="Arial" w:hAnsi="Arial"/>
          <w:sz w:val="22"/>
          <w:szCs w:val="22"/>
        </w:rPr>
        <w:t xml:space="preserve">ere implemented, </w:t>
      </w:r>
      <w:r w:rsidR="00271223">
        <w:rPr>
          <w:rFonts w:ascii="Arial" w:hAnsi="Arial"/>
          <w:sz w:val="22"/>
          <w:szCs w:val="22"/>
        </w:rPr>
        <w:t xml:space="preserve">including </w:t>
      </w:r>
      <w:r w:rsidR="006E3C6E" w:rsidRPr="006E3C6E">
        <w:rPr>
          <w:rFonts w:ascii="Arial" w:hAnsi="Arial"/>
          <w:sz w:val="22"/>
          <w:szCs w:val="22"/>
        </w:rPr>
        <w:t xml:space="preserve">a “pay-for-performance” arrangement whereby </w:t>
      </w:r>
      <w:r w:rsidR="0096074C">
        <w:rPr>
          <w:rFonts w:ascii="Arial" w:hAnsi="Arial"/>
          <w:sz w:val="22"/>
          <w:szCs w:val="22"/>
        </w:rPr>
        <w:t xml:space="preserve">the sponsor would provide funding for the supply of ivacaftor for patients without objective clinical response </w:t>
      </w:r>
      <w:r w:rsidR="007C5976">
        <w:rPr>
          <w:rFonts w:ascii="Arial" w:hAnsi="Arial"/>
          <w:sz w:val="22"/>
          <w:szCs w:val="22"/>
        </w:rPr>
        <w:t>(see below</w:t>
      </w:r>
      <w:r w:rsidR="00592FB2">
        <w:rPr>
          <w:rFonts w:ascii="Arial" w:hAnsi="Arial"/>
          <w:sz w:val="22"/>
          <w:szCs w:val="22"/>
        </w:rPr>
        <w:t xml:space="preserve"> for details</w:t>
      </w:r>
      <w:r w:rsidR="007C5976">
        <w:rPr>
          <w:rFonts w:ascii="Arial" w:hAnsi="Arial"/>
          <w:sz w:val="22"/>
          <w:szCs w:val="22"/>
        </w:rPr>
        <w:t>)</w:t>
      </w:r>
      <w:r w:rsidR="006E3C6E">
        <w:rPr>
          <w:rFonts w:ascii="Arial" w:hAnsi="Arial"/>
          <w:sz w:val="22"/>
          <w:szCs w:val="22"/>
        </w:rPr>
        <w:t xml:space="preserve">. </w:t>
      </w:r>
      <w:r w:rsidR="006E3C6E" w:rsidRPr="00B146A7">
        <w:rPr>
          <w:rFonts w:ascii="Arial" w:hAnsi="Arial"/>
          <w:sz w:val="22"/>
          <w:szCs w:val="22"/>
        </w:rPr>
        <w:t>The PBAC further considered that the risk-sharing agreement with the sponsor should commit the sponsor to providing ongoing funding for collection of data in all patients receiving PBS funded ivacaftor</w:t>
      </w:r>
      <w:r w:rsidR="00F56B28">
        <w:rPr>
          <w:rFonts w:ascii="Arial" w:hAnsi="Arial"/>
          <w:sz w:val="22"/>
          <w:szCs w:val="22"/>
        </w:rPr>
        <w:t>,</w:t>
      </w:r>
      <w:r w:rsidR="006E3C6E">
        <w:rPr>
          <w:rFonts w:ascii="Arial" w:hAnsi="Arial"/>
          <w:sz w:val="22"/>
          <w:szCs w:val="22"/>
        </w:rPr>
        <w:t xml:space="preserve"> addressing a number of areas</w:t>
      </w:r>
      <w:r w:rsidR="0096074C">
        <w:rPr>
          <w:rFonts w:ascii="Arial" w:hAnsi="Arial"/>
          <w:sz w:val="22"/>
          <w:szCs w:val="22"/>
        </w:rPr>
        <w:t xml:space="preserve"> outlined in detail in the PSD</w:t>
      </w:r>
      <w:r w:rsidR="006E3C6E">
        <w:rPr>
          <w:rFonts w:ascii="Arial" w:hAnsi="Arial"/>
          <w:i/>
          <w:sz w:val="22"/>
          <w:szCs w:val="22"/>
        </w:rPr>
        <w:t xml:space="preserve">. </w:t>
      </w:r>
      <w:r w:rsidR="006E3C6E" w:rsidRPr="00F552EB">
        <w:rPr>
          <w:rFonts w:ascii="Arial" w:hAnsi="Arial"/>
          <w:sz w:val="22"/>
          <w:szCs w:val="22"/>
        </w:rPr>
        <w:t>The PBAC requested that this information be presented for analysis after 12 and 24 months of data are available</w:t>
      </w:r>
      <w:r w:rsidR="001D315C">
        <w:rPr>
          <w:rFonts w:ascii="Arial" w:hAnsi="Arial"/>
          <w:sz w:val="22"/>
          <w:szCs w:val="22"/>
        </w:rPr>
        <w:t xml:space="preserve"> (Ivacaftor PSD, November 2013 PBAC meeting)</w:t>
      </w:r>
      <w:r w:rsidR="006E3C6E" w:rsidRPr="00F552EB">
        <w:rPr>
          <w:rFonts w:ascii="Arial" w:hAnsi="Arial"/>
          <w:sz w:val="22"/>
          <w:szCs w:val="22"/>
        </w:rPr>
        <w:t>.</w:t>
      </w:r>
    </w:p>
    <w:p w:rsidR="006E3C6E" w:rsidRPr="001F1288" w:rsidRDefault="006E3C6E" w:rsidP="006E3C6E">
      <w:pPr>
        <w:pStyle w:val="ListParagraph"/>
        <w:jc w:val="both"/>
        <w:rPr>
          <w:rFonts w:ascii="Arial" w:hAnsi="Arial"/>
          <w:sz w:val="22"/>
          <w:szCs w:val="22"/>
          <w:highlight w:val="yellow"/>
        </w:rPr>
      </w:pPr>
    </w:p>
    <w:p w:rsidR="007C5976" w:rsidRPr="00BA2E98" w:rsidRDefault="00572AF0" w:rsidP="007C5976">
      <w:pPr>
        <w:pStyle w:val="ListParagraph"/>
        <w:numPr>
          <w:ilvl w:val="1"/>
          <w:numId w:val="1"/>
        </w:numPr>
        <w:jc w:val="both"/>
        <w:rPr>
          <w:rFonts w:ascii="Arial" w:hAnsi="Arial"/>
          <w:sz w:val="22"/>
          <w:szCs w:val="22"/>
        </w:rPr>
      </w:pPr>
      <w:r>
        <w:rPr>
          <w:rFonts w:ascii="Arial" w:hAnsi="Arial"/>
          <w:sz w:val="22"/>
          <w:szCs w:val="22"/>
        </w:rPr>
        <w:t xml:space="preserve">At the March 2014 meeting, the </w:t>
      </w:r>
      <w:r w:rsidRPr="00572AF0">
        <w:rPr>
          <w:rFonts w:ascii="Arial" w:hAnsi="Arial"/>
          <w:sz w:val="22"/>
          <w:szCs w:val="22"/>
        </w:rPr>
        <w:t xml:space="preserve">PBAC considered a major submission for ivacaftor </w:t>
      </w:r>
      <w:r>
        <w:rPr>
          <w:rFonts w:ascii="Arial" w:hAnsi="Arial"/>
          <w:sz w:val="22"/>
          <w:szCs w:val="22"/>
        </w:rPr>
        <w:t>which</w:t>
      </w:r>
      <w:r w:rsidRPr="00572AF0">
        <w:rPr>
          <w:rFonts w:ascii="Arial" w:hAnsi="Arial"/>
          <w:sz w:val="22"/>
          <w:szCs w:val="22"/>
        </w:rPr>
        <w:t xml:space="preserve"> request</w:t>
      </w:r>
      <w:r>
        <w:rPr>
          <w:rFonts w:ascii="Arial" w:hAnsi="Arial"/>
          <w:sz w:val="22"/>
          <w:szCs w:val="22"/>
        </w:rPr>
        <w:t>ed</w:t>
      </w:r>
      <w:r w:rsidRPr="00572AF0">
        <w:rPr>
          <w:rFonts w:ascii="Arial" w:hAnsi="Arial"/>
          <w:sz w:val="22"/>
          <w:szCs w:val="22"/>
        </w:rPr>
        <w:t xml:space="preserve"> </w:t>
      </w:r>
      <w:r w:rsidR="00D90A0D">
        <w:rPr>
          <w:rFonts w:ascii="Arial" w:hAnsi="Arial"/>
          <w:sz w:val="22"/>
          <w:szCs w:val="22"/>
        </w:rPr>
        <w:t xml:space="preserve">an extension of the </w:t>
      </w:r>
      <w:r w:rsidR="005E7F81">
        <w:rPr>
          <w:rFonts w:ascii="Arial" w:hAnsi="Arial"/>
          <w:sz w:val="22"/>
          <w:szCs w:val="22"/>
        </w:rPr>
        <w:t xml:space="preserve">PBS </w:t>
      </w:r>
      <w:r w:rsidR="00D90A0D">
        <w:rPr>
          <w:rFonts w:ascii="Arial" w:hAnsi="Arial"/>
          <w:sz w:val="22"/>
          <w:szCs w:val="22"/>
        </w:rPr>
        <w:t>restriction</w:t>
      </w:r>
      <w:r w:rsidR="00D90A0D" w:rsidRPr="00572AF0">
        <w:rPr>
          <w:rFonts w:ascii="Arial" w:hAnsi="Arial"/>
          <w:sz w:val="22"/>
          <w:szCs w:val="22"/>
        </w:rPr>
        <w:t xml:space="preserve"> </w:t>
      </w:r>
      <w:r w:rsidR="00D90A0D">
        <w:rPr>
          <w:rFonts w:ascii="Arial" w:hAnsi="Arial"/>
          <w:sz w:val="22"/>
          <w:szCs w:val="22"/>
        </w:rPr>
        <w:t>to include</w:t>
      </w:r>
      <w:r w:rsidR="00D90A0D" w:rsidRPr="00572AF0">
        <w:rPr>
          <w:rFonts w:ascii="Arial" w:hAnsi="Arial"/>
          <w:sz w:val="22"/>
          <w:szCs w:val="22"/>
        </w:rPr>
        <w:t xml:space="preserve"> </w:t>
      </w:r>
      <w:r w:rsidRPr="00572AF0">
        <w:rPr>
          <w:rFonts w:ascii="Arial" w:hAnsi="Arial"/>
          <w:sz w:val="22"/>
          <w:szCs w:val="22"/>
        </w:rPr>
        <w:t xml:space="preserve">patients with any Class III gating mutation of the CFTR gene. The PBAC noted at the time that the indication for other Class III gating mutations was being progressed under the TGA-PBAC </w:t>
      </w:r>
      <w:r w:rsidR="00C1331B">
        <w:rPr>
          <w:rFonts w:ascii="Arial" w:hAnsi="Arial"/>
          <w:sz w:val="22"/>
          <w:szCs w:val="22"/>
        </w:rPr>
        <w:t>p</w:t>
      </w:r>
      <w:r w:rsidRPr="00572AF0">
        <w:rPr>
          <w:rFonts w:ascii="Arial" w:hAnsi="Arial"/>
          <w:sz w:val="22"/>
          <w:szCs w:val="22"/>
        </w:rPr>
        <w:t xml:space="preserve">arallel </w:t>
      </w:r>
      <w:r w:rsidR="00C1331B">
        <w:rPr>
          <w:rFonts w:ascii="Arial" w:hAnsi="Arial"/>
          <w:sz w:val="22"/>
          <w:szCs w:val="22"/>
        </w:rPr>
        <w:t>process. The PBAC decid</w:t>
      </w:r>
      <w:r w:rsidRPr="00572AF0">
        <w:rPr>
          <w:rFonts w:ascii="Arial" w:hAnsi="Arial"/>
          <w:sz w:val="22"/>
          <w:szCs w:val="22"/>
        </w:rPr>
        <w:t>ed that</w:t>
      </w:r>
      <w:r w:rsidR="00925BE1">
        <w:rPr>
          <w:rFonts w:ascii="Arial" w:hAnsi="Arial"/>
          <w:sz w:val="22"/>
          <w:szCs w:val="22"/>
        </w:rPr>
        <w:t>,</w:t>
      </w:r>
      <w:r w:rsidRPr="00572AF0">
        <w:rPr>
          <w:rFonts w:ascii="Arial" w:hAnsi="Arial"/>
          <w:sz w:val="22"/>
          <w:szCs w:val="22"/>
        </w:rPr>
        <w:t xml:space="preserve"> as a positive TGA Delegate’s Overview for other Class III gating mutations was not available at the time of consideration in March 2014, the restriction should specify only patients with a G551D mutation. Once the sponsor was able to make a resubmission with the TGA documentation for other Class III gating </w:t>
      </w:r>
      <w:r w:rsidRPr="00592FB2">
        <w:rPr>
          <w:rFonts w:ascii="Arial" w:hAnsi="Arial"/>
          <w:sz w:val="22"/>
          <w:szCs w:val="22"/>
        </w:rPr>
        <w:t>mutations, the PBAC indicated</w:t>
      </w:r>
      <w:r w:rsidR="00C1331B" w:rsidRPr="00592FB2">
        <w:rPr>
          <w:rFonts w:ascii="Arial" w:hAnsi="Arial"/>
          <w:sz w:val="22"/>
          <w:szCs w:val="22"/>
        </w:rPr>
        <w:t xml:space="preserve"> that</w:t>
      </w:r>
      <w:r w:rsidRPr="00592FB2">
        <w:rPr>
          <w:rFonts w:ascii="Arial" w:hAnsi="Arial"/>
          <w:sz w:val="22"/>
          <w:szCs w:val="22"/>
        </w:rPr>
        <w:t xml:space="preserve"> it would consider amending the restriction to include those patients at that time</w:t>
      </w:r>
      <w:r w:rsidR="007C5976" w:rsidRPr="00592FB2">
        <w:rPr>
          <w:rFonts w:ascii="Arial" w:hAnsi="Arial"/>
          <w:sz w:val="22"/>
          <w:szCs w:val="22"/>
        </w:rPr>
        <w:t xml:space="preserve">. </w:t>
      </w:r>
      <w:r w:rsidR="007C5976" w:rsidRPr="00BA2E98">
        <w:rPr>
          <w:rFonts w:ascii="Arial" w:hAnsi="Arial"/>
          <w:sz w:val="22"/>
          <w:szCs w:val="22"/>
        </w:rPr>
        <w:t xml:space="preserve">The PBAC </w:t>
      </w:r>
      <w:r w:rsidR="0096074C" w:rsidRPr="00BA2E98">
        <w:rPr>
          <w:rFonts w:ascii="Arial" w:hAnsi="Arial"/>
          <w:sz w:val="22"/>
          <w:szCs w:val="22"/>
        </w:rPr>
        <w:t xml:space="preserve">reiterated the view that the cost-effectiveness of ivacaftor would be acceptable if </w:t>
      </w:r>
      <w:r w:rsidR="0096074C" w:rsidRPr="00685562">
        <w:rPr>
          <w:rFonts w:ascii="Arial" w:hAnsi="Arial"/>
          <w:sz w:val="22"/>
          <w:szCs w:val="22"/>
        </w:rPr>
        <w:t xml:space="preserve">the ICER would be around $60,000-$80,000 per QALY and </w:t>
      </w:r>
      <w:r w:rsidR="007C5976" w:rsidRPr="00685562">
        <w:rPr>
          <w:rFonts w:ascii="Arial" w:hAnsi="Arial"/>
          <w:sz w:val="22"/>
          <w:szCs w:val="22"/>
        </w:rPr>
        <w:t>if a “pay for performance” arrangement of the nature described below were implemented</w:t>
      </w:r>
      <w:r w:rsidR="007C5976" w:rsidRPr="00BA2E98">
        <w:rPr>
          <w:rFonts w:ascii="Arial" w:hAnsi="Arial"/>
          <w:sz w:val="22"/>
          <w:szCs w:val="22"/>
        </w:rPr>
        <w:t xml:space="preserve">, together with the other </w:t>
      </w:r>
      <w:r w:rsidR="007C5976" w:rsidRPr="00685562">
        <w:rPr>
          <w:rFonts w:ascii="Arial" w:hAnsi="Arial"/>
          <w:sz w:val="22"/>
          <w:szCs w:val="22"/>
        </w:rPr>
        <w:t>risk sharing measures</w:t>
      </w:r>
      <w:r w:rsidR="007C5976" w:rsidRPr="00BA2E98">
        <w:rPr>
          <w:rFonts w:ascii="Arial" w:hAnsi="Arial"/>
          <w:sz w:val="22"/>
          <w:szCs w:val="22"/>
        </w:rPr>
        <w:t xml:space="preserve"> also identified below:</w:t>
      </w:r>
    </w:p>
    <w:p w:rsidR="007C5976" w:rsidRPr="00BA2E98" w:rsidRDefault="007C5976" w:rsidP="007C5976">
      <w:pPr>
        <w:pStyle w:val="ListParagraph"/>
        <w:jc w:val="both"/>
        <w:rPr>
          <w:rFonts w:ascii="Arial" w:hAnsi="Arial"/>
          <w:sz w:val="22"/>
          <w:szCs w:val="22"/>
        </w:rPr>
      </w:pPr>
    </w:p>
    <w:p w:rsidR="007C5976" w:rsidRPr="00685562" w:rsidRDefault="007C5976" w:rsidP="00592FB2">
      <w:pPr>
        <w:pStyle w:val="ListParagraph"/>
        <w:numPr>
          <w:ilvl w:val="0"/>
          <w:numId w:val="2"/>
        </w:numPr>
        <w:jc w:val="both"/>
        <w:rPr>
          <w:rFonts w:ascii="Arial" w:hAnsi="Arial"/>
          <w:sz w:val="22"/>
          <w:szCs w:val="22"/>
        </w:rPr>
      </w:pPr>
      <w:r w:rsidRPr="00685562">
        <w:rPr>
          <w:rFonts w:ascii="Arial" w:hAnsi="Arial"/>
          <w:sz w:val="22"/>
          <w:szCs w:val="22"/>
        </w:rPr>
        <w:t>An agreement between the sponsor of ivacaftor and the Government to cap the maximum financial expenditure to the submission’s estimate</w:t>
      </w:r>
      <w:r w:rsidR="00592FB2" w:rsidRPr="00685562">
        <w:rPr>
          <w:rFonts w:ascii="Arial" w:hAnsi="Arial"/>
          <w:sz w:val="22"/>
          <w:szCs w:val="22"/>
        </w:rPr>
        <w:t>s with a 100% rebate thereafter;</w:t>
      </w:r>
    </w:p>
    <w:p w:rsidR="007C5976" w:rsidRPr="00685562" w:rsidRDefault="007C5976" w:rsidP="00592FB2">
      <w:pPr>
        <w:pStyle w:val="ListParagraph"/>
        <w:numPr>
          <w:ilvl w:val="0"/>
          <w:numId w:val="2"/>
        </w:numPr>
        <w:jc w:val="both"/>
        <w:rPr>
          <w:rFonts w:ascii="Arial" w:hAnsi="Arial"/>
          <w:sz w:val="22"/>
          <w:szCs w:val="22"/>
        </w:rPr>
      </w:pPr>
      <w:r w:rsidRPr="00685562">
        <w:rPr>
          <w:rFonts w:ascii="Arial" w:hAnsi="Arial"/>
          <w:sz w:val="22"/>
          <w:szCs w:val="22"/>
        </w:rPr>
        <w:t>A “pay-for-performance” arrangement whereby the sponsor rebates to the Commonwealth 100% of the cost of treatment with ivacaftor received by patients who are subsequently assessed as not responding to treatment every 3 and 6 months. Response for that purpose should be defined as at least a 5% improvement in FEV</w:t>
      </w:r>
      <w:r w:rsidRPr="00685562">
        <w:rPr>
          <w:rFonts w:ascii="Arial" w:hAnsi="Arial"/>
          <w:sz w:val="22"/>
          <w:szCs w:val="22"/>
          <w:vertAlign w:val="subscript"/>
        </w:rPr>
        <w:t>1</w:t>
      </w:r>
      <w:r w:rsidRPr="00685562">
        <w:rPr>
          <w:rFonts w:ascii="Arial" w:hAnsi="Arial"/>
          <w:sz w:val="22"/>
          <w:szCs w:val="22"/>
        </w:rPr>
        <w:t xml:space="preserve"> </w:t>
      </w:r>
      <w:r w:rsidR="00755753" w:rsidRPr="00685562">
        <w:rPr>
          <w:rFonts w:ascii="Arial" w:hAnsi="Arial"/>
          <w:sz w:val="22"/>
          <w:szCs w:val="22"/>
        </w:rPr>
        <w:t xml:space="preserve">from baseline </w:t>
      </w:r>
      <w:r w:rsidRPr="00685562">
        <w:rPr>
          <w:rFonts w:ascii="Arial" w:hAnsi="Arial"/>
          <w:sz w:val="22"/>
          <w:szCs w:val="22"/>
        </w:rPr>
        <w:t xml:space="preserve">after 3 months’ treatment, and at least 10% improvement </w:t>
      </w:r>
      <w:r w:rsidR="00755753" w:rsidRPr="00685562">
        <w:rPr>
          <w:rFonts w:ascii="Arial" w:hAnsi="Arial"/>
          <w:sz w:val="22"/>
          <w:szCs w:val="22"/>
        </w:rPr>
        <w:t xml:space="preserve">from baseline </w:t>
      </w:r>
      <w:r w:rsidRPr="00685562">
        <w:rPr>
          <w:rFonts w:ascii="Arial" w:hAnsi="Arial"/>
          <w:sz w:val="22"/>
          <w:szCs w:val="22"/>
        </w:rPr>
        <w:t>after 6 months</w:t>
      </w:r>
      <w:r w:rsidR="00A45E1D" w:rsidRPr="00685562">
        <w:rPr>
          <w:rFonts w:ascii="Arial" w:hAnsi="Arial"/>
          <w:sz w:val="22"/>
          <w:szCs w:val="22"/>
        </w:rPr>
        <w:t>’</w:t>
      </w:r>
      <w:r w:rsidRPr="00685562">
        <w:rPr>
          <w:rFonts w:ascii="Arial" w:hAnsi="Arial"/>
          <w:sz w:val="22"/>
          <w:szCs w:val="22"/>
        </w:rPr>
        <w:t xml:space="preserve"> treatment. For patients aged 6 to 11 years that are able to show improvement in FEV</w:t>
      </w:r>
      <w:r w:rsidRPr="00685562">
        <w:rPr>
          <w:rFonts w:ascii="Arial" w:hAnsi="Arial"/>
          <w:sz w:val="22"/>
          <w:szCs w:val="22"/>
          <w:vertAlign w:val="subscript"/>
        </w:rPr>
        <w:t>1</w:t>
      </w:r>
      <w:r w:rsidRPr="00685562">
        <w:rPr>
          <w:rFonts w:ascii="Arial" w:hAnsi="Arial"/>
          <w:sz w:val="22"/>
          <w:szCs w:val="22"/>
        </w:rPr>
        <w:t xml:space="preserve"> but less than the threshold for PBS subsidy, the assessment of clinical response may also include a weight gain of 1.5kg at 3 months and/or 3kg at </w:t>
      </w:r>
      <w:r w:rsidR="00760841" w:rsidRPr="00685562">
        <w:rPr>
          <w:rFonts w:ascii="Arial" w:hAnsi="Arial"/>
          <w:sz w:val="22"/>
          <w:szCs w:val="22"/>
        </w:rPr>
        <w:t>6 months</w:t>
      </w:r>
      <w:r w:rsidR="00592FB2" w:rsidRPr="00685562">
        <w:rPr>
          <w:rFonts w:ascii="Arial" w:hAnsi="Arial"/>
          <w:sz w:val="22"/>
          <w:szCs w:val="22"/>
        </w:rPr>
        <w:t>;</w:t>
      </w:r>
    </w:p>
    <w:p w:rsidR="007C5976" w:rsidRPr="00685562" w:rsidRDefault="007C5976" w:rsidP="00592FB2">
      <w:pPr>
        <w:pStyle w:val="ListParagraph"/>
        <w:numPr>
          <w:ilvl w:val="0"/>
          <w:numId w:val="2"/>
        </w:numPr>
        <w:jc w:val="both"/>
        <w:rPr>
          <w:rFonts w:ascii="Arial" w:hAnsi="Arial"/>
          <w:sz w:val="22"/>
          <w:szCs w:val="22"/>
        </w:rPr>
      </w:pPr>
      <w:r w:rsidRPr="00685562">
        <w:rPr>
          <w:rFonts w:ascii="Arial" w:hAnsi="Arial"/>
          <w:sz w:val="22"/>
          <w:szCs w:val="22"/>
        </w:rPr>
        <w:t>Where a patient currently uses a moderate or strong CYP3A inhibitor known to influence the pharmacokinetics of ivacaftor which must trigger a dose adjustment as per the recommended dose in the Product Information</w:t>
      </w:r>
      <w:r w:rsidR="00592FB2" w:rsidRPr="00685562">
        <w:rPr>
          <w:rFonts w:ascii="Arial" w:hAnsi="Arial"/>
          <w:sz w:val="22"/>
          <w:szCs w:val="22"/>
        </w:rPr>
        <w:t xml:space="preserve"> (PI)</w:t>
      </w:r>
      <w:r w:rsidRPr="00685562">
        <w:rPr>
          <w:rFonts w:ascii="Arial" w:hAnsi="Arial"/>
          <w:sz w:val="22"/>
          <w:szCs w:val="22"/>
        </w:rPr>
        <w:t xml:space="preserve"> (150mg once daily for moderate inhibitors, 150mg twice weekly for strong inhibitors), the subsidy only be paid for the adjusted dose, with any difference between what is being used in clinical practice versus recommended PI do</w:t>
      </w:r>
      <w:r w:rsidR="00592FB2" w:rsidRPr="00685562">
        <w:rPr>
          <w:rFonts w:ascii="Arial" w:hAnsi="Arial"/>
          <w:sz w:val="22"/>
          <w:szCs w:val="22"/>
        </w:rPr>
        <w:t>se to be rebated by the sponsor;</w:t>
      </w:r>
      <w:r w:rsidRPr="00685562">
        <w:rPr>
          <w:rFonts w:ascii="Arial" w:hAnsi="Arial"/>
          <w:sz w:val="22"/>
          <w:szCs w:val="22"/>
        </w:rPr>
        <w:t xml:space="preserve"> </w:t>
      </w:r>
    </w:p>
    <w:p w:rsidR="007C5976" w:rsidRPr="00685562" w:rsidRDefault="007C5976" w:rsidP="00592FB2">
      <w:pPr>
        <w:pStyle w:val="ListParagraph"/>
        <w:numPr>
          <w:ilvl w:val="0"/>
          <w:numId w:val="2"/>
        </w:numPr>
        <w:jc w:val="both"/>
        <w:rPr>
          <w:rFonts w:ascii="Arial" w:hAnsi="Arial"/>
          <w:sz w:val="22"/>
          <w:szCs w:val="22"/>
        </w:rPr>
      </w:pPr>
      <w:r w:rsidRPr="00685562">
        <w:rPr>
          <w:rFonts w:ascii="Arial" w:hAnsi="Arial"/>
          <w:sz w:val="22"/>
          <w:szCs w:val="22"/>
        </w:rPr>
        <w:lastRenderedPageBreak/>
        <w:t>Commitment by the sponsor for ongoing funding for collection of data in all patients receiving PBS-funded ivacaftor in accordance with the views express</w:t>
      </w:r>
      <w:r w:rsidR="00592FB2" w:rsidRPr="00685562">
        <w:rPr>
          <w:rFonts w:ascii="Arial" w:hAnsi="Arial"/>
          <w:sz w:val="22"/>
          <w:szCs w:val="22"/>
        </w:rPr>
        <w:t>ed by the PBAC in November 2013; and</w:t>
      </w:r>
    </w:p>
    <w:p w:rsidR="00BB7EC3" w:rsidRPr="00685562" w:rsidRDefault="007C5976" w:rsidP="00592FB2">
      <w:pPr>
        <w:pStyle w:val="ListParagraph"/>
        <w:numPr>
          <w:ilvl w:val="0"/>
          <w:numId w:val="2"/>
        </w:numPr>
        <w:jc w:val="both"/>
        <w:rPr>
          <w:rFonts w:ascii="Arial" w:hAnsi="Arial"/>
          <w:sz w:val="22"/>
          <w:szCs w:val="22"/>
        </w:rPr>
      </w:pPr>
      <w:r w:rsidRPr="00685562">
        <w:rPr>
          <w:rFonts w:ascii="Arial" w:hAnsi="Arial"/>
          <w:sz w:val="22"/>
          <w:szCs w:val="22"/>
        </w:rPr>
        <w:t>Every 12 months of data to be provided to the PBAC for assessment and comparison between the clinical trial and assumptions in the economic analysis an</w:t>
      </w:r>
      <w:r w:rsidR="00592FB2" w:rsidRPr="00685562">
        <w:rPr>
          <w:rFonts w:ascii="Arial" w:hAnsi="Arial"/>
          <w:sz w:val="22"/>
          <w:szCs w:val="22"/>
        </w:rPr>
        <w:t>d real life clinical experience</w:t>
      </w:r>
      <w:r w:rsidR="001D315C" w:rsidRPr="00685562">
        <w:rPr>
          <w:rFonts w:ascii="Arial" w:hAnsi="Arial"/>
          <w:sz w:val="22"/>
          <w:szCs w:val="22"/>
        </w:rPr>
        <w:t xml:space="preserve"> (Ivacaftor PSD, March 2014 PBAC meeting)</w:t>
      </w:r>
      <w:r w:rsidR="00572AF0" w:rsidRPr="00685562">
        <w:rPr>
          <w:rFonts w:ascii="Arial" w:hAnsi="Arial"/>
          <w:sz w:val="22"/>
          <w:szCs w:val="22"/>
        </w:rPr>
        <w:t xml:space="preserve">. </w:t>
      </w:r>
    </w:p>
    <w:p w:rsidR="00572AF0" w:rsidRPr="00572AF0" w:rsidRDefault="00572AF0" w:rsidP="00572AF0">
      <w:pPr>
        <w:pStyle w:val="ListParagraph"/>
        <w:rPr>
          <w:rFonts w:ascii="Arial" w:hAnsi="Arial"/>
          <w:sz w:val="22"/>
          <w:szCs w:val="22"/>
        </w:rPr>
      </w:pPr>
    </w:p>
    <w:p w:rsidR="00572AF0" w:rsidRDefault="00572AF0" w:rsidP="006F3A4B">
      <w:pPr>
        <w:pStyle w:val="ListParagraph"/>
        <w:numPr>
          <w:ilvl w:val="1"/>
          <w:numId w:val="1"/>
        </w:numPr>
        <w:jc w:val="both"/>
        <w:rPr>
          <w:rFonts w:ascii="Arial" w:hAnsi="Arial"/>
          <w:sz w:val="22"/>
          <w:szCs w:val="22"/>
        </w:rPr>
      </w:pPr>
      <w:r>
        <w:rPr>
          <w:rFonts w:ascii="Arial" w:hAnsi="Arial"/>
          <w:sz w:val="22"/>
          <w:szCs w:val="22"/>
        </w:rPr>
        <w:t xml:space="preserve">At the November 2014 meeting, the </w:t>
      </w:r>
      <w:r w:rsidRPr="00572AF0">
        <w:rPr>
          <w:rFonts w:ascii="Arial" w:hAnsi="Arial"/>
          <w:sz w:val="22"/>
          <w:szCs w:val="22"/>
        </w:rPr>
        <w:t xml:space="preserve">PBAC recommended to extend the previous recommendation for the PBS listing of ivacaftor as a Section 100 (Highly Specialised Drugs Program) benefit for the treatment of </w:t>
      </w:r>
      <w:r>
        <w:rPr>
          <w:rFonts w:ascii="Arial" w:hAnsi="Arial"/>
          <w:sz w:val="22"/>
          <w:szCs w:val="22"/>
        </w:rPr>
        <w:t>CF</w:t>
      </w:r>
      <w:r w:rsidRPr="00572AF0">
        <w:rPr>
          <w:rFonts w:ascii="Arial" w:hAnsi="Arial"/>
          <w:sz w:val="22"/>
          <w:szCs w:val="22"/>
        </w:rPr>
        <w:t xml:space="preserve"> in patients aged </w:t>
      </w:r>
      <w:r>
        <w:rPr>
          <w:rFonts w:ascii="Arial" w:hAnsi="Arial"/>
          <w:sz w:val="22"/>
          <w:szCs w:val="22"/>
        </w:rPr>
        <w:t>6</w:t>
      </w:r>
      <w:r w:rsidRPr="00572AF0">
        <w:rPr>
          <w:rFonts w:ascii="Arial" w:hAnsi="Arial"/>
          <w:sz w:val="22"/>
          <w:szCs w:val="22"/>
        </w:rPr>
        <w:t xml:space="preserve"> years and older who have a G551D mutation in the </w:t>
      </w:r>
      <w:r w:rsidR="00C1331B">
        <w:rPr>
          <w:rFonts w:ascii="Arial" w:hAnsi="Arial"/>
          <w:sz w:val="22"/>
          <w:szCs w:val="22"/>
        </w:rPr>
        <w:t>CFTR</w:t>
      </w:r>
      <w:r w:rsidRPr="00572AF0">
        <w:rPr>
          <w:rFonts w:ascii="Arial" w:hAnsi="Arial"/>
          <w:sz w:val="22"/>
          <w:szCs w:val="22"/>
        </w:rPr>
        <w:t xml:space="preserve"> gene to include other gating (class III) mutation in the CFTR gene</w:t>
      </w:r>
      <w:r w:rsidR="001D315C">
        <w:rPr>
          <w:rFonts w:ascii="Arial" w:hAnsi="Arial"/>
          <w:sz w:val="22"/>
          <w:szCs w:val="22"/>
        </w:rPr>
        <w:t xml:space="preserve"> (Ivacaftor PSD, November 2014 PBAC meeting)</w:t>
      </w:r>
      <w:r w:rsidR="001D315C" w:rsidRPr="00572AF0">
        <w:rPr>
          <w:rFonts w:ascii="Arial" w:hAnsi="Arial"/>
          <w:sz w:val="22"/>
          <w:szCs w:val="22"/>
        </w:rPr>
        <w:t>.</w:t>
      </w:r>
    </w:p>
    <w:p w:rsidR="00C13564" w:rsidRPr="00882085" w:rsidRDefault="00C13564" w:rsidP="00851FEA">
      <w:pPr>
        <w:spacing w:line="480" w:lineRule="auto"/>
      </w:pPr>
    </w:p>
    <w:p w:rsidR="00CE10C4" w:rsidRPr="00882085" w:rsidRDefault="00CE10C4" w:rsidP="00851FEA">
      <w:pPr>
        <w:pStyle w:val="Heading1"/>
      </w:pPr>
      <w:r w:rsidRPr="00882085">
        <w:t>Clinical place for the proposed ther</w:t>
      </w:r>
      <w:r w:rsidR="006A12A5" w:rsidRPr="00882085">
        <w:t>apy</w:t>
      </w:r>
    </w:p>
    <w:p w:rsidR="00CE10C4" w:rsidRPr="00882085" w:rsidRDefault="00CE10C4" w:rsidP="00882085">
      <w:pPr>
        <w:jc w:val="both"/>
        <w:rPr>
          <w:rFonts w:ascii="Arial" w:hAnsi="Arial"/>
          <w:sz w:val="22"/>
          <w:szCs w:val="22"/>
        </w:rPr>
      </w:pPr>
    </w:p>
    <w:p w:rsidR="009B2B3B" w:rsidRDefault="00023B95" w:rsidP="009B2B3B">
      <w:pPr>
        <w:pStyle w:val="ListParagraph"/>
        <w:numPr>
          <w:ilvl w:val="1"/>
          <w:numId w:val="1"/>
        </w:numPr>
        <w:jc w:val="both"/>
        <w:rPr>
          <w:rFonts w:ascii="Arial" w:hAnsi="Arial"/>
          <w:sz w:val="22"/>
          <w:szCs w:val="22"/>
        </w:rPr>
      </w:pPr>
      <w:r w:rsidRPr="00023B95">
        <w:rPr>
          <w:rFonts w:ascii="Arial" w:hAnsi="Arial"/>
          <w:sz w:val="22"/>
          <w:szCs w:val="22"/>
        </w:rPr>
        <w:t xml:space="preserve">Ivacaftor is used as </w:t>
      </w:r>
      <w:r w:rsidR="009B2B3B">
        <w:rPr>
          <w:rFonts w:ascii="Arial" w:hAnsi="Arial"/>
          <w:sz w:val="22"/>
          <w:szCs w:val="22"/>
        </w:rPr>
        <w:t>an add-</w:t>
      </w:r>
      <w:r w:rsidRPr="00023B95">
        <w:rPr>
          <w:rFonts w:ascii="Arial" w:hAnsi="Arial"/>
          <w:sz w:val="22"/>
          <w:szCs w:val="22"/>
        </w:rPr>
        <w:t xml:space="preserve">on to current best supportive therapy </w:t>
      </w:r>
      <w:r>
        <w:rPr>
          <w:rFonts w:ascii="Arial" w:hAnsi="Arial"/>
          <w:sz w:val="22"/>
          <w:szCs w:val="22"/>
        </w:rPr>
        <w:t xml:space="preserve">and </w:t>
      </w:r>
      <w:r w:rsidRPr="00023B95">
        <w:rPr>
          <w:rFonts w:ascii="Arial" w:hAnsi="Arial"/>
          <w:sz w:val="22"/>
          <w:szCs w:val="22"/>
        </w:rPr>
        <w:t>has a different mechanism of action to the antibiotics and mucolytics currently available through the PBS</w:t>
      </w:r>
      <w:r w:rsidR="009B2B3B" w:rsidRPr="009B2B3B">
        <w:t xml:space="preserve"> </w:t>
      </w:r>
      <w:r w:rsidR="009B2B3B" w:rsidRPr="009B2B3B">
        <w:rPr>
          <w:rFonts w:ascii="Arial" w:hAnsi="Arial"/>
          <w:sz w:val="22"/>
          <w:szCs w:val="22"/>
        </w:rPr>
        <w:t xml:space="preserve">for treatment of patients with </w:t>
      </w:r>
      <w:r w:rsidR="009B2B3B">
        <w:rPr>
          <w:rFonts w:ascii="Arial" w:hAnsi="Arial"/>
          <w:sz w:val="22"/>
          <w:szCs w:val="22"/>
        </w:rPr>
        <w:t>CF</w:t>
      </w:r>
      <w:r>
        <w:rPr>
          <w:rFonts w:ascii="Arial" w:hAnsi="Arial"/>
          <w:sz w:val="22"/>
          <w:szCs w:val="22"/>
        </w:rPr>
        <w:t xml:space="preserve">. </w:t>
      </w:r>
      <w:r w:rsidR="009B2B3B">
        <w:rPr>
          <w:rFonts w:ascii="Arial" w:hAnsi="Arial"/>
          <w:sz w:val="22"/>
          <w:szCs w:val="22"/>
        </w:rPr>
        <w:t>CF</w:t>
      </w:r>
      <w:r w:rsidR="009B2B3B" w:rsidRPr="009B2B3B">
        <w:rPr>
          <w:rFonts w:ascii="Arial" w:hAnsi="Arial"/>
          <w:sz w:val="22"/>
          <w:szCs w:val="22"/>
        </w:rPr>
        <w:t xml:space="preserve"> is an autosomal recessive disease caused by mutations in the CFTR gene. The encoded protein, CFTR, is an epithelial chloride ion channel responsible for the regulation of salt and water absorption and secretion in multiple organ systems. Ivacaftor is a novel selective CFTR potentiator, which improves the function of the CFTR protein.</w:t>
      </w:r>
    </w:p>
    <w:p w:rsidR="00BB7EC3" w:rsidRDefault="00BB7EC3" w:rsidP="00851FEA">
      <w:pPr>
        <w:pStyle w:val="Header"/>
        <w:tabs>
          <w:tab w:val="clear" w:pos="4153"/>
          <w:tab w:val="clear" w:pos="8306"/>
        </w:tabs>
        <w:spacing w:line="480" w:lineRule="auto"/>
        <w:jc w:val="both"/>
        <w:rPr>
          <w:rFonts w:ascii="Arial" w:hAnsi="Arial"/>
          <w:sz w:val="22"/>
          <w:szCs w:val="22"/>
        </w:rPr>
      </w:pPr>
    </w:p>
    <w:p w:rsidR="005A3173" w:rsidRPr="00882085" w:rsidRDefault="005A3173" w:rsidP="00851FEA">
      <w:pPr>
        <w:pStyle w:val="Heading1"/>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476245" w:rsidRPr="002C713F" w:rsidRDefault="00476245" w:rsidP="006F3A4B">
      <w:pPr>
        <w:pStyle w:val="ListParagraph"/>
        <w:numPr>
          <w:ilvl w:val="1"/>
          <w:numId w:val="1"/>
        </w:numPr>
        <w:jc w:val="both"/>
        <w:rPr>
          <w:rFonts w:ascii="Arial" w:hAnsi="Arial"/>
          <w:sz w:val="22"/>
          <w:szCs w:val="22"/>
        </w:rPr>
      </w:pPr>
      <w:r w:rsidRPr="002C713F">
        <w:rPr>
          <w:rFonts w:ascii="Arial" w:hAnsi="Arial"/>
          <w:sz w:val="22"/>
          <w:szCs w:val="22"/>
        </w:rPr>
        <w:t xml:space="preserve">The </w:t>
      </w:r>
      <w:r w:rsidR="00023B95" w:rsidRPr="002C713F">
        <w:rPr>
          <w:rFonts w:ascii="Arial" w:hAnsi="Arial"/>
          <w:sz w:val="22"/>
          <w:szCs w:val="22"/>
        </w:rPr>
        <w:t xml:space="preserve">PBAC has </w:t>
      </w:r>
      <w:r w:rsidR="00594196" w:rsidRPr="002C713F">
        <w:rPr>
          <w:rFonts w:ascii="Arial" w:hAnsi="Arial"/>
          <w:sz w:val="22"/>
          <w:szCs w:val="22"/>
        </w:rPr>
        <w:t xml:space="preserve">previously </w:t>
      </w:r>
      <w:r w:rsidR="00023B95" w:rsidRPr="002C713F">
        <w:rPr>
          <w:rFonts w:ascii="Arial" w:hAnsi="Arial"/>
          <w:sz w:val="22"/>
          <w:szCs w:val="22"/>
        </w:rPr>
        <w:t>accepted best supportive care</w:t>
      </w:r>
      <w:r w:rsidR="00BA7C31" w:rsidRPr="002C713F">
        <w:rPr>
          <w:rFonts w:ascii="Arial" w:hAnsi="Arial"/>
          <w:sz w:val="22"/>
          <w:szCs w:val="22"/>
        </w:rPr>
        <w:t xml:space="preserve"> as the appropriate comparator (ivacaftor PSD, November 2013 PBAC meeting). Best supportive care </w:t>
      </w:r>
      <w:r w:rsidR="00023B95" w:rsidRPr="002C713F">
        <w:rPr>
          <w:rFonts w:ascii="Arial" w:hAnsi="Arial"/>
          <w:sz w:val="22"/>
          <w:szCs w:val="22"/>
        </w:rPr>
        <w:t>consist</w:t>
      </w:r>
      <w:r w:rsidR="00BA7C31" w:rsidRPr="002C713F">
        <w:rPr>
          <w:rFonts w:ascii="Arial" w:hAnsi="Arial"/>
          <w:sz w:val="22"/>
          <w:szCs w:val="22"/>
        </w:rPr>
        <w:t>s</w:t>
      </w:r>
      <w:r w:rsidR="00023B95" w:rsidRPr="002C713F">
        <w:rPr>
          <w:rFonts w:ascii="Arial" w:hAnsi="Arial"/>
          <w:sz w:val="22"/>
          <w:szCs w:val="22"/>
        </w:rPr>
        <w:t xml:space="preserve"> </w:t>
      </w:r>
      <w:r w:rsidR="00BA7C31" w:rsidRPr="002C713F">
        <w:rPr>
          <w:rFonts w:ascii="Arial" w:hAnsi="Arial"/>
          <w:sz w:val="22"/>
          <w:szCs w:val="22"/>
        </w:rPr>
        <w:t xml:space="preserve">of </w:t>
      </w:r>
      <w:r w:rsidR="00023B95" w:rsidRPr="002C713F">
        <w:rPr>
          <w:rFonts w:ascii="Arial" w:hAnsi="Arial"/>
          <w:sz w:val="22"/>
          <w:szCs w:val="22"/>
        </w:rPr>
        <w:t>usual respiratory, nutritional and rehabilitative support (e.g. mucolytics, osmotic agents, antibiotics, bronchodilatation, pancreatic enzymes, dietetic therapy, and chest physiotherapy)</w:t>
      </w:r>
      <w:r w:rsidR="00BA7C31" w:rsidRPr="002C713F">
        <w:rPr>
          <w:rFonts w:ascii="Arial" w:hAnsi="Arial"/>
          <w:sz w:val="22"/>
          <w:szCs w:val="22"/>
        </w:rPr>
        <w:t>.</w:t>
      </w:r>
      <w:r w:rsidR="00023B95" w:rsidRPr="002C713F">
        <w:rPr>
          <w:rFonts w:ascii="Arial" w:hAnsi="Arial"/>
          <w:sz w:val="22"/>
          <w:szCs w:val="22"/>
        </w:rPr>
        <w:t xml:space="preserve"> </w:t>
      </w:r>
    </w:p>
    <w:p w:rsidR="00DF26A7" w:rsidRDefault="00DF26A7" w:rsidP="00851FEA">
      <w:pPr>
        <w:spacing w:line="480" w:lineRule="auto"/>
        <w:jc w:val="both"/>
        <w:rPr>
          <w:rFonts w:ascii="Arial" w:hAnsi="Arial"/>
          <w:sz w:val="22"/>
          <w:szCs w:val="22"/>
        </w:rPr>
      </w:pPr>
    </w:p>
    <w:p w:rsidR="000B558D" w:rsidRPr="00882085" w:rsidRDefault="008D7A41" w:rsidP="00851FEA">
      <w:pPr>
        <w:pStyle w:val="Heading1"/>
      </w:pPr>
      <w:r>
        <w:t>C</w:t>
      </w:r>
      <w:r w:rsidR="00D84934">
        <w:t>onsideration of the evidence</w:t>
      </w:r>
    </w:p>
    <w:p w:rsidR="002C713F" w:rsidRDefault="002C713F" w:rsidP="002C713F">
      <w:pPr>
        <w:jc w:val="both"/>
        <w:rPr>
          <w:rFonts w:ascii="Arial" w:hAnsi="Arial"/>
          <w:b/>
          <w:sz w:val="22"/>
          <w:szCs w:val="22"/>
          <w:highlight w:val="yellow"/>
        </w:rPr>
      </w:pPr>
    </w:p>
    <w:p w:rsidR="002C713F" w:rsidRPr="00943509" w:rsidRDefault="002C713F" w:rsidP="00851FEA">
      <w:pPr>
        <w:pStyle w:val="Heading2"/>
      </w:pPr>
      <w:r w:rsidRPr="00851FEA">
        <w:t>Sponsor</w:t>
      </w:r>
      <w:r w:rsidRPr="00943509">
        <w:t xml:space="preserve"> hearing</w:t>
      </w:r>
    </w:p>
    <w:p w:rsidR="002C713F" w:rsidRPr="006465D9" w:rsidRDefault="002C713F" w:rsidP="002C713F">
      <w:pPr>
        <w:jc w:val="both"/>
        <w:rPr>
          <w:rFonts w:ascii="Arial" w:hAnsi="Arial"/>
          <w:b/>
          <w:sz w:val="22"/>
          <w:szCs w:val="22"/>
        </w:rPr>
      </w:pPr>
    </w:p>
    <w:p w:rsidR="002C713F" w:rsidRPr="006465D9" w:rsidRDefault="002C713F" w:rsidP="002C713F">
      <w:pPr>
        <w:pStyle w:val="ListParagraph"/>
        <w:numPr>
          <w:ilvl w:val="1"/>
          <w:numId w:val="1"/>
        </w:numPr>
        <w:jc w:val="both"/>
        <w:rPr>
          <w:rFonts w:ascii="Arial" w:hAnsi="Arial"/>
          <w:b/>
          <w:sz w:val="22"/>
          <w:szCs w:val="22"/>
        </w:rPr>
      </w:pPr>
      <w:r w:rsidRPr="006465D9">
        <w:rPr>
          <w:rFonts w:ascii="Arial" w:hAnsi="Arial" w:cs="Arial"/>
          <w:bCs/>
          <w:snapToGrid w:val="0"/>
          <w:sz w:val="22"/>
          <w:szCs w:val="22"/>
        </w:rPr>
        <w:t>There was no hearing for this item as it was a minor submission.</w:t>
      </w:r>
    </w:p>
    <w:p w:rsidR="002C713F" w:rsidRPr="006465D9" w:rsidRDefault="002C713F" w:rsidP="002C713F">
      <w:pPr>
        <w:jc w:val="both"/>
        <w:rPr>
          <w:rFonts w:ascii="Arial" w:hAnsi="Arial"/>
          <w:b/>
          <w:sz w:val="22"/>
          <w:szCs w:val="22"/>
        </w:rPr>
      </w:pPr>
    </w:p>
    <w:p w:rsidR="002C713F" w:rsidRPr="00943509" w:rsidRDefault="002C713F" w:rsidP="00851FEA">
      <w:pPr>
        <w:pStyle w:val="Heading2"/>
      </w:pPr>
      <w:r w:rsidRPr="00943509">
        <w:t>Consumer comments</w:t>
      </w:r>
    </w:p>
    <w:p w:rsidR="002C713F" w:rsidRPr="006465D9" w:rsidRDefault="002C713F" w:rsidP="002C713F">
      <w:pPr>
        <w:jc w:val="both"/>
        <w:rPr>
          <w:rFonts w:ascii="Arial" w:hAnsi="Arial"/>
          <w:b/>
          <w:sz w:val="22"/>
          <w:szCs w:val="22"/>
        </w:rPr>
      </w:pPr>
    </w:p>
    <w:p w:rsidR="002C713F" w:rsidRPr="006465D9" w:rsidRDefault="002C713F" w:rsidP="002C713F">
      <w:pPr>
        <w:pStyle w:val="ListParagraph"/>
        <w:numPr>
          <w:ilvl w:val="1"/>
          <w:numId w:val="1"/>
        </w:numPr>
        <w:jc w:val="both"/>
        <w:rPr>
          <w:rFonts w:ascii="Arial" w:hAnsi="Arial"/>
          <w:b/>
          <w:sz w:val="22"/>
          <w:szCs w:val="22"/>
        </w:rPr>
      </w:pPr>
      <w:r w:rsidRPr="006465D9">
        <w:rPr>
          <w:rFonts w:ascii="Arial" w:hAnsi="Arial" w:cs="Arial"/>
          <w:bCs/>
          <w:snapToGrid w:val="0"/>
          <w:sz w:val="22"/>
          <w:szCs w:val="22"/>
        </w:rPr>
        <w:t>The PBAC noted that no consumer comments were received for this item.</w:t>
      </w:r>
    </w:p>
    <w:p w:rsidR="00BB7EC3" w:rsidRDefault="00BB7EC3" w:rsidP="00F9629A">
      <w:pPr>
        <w:jc w:val="both"/>
        <w:rPr>
          <w:rFonts w:ascii="Arial" w:hAnsi="Arial"/>
          <w:sz w:val="22"/>
          <w:szCs w:val="22"/>
        </w:rPr>
      </w:pPr>
    </w:p>
    <w:p w:rsidR="00D84934" w:rsidRPr="00943509" w:rsidRDefault="00D84934" w:rsidP="00851FEA">
      <w:pPr>
        <w:pStyle w:val="Heading2"/>
      </w:pPr>
      <w:r w:rsidRPr="00943509">
        <w:t>Clinical trials</w:t>
      </w:r>
    </w:p>
    <w:p w:rsidR="00D84934" w:rsidRPr="00F9629A" w:rsidRDefault="00D84934" w:rsidP="00F9629A">
      <w:pPr>
        <w:jc w:val="both"/>
        <w:rPr>
          <w:rFonts w:ascii="Arial" w:hAnsi="Arial"/>
          <w:sz w:val="22"/>
          <w:szCs w:val="22"/>
        </w:rPr>
      </w:pPr>
    </w:p>
    <w:p w:rsidR="00BC6B69" w:rsidRDefault="00BC6B69" w:rsidP="006F3A4B">
      <w:pPr>
        <w:pStyle w:val="ListParagraph"/>
        <w:numPr>
          <w:ilvl w:val="1"/>
          <w:numId w:val="1"/>
        </w:numPr>
        <w:jc w:val="both"/>
        <w:rPr>
          <w:rFonts w:ascii="Arial" w:hAnsi="Arial"/>
          <w:sz w:val="22"/>
          <w:szCs w:val="22"/>
        </w:rPr>
      </w:pPr>
      <w:r>
        <w:rPr>
          <w:rFonts w:ascii="Arial" w:hAnsi="Arial"/>
          <w:sz w:val="22"/>
          <w:szCs w:val="22"/>
        </w:rPr>
        <w:t xml:space="preserve">The </w:t>
      </w:r>
      <w:r w:rsidR="002A260C">
        <w:rPr>
          <w:rFonts w:ascii="Arial" w:hAnsi="Arial"/>
          <w:sz w:val="22"/>
          <w:szCs w:val="22"/>
        </w:rPr>
        <w:t>clinical evidence presented in the submission was based on</w:t>
      </w:r>
      <w:r w:rsidR="00B1545F">
        <w:rPr>
          <w:rFonts w:ascii="Arial" w:hAnsi="Arial"/>
          <w:sz w:val="22"/>
          <w:szCs w:val="22"/>
        </w:rPr>
        <w:t xml:space="preserve"> data from</w:t>
      </w:r>
      <w:r>
        <w:rPr>
          <w:rFonts w:ascii="Arial" w:hAnsi="Arial"/>
          <w:sz w:val="22"/>
          <w:szCs w:val="22"/>
        </w:rPr>
        <w:t>:</w:t>
      </w:r>
    </w:p>
    <w:p w:rsidR="00D37047" w:rsidRDefault="003141A9" w:rsidP="00D37047">
      <w:pPr>
        <w:pStyle w:val="ListParagraph"/>
        <w:numPr>
          <w:ilvl w:val="0"/>
          <w:numId w:val="2"/>
        </w:numPr>
        <w:jc w:val="both"/>
        <w:rPr>
          <w:rFonts w:ascii="Arial" w:hAnsi="Arial"/>
          <w:sz w:val="22"/>
          <w:szCs w:val="22"/>
        </w:rPr>
      </w:pPr>
      <w:r>
        <w:rPr>
          <w:rFonts w:ascii="Arial" w:hAnsi="Arial"/>
          <w:sz w:val="22"/>
          <w:szCs w:val="22"/>
        </w:rPr>
        <w:t xml:space="preserve">Severe </w:t>
      </w:r>
      <w:r w:rsidR="002A260C" w:rsidRPr="002A260C">
        <w:rPr>
          <w:rFonts w:ascii="Arial" w:hAnsi="Arial"/>
          <w:sz w:val="22"/>
          <w:szCs w:val="22"/>
        </w:rPr>
        <w:t xml:space="preserve">CF patients </w:t>
      </w:r>
      <w:r w:rsidR="006176E9">
        <w:rPr>
          <w:rFonts w:ascii="Arial" w:hAnsi="Arial"/>
          <w:sz w:val="22"/>
          <w:szCs w:val="22"/>
        </w:rPr>
        <w:t xml:space="preserve">with a </w:t>
      </w:r>
      <w:r w:rsidR="006176E9" w:rsidRPr="002A260C">
        <w:rPr>
          <w:rFonts w:ascii="Arial" w:hAnsi="Arial"/>
          <w:sz w:val="22"/>
          <w:szCs w:val="22"/>
        </w:rPr>
        <w:t xml:space="preserve">G551D </w:t>
      </w:r>
      <w:r w:rsidR="006176E9">
        <w:rPr>
          <w:rFonts w:ascii="Arial" w:hAnsi="Arial"/>
          <w:sz w:val="22"/>
          <w:szCs w:val="22"/>
        </w:rPr>
        <w:t xml:space="preserve">mutation </w:t>
      </w:r>
      <w:r w:rsidR="004E2565">
        <w:rPr>
          <w:rFonts w:ascii="Arial" w:hAnsi="Arial"/>
          <w:sz w:val="22"/>
          <w:szCs w:val="22"/>
        </w:rPr>
        <w:t>who were involved in</w:t>
      </w:r>
      <w:r w:rsidR="00B26749">
        <w:rPr>
          <w:rFonts w:ascii="Arial" w:hAnsi="Arial"/>
          <w:sz w:val="22"/>
          <w:szCs w:val="22"/>
        </w:rPr>
        <w:t xml:space="preserve"> Compassionate Access P</w:t>
      </w:r>
      <w:r w:rsidR="002A260C">
        <w:rPr>
          <w:rFonts w:ascii="Arial" w:hAnsi="Arial"/>
          <w:sz w:val="22"/>
          <w:szCs w:val="22"/>
        </w:rPr>
        <w:t>rograms</w:t>
      </w:r>
      <w:r w:rsidR="002A260C" w:rsidRPr="002A260C">
        <w:rPr>
          <w:rFonts w:ascii="Arial" w:hAnsi="Arial"/>
          <w:sz w:val="22"/>
          <w:szCs w:val="22"/>
        </w:rPr>
        <w:t xml:space="preserve"> </w:t>
      </w:r>
      <w:r w:rsidR="00B26749">
        <w:rPr>
          <w:rFonts w:ascii="Arial" w:hAnsi="Arial"/>
          <w:sz w:val="22"/>
          <w:szCs w:val="22"/>
        </w:rPr>
        <w:t xml:space="preserve">(CAPs) </w:t>
      </w:r>
      <w:r w:rsidR="002A260C" w:rsidRPr="002A260C">
        <w:rPr>
          <w:rFonts w:ascii="Arial" w:hAnsi="Arial"/>
          <w:sz w:val="22"/>
          <w:szCs w:val="22"/>
        </w:rPr>
        <w:t xml:space="preserve">in Australia, </w:t>
      </w:r>
      <w:r w:rsidR="00837A31">
        <w:rPr>
          <w:rFonts w:ascii="Arial" w:hAnsi="Arial"/>
          <w:sz w:val="22"/>
          <w:szCs w:val="22"/>
        </w:rPr>
        <w:t xml:space="preserve">UK/Ireland, Germany, France </w:t>
      </w:r>
      <w:r w:rsidR="00DC4F03">
        <w:rPr>
          <w:rFonts w:ascii="Arial" w:hAnsi="Arial"/>
          <w:sz w:val="22"/>
          <w:szCs w:val="22"/>
        </w:rPr>
        <w:t xml:space="preserve">and </w:t>
      </w:r>
      <w:r w:rsidR="00837A31">
        <w:rPr>
          <w:rFonts w:ascii="Arial" w:hAnsi="Arial"/>
          <w:sz w:val="22"/>
          <w:szCs w:val="22"/>
        </w:rPr>
        <w:t xml:space="preserve">the </w:t>
      </w:r>
      <w:r w:rsidR="001E4C48">
        <w:rPr>
          <w:rFonts w:ascii="Arial" w:hAnsi="Arial"/>
          <w:sz w:val="22"/>
          <w:szCs w:val="22"/>
        </w:rPr>
        <w:t>US</w:t>
      </w:r>
      <w:r w:rsidR="00BC6B69">
        <w:rPr>
          <w:rFonts w:ascii="Arial" w:hAnsi="Arial"/>
          <w:sz w:val="22"/>
          <w:szCs w:val="22"/>
        </w:rPr>
        <w:t xml:space="preserve">; </w:t>
      </w:r>
    </w:p>
    <w:p w:rsidR="00BC6B69" w:rsidRPr="00000763" w:rsidRDefault="008F40DD" w:rsidP="00785F08">
      <w:pPr>
        <w:pStyle w:val="ListParagraph"/>
        <w:numPr>
          <w:ilvl w:val="0"/>
          <w:numId w:val="2"/>
        </w:numPr>
        <w:jc w:val="both"/>
        <w:rPr>
          <w:rFonts w:ascii="Arial" w:hAnsi="Arial"/>
          <w:sz w:val="22"/>
          <w:szCs w:val="22"/>
        </w:rPr>
      </w:pPr>
      <w:r w:rsidRPr="00000763">
        <w:rPr>
          <w:rFonts w:ascii="Arial" w:hAnsi="Arial"/>
          <w:sz w:val="22"/>
          <w:szCs w:val="22"/>
        </w:rPr>
        <w:lastRenderedPageBreak/>
        <w:t xml:space="preserve">Subgroups of </w:t>
      </w:r>
      <w:r w:rsidR="006176E9" w:rsidRPr="00000763">
        <w:rPr>
          <w:rFonts w:ascii="Arial" w:hAnsi="Arial"/>
          <w:sz w:val="22"/>
          <w:szCs w:val="22"/>
        </w:rPr>
        <w:t xml:space="preserve">G551D CF </w:t>
      </w:r>
      <w:r w:rsidR="002A260C" w:rsidRPr="00000763">
        <w:rPr>
          <w:rFonts w:ascii="Arial" w:hAnsi="Arial"/>
          <w:sz w:val="22"/>
          <w:szCs w:val="22"/>
        </w:rPr>
        <w:t xml:space="preserve">patients </w:t>
      </w:r>
      <w:r w:rsidR="00F34101">
        <w:rPr>
          <w:rFonts w:ascii="Arial" w:hAnsi="Arial"/>
          <w:sz w:val="22"/>
          <w:szCs w:val="22"/>
        </w:rPr>
        <w:t>from</w:t>
      </w:r>
      <w:r w:rsidR="00F34101" w:rsidRPr="00000763">
        <w:rPr>
          <w:rFonts w:ascii="Arial" w:hAnsi="Arial"/>
          <w:sz w:val="22"/>
          <w:szCs w:val="22"/>
        </w:rPr>
        <w:t xml:space="preserve"> </w:t>
      </w:r>
      <w:r w:rsidR="00401AE4">
        <w:rPr>
          <w:rFonts w:ascii="Arial" w:hAnsi="Arial"/>
          <w:sz w:val="22"/>
          <w:szCs w:val="22"/>
        </w:rPr>
        <w:t>a randomised placebo-controlled trial (</w:t>
      </w:r>
      <w:r w:rsidR="002A260C" w:rsidRPr="00000763">
        <w:rPr>
          <w:rFonts w:ascii="Arial" w:hAnsi="Arial"/>
          <w:sz w:val="22"/>
          <w:szCs w:val="22"/>
        </w:rPr>
        <w:t>STRIVE</w:t>
      </w:r>
      <w:r w:rsidR="00401AE4">
        <w:rPr>
          <w:rFonts w:ascii="Arial" w:hAnsi="Arial"/>
          <w:sz w:val="22"/>
          <w:szCs w:val="22"/>
        </w:rPr>
        <w:t>)</w:t>
      </w:r>
      <w:r w:rsidR="002A260C" w:rsidRPr="00000763">
        <w:rPr>
          <w:rFonts w:ascii="Arial" w:hAnsi="Arial"/>
          <w:sz w:val="22"/>
          <w:szCs w:val="22"/>
        </w:rPr>
        <w:t xml:space="preserve"> and </w:t>
      </w:r>
      <w:r w:rsidR="00F34101">
        <w:rPr>
          <w:rFonts w:ascii="Arial" w:hAnsi="Arial"/>
          <w:sz w:val="22"/>
          <w:szCs w:val="22"/>
        </w:rPr>
        <w:t xml:space="preserve">from </w:t>
      </w:r>
      <w:r w:rsidR="00785F08" w:rsidRPr="00000763">
        <w:rPr>
          <w:rFonts w:ascii="Arial" w:hAnsi="Arial"/>
          <w:sz w:val="22"/>
          <w:szCs w:val="22"/>
        </w:rPr>
        <w:t xml:space="preserve">an open-label extension study of </w:t>
      </w:r>
      <w:r w:rsidR="00401AE4">
        <w:rPr>
          <w:rFonts w:ascii="Arial" w:hAnsi="Arial"/>
          <w:sz w:val="22"/>
          <w:szCs w:val="22"/>
        </w:rPr>
        <w:t>two randomised controlled trials (</w:t>
      </w:r>
      <w:r w:rsidR="00785F08" w:rsidRPr="00000763">
        <w:rPr>
          <w:rFonts w:ascii="Arial" w:hAnsi="Arial"/>
          <w:sz w:val="22"/>
          <w:szCs w:val="22"/>
        </w:rPr>
        <w:t>STRIVE and ENVISION</w:t>
      </w:r>
      <w:r w:rsidR="00401AE4">
        <w:rPr>
          <w:rFonts w:ascii="Arial" w:hAnsi="Arial"/>
          <w:sz w:val="22"/>
          <w:szCs w:val="22"/>
        </w:rPr>
        <w:t>)</w:t>
      </w:r>
      <w:r w:rsidR="00785F08" w:rsidRPr="00000763">
        <w:rPr>
          <w:rFonts w:ascii="Arial" w:hAnsi="Arial"/>
          <w:sz w:val="22"/>
          <w:szCs w:val="22"/>
        </w:rPr>
        <w:t xml:space="preserve">, namely </w:t>
      </w:r>
      <w:r w:rsidR="002A260C" w:rsidRPr="00000763">
        <w:rPr>
          <w:rFonts w:ascii="Arial" w:hAnsi="Arial"/>
          <w:sz w:val="22"/>
          <w:szCs w:val="22"/>
        </w:rPr>
        <w:t>PERSIS</w:t>
      </w:r>
      <w:r w:rsidR="005B5913" w:rsidRPr="00000763">
        <w:rPr>
          <w:rFonts w:ascii="Arial" w:hAnsi="Arial"/>
          <w:sz w:val="22"/>
          <w:szCs w:val="22"/>
        </w:rPr>
        <w:t>T</w:t>
      </w:r>
      <w:r w:rsidR="002D115F" w:rsidRPr="00000763">
        <w:rPr>
          <w:rFonts w:ascii="Arial" w:hAnsi="Arial"/>
          <w:sz w:val="22"/>
          <w:szCs w:val="22"/>
        </w:rPr>
        <w:t>,</w:t>
      </w:r>
      <w:r w:rsidR="002A260C" w:rsidRPr="00000763">
        <w:rPr>
          <w:rFonts w:ascii="Arial" w:hAnsi="Arial"/>
          <w:sz w:val="22"/>
          <w:szCs w:val="22"/>
        </w:rPr>
        <w:t xml:space="preserve"> who had a FEV</w:t>
      </w:r>
      <w:r w:rsidR="002A260C" w:rsidRPr="00000763">
        <w:rPr>
          <w:rFonts w:ascii="Arial" w:hAnsi="Arial"/>
          <w:sz w:val="22"/>
          <w:szCs w:val="22"/>
          <w:vertAlign w:val="subscript"/>
        </w:rPr>
        <w:t>1</w:t>
      </w:r>
      <w:r w:rsidR="002A260C" w:rsidRPr="00000763">
        <w:rPr>
          <w:rFonts w:ascii="Arial" w:hAnsi="Arial"/>
          <w:sz w:val="22"/>
          <w:szCs w:val="22"/>
        </w:rPr>
        <w:t xml:space="preserve">&lt;40% predicted </w:t>
      </w:r>
      <w:r w:rsidR="00785F08" w:rsidRPr="00000763">
        <w:rPr>
          <w:rFonts w:ascii="Arial" w:hAnsi="Arial"/>
          <w:sz w:val="22"/>
          <w:szCs w:val="22"/>
        </w:rPr>
        <w:t xml:space="preserve">at </w:t>
      </w:r>
      <w:r w:rsidR="00FB5323">
        <w:rPr>
          <w:rFonts w:ascii="Arial" w:hAnsi="Arial"/>
          <w:sz w:val="22"/>
          <w:szCs w:val="22"/>
        </w:rPr>
        <w:t>treatment initiation</w:t>
      </w:r>
      <w:r w:rsidR="00785F08" w:rsidRPr="00000763">
        <w:rPr>
          <w:rFonts w:ascii="Arial" w:hAnsi="Arial"/>
          <w:sz w:val="22"/>
          <w:szCs w:val="22"/>
        </w:rPr>
        <w:t xml:space="preserve"> or at the time of rollover </w:t>
      </w:r>
      <w:r w:rsidR="002A260C" w:rsidRPr="00000763">
        <w:rPr>
          <w:rFonts w:ascii="Arial" w:hAnsi="Arial"/>
          <w:sz w:val="22"/>
          <w:szCs w:val="22"/>
        </w:rPr>
        <w:t>and were treated with ivacaftor</w:t>
      </w:r>
      <w:r w:rsidR="00817D1C">
        <w:rPr>
          <w:rStyle w:val="FootnoteReference"/>
          <w:rFonts w:ascii="Arial" w:hAnsi="Arial"/>
          <w:sz w:val="22"/>
          <w:szCs w:val="22"/>
        </w:rPr>
        <w:footnoteReference w:id="1"/>
      </w:r>
      <w:r w:rsidR="002A260C" w:rsidRPr="00000763">
        <w:rPr>
          <w:rFonts w:ascii="Arial" w:hAnsi="Arial"/>
          <w:sz w:val="22"/>
          <w:szCs w:val="22"/>
        </w:rPr>
        <w:t>; and</w:t>
      </w:r>
    </w:p>
    <w:p w:rsidR="009F4E46" w:rsidRPr="006176E9" w:rsidRDefault="004E2565" w:rsidP="006F3A4B">
      <w:pPr>
        <w:pStyle w:val="ListParagraph"/>
        <w:numPr>
          <w:ilvl w:val="0"/>
          <w:numId w:val="2"/>
        </w:numPr>
        <w:jc w:val="both"/>
        <w:rPr>
          <w:rFonts w:ascii="Arial" w:hAnsi="Arial"/>
          <w:sz w:val="22"/>
          <w:szCs w:val="22"/>
        </w:rPr>
      </w:pPr>
      <w:r>
        <w:rPr>
          <w:rFonts w:ascii="Arial" w:hAnsi="Arial"/>
          <w:sz w:val="22"/>
          <w:szCs w:val="22"/>
        </w:rPr>
        <w:t>Patients in the</w:t>
      </w:r>
      <w:r w:rsidR="00BC6B69" w:rsidRPr="006176E9">
        <w:rPr>
          <w:rFonts w:ascii="Arial" w:hAnsi="Arial"/>
          <w:sz w:val="22"/>
          <w:szCs w:val="22"/>
        </w:rPr>
        <w:t xml:space="preserve"> US CF Foundation </w:t>
      </w:r>
      <w:r w:rsidR="006503E6">
        <w:rPr>
          <w:rFonts w:ascii="Arial" w:hAnsi="Arial"/>
          <w:sz w:val="22"/>
          <w:szCs w:val="22"/>
        </w:rPr>
        <w:t>Patient R</w:t>
      </w:r>
      <w:r w:rsidR="00BC6B69" w:rsidRPr="006176E9">
        <w:rPr>
          <w:rFonts w:ascii="Arial" w:hAnsi="Arial"/>
          <w:sz w:val="22"/>
          <w:szCs w:val="22"/>
        </w:rPr>
        <w:t xml:space="preserve">egistry </w:t>
      </w:r>
      <w:r w:rsidR="006503E6">
        <w:rPr>
          <w:rFonts w:ascii="Arial" w:hAnsi="Arial"/>
          <w:sz w:val="22"/>
          <w:szCs w:val="22"/>
        </w:rPr>
        <w:t xml:space="preserve">(CFFPR) </w:t>
      </w:r>
      <w:r>
        <w:rPr>
          <w:rFonts w:ascii="Arial" w:hAnsi="Arial"/>
          <w:sz w:val="22"/>
          <w:szCs w:val="22"/>
        </w:rPr>
        <w:t xml:space="preserve">who received </w:t>
      </w:r>
      <w:r w:rsidR="006176E9" w:rsidRPr="006176E9">
        <w:rPr>
          <w:rFonts w:ascii="Arial" w:hAnsi="Arial"/>
          <w:sz w:val="22"/>
          <w:szCs w:val="22"/>
        </w:rPr>
        <w:t xml:space="preserve">CF </w:t>
      </w:r>
      <w:r>
        <w:rPr>
          <w:rFonts w:ascii="Arial" w:hAnsi="Arial"/>
          <w:sz w:val="22"/>
          <w:szCs w:val="22"/>
        </w:rPr>
        <w:t>treatment with</w:t>
      </w:r>
      <w:r w:rsidRPr="006176E9">
        <w:rPr>
          <w:rFonts w:ascii="Arial" w:hAnsi="Arial"/>
          <w:sz w:val="22"/>
          <w:szCs w:val="22"/>
        </w:rPr>
        <w:t xml:space="preserve"> </w:t>
      </w:r>
      <w:r w:rsidR="006176E9" w:rsidRPr="006176E9">
        <w:rPr>
          <w:rFonts w:ascii="Arial" w:hAnsi="Arial"/>
          <w:sz w:val="22"/>
          <w:szCs w:val="22"/>
        </w:rPr>
        <w:t xml:space="preserve">ivacaftor. </w:t>
      </w:r>
    </w:p>
    <w:p w:rsidR="0076420C" w:rsidRDefault="0076420C" w:rsidP="0076420C">
      <w:pPr>
        <w:ind w:left="709"/>
        <w:jc w:val="both"/>
        <w:rPr>
          <w:rFonts w:ascii="Arial" w:hAnsi="Arial"/>
          <w:sz w:val="22"/>
          <w:szCs w:val="22"/>
        </w:rPr>
      </w:pPr>
    </w:p>
    <w:p w:rsidR="0076420C" w:rsidRPr="00D84934" w:rsidRDefault="00631F92" w:rsidP="00D84934">
      <w:pPr>
        <w:pStyle w:val="NoSpacing"/>
        <w:ind w:left="709"/>
        <w:rPr>
          <w:rFonts w:ascii="Arial Narrow" w:hAnsi="Arial Narrow"/>
          <w:b/>
          <w:sz w:val="20"/>
        </w:rPr>
      </w:pPr>
      <w:r>
        <w:rPr>
          <w:rFonts w:ascii="Arial Narrow" w:hAnsi="Arial Narrow"/>
          <w:b/>
          <w:sz w:val="20"/>
        </w:rPr>
        <w:t xml:space="preserve">Table 1: </w:t>
      </w:r>
      <w:r w:rsidR="006176E9">
        <w:rPr>
          <w:rFonts w:ascii="Arial Narrow" w:hAnsi="Arial Narrow"/>
          <w:b/>
          <w:sz w:val="20"/>
        </w:rPr>
        <w:t>Studie</w:t>
      </w:r>
      <w:r w:rsidR="0076420C" w:rsidRPr="00D84934">
        <w:rPr>
          <w:rFonts w:ascii="Arial Narrow" w:hAnsi="Arial Narrow"/>
          <w:b/>
          <w:sz w:val="20"/>
        </w:rPr>
        <w:t>s and associa</w:t>
      </w:r>
      <w:r w:rsidR="00907459">
        <w:rPr>
          <w:rFonts w:ascii="Arial Narrow" w:hAnsi="Arial Narrow"/>
          <w:b/>
          <w:sz w:val="20"/>
        </w:rPr>
        <w:t xml:space="preserve">ted reports presented in the minor </w:t>
      </w:r>
      <w:r w:rsidR="0076420C" w:rsidRPr="00D84934">
        <w:rPr>
          <w:rFonts w:ascii="Arial Narrow" w:hAnsi="Arial Narrow"/>
          <w:b/>
          <w:sz w:val="20"/>
        </w:rPr>
        <w:t>submission</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969"/>
        <w:gridCol w:w="2977"/>
      </w:tblGrid>
      <w:tr w:rsidR="0076420C" w:rsidRPr="005838CB" w:rsidTr="000374F2">
        <w:trPr>
          <w:cantSplit/>
          <w:tblHeader/>
        </w:trPr>
        <w:tc>
          <w:tcPr>
            <w:tcW w:w="1559" w:type="dxa"/>
          </w:tcPr>
          <w:p w:rsidR="0076420C" w:rsidRPr="005838CB" w:rsidRDefault="00FB3E2E" w:rsidP="00907459">
            <w:pPr>
              <w:pStyle w:val="NoSpacing"/>
              <w:rPr>
                <w:rFonts w:ascii="Arial Narrow" w:hAnsi="Arial Narrow"/>
                <w:b/>
                <w:sz w:val="20"/>
              </w:rPr>
            </w:pPr>
            <w:r>
              <w:rPr>
                <w:rFonts w:ascii="Arial Narrow" w:hAnsi="Arial Narrow"/>
                <w:b/>
                <w:sz w:val="20"/>
              </w:rPr>
              <w:t>Stud</w:t>
            </w:r>
            <w:r w:rsidR="00907459">
              <w:rPr>
                <w:rFonts w:ascii="Arial Narrow" w:hAnsi="Arial Narrow"/>
                <w:b/>
                <w:sz w:val="20"/>
              </w:rPr>
              <w:t>y</w:t>
            </w:r>
          </w:p>
        </w:tc>
        <w:tc>
          <w:tcPr>
            <w:tcW w:w="3969" w:type="dxa"/>
          </w:tcPr>
          <w:p w:rsidR="0076420C" w:rsidRPr="005838CB" w:rsidRDefault="0076420C" w:rsidP="0062748A">
            <w:pPr>
              <w:keepNext/>
              <w:jc w:val="center"/>
              <w:rPr>
                <w:rFonts w:ascii="Arial Narrow" w:hAnsi="Arial Narrow"/>
                <w:b/>
                <w:sz w:val="20"/>
              </w:rPr>
            </w:pPr>
            <w:r w:rsidRPr="005838CB">
              <w:rPr>
                <w:rFonts w:ascii="Arial Narrow" w:hAnsi="Arial Narrow"/>
                <w:b/>
                <w:sz w:val="20"/>
              </w:rPr>
              <w:t>Protocol title</w:t>
            </w:r>
            <w:r w:rsidR="00FB3E2E">
              <w:rPr>
                <w:rFonts w:ascii="Arial Narrow" w:hAnsi="Arial Narrow"/>
                <w:b/>
                <w:sz w:val="20"/>
              </w:rPr>
              <w:t xml:space="preserve"> </w:t>
            </w:r>
            <w:r w:rsidRPr="005838CB">
              <w:rPr>
                <w:rFonts w:ascii="Arial Narrow" w:hAnsi="Arial Narrow"/>
                <w:b/>
                <w:sz w:val="20"/>
              </w:rPr>
              <w:t>/ Publication title</w:t>
            </w:r>
          </w:p>
        </w:tc>
        <w:tc>
          <w:tcPr>
            <w:tcW w:w="2977" w:type="dxa"/>
          </w:tcPr>
          <w:p w:rsidR="0076420C" w:rsidRPr="005838CB" w:rsidRDefault="0076420C" w:rsidP="0062748A">
            <w:pPr>
              <w:keepNext/>
              <w:rPr>
                <w:rFonts w:ascii="Arial Narrow" w:hAnsi="Arial Narrow"/>
                <w:b/>
                <w:sz w:val="20"/>
              </w:rPr>
            </w:pPr>
            <w:r w:rsidRPr="005838CB">
              <w:rPr>
                <w:rFonts w:ascii="Arial Narrow" w:hAnsi="Arial Narrow"/>
                <w:b/>
                <w:sz w:val="20"/>
              </w:rPr>
              <w:t>Publication citation</w:t>
            </w:r>
          </w:p>
        </w:tc>
      </w:tr>
      <w:tr w:rsidR="0076420C" w:rsidRPr="00FB3E2E" w:rsidTr="00335438">
        <w:trPr>
          <w:cantSplit/>
        </w:trPr>
        <w:tc>
          <w:tcPr>
            <w:tcW w:w="1559" w:type="dxa"/>
            <w:vAlign w:val="center"/>
          </w:tcPr>
          <w:p w:rsidR="0094019F" w:rsidRDefault="00907459" w:rsidP="00335438">
            <w:pPr>
              <w:pStyle w:val="NoSpacing"/>
              <w:jc w:val="left"/>
              <w:rPr>
                <w:rFonts w:ascii="Arial Narrow" w:hAnsi="Arial Narrow"/>
                <w:sz w:val="20"/>
              </w:rPr>
            </w:pPr>
            <w:r>
              <w:rPr>
                <w:rFonts w:ascii="Arial Narrow" w:hAnsi="Arial Narrow"/>
                <w:sz w:val="20"/>
              </w:rPr>
              <w:t>CAP</w:t>
            </w:r>
            <w:r w:rsidR="00B26749">
              <w:rPr>
                <w:rFonts w:ascii="Arial Narrow" w:hAnsi="Arial Narrow"/>
                <w:sz w:val="20"/>
              </w:rPr>
              <w:t xml:space="preserve"> i</w:t>
            </w:r>
            <w:r w:rsidR="0094019F">
              <w:rPr>
                <w:rFonts w:ascii="Arial Narrow" w:hAnsi="Arial Narrow"/>
                <w:sz w:val="20"/>
              </w:rPr>
              <w:t>n Australia</w:t>
            </w:r>
          </w:p>
          <w:p w:rsidR="0076420C" w:rsidRPr="00FB3E2E" w:rsidRDefault="00B26749" w:rsidP="00335438">
            <w:pPr>
              <w:pStyle w:val="NoSpacing"/>
              <w:jc w:val="left"/>
              <w:rPr>
                <w:rFonts w:ascii="Arial Narrow" w:hAnsi="Arial Narrow"/>
                <w:sz w:val="20"/>
              </w:rPr>
            </w:pPr>
            <w:r>
              <w:rPr>
                <w:rFonts w:ascii="Arial Narrow" w:hAnsi="Arial Narrow"/>
                <w:sz w:val="20"/>
              </w:rPr>
              <w:t>(</w:t>
            </w:r>
            <w:r w:rsidR="005F6376">
              <w:rPr>
                <w:rFonts w:ascii="Arial Narrow" w:hAnsi="Arial Narrow"/>
                <w:sz w:val="20"/>
              </w:rPr>
              <w:t>Wainwright 2014</w:t>
            </w:r>
            <w:r>
              <w:rPr>
                <w:rFonts w:ascii="Arial Narrow" w:hAnsi="Arial Narrow"/>
                <w:sz w:val="20"/>
              </w:rPr>
              <w:t>)</w:t>
            </w:r>
          </w:p>
        </w:tc>
        <w:tc>
          <w:tcPr>
            <w:tcW w:w="3969" w:type="dxa"/>
          </w:tcPr>
          <w:p w:rsidR="0076420C" w:rsidRPr="00FB3E2E" w:rsidRDefault="00FB3E2E" w:rsidP="00FB3E2E">
            <w:pPr>
              <w:keepNext/>
              <w:rPr>
                <w:rFonts w:ascii="Arial Narrow" w:hAnsi="Arial Narrow"/>
                <w:sz w:val="20"/>
              </w:rPr>
            </w:pPr>
            <w:r w:rsidRPr="00FB3E2E">
              <w:rPr>
                <w:rFonts w:ascii="Arial Narrow" w:hAnsi="Arial Narrow"/>
                <w:sz w:val="20"/>
              </w:rPr>
              <w:t>Wainwright C.</w:t>
            </w:r>
            <w:r>
              <w:rPr>
                <w:rFonts w:ascii="Arial Narrow" w:hAnsi="Arial Narrow"/>
                <w:sz w:val="20"/>
              </w:rPr>
              <w:t xml:space="preserve">, Bell S. Morton J., </w:t>
            </w:r>
            <w:r>
              <w:rPr>
                <w:rFonts w:ascii="Arial Narrow" w:hAnsi="Arial Narrow"/>
                <w:i/>
                <w:sz w:val="20"/>
              </w:rPr>
              <w:t>et al</w:t>
            </w:r>
            <w:r w:rsidR="00FE0377">
              <w:rPr>
                <w:rFonts w:ascii="Arial Narrow" w:hAnsi="Arial Narrow"/>
                <w:i/>
                <w:sz w:val="20"/>
              </w:rPr>
              <w:t>.</w:t>
            </w:r>
            <w:r w:rsidRPr="00FB3E2E">
              <w:rPr>
                <w:rFonts w:ascii="Arial Narrow" w:hAnsi="Arial Narrow"/>
                <w:sz w:val="20"/>
              </w:rPr>
              <w:t xml:space="preserve"> The effect of ivacaftor in individuals with cystic fibrosis and severe lung disease: analysis of data from the Australian Named Patient Program</w:t>
            </w:r>
            <w:r w:rsidR="00907459">
              <w:rPr>
                <w:rFonts w:ascii="Arial Narrow" w:hAnsi="Arial Narrow"/>
                <w:sz w:val="20"/>
              </w:rPr>
              <w:t>.</w:t>
            </w:r>
            <w:r>
              <w:rPr>
                <w:rFonts w:ascii="Arial Narrow" w:hAnsi="Arial Narrow"/>
                <w:sz w:val="20"/>
              </w:rPr>
              <w:t xml:space="preserve"> (Abstract)</w:t>
            </w:r>
          </w:p>
        </w:tc>
        <w:tc>
          <w:tcPr>
            <w:tcW w:w="2977" w:type="dxa"/>
          </w:tcPr>
          <w:p w:rsidR="0076420C" w:rsidRPr="00FB3E2E" w:rsidRDefault="0092547D" w:rsidP="0092547D">
            <w:pPr>
              <w:keepNext/>
              <w:rPr>
                <w:rFonts w:ascii="Arial Narrow" w:hAnsi="Arial Narrow"/>
                <w:sz w:val="20"/>
              </w:rPr>
            </w:pPr>
            <w:r w:rsidRPr="0092547D">
              <w:rPr>
                <w:rFonts w:ascii="Arial Narrow" w:hAnsi="Arial Narrow"/>
                <w:sz w:val="20"/>
              </w:rPr>
              <w:t>Annual Scientific Meeting of the Thoracic Society of Australia and New Zealand and the Australian and New Zealand Soc</w:t>
            </w:r>
            <w:r>
              <w:rPr>
                <w:rFonts w:ascii="Arial Narrow" w:hAnsi="Arial Narrow"/>
                <w:sz w:val="20"/>
              </w:rPr>
              <w:t>iety of Respiratory Science, Adelaide,</w:t>
            </w:r>
            <w:r w:rsidRPr="0092547D">
              <w:rPr>
                <w:rFonts w:ascii="Arial Narrow" w:hAnsi="Arial Narrow"/>
                <w:sz w:val="20"/>
              </w:rPr>
              <w:t xml:space="preserve"> Australia</w:t>
            </w:r>
            <w:r>
              <w:rPr>
                <w:rFonts w:ascii="Arial Narrow" w:hAnsi="Arial Narrow"/>
                <w:sz w:val="20"/>
              </w:rPr>
              <w:t xml:space="preserve">, </w:t>
            </w:r>
            <w:r w:rsidRPr="0092547D">
              <w:rPr>
                <w:rFonts w:ascii="Arial Narrow" w:hAnsi="Arial Narrow"/>
                <w:sz w:val="20"/>
              </w:rPr>
              <w:t>4-9 April 2014</w:t>
            </w:r>
          </w:p>
        </w:tc>
      </w:tr>
      <w:tr w:rsidR="0076420C" w:rsidRPr="00FB3E2E" w:rsidTr="00335438">
        <w:trPr>
          <w:cantSplit/>
        </w:trPr>
        <w:tc>
          <w:tcPr>
            <w:tcW w:w="1559" w:type="dxa"/>
            <w:vAlign w:val="center"/>
          </w:tcPr>
          <w:p w:rsidR="0094019F" w:rsidRDefault="00B26749" w:rsidP="00335438">
            <w:pPr>
              <w:pStyle w:val="NoSpacing"/>
              <w:jc w:val="left"/>
              <w:rPr>
                <w:rFonts w:ascii="Arial Narrow" w:hAnsi="Arial Narrow"/>
                <w:sz w:val="20"/>
              </w:rPr>
            </w:pPr>
            <w:r>
              <w:rPr>
                <w:rFonts w:ascii="Arial Narrow" w:hAnsi="Arial Narrow"/>
                <w:sz w:val="20"/>
              </w:rPr>
              <w:t>CAP in</w:t>
            </w:r>
            <w:r w:rsidR="0094019F">
              <w:rPr>
                <w:rFonts w:ascii="Arial Narrow" w:hAnsi="Arial Narrow"/>
                <w:sz w:val="20"/>
              </w:rPr>
              <w:t xml:space="preserve"> UK/Ireland</w:t>
            </w:r>
          </w:p>
          <w:p w:rsidR="0076420C" w:rsidRPr="00FB3E2E" w:rsidRDefault="00913303" w:rsidP="00335438">
            <w:pPr>
              <w:pStyle w:val="NoSpacing"/>
              <w:jc w:val="left"/>
              <w:rPr>
                <w:rFonts w:ascii="Arial Narrow" w:hAnsi="Arial Narrow"/>
                <w:sz w:val="20"/>
              </w:rPr>
            </w:pPr>
            <w:r>
              <w:rPr>
                <w:rFonts w:ascii="Arial Narrow" w:hAnsi="Arial Narrow"/>
                <w:sz w:val="20"/>
              </w:rPr>
              <w:t>(</w:t>
            </w:r>
            <w:r w:rsidR="005F6376">
              <w:rPr>
                <w:rFonts w:ascii="Arial Narrow" w:hAnsi="Arial Narrow"/>
                <w:sz w:val="20"/>
              </w:rPr>
              <w:t>Barry 2010</w:t>
            </w:r>
            <w:r>
              <w:rPr>
                <w:rFonts w:ascii="Arial Narrow" w:hAnsi="Arial Narrow"/>
                <w:sz w:val="20"/>
              </w:rPr>
              <w:t>)</w:t>
            </w:r>
          </w:p>
        </w:tc>
        <w:tc>
          <w:tcPr>
            <w:tcW w:w="3969" w:type="dxa"/>
          </w:tcPr>
          <w:p w:rsidR="0076420C" w:rsidRPr="00FB3E2E" w:rsidRDefault="00FE0377" w:rsidP="0062748A">
            <w:pPr>
              <w:keepNext/>
              <w:rPr>
                <w:rFonts w:ascii="Arial Narrow" w:hAnsi="Arial Narrow"/>
                <w:sz w:val="20"/>
              </w:rPr>
            </w:pPr>
            <w:r>
              <w:rPr>
                <w:rFonts w:ascii="Arial Narrow" w:hAnsi="Arial Narrow"/>
                <w:sz w:val="20"/>
              </w:rPr>
              <w:t xml:space="preserve">Barry P.J., </w:t>
            </w:r>
            <w:r w:rsidRPr="00FE0377">
              <w:rPr>
                <w:rFonts w:ascii="Arial Narrow" w:hAnsi="Arial Narrow"/>
                <w:sz w:val="20"/>
              </w:rPr>
              <w:t xml:space="preserve">Plant B.J., Nair A., </w:t>
            </w:r>
            <w:r w:rsidRPr="00FE0377">
              <w:rPr>
                <w:rFonts w:ascii="Arial Narrow" w:hAnsi="Arial Narrow"/>
                <w:i/>
                <w:sz w:val="20"/>
              </w:rPr>
              <w:t xml:space="preserve">et al. </w:t>
            </w:r>
            <w:r w:rsidRPr="00FE0377">
              <w:rPr>
                <w:rFonts w:ascii="Arial Narrow" w:hAnsi="Arial Narrow"/>
                <w:sz w:val="20"/>
              </w:rPr>
              <w:t>Effects of Ivacaftor in cystic fibrosis patients carrying the G551D mutation with severe lung disease</w:t>
            </w:r>
            <w:r>
              <w:rPr>
                <w:rFonts w:ascii="Arial Narrow" w:hAnsi="Arial Narrow"/>
                <w:sz w:val="20"/>
              </w:rPr>
              <w:t>.</w:t>
            </w:r>
          </w:p>
        </w:tc>
        <w:tc>
          <w:tcPr>
            <w:tcW w:w="2977" w:type="dxa"/>
          </w:tcPr>
          <w:p w:rsidR="0076420C" w:rsidRPr="00FE0377" w:rsidRDefault="00FE0377" w:rsidP="00FE0377">
            <w:pPr>
              <w:keepNext/>
              <w:rPr>
                <w:rFonts w:ascii="Arial Narrow" w:hAnsi="Arial Narrow"/>
                <w:sz w:val="20"/>
              </w:rPr>
            </w:pPr>
            <w:r>
              <w:rPr>
                <w:rFonts w:ascii="Arial Narrow" w:hAnsi="Arial Narrow"/>
                <w:i/>
                <w:sz w:val="20"/>
              </w:rPr>
              <w:t xml:space="preserve">Chest </w:t>
            </w:r>
            <w:r>
              <w:rPr>
                <w:rFonts w:ascii="Arial Narrow" w:hAnsi="Arial Narrow"/>
                <w:sz w:val="20"/>
              </w:rPr>
              <w:t>2010; 146(1): 152-8.</w:t>
            </w:r>
          </w:p>
        </w:tc>
      </w:tr>
      <w:tr w:rsidR="00FE0377" w:rsidRPr="00FB3E2E" w:rsidTr="00335438">
        <w:trPr>
          <w:cantSplit/>
        </w:trPr>
        <w:tc>
          <w:tcPr>
            <w:tcW w:w="1559" w:type="dxa"/>
            <w:vAlign w:val="center"/>
          </w:tcPr>
          <w:p w:rsidR="0094019F" w:rsidRDefault="00913303" w:rsidP="00335438">
            <w:pPr>
              <w:pStyle w:val="NoSpacing"/>
              <w:jc w:val="left"/>
              <w:rPr>
                <w:rFonts w:ascii="Arial Narrow" w:hAnsi="Arial Narrow"/>
                <w:sz w:val="20"/>
              </w:rPr>
            </w:pPr>
            <w:r>
              <w:rPr>
                <w:rFonts w:ascii="Arial Narrow" w:hAnsi="Arial Narrow"/>
                <w:sz w:val="20"/>
              </w:rPr>
              <w:t>CAPs i</w:t>
            </w:r>
            <w:r w:rsidR="0094019F">
              <w:rPr>
                <w:rFonts w:ascii="Arial Narrow" w:hAnsi="Arial Narrow"/>
                <w:sz w:val="20"/>
              </w:rPr>
              <w:t>n Germany</w:t>
            </w:r>
          </w:p>
          <w:p w:rsidR="00FE0377" w:rsidRPr="00FE0377" w:rsidRDefault="00913303" w:rsidP="00335438">
            <w:pPr>
              <w:pStyle w:val="NoSpacing"/>
              <w:jc w:val="left"/>
              <w:rPr>
                <w:rFonts w:ascii="Arial Narrow" w:hAnsi="Arial Narrow"/>
                <w:sz w:val="20"/>
              </w:rPr>
            </w:pPr>
            <w:r>
              <w:rPr>
                <w:rFonts w:ascii="Arial Narrow" w:hAnsi="Arial Narrow"/>
                <w:sz w:val="20"/>
              </w:rPr>
              <w:t>(</w:t>
            </w:r>
            <w:r w:rsidR="005F6376">
              <w:rPr>
                <w:rFonts w:ascii="Arial Narrow" w:hAnsi="Arial Narrow"/>
                <w:sz w:val="20"/>
              </w:rPr>
              <w:t>Hebestreit 2013</w:t>
            </w:r>
            <w:r>
              <w:rPr>
                <w:rFonts w:ascii="Arial Narrow" w:hAnsi="Arial Narrow"/>
                <w:sz w:val="20"/>
              </w:rPr>
              <w:t>)</w:t>
            </w:r>
          </w:p>
        </w:tc>
        <w:tc>
          <w:tcPr>
            <w:tcW w:w="3969" w:type="dxa"/>
          </w:tcPr>
          <w:p w:rsidR="00FE0377" w:rsidRPr="00FE0377" w:rsidRDefault="00FE0377" w:rsidP="0062748A">
            <w:pPr>
              <w:keepNext/>
              <w:rPr>
                <w:rFonts w:ascii="Arial Narrow" w:hAnsi="Arial Narrow"/>
                <w:sz w:val="20"/>
              </w:rPr>
            </w:pPr>
            <w:r>
              <w:rPr>
                <w:rFonts w:ascii="Arial Narrow" w:hAnsi="Arial Narrow"/>
                <w:sz w:val="20"/>
              </w:rPr>
              <w:t xml:space="preserve">Hebestreit H., Sauer-Heiborn A., Fischer R., </w:t>
            </w:r>
            <w:r>
              <w:rPr>
                <w:rFonts w:ascii="Arial Narrow" w:hAnsi="Arial Narrow"/>
                <w:i/>
                <w:sz w:val="20"/>
              </w:rPr>
              <w:t xml:space="preserve">et al. </w:t>
            </w:r>
            <w:r w:rsidRPr="00FE0377">
              <w:rPr>
                <w:rFonts w:ascii="Arial Narrow" w:hAnsi="Arial Narrow"/>
                <w:sz w:val="20"/>
              </w:rPr>
              <w:t>Effects of ivacaftor on severely ill patients with cystic fibrosis carrying a G551D mutation</w:t>
            </w:r>
          </w:p>
        </w:tc>
        <w:tc>
          <w:tcPr>
            <w:tcW w:w="2977" w:type="dxa"/>
          </w:tcPr>
          <w:p w:rsidR="00FE0377" w:rsidRPr="00FE0377" w:rsidRDefault="00FE0377" w:rsidP="00FE0377">
            <w:pPr>
              <w:keepNext/>
              <w:rPr>
                <w:rFonts w:ascii="Arial Narrow" w:hAnsi="Arial Narrow"/>
                <w:sz w:val="20"/>
              </w:rPr>
            </w:pPr>
            <w:r>
              <w:rPr>
                <w:rFonts w:ascii="Arial Narrow" w:hAnsi="Arial Narrow"/>
                <w:i/>
                <w:sz w:val="20"/>
              </w:rPr>
              <w:t xml:space="preserve">Journal of Cystic Fibrosis </w:t>
            </w:r>
            <w:r>
              <w:rPr>
                <w:rFonts w:ascii="Arial Narrow" w:hAnsi="Arial Narrow"/>
                <w:sz w:val="20"/>
              </w:rPr>
              <w:t>2013; 12: 599-603</w:t>
            </w:r>
          </w:p>
        </w:tc>
      </w:tr>
      <w:tr w:rsidR="00FE0377" w:rsidRPr="00FB3E2E" w:rsidTr="00335438">
        <w:trPr>
          <w:cantSplit/>
          <w:trHeight w:val="779"/>
        </w:trPr>
        <w:tc>
          <w:tcPr>
            <w:tcW w:w="1559" w:type="dxa"/>
            <w:vAlign w:val="center"/>
          </w:tcPr>
          <w:p w:rsidR="0094019F" w:rsidRDefault="00913303" w:rsidP="00335438">
            <w:pPr>
              <w:pStyle w:val="NoSpacing"/>
              <w:jc w:val="left"/>
              <w:rPr>
                <w:rFonts w:ascii="Arial Narrow" w:hAnsi="Arial Narrow"/>
                <w:sz w:val="20"/>
              </w:rPr>
            </w:pPr>
            <w:r>
              <w:rPr>
                <w:rFonts w:ascii="Arial Narrow" w:hAnsi="Arial Narrow"/>
                <w:sz w:val="20"/>
              </w:rPr>
              <w:t>CAP i</w:t>
            </w:r>
            <w:r w:rsidR="0094019F">
              <w:rPr>
                <w:rFonts w:ascii="Arial Narrow" w:hAnsi="Arial Narrow"/>
                <w:sz w:val="20"/>
              </w:rPr>
              <w:t>n France</w:t>
            </w:r>
            <w:r>
              <w:rPr>
                <w:rFonts w:ascii="Arial Narrow" w:hAnsi="Arial Narrow"/>
                <w:sz w:val="20"/>
              </w:rPr>
              <w:t xml:space="preserve"> </w:t>
            </w:r>
          </w:p>
          <w:p w:rsidR="00FE0377" w:rsidRPr="00FB3E2E" w:rsidRDefault="00913303" w:rsidP="00335438">
            <w:pPr>
              <w:pStyle w:val="NoSpacing"/>
              <w:jc w:val="left"/>
              <w:rPr>
                <w:rFonts w:ascii="Arial Narrow" w:hAnsi="Arial Narrow"/>
                <w:sz w:val="20"/>
              </w:rPr>
            </w:pPr>
            <w:r>
              <w:rPr>
                <w:rFonts w:ascii="Arial Narrow" w:hAnsi="Arial Narrow"/>
                <w:sz w:val="20"/>
              </w:rPr>
              <w:t>(</w:t>
            </w:r>
            <w:r w:rsidR="005F6376">
              <w:rPr>
                <w:rFonts w:ascii="Arial Narrow" w:hAnsi="Arial Narrow"/>
                <w:sz w:val="20"/>
              </w:rPr>
              <w:t>ATU study</w:t>
            </w:r>
            <w:r>
              <w:rPr>
                <w:rFonts w:ascii="Arial Narrow" w:hAnsi="Arial Narrow"/>
                <w:sz w:val="20"/>
              </w:rPr>
              <w:t>)</w:t>
            </w:r>
          </w:p>
        </w:tc>
        <w:tc>
          <w:tcPr>
            <w:tcW w:w="3969" w:type="dxa"/>
          </w:tcPr>
          <w:p w:rsidR="00FE0377" w:rsidRDefault="00FE0377" w:rsidP="00C6395F">
            <w:pPr>
              <w:keepNext/>
              <w:rPr>
                <w:rFonts w:ascii="Arial Narrow" w:hAnsi="Arial Narrow"/>
                <w:sz w:val="20"/>
              </w:rPr>
            </w:pPr>
            <w:r w:rsidRPr="00FE0377">
              <w:rPr>
                <w:rFonts w:ascii="Arial Narrow" w:hAnsi="Arial Narrow"/>
                <w:sz w:val="20"/>
              </w:rPr>
              <w:t>ATU Cohor</w:t>
            </w:r>
            <w:r w:rsidR="00C6395F">
              <w:rPr>
                <w:rFonts w:ascii="Arial Narrow" w:hAnsi="Arial Narrow"/>
                <w:sz w:val="20"/>
              </w:rPr>
              <w:t>t Periodic Report</w:t>
            </w:r>
            <w:r w:rsidRPr="00FE0377">
              <w:rPr>
                <w:rFonts w:ascii="Arial Narrow" w:hAnsi="Arial Narrow"/>
                <w:sz w:val="20"/>
              </w:rPr>
              <w:t>. Temporary authorisation of use (ATU) periodic cohort report: Periodic safety and efficacy report of t</w:t>
            </w:r>
            <w:r w:rsidR="00907459">
              <w:rPr>
                <w:rFonts w:ascii="Arial Narrow" w:hAnsi="Arial Narrow"/>
                <w:sz w:val="20"/>
              </w:rPr>
              <w:t>he use of VX-770 (ivacaftor 150</w:t>
            </w:r>
            <w:r w:rsidRPr="00FE0377">
              <w:rPr>
                <w:rFonts w:ascii="Arial Narrow" w:hAnsi="Arial Narrow"/>
                <w:sz w:val="20"/>
              </w:rPr>
              <w:t>mg) in the French ATU cohort. Reporting period: 21 July 2012 – 12 October 2012</w:t>
            </w:r>
          </w:p>
        </w:tc>
        <w:tc>
          <w:tcPr>
            <w:tcW w:w="2977" w:type="dxa"/>
          </w:tcPr>
          <w:p w:rsidR="00FE0377" w:rsidRDefault="00C6395F" w:rsidP="00FE0377">
            <w:pPr>
              <w:keepNext/>
              <w:rPr>
                <w:rFonts w:ascii="Arial Narrow" w:hAnsi="Arial Narrow"/>
                <w:i/>
                <w:sz w:val="20"/>
              </w:rPr>
            </w:pPr>
            <w:r w:rsidRPr="00FE0377">
              <w:rPr>
                <w:rFonts w:ascii="Arial Narrow" w:hAnsi="Arial Narrow"/>
                <w:sz w:val="20"/>
              </w:rPr>
              <w:t>November, 2012</w:t>
            </w:r>
          </w:p>
        </w:tc>
      </w:tr>
      <w:tr w:rsidR="00FE0377" w:rsidRPr="00FB3E2E" w:rsidTr="00335438">
        <w:trPr>
          <w:cantSplit/>
        </w:trPr>
        <w:tc>
          <w:tcPr>
            <w:tcW w:w="1559" w:type="dxa"/>
            <w:vAlign w:val="center"/>
          </w:tcPr>
          <w:p w:rsidR="0094019F" w:rsidRDefault="00907459" w:rsidP="00335438">
            <w:pPr>
              <w:pStyle w:val="NoSpacing"/>
              <w:jc w:val="left"/>
              <w:rPr>
                <w:rFonts w:ascii="Arial Narrow" w:hAnsi="Arial Narrow"/>
                <w:sz w:val="20"/>
              </w:rPr>
            </w:pPr>
            <w:r>
              <w:rPr>
                <w:rFonts w:ascii="Arial Narrow" w:hAnsi="Arial Narrow"/>
                <w:sz w:val="20"/>
              </w:rPr>
              <w:t>CAP</w:t>
            </w:r>
            <w:r w:rsidR="00913303">
              <w:rPr>
                <w:rFonts w:ascii="Arial Narrow" w:hAnsi="Arial Narrow"/>
                <w:sz w:val="20"/>
              </w:rPr>
              <w:t xml:space="preserve"> i</w:t>
            </w:r>
            <w:r w:rsidR="0094019F">
              <w:rPr>
                <w:rFonts w:ascii="Arial Narrow" w:hAnsi="Arial Narrow"/>
                <w:sz w:val="20"/>
              </w:rPr>
              <w:t>n US</w:t>
            </w:r>
          </w:p>
          <w:p w:rsidR="00FE0377" w:rsidRPr="00FB3E2E" w:rsidRDefault="00913303" w:rsidP="00335438">
            <w:pPr>
              <w:pStyle w:val="NoSpacing"/>
              <w:jc w:val="left"/>
              <w:rPr>
                <w:rFonts w:ascii="Arial Narrow" w:hAnsi="Arial Narrow"/>
                <w:sz w:val="20"/>
              </w:rPr>
            </w:pPr>
            <w:r>
              <w:rPr>
                <w:rFonts w:ascii="Arial Narrow" w:hAnsi="Arial Narrow"/>
                <w:sz w:val="20"/>
              </w:rPr>
              <w:t>(</w:t>
            </w:r>
            <w:r w:rsidR="005F6376">
              <w:rPr>
                <w:rFonts w:ascii="Arial Narrow" w:hAnsi="Arial Narrow"/>
                <w:sz w:val="20"/>
              </w:rPr>
              <w:t>Taylor-Cousar 2015</w:t>
            </w:r>
            <w:r>
              <w:rPr>
                <w:rFonts w:ascii="Arial Narrow" w:hAnsi="Arial Narrow"/>
                <w:sz w:val="20"/>
              </w:rPr>
              <w:t>)</w:t>
            </w:r>
          </w:p>
        </w:tc>
        <w:tc>
          <w:tcPr>
            <w:tcW w:w="3969" w:type="dxa"/>
          </w:tcPr>
          <w:p w:rsidR="00FE0377" w:rsidRDefault="005F6376" w:rsidP="0062748A">
            <w:pPr>
              <w:keepNext/>
              <w:rPr>
                <w:rFonts w:ascii="Arial Narrow" w:hAnsi="Arial Narrow"/>
                <w:sz w:val="20"/>
              </w:rPr>
            </w:pPr>
            <w:r w:rsidRPr="005F6376">
              <w:rPr>
                <w:rFonts w:ascii="Arial Narrow" w:hAnsi="Arial Narrow"/>
                <w:sz w:val="20"/>
              </w:rPr>
              <w:t>Taylor-Cousar J</w:t>
            </w:r>
            <w:r>
              <w:rPr>
                <w:rFonts w:ascii="Arial Narrow" w:hAnsi="Arial Narrow"/>
                <w:sz w:val="20"/>
              </w:rPr>
              <w:t>., Niknian M., Gilmartin G.,</w:t>
            </w:r>
            <w:r w:rsidRPr="005F6376">
              <w:rPr>
                <w:rFonts w:ascii="Arial Narrow" w:hAnsi="Arial Narrow"/>
                <w:sz w:val="20"/>
              </w:rPr>
              <w:t xml:space="preserve"> </w:t>
            </w:r>
            <w:r w:rsidRPr="005F6376">
              <w:rPr>
                <w:rFonts w:ascii="Arial Narrow" w:hAnsi="Arial Narrow"/>
                <w:i/>
                <w:sz w:val="20"/>
              </w:rPr>
              <w:t>et al</w:t>
            </w:r>
            <w:r w:rsidRPr="005F6376">
              <w:rPr>
                <w:rFonts w:ascii="Arial Narrow" w:hAnsi="Arial Narrow"/>
                <w:sz w:val="20"/>
              </w:rPr>
              <w:t>. Effect of ivacaftor in patients with advanced cystic fibrosis and a G551D-CFTR mutation: Safety and efficacy in an expanded access program in the United States.</w:t>
            </w:r>
          </w:p>
        </w:tc>
        <w:tc>
          <w:tcPr>
            <w:tcW w:w="2977" w:type="dxa"/>
          </w:tcPr>
          <w:p w:rsidR="00FE0377" w:rsidRPr="005F6376" w:rsidRDefault="005F6376" w:rsidP="00FE0377">
            <w:pPr>
              <w:keepNext/>
              <w:rPr>
                <w:rFonts w:ascii="Arial Narrow" w:hAnsi="Arial Narrow"/>
                <w:sz w:val="20"/>
              </w:rPr>
            </w:pPr>
            <w:r>
              <w:rPr>
                <w:rFonts w:ascii="Arial Narrow" w:hAnsi="Arial Narrow"/>
                <w:i/>
                <w:sz w:val="20"/>
              </w:rPr>
              <w:t xml:space="preserve">Journal of Cystic fibrosis </w:t>
            </w:r>
            <w:r>
              <w:rPr>
                <w:rFonts w:ascii="Arial Narrow" w:hAnsi="Arial Narrow"/>
                <w:sz w:val="20"/>
              </w:rPr>
              <w:t>2015 [In press]</w:t>
            </w:r>
          </w:p>
        </w:tc>
      </w:tr>
      <w:tr w:rsidR="00FE0377" w:rsidRPr="00FB3E2E" w:rsidTr="00335438">
        <w:trPr>
          <w:cantSplit/>
        </w:trPr>
        <w:tc>
          <w:tcPr>
            <w:tcW w:w="1559" w:type="dxa"/>
            <w:vAlign w:val="center"/>
          </w:tcPr>
          <w:p w:rsidR="00913303" w:rsidRPr="00FB3E2E" w:rsidRDefault="009B0CF1" w:rsidP="00335438">
            <w:pPr>
              <w:pStyle w:val="NoSpacing"/>
              <w:jc w:val="left"/>
              <w:rPr>
                <w:rFonts w:ascii="Arial Narrow" w:hAnsi="Arial Narrow"/>
                <w:sz w:val="20"/>
              </w:rPr>
            </w:pPr>
            <w:r>
              <w:rPr>
                <w:rFonts w:ascii="Arial Narrow" w:hAnsi="Arial Narrow"/>
                <w:sz w:val="20"/>
              </w:rPr>
              <w:t xml:space="preserve">Severe disease subgroups in </w:t>
            </w:r>
            <w:r w:rsidR="008F40DD">
              <w:rPr>
                <w:rFonts w:ascii="Arial Narrow" w:hAnsi="Arial Narrow"/>
                <w:sz w:val="20"/>
              </w:rPr>
              <w:t xml:space="preserve">STRIVE and PERSIST </w:t>
            </w:r>
            <w:r w:rsidR="00913303">
              <w:rPr>
                <w:rFonts w:ascii="Arial Narrow" w:hAnsi="Arial Narrow"/>
                <w:sz w:val="20"/>
              </w:rPr>
              <w:t>(</w:t>
            </w:r>
            <w:r w:rsidR="005B5913">
              <w:rPr>
                <w:rFonts w:ascii="Arial Narrow" w:hAnsi="Arial Narrow"/>
                <w:sz w:val="20"/>
              </w:rPr>
              <w:t>Bell 2013</w:t>
            </w:r>
            <w:r w:rsidR="00913303">
              <w:rPr>
                <w:rFonts w:ascii="Arial Narrow" w:hAnsi="Arial Narrow"/>
                <w:sz w:val="20"/>
              </w:rPr>
              <w:t>)</w:t>
            </w:r>
          </w:p>
        </w:tc>
        <w:tc>
          <w:tcPr>
            <w:tcW w:w="3969" w:type="dxa"/>
          </w:tcPr>
          <w:p w:rsidR="00FE0377" w:rsidRDefault="007A2280" w:rsidP="005B5913">
            <w:pPr>
              <w:keepNext/>
              <w:rPr>
                <w:rFonts w:ascii="Arial Narrow" w:hAnsi="Arial Narrow"/>
                <w:sz w:val="20"/>
              </w:rPr>
            </w:pPr>
            <w:r>
              <w:rPr>
                <w:rFonts w:ascii="Arial Narrow" w:hAnsi="Arial Narrow"/>
                <w:sz w:val="20"/>
              </w:rPr>
              <w:t>Bell S., R</w:t>
            </w:r>
            <w:r w:rsidR="005B5913">
              <w:rPr>
                <w:rFonts w:ascii="Arial Narrow" w:hAnsi="Arial Narrow"/>
                <w:sz w:val="20"/>
              </w:rPr>
              <w:t xml:space="preserve">odriguez S. and Lubarsky B. </w:t>
            </w:r>
            <w:r w:rsidR="005B5913" w:rsidRPr="005B5913">
              <w:rPr>
                <w:rFonts w:ascii="Arial Narrow" w:hAnsi="Arial Narrow"/>
                <w:sz w:val="20"/>
              </w:rPr>
              <w:t xml:space="preserve">Effect of </w:t>
            </w:r>
            <w:r w:rsidR="005B5913">
              <w:rPr>
                <w:rFonts w:ascii="Arial Narrow" w:hAnsi="Arial Narrow"/>
                <w:sz w:val="20"/>
              </w:rPr>
              <w:t>i</w:t>
            </w:r>
            <w:r w:rsidR="005B5913" w:rsidRPr="005B5913">
              <w:rPr>
                <w:rFonts w:ascii="Arial Narrow" w:hAnsi="Arial Narrow"/>
                <w:sz w:val="20"/>
              </w:rPr>
              <w:t xml:space="preserve">vacaftor in </w:t>
            </w:r>
            <w:r w:rsidR="005B5913">
              <w:rPr>
                <w:rFonts w:ascii="Arial Narrow" w:hAnsi="Arial Narrow"/>
                <w:sz w:val="20"/>
              </w:rPr>
              <w:t>p</w:t>
            </w:r>
            <w:r w:rsidR="005B5913" w:rsidRPr="005B5913">
              <w:rPr>
                <w:rFonts w:ascii="Arial Narrow" w:hAnsi="Arial Narrow"/>
                <w:sz w:val="20"/>
              </w:rPr>
              <w:t xml:space="preserve">atients with </w:t>
            </w:r>
            <w:r w:rsidR="005B5913">
              <w:rPr>
                <w:rFonts w:ascii="Arial Narrow" w:hAnsi="Arial Narrow"/>
                <w:sz w:val="20"/>
              </w:rPr>
              <w:t>c</w:t>
            </w:r>
            <w:r w:rsidR="005B5913" w:rsidRPr="005B5913">
              <w:rPr>
                <w:rFonts w:ascii="Arial Narrow" w:hAnsi="Arial Narrow"/>
                <w:sz w:val="20"/>
              </w:rPr>
              <w:t xml:space="preserve">ystic </w:t>
            </w:r>
            <w:r w:rsidR="005B5913">
              <w:rPr>
                <w:rFonts w:ascii="Arial Narrow" w:hAnsi="Arial Narrow"/>
                <w:sz w:val="20"/>
              </w:rPr>
              <w:t>f</w:t>
            </w:r>
            <w:r w:rsidR="005B5913" w:rsidRPr="005B5913">
              <w:rPr>
                <w:rFonts w:ascii="Arial Narrow" w:hAnsi="Arial Narrow"/>
                <w:sz w:val="20"/>
              </w:rPr>
              <w:t xml:space="preserve">ibrosis and the G551D-CFTR </w:t>
            </w:r>
            <w:r w:rsidR="005B5913">
              <w:rPr>
                <w:rFonts w:ascii="Arial Narrow" w:hAnsi="Arial Narrow"/>
                <w:sz w:val="20"/>
              </w:rPr>
              <w:t>m</w:t>
            </w:r>
            <w:r w:rsidR="005B5913" w:rsidRPr="005B5913">
              <w:rPr>
                <w:rFonts w:ascii="Arial Narrow" w:hAnsi="Arial Narrow"/>
                <w:sz w:val="20"/>
              </w:rPr>
              <w:t xml:space="preserve">utation </w:t>
            </w:r>
            <w:r w:rsidR="005B5913">
              <w:rPr>
                <w:rFonts w:ascii="Arial Narrow" w:hAnsi="Arial Narrow"/>
                <w:sz w:val="20"/>
              </w:rPr>
              <w:t>w</w:t>
            </w:r>
            <w:r w:rsidR="005B5913" w:rsidRPr="005B5913">
              <w:rPr>
                <w:rFonts w:ascii="Arial Narrow" w:hAnsi="Arial Narrow"/>
                <w:sz w:val="20"/>
              </w:rPr>
              <w:t xml:space="preserve">ho </w:t>
            </w:r>
            <w:r w:rsidR="005B5913">
              <w:rPr>
                <w:rFonts w:ascii="Arial Narrow" w:hAnsi="Arial Narrow"/>
                <w:sz w:val="20"/>
              </w:rPr>
              <w:t>h</w:t>
            </w:r>
            <w:r w:rsidR="005B5913" w:rsidRPr="005B5913">
              <w:rPr>
                <w:rFonts w:ascii="Arial Narrow" w:hAnsi="Arial Narrow"/>
                <w:sz w:val="20"/>
              </w:rPr>
              <w:t xml:space="preserve">ave </w:t>
            </w:r>
            <w:r w:rsidR="005B5913">
              <w:rPr>
                <w:rFonts w:ascii="Arial Narrow" w:hAnsi="Arial Narrow"/>
                <w:sz w:val="20"/>
              </w:rPr>
              <w:t>s</w:t>
            </w:r>
            <w:r w:rsidR="005B5913" w:rsidRPr="005B5913">
              <w:rPr>
                <w:rFonts w:ascii="Arial Narrow" w:hAnsi="Arial Narrow"/>
                <w:sz w:val="20"/>
              </w:rPr>
              <w:t xml:space="preserve">evere </w:t>
            </w:r>
            <w:r w:rsidR="005B5913">
              <w:rPr>
                <w:rFonts w:ascii="Arial Narrow" w:hAnsi="Arial Narrow"/>
                <w:sz w:val="20"/>
              </w:rPr>
              <w:t>l</w:t>
            </w:r>
            <w:r w:rsidR="005B5913" w:rsidRPr="005B5913">
              <w:rPr>
                <w:rFonts w:ascii="Arial Narrow" w:hAnsi="Arial Narrow"/>
                <w:sz w:val="20"/>
              </w:rPr>
              <w:t xml:space="preserve">ung </w:t>
            </w:r>
            <w:r w:rsidR="005B5913">
              <w:rPr>
                <w:rFonts w:ascii="Arial Narrow" w:hAnsi="Arial Narrow"/>
                <w:sz w:val="20"/>
              </w:rPr>
              <w:t>d</w:t>
            </w:r>
            <w:r w:rsidR="005B5913" w:rsidRPr="005B5913">
              <w:rPr>
                <w:rFonts w:ascii="Arial Narrow" w:hAnsi="Arial Narrow"/>
                <w:sz w:val="20"/>
              </w:rPr>
              <w:t xml:space="preserve">ysfunction or </w:t>
            </w:r>
            <w:r w:rsidR="005B5913">
              <w:rPr>
                <w:rFonts w:ascii="Arial Narrow" w:hAnsi="Arial Narrow"/>
                <w:sz w:val="20"/>
              </w:rPr>
              <w:t>l</w:t>
            </w:r>
            <w:r w:rsidR="005B5913" w:rsidRPr="005B5913">
              <w:rPr>
                <w:rFonts w:ascii="Arial Narrow" w:hAnsi="Arial Narrow"/>
                <w:sz w:val="20"/>
              </w:rPr>
              <w:t xml:space="preserve">ung </w:t>
            </w:r>
            <w:r w:rsidR="005B5913">
              <w:rPr>
                <w:rFonts w:ascii="Arial Narrow" w:hAnsi="Arial Narrow"/>
                <w:sz w:val="20"/>
              </w:rPr>
              <w:t>f</w:t>
            </w:r>
            <w:r w:rsidR="005B5913" w:rsidRPr="005B5913">
              <w:rPr>
                <w:rFonts w:ascii="Arial Narrow" w:hAnsi="Arial Narrow"/>
                <w:sz w:val="20"/>
              </w:rPr>
              <w:t xml:space="preserve">unction in the </w:t>
            </w:r>
            <w:r w:rsidR="005B5913">
              <w:rPr>
                <w:rFonts w:ascii="Arial Narrow" w:hAnsi="Arial Narrow"/>
                <w:sz w:val="20"/>
              </w:rPr>
              <w:t>n</w:t>
            </w:r>
            <w:r w:rsidR="005B5913" w:rsidRPr="005B5913">
              <w:rPr>
                <w:rFonts w:ascii="Arial Narrow" w:hAnsi="Arial Narrow"/>
                <w:sz w:val="20"/>
              </w:rPr>
              <w:t xml:space="preserve">ormal </w:t>
            </w:r>
            <w:r w:rsidR="005B5913">
              <w:rPr>
                <w:rFonts w:ascii="Arial Narrow" w:hAnsi="Arial Narrow"/>
                <w:sz w:val="20"/>
              </w:rPr>
              <w:t>r</w:t>
            </w:r>
            <w:r w:rsidR="005B5913" w:rsidRPr="005B5913">
              <w:rPr>
                <w:rFonts w:ascii="Arial Narrow" w:hAnsi="Arial Narrow"/>
                <w:sz w:val="20"/>
              </w:rPr>
              <w:t>ange</w:t>
            </w:r>
            <w:r w:rsidR="009B0CF1">
              <w:rPr>
                <w:rFonts w:ascii="Arial Narrow" w:hAnsi="Arial Narrow"/>
                <w:sz w:val="20"/>
              </w:rPr>
              <w:t>.</w:t>
            </w:r>
            <w:r w:rsidR="005B5913">
              <w:rPr>
                <w:rFonts w:ascii="Arial Narrow" w:hAnsi="Arial Narrow"/>
                <w:sz w:val="20"/>
              </w:rPr>
              <w:t xml:space="preserve"> (Abstract)</w:t>
            </w:r>
          </w:p>
        </w:tc>
        <w:tc>
          <w:tcPr>
            <w:tcW w:w="2977" w:type="dxa"/>
          </w:tcPr>
          <w:p w:rsidR="00FE0377" w:rsidRPr="005B5913" w:rsidRDefault="005B5913" w:rsidP="00FE0377">
            <w:pPr>
              <w:keepNext/>
              <w:rPr>
                <w:rFonts w:ascii="Arial Narrow" w:hAnsi="Arial Narrow"/>
                <w:sz w:val="20"/>
              </w:rPr>
            </w:pPr>
            <w:r>
              <w:rPr>
                <w:rFonts w:ascii="Arial Narrow" w:hAnsi="Arial Narrow"/>
                <w:sz w:val="20"/>
              </w:rPr>
              <w:t>The 10</w:t>
            </w:r>
            <w:r w:rsidRPr="005B5913">
              <w:rPr>
                <w:rFonts w:ascii="Arial Narrow" w:hAnsi="Arial Narrow"/>
                <w:sz w:val="20"/>
                <w:vertAlign w:val="superscript"/>
              </w:rPr>
              <w:t>th</w:t>
            </w:r>
            <w:r>
              <w:rPr>
                <w:rFonts w:ascii="Arial Narrow" w:hAnsi="Arial Narrow"/>
                <w:sz w:val="20"/>
              </w:rPr>
              <w:t xml:space="preserve"> Australasian Cystic Fibrosis Conference, Auckland, New Zealand, 17-20 August 2013</w:t>
            </w:r>
          </w:p>
        </w:tc>
      </w:tr>
      <w:tr w:rsidR="00FE0377" w:rsidRPr="0092547D" w:rsidTr="00335438">
        <w:trPr>
          <w:cantSplit/>
        </w:trPr>
        <w:tc>
          <w:tcPr>
            <w:tcW w:w="1559" w:type="dxa"/>
            <w:vAlign w:val="center"/>
          </w:tcPr>
          <w:p w:rsidR="00FE0377" w:rsidRPr="00FB3E2E" w:rsidRDefault="00913303" w:rsidP="00335438">
            <w:pPr>
              <w:pStyle w:val="NoSpacing"/>
              <w:jc w:val="left"/>
              <w:rPr>
                <w:rFonts w:ascii="Arial Narrow" w:hAnsi="Arial Narrow"/>
                <w:sz w:val="20"/>
              </w:rPr>
            </w:pPr>
            <w:r>
              <w:rPr>
                <w:rFonts w:ascii="Arial Narrow" w:hAnsi="Arial Narrow"/>
                <w:sz w:val="20"/>
              </w:rPr>
              <w:t>US CFFPR (</w:t>
            </w:r>
            <w:r w:rsidR="0092547D">
              <w:rPr>
                <w:rFonts w:ascii="Arial Narrow" w:hAnsi="Arial Narrow"/>
                <w:sz w:val="20"/>
              </w:rPr>
              <w:t>Bai 2015</w:t>
            </w:r>
            <w:r>
              <w:rPr>
                <w:rFonts w:ascii="Arial Narrow" w:hAnsi="Arial Narrow"/>
                <w:sz w:val="20"/>
              </w:rPr>
              <w:t>)</w:t>
            </w:r>
          </w:p>
        </w:tc>
        <w:tc>
          <w:tcPr>
            <w:tcW w:w="3969" w:type="dxa"/>
          </w:tcPr>
          <w:p w:rsidR="00FE0377" w:rsidRPr="0092547D" w:rsidRDefault="0092547D" w:rsidP="00FB5323">
            <w:pPr>
              <w:keepNext/>
              <w:rPr>
                <w:rFonts w:ascii="Arial Narrow" w:hAnsi="Arial Narrow"/>
                <w:sz w:val="20"/>
              </w:rPr>
            </w:pPr>
            <w:r w:rsidRPr="007209D1">
              <w:rPr>
                <w:rFonts w:ascii="Arial Narrow" w:hAnsi="Arial Narrow"/>
                <w:sz w:val="20"/>
                <w:lang w:val="fr-FR"/>
              </w:rPr>
              <w:t xml:space="preserve">Bai Y., Higgins M., Volkova N., </w:t>
            </w:r>
            <w:r w:rsidRPr="007209D1">
              <w:rPr>
                <w:rFonts w:ascii="Arial Narrow" w:hAnsi="Arial Narrow"/>
                <w:i/>
                <w:sz w:val="20"/>
                <w:lang w:val="fr-FR"/>
              </w:rPr>
              <w:t>et al</w:t>
            </w:r>
            <w:r w:rsidRPr="007209D1">
              <w:rPr>
                <w:rFonts w:ascii="Arial Narrow" w:hAnsi="Arial Narrow"/>
                <w:sz w:val="20"/>
                <w:lang w:val="fr-FR"/>
              </w:rPr>
              <w:t xml:space="preserve">. </w:t>
            </w:r>
            <w:r w:rsidRPr="0092547D">
              <w:rPr>
                <w:rFonts w:ascii="Arial Narrow" w:hAnsi="Arial Narrow"/>
                <w:sz w:val="20"/>
              </w:rPr>
              <w:t>Ivacaftor long-term safety study: analysis of 2013 US CF Foundation patient registry data</w:t>
            </w:r>
            <w:r>
              <w:rPr>
                <w:rFonts w:ascii="Arial Narrow" w:hAnsi="Arial Narrow"/>
                <w:sz w:val="20"/>
              </w:rPr>
              <w:t xml:space="preserve"> (Abstract)</w:t>
            </w:r>
          </w:p>
        </w:tc>
        <w:tc>
          <w:tcPr>
            <w:tcW w:w="2977" w:type="dxa"/>
          </w:tcPr>
          <w:p w:rsidR="00FE0377" w:rsidRPr="0092547D" w:rsidRDefault="0092547D" w:rsidP="0092547D">
            <w:pPr>
              <w:keepNext/>
              <w:rPr>
                <w:rFonts w:ascii="Arial Narrow" w:hAnsi="Arial Narrow"/>
                <w:sz w:val="20"/>
              </w:rPr>
            </w:pPr>
            <w:r>
              <w:rPr>
                <w:rFonts w:ascii="Arial Narrow" w:hAnsi="Arial Narrow"/>
                <w:sz w:val="20"/>
              </w:rPr>
              <w:t>North American Cystic Fibrosis Conference, Phoenix, US, October 2015</w:t>
            </w:r>
            <w:r w:rsidR="009B0CF1">
              <w:rPr>
                <w:rFonts w:ascii="Arial Narrow" w:hAnsi="Arial Narrow"/>
                <w:sz w:val="20"/>
              </w:rPr>
              <w:t xml:space="preserve"> (under embargo)</w:t>
            </w:r>
          </w:p>
        </w:tc>
      </w:tr>
    </w:tbl>
    <w:p w:rsidR="0076420C" w:rsidRPr="00293A11" w:rsidRDefault="000374F2" w:rsidP="00E913A4">
      <w:pPr>
        <w:pStyle w:val="tablenotes"/>
      </w:pPr>
      <w:r w:rsidRPr="00293A11">
        <w:t>CAP</w:t>
      </w:r>
      <w:r w:rsidR="00913303" w:rsidRPr="00293A11">
        <w:t xml:space="preserve"> = Compassionate Access Program</w:t>
      </w:r>
      <w:r w:rsidR="00FB5323" w:rsidRPr="00293A11">
        <w:t>; CF = cystic fibrosis</w:t>
      </w:r>
      <w:r w:rsidR="00913303" w:rsidRPr="00293A11">
        <w:t>; CFFPR = Cystic Fibrosis Foundation Patient Registry</w:t>
      </w:r>
      <w:r w:rsidR="00947254" w:rsidRPr="00293A11">
        <w:t xml:space="preserve">; </w:t>
      </w:r>
      <w:r w:rsidR="00FB5323" w:rsidRPr="00293A11">
        <w:t>CFTR = cystic fibrosis transmembrane conductance regulator</w:t>
      </w:r>
      <w:r w:rsidR="00947254" w:rsidRPr="00293A11">
        <w:t xml:space="preserve"> </w:t>
      </w:r>
    </w:p>
    <w:p w:rsidR="00293A11" w:rsidRPr="00293A11" w:rsidRDefault="00293A11" w:rsidP="00E913A4">
      <w:pPr>
        <w:pStyle w:val="tablenotes"/>
        <w:rPr>
          <w:i/>
        </w:rPr>
      </w:pPr>
      <w:r w:rsidRPr="00293A11">
        <w:rPr>
          <w:i/>
        </w:rPr>
        <w:t>Source: Table compiled for the purpose of the Overview</w:t>
      </w:r>
    </w:p>
    <w:p w:rsidR="00E913A4" w:rsidRDefault="00E913A4" w:rsidP="0076420C">
      <w:pPr>
        <w:pStyle w:val="ListParagraph"/>
        <w:ind w:left="709"/>
        <w:jc w:val="both"/>
        <w:rPr>
          <w:rFonts w:ascii="Arial" w:hAnsi="Arial"/>
          <w:sz w:val="22"/>
          <w:szCs w:val="22"/>
        </w:rPr>
      </w:pPr>
    </w:p>
    <w:p w:rsidR="008B3F6F" w:rsidRDefault="008B3F6F" w:rsidP="006F3A4B">
      <w:pPr>
        <w:pStyle w:val="ListParagraph"/>
        <w:numPr>
          <w:ilvl w:val="1"/>
          <w:numId w:val="1"/>
        </w:numPr>
        <w:jc w:val="both"/>
        <w:rPr>
          <w:rFonts w:ascii="Arial" w:hAnsi="Arial"/>
          <w:sz w:val="22"/>
          <w:szCs w:val="22"/>
        </w:rPr>
      </w:pPr>
      <w:r>
        <w:rPr>
          <w:rFonts w:ascii="Arial" w:hAnsi="Arial"/>
          <w:sz w:val="22"/>
          <w:szCs w:val="22"/>
        </w:rPr>
        <w:t xml:space="preserve">The key features of the clinical studies are summarised in Table 2.  </w:t>
      </w:r>
    </w:p>
    <w:p w:rsidR="008B3F6F" w:rsidRDefault="008B3F6F" w:rsidP="008B3F6F">
      <w:pPr>
        <w:pStyle w:val="ListParagraph"/>
        <w:jc w:val="both"/>
        <w:rPr>
          <w:rFonts w:ascii="Arial" w:hAnsi="Arial"/>
          <w:sz w:val="22"/>
          <w:szCs w:val="22"/>
        </w:rPr>
      </w:pPr>
    </w:p>
    <w:p w:rsidR="00851FEA" w:rsidRDefault="00851FEA">
      <w:pPr>
        <w:rPr>
          <w:rFonts w:ascii="Arial Narrow" w:eastAsiaTheme="majorEastAsia" w:hAnsi="Arial Narrow" w:cstheme="minorHAnsi"/>
          <w:b/>
          <w:bCs/>
          <w:sz w:val="20"/>
          <w:szCs w:val="18"/>
          <w:lang w:eastAsia="en-US" w:bidi="en-US"/>
        </w:rPr>
      </w:pPr>
      <w:r>
        <w:rPr>
          <w:rFonts w:ascii="Arial Narrow" w:eastAsiaTheme="majorEastAsia" w:hAnsi="Arial Narrow" w:cstheme="minorHAnsi"/>
          <w:b/>
          <w:bCs/>
          <w:sz w:val="20"/>
          <w:szCs w:val="18"/>
          <w:lang w:eastAsia="en-US" w:bidi="en-US"/>
        </w:rPr>
        <w:br w:type="page"/>
      </w:r>
    </w:p>
    <w:p w:rsidR="008B3F6F" w:rsidRDefault="008B3F6F" w:rsidP="008B3F6F">
      <w:pPr>
        <w:pStyle w:val="ListParagraph"/>
        <w:keepNext/>
        <w:keepLines/>
        <w:ind w:left="709"/>
        <w:jc w:val="both"/>
        <w:rPr>
          <w:rFonts w:ascii="Arial Narrow" w:eastAsiaTheme="majorEastAsia" w:hAnsi="Arial Narrow" w:cstheme="minorHAnsi"/>
          <w:b/>
          <w:bCs/>
          <w:sz w:val="20"/>
          <w:szCs w:val="18"/>
          <w:lang w:eastAsia="en-US" w:bidi="en-US"/>
        </w:rPr>
      </w:pPr>
      <w:r w:rsidRPr="003D4671">
        <w:rPr>
          <w:rFonts w:ascii="Arial Narrow" w:eastAsiaTheme="majorEastAsia" w:hAnsi="Arial Narrow" w:cstheme="minorHAnsi"/>
          <w:b/>
          <w:bCs/>
          <w:sz w:val="20"/>
          <w:szCs w:val="18"/>
          <w:lang w:eastAsia="en-US" w:bidi="en-US"/>
        </w:rPr>
        <w:lastRenderedPageBreak/>
        <w:t>Table 2</w:t>
      </w:r>
      <w:r>
        <w:rPr>
          <w:rFonts w:ascii="Arial Narrow" w:eastAsiaTheme="majorEastAsia" w:hAnsi="Arial Narrow" w:cstheme="minorHAnsi"/>
          <w:b/>
          <w:bCs/>
          <w:sz w:val="20"/>
          <w:szCs w:val="18"/>
          <w:lang w:eastAsia="en-US" w:bidi="en-US"/>
        </w:rPr>
        <w:t>: Key features of the clinical evidence</w:t>
      </w:r>
    </w:p>
    <w:tbl>
      <w:tblPr>
        <w:tblW w:w="4728"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5"/>
        <w:gridCol w:w="788"/>
        <w:gridCol w:w="1482"/>
        <w:gridCol w:w="847"/>
        <w:gridCol w:w="2460"/>
        <w:gridCol w:w="1876"/>
      </w:tblGrid>
      <w:tr w:rsidR="006512B6" w:rsidRPr="008B3F6F" w:rsidTr="000B5E47">
        <w:trPr>
          <w:trHeight w:val="688"/>
          <w:tblHeader/>
        </w:trPr>
        <w:tc>
          <w:tcPr>
            <w:tcW w:w="661" w:type="pct"/>
            <w:shd w:val="clear" w:color="auto" w:fill="auto"/>
            <w:vAlign w:val="center"/>
          </w:tcPr>
          <w:p w:rsidR="00CB3843" w:rsidRPr="008B3F6F" w:rsidRDefault="00CB3843" w:rsidP="008B3F6F">
            <w:pPr>
              <w:widowControl w:val="0"/>
              <w:rPr>
                <w:rFonts w:ascii="Arial Narrow" w:hAnsi="Arial Narrow" w:cs="Arial"/>
                <w:b/>
                <w:snapToGrid w:val="0"/>
                <w:sz w:val="20"/>
                <w:szCs w:val="16"/>
                <w:lang w:val="en-US" w:eastAsia="en-US"/>
              </w:rPr>
            </w:pPr>
            <w:r>
              <w:rPr>
                <w:rFonts w:ascii="Arial Narrow" w:hAnsi="Arial Narrow" w:cs="Arial"/>
                <w:b/>
                <w:snapToGrid w:val="0"/>
                <w:sz w:val="20"/>
                <w:szCs w:val="16"/>
                <w:lang w:val="en-US" w:eastAsia="en-US"/>
              </w:rPr>
              <w:t>Study</w:t>
            </w:r>
          </w:p>
        </w:tc>
        <w:tc>
          <w:tcPr>
            <w:tcW w:w="459" w:type="pct"/>
            <w:shd w:val="clear" w:color="auto" w:fill="auto"/>
            <w:vAlign w:val="center"/>
          </w:tcPr>
          <w:p w:rsidR="00CB3843" w:rsidRPr="008B3F6F" w:rsidRDefault="00CB3843" w:rsidP="008B3F6F">
            <w:pPr>
              <w:widowControl w:val="0"/>
              <w:jc w:val="center"/>
              <w:rPr>
                <w:rFonts w:ascii="Arial Narrow" w:hAnsi="Arial Narrow" w:cs="Arial"/>
                <w:b/>
                <w:snapToGrid w:val="0"/>
                <w:sz w:val="20"/>
                <w:szCs w:val="16"/>
                <w:lang w:val="en-US" w:eastAsia="en-US"/>
              </w:rPr>
            </w:pPr>
            <w:r w:rsidRPr="008B3F6F">
              <w:rPr>
                <w:rFonts w:ascii="Arial Narrow" w:hAnsi="Arial Narrow" w:cs="Arial"/>
                <w:b/>
                <w:snapToGrid w:val="0"/>
                <w:sz w:val="20"/>
                <w:szCs w:val="16"/>
                <w:lang w:val="en-US" w:eastAsia="en-US"/>
              </w:rPr>
              <w:t>N</w:t>
            </w:r>
          </w:p>
        </w:tc>
        <w:tc>
          <w:tcPr>
            <w:tcW w:w="863" w:type="pct"/>
            <w:shd w:val="clear" w:color="auto" w:fill="auto"/>
            <w:vAlign w:val="center"/>
          </w:tcPr>
          <w:p w:rsidR="00CB3843" w:rsidRPr="008B3F6F" w:rsidRDefault="00CB3843" w:rsidP="00C43F7B">
            <w:pPr>
              <w:widowControl w:val="0"/>
              <w:jc w:val="center"/>
              <w:rPr>
                <w:rFonts w:ascii="Arial Narrow" w:hAnsi="Arial Narrow" w:cs="Arial"/>
                <w:b/>
                <w:snapToGrid w:val="0"/>
                <w:sz w:val="20"/>
                <w:szCs w:val="16"/>
                <w:lang w:val="en-US" w:eastAsia="en-US"/>
              </w:rPr>
            </w:pPr>
            <w:r w:rsidRPr="008B3F6F">
              <w:rPr>
                <w:rFonts w:ascii="Arial Narrow" w:hAnsi="Arial Narrow" w:cs="Arial"/>
                <w:b/>
                <w:snapToGrid w:val="0"/>
                <w:sz w:val="20"/>
                <w:szCs w:val="16"/>
                <w:lang w:val="en-US" w:eastAsia="en-US"/>
              </w:rPr>
              <w:t>Design</w:t>
            </w:r>
          </w:p>
        </w:tc>
        <w:tc>
          <w:tcPr>
            <w:tcW w:w="493" w:type="pct"/>
            <w:shd w:val="clear" w:color="auto" w:fill="auto"/>
            <w:vAlign w:val="center"/>
          </w:tcPr>
          <w:p w:rsidR="00CB3843" w:rsidRPr="008B3F6F" w:rsidRDefault="00CB3843" w:rsidP="00335438">
            <w:pPr>
              <w:widowControl w:val="0"/>
              <w:ind w:left="-57" w:right="-57"/>
              <w:jc w:val="center"/>
              <w:rPr>
                <w:rFonts w:ascii="Arial Narrow" w:hAnsi="Arial Narrow" w:cs="Arial"/>
                <w:b/>
                <w:snapToGrid w:val="0"/>
                <w:sz w:val="20"/>
                <w:szCs w:val="16"/>
                <w:lang w:val="en-US" w:eastAsia="en-US"/>
              </w:rPr>
            </w:pPr>
            <w:r>
              <w:rPr>
                <w:rFonts w:ascii="Arial Narrow" w:hAnsi="Arial Narrow" w:cs="Arial"/>
                <w:b/>
                <w:snapToGrid w:val="0"/>
                <w:sz w:val="20"/>
                <w:szCs w:val="16"/>
                <w:lang w:val="en-US" w:eastAsia="en-US"/>
              </w:rPr>
              <w:t>Follow-up duration</w:t>
            </w:r>
          </w:p>
        </w:tc>
        <w:tc>
          <w:tcPr>
            <w:tcW w:w="1432" w:type="pct"/>
            <w:shd w:val="clear" w:color="auto" w:fill="auto"/>
            <w:vAlign w:val="center"/>
          </w:tcPr>
          <w:p w:rsidR="00CB3843" w:rsidRPr="008B3F6F" w:rsidRDefault="00CB3843" w:rsidP="008B3F6F">
            <w:pPr>
              <w:widowControl w:val="0"/>
              <w:jc w:val="center"/>
              <w:rPr>
                <w:rFonts w:ascii="Arial Narrow" w:hAnsi="Arial Narrow" w:cs="Arial"/>
                <w:b/>
                <w:snapToGrid w:val="0"/>
                <w:sz w:val="20"/>
                <w:szCs w:val="16"/>
                <w:lang w:val="en-US" w:eastAsia="en-US"/>
              </w:rPr>
            </w:pPr>
            <w:r w:rsidRPr="008B3F6F">
              <w:rPr>
                <w:rFonts w:ascii="Arial Narrow" w:hAnsi="Arial Narrow" w:cs="Arial"/>
                <w:b/>
                <w:snapToGrid w:val="0"/>
                <w:sz w:val="20"/>
                <w:szCs w:val="16"/>
                <w:lang w:val="en-US" w:eastAsia="en-US"/>
              </w:rPr>
              <w:t>Patient population</w:t>
            </w:r>
          </w:p>
        </w:tc>
        <w:tc>
          <w:tcPr>
            <w:tcW w:w="1092" w:type="pct"/>
            <w:shd w:val="clear" w:color="auto" w:fill="auto"/>
            <w:vAlign w:val="center"/>
          </w:tcPr>
          <w:p w:rsidR="00CB3843" w:rsidRPr="008B3F6F" w:rsidRDefault="00CB3843" w:rsidP="008B3F6F">
            <w:pPr>
              <w:widowControl w:val="0"/>
              <w:jc w:val="center"/>
              <w:rPr>
                <w:rFonts w:ascii="Arial Narrow" w:hAnsi="Arial Narrow" w:cs="Arial"/>
                <w:b/>
                <w:snapToGrid w:val="0"/>
                <w:sz w:val="20"/>
                <w:szCs w:val="16"/>
                <w:lang w:val="en-US" w:eastAsia="en-US"/>
              </w:rPr>
            </w:pPr>
            <w:r>
              <w:rPr>
                <w:rFonts w:ascii="Arial Narrow" w:hAnsi="Arial Narrow" w:cs="Arial"/>
                <w:b/>
                <w:snapToGrid w:val="0"/>
                <w:sz w:val="20"/>
                <w:szCs w:val="16"/>
                <w:lang w:val="en-US" w:eastAsia="en-US"/>
              </w:rPr>
              <w:t>Outcome</w:t>
            </w:r>
          </w:p>
        </w:tc>
      </w:tr>
      <w:tr w:rsidR="006512B6" w:rsidRPr="008B3F6F" w:rsidTr="00BE64D8">
        <w:trPr>
          <w:trHeight w:val="594"/>
        </w:trPr>
        <w:tc>
          <w:tcPr>
            <w:tcW w:w="661" w:type="pct"/>
            <w:vMerge w:val="restart"/>
            <w:shd w:val="clear" w:color="auto" w:fill="auto"/>
            <w:vAlign w:val="center"/>
          </w:tcPr>
          <w:p w:rsidR="00CB3843" w:rsidRPr="008B3F6F" w:rsidRDefault="00913303" w:rsidP="008B3F6F">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CAP</w:t>
            </w:r>
            <w:r w:rsidR="00CB3843">
              <w:rPr>
                <w:rFonts w:ascii="Arial Narrow" w:hAnsi="Arial Narrow" w:cs="Arial"/>
                <w:snapToGrid w:val="0"/>
                <w:sz w:val="20"/>
                <w:szCs w:val="16"/>
                <w:lang w:val="en-US" w:eastAsia="en-US"/>
              </w:rPr>
              <w:t xml:space="preserve"> in Australia (</w:t>
            </w:r>
            <w:r w:rsidR="00CB3843" w:rsidRPr="008B3F6F">
              <w:rPr>
                <w:rFonts w:ascii="Arial Narrow" w:hAnsi="Arial Narrow" w:cs="Arial"/>
                <w:snapToGrid w:val="0"/>
                <w:sz w:val="20"/>
                <w:szCs w:val="16"/>
                <w:lang w:val="en-US" w:eastAsia="en-US"/>
              </w:rPr>
              <w:t>Wainwright 2014</w:t>
            </w:r>
            <w:r w:rsidR="00CB3843">
              <w:rPr>
                <w:rFonts w:ascii="Arial Narrow" w:hAnsi="Arial Narrow" w:cs="Arial"/>
                <w:snapToGrid w:val="0"/>
                <w:sz w:val="20"/>
                <w:szCs w:val="16"/>
                <w:lang w:val="en-US" w:eastAsia="en-US"/>
              </w:rPr>
              <w:t>)</w:t>
            </w:r>
          </w:p>
        </w:tc>
        <w:tc>
          <w:tcPr>
            <w:tcW w:w="459" w:type="pct"/>
            <w:shd w:val="clear" w:color="auto" w:fill="auto"/>
            <w:vAlign w:val="center"/>
          </w:tcPr>
          <w:p w:rsidR="00CB3843" w:rsidRDefault="00CB384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17</w:t>
            </w:r>
          </w:p>
          <w:p w:rsidR="00CB3843" w:rsidRPr="008B3F6F" w:rsidRDefault="00CB384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(ivacaftor)</w:t>
            </w:r>
          </w:p>
        </w:tc>
        <w:tc>
          <w:tcPr>
            <w:tcW w:w="863" w:type="pct"/>
            <w:vMerge w:val="restart"/>
            <w:shd w:val="clear" w:color="auto" w:fill="auto"/>
            <w:vAlign w:val="center"/>
          </w:tcPr>
          <w:p w:rsidR="00CB3843" w:rsidRPr="008B3F6F" w:rsidRDefault="00CB3843" w:rsidP="00443AB2">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Retrospective, open-label, comparative study </w:t>
            </w:r>
          </w:p>
        </w:tc>
        <w:tc>
          <w:tcPr>
            <w:tcW w:w="493" w:type="pct"/>
            <w:vMerge w:val="restart"/>
            <w:shd w:val="clear" w:color="auto" w:fill="auto"/>
            <w:vAlign w:val="center"/>
          </w:tcPr>
          <w:p w:rsidR="00CB3843" w:rsidRPr="008B3F6F" w:rsidRDefault="00D8187D" w:rsidP="00BE64D8">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Unknown</w:t>
            </w:r>
            <w:r w:rsidRPr="00D8187D">
              <w:rPr>
                <w:rFonts w:ascii="Arial Narrow" w:hAnsi="Arial Narrow" w:cs="Arial"/>
                <w:snapToGrid w:val="0"/>
                <w:sz w:val="20"/>
                <w:szCs w:val="16"/>
                <w:vertAlign w:val="superscript"/>
                <w:lang w:val="en-US" w:eastAsia="en-US"/>
              </w:rPr>
              <w:t>a</w:t>
            </w:r>
          </w:p>
        </w:tc>
        <w:tc>
          <w:tcPr>
            <w:tcW w:w="1432" w:type="pct"/>
            <w:shd w:val="clear" w:color="auto" w:fill="auto"/>
            <w:vAlign w:val="center"/>
          </w:tcPr>
          <w:p w:rsidR="00CB3843" w:rsidRPr="008B3F6F" w:rsidRDefault="00CB3843" w:rsidP="00D075FC">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Patients with </w:t>
            </w:r>
            <w:r w:rsidRPr="00CB3843">
              <w:rPr>
                <w:rFonts w:ascii="Arial Narrow" w:hAnsi="Arial Narrow" w:cs="Arial"/>
                <w:snapToGrid w:val="0"/>
                <w:sz w:val="20"/>
                <w:szCs w:val="16"/>
                <w:lang w:val="en-US" w:eastAsia="en-US"/>
              </w:rPr>
              <w:t xml:space="preserve">severe </w:t>
            </w:r>
            <w:r w:rsidR="006512B6">
              <w:rPr>
                <w:rFonts w:ascii="Arial Narrow" w:hAnsi="Arial Narrow" w:cs="Arial"/>
                <w:snapToGrid w:val="0"/>
                <w:sz w:val="20"/>
                <w:szCs w:val="16"/>
                <w:lang w:val="en-US" w:eastAsia="en-US"/>
              </w:rPr>
              <w:t>CF</w:t>
            </w:r>
            <w:r w:rsidRPr="00CB3843">
              <w:rPr>
                <w:rFonts w:ascii="Arial Narrow" w:hAnsi="Arial Narrow" w:cs="Arial"/>
                <w:snapToGrid w:val="0"/>
                <w:sz w:val="20"/>
                <w:szCs w:val="16"/>
                <w:lang w:val="en-US" w:eastAsia="en-US"/>
              </w:rPr>
              <w:t xml:space="preserve"> </w:t>
            </w:r>
            <w:r w:rsidR="00D075FC">
              <w:rPr>
                <w:rFonts w:ascii="Arial Narrow" w:hAnsi="Arial Narrow" w:cs="Arial"/>
                <w:snapToGrid w:val="0"/>
                <w:sz w:val="20"/>
                <w:szCs w:val="16"/>
                <w:lang w:val="en-US" w:eastAsia="en-US"/>
              </w:rPr>
              <w:t xml:space="preserve">who had </w:t>
            </w:r>
            <w:r>
              <w:rPr>
                <w:rFonts w:ascii="Arial Narrow" w:hAnsi="Arial Narrow" w:cs="Arial"/>
                <w:snapToGrid w:val="0"/>
                <w:sz w:val="20"/>
                <w:szCs w:val="16"/>
                <w:lang w:val="en-US" w:eastAsia="en-US"/>
              </w:rPr>
              <w:t>a G551D mutation</w:t>
            </w:r>
          </w:p>
        </w:tc>
        <w:tc>
          <w:tcPr>
            <w:tcW w:w="1092" w:type="pct"/>
            <w:vMerge w:val="restart"/>
            <w:shd w:val="clear" w:color="auto" w:fill="auto"/>
            <w:vAlign w:val="center"/>
          </w:tcPr>
          <w:p w:rsidR="000E397A" w:rsidRDefault="00CB3843"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sidRPr="000E397A">
              <w:rPr>
                <w:rFonts w:ascii="Arial Narrow" w:hAnsi="Arial Narrow" w:cs="Arial"/>
                <w:snapToGrid w:val="0"/>
                <w:sz w:val="20"/>
                <w:szCs w:val="16"/>
                <w:lang w:val="en-US" w:eastAsia="en-US"/>
              </w:rPr>
              <w:t>Change in FEV</w:t>
            </w:r>
            <w:r w:rsidRPr="000E397A">
              <w:rPr>
                <w:rFonts w:ascii="Arial Narrow" w:hAnsi="Arial Narrow" w:cs="Arial"/>
                <w:snapToGrid w:val="0"/>
                <w:sz w:val="20"/>
                <w:szCs w:val="16"/>
                <w:vertAlign w:val="subscript"/>
                <w:lang w:val="en-US" w:eastAsia="en-US"/>
              </w:rPr>
              <w:t>1</w:t>
            </w:r>
            <w:r w:rsidRPr="000E397A">
              <w:rPr>
                <w:rFonts w:ascii="Arial Narrow" w:hAnsi="Arial Narrow" w:cs="Arial"/>
                <w:snapToGrid w:val="0"/>
                <w:sz w:val="20"/>
                <w:szCs w:val="16"/>
                <w:lang w:val="en-US" w:eastAsia="en-US"/>
              </w:rPr>
              <w:t xml:space="preserve"> from base</w:t>
            </w:r>
            <w:r w:rsidR="000E397A">
              <w:rPr>
                <w:rFonts w:ascii="Arial Narrow" w:hAnsi="Arial Narrow" w:cs="Arial"/>
                <w:snapToGrid w:val="0"/>
                <w:sz w:val="20"/>
                <w:szCs w:val="16"/>
                <w:lang w:val="en-US" w:eastAsia="en-US"/>
              </w:rPr>
              <w:t>line</w:t>
            </w:r>
          </w:p>
          <w:p w:rsidR="000E397A" w:rsidRDefault="000E397A"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w:t>
            </w:r>
            <w:r w:rsidR="00CB3843" w:rsidRPr="000E397A">
              <w:rPr>
                <w:rFonts w:ascii="Arial Narrow" w:hAnsi="Arial Narrow" w:cs="Arial"/>
                <w:snapToGrid w:val="0"/>
                <w:sz w:val="20"/>
                <w:szCs w:val="16"/>
                <w:lang w:val="en-US" w:eastAsia="en-US"/>
              </w:rPr>
              <w:t>hange in body weight</w:t>
            </w:r>
          </w:p>
          <w:p w:rsidR="000E397A" w:rsidRDefault="000E397A"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Number of hospital admission</w:t>
            </w:r>
            <w:r w:rsidR="00D075FC">
              <w:rPr>
                <w:rFonts w:ascii="Arial Narrow" w:hAnsi="Arial Narrow" w:cs="Arial"/>
                <w:snapToGrid w:val="0"/>
                <w:sz w:val="20"/>
                <w:szCs w:val="16"/>
                <w:lang w:val="en-US" w:eastAsia="en-US"/>
              </w:rPr>
              <w:t>s</w:t>
            </w:r>
            <w:r w:rsidR="00CB3843" w:rsidRPr="000E397A">
              <w:rPr>
                <w:rFonts w:ascii="Arial Narrow" w:hAnsi="Arial Narrow" w:cs="Arial"/>
                <w:snapToGrid w:val="0"/>
                <w:sz w:val="20"/>
                <w:szCs w:val="16"/>
                <w:lang w:val="en-US" w:eastAsia="en-US"/>
              </w:rPr>
              <w:t xml:space="preserve"> </w:t>
            </w:r>
          </w:p>
          <w:p w:rsidR="00CB3843" w:rsidRPr="000E397A" w:rsidRDefault="000E397A"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L</w:t>
            </w:r>
            <w:r w:rsidR="00CB3843" w:rsidRPr="000E397A">
              <w:rPr>
                <w:rFonts w:ascii="Arial Narrow" w:hAnsi="Arial Narrow" w:cs="Arial"/>
                <w:snapToGrid w:val="0"/>
                <w:sz w:val="20"/>
                <w:szCs w:val="16"/>
                <w:lang w:val="en-US" w:eastAsia="en-US"/>
              </w:rPr>
              <w:t>ength of hospital stay</w:t>
            </w:r>
          </w:p>
        </w:tc>
      </w:tr>
      <w:tr w:rsidR="006512B6" w:rsidRPr="008B3F6F" w:rsidTr="00BE64D8">
        <w:trPr>
          <w:trHeight w:val="832"/>
        </w:trPr>
        <w:tc>
          <w:tcPr>
            <w:tcW w:w="661" w:type="pct"/>
            <w:vMerge/>
            <w:shd w:val="clear" w:color="auto" w:fill="auto"/>
            <w:vAlign w:val="center"/>
          </w:tcPr>
          <w:p w:rsidR="00CB3843" w:rsidRPr="008B3F6F" w:rsidRDefault="00CB3843" w:rsidP="008B3F6F">
            <w:pPr>
              <w:widowControl w:val="0"/>
              <w:rPr>
                <w:rFonts w:ascii="Arial Narrow" w:hAnsi="Arial Narrow" w:cs="Arial"/>
                <w:snapToGrid w:val="0"/>
                <w:sz w:val="20"/>
                <w:szCs w:val="16"/>
                <w:lang w:val="en-US" w:eastAsia="en-US"/>
              </w:rPr>
            </w:pPr>
          </w:p>
        </w:tc>
        <w:tc>
          <w:tcPr>
            <w:tcW w:w="459" w:type="pct"/>
            <w:shd w:val="clear" w:color="auto" w:fill="auto"/>
            <w:vAlign w:val="center"/>
          </w:tcPr>
          <w:p w:rsidR="00CB3843" w:rsidRDefault="00CB384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314 (control)</w:t>
            </w:r>
          </w:p>
        </w:tc>
        <w:tc>
          <w:tcPr>
            <w:tcW w:w="863" w:type="pct"/>
            <w:vMerge/>
            <w:shd w:val="clear" w:color="auto" w:fill="auto"/>
            <w:vAlign w:val="center"/>
          </w:tcPr>
          <w:p w:rsidR="00CB3843" w:rsidRDefault="00CB3843" w:rsidP="008B3F6F">
            <w:pPr>
              <w:widowControl w:val="0"/>
              <w:jc w:val="center"/>
              <w:rPr>
                <w:rFonts w:ascii="Arial Narrow" w:hAnsi="Arial Narrow" w:cs="Arial"/>
                <w:snapToGrid w:val="0"/>
                <w:sz w:val="20"/>
                <w:szCs w:val="16"/>
                <w:lang w:val="en-US" w:eastAsia="en-US"/>
              </w:rPr>
            </w:pPr>
          </w:p>
        </w:tc>
        <w:tc>
          <w:tcPr>
            <w:tcW w:w="493" w:type="pct"/>
            <w:vMerge/>
            <w:shd w:val="clear" w:color="auto" w:fill="auto"/>
            <w:vAlign w:val="center"/>
          </w:tcPr>
          <w:p w:rsidR="00CB3843" w:rsidRPr="008B3F6F" w:rsidRDefault="00CB3843" w:rsidP="008B3F6F">
            <w:pPr>
              <w:widowControl w:val="0"/>
              <w:jc w:val="center"/>
              <w:rPr>
                <w:rFonts w:ascii="Arial Narrow" w:hAnsi="Arial Narrow" w:cs="Arial"/>
                <w:snapToGrid w:val="0"/>
                <w:sz w:val="20"/>
                <w:szCs w:val="16"/>
                <w:lang w:val="en-US" w:eastAsia="en-US"/>
              </w:rPr>
            </w:pPr>
          </w:p>
        </w:tc>
        <w:tc>
          <w:tcPr>
            <w:tcW w:w="1432" w:type="pct"/>
            <w:shd w:val="clear" w:color="auto" w:fill="auto"/>
            <w:vAlign w:val="center"/>
          </w:tcPr>
          <w:p w:rsidR="00CB3843" w:rsidRPr="008B3F6F" w:rsidRDefault="00D075FC" w:rsidP="004E38CA">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P</w:t>
            </w:r>
            <w:r w:rsidR="00BE733B">
              <w:rPr>
                <w:rFonts w:ascii="Arial Narrow" w:hAnsi="Arial Narrow" w:cs="Arial"/>
                <w:snapToGrid w:val="0"/>
                <w:sz w:val="20"/>
                <w:szCs w:val="16"/>
                <w:lang w:val="en-US" w:eastAsia="en-US"/>
              </w:rPr>
              <w:t xml:space="preserve">atients from ACFNDR </w:t>
            </w:r>
            <w:r>
              <w:rPr>
                <w:rFonts w:ascii="Arial Narrow" w:hAnsi="Arial Narrow" w:cs="Arial"/>
                <w:snapToGrid w:val="0"/>
                <w:sz w:val="20"/>
                <w:szCs w:val="16"/>
                <w:lang w:val="en-US" w:eastAsia="en-US"/>
              </w:rPr>
              <w:t xml:space="preserve">who had moderate or severe disease </w:t>
            </w:r>
            <w:r w:rsidR="004E38CA">
              <w:rPr>
                <w:rFonts w:ascii="Arial Narrow" w:hAnsi="Arial Narrow" w:cs="Arial"/>
                <w:snapToGrid w:val="0"/>
                <w:sz w:val="20"/>
                <w:szCs w:val="16"/>
                <w:lang w:val="en-US" w:eastAsia="en-US"/>
              </w:rPr>
              <w:t>and did not carry</w:t>
            </w:r>
            <w:r>
              <w:rPr>
                <w:rFonts w:ascii="Arial Narrow" w:hAnsi="Arial Narrow" w:cs="Arial"/>
                <w:snapToGrid w:val="0"/>
                <w:sz w:val="20"/>
                <w:szCs w:val="16"/>
                <w:lang w:val="en-US" w:eastAsia="en-US"/>
              </w:rPr>
              <w:t xml:space="preserve"> </w:t>
            </w:r>
            <w:r w:rsidR="00CB3843" w:rsidRPr="00CB3843">
              <w:rPr>
                <w:rFonts w:ascii="Arial Narrow" w:hAnsi="Arial Narrow" w:cs="Arial"/>
                <w:snapToGrid w:val="0"/>
                <w:sz w:val="20"/>
                <w:szCs w:val="16"/>
                <w:lang w:val="en-US" w:eastAsia="en-US"/>
              </w:rPr>
              <w:t>G551D mutation</w:t>
            </w:r>
            <w:r w:rsidR="00BE733B">
              <w:rPr>
                <w:rFonts w:ascii="Arial Narrow" w:hAnsi="Arial Narrow" w:cs="Arial"/>
                <w:snapToGrid w:val="0"/>
                <w:sz w:val="20"/>
                <w:szCs w:val="16"/>
                <w:lang w:val="en-US" w:eastAsia="en-US"/>
              </w:rPr>
              <w:t xml:space="preserve"> </w:t>
            </w:r>
          </w:p>
        </w:tc>
        <w:tc>
          <w:tcPr>
            <w:tcW w:w="1092" w:type="pct"/>
            <w:vMerge/>
            <w:shd w:val="clear" w:color="auto" w:fill="auto"/>
            <w:vAlign w:val="center"/>
          </w:tcPr>
          <w:p w:rsidR="00CB3843" w:rsidRPr="008B3F6F" w:rsidRDefault="00CB3843" w:rsidP="008B3F6F">
            <w:pPr>
              <w:widowControl w:val="0"/>
              <w:jc w:val="center"/>
              <w:rPr>
                <w:rFonts w:ascii="Arial Narrow" w:hAnsi="Arial Narrow" w:cs="Arial"/>
                <w:snapToGrid w:val="0"/>
                <w:sz w:val="20"/>
                <w:szCs w:val="16"/>
                <w:lang w:val="en-US" w:eastAsia="en-US"/>
              </w:rPr>
            </w:pPr>
          </w:p>
        </w:tc>
      </w:tr>
      <w:tr w:rsidR="006512B6" w:rsidRPr="008B3F6F" w:rsidTr="00BE64D8">
        <w:trPr>
          <w:trHeight w:val="790"/>
        </w:trPr>
        <w:tc>
          <w:tcPr>
            <w:tcW w:w="661" w:type="pct"/>
            <w:vMerge w:val="restart"/>
            <w:shd w:val="clear" w:color="auto" w:fill="auto"/>
            <w:vAlign w:val="center"/>
          </w:tcPr>
          <w:p w:rsidR="00CB3843" w:rsidRPr="008B3F6F" w:rsidRDefault="00913303" w:rsidP="00421F74">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CAP</w:t>
            </w:r>
            <w:r w:rsidR="00CB3843">
              <w:rPr>
                <w:rFonts w:ascii="Arial Narrow" w:hAnsi="Arial Narrow" w:cs="Arial"/>
                <w:snapToGrid w:val="0"/>
                <w:sz w:val="20"/>
                <w:szCs w:val="16"/>
                <w:lang w:val="en-US" w:eastAsia="en-US"/>
              </w:rPr>
              <w:t xml:space="preserve"> in UK/Ireland (Barry 2014)</w:t>
            </w:r>
          </w:p>
        </w:tc>
        <w:tc>
          <w:tcPr>
            <w:tcW w:w="459" w:type="pct"/>
            <w:shd w:val="clear" w:color="auto" w:fill="auto"/>
            <w:vAlign w:val="center"/>
          </w:tcPr>
          <w:p w:rsidR="00CB3843" w:rsidRPr="008B3F6F" w:rsidRDefault="00CB384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21 (ivacaftor)</w:t>
            </w:r>
          </w:p>
        </w:tc>
        <w:tc>
          <w:tcPr>
            <w:tcW w:w="863" w:type="pct"/>
            <w:vMerge w:val="restart"/>
            <w:shd w:val="clear" w:color="auto" w:fill="auto"/>
            <w:vAlign w:val="center"/>
          </w:tcPr>
          <w:p w:rsidR="00CB3843" w:rsidRPr="008B3F6F" w:rsidRDefault="00CB3843" w:rsidP="00443AB2">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Retrospective, open-label, comparative study </w:t>
            </w:r>
          </w:p>
        </w:tc>
        <w:tc>
          <w:tcPr>
            <w:tcW w:w="493" w:type="pct"/>
            <w:vMerge w:val="restart"/>
            <w:shd w:val="clear" w:color="auto" w:fill="auto"/>
            <w:vAlign w:val="center"/>
          </w:tcPr>
          <w:p w:rsidR="00CB3843" w:rsidRPr="008B3F6F" w:rsidRDefault="00CB3843" w:rsidP="00421F74">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7.8 months</w:t>
            </w:r>
          </w:p>
        </w:tc>
        <w:tc>
          <w:tcPr>
            <w:tcW w:w="1432" w:type="pct"/>
            <w:shd w:val="clear" w:color="auto" w:fill="auto"/>
            <w:vAlign w:val="center"/>
          </w:tcPr>
          <w:p w:rsidR="00CB3843" w:rsidRPr="008B3F6F" w:rsidRDefault="006512B6" w:rsidP="00335438">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CF p</w:t>
            </w:r>
            <w:r w:rsidR="00BE733B">
              <w:rPr>
                <w:rFonts w:ascii="Arial Narrow" w:hAnsi="Arial Narrow" w:cs="Arial"/>
                <w:snapToGrid w:val="0"/>
                <w:sz w:val="20"/>
                <w:szCs w:val="16"/>
                <w:lang w:val="en-US" w:eastAsia="en-US"/>
              </w:rPr>
              <w:t xml:space="preserve">atients </w:t>
            </w:r>
            <w:r w:rsidR="00D075FC">
              <w:rPr>
                <w:rFonts w:ascii="Arial Narrow" w:hAnsi="Arial Narrow" w:cs="Arial"/>
                <w:snapToGrid w:val="0"/>
                <w:sz w:val="20"/>
                <w:szCs w:val="16"/>
                <w:lang w:val="en-US" w:eastAsia="en-US"/>
              </w:rPr>
              <w:t xml:space="preserve">with the presence of at least one G551D allele who had </w:t>
            </w:r>
            <w:r w:rsidR="00BE733B">
              <w:rPr>
                <w:rFonts w:ascii="Arial Narrow" w:hAnsi="Arial Narrow" w:cs="Arial"/>
                <w:snapToGrid w:val="0"/>
                <w:sz w:val="20"/>
                <w:szCs w:val="16"/>
                <w:lang w:val="en-US" w:eastAsia="en-US"/>
              </w:rPr>
              <w:t xml:space="preserve">severe disease </w:t>
            </w:r>
            <w:r w:rsidR="00D075FC">
              <w:rPr>
                <w:rFonts w:ascii="Arial Narrow" w:hAnsi="Arial Narrow" w:cs="Arial"/>
                <w:snapToGrid w:val="0"/>
                <w:sz w:val="20"/>
                <w:szCs w:val="16"/>
                <w:lang w:val="en-US" w:eastAsia="en-US"/>
              </w:rPr>
              <w:t>and/</w:t>
            </w:r>
            <w:r w:rsidR="00BE733B">
              <w:rPr>
                <w:rFonts w:ascii="Arial Narrow" w:hAnsi="Arial Narrow" w:cs="Arial"/>
                <w:snapToGrid w:val="0"/>
                <w:sz w:val="20"/>
                <w:szCs w:val="16"/>
                <w:lang w:val="en-US" w:eastAsia="en-US"/>
              </w:rPr>
              <w:t xml:space="preserve">or </w:t>
            </w:r>
            <w:r w:rsidR="00D075FC">
              <w:rPr>
                <w:rFonts w:ascii="Arial Narrow" w:hAnsi="Arial Narrow" w:cs="Arial"/>
                <w:snapToGrid w:val="0"/>
                <w:sz w:val="20"/>
                <w:szCs w:val="16"/>
                <w:lang w:val="en-US" w:eastAsia="en-US"/>
              </w:rPr>
              <w:t xml:space="preserve">were </w:t>
            </w:r>
            <w:r w:rsidR="00BE733B">
              <w:rPr>
                <w:rFonts w:ascii="Arial Narrow" w:hAnsi="Arial Narrow" w:cs="Arial"/>
                <w:snapToGrid w:val="0"/>
                <w:sz w:val="20"/>
                <w:szCs w:val="16"/>
                <w:lang w:val="en-US" w:eastAsia="en-US"/>
              </w:rPr>
              <w:t>on</w:t>
            </w:r>
            <w:r w:rsidR="00D075FC">
              <w:rPr>
                <w:rFonts w:ascii="Arial Narrow" w:hAnsi="Arial Narrow" w:cs="Arial"/>
                <w:snapToGrid w:val="0"/>
                <w:sz w:val="20"/>
                <w:szCs w:val="16"/>
                <w:lang w:val="en-US" w:eastAsia="en-US"/>
              </w:rPr>
              <w:t xml:space="preserve"> the</w:t>
            </w:r>
            <w:r w:rsidR="00BE733B">
              <w:rPr>
                <w:rFonts w:ascii="Arial Narrow" w:hAnsi="Arial Narrow" w:cs="Arial"/>
                <w:snapToGrid w:val="0"/>
                <w:sz w:val="20"/>
                <w:szCs w:val="16"/>
                <w:lang w:val="en-US" w:eastAsia="en-US"/>
              </w:rPr>
              <w:t xml:space="preserve"> lung transplant waiting list </w:t>
            </w:r>
          </w:p>
        </w:tc>
        <w:tc>
          <w:tcPr>
            <w:tcW w:w="1092" w:type="pct"/>
            <w:vMerge w:val="restart"/>
            <w:shd w:val="clear" w:color="auto" w:fill="auto"/>
            <w:vAlign w:val="center"/>
          </w:tcPr>
          <w:p w:rsidR="000E397A" w:rsidRDefault="00CB3843"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Change in </w:t>
            </w:r>
            <w:r w:rsidRPr="00421F74">
              <w:rPr>
                <w:rFonts w:ascii="Arial Narrow" w:hAnsi="Arial Narrow" w:cs="Arial"/>
                <w:snapToGrid w:val="0"/>
                <w:sz w:val="20"/>
                <w:szCs w:val="16"/>
                <w:lang w:val="en-US" w:eastAsia="en-US"/>
              </w:rPr>
              <w:t>FEV</w:t>
            </w:r>
            <w:r w:rsidRPr="00D075FC">
              <w:rPr>
                <w:rFonts w:ascii="Arial Narrow" w:hAnsi="Arial Narrow" w:cs="Arial"/>
                <w:snapToGrid w:val="0"/>
                <w:sz w:val="20"/>
                <w:szCs w:val="16"/>
                <w:vertAlign w:val="subscript"/>
                <w:lang w:val="en-US" w:eastAsia="en-US"/>
              </w:rPr>
              <w:t>1</w:t>
            </w:r>
            <w:r w:rsidR="000E397A">
              <w:rPr>
                <w:rFonts w:ascii="Arial Narrow" w:hAnsi="Arial Narrow" w:cs="Arial"/>
                <w:snapToGrid w:val="0"/>
                <w:sz w:val="20"/>
                <w:szCs w:val="16"/>
                <w:lang w:val="en-US" w:eastAsia="en-US"/>
              </w:rPr>
              <w:t xml:space="preserve"> from baseline</w:t>
            </w:r>
          </w:p>
          <w:p w:rsidR="000E397A" w:rsidRDefault="000E397A"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Change in body weight</w:t>
            </w:r>
          </w:p>
          <w:p w:rsidR="00CB3843" w:rsidRDefault="000E397A"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L</w:t>
            </w:r>
            <w:r w:rsidR="00CB3843">
              <w:rPr>
                <w:rFonts w:ascii="Arial Narrow" w:hAnsi="Arial Narrow" w:cs="Arial"/>
                <w:snapToGrid w:val="0"/>
                <w:sz w:val="20"/>
                <w:szCs w:val="16"/>
                <w:lang w:val="en-US" w:eastAsia="en-US"/>
              </w:rPr>
              <w:t>ength of treatment with IV antibiotic</w:t>
            </w:r>
            <w:r w:rsidR="00D075FC">
              <w:rPr>
                <w:rFonts w:ascii="Arial Narrow" w:hAnsi="Arial Narrow" w:cs="Arial"/>
                <w:snapToGrid w:val="0"/>
                <w:sz w:val="20"/>
                <w:szCs w:val="16"/>
                <w:lang w:val="en-US" w:eastAsia="en-US"/>
              </w:rPr>
              <w:t>s</w:t>
            </w:r>
            <w:r w:rsidR="00CB3843">
              <w:rPr>
                <w:rFonts w:ascii="Arial Narrow" w:hAnsi="Arial Narrow" w:cs="Arial"/>
                <w:snapToGrid w:val="0"/>
                <w:sz w:val="20"/>
                <w:szCs w:val="16"/>
                <w:lang w:val="en-US" w:eastAsia="en-US"/>
              </w:rPr>
              <w:t xml:space="preserve"> </w:t>
            </w:r>
          </w:p>
          <w:p w:rsidR="0094019F" w:rsidRPr="008B3F6F" w:rsidRDefault="00D075FC"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Incidence of </w:t>
            </w:r>
            <w:r w:rsidR="0094019F">
              <w:rPr>
                <w:rFonts w:ascii="Arial Narrow" w:hAnsi="Arial Narrow" w:cs="Arial"/>
                <w:snapToGrid w:val="0"/>
                <w:sz w:val="20"/>
                <w:szCs w:val="16"/>
                <w:lang w:val="en-US" w:eastAsia="en-US"/>
              </w:rPr>
              <w:t>AEs</w:t>
            </w:r>
          </w:p>
        </w:tc>
      </w:tr>
      <w:tr w:rsidR="006512B6" w:rsidRPr="008B3F6F" w:rsidTr="00BE64D8">
        <w:trPr>
          <w:trHeight w:val="728"/>
        </w:trPr>
        <w:tc>
          <w:tcPr>
            <w:tcW w:w="661" w:type="pct"/>
            <w:vMerge/>
            <w:shd w:val="clear" w:color="auto" w:fill="auto"/>
            <w:vAlign w:val="center"/>
          </w:tcPr>
          <w:p w:rsidR="00CB3843" w:rsidRPr="008B3F6F" w:rsidRDefault="00CB3843" w:rsidP="00421F74">
            <w:pPr>
              <w:widowControl w:val="0"/>
              <w:rPr>
                <w:rFonts w:ascii="Arial Narrow" w:hAnsi="Arial Narrow" w:cs="Arial"/>
                <w:snapToGrid w:val="0"/>
                <w:sz w:val="20"/>
                <w:szCs w:val="16"/>
                <w:lang w:val="en-US" w:eastAsia="en-US"/>
              </w:rPr>
            </w:pPr>
          </w:p>
        </w:tc>
        <w:tc>
          <w:tcPr>
            <w:tcW w:w="459" w:type="pct"/>
            <w:shd w:val="clear" w:color="auto" w:fill="auto"/>
            <w:vAlign w:val="center"/>
          </w:tcPr>
          <w:p w:rsidR="00CB3843" w:rsidRDefault="00CB384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35 (control)</w:t>
            </w:r>
          </w:p>
        </w:tc>
        <w:tc>
          <w:tcPr>
            <w:tcW w:w="863" w:type="pct"/>
            <w:vMerge/>
            <w:shd w:val="clear" w:color="auto" w:fill="auto"/>
            <w:vAlign w:val="center"/>
          </w:tcPr>
          <w:p w:rsidR="00CB3843" w:rsidRPr="008B3F6F" w:rsidRDefault="00CB3843" w:rsidP="008B3F6F">
            <w:pPr>
              <w:widowControl w:val="0"/>
              <w:jc w:val="center"/>
              <w:rPr>
                <w:rFonts w:ascii="Arial Narrow" w:hAnsi="Arial Narrow" w:cs="Arial"/>
                <w:snapToGrid w:val="0"/>
                <w:sz w:val="20"/>
                <w:szCs w:val="16"/>
                <w:lang w:val="en-US" w:eastAsia="en-US"/>
              </w:rPr>
            </w:pPr>
          </w:p>
        </w:tc>
        <w:tc>
          <w:tcPr>
            <w:tcW w:w="493" w:type="pct"/>
            <w:vMerge/>
            <w:shd w:val="clear" w:color="auto" w:fill="auto"/>
            <w:vAlign w:val="center"/>
          </w:tcPr>
          <w:p w:rsidR="00CB3843" w:rsidRDefault="00CB3843" w:rsidP="00421F74">
            <w:pPr>
              <w:widowControl w:val="0"/>
              <w:jc w:val="center"/>
              <w:rPr>
                <w:rFonts w:ascii="Arial Narrow" w:hAnsi="Arial Narrow" w:cs="Arial"/>
                <w:snapToGrid w:val="0"/>
                <w:sz w:val="20"/>
                <w:szCs w:val="16"/>
                <w:lang w:val="en-US" w:eastAsia="en-US"/>
              </w:rPr>
            </w:pPr>
          </w:p>
        </w:tc>
        <w:tc>
          <w:tcPr>
            <w:tcW w:w="1432" w:type="pct"/>
            <w:shd w:val="clear" w:color="auto" w:fill="auto"/>
            <w:vAlign w:val="center"/>
          </w:tcPr>
          <w:p w:rsidR="00CB3843" w:rsidRPr="008B3F6F" w:rsidRDefault="00D075FC" w:rsidP="00335438">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Non-G551D </w:t>
            </w:r>
            <w:r w:rsidR="006512B6">
              <w:rPr>
                <w:rFonts w:ascii="Arial Narrow" w:hAnsi="Arial Narrow" w:cs="Arial"/>
                <w:snapToGrid w:val="0"/>
                <w:sz w:val="20"/>
                <w:szCs w:val="16"/>
                <w:lang w:val="en-US" w:eastAsia="en-US"/>
              </w:rPr>
              <w:t>CF p</w:t>
            </w:r>
            <w:r w:rsidR="00C202D4">
              <w:rPr>
                <w:rFonts w:ascii="Arial Narrow" w:hAnsi="Arial Narrow" w:cs="Arial"/>
                <w:snapToGrid w:val="0"/>
                <w:sz w:val="20"/>
                <w:szCs w:val="16"/>
                <w:lang w:val="en-US" w:eastAsia="en-US"/>
              </w:rPr>
              <w:t xml:space="preserve">atients </w:t>
            </w:r>
            <w:r>
              <w:rPr>
                <w:rFonts w:ascii="Arial Narrow" w:hAnsi="Arial Narrow" w:cs="Arial"/>
                <w:snapToGrid w:val="0"/>
                <w:sz w:val="20"/>
                <w:szCs w:val="16"/>
                <w:lang w:val="en-US" w:eastAsia="en-US"/>
              </w:rPr>
              <w:t>who had</w:t>
            </w:r>
            <w:r w:rsidR="00C202D4">
              <w:rPr>
                <w:rFonts w:ascii="Arial Narrow" w:hAnsi="Arial Narrow" w:cs="Arial"/>
                <w:snapToGrid w:val="0"/>
                <w:sz w:val="20"/>
                <w:szCs w:val="16"/>
                <w:lang w:val="en-US" w:eastAsia="en-US"/>
              </w:rPr>
              <w:t xml:space="preserve"> severe </w:t>
            </w:r>
            <w:r w:rsidR="006512B6">
              <w:rPr>
                <w:rFonts w:ascii="Arial Narrow" w:hAnsi="Arial Narrow" w:cs="Arial"/>
                <w:snapToGrid w:val="0"/>
                <w:sz w:val="20"/>
                <w:szCs w:val="16"/>
                <w:lang w:val="en-US" w:eastAsia="en-US"/>
              </w:rPr>
              <w:t>disease</w:t>
            </w:r>
            <w:r w:rsidR="00C202D4">
              <w:rPr>
                <w:rFonts w:ascii="Arial Narrow" w:hAnsi="Arial Narrow" w:cs="Arial"/>
                <w:snapToGrid w:val="0"/>
                <w:sz w:val="20"/>
                <w:szCs w:val="16"/>
                <w:lang w:val="en-US" w:eastAsia="en-US"/>
              </w:rPr>
              <w:t xml:space="preserve"> </w:t>
            </w:r>
            <w:r>
              <w:rPr>
                <w:rFonts w:ascii="Arial Narrow" w:hAnsi="Arial Narrow" w:cs="Arial"/>
                <w:snapToGrid w:val="0"/>
                <w:sz w:val="20"/>
                <w:szCs w:val="16"/>
                <w:lang w:val="en-US" w:eastAsia="en-US"/>
              </w:rPr>
              <w:t>and/</w:t>
            </w:r>
            <w:r w:rsidR="00C202D4">
              <w:rPr>
                <w:rFonts w:ascii="Arial Narrow" w:hAnsi="Arial Narrow" w:cs="Arial"/>
                <w:snapToGrid w:val="0"/>
                <w:sz w:val="20"/>
                <w:szCs w:val="16"/>
                <w:lang w:val="en-US" w:eastAsia="en-US"/>
              </w:rPr>
              <w:t xml:space="preserve">or </w:t>
            </w:r>
            <w:r>
              <w:rPr>
                <w:rFonts w:ascii="Arial Narrow" w:hAnsi="Arial Narrow" w:cs="Arial"/>
                <w:snapToGrid w:val="0"/>
                <w:sz w:val="20"/>
                <w:szCs w:val="16"/>
                <w:lang w:val="en-US" w:eastAsia="en-US"/>
              </w:rPr>
              <w:t xml:space="preserve">were </w:t>
            </w:r>
            <w:r w:rsidR="00C202D4">
              <w:rPr>
                <w:rFonts w:ascii="Arial Narrow" w:hAnsi="Arial Narrow" w:cs="Arial"/>
                <w:snapToGrid w:val="0"/>
                <w:sz w:val="20"/>
                <w:szCs w:val="16"/>
                <w:lang w:val="en-US" w:eastAsia="en-US"/>
              </w:rPr>
              <w:t xml:space="preserve">on </w:t>
            </w:r>
            <w:r>
              <w:rPr>
                <w:rFonts w:ascii="Arial Narrow" w:hAnsi="Arial Narrow" w:cs="Arial"/>
                <w:snapToGrid w:val="0"/>
                <w:sz w:val="20"/>
                <w:szCs w:val="16"/>
                <w:lang w:val="en-US" w:eastAsia="en-US"/>
              </w:rPr>
              <w:t xml:space="preserve">the </w:t>
            </w:r>
            <w:r w:rsidR="00C202D4">
              <w:rPr>
                <w:rFonts w:ascii="Arial Narrow" w:hAnsi="Arial Narrow" w:cs="Arial"/>
                <w:snapToGrid w:val="0"/>
                <w:sz w:val="20"/>
                <w:szCs w:val="16"/>
                <w:lang w:val="en-US" w:eastAsia="en-US"/>
              </w:rPr>
              <w:t xml:space="preserve">lung transplant waiting list </w:t>
            </w:r>
          </w:p>
        </w:tc>
        <w:tc>
          <w:tcPr>
            <w:tcW w:w="1092" w:type="pct"/>
            <w:vMerge/>
            <w:shd w:val="clear" w:color="auto" w:fill="auto"/>
            <w:vAlign w:val="center"/>
          </w:tcPr>
          <w:p w:rsidR="00CB3843" w:rsidRPr="008B3F6F" w:rsidRDefault="00CB3843" w:rsidP="008B3F6F">
            <w:pPr>
              <w:widowControl w:val="0"/>
              <w:jc w:val="center"/>
              <w:rPr>
                <w:rFonts w:ascii="Arial Narrow" w:hAnsi="Arial Narrow" w:cs="Arial"/>
                <w:snapToGrid w:val="0"/>
                <w:sz w:val="20"/>
                <w:szCs w:val="16"/>
                <w:lang w:val="en-US" w:eastAsia="en-US"/>
              </w:rPr>
            </w:pPr>
          </w:p>
        </w:tc>
      </w:tr>
      <w:tr w:rsidR="006512B6" w:rsidRPr="008B3F6F" w:rsidTr="00BE64D8">
        <w:tc>
          <w:tcPr>
            <w:tcW w:w="661" w:type="pct"/>
            <w:shd w:val="clear" w:color="auto" w:fill="auto"/>
            <w:vAlign w:val="center"/>
          </w:tcPr>
          <w:p w:rsidR="00CB3843" w:rsidRPr="008B3F6F" w:rsidRDefault="00913303" w:rsidP="00421F74">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CAP</w:t>
            </w:r>
            <w:r w:rsidR="00CB3843">
              <w:rPr>
                <w:rFonts w:ascii="Arial Narrow" w:hAnsi="Arial Narrow" w:cs="Arial"/>
                <w:snapToGrid w:val="0"/>
                <w:sz w:val="20"/>
                <w:szCs w:val="16"/>
                <w:lang w:val="en-US" w:eastAsia="en-US"/>
              </w:rPr>
              <w:t xml:space="preserve"> in Germany (</w:t>
            </w:r>
            <w:r w:rsidR="00CB3843" w:rsidRPr="00421F74">
              <w:rPr>
                <w:rFonts w:ascii="Arial Narrow" w:hAnsi="Arial Narrow" w:cs="Arial"/>
                <w:snapToGrid w:val="0"/>
                <w:sz w:val="20"/>
                <w:szCs w:val="16"/>
                <w:lang w:val="en-US" w:eastAsia="en-US"/>
              </w:rPr>
              <w:t>Hebestreit 2013</w:t>
            </w:r>
            <w:r w:rsidR="00CB3843">
              <w:rPr>
                <w:rFonts w:ascii="Arial Narrow" w:hAnsi="Arial Narrow" w:cs="Arial"/>
                <w:snapToGrid w:val="0"/>
                <w:sz w:val="20"/>
                <w:szCs w:val="16"/>
                <w:lang w:val="en-US" w:eastAsia="en-US"/>
              </w:rPr>
              <w:t>)</w:t>
            </w:r>
          </w:p>
        </w:tc>
        <w:tc>
          <w:tcPr>
            <w:tcW w:w="459" w:type="pct"/>
            <w:shd w:val="clear" w:color="auto" w:fill="auto"/>
            <w:vAlign w:val="center"/>
          </w:tcPr>
          <w:p w:rsidR="00CB3843" w:rsidRPr="008B3F6F" w:rsidRDefault="00CB384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14</w:t>
            </w:r>
          </w:p>
        </w:tc>
        <w:tc>
          <w:tcPr>
            <w:tcW w:w="863" w:type="pct"/>
            <w:shd w:val="clear" w:color="auto" w:fill="auto"/>
            <w:vAlign w:val="center"/>
          </w:tcPr>
          <w:p w:rsidR="00CB3843" w:rsidRPr="008B3F6F" w:rsidRDefault="00CB3843" w:rsidP="006512B6">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Retrospective, open-label, </w:t>
            </w:r>
            <w:r w:rsidR="006512B6">
              <w:rPr>
                <w:rFonts w:ascii="Arial Narrow" w:hAnsi="Arial Narrow" w:cs="Arial"/>
                <w:snapToGrid w:val="0"/>
                <w:sz w:val="20"/>
                <w:szCs w:val="16"/>
                <w:lang w:val="en-US" w:eastAsia="en-US"/>
              </w:rPr>
              <w:t xml:space="preserve">non-comparative </w:t>
            </w:r>
            <w:r>
              <w:rPr>
                <w:rFonts w:ascii="Arial Narrow" w:hAnsi="Arial Narrow" w:cs="Arial"/>
                <w:snapToGrid w:val="0"/>
                <w:sz w:val="20"/>
                <w:szCs w:val="16"/>
                <w:lang w:val="en-US" w:eastAsia="en-US"/>
              </w:rPr>
              <w:t>study</w:t>
            </w:r>
          </w:p>
        </w:tc>
        <w:tc>
          <w:tcPr>
            <w:tcW w:w="493" w:type="pct"/>
            <w:shd w:val="clear" w:color="auto" w:fill="auto"/>
            <w:vAlign w:val="center"/>
          </w:tcPr>
          <w:p w:rsidR="00CB3843" w:rsidRPr="008B3F6F" w:rsidRDefault="00CB384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7.7 months</w:t>
            </w:r>
          </w:p>
        </w:tc>
        <w:tc>
          <w:tcPr>
            <w:tcW w:w="1432" w:type="pct"/>
            <w:shd w:val="clear" w:color="auto" w:fill="auto"/>
            <w:vAlign w:val="center"/>
          </w:tcPr>
          <w:p w:rsidR="00CB3843" w:rsidRPr="008B3F6F" w:rsidRDefault="006512B6" w:rsidP="00335438">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P</w:t>
            </w:r>
            <w:r w:rsidR="00025A1E">
              <w:rPr>
                <w:rFonts w:ascii="Arial Narrow" w:hAnsi="Arial Narrow" w:cs="Arial"/>
                <w:snapToGrid w:val="0"/>
                <w:sz w:val="20"/>
                <w:szCs w:val="16"/>
                <w:lang w:val="en-US" w:eastAsia="en-US"/>
              </w:rPr>
              <w:t xml:space="preserve">atients with severe </w:t>
            </w:r>
            <w:r>
              <w:rPr>
                <w:rFonts w:ascii="Arial Narrow" w:hAnsi="Arial Narrow" w:cs="Arial"/>
                <w:snapToGrid w:val="0"/>
                <w:sz w:val="20"/>
                <w:szCs w:val="16"/>
                <w:lang w:val="en-US" w:eastAsia="en-US"/>
              </w:rPr>
              <w:t>CF</w:t>
            </w:r>
            <w:r w:rsidR="00335438">
              <w:rPr>
                <w:rFonts w:ascii="Arial Narrow" w:hAnsi="Arial Narrow" w:cs="Arial"/>
                <w:snapToGrid w:val="0"/>
                <w:sz w:val="20"/>
                <w:szCs w:val="16"/>
                <w:lang w:val="en-US" w:eastAsia="en-US"/>
              </w:rPr>
              <w:t xml:space="preserve"> who carried a </w:t>
            </w:r>
            <w:r w:rsidR="00025A1E" w:rsidRPr="00025A1E">
              <w:rPr>
                <w:rFonts w:ascii="Arial Narrow" w:hAnsi="Arial Narrow" w:cs="Arial"/>
                <w:snapToGrid w:val="0"/>
                <w:sz w:val="20"/>
                <w:szCs w:val="16"/>
                <w:lang w:val="en-US" w:eastAsia="en-US"/>
              </w:rPr>
              <w:t>G551D mutation</w:t>
            </w:r>
          </w:p>
        </w:tc>
        <w:tc>
          <w:tcPr>
            <w:tcW w:w="1092" w:type="pct"/>
            <w:shd w:val="clear" w:color="auto" w:fill="auto"/>
            <w:vAlign w:val="center"/>
          </w:tcPr>
          <w:p w:rsidR="00025A1E" w:rsidRDefault="00CB3843"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Change in </w:t>
            </w:r>
            <w:r w:rsidRPr="00421F74">
              <w:rPr>
                <w:rFonts w:ascii="Arial Narrow" w:hAnsi="Arial Narrow" w:cs="Arial"/>
                <w:snapToGrid w:val="0"/>
                <w:sz w:val="20"/>
                <w:szCs w:val="16"/>
                <w:lang w:val="en-US" w:eastAsia="en-US"/>
              </w:rPr>
              <w:t>FEV</w:t>
            </w:r>
            <w:r w:rsidRPr="00335438">
              <w:rPr>
                <w:rFonts w:ascii="Arial Narrow" w:hAnsi="Arial Narrow" w:cs="Arial"/>
                <w:snapToGrid w:val="0"/>
                <w:sz w:val="20"/>
                <w:szCs w:val="16"/>
                <w:vertAlign w:val="subscript"/>
                <w:lang w:val="en-US" w:eastAsia="en-US"/>
              </w:rPr>
              <w:t>1</w:t>
            </w:r>
            <w:r w:rsidR="00025A1E">
              <w:rPr>
                <w:rFonts w:ascii="Arial Narrow" w:hAnsi="Arial Narrow" w:cs="Arial"/>
                <w:snapToGrid w:val="0"/>
                <w:sz w:val="20"/>
                <w:szCs w:val="16"/>
                <w:lang w:val="en-US" w:eastAsia="en-US"/>
              </w:rPr>
              <w:t xml:space="preserve"> from baseline</w:t>
            </w:r>
          </w:p>
          <w:p w:rsidR="00CB3843" w:rsidRDefault="00025A1E"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w:t>
            </w:r>
            <w:r w:rsidR="00CB3843">
              <w:rPr>
                <w:rFonts w:ascii="Arial Narrow" w:hAnsi="Arial Narrow" w:cs="Arial"/>
                <w:snapToGrid w:val="0"/>
                <w:sz w:val="20"/>
                <w:szCs w:val="16"/>
                <w:lang w:val="en-US" w:eastAsia="en-US"/>
              </w:rPr>
              <w:t>hange in body weight</w:t>
            </w:r>
          </w:p>
          <w:p w:rsidR="0094019F" w:rsidRPr="008B3F6F" w:rsidRDefault="00D075FC"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Incidence of </w:t>
            </w:r>
            <w:r w:rsidR="0094019F">
              <w:rPr>
                <w:rFonts w:ascii="Arial Narrow" w:hAnsi="Arial Narrow" w:cs="Arial"/>
                <w:snapToGrid w:val="0"/>
                <w:sz w:val="20"/>
                <w:szCs w:val="16"/>
                <w:lang w:val="en-US" w:eastAsia="en-US"/>
              </w:rPr>
              <w:t>AEs</w:t>
            </w:r>
          </w:p>
        </w:tc>
      </w:tr>
      <w:tr w:rsidR="006512B6" w:rsidRPr="008B3F6F" w:rsidTr="00BE64D8">
        <w:tc>
          <w:tcPr>
            <w:tcW w:w="661" w:type="pct"/>
            <w:shd w:val="clear" w:color="auto" w:fill="auto"/>
            <w:vAlign w:val="center"/>
          </w:tcPr>
          <w:p w:rsidR="00CB3843" w:rsidRPr="008B3F6F" w:rsidRDefault="00913303" w:rsidP="00421F74">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CAP</w:t>
            </w:r>
            <w:r w:rsidR="00CB3843">
              <w:rPr>
                <w:rFonts w:ascii="Arial Narrow" w:hAnsi="Arial Narrow" w:cs="Arial"/>
                <w:snapToGrid w:val="0"/>
                <w:sz w:val="20"/>
                <w:szCs w:val="16"/>
                <w:lang w:val="en-US" w:eastAsia="en-US"/>
              </w:rPr>
              <w:t xml:space="preserve"> in France (</w:t>
            </w:r>
            <w:r w:rsidR="00E55A4F">
              <w:rPr>
                <w:rFonts w:ascii="Arial Narrow" w:hAnsi="Arial Narrow" w:cs="Arial"/>
                <w:snapToGrid w:val="0"/>
                <w:sz w:val="20"/>
                <w:szCs w:val="16"/>
                <w:lang w:val="en-US" w:eastAsia="en-US"/>
              </w:rPr>
              <w:t>ATU study</w:t>
            </w:r>
            <w:r w:rsidR="00CB3843">
              <w:rPr>
                <w:rFonts w:ascii="Arial Narrow" w:hAnsi="Arial Narrow" w:cs="Arial"/>
                <w:snapToGrid w:val="0"/>
                <w:sz w:val="20"/>
                <w:szCs w:val="16"/>
                <w:lang w:val="en-US" w:eastAsia="en-US"/>
              </w:rPr>
              <w:t>)</w:t>
            </w:r>
          </w:p>
        </w:tc>
        <w:tc>
          <w:tcPr>
            <w:tcW w:w="459" w:type="pct"/>
            <w:shd w:val="clear" w:color="auto" w:fill="auto"/>
            <w:vAlign w:val="center"/>
          </w:tcPr>
          <w:p w:rsidR="00CB3843" w:rsidRPr="008B3F6F" w:rsidRDefault="00065965"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8</w:t>
            </w:r>
          </w:p>
        </w:tc>
        <w:tc>
          <w:tcPr>
            <w:tcW w:w="863" w:type="pct"/>
            <w:shd w:val="clear" w:color="auto" w:fill="auto"/>
            <w:vAlign w:val="center"/>
          </w:tcPr>
          <w:p w:rsidR="00CB3843" w:rsidRPr="008B3F6F" w:rsidRDefault="00B1545F"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O</w:t>
            </w:r>
            <w:r w:rsidR="006512B6">
              <w:rPr>
                <w:rFonts w:ascii="Arial Narrow" w:hAnsi="Arial Narrow" w:cs="Arial"/>
                <w:snapToGrid w:val="0"/>
                <w:sz w:val="20"/>
                <w:szCs w:val="16"/>
                <w:lang w:val="en-US" w:eastAsia="en-US"/>
              </w:rPr>
              <w:t>pen-label, non-comparative</w:t>
            </w:r>
            <w:r w:rsidR="003E0BF9">
              <w:rPr>
                <w:rFonts w:ascii="Arial Narrow" w:hAnsi="Arial Narrow" w:cs="Arial"/>
                <w:snapToGrid w:val="0"/>
                <w:sz w:val="20"/>
                <w:szCs w:val="16"/>
                <w:lang w:val="en-US" w:eastAsia="en-US"/>
              </w:rPr>
              <w:t xml:space="preserve"> study</w:t>
            </w:r>
          </w:p>
        </w:tc>
        <w:tc>
          <w:tcPr>
            <w:tcW w:w="493" w:type="pct"/>
            <w:shd w:val="clear" w:color="auto" w:fill="auto"/>
            <w:vAlign w:val="center"/>
          </w:tcPr>
          <w:p w:rsidR="00CB3843" w:rsidRPr="008B3F6F" w:rsidRDefault="00BC01EB" w:rsidP="00BC01EB">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12 weeks</w:t>
            </w:r>
          </w:p>
        </w:tc>
        <w:tc>
          <w:tcPr>
            <w:tcW w:w="1432" w:type="pct"/>
            <w:shd w:val="clear" w:color="auto" w:fill="auto"/>
            <w:vAlign w:val="center"/>
          </w:tcPr>
          <w:p w:rsidR="00CB3843" w:rsidRPr="008B3F6F" w:rsidRDefault="006512B6" w:rsidP="00335438">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CF patients with severe disease </w:t>
            </w:r>
            <w:r w:rsidR="00335438">
              <w:rPr>
                <w:rFonts w:ascii="Arial Narrow" w:hAnsi="Arial Narrow" w:cs="Arial"/>
                <w:snapToGrid w:val="0"/>
                <w:sz w:val="20"/>
                <w:szCs w:val="16"/>
                <w:lang w:val="en-US" w:eastAsia="en-US"/>
              </w:rPr>
              <w:t xml:space="preserve">who had </w:t>
            </w:r>
            <w:r w:rsidR="00335438" w:rsidRPr="00335438">
              <w:rPr>
                <w:rFonts w:ascii="Arial Narrow" w:hAnsi="Arial Narrow" w:cs="Arial"/>
                <w:snapToGrid w:val="0"/>
                <w:sz w:val="20"/>
                <w:szCs w:val="16"/>
                <w:lang w:val="en-US" w:eastAsia="en-US"/>
              </w:rPr>
              <w:t>the</w:t>
            </w:r>
            <w:r w:rsidR="00335438">
              <w:rPr>
                <w:rFonts w:ascii="Arial Narrow" w:hAnsi="Arial Narrow" w:cs="Arial"/>
                <w:snapToGrid w:val="0"/>
                <w:sz w:val="20"/>
                <w:szCs w:val="16"/>
                <w:lang w:val="en-US" w:eastAsia="en-US"/>
              </w:rPr>
              <w:t xml:space="preserve"> </w:t>
            </w:r>
            <w:r w:rsidR="00335438" w:rsidRPr="00335438">
              <w:rPr>
                <w:rFonts w:ascii="Arial Narrow" w:hAnsi="Arial Narrow" w:cs="Arial"/>
                <w:snapToGrid w:val="0"/>
                <w:sz w:val="20"/>
                <w:szCs w:val="16"/>
                <w:lang w:val="en-US" w:eastAsia="en-US"/>
              </w:rPr>
              <w:t>G551D mutation in at least 1 allele</w:t>
            </w:r>
          </w:p>
        </w:tc>
        <w:tc>
          <w:tcPr>
            <w:tcW w:w="1092" w:type="pct"/>
            <w:shd w:val="clear" w:color="auto" w:fill="auto"/>
            <w:vAlign w:val="center"/>
          </w:tcPr>
          <w:p w:rsidR="006512B6" w:rsidRDefault="006512B6"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Change in </w:t>
            </w:r>
            <w:r w:rsidRPr="00421F74">
              <w:rPr>
                <w:rFonts w:ascii="Arial Narrow" w:hAnsi="Arial Narrow" w:cs="Arial"/>
                <w:snapToGrid w:val="0"/>
                <w:sz w:val="20"/>
                <w:szCs w:val="16"/>
                <w:lang w:val="en-US" w:eastAsia="en-US"/>
              </w:rPr>
              <w:t>FEV</w:t>
            </w:r>
            <w:r w:rsidRPr="00335438">
              <w:rPr>
                <w:rFonts w:ascii="Arial Narrow" w:hAnsi="Arial Narrow" w:cs="Arial"/>
                <w:snapToGrid w:val="0"/>
                <w:sz w:val="20"/>
                <w:szCs w:val="16"/>
                <w:vertAlign w:val="subscript"/>
                <w:lang w:val="en-US" w:eastAsia="en-US"/>
              </w:rPr>
              <w:t>1</w:t>
            </w:r>
            <w:r>
              <w:rPr>
                <w:rFonts w:ascii="Arial Narrow" w:hAnsi="Arial Narrow" w:cs="Arial"/>
                <w:snapToGrid w:val="0"/>
                <w:sz w:val="20"/>
                <w:szCs w:val="16"/>
                <w:lang w:val="en-US" w:eastAsia="en-US"/>
              </w:rPr>
              <w:t xml:space="preserve"> from baseline</w:t>
            </w:r>
          </w:p>
          <w:p w:rsidR="00CB3843" w:rsidRPr="008B3F6F" w:rsidRDefault="006512B6"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Change in body weight</w:t>
            </w:r>
          </w:p>
        </w:tc>
      </w:tr>
      <w:tr w:rsidR="006512B6" w:rsidRPr="008B3F6F" w:rsidTr="00BE64D8">
        <w:tc>
          <w:tcPr>
            <w:tcW w:w="661" w:type="pct"/>
            <w:shd w:val="clear" w:color="auto" w:fill="auto"/>
            <w:vAlign w:val="center"/>
          </w:tcPr>
          <w:p w:rsidR="00CB3843" w:rsidRPr="008B3F6F" w:rsidRDefault="00913303" w:rsidP="00421F74">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CAP</w:t>
            </w:r>
            <w:r w:rsidR="00CB3843">
              <w:rPr>
                <w:rFonts w:ascii="Arial Narrow" w:hAnsi="Arial Narrow" w:cs="Arial"/>
                <w:snapToGrid w:val="0"/>
                <w:sz w:val="20"/>
                <w:szCs w:val="16"/>
                <w:lang w:val="en-US" w:eastAsia="en-US"/>
              </w:rPr>
              <w:t xml:space="preserve"> in US (</w:t>
            </w:r>
            <w:r w:rsidR="00CB3843" w:rsidRPr="00421F74">
              <w:rPr>
                <w:rFonts w:ascii="Arial Narrow" w:hAnsi="Arial Narrow" w:cs="Arial"/>
                <w:snapToGrid w:val="0"/>
                <w:sz w:val="20"/>
                <w:szCs w:val="16"/>
                <w:lang w:val="en-US" w:eastAsia="en-US"/>
              </w:rPr>
              <w:t>Taylor-Cousar 2015</w:t>
            </w:r>
            <w:r w:rsidR="00CB3843">
              <w:rPr>
                <w:rFonts w:ascii="Arial Narrow" w:hAnsi="Arial Narrow" w:cs="Arial"/>
                <w:snapToGrid w:val="0"/>
                <w:sz w:val="20"/>
                <w:szCs w:val="16"/>
                <w:lang w:val="en-US" w:eastAsia="en-US"/>
              </w:rPr>
              <w:t>)</w:t>
            </w:r>
          </w:p>
        </w:tc>
        <w:tc>
          <w:tcPr>
            <w:tcW w:w="459" w:type="pct"/>
            <w:shd w:val="clear" w:color="auto" w:fill="auto"/>
            <w:vAlign w:val="center"/>
          </w:tcPr>
          <w:p w:rsidR="00CB3843" w:rsidRPr="008B3F6F" w:rsidRDefault="00CB384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44</w:t>
            </w:r>
          </w:p>
        </w:tc>
        <w:tc>
          <w:tcPr>
            <w:tcW w:w="863" w:type="pct"/>
            <w:shd w:val="clear" w:color="auto" w:fill="auto"/>
            <w:vAlign w:val="center"/>
          </w:tcPr>
          <w:p w:rsidR="00CB3843" w:rsidRPr="008B3F6F" w:rsidRDefault="006512B6"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Prospective, open-label, non-comparative</w:t>
            </w:r>
            <w:r w:rsidR="003E0BF9">
              <w:rPr>
                <w:rFonts w:ascii="Arial Narrow" w:hAnsi="Arial Narrow" w:cs="Arial"/>
                <w:snapToGrid w:val="0"/>
                <w:sz w:val="20"/>
                <w:szCs w:val="16"/>
                <w:lang w:val="en-US" w:eastAsia="en-US"/>
              </w:rPr>
              <w:t xml:space="preserve"> study</w:t>
            </w:r>
          </w:p>
        </w:tc>
        <w:tc>
          <w:tcPr>
            <w:tcW w:w="493" w:type="pct"/>
            <w:shd w:val="clear" w:color="auto" w:fill="auto"/>
            <w:vAlign w:val="center"/>
          </w:tcPr>
          <w:p w:rsidR="00CB3843" w:rsidRPr="008B3F6F" w:rsidRDefault="00BC01EB"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24 week</w:t>
            </w:r>
            <w:r w:rsidR="00CB3843">
              <w:rPr>
                <w:rFonts w:ascii="Arial Narrow" w:hAnsi="Arial Narrow" w:cs="Arial"/>
                <w:snapToGrid w:val="0"/>
                <w:sz w:val="20"/>
                <w:szCs w:val="16"/>
                <w:lang w:val="en-US" w:eastAsia="en-US"/>
              </w:rPr>
              <w:t>s</w:t>
            </w:r>
          </w:p>
        </w:tc>
        <w:tc>
          <w:tcPr>
            <w:tcW w:w="1432" w:type="pct"/>
            <w:shd w:val="clear" w:color="auto" w:fill="auto"/>
            <w:vAlign w:val="center"/>
          </w:tcPr>
          <w:p w:rsidR="00CB3843" w:rsidRPr="008B3F6F" w:rsidRDefault="006512B6" w:rsidP="00335438">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Patients with severe CF and </w:t>
            </w:r>
            <w:r w:rsidRPr="00025A1E">
              <w:rPr>
                <w:rFonts w:ascii="Arial Narrow" w:hAnsi="Arial Narrow" w:cs="Arial"/>
                <w:snapToGrid w:val="0"/>
                <w:sz w:val="20"/>
                <w:szCs w:val="16"/>
                <w:lang w:val="en-US" w:eastAsia="en-US"/>
              </w:rPr>
              <w:t xml:space="preserve">with </w:t>
            </w:r>
            <w:r>
              <w:rPr>
                <w:rFonts w:ascii="Arial Narrow" w:hAnsi="Arial Narrow" w:cs="Arial"/>
                <w:snapToGrid w:val="0"/>
                <w:sz w:val="20"/>
                <w:szCs w:val="16"/>
                <w:lang w:val="en-US" w:eastAsia="en-US"/>
              </w:rPr>
              <w:t>a</w:t>
            </w:r>
            <w:r w:rsidRPr="00025A1E">
              <w:rPr>
                <w:rFonts w:ascii="Arial Narrow" w:hAnsi="Arial Narrow" w:cs="Arial"/>
                <w:snapToGrid w:val="0"/>
                <w:sz w:val="20"/>
                <w:szCs w:val="16"/>
                <w:lang w:val="en-US" w:eastAsia="en-US"/>
              </w:rPr>
              <w:t xml:space="preserve"> G551D mutation</w:t>
            </w:r>
          </w:p>
        </w:tc>
        <w:tc>
          <w:tcPr>
            <w:tcW w:w="1092" w:type="pct"/>
            <w:shd w:val="clear" w:color="auto" w:fill="auto"/>
            <w:vAlign w:val="center"/>
          </w:tcPr>
          <w:p w:rsidR="0094019F" w:rsidRPr="0094019F" w:rsidRDefault="00335438"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Incidence of </w:t>
            </w:r>
            <w:r w:rsidR="0094019F" w:rsidRPr="0094019F">
              <w:rPr>
                <w:rFonts w:ascii="Arial Narrow" w:hAnsi="Arial Narrow" w:cs="Arial"/>
                <w:snapToGrid w:val="0"/>
                <w:sz w:val="20"/>
                <w:szCs w:val="16"/>
                <w:lang w:val="en-US" w:eastAsia="en-US"/>
              </w:rPr>
              <w:t xml:space="preserve">AEs </w:t>
            </w:r>
          </w:p>
          <w:p w:rsidR="0094019F" w:rsidRDefault="0094019F"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Change in </w:t>
            </w:r>
            <w:r w:rsidRPr="00421F74">
              <w:rPr>
                <w:rFonts w:ascii="Arial Narrow" w:hAnsi="Arial Narrow" w:cs="Arial"/>
                <w:snapToGrid w:val="0"/>
                <w:sz w:val="20"/>
                <w:szCs w:val="16"/>
                <w:lang w:val="en-US" w:eastAsia="en-US"/>
              </w:rPr>
              <w:t>FEV</w:t>
            </w:r>
            <w:r w:rsidRPr="00335438">
              <w:rPr>
                <w:rFonts w:ascii="Arial Narrow" w:hAnsi="Arial Narrow" w:cs="Arial"/>
                <w:snapToGrid w:val="0"/>
                <w:sz w:val="20"/>
                <w:szCs w:val="16"/>
                <w:vertAlign w:val="subscript"/>
                <w:lang w:val="en-US" w:eastAsia="en-US"/>
              </w:rPr>
              <w:t>1</w:t>
            </w:r>
            <w:r>
              <w:rPr>
                <w:rFonts w:ascii="Arial Narrow" w:hAnsi="Arial Narrow" w:cs="Arial"/>
                <w:snapToGrid w:val="0"/>
                <w:sz w:val="20"/>
                <w:szCs w:val="16"/>
                <w:lang w:val="en-US" w:eastAsia="en-US"/>
              </w:rPr>
              <w:t xml:space="preserve"> from baseline</w:t>
            </w:r>
          </w:p>
          <w:p w:rsidR="0094019F" w:rsidRPr="00FF53D2" w:rsidRDefault="0094019F"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Change in body weight</w:t>
            </w:r>
          </w:p>
        </w:tc>
      </w:tr>
      <w:tr w:rsidR="00EB2C63" w:rsidRPr="008B3F6F" w:rsidTr="00EB2C63">
        <w:trPr>
          <w:trHeight w:val="655"/>
        </w:trPr>
        <w:tc>
          <w:tcPr>
            <w:tcW w:w="661" w:type="pct"/>
            <w:vMerge w:val="restart"/>
            <w:shd w:val="clear" w:color="auto" w:fill="auto"/>
            <w:vAlign w:val="center"/>
          </w:tcPr>
          <w:p w:rsidR="00EB2C63" w:rsidRPr="008B3F6F" w:rsidRDefault="00EB2C63" w:rsidP="00421F74">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STRIVE subgroup (Bell 2013)</w:t>
            </w:r>
          </w:p>
        </w:tc>
        <w:tc>
          <w:tcPr>
            <w:tcW w:w="459" w:type="pct"/>
            <w:shd w:val="clear" w:color="auto" w:fill="auto"/>
            <w:vAlign w:val="center"/>
          </w:tcPr>
          <w:p w:rsidR="00EB2C63" w:rsidRDefault="00EB2C63" w:rsidP="006503E6">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5</w:t>
            </w:r>
          </w:p>
          <w:p w:rsidR="00EB2C63" w:rsidRPr="008B3F6F" w:rsidRDefault="00EB2C63" w:rsidP="006503E6">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(ivacaftor)</w:t>
            </w:r>
          </w:p>
        </w:tc>
        <w:tc>
          <w:tcPr>
            <w:tcW w:w="863" w:type="pct"/>
            <w:vMerge w:val="restart"/>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Prospective, blinded, comparative study</w:t>
            </w:r>
          </w:p>
        </w:tc>
        <w:tc>
          <w:tcPr>
            <w:tcW w:w="493" w:type="pct"/>
            <w:vMerge w:val="restart"/>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48 weeks</w:t>
            </w:r>
          </w:p>
        </w:tc>
        <w:tc>
          <w:tcPr>
            <w:tcW w:w="1432" w:type="pct"/>
            <w:vMerge w:val="restart"/>
            <w:shd w:val="clear" w:color="auto" w:fill="auto"/>
            <w:vAlign w:val="center"/>
          </w:tcPr>
          <w:p w:rsidR="00EB2C63" w:rsidRPr="008B3F6F" w:rsidRDefault="00EB2C63" w:rsidP="00335438">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Patients with severe CF who had a G551D mutation</w:t>
            </w:r>
          </w:p>
        </w:tc>
        <w:tc>
          <w:tcPr>
            <w:tcW w:w="1092" w:type="pct"/>
            <w:vMerge w:val="restart"/>
            <w:shd w:val="clear" w:color="auto" w:fill="auto"/>
            <w:vAlign w:val="center"/>
          </w:tcPr>
          <w:p w:rsidR="00EB2C63" w:rsidRDefault="00EB2C63"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Change in </w:t>
            </w:r>
            <w:r w:rsidRPr="00421F74">
              <w:rPr>
                <w:rFonts w:ascii="Arial Narrow" w:hAnsi="Arial Narrow" w:cs="Arial"/>
                <w:snapToGrid w:val="0"/>
                <w:sz w:val="20"/>
                <w:szCs w:val="16"/>
                <w:lang w:val="en-US" w:eastAsia="en-US"/>
              </w:rPr>
              <w:t>FEV</w:t>
            </w:r>
            <w:r w:rsidRPr="00335438">
              <w:rPr>
                <w:rFonts w:ascii="Arial Narrow" w:hAnsi="Arial Narrow" w:cs="Arial"/>
                <w:snapToGrid w:val="0"/>
                <w:sz w:val="20"/>
                <w:szCs w:val="16"/>
                <w:vertAlign w:val="subscript"/>
                <w:lang w:val="en-US" w:eastAsia="en-US"/>
              </w:rPr>
              <w:t>1</w:t>
            </w:r>
            <w:r>
              <w:rPr>
                <w:rFonts w:ascii="Arial Narrow" w:hAnsi="Arial Narrow" w:cs="Arial"/>
                <w:snapToGrid w:val="0"/>
                <w:sz w:val="20"/>
                <w:szCs w:val="16"/>
                <w:lang w:val="en-US" w:eastAsia="en-US"/>
              </w:rPr>
              <w:t xml:space="preserve"> from baseline </w:t>
            </w:r>
          </w:p>
          <w:p w:rsidR="00EB2C63" w:rsidRDefault="00EB2C63"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Change in body weight</w:t>
            </w:r>
          </w:p>
          <w:p w:rsidR="00EB2C63" w:rsidRPr="003E0BF9" w:rsidRDefault="00EB2C63"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Change in sweat chloride level</w:t>
            </w:r>
          </w:p>
        </w:tc>
      </w:tr>
      <w:tr w:rsidR="00EB2C63" w:rsidRPr="008B3F6F" w:rsidTr="00EB2C63">
        <w:trPr>
          <w:trHeight w:val="409"/>
        </w:trPr>
        <w:tc>
          <w:tcPr>
            <w:tcW w:w="661" w:type="pct"/>
            <w:vMerge/>
            <w:shd w:val="clear" w:color="auto" w:fill="auto"/>
            <w:vAlign w:val="center"/>
          </w:tcPr>
          <w:p w:rsidR="00EB2C63" w:rsidRDefault="00EB2C63" w:rsidP="00421F74">
            <w:pPr>
              <w:widowControl w:val="0"/>
              <w:rPr>
                <w:rFonts w:ascii="Arial Narrow" w:hAnsi="Arial Narrow" w:cs="Arial"/>
                <w:snapToGrid w:val="0"/>
                <w:sz w:val="20"/>
                <w:szCs w:val="16"/>
                <w:lang w:val="en-US" w:eastAsia="en-US"/>
              </w:rPr>
            </w:pPr>
          </w:p>
        </w:tc>
        <w:tc>
          <w:tcPr>
            <w:tcW w:w="459" w:type="pct"/>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8 (control)</w:t>
            </w:r>
          </w:p>
        </w:tc>
        <w:tc>
          <w:tcPr>
            <w:tcW w:w="863" w:type="pct"/>
            <w:vMerge/>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p>
        </w:tc>
        <w:tc>
          <w:tcPr>
            <w:tcW w:w="493" w:type="pct"/>
            <w:vMerge/>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p>
        </w:tc>
        <w:tc>
          <w:tcPr>
            <w:tcW w:w="1432" w:type="pct"/>
            <w:vMerge/>
            <w:shd w:val="clear" w:color="auto" w:fill="auto"/>
            <w:vAlign w:val="center"/>
          </w:tcPr>
          <w:p w:rsidR="00EB2C63" w:rsidRPr="008B3F6F" w:rsidRDefault="00EB2C63" w:rsidP="00335438">
            <w:pPr>
              <w:widowControl w:val="0"/>
              <w:rPr>
                <w:rFonts w:ascii="Arial Narrow" w:hAnsi="Arial Narrow" w:cs="Arial"/>
                <w:snapToGrid w:val="0"/>
                <w:sz w:val="20"/>
                <w:szCs w:val="16"/>
                <w:lang w:val="en-US" w:eastAsia="en-US"/>
              </w:rPr>
            </w:pPr>
          </w:p>
        </w:tc>
        <w:tc>
          <w:tcPr>
            <w:tcW w:w="1092" w:type="pct"/>
            <w:vMerge/>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p>
        </w:tc>
      </w:tr>
      <w:tr w:rsidR="00111F68" w:rsidRPr="008B3F6F" w:rsidTr="00BE64D8">
        <w:trPr>
          <w:trHeight w:val="716"/>
        </w:trPr>
        <w:tc>
          <w:tcPr>
            <w:tcW w:w="661" w:type="pct"/>
            <w:shd w:val="clear" w:color="auto" w:fill="auto"/>
            <w:vAlign w:val="center"/>
          </w:tcPr>
          <w:p w:rsidR="00111F68" w:rsidRDefault="00111F68" w:rsidP="00421F74">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PERSIST</w:t>
            </w:r>
            <w:r w:rsidR="00574B97">
              <w:rPr>
                <w:rFonts w:ascii="Arial Narrow" w:hAnsi="Arial Narrow" w:cs="Arial"/>
                <w:snapToGrid w:val="0"/>
                <w:sz w:val="20"/>
                <w:szCs w:val="16"/>
                <w:lang w:val="en-US" w:eastAsia="en-US"/>
              </w:rPr>
              <w:t xml:space="preserve"> subgroup</w:t>
            </w:r>
            <w:r>
              <w:rPr>
                <w:rFonts w:ascii="Arial Narrow" w:hAnsi="Arial Narrow" w:cs="Arial"/>
                <w:snapToGrid w:val="0"/>
                <w:sz w:val="20"/>
                <w:szCs w:val="16"/>
                <w:lang w:val="en-US" w:eastAsia="en-US"/>
              </w:rPr>
              <w:t xml:space="preserve"> (Bell 2013)</w:t>
            </w:r>
          </w:p>
        </w:tc>
        <w:tc>
          <w:tcPr>
            <w:tcW w:w="459" w:type="pct"/>
            <w:shd w:val="clear" w:color="auto" w:fill="auto"/>
            <w:vAlign w:val="center"/>
          </w:tcPr>
          <w:p w:rsidR="00111F68" w:rsidRDefault="00111F68" w:rsidP="006503E6">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8</w:t>
            </w:r>
          </w:p>
          <w:p w:rsidR="00111F68" w:rsidRPr="008B3F6F" w:rsidRDefault="00111F68" w:rsidP="006503E6">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(ivacaftor)</w:t>
            </w:r>
          </w:p>
        </w:tc>
        <w:tc>
          <w:tcPr>
            <w:tcW w:w="863" w:type="pct"/>
            <w:shd w:val="clear" w:color="auto" w:fill="auto"/>
            <w:vAlign w:val="center"/>
          </w:tcPr>
          <w:p w:rsidR="00111F68" w:rsidRPr="008B3F6F" w:rsidRDefault="00111F68" w:rsidP="006763A3">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Prospective, open-label, non-comparative study</w:t>
            </w:r>
          </w:p>
        </w:tc>
        <w:tc>
          <w:tcPr>
            <w:tcW w:w="493" w:type="pct"/>
            <w:shd w:val="clear" w:color="auto" w:fill="auto"/>
            <w:vAlign w:val="center"/>
          </w:tcPr>
          <w:p w:rsidR="00111F68" w:rsidRPr="008B3F6F" w:rsidRDefault="00BC01EB"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48 week</w:t>
            </w:r>
            <w:r w:rsidR="00111F68">
              <w:rPr>
                <w:rFonts w:ascii="Arial Narrow" w:hAnsi="Arial Narrow" w:cs="Arial"/>
                <w:snapToGrid w:val="0"/>
                <w:sz w:val="20"/>
                <w:szCs w:val="16"/>
                <w:lang w:val="en-US" w:eastAsia="en-US"/>
              </w:rPr>
              <w:t>s</w:t>
            </w:r>
          </w:p>
        </w:tc>
        <w:tc>
          <w:tcPr>
            <w:tcW w:w="1432" w:type="pct"/>
            <w:shd w:val="clear" w:color="auto" w:fill="auto"/>
            <w:vAlign w:val="center"/>
          </w:tcPr>
          <w:p w:rsidR="00111F68" w:rsidRPr="008B3F6F" w:rsidRDefault="00111F68" w:rsidP="00DC4F03">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Patients with severe CF </w:t>
            </w:r>
            <w:r w:rsidR="00335438">
              <w:rPr>
                <w:rFonts w:ascii="Arial Narrow" w:hAnsi="Arial Narrow" w:cs="Arial"/>
                <w:snapToGrid w:val="0"/>
                <w:sz w:val="20"/>
                <w:szCs w:val="16"/>
                <w:lang w:val="en-US" w:eastAsia="en-US"/>
              </w:rPr>
              <w:t xml:space="preserve">who had </w:t>
            </w:r>
            <w:r w:rsidR="00335438" w:rsidRPr="00335438">
              <w:rPr>
                <w:rFonts w:ascii="Arial Narrow" w:hAnsi="Arial Narrow" w:cs="Arial"/>
                <w:snapToGrid w:val="0"/>
                <w:sz w:val="20"/>
                <w:szCs w:val="16"/>
                <w:lang w:val="en-US" w:eastAsia="en-US"/>
              </w:rPr>
              <w:t>the G551D</w:t>
            </w:r>
            <w:r w:rsidR="00EB2C63">
              <w:rPr>
                <w:rFonts w:ascii="Arial Narrow" w:hAnsi="Arial Narrow" w:cs="Arial"/>
                <w:snapToGrid w:val="0"/>
                <w:sz w:val="20"/>
                <w:szCs w:val="16"/>
                <w:lang w:val="en-US" w:eastAsia="en-US"/>
              </w:rPr>
              <w:t xml:space="preserve"> </w:t>
            </w:r>
            <w:r w:rsidR="00335438" w:rsidRPr="00335438">
              <w:rPr>
                <w:rFonts w:ascii="Arial Narrow" w:hAnsi="Arial Narrow" w:cs="Arial"/>
                <w:snapToGrid w:val="0"/>
                <w:sz w:val="20"/>
                <w:szCs w:val="16"/>
                <w:lang w:val="en-US" w:eastAsia="en-US"/>
              </w:rPr>
              <w:t xml:space="preserve">CFTR mutation </w:t>
            </w:r>
            <w:r w:rsidR="00335438">
              <w:rPr>
                <w:rFonts w:ascii="Arial Narrow" w:hAnsi="Arial Narrow" w:cs="Arial"/>
                <w:snapToGrid w:val="0"/>
                <w:sz w:val="20"/>
                <w:szCs w:val="16"/>
                <w:lang w:val="en-US" w:eastAsia="en-US"/>
              </w:rPr>
              <w:t>i</w:t>
            </w:r>
            <w:r w:rsidR="00335438" w:rsidRPr="00335438">
              <w:rPr>
                <w:rFonts w:ascii="Arial Narrow" w:hAnsi="Arial Narrow" w:cs="Arial"/>
                <w:snapToGrid w:val="0"/>
                <w:sz w:val="20"/>
                <w:szCs w:val="16"/>
                <w:lang w:val="en-US" w:eastAsia="en-US"/>
              </w:rPr>
              <w:t>n at least 1 allele</w:t>
            </w:r>
          </w:p>
        </w:tc>
        <w:tc>
          <w:tcPr>
            <w:tcW w:w="1092" w:type="pct"/>
            <w:shd w:val="clear" w:color="auto" w:fill="auto"/>
            <w:vAlign w:val="center"/>
          </w:tcPr>
          <w:p w:rsidR="00111F68" w:rsidRDefault="00111F68"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Change in </w:t>
            </w:r>
            <w:r w:rsidRPr="00421F74">
              <w:rPr>
                <w:rFonts w:ascii="Arial Narrow" w:hAnsi="Arial Narrow" w:cs="Arial"/>
                <w:snapToGrid w:val="0"/>
                <w:sz w:val="20"/>
                <w:szCs w:val="16"/>
                <w:lang w:val="en-US" w:eastAsia="en-US"/>
              </w:rPr>
              <w:t>FEV</w:t>
            </w:r>
            <w:r w:rsidRPr="00335438">
              <w:rPr>
                <w:rFonts w:ascii="Arial Narrow" w:hAnsi="Arial Narrow" w:cs="Arial"/>
                <w:snapToGrid w:val="0"/>
                <w:sz w:val="20"/>
                <w:szCs w:val="16"/>
                <w:vertAlign w:val="subscript"/>
                <w:lang w:val="en-US" w:eastAsia="en-US"/>
              </w:rPr>
              <w:t>1</w:t>
            </w:r>
            <w:r>
              <w:rPr>
                <w:rFonts w:ascii="Arial Narrow" w:hAnsi="Arial Narrow" w:cs="Arial"/>
                <w:snapToGrid w:val="0"/>
                <w:sz w:val="20"/>
                <w:szCs w:val="16"/>
                <w:lang w:val="en-US" w:eastAsia="en-US"/>
              </w:rPr>
              <w:t xml:space="preserve"> from baseline </w:t>
            </w:r>
          </w:p>
          <w:p w:rsidR="00111F68" w:rsidRPr="008B3F6F" w:rsidRDefault="00111F68"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Change in body weight</w:t>
            </w:r>
          </w:p>
        </w:tc>
      </w:tr>
      <w:tr w:rsidR="00EB2C63" w:rsidRPr="008B3F6F" w:rsidTr="00BE64D8">
        <w:trPr>
          <w:trHeight w:val="622"/>
        </w:trPr>
        <w:tc>
          <w:tcPr>
            <w:tcW w:w="661" w:type="pct"/>
            <w:vMerge w:val="restart"/>
            <w:shd w:val="clear" w:color="auto" w:fill="auto"/>
            <w:vAlign w:val="center"/>
          </w:tcPr>
          <w:p w:rsidR="00EB2C63" w:rsidRDefault="00EB2C63" w:rsidP="00ED71F0">
            <w:pPr>
              <w:widowControl w:val="0"/>
              <w:rPr>
                <w:rFonts w:ascii="Arial Narrow" w:hAnsi="Arial Narrow" w:cs="Arial"/>
                <w:snapToGrid w:val="0"/>
                <w:sz w:val="20"/>
                <w:szCs w:val="16"/>
                <w:lang w:val="en-US" w:eastAsia="en-US"/>
              </w:rPr>
            </w:pPr>
            <w:r w:rsidRPr="00ED71F0">
              <w:rPr>
                <w:rFonts w:ascii="Arial Narrow" w:hAnsi="Arial Narrow" w:cs="Arial"/>
                <w:snapToGrid w:val="0"/>
                <w:sz w:val="20"/>
                <w:szCs w:val="16"/>
                <w:lang w:val="en-US" w:eastAsia="en-US"/>
              </w:rPr>
              <w:t>US CF</w:t>
            </w:r>
            <w:r>
              <w:rPr>
                <w:rFonts w:ascii="Arial Narrow" w:hAnsi="Arial Narrow" w:cs="Arial"/>
                <w:snapToGrid w:val="0"/>
                <w:sz w:val="20"/>
                <w:szCs w:val="16"/>
                <w:lang w:val="en-US" w:eastAsia="en-US"/>
              </w:rPr>
              <w:t>FPR (Bai 2015)</w:t>
            </w:r>
          </w:p>
        </w:tc>
        <w:tc>
          <w:tcPr>
            <w:tcW w:w="459" w:type="pct"/>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999 (control)</w:t>
            </w:r>
          </w:p>
        </w:tc>
        <w:tc>
          <w:tcPr>
            <w:tcW w:w="863" w:type="pct"/>
            <w:vMerge w:val="restart"/>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Open-label, comparative study</w:t>
            </w:r>
          </w:p>
        </w:tc>
        <w:tc>
          <w:tcPr>
            <w:tcW w:w="493" w:type="pct"/>
            <w:vMerge w:val="restart"/>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1.4 years</w:t>
            </w:r>
          </w:p>
        </w:tc>
        <w:tc>
          <w:tcPr>
            <w:tcW w:w="1432" w:type="pct"/>
            <w:vMerge w:val="restart"/>
            <w:shd w:val="clear" w:color="auto" w:fill="auto"/>
            <w:vAlign w:val="center"/>
          </w:tcPr>
          <w:p w:rsidR="00EB2C63" w:rsidRPr="008B3F6F" w:rsidRDefault="00EB2C63" w:rsidP="006F024C">
            <w:pPr>
              <w:widowControl w:val="0"/>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 xml:space="preserve">CF patients </w:t>
            </w:r>
          </w:p>
        </w:tc>
        <w:tc>
          <w:tcPr>
            <w:tcW w:w="1092" w:type="pct"/>
            <w:vMerge w:val="restart"/>
            <w:shd w:val="clear" w:color="auto" w:fill="auto"/>
            <w:vAlign w:val="center"/>
          </w:tcPr>
          <w:p w:rsidR="00EB2C63" w:rsidRDefault="00EB2C63"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Mortality</w:t>
            </w:r>
          </w:p>
          <w:p w:rsidR="00EB2C63" w:rsidRDefault="00EB2C63"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Organ transplantation</w:t>
            </w:r>
          </w:p>
          <w:p w:rsidR="00EB2C63" w:rsidRDefault="00EB2C63" w:rsidP="006F3A4B">
            <w:pPr>
              <w:pStyle w:val="ListParagraph"/>
              <w:widowControl w:val="0"/>
              <w:numPr>
                <w:ilvl w:val="0"/>
                <w:numId w:val="3"/>
              </w:numPr>
              <w:tabs>
                <w:tab w:val="left" w:pos="113"/>
              </w:tabs>
              <w:ind w:left="113"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Hospital admission</w:t>
            </w:r>
          </w:p>
          <w:p w:rsidR="00EB2C63" w:rsidRPr="00B1545F" w:rsidRDefault="00EB2C63" w:rsidP="006F3A4B">
            <w:pPr>
              <w:pStyle w:val="ListParagraph"/>
              <w:widowControl w:val="0"/>
              <w:numPr>
                <w:ilvl w:val="0"/>
                <w:numId w:val="3"/>
              </w:numPr>
              <w:tabs>
                <w:tab w:val="left" w:pos="113"/>
              </w:tabs>
              <w:ind w:left="113" w:right="-57" w:hanging="113"/>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Pulmonary exacerbation</w:t>
            </w:r>
          </w:p>
        </w:tc>
      </w:tr>
      <w:tr w:rsidR="00EB2C63" w:rsidRPr="008B3F6F" w:rsidTr="00BE64D8">
        <w:tc>
          <w:tcPr>
            <w:tcW w:w="661" w:type="pct"/>
            <w:vMerge/>
            <w:shd w:val="clear" w:color="auto" w:fill="auto"/>
            <w:vAlign w:val="center"/>
          </w:tcPr>
          <w:p w:rsidR="00EB2C63" w:rsidRDefault="00EB2C63" w:rsidP="00421F74">
            <w:pPr>
              <w:widowControl w:val="0"/>
              <w:rPr>
                <w:rFonts w:ascii="Arial Narrow" w:hAnsi="Arial Narrow" w:cs="Arial"/>
                <w:snapToGrid w:val="0"/>
                <w:sz w:val="20"/>
                <w:szCs w:val="16"/>
                <w:lang w:val="en-US" w:eastAsia="en-US"/>
              </w:rPr>
            </w:pPr>
          </w:p>
        </w:tc>
        <w:tc>
          <w:tcPr>
            <w:tcW w:w="459" w:type="pct"/>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4,932 (control)</w:t>
            </w:r>
          </w:p>
        </w:tc>
        <w:tc>
          <w:tcPr>
            <w:tcW w:w="863" w:type="pct"/>
            <w:vMerge/>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p>
        </w:tc>
        <w:tc>
          <w:tcPr>
            <w:tcW w:w="493" w:type="pct"/>
            <w:vMerge/>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p>
        </w:tc>
        <w:tc>
          <w:tcPr>
            <w:tcW w:w="1432" w:type="pct"/>
            <w:vMerge/>
            <w:shd w:val="clear" w:color="auto" w:fill="auto"/>
            <w:vAlign w:val="center"/>
          </w:tcPr>
          <w:p w:rsidR="00EB2C63" w:rsidRPr="008B3F6F" w:rsidRDefault="00EB2C63" w:rsidP="006F024C">
            <w:pPr>
              <w:widowControl w:val="0"/>
              <w:rPr>
                <w:rFonts w:ascii="Arial Narrow" w:hAnsi="Arial Narrow" w:cs="Arial"/>
                <w:snapToGrid w:val="0"/>
                <w:sz w:val="20"/>
                <w:szCs w:val="16"/>
                <w:lang w:val="en-US" w:eastAsia="en-US"/>
              </w:rPr>
            </w:pPr>
          </w:p>
        </w:tc>
        <w:tc>
          <w:tcPr>
            <w:tcW w:w="1092" w:type="pct"/>
            <w:vMerge/>
            <w:shd w:val="clear" w:color="auto" w:fill="auto"/>
            <w:vAlign w:val="center"/>
          </w:tcPr>
          <w:p w:rsidR="00EB2C63" w:rsidRPr="008B3F6F" w:rsidRDefault="00EB2C63" w:rsidP="008B3F6F">
            <w:pPr>
              <w:widowControl w:val="0"/>
              <w:jc w:val="center"/>
              <w:rPr>
                <w:rFonts w:ascii="Arial Narrow" w:hAnsi="Arial Narrow" w:cs="Arial"/>
                <w:snapToGrid w:val="0"/>
                <w:sz w:val="20"/>
                <w:szCs w:val="16"/>
                <w:lang w:val="en-US" w:eastAsia="en-US"/>
              </w:rPr>
            </w:pPr>
          </w:p>
        </w:tc>
      </w:tr>
    </w:tbl>
    <w:p w:rsidR="0076420C" w:rsidRDefault="00BE733B" w:rsidP="00E913A4">
      <w:pPr>
        <w:pStyle w:val="tablenotes"/>
      </w:pPr>
      <w:r>
        <w:t xml:space="preserve">ACFNDR = </w:t>
      </w:r>
      <w:r w:rsidRPr="00CB3843">
        <w:t xml:space="preserve">Australian </w:t>
      </w:r>
      <w:r>
        <w:t>Cystic Fibrosis</w:t>
      </w:r>
      <w:r w:rsidRPr="00CB3843">
        <w:t xml:space="preserve"> National Data Registry</w:t>
      </w:r>
      <w:r w:rsidR="006503E6">
        <w:t xml:space="preserve">; </w:t>
      </w:r>
      <w:r w:rsidR="00947254">
        <w:t xml:space="preserve">AE = adverse event; </w:t>
      </w:r>
      <w:r w:rsidR="00335438">
        <w:t>CAP</w:t>
      </w:r>
      <w:r w:rsidR="00913303" w:rsidRPr="00913303">
        <w:t xml:space="preserve"> = Compassionate Access Program; </w:t>
      </w:r>
      <w:r w:rsidR="004A1179">
        <w:t>CF = cystic fibrosis;</w:t>
      </w:r>
      <w:r w:rsidR="00947254">
        <w:t xml:space="preserve"> </w:t>
      </w:r>
      <w:r w:rsidR="006503E6">
        <w:t>CFFPR = Cystic Fibrosis Foundation Patient Registry</w:t>
      </w:r>
      <w:r w:rsidR="004A1179">
        <w:t xml:space="preserve">; </w:t>
      </w:r>
      <w:r w:rsidR="00FB5323">
        <w:t xml:space="preserve">CFTR = cystic fibrosis transmembrane conductance regulator; </w:t>
      </w:r>
      <w:r w:rsidR="004A1179" w:rsidRPr="004A1179">
        <w:t>FEV</w:t>
      </w:r>
      <w:r w:rsidR="004A1179" w:rsidRPr="004A1179">
        <w:rPr>
          <w:vertAlign w:val="subscript"/>
        </w:rPr>
        <w:t>1</w:t>
      </w:r>
      <w:r w:rsidR="004A1179">
        <w:t xml:space="preserve"> = </w:t>
      </w:r>
      <w:r w:rsidR="004A1179" w:rsidRPr="004A1179">
        <w:t>forced expiratory volume in one second</w:t>
      </w:r>
      <w:r w:rsidR="00D725F7">
        <w:t>; IV = intravenous</w:t>
      </w:r>
    </w:p>
    <w:p w:rsidR="00D8187D" w:rsidRPr="00D8187D" w:rsidRDefault="00837A31" w:rsidP="00E913A4">
      <w:pPr>
        <w:pStyle w:val="tablenotes"/>
      </w:pPr>
      <w:r w:rsidRPr="008E208F">
        <w:rPr>
          <w:vertAlign w:val="superscript"/>
        </w:rPr>
        <w:t>a</w:t>
      </w:r>
      <w:r w:rsidR="00D8187D">
        <w:t xml:space="preserve"> The study included 17 patients who </w:t>
      </w:r>
      <w:r w:rsidR="00D8187D" w:rsidRPr="00D8187D">
        <w:t>were granted access for treatment with ivacaftor between April 2012 and July 2013</w:t>
      </w:r>
      <w:r w:rsidR="00D8187D">
        <w:t xml:space="preserve">. The follow-up period of these patients, however, was not reported. </w:t>
      </w:r>
    </w:p>
    <w:p w:rsidR="00E913A4" w:rsidRPr="00293A11" w:rsidRDefault="00E913A4" w:rsidP="00E913A4">
      <w:pPr>
        <w:pStyle w:val="tablenotes"/>
        <w:rPr>
          <w:rFonts w:ascii="Arial" w:hAnsi="Arial"/>
          <w:i/>
          <w:sz w:val="22"/>
          <w:szCs w:val="22"/>
        </w:rPr>
      </w:pPr>
      <w:r w:rsidRPr="00293A11">
        <w:rPr>
          <w:i/>
        </w:rPr>
        <w:t xml:space="preserve">Source: </w:t>
      </w:r>
      <w:r w:rsidR="00293A11" w:rsidRPr="00293A11">
        <w:rPr>
          <w:i/>
        </w:rPr>
        <w:t xml:space="preserve">Table compiled for the purpose of the Overview, based on study information from published papers, conference abstracts or study report </w:t>
      </w:r>
      <w:r w:rsidR="00665579">
        <w:rPr>
          <w:i/>
        </w:rPr>
        <w:t>on the included studies</w:t>
      </w:r>
    </w:p>
    <w:p w:rsidR="00BE733B" w:rsidRPr="00D347A8" w:rsidRDefault="00BE733B" w:rsidP="00C00DA7">
      <w:pPr>
        <w:pStyle w:val="ListParagraph"/>
        <w:ind w:left="709"/>
        <w:jc w:val="both"/>
        <w:rPr>
          <w:rFonts w:ascii="Arial" w:hAnsi="Arial"/>
          <w:sz w:val="22"/>
          <w:szCs w:val="22"/>
          <w:lang w:val="en-US"/>
        </w:rPr>
      </w:pPr>
    </w:p>
    <w:p w:rsidR="00C669FF" w:rsidRDefault="006503E6" w:rsidP="004111F0">
      <w:pPr>
        <w:pStyle w:val="ListParagraph"/>
        <w:numPr>
          <w:ilvl w:val="1"/>
          <w:numId w:val="1"/>
        </w:numPr>
        <w:jc w:val="both"/>
        <w:rPr>
          <w:rFonts w:ascii="Arial" w:hAnsi="Arial"/>
          <w:sz w:val="22"/>
          <w:szCs w:val="22"/>
        </w:rPr>
      </w:pPr>
      <w:r w:rsidRPr="00B91A2C">
        <w:rPr>
          <w:rFonts w:ascii="Arial" w:hAnsi="Arial"/>
          <w:sz w:val="22"/>
          <w:szCs w:val="22"/>
        </w:rPr>
        <w:t>The study populations were restricted to patients with severe CF and with a G551D CFTR mutation in all studies except the US CFFPR</w:t>
      </w:r>
      <w:r w:rsidR="00C669FF" w:rsidRPr="00B91A2C">
        <w:rPr>
          <w:rFonts w:ascii="Arial" w:hAnsi="Arial"/>
          <w:sz w:val="22"/>
          <w:szCs w:val="22"/>
        </w:rPr>
        <w:t xml:space="preserve">, for which </w:t>
      </w:r>
      <w:r w:rsidR="00B91A2C">
        <w:rPr>
          <w:rFonts w:ascii="Arial" w:hAnsi="Arial"/>
          <w:sz w:val="22"/>
          <w:szCs w:val="22"/>
        </w:rPr>
        <w:t xml:space="preserve">the information </w:t>
      </w:r>
      <w:r w:rsidR="00C669FF" w:rsidRPr="00B91A2C">
        <w:rPr>
          <w:rFonts w:ascii="Arial" w:hAnsi="Arial"/>
          <w:sz w:val="22"/>
          <w:szCs w:val="22"/>
        </w:rPr>
        <w:t>on disease severity and CFTR genotype w</w:t>
      </w:r>
      <w:r w:rsidR="00116FE6">
        <w:rPr>
          <w:rFonts w:ascii="Arial" w:hAnsi="Arial"/>
          <w:sz w:val="22"/>
          <w:szCs w:val="22"/>
        </w:rPr>
        <w:t>as</w:t>
      </w:r>
      <w:r w:rsidR="00C669FF" w:rsidRPr="00B91A2C">
        <w:rPr>
          <w:rFonts w:ascii="Arial" w:hAnsi="Arial"/>
          <w:sz w:val="22"/>
          <w:szCs w:val="22"/>
        </w:rPr>
        <w:t xml:space="preserve"> not </w:t>
      </w:r>
      <w:r w:rsidR="00116FE6">
        <w:rPr>
          <w:rFonts w:ascii="Arial" w:hAnsi="Arial"/>
          <w:sz w:val="22"/>
          <w:szCs w:val="22"/>
        </w:rPr>
        <w:t xml:space="preserve">provided. </w:t>
      </w:r>
      <w:r w:rsidR="004111F0">
        <w:rPr>
          <w:rFonts w:ascii="Arial" w:hAnsi="Arial"/>
          <w:sz w:val="22"/>
          <w:szCs w:val="22"/>
        </w:rPr>
        <w:t xml:space="preserve">Clinical data presented in the submission related to a total of </w:t>
      </w:r>
      <w:r w:rsidR="006976B7" w:rsidRPr="00B91A2C">
        <w:rPr>
          <w:rFonts w:ascii="Arial" w:hAnsi="Arial"/>
          <w:sz w:val="22"/>
          <w:szCs w:val="22"/>
        </w:rPr>
        <w:t xml:space="preserve">114 </w:t>
      </w:r>
      <w:r w:rsidR="004111F0" w:rsidRPr="00B91A2C">
        <w:rPr>
          <w:rFonts w:ascii="Arial" w:hAnsi="Arial"/>
          <w:sz w:val="22"/>
          <w:szCs w:val="22"/>
        </w:rPr>
        <w:t xml:space="preserve">severe CF </w:t>
      </w:r>
      <w:r w:rsidR="006976B7" w:rsidRPr="00B91A2C">
        <w:rPr>
          <w:rFonts w:ascii="Arial" w:hAnsi="Arial"/>
          <w:sz w:val="22"/>
          <w:szCs w:val="22"/>
        </w:rPr>
        <w:t xml:space="preserve">patients with </w:t>
      </w:r>
      <w:r w:rsidR="004111F0" w:rsidRPr="004111F0">
        <w:rPr>
          <w:rFonts w:ascii="Arial" w:hAnsi="Arial"/>
          <w:sz w:val="22"/>
          <w:szCs w:val="22"/>
        </w:rPr>
        <w:t xml:space="preserve">G551D mutation in the </w:t>
      </w:r>
      <w:r w:rsidR="004111F0">
        <w:rPr>
          <w:rFonts w:ascii="Arial" w:hAnsi="Arial"/>
          <w:sz w:val="22"/>
          <w:szCs w:val="22"/>
        </w:rPr>
        <w:t>CFTR</w:t>
      </w:r>
      <w:r w:rsidR="004111F0" w:rsidRPr="004111F0">
        <w:rPr>
          <w:rFonts w:ascii="Arial" w:hAnsi="Arial"/>
          <w:sz w:val="22"/>
          <w:szCs w:val="22"/>
        </w:rPr>
        <w:t xml:space="preserve"> gene on at least 1 allele</w:t>
      </w:r>
      <w:r w:rsidR="00A11E2C" w:rsidRPr="00B91A2C">
        <w:rPr>
          <w:rFonts w:ascii="Arial" w:hAnsi="Arial"/>
          <w:sz w:val="22"/>
          <w:szCs w:val="22"/>
        </w:rPr>
        <w:t>, which accounts for approximately 38% of the worldwide population</w:t>
      </w:r>
      <w:r w:rsidR="004111F0">
        <w:rPr>
          <w:rFonts w:ascii="Arial" w:hAnsi="Arial"/>
          <w:sz w:val="22"/>
          <w:szCs w:val="22"/>
        </w:rPr>
        <w:t xml:space="preserve"> as estimated by the submission (N=300).</w:t>
      </w:r>
      <w:r w:rsidR="00A11E2C" w:rsidRPr="00B91A2C">
        <w:rPr>
          <w:rFonts w:ascii="Arial" w:hAnsi="Arial"/>
          <w:sz w:val="22"/>
          <w:szCs w:val="22"/>
        </w:rPr>
        <w:t xml:space="preserve"> </w:t>
      </w:r>
    </w:p>
    <w:p w:rsidR="004111F0" w:rsidRPr="00B91A2C" w:rsidRDefault="004111F0" w:rsidP="004111F0">
      <w:pPr>
        <w:pStyle w:val="ListParagraph"/>
        <w:jc w:val="both"/>
        <w:rPr>
          <w:rFonts w:ascii="Arial" w:hAnsi="Arial"/>
          <w:sz w:val="22"/>
          <w:szCs w:val="22"/>
        </w:rPr>
      </w:pPr>
    </w:p>
    <w:p w:rsidR="004111F0" w:rsidRPr="00190FE1" w:rsidRDefault="004111F0" w:rsidP="00C44481">
      <w:pPr>
        <w:pStyle w:val="ListParagraph"/>
        <w:numPr>
          <w:ilvl w:val="1"/>
          <w:numId w:val="1"/>
        </w:numPr>
        <w:jc w:val="both"/>
        <w:rPr>
          <w:rFonts w:ascii="Arial" w:hAnsi="Arial"/>
          <w:sz w:val="22"/>
          <w:szCs w:val="22"/>
        </w:rPr>
      </w:pPr>
      <w:r>
        <w:rPr>
          <w:rFonts w:ascii="Arial" w:hAnsi="Arial"/>
          <w:sz w:val="22"/>
          <w:szCs w:val="22"/>
        </w:rPr>
        <w:t xml:space="preserve">The submission did not provide any evidence </w:t>
      </w:r>
      <w:r w:rsidR="00FB5323">
        <w:rPr>
          <w:rFonts w:ascii="Arial" w:hAnsi="Arial"/>
          <w:sz w:val="22"/>
          <w:szCs w:val="22"/>
        </w:rPr>
        <w:t xml:space="preserve">indicating </w:t>
      </w:r>
      <w:r>
        <w:rPr>
          <w:rFonts w:ascii="Arial" w:hAnsi="Arial"/>
          <w:sz w:val="22"/>
          <w:szCs w:val="22"/>
        </w:rPr>
        <w:t xml:space="preserve">the effectiveness and safety of ivacaftor in patients with severe CF who have a non-G551D </w:t>
      </w:r>
      <w:r w:rsidR="00E20853">
        <w:rPr>
          <w:rFonts w:ascii="Arial" w:hAnsi="Arial"/>
          <w:sz w:val="22"/>
          <w:szCs w:val="22"/>
        </w:rPr>
        <w:t>class III</w:t>
      </w:r>
      <w:r>
        <w:rPr>
          <w:rFonts w:ascii="Arial" w:hAnsi="Arial"/>
          <w:sz w:val="22"/>
          <w:szCs w:val="22"/>
        </w:rPr>
        <w:t xml:space="preserve"> mutation.</w:t>
      </w:r>
      <w:r w:rsidRPr="002C713F">
        <w:rPr>
          <w:rFonts w:ascii="Arial" w:hAnsi="Arial"/>
          <w:sz w:val="22"/>
          <w:szCs w:val="22"/>
        </w:rPr>
        <w:t xml:space="preserve"> The </w:t>
      </w:r>
      <w:r w:rsidR="00C44481" w:rsidRPr="002C713F">
        <w:rPr>
          <w:rFonts w:ascii="Arial" w:hAnsi="Arial"/>
          <w:sz w:val="22"/>
          <w:szCs w:val="22"/>
        </w:rPr>
        <w:t xml:space="preserve">March 2014 major submission </w:t>
      </w:r>
      <w:r w:rsidR="00E20853" w:rsidRPr="002C713F">
        <w:rPr>
          <w:rFonts w:ascii="Arial" w:hAnsi="Arial"/>
          <w:sz w:val="22"/>
          <w:szCs w:val="22"/>
        </w:rPr>
        <w:t>assumed</w:t>
      </w:r>
      <w:r w:rsidR="00C44481" w:rsidRPr="002C713F">
        <w:rPr>
          <w:rFonts w:ascii="Arial" w:hAnsi="Arial"/>
          <w:sz w:val="22"/>
          <w:szCs w:val="22"/>
        </w:rPr>
        <w:t xml:space="preserve"> that there </w:t>
      </w:r>
      <w:r w:rsidR="00E20853" w:rsidRPr="002C713F">
        <w:rPr>
          <w:rFonts w:ascii="Arial" w:hAnsi="Arial"/>
          <w:sz w:val="22"/>
          <w:szCs w:val="22"/>
        </w:rPr>
        <w:t>were</w:t>
      </w:r>
      <w:r w:rsidR="00C44481" w:rsidRPr="002C713F">
        <w:rPr>
          <w:rFonts w:ascii="Arial" w:hAnsi="Arial"/>
          <w:sz w:val="22"/>
          <w:szCs w:val="22"/>
        </w:rPr>
        <w:t xml:space="preserve"> approximately 10 patients in Australia who possess class III (gating) mutations other than G551D, based on the Australian Cystic Fibrosis Data Registry (ACFDR) Annual Report</w:t>
      </w:r>
      <w:r w:rsidR="00D63DEE" w:rsidRPr="002C713F">
        <w:rPr>
          <w:rStyle w:val="FootnoteReference"/>
          <w:rFonts w:ascii="Arial" w:hAnsi="Arial"/>
          <w:sz w:val="22"/>
          <w:szCs w:val="22"/>
        </w:rPr>
        <w:footnoteReference w:id="2"/>
      </w:r>
      <w:r w:rsidR="00C44481" w:rsidRPr="002C713F">
        <w:rPr>
          <w:rFonts w:ascii="Arial" w:hAnsi="Arial"/>
          <w:sz w:val="22"/>
          <w:szCs w:val="22"/>
        </w:rPr>
        <w:t xml:space="preserve"> and correspondence with the ACFDR (</w:t>
      </w:r>
      <w:r w:rsidRPr="002C713F">
        <w:rPr>
          <w:rFonts w:ascii="Arial" w:hAnsi="Arial"/>
          <w:sz w:val="22"/>
          <w:szCs w:val="22"/>
        </w:rPr>
        <w:t>Ivacaftor PSD, November 2014</w:t>
      </w:r>
      <w:r w:rsidR="00E20853" w:rsidRPr="002C713F">
        <w:rPr>
          <w:rFonts w:ascii="Arial" w:hAnsi="Arial"/>
          <w:sz w:val="22"/>
          <w:szCs w:val="22"/>
        </w:rPr>
        <w:t xml:space="preserve"> PBAC meeting</w:t>
      </w:r>
      <w:r w:rsidRPr="002C713F">
        <w:rPr>
          <w:rFonts w:ascii="Arial" w:hAnsi="Arial"/>
          <w:sz w:val="22"/>
          <w:szCs w:val="22"/>
        </w:rPr>
        <w:t xml:space="preserve">). </w:t>
      </w:r>
      <w:r w:rsidR="00C800DF" w:rsidRPr="002C713F">
        <w:rPr>
          <w:rFonts w:ascii="Arial" w:hAnsi="Arial"/>
          <w:sz w:val="22"/>
          <w:szCs w:val="22"/>
        </w:rPr>
        <w:t>Given the ACFDR’s estimate of 9.4% Australian CF patients with severe lung function</w:t>
      </w:r>
      <w:r w:rsidR="00BF6DEF" w:rsidRPr="002C713F">
        <w:rPr>
          <w:rFonts w:ascii="Arial" w:hAnsi="Arial"/>
          <w:sz w:val="22"/>
          <w:szCs w:val="22"/>
        </w:rPr>
        <w:t xml:space="preserve"> impairment</w:t>
      </w:r>
      <w:r w:rsidR="001E7FCD" w:rsidRPr="002C713F">
        <w:rPr>
          <w:rFonts w:ascii="Arial" w:hAnsi="Arial"/>
          <w:sz w:val="22"/>
          <w:szCs w:val="22"/>
        </w:rPr>
        <w:t xml:space="preserve"> and assuming </w:t>
      </w:r>
      <w:r w:rsidR="00273198" w:rsidRPr="002C713F">
        <w:rPr>
          <w:rFonts w:ascii="Arial" w:hAnsi="Arial"/>
          <w:sz w:val="22"/>
          <w:szCs w:val="22"/>
        </w:rPr>
        <w:t>a similar</w:t>
      </w:r>
      <w:r w:rsidR="001E7FCD" w:rsidRPr="002C713F">
        <w:rPr>
          <w:rFonts w:ascii="Arial" w:hAnsi="Arial"/>
          <w:sz w:val="22"/>
          <w:szCs w:val="22"/>
        </w:rPr>
        <w:t xml:space="preserve"> distribution of disease severity </w:t>
      </w:r>
      <w:r w:rsidR="00273198" w:rsidRPr="002C713F">
        <w:rPr>
          <w:rFonts w:ascii="Arial" w:hAnsi="Arial"/>
          <w:sz w:val="22"/>
          <w:szCs w:val="22"/>
        </w:rPr>
        <w:t xml:space="preserve">across CFTR </w:t>
      </w:r>
      <w:r w:rsidR="00C87DEF" w:rsidRPr="002C713F">
        <w:rPr>
          <w:rFonts w:ascii="Arial" w:hAnsi="Arial"/>
          <w:sz w:val="22"/>
          <w:szCs w:val="22"/>
        </w:rPr>
        <w:t>genotype</w:t>
      </w:r>
      <w:r w:rsidR="00273198" w:rsidRPr="002C713F">
        <w:rPr>
          <w:rFonts w:ascii="Arial" w:hAnsi="Arial"/>
          <w:sz w:val="22"/>
          <w:szCs w:val="22"/>
        </w:rPr>
        <w:t>s</w:t>
      </w:r>
      <w:r w:rsidR="00C800DF" w:rsidRPr="002C713F">
        <w:rPr>
          <w:rFonts w:ascii="Arial" w:hAnsi="Arial"/>
          <w:sz w:val="22"/>
          <w:szCs w:val="22"/>
        </w:rPr>
        <w:t xml:space="preserve">, </w:t>
      </w:r>
      <w:r w:rsidR="00BF6DEF" w:rsidRPr="002C713F">
        <w:rPr>
          <w:rFonts w:ascii="Arial" w:hAnsi="Arial"/>
          <w:sz w:val="22"/>
          <w:szCs w:val="22"/>
        </w:rPr>
        <w:t xml:space="preserve">there would </w:t>
      </w:r>
      <w:r w:rsidR="000E3988" w:rsidRPr="002C713F">
        <w:rPr>
          <w:rFonts w:ascii="Arial" w:hAnsi="Arial"/>
          <w:sz w:val="22"/>
          <w:szCs w:val="22"/>
        </w:rPr>
        <w:t xml:space="preserve">only </w:t>
      </w:r>
      <w:r w:rsidR="00BF6DEF" w:rsidRPr="002C713F">
        <w:rPr>
          <w:rFonts w:ascii="Arial" w:hAnsi="Arial"/>
          <w:sz w:val="22"/>
          <w:szCs w:val="22"/>
        </w:rPr>
        <w:t xml:space="preserve">be about </w:t>
      </w:r>
      <w:r w:rsidR="00C800DF" w:rsidRPr="002C713F">
        <w:rPr>
          <w:rFonts w:ascii="Arial" w:hAnsi="Arial"/>
          <w:sz w:val="22"/>
          <w:szCs w:val="22"/>
        </w:rPr>
        <w:t xml:space="preserve">one patient </w:t>
      </w:r>
      <w:r w:rsidR="00BF6DEF" w:rsidRPr="002C713F">
        <w:rPr>
          <w:rFonts w:ascii="Arial" w:hAnsi="Arial"/>
          <w:sz w:val="22"/>
          <w:szCs w:val="22"/>
        </w:rPr>
        <w:t xml:space="preserve">in Australia who </w:t>
      </w:r>
      <w:r w:rsidR="00C800DF" w:rsidRPr="002C713F">
        <w:rPr>
          <w:rFonts w:ascii="Arial" w:hAnsi="Arial"/>
          <w:sz w:val="22"/>
          <w:szCs w:val="22"/>
        </w:rPr>
        <w:t>ha</w:t>
      </w:r>
      <w:r w:rsidR="00BF6DEF" w:rsidRPr="002C713F">
        <w:rPr>
          <w:rFonts w:ascii="Arial" w:hAnsi="Arial"/>
          <w:sz w:val="22"/>
          <w:szCs w:val="22"/>
        </w:rPr>
        <w:t>s</w:t>
      </w:r>
      <w:r w:rsidR="00C800DF" w:rsidRPr="002C713F">
        <w:rPr>
          <w:rFonts w:ascii="Arial" w:hAnsi="Arial"/>
          <w:sz w:val="22"/>
          <w:szCs w:val="22"/>
        </w:rPr>
        <w:t xml:space="preserve"> severe CF with a non-G551D </w:t>
      </w:r>
      <w:r w:rsidR="00E20853" w:rsidRPr="002C713F">
        <w:rPr>
          <w:rFonts w:ascii="Arial" w:hAnsi="Arial"/>
          <w:sz w:val="22"/>
          <w:szCs w:val="22"/>
        </w:rPr>
        <w:t>gating</w:t>
      </w:r>
      <w:r w:rsidR="00C800DF" w:rsidRPr="002C713F">
        <w:rPr>
          <w:rFonts w:ascii="Arial" w:hAnsi="Arial"/>
          <w:sz w:val="22"/>
          <w:szCs w:val="22"/>
        </w:rPr>
        <w:t xml:space="preserve"> mutation. </w:t>
      </w:r>
    </w:p>
    <w:p w:rsidR="00C669FF" w:rsidRDefault="00C669FF" w:rsidP="00C669FF">
      <w:pPr>
        <w:pStyle w:val="ListParagraph"/>
        <w:jc w:val="both"/>
        <w:rPr>
          <w:rFonts w:ascii="Arial" w:hAnsi="Arial"/>
          <w:sz w:val="22"/>
          <w:szCs w:val="22"/>
        </w:rPr>
      </w:pPr>
    </w:p>
    <w:p w:rsidR="006503E6" w:rsidRDefault="00111F68" w:rsidP="006F3A4B">
      <w:pPr>
        <w:pStyle w:val="ListParagraph"/>
        <w:numPr>
          <w:ilvl w:val="1"/>
          <w:numId w:val="1"/>
        </w:numPr>
        <w:jc w:val="both"/>
        <w:rPr>
          <w:rFonts w:ascii="Arial" w:hAnsi="Arial"/>
          <w:sz w:val="22"/>
          <w:szCs w:val="22"/>
        </w:rPr>
      </w:pPr>
      <w:r>
        <w:rPr>
          <w:rFonts w:ascii="Arial" w:hAnsi="Arial"/>
          <w:sz w:val="22"/>
          <w:szCs w:val="22"/>
        </w:rPr>
        <w:t xml:space="preserve">A ‘no treatment’ </w:t>
      </w:r>
      <w:r w:rsidR="006503E6">
        <w:rPr>
          <w:rFonts w:ascii="Arial" w:hAnsi="Arial"/>
          <w:sz w:val="22"/>
          <w:szCs w:val="22"/>
        </w:rPr>
        <w:t xml:space="preserve">control group was included in the following </w:t>
      </w:r>
      <w:r w:rsidR="004E2565">
        <w:rPr>
          <w:rFonts w:ascii="Arial" w:hAnsi="Arial"/>
          <w:sz w:val="22"/>
          <w:szCs w:val="22"/>
        </w:rPr>
        <w:t>four</w:t>
      </w:r>
      <w:r w:rsidR="006503E6">
        <w:rPr>
          <w:rFonts w:ascii="Arial" w:hAnsi="Arial"/>
          <w:sz w:val="22"/>
          <w:szCs w:val="22"/>
        </w:rPr>
        <w:t xml:space="preserve"> studies:</w:t>
      </w:r>
    </w:p>
    <w:p w:rsidR="00BB7EC3" w:rsidRDefault="00443AB2" w:rsidP="001B3D09">
      <w:pPr>
        <w:pStyle w:val="ListParagraph"/>
        <w:numPr>
          <w:ilvl w:val="1"/>
          <w:numId w:val="4"/>
        </w:numPr>
        <w:jc w:val="both"/>
        <w:rPr>
          <w:rFonts w:ascii="Arial" w:hAnsi="Arial"/>
          <w:sz w:val="22"/>
          <w:szCs w:val="22"/>
        </w:rPr>
      </w:pPr>
      <w:r>
        <w:rPr>
          <w:rFonts w:ascii="Arial" w:hAnsi="Arial"/>
          <w:sz w:val="22"/>
          <w:szCs w:val="22"/>
        </w:rPr>
        <w:t>Australia</w:t>
      </w:r>
      <w:r w:rsidR="004A1179">
        <w:rPr>
          <w:rFonts w:ascii="Arial" w:hAnsi="Arial"/>
          <w:sz w:val="22"/>
          <w:szCs w:val="22"/>
        </w:rPr>
        <w:t xml:space="preserve"> </w:t>
      </w:r>
      <w:r w:rsidR="001B3D09">
        <w:rPr>
          <w:rFonts w:ascii="Arial" w:hAnsi="Arial"/>
          <w:sz w:val="22"/>
          <w:szCs w:val="22"/>
        </w:rPr>
        <w:t>CAP</w:t>
      </w:r>
      <w:r>
        <w:rPr>
          <w:rFonts w:ascii="Arial" w:hAnsi="Arial"/>
          <w:sz w:val="22"/>
          <w:szCs w:val="22"/>
        </w:rPr>
        <w:t xml:space="preserve">: </w:t>
      </w:r>
      <w:r w:rsidR="001B3D09">
        <w:rPr>
          <w:rFonts w:ascii="Arial" w:hAnsi="Arial"/>
          <w:sz w:val="22"/>
          <w:szCs w:val="22"/>
        </w:rPr>
        <w:t>d</w:t>
      </w:r>
      <w:r w:rsidR="001B3D09" w:rsidRPr="001B3D09">
        <w:rPr>
          <w:rFonts w:ascii="Arial" w:hAnsi="Arial"/>
          <w:sz w:val="22"/>
          <w:szCs w:val="22"/>
        </w:rPr>
        <w:t>ata from the ACFDR were obtained for patients who were pancreatic insufficient</w:t>
      </w:r>
      <w:r w:rsidR="001B3D09">
        <w:rPr>
          <w:rStyle w:val="FootnoteReference"/>
          <w:rFonts w:ascii="Arial" w:hAnsi="Arial"/>
          <w:sz w:val="22"/>
          <w:szCs w:val="22"/>
        </w:rPr>
        <w:footnoteReference w:id="3"/>
      </w:r>
      <w:r w:rsidR="001B3D09" w:rsidRPr="001B3D09">
        <w:rPr>
          <w:rFonts w:ascii="Arial" w:hAnsi="Arial"/>
          <w:sz w:val="22"/>
          <w:szCs w:val="22"/>
        </w:rPr>
        <w:t>, carried no G551D mutation and who had a starting FEV</w:t>
      </w:r>
      <w:r w:rsidR="001B3D09" w:rsidRPr="001B3D09">
        <w:rPr>
          <w:rFonts w:ascii="Arial" w:hAnsi="Arial"/>
          <w:sz w:val="22"/>
          <w:szCs w:val="22"/>
          <w:vertAlign w:val="subscript"/>
        </w:rPr>
        <w:t>1</w:t>
      </w:r>
      <w:r w:rsidR="001B3D09" w:rsidRPr="001B3D09">
        <w:rPr>
          <w:rFonts w:ascii="Arial" w:hAnsi="Arial"/>
          <w:sz w:val="22"/>
          <w:szCs w:val="22"/>
        </w:rPr>
        <w:t xml:space="preserve"> in either the “severe” or “moderate” categories, effectively </w:t>
      </w:r>
      <w:r w:rsidR="006E4712">
        <w:rPr>
          <w:rFonts w:ascii="Arial" w:hAnsi="Arial"/>
          <w:sz w:val="22"/>
          <w:szCs w:val="22"/>
        </w:rPr>
        <w:t>&lt;</w:t>
      </w:r>
      <w:r w:rsidR="001B3D09" w:rsidRPr="001B3D09">
        <w:rPr>
          <w:rFonts w:ascii="Arial" w:hAnsi="Arial"/>
          <w:sz w:val="22"/>
          <w:szCs w:val="22"/>
        </w:rPr>
        <w:t>70% predicted</w:t>
      </w:r>
      <w:r w:rsidR="004A1179">
        <w:rPr>
          <w:rFonts w:ascii="Arial" w:hAnsi="Arial"/>
          <w:sz w:val="22"/>
          <w:szCs w:val="22"/>
        </w:rPr>
        <w:t>;</w:t>
      </w:r>
    </w:p>
    <w:p w:rsidR="004A1179" w:rsidRPr="00B63A90" w:rsidRDefault="004A1179" w:rsidP="001B3D09">
      <w:pPr>
        <w:pStyle w:val="ListParagraph"/>
        <w:numPr>
          <w:ilvl w:val="1"/>
          <w:numId w:val="4"/>
        </w:numPr>
        <w:jc w:val="both"/>
        <w:rPr>
          <w:rFonts w:ascii="Arial" w:hAnsi="Arial"/>
          <w:sz w:val="22"/>
          <w:szCs w:val="22"/>
        </w:rPr>
      </w:pPr>
      <w:r w:rsidRPr="00B63A90">
        <w:rPr>
          <w:rFonts w:ascii="Arial" w:hAnsi="Arial"/>
          <w:sz w:val="22"/>
          <w:szCs w:val="22"/>
        </w:rPr>
        <w:t xml:space="preserve">UK/Ireland </w:t>
      </w:r>
      <w:r w:rsidR="001B3D09">
        <w:rPr>
          <w:rFonts w:ascii="Arial" w:hAnsi="Arial"/>
          <w:sz w:val="22"/>
          <w:szCs w:val="22"/>
        </w:rPr>
        <w:t>CAP</w:t>
      </w:r>
      <w:r w:rsidR="004E38CA">
        <w:rPr>
          <w:rFonts w:ascii="Arial" w:hAnsi="Arial"/>
          <w:sz w:val="22"/>
          <w:szCs w:val="22"/>
        </w:rPr>
        <w:t xml:space="preserve">: patients receiving ivacaftor via the CAP were matched </w:t>
      </w:r>
      <w:r w:rsidR="001B3D09" w:rsidRPr="001B3D09">
        <w:rPr>
          <w:rFonts w:ascii="Arial" w:hAnsi="Arial"/>
          <w:sz w:val="22"/>
          <w:szCs w:val="22"/>
        </w:rPr>
        <w:t>for gender and age (+/- 5 years).</w:t>
      </w:r>
      <w:r w:rsidR="004E38CA">
        <w:rPr>
          <w:rFonts w:ascii="Arial" w:hAnsi="Arial"/>
          <w:sz w:val="22"/>
          <w:szCs w:val="22"/>
        </w:rPr>
        <w:t xml:space="preserve"> Control patients were also required to meeting the inclusion criteria for the CAP</w:t>
      </w:r>
      <w:r w:rsidR="00F515B5">
        <w:rPr>
          <w:rStyle w:val="FootnoteReference"/>
          <w:rFonts w:ascii="Arial" w:hAnsi="Arial"/>
          <w:sz w:val="22"/>
          <w:szCs w:val="22"/>
        </w:rPr>
        <w:footnoteReference w:id="4"/>
      </w:r>
      <w:r w:rsidRPr="00B63A90">
        <w:rPr>
          <w:rFonts w:ascii="Arial" w:hAnsi="Arial"/>
          <w:sz w:val="22"/>
          <w:szCs w:val="22"/>
        </w:rPr>
        <w:t xml:space="preserve"> </w:t>
      </w:r>
      <w:r w:rsidR="00B63A90">
        <w:rPr>
          <w:rFonts w:ascii="Arial" w:hAnsi="Arial"/>
          <w:sz w:val="22"/>
          <w:szCs w:val="22"/>
        </w:rPr>
        <w:t>with the exception of genotype;</w:t>
      </w:r>
    </w:p>
    <w:p w:rsidR="004A1179" w:rsidRDefault="00B63A90" w:rsidP="006F3A4B">
      <w:pPr>
        <w:pStyle w:val="ListParagraph"/>
        <w:numPr>
          <w:ilvl w:val="1"/>
          <w:numId w:val="4"/>
        </w:numPr>
        <w:jc w:val="both"/>
        <w:rPr>
          <w:rFonts w:ascii="Arial" w:hAnsi="Arial"/>
          <w:sz w:val="22"/>
          <w:szCs w:val="22"/>
        </w:rPr>
      </w:pPr>
      <w:r>
        <w:rPr>
          <w:rFonts w:ascii="Arial" w:hAnsi="Arial"/>
          <w:sz w:val="22"/>
          <w:szCs w:val="22"/>
        </w:rPr>
        <w:t>STRIVE</w:t>
      </w:r>
      <w:r w:rsidR="004E38CA">
        <w:rPr>
          <w:rFonts w:ascii="Arial" w:hAnsi="Arial"/>
          <w:sz w:val="22"/>
          <w:szCs w:val="22"/>
        </w:rPr>
        <w:t xml:space="preserve"> subgroup</w:t>
      </w:r>
      <w:r w:rsidR="007C6AC2">
        <w:rPr>
          <w:rFonts w:ascii="Arial" w:hAnsi="Arial"/>
          <w:sz w:val="22"/>
          <w:szCs w:val="22"/>
        </w:rPr>
        <w:t xml:space="preserve">: </w:t>
      </w:r>
      <w:r w:rsidR="004E38CA">
        <w:rPr>
          <w:rFonts w:ascii="Arial" w:hAnsi="Arial"/>
          <w:sz w:val="22"/>
          <w:szCs w:val="22"/>
        </w:rPr>
        <w:t xml:space="preserve">the control group included </w:t>
      </w:r>
      <w:r w:rsidR="007C6AC2">
        <w:rPr>
          <w:rFonts w:ascii="Arial" w:hAnsi="Arial"/>
          <w:sz w:val="22"/>
          <w:szCs w:val="22"/>
        </w:rPr>
        <w:t xml:space="preserve">CF patients with the G551D mutation randomised to receive placebo who had </w:t>
      </w:r>
      <w:r w:rsidR="004C1E15">
        <w:rPr>
          <w:rFonts w:ascii="Arial" w:hAnsi="Arial"/>
          <w:sz w:val="22"/>
          <w:szCs w:val="22"/>
        </w:rPr>
        <w:t>FEV</w:t>
      </w:r>
      <w:r w:rsidR="004C1E15" w:rsidRPr="007C6AC2">
        <w:rPr>
          <w:rFonts w:ascii="Arial" w:hAnsi="Arial"/>
          <w:sz w:val="22"/>
          <w:szCs w:val="22"/>
          <w:vertAlign w:val="subscript"/>
        </w:rPr>
        <w:t>1</w:t>
      </w:r>
      <w:r w:rsidR="004C1E15">
        <w:rPr>
          <w:rFonts w:ascii="Arial" w:hAnsi="Arial"/>
          <w:sz w:val="22"/>
          <w:szCs w:val="22"/>
        </w:rPr>
        <w:t xml:space="preserve"> </w:t>
      </w:r>
      <w:r w:rsidR="007C6AC2">
        <w:rPr>
          <w:rFonts w:ascii="Arial" w:hAnsi="Arial"/>
          <w:sz w:val="22"/>
          <w:szCs w:val="22"/>
        </w:rPr>
        <w:t xml:space="preserve">of 40% to 90% at screening (one </w:t>
      </w:r>
      <w:r w:rsidR="004E38CA">
        <w:rPr>
          <w:rFonts w:ascii="Arial" w:hAnsi="Arial"/>
          <w:sz w:val="22"/>
          <w:szCs w:val="22"/>
        </w:rPr>
        <w:t xml:space="preserve">trial eligible </w:t>
      </w:r>
      <w:r w:rsidR="007C6AC2">
        <w:rPr>
          <w:rFonts w:ascii="Arial" w:hAnsi="Arial"/>
          <w:sz w:val="22"/>
          <w:szCs w:val="22"/>
        </w:rPr>
        <w:t xml:space="preserve">criterion) but had baseline </w:t>
      </w:r>
      <w:r w:rsidR="004E38CA" w:rsidRPr="004E38CA">
        <w:rPr>
          <w:rFonts w:ascii="Arial" w:hAnsi="Arial"/>
          <w:sz w:val="22"/>
          <w:szCs w:val="22"/>
        </w:rPr>
        <w:t>FEV</w:t>
      </w:r>
      <w:r w:rsidR="004E38CA" w:rsidRPr="004E38CA">
        <w:rPr>
          <w:rFonts w:ascii="Arial" w:hAnsi="Arial"/>
          <w:sz w:val="22"/>
          <w:szCs w:val="22"/>
          <w:vertAlign w:val="subscript"/>
        </w:rPr>
        <w:t>1</w:t>
      </w:r>
      <w:r w:rsidR="004E38CA">
        <w:rPr>
          <w:rFonts w:ascii="Arial" w:hAnsi="Arial"/>
          <w:sz w:val="22"/>
          <w:szCs w:val="22"/>
          <w:vertAlign w:val="subscript"/>
        </w:rPr>
        <w:t xml:space="preserve"> </w:t>
      </w:r>
      <w:r w:rsidR="004E38CA">
        <w:rPr>
          <w:rFonts w:ascii="Arial" w:hAnsi="Arial"/>
          <w:sz w:val="22"/>
          <w:szCs w:val="22"/>
        </w:rPr>
        <w:t xml:space="preserve">of </w:t>
      </w:r>
      <w:r w:rsidR="007C6AC2">
        <w:rPr>
          <w:rFonts w:ascii="Arial" w:hAnsi="Arial"/>
          <w:sz w:val="22"/>
          <w:szCs w:val="22"/>
        </w:rPr>
        <w:t>&lt;40% at randomisation (due to within-patient fluctuations</w:t>
      </w:r>
      <w:r w:rsidR="004E38CA" w:rsidRPr="004E38CA">
        <w:rPr>
          <w:rFonts w:ascii="Arial" w:hAnsi="Arial"/>
          <w:sz w:val="22"/>
          <w:szCs w:val="22"/>
        </w:rPr>
        <w:t xml:space="preserve"> </w:t>
      </w:r>
      <w:r w:rsidR="004E38CA">
        <w:rPr>
          <w:rFonts w:ascii="Arial" w:hAnsi="Arial"/>
          <w:sz w:val="22"/>
          <w:szCs w:val="22"/>
        </w:rPr>
        <w:t>in FEV</w:t>
      </w:r>
      <w:r w:rsidR="004C1E15" w:rsidRPr="004E38CA">
        <w:rPr>
          <w:rFonts w:ascii="Arial" w:hAnsi="Arial"/>
          <w:sz w:val="22"/>
          <w:szCs w:val="22"/>
          <w:vertAlign w:val="subscript"/>
        </w:rPr>
        <w:t>1</w:t>
      </w:r>
      <w:r w:rsidR="007C6AC2">
        <w:rPr>
          <w:rFonts w:ascii="Arial" w:hAnsi="Arial"/>
          <w:sz w:val="22"/>
          <w:szCs w:val="22"/>
        </w:rPr>
        <w:t>);</w:t>
      </w:r>
    </w:p>
    <w:p w:rsidR="00443AB2" w:rsidRDefault="00111F68" w:rsidP="006F3A4B">
      <w:pPr>
        <w:pStyle w:val="ListParagraph"/>
        <w:numPr>
          <w:ilvl w:val="1"/>
          <w:numId w:val="4"/>
        </w:numPr>
        <w:jc w:val="both"/>
        <w:rPr>
          <w:rFonts w:ascii="Arial" w:hAnsi="Arial"/>
          <w:sz w:val="22"/>
          <w:szCs w:val="22"/>
        </w:rPr>
      </w:pPr>
      <w:r w:rsidRPr="006F024C">
        <w:rPr>
          <w:rFonts w:ascii="Arial" w:hAnsi="Arial"/>
          <w:sz w:val="22"/>
          <w:szCs w:val="22"/>
        </w:rPr>
        <w:t xml:space="preserve">US CFFPR: patients </w:t>
      </w:r>
      <w:r w:rsidR="004E38CA">
        <w:rPr>
          <w:rFonts w:ascii="Arial" w:hAnsi="Arial"/>
          <w:sz w:val="22"/>
          <w:szCs w:val="22"/>
        </w:rPr>
        <w:t xml:space="preserve">treated with ivacaftor were matched with patients who never received ivacaftor </w:t>
      </w:r>
      <w:r w:rsidR="006F024C" w:rsidRPr="006F024C">
        <w:rPr>
          <w:rFonts w:ascii="Arial" w:hAnsi="Arial"/>
          <w:sz w:val="22"/>
          <w:szCs w:val="22"/>
        </w:rPr>
        <w:t xml:space="preserve">on age, gender and CFTR genotype. </w:t>
      </w:r>
    </w:p>
    <w:p w:rsidR="00450720" w:rsidRPr="00450720" w:rsidRDefault="00450720" w:rsidP="00450720">
      <w:pPr>
        <w:jc w:val="both"/>
        <w:rPr>
          <w:rFonts w:ascii="Arial" w:hAnsi="Arial"/>
          <w:sz w:val="22"/>
          <w:szCs w:val="22"/>
        </w:rPr>
      </w:pPr>
    </w:p>
    <w:p w:rsidR="00B06188" w:rsidRPr="004C7EF9" w:rsidRDefault="00B66303" w:rsidP="004C7EF9">
      <w:pPr>
        <w:pStyle w:val="ListParagraph"/>
        <w:jc w:val="both"/>
        <w:rPr>
          <w:rFonts w:ascii="Arial" w:hAnsi="Arial"/>
          <w:sz w:val="22"/>
          <w:szCs w:val="22"/>
        </w:rPr>
      </w:pPr>
      <w:r>
        <w:rPr>
          <w:rFonts w:ascii="Arial" w:hAnsi="Arial"/>
          <w:sz w:val="22"/>
          <w:szCs w:val="22"/>
        </w:rPr>
        <w:t xml:space="preserve">In comparison with subjects </w:t>
      </w:r>
      <w:r w:rsidR="0016412D">
        <w:rPr>
          <w:rFonts w:ascii="Arial" w:hAnsi="Arial"/>
          <w:sz w:val="22"/>
          <w:szCs w:val="22"/>
        </w:rPr>
        <w:t xml:space="preserve">receiving </w:t>
      </w:r>
      <w:r>
        <w:rPr>
          <w:rFonts w:ascii="Arial" w:hAnsi="Arial"/>
          <w:sz w:val="22"/>
          <w:szCs w:val="22"/>
        </w:rPr>
        <w:t xml:space="preserve">ivacaftor </w:t>
      </w:r>
      <w:r w:rsidR="0016412D">
        <w:rPr>
          <w:rFonts w:ascii="Arial" w:hAnsi="Arial"/>
          <w:sz w:val="22"/>
          <w:szCs w:val="22"/>
        </w:rPr>
        <w:t>via CAPs</w:t>
      </w:r>
      <w:r>
        <w:rPr>
          <w:rFonts w:ascii="Arial" w:hAnsi="Arial"/>
          <w:sz w:val="22"/>
          <w:szCs w:val="22"/>
        </w:rPr>
        <w:t xml:space="preserve">, control patients had less severe </w:t>
      </w:r>
      <w:r w:rsidR="0016412D">
        <w:rPr>
          <w:rFonts w:ascii="Arial" w:hAnsi="Arial"/>
          <w:sz w:val="22"/>
          <w:szCs w:val="22"/>
        </w:rPr>
        <w:t xml:space="preserve">disease </w:t>
      </w:r>
      <w:r>
        <w:rPr>
          <w:rFonts w:ascii="Arial" w:hAnsi="Arial"/>
          <w:sz w:val="22"/>
          <w:szCs w:val="22"/>
        </w:rPr>
        <w:t xml:space="preserve">in </w:t>
      </w:r>
      <w:r w:rsidR="0016412D">
        <w:rPr>
          <w:rFonts w:ascii="Arial" w:hAnsi="Arial"/>
          <w:sz w:val="22"/>
          <w:szCs w:val="22"/>
        </w:rPr>
        <w:t xml:space="preserve">the </w:t>
      </w:r>
      <w:r>
        <w:rPr>
          <w:rFonts w:ascii="Arial" w:hAnsi="Arial"/>
          <w:sz w:val="22"/>
          <w:szCs w:val="22"/>
        </w:rPr>
        <w:t xml:space="preserve">Australian </w:t>
      </w:r>
      <w:r w:rsidR="0016412D">
        <w:rPr>
          <w:rFonts w:ascii="Arial" w:hAnsi="Arial"/>
          <w:sz w:val="22"/>
          <w:szCs w:val="22"/>
        </w:rPr>
        <w:t>study</w:t>
      </w:r>
      <w:r>
        <w:rPr>
          <w:rFonts w:ascii="Arial" w:hAnsi="Arial"/>
          <w:sz w:val="22"/>
          <w:szCs w:val="22"/>
        </w:rPr>
        <w:t xml:space="preserve"> </w:t>
      </w:r>
      <w:r w:rsidR="002B78C6">
        <w:rPr>
          <w:rFonts w:ascii="Arial" w:hAnsi="Arial"/>
          <w:sz w:val="22"/>
          <w:szCs w:val="22"/>
        </w:rPr>
        <w:t>(</w:t>
      </w:r>
      <w:r w:rsidR="002B78C6" w:rsidRPr="002B78C6">
        <w:rPr>
          <w:rFonts w:ascii="Arial" w:hAnsi="Arial"/>
          <w:sz w:val="22"/>
          <w:szCs w:val="22"/>
        </w:rPr>
        <w:t>FEV</w:t>
      </w:r>
      <w:r w:rsidR="002B78C6" w:rsidRPr="002B78C6">
        <w:rPr>
          <w:rFonts w:ascii="Arial" w:hAnsi="Arial"/>
          <w:sz w:val="22"/>
          <w:szCs w:val="22"/>
          <w:vertAlign w:val="subscript"/>
        </w:rPr>
        <w:t>1</w:t>
      </w:r>
      <w:r w:rsidR="002B78C6">
        <w:rPr>
          <w:rFonts w:ascii="Arial" w:hAnsi="Arial"/>
          <w:sz w:val="22"/>
          <w:szCs w:val="22"/>
        </w:rPr>
        <w:t xml:space="preserve"> &lt;70% predicted </w:t>
      </w:r>
      <w:r w:rsidR="002B78C6">
        <w:rPr>
          <w:rFonts w:ascii="Arial" w:hAnsi="Arial"/>
          <w:i/>
          <w:sz w:val="22"/>
          <w:szCs w:val="22"/>
        </w:rPr>
        <w:t xml:space="preserve">vs </w:t>
      </w:r>
      <w:r w:rsidR="002B78C6" w:rsidRPr="002B78C6">
        <w:rPr>
          <w:rFonts w:ascii="Arial" w:hAnsi="Arial"/>
          <w:sz w:val="22"/>
          <w:szCs w:val="22"/>
        </w:rPr>
        <w:t>FEV</w:t>
      </w:r>
      <w:r w:rsidR="002B78C6" w:rsidRPr="002B78C6">
        <w:rPr>
          <w:rFonts w:ascii="Arial" w:hAnsi="Arial"/>
          <w:sz w:val="22"/>
          <w:szCs w:val="22"/>
          <w:vertAlign w:val="subscript"/>
        </w:rPr>
        <w:t>1</w:t>
      </w:r>
      <w:r w:rsidR="002B78C6">
        <w:rPr>
          <w:rFonts w:ascii="Arial" w:hAnsi="Arial"/>
          <w:sz w:val="22"/>
          <w:szCs w:val="22"/>
        </w:rPr>
        <w:t xml:space="preserve"> &lt;40% predicted) </w:t>
      </w:r>
      <w:r>
        <w:rPr>
          <w:rFonts w:ascii="Arial" w:hAnsi="Arial"/>
          <w:sz w:val="22"/>
          <w:szCs w:val="22"/>
        </w:rPr>
        <w:t xml:space="preserve">and had different CFTR mutations in the Australian and UK/Ireland </w:t>
      </w:r>
      <w:r w:rsidR="0016412D">
        <w:rPr>
          <w:rFonts w:ascii="Arial" w:hAnsi="Arial"/>
          <w:sz w:val="22"/>
          <w:szCs w:val="22"/>
        </w:rPr>
        <w:t>studie</w:t>
      </w:r>
      <w:r>
        <w:rPr>
          <w:rFonts w:ascii="Arial" w:hAnsi="Arial"/>
          <w:sz w:val="22"/>
          <w:szCs w:val="22"/>
        </w:rPr>
        <w:t>s</w:t>
      </w:r>
      <w:r w:rsidR="002B78C6">
        <w:rPr>
          <w:rFonts w:ascii="Arial" w:hAnsi="Arial"/>
          <w:sz w:val="22"/>
          <w:szCs w:val="22"/>
        </w:rPr>
        <w:t xml:space="preserve"> (</w:t>
      </w:r>
      <w:r w:rsidR="0016412D">
        <w:rPr>
          <w:rFonts w:ascii="Arial" w:hAnsi="Arial"/>
          <w:sz w:val="22"/>
          <w:szCs w:val="22"/>
        </w:rPr>
        <w:t xml:space="preserve">G551D mutation </w:t>
      </w:r>
      <w:r w:rsidR="0016412D">
        <w:rPr>
          <w:rFonts w:ascii="Arial" w:hAnsi="Arial"/>
          <w:i/>
          <w:sz w:val="22"/>
          <w:szCs w:val="22"/>
        </w:rPr>
        <w:t xml:space="preserve">vs </w:t>
      </w:r>
      <w:r w:rsidR="0016412D">
        <w:rPr>
          <w:rFonts w:ascii="Arial" w:hAnsi="Arial"/>
          <w:sz w:val="22"/>
          <w:szCs w:val="22"/>
        </w:rPr>
        <w:t>non-G551D mutation)</w:t>
      </w:r>
      <w:r>
        <w:rPr>
          <w:rFonts w:ascii="Arial" w:hAnsi="Arial"/>
          <w:sz w:val="22"/>
          <w:szCs w:val="22"/>
        </w:rPr>
        <w:t>.</w:t>
      </w:r>
    </w:p>
    <w:p w:rsidR="00B06188" w:rsidRPr="001003AD" w:rsidRDefault="00B06188" w:rsidP="001003AD">
      <w:pPr>
        <w:pStyle w:val="ListParagraph"/>
        <w:jc w:val="both"/>
        <w:rPr>
          <w:rFonts w:ascii="Arial" w:hAnsi="Arial"/>
          <w:sz w:val="22"/>
          <w:szCs w:val="22"/>
        </w:rPr>
      </w:pPr>
    </w:p>
    <w:p w:rsidR="005A3173" w:rsidRPr="002C713F" w:rsidRDefault="005A3173" w:rsidP="00851FEA">
      <w:pPr>
        <w:pStyle w:val="Heading2"/>
      </w:pPr>
      <w:r w:rsidRPr="002C713F">
        <w:t>Comparative effectiveness</w:t>
      </w:r>
    </w:p>
    <w:p w:rsidR="005A3173" w:rsidRPr="00882085" w:rsidRDefault="005A3173" w:rsidP="00882085">
      <w:pPr>
        <w:jc w:val="both"/>
        <w:rPr>
          <w:rFonts w:ascii="Arial" w:hAnsi="Arial"/>
          <w:sz w:val="22"/>
          <w:szCs w:val="22"/>
        </w:rPr>
      </w:pPr>
    </w:p>
    <w:p w:rsidR="006734AB" w:rsidRDefault="007A034A" w:rsidP="006F3A4B">
      <w:pPr>
        <w:pStyle w:val="ListParagraph"/>
        <w:numPr>
          <w:ilvl w:val="1"/>
          <w:numId w:val="1"/>
        </w:numPr>
        <w:jc w:val="both"/>
        <w:rPr>
          <w:rFonts w:ascii="Arial" w:hAnsi="Arial"/>
          <w:sz w:val="22"/>
          <w:szCs w:val="22"/>
        </w:rPr>
      </w:pPr>
      <w:r>
        <w:rPr>
          <w:rFonts w:ascii="Arial" w:hAnsi="Arial"/>
          <w:sz w:val="22"/>
          <w:szCs w:val="22"/>
        </w:rPr>
        <w:t xml:space="preserve">Table </w:t>
      </w:r>
      <w:r w:rsidR="00631F92">
        <w:rPr>
          <w:rFonts w:ascii="Arial" w:hAnsi="Arial"/>
          <w:sz w:val="22"/>
          <w:szCs w:val="22"/>
        </w:rPr>
        <w:t>3</w:t>
      </w:r>
      <w:r w:rsidRPr="007A034A">
        <w:rPr>
          <w:rFonts w:ascii="Arial" w:hAnsi="Arial"/>
          <w:sz w:val="22"/>
          <w:szCs w:val="22"/>
        </w:rPr>
        <w:t xml:space="preserve"> summarise</w:t>
      </w:r>
      <w:r>
        <w:rPr>
          <w:rFonts w:ascii="Arial" w:hAnsi="Arial"/>
          <w:sz w:val="22"/>
          <w:szCs w:val="22"/>
        </w:rPr>
        <w:t>s</w:t>
      </w:r>
      <w:r w:rsidRPr="007A034A">
        <w:rPr>
          <w:rFonts w:ascii="Arial" w:hAnsi="Arial"/>
          <w:sz w:val="22"/>
          <w:szCs w:val="22"/>
        </w:rPr>
        <w:t xml:space="preserve"> the main results from the </w:t>
      </w:r>
      <w:r>
        <w:rPr>
          <w:rFonts w:ascii="Arial" w:hAnsi="Arial"/>
          <w:sz w:val="22"/>
          <w:szCs w:val="22"/>
        </w:rPr>
        <w:t>included studies in term</w:t>
      </w:r>
      <w:r w:rsidR="008D4521">
        <w:rPr>
          <w:rFonts w:ascii="Arial" w:hAnsi="Arial"/>
          <w:sz w:val="22"/>
          <w:szCs w:val="22"/>
        </w:rPr>
        <w:t>s</w:t>
      </w:r>
      <w:r>
        <w:rPr>
          <w:rFonts w:ascii="Arial" w:hAnsi="Arial"/>
          <w:sz w:val="22"/>
          <w:szCs w:val="22"/>
        </w:rPr>
        <w:t xml:space="preserve"> of </w:t>
      </w:r>
      <w:r w:rsidRPr="007A034A">
        <w:rPr>
          <w:rFonts w:ascii="Arial" w:hAnsi="Arial"/>
          <w:sz w:val="22"/>
          <w:szCs w:val="22"/>
        </w:rPr>
        <w:t>change from baseline in % predicted FEV</w:t>
      </w:r>
      <w:r w:rsidRPr="007A034A">
        <w:rPr>
          <w:rFonts w:ascii="Arial" w:hAnsi="Arial"/>
          <w:sz w:val="22"/>
          <w:szCs w:val="22"/>
          <w:vertAlign w:val="subscript"/>
        </w:rPr>
        <w:t>1</w:t>
      </w:r>
      <w:r w:rsidRPr="007A034A">
        <w:rPr>
          <w:rFonts w:ascii="Arial" w:hAnsi="Arial"/>
          <w:sz w:val="22"/>
          <w:szCs w:val="22"/>
        </w:rPr>
        <w:t>.</w:t>
      </w:r>
    </w:p>
    <w:p w:rsidR="006734AB" w:rsidRDefault="006734AB" w:rsidP="006734AB">
      <w:pPr>
        <w:pStyle w:val="ListParagraph"/>
        <w:jc w:val="both"/>
        <w:rPr>
          <w:rFonts w:ascii="Arial" w:hAnsi="Arial"/>
          <w:sz w:val="22"/>
          <w:szCs w:val="22"/>
        </w:rPr>
      </w:pPr>
    </w:p>
    <w:p w:rsidR="00851FEA" w:rsidRDefault="00851FEA">
      <w:pPr>
        <w:rPr>
          <w:rFonts w:ascii="Arial Narrow" w:eastAsiaTheme="majorEastAsia" w:hAnsi="Arial Narrow" w:cstheme="minorHAnsi"/>
          <w:b/>
          <w:bCs/>
          <w:sz w:val="20"/>
          <w:szCs w:val="18"/>
          <w:lang w:eastAsia="en-US" w:bidi="en-US"/>
        </w:rPr>
      </w:pPr>
      <w:r>
        <w:rPr>
          <w:rFonts w:ascii="Arial Narrow" w:eastAsiaTheme="majorEastAsia" w:hAnsi="Arial Narrow" w:cstheme="minorHAnsi"/>
          <w:b/>
          <w:bCs/>
          <w:sz w:val="20"/>
          <w:szCs w:val="18"/>
          <w:lang w:eastAsia="en-US" w:bidi="en-US"/>
        </w:rPr>
        <w:br w:type="page"/>
      </w:r>
    </w:p>
    <w:p w:rsidR="006734AB" w:rsidRDefault="006734AB" w:rsidP="001003AD">
      <w:pPr>
        <w:pStyle w:val="ListParagraph"/>
        <w:widowControl w:val="0"/>
        <w:jc w:val="both"/>
        <w:rPr>
          <w:rFonts w:ascii="Arial Narrow" w:eastAsiaTheme="majorEastAsia" w:hAnsi="Arial Narrow" w:cstheme="minorHAnsi"/>
          <w:b/>
          <w:bCs/>
          <w:sz w:val="20"/>
          <w:szCs w:val="18"/>
          <w:lang w:eastAsia="en-US" w:bidi="en-US"/>
        </w:rPr>
      </w:pPr>
      <w:r w:rsidRPr="003D4671">
        <w:rPr>
          <w:rFonts w:ascii="Arial Narrow" w:eastAsiaTheme="majorEastAsia" w:hAnsi="Arial Narrow" w:cstheme="minorHAnsi"/>
          <w:b/>
          <w:bCs/>
          <w:sz w:val="20"/>
          <w:szCs w:val="18"/>
          <w:lang w:eastAsia="en-US" w:bidi="en-US"/>
        </w:rPr>
        <w:lastRenderedPageBreak/>
        <w:t xml:space="preserve">Table </w:t>
      </w:r>
      <w:r w:rsidR="00631F92">
        <w:rPr>
          <w:rFonts w:ascii="Arial Narrow" w:eastAsiaTheme="majorEastAsia" w:hAnsi="Arial Narrow" w:cstheme="minorHAnsi"/>
          <w:b/>
          <w:bCs/>
          <w:sz w:val="20"/>
          <w:szCs w:val="18"/>
          <w:lang w:eastAsia="en-US" w:bidi="en-US"/>
        </w:rPr>
        <w:t>3</w:t>
      </w:r>
      <w:r>
        <w:rPr>
          <w:rFonts w:ascii="Arial Narrow" w:eastAsiaTheme="majorEastAsia" w:hAnsi="Arial Narrow" w:cstheme="minorHAnsi"/>
          <w:b/>
          <w:bCs/>
          <w:sz w:val="20"/>
          <w:szCs w:val="18"/>
          <w:lang w:eastAsia="en-US" w:bidi="en-US"/>
        </w:rPr>
        <w:t xml:space="preserve">: </w:t>
      </w:r>
      <w:r w:rsidR="007A034A">
        <w:rPr>
          <w:rFonts w:ascii="Arial Narrow" w:eastAsiaTheme="majorEastAsia" w:hAnsi="Arial Narrow" w:cstheme="minorHAnsi"/>
          <w:b/>
          <w:bCs/>
          <w:sz w:val="20"/>
          <w:szCs w:val="18"/>
          <w:lang w:eastAsia="en-US" w:bidi="en-US"/>
        </w:rPr>
        <w:t>R</w:t>
      </w:r>
      <w:r>
        <w:rPr>
          <w:rFonts w:ascii="Arial Narrow" w:eastAsiaTheme="majorEastAsia" w:hAnsi="Arial Narrow" w:cstheme="minorHAnsi"/>
          <w:b/>
          <w:bCs/>
          <w:sz w:val="20"/>
          <w:szCs w:val="18"/>
          <w:lang w:eastAsia="en-US" w:bidi="en-US"/>
        </w:rPr>
        <w:t xml:space="preserve">esults of change </w:t>
      </w:r>
      <w:r w:rsidR="007A034A">
        <w:rPr>
          <w:rFonts w:ascii="Arial Narrow" w:eastAsiaTheme="majorEastAsia" w:hAnsi="Arial Narrow" w:cstheme="minorHAnsi"/>
          <w:b/>
          <w:bCs/>
          <w:sz w:val="20"/>
          <w:szCs w:val="18"/>
          <w:lang w:eastAsia="en-US" w:bidi="en-US"/>
        </w:rPr>
        <w:t xml:space="preserve">from baseline in </w:t>
      </w:r>
      <w:r w:rsidRPr="006734AB">
        <w:rPr>
          <w:rFonts w:ascii="Arial Narrow" w:eastAsiaTheme="majorEastAsia" w:hAnsi="Arial Narrow" w:cstheme="minorHAnsi"/>
          <w:b/>
          <w:bCs/>
          <w:sz w:val="20"/>
          <w:szCs w:val="18"/>
          <w:lang w:eastAsia="en-US" w:bidi="en-US"/>
        </w:rPr>
        <w:t>FEV</w:t>
      </w:r>
      <w:r w:rsidRPr="006734AB">
        <w:rPr>
          <w:rFonts w:ascii="Arial Narrow" w:eastAsiaTheme="majorEastAsia" w:hAnsi="Arial Narrow" w:cstheme="minorHAnsi"/>
          <w:b/>
          <w:bCs/>
          <w:sz w:val="20"/>
          <w:szCs w:val="18"/>
          <w:vertAlign w:val="subscript"/>
          <w:lang w:eastAsia="en-US" w:bidi="en-US"/>
        </w:rPr>
        <w:t>1</w:t>
      </w:r>
      <w:r>
        <w:rPr>
          <w:rFonts w:ascii="Arial Narrow" w:eastAsiaTheme="majorEastAsia" w:hAnsi="Arial Narrow" w:cstheme="minorHAnsi"/>
          <w:b/>
          <w:bCs/>
          <w:sz w:val="20"/>
          <w:szCs w:val="18"/>
          <w:lang w:eastAsia="en-US" w:bidi="en-US"/>
        </w:rPr>
        <w:t xml:space="preserve"> </w:t>
      </w:r>
      <w:r w:rsidR="007A034A">
        <w:rPr>
          <w:rFonts w:ascii="Arial Narrow" w:eastAsiaTheme="majorEastAsia" w:hAnsi="Arial Narrow" w:cstheme="minorHAnsi"/>
          <w:b/>
          <w:bCs/>
          <w:sz w:val="20"/>
          <w:szCs w:val="18"/>
          <w:lang w:eastAsia="en-US" w:bidi="en-US"/>
        </w:rPr>
        <w:t>% predicted</w:t>
      </w:r>
    </w:p>
    <w:tbl>
      <w:tblPr>
        <w:tblStyle w:val="TableGrid"/>
        <w:tblW w:w="8553" w:type="dxa"/>
        <w:tblInd w:w="720" w:type="dxa"/>
        <w:tblLayout w:type="fixed"/>
        <w:tblLook w:val="04A0" w:firstRow="1" w:lastRow="0" w:firstColumn="1" w:lastColumn="0" w:noHBand="0" w:noVBand="1"/>
      </w:tblPr>
      <w:tblGrid>
        <w:gridCol w:w="1656"/>
        <w:gridCol w:w="993"/>
        <w:gridCol w:w="567"/>
        <w:gridCol w:w="992"/>
        <w:gridCol w:w="1134"/>
        <w:gridCol w:w="1275"/>
        <w:gridCol w:w="851"/>
        <w:gridCol w:w="1085"/>
      </w:tblGrid>
      <w:tr w:rsidR="00FB5323" w:rsidRPr="000507FA" w:rsidTr="00FB5323">
        <w:trPr>
          <w:trHeight w:val="233"/>
        </w:trPr>
        <w:tc>
          <w:tcPr>
            <w:tcW w:w="1656" w:type="dxa"/>
            <w:vMerge w:val="restart"/>
          </w:tcPr>
          <w:p w:rsidR="00FB5323" w:rsidRPr="000507FA" w:rsidRDefault="00FB5323" w:rsidP="001003AD">
            <w:pPr>
              <w:pStyle w:val="ListParagraph"/>
              <w:widowControl w:val="0"/>
              <w:ind w:left="0"/>
              <w:jc w:val="both"/>
              <w:rPr>
                <w:rFonts w:ascii="Arial Narrow" w:eastAsiaTheme="majorEastAsia" w:hAnsi="Arial Narrow" w:cstheme="minorHAnsi"/>
                <w:b/>
                <w:bCs/>
                <w:sz w:val="20"/>
                <w:szCs w:val="18"/>
                <w:lang w:eastAsia="en-US" w:bidi="en-US"/>
              </w:rPr>
            </w:pPr>
            <w:r w:rsidRPr="000507FA">
              <w:rPr>
                <w:rFonts w:ascii="Arial Narrow" w:eastAsiaTheme="majorEastAsia" w:hAnsi="Arial Narrow" w:cstheme="minorHAnsi"/>
                <w:b/>
                <w:bCs/>
                <w:sz w:val="20"/>
                <w:szCs w:val="18"/>
                <w:lang w:eastAsia="en-US" w:bidi="en-US"/>
              </w:rPr>
              <w:t>Study</w:t>
            </w:r>
          </w:p>
        </w:tc>
        <w:tc>
          <w:tcPr>
            <w:tcW w:w="993" w:type="dxa"/>
            <w:vMerge w:val="restart"/>
          </w:tcPr>
          <w:p w:rsidR="00FB5323" w:rsidRPr="000507FA" w:rsidRDefault="00FB5323" w:rsidP="001003AD">
            <w:pPr>
              <w:pStyle w:val="ListParagraph"/>
              <w:widowControl w:val="0"/>
              <w:ind w:left="-57" w:right="-57"/>
              <w:jc w:val="center"/>
              <w:rPr>
                <w:rFonts w:ascii="Arial Narrow" w:eastAsiaTheme="majorEastAsia" w:hAnsi="Arial Narrow" w:cstheme="minorHAnsi"/>
                <w:b/>
                <w:bCs/>
                <w:sz w:val="20"/>
                <w:szCs w:val="18"/>
                <w:lang w:eastAsia="en-US" w:bidi="en-US"/>
              </w:rPr>
            </w:pPr>
            <w:r w:rsidRPr="000507FA">
              <w:rPr>
                <w:rFonts w:ascii="Arial Narrow" w:eastAsiaTheme="majorEastAsia" w:hAnsi="Arial Narrow" w:cstheme="minorHAnsi"/>
                <w:b/>
                <w:bCs/>
                <w:sz w:val="20"/>
                <w:szCs w:val="18"/>
                <w:lang w:eastAsia="en-US" w:bidi="en-US"/>
              </w:rPr>
              <w:t>Treatment group</w:t>
            </w:r>
          </w:p>
        </w:tc>
        <w:tc>
          <w:tcPr>
            <w:tcW w:w="567" w:type="dxa"/>
            <w:vMerge w:val="restart"/>
          </w:tcPr>
          <w:p w:rsidR="00FB5323" w:rsidRPr="000507FA" w:rsidRDefault="00065965" w:rsidP="001003AD">
            <w:pPr>
              <w:pStyle w:val="ListParagraph"/>
              <w:widowControl w:val="0"/>
              <w:ind w:left="0"/>
              <w:jc w:val="center"/>
              <w:rPr>
                <w:rFonts w:ascii="Arial Narrow" w:eastAsiaTheme="majorEastAsia" w:hAnsi="Arial Narrow" w:cstheme="minorHAnsi"/>
                <w:b/>
                <w:bCs/>
                <w:sz w:val="20"/>
                <w:szCs w:val="18"/>
                <w:lang w:eastAsia="en-US" w:bidi="en-US"/>
              </w:rPr>
            </w:pPr>
            <w:r>
              <w:rPr>
                <w:rFonts w:ascii="Arial Narrow" w:eastAsiaTheme="majorEastAsia" w:hAnsi="Arial Narrow" w:cstheme="minorHAnsi"/>
                <w:b/>
                <w:bCs/>
                <w:sz w:val="20"/>
                <w:szCs w:val="18"/>
                <w:lang w:eastAsia="en-US" w:bidi="en-US"/>
              </w:rPr>
              <w:t>N</w:t>
            </w:r>
          </w:p>
        </w:tc>
        <w:tc>
          <w:tcPr>
            <w:tcW w:w="2126" w:type="dxa"/>
            <w:gridSpan w:val="2"/>
          </w:tcPr>
          <w:p w:rsidR="00FB5323" w:rsidRPr="000507FA" w:rsidRDefault="00FB5323" w:rsidP="001003AD">
            <w:pPr>
              <w:pStyle w:val="ListParagraph"/>
              <w:widowControl w:val="0"/>
              <w:ind w:left="0"/>
              <w:jc w:val="center"/>
              <w:rPr>
                <w:rFonts w:ascii="Arial Narrow" w:eastAsiaTheme="majorEastAsia" w:hAnsi="Arial Narrow" w:cstheme="minorHAnsi"/>
                <w:b/>
                <w:bCs/>
                <w:sz w:val="20"/>
                <w:szCs w:val="18"/>
                <w:lang w:eastAsia="en-US" w:bidi="en-US"/>
              </w:rPr>
            </w:pPr>
            <w:r w:rsidRPr="000507FA">
              <w:rPr>
                <w:rFonts w:ascii="Arial Narrow" w:eastAsiaTheme="majorEastAsia" w:hAnsi="Arial Narrow" w:cstheme="minorHAnsi"/>
                <w:b/>
                <w:bCs/>
                <w:sz w:val="20"/>
                <w:szCs w:val="18"/>
                <w:lang w:eastAsia="en-US" w:bidi="en-US"/>
              </w:rPr>
              <w:t>FEV</w:t>
            </w:r>
            <w:r w:rsidRPr="000507FA">
              <w:rPr>
                <w:rFonts w:ascii="Arial Narrow" w:eastAsiaTheme="majorEastAsia" w:hAnsi="Arial Narrow" w:cstheme="minorHAnsi"/>
                <w:b/>
                <w:bCs/>
                <w:sz w:val="20"/>
                <w:szCs w:val="18"/>
                <w:vertAlign w:val="subscript"/>
                <w:lang w:eastAsia="en-US" w:bidi="en-US"/>
              </w:rPr>
              <w:t xml:space="preserve">1 </w:t>
            </w:r>
            <w:r w:rsidRPr="000507FA">
              <w:rPr>
                <w:rFonts w:ascii="Arial Narrow" w:eastAsiaTheme="majorEastAsia" w:hAnsi="Arial Narrow" w:cstheme="minorHAnsi"/>
                <w:b/>
                <w:bCs/>
                <w:sz w:val="20"/>
                <w:szCs w:val="18"/>
                <w:lang w:eastAsia="en-US" w:bidi="en-US"/>
              </w:rPr>
              <w:t>% predicted, mean (SD)</w:t>
            </w:r>
          </w:p>
        </w:tc>
        <w:tc>
          <w:tcPr>
            <w:tcW w:w="2126" w:type="dxa"/>
            <w:gridSpan w:val="2"/>
          </w:tcPr>
          <w:p w:rsidR="00FB5323" w:rsidRPr="000507FA" w:rsidRDefault="00FB5323" w:rsidP="001003AD">
            <w:pPr>
              <w:pStyle w:val="ListParagraph"/>
              <w:widowControl w:val="0"/>
              <w:ind w:left="0"/>
              <w:jc w:val="center"/>
              <w:rPr>
                <w:rFonts w:ascii="Arial Narrow" w:eastAsiaTheme="majorEastAsia" w:hAnsi="Arial Narrow" w:cstheme="minorHAnsi"/>
                <w:b/>
                <w:bCs/>
                <w:sz w:val="20"/>
                <w:szCs w:val="18"/>
                <w:lang w:eastAsia="en-US" w:bidi="en-US"/>
              </w:rPr>
            </w:pPr>
            <w:r w:rsidRPr="000507FA">
              <w:rPr>
                <w:rFonts w:ascii="Arial Narrow" w:eastAsiaTheme="majorEastAsia" w:hAnsi="Arial Narrow" w:cstheme="minorHAnsi"/>
                <w:b/>
                <w:bCs/>
                <w:sz w:val="20"/>
                <w:szCs w:val="18"/>
                <w:lang w:eastAsia="en-US" w:bidi="en-US"/>
              </w:rPr>
              <w:t xml:space="preserve">Absolute change in </w:t>
            </w:r>
            <w:r w:rsidR="006738C5" w:rsidRPr="006738C5">
              <w:rPr>
                <w:rFonts w:ascii="Arial Narrow" w:eastAsiaTheme="majorEastAsia" w:hAnsi="Arial Narrow" w:cstheme="minorHAnsi"/>
                <w:b/>
                <w:bCs/>
                <w:sz w:val="20"/>
                <w:szCs w:val="18"/>
                <w:lang w:eastAsia="en-US" w:bidi="en-US"/>
              </w:rPr>
              <w:t>FEV</w:t>
            </w:r>
            <w:r w:rsidR="006738C5" w:rsidRPr="006738C5">
              <w:rPr>
                <w:rFonts w:ascii="Arial Narrow" w:eastAsiaTheme="majorEastAsia" w:hAnsi="Arial Narrow" w:cstheme="minorHAnsi"/>
                <w:b/>
                <w:bCs/>
                <w:sz w:val="20"/>
                <w:szCs w:val="18"/>
                <w:vertAlign w:val="subscript"/>
                <w:lang w:eastAsia="en-US" w:bidi="en-US"/>
              </w:rPr>
              <w:t>1</w:t>
            </w:r>
            <w:r w:rsidR="006738C5">
              <w:rPr>
                <w:rFonts w:ascii="Arial Narrow" w:eastAsiaTheme="majorEastAsia" w:hAnsi="Arial Narrow" w:cstheme="minorHAnsi"/>
                <w:b/>
                <w:bCs/>
                <w:sz w:val="20"/>
                <w:szCs w:val="18"/>
                <w:lang w:eastAsia="en-US" w:bidi="en-US"/>
              </w:rPr>
              <w:t xml:space="preserve"> % predicted</w:t>
            </w:r>
          </w:p>
        </w:tc>
        <w:tc>
          <w:tcPr>
            <w:tcW w:w="1085" w:type="dxa"/>
            <w:vMerge w:val="restart"/>
          </w:tcPr>
          <w:p w:rsidR="00FB5323" w:rsidRPr="000507FA" w:rsidRDefault="00FB5323" w:rsidP="001003AD">
            <w:pPr>
              <w:pStyle w:val="ListParagraph"/>
              <w:widowControl w:val="0"/>
              <w:ind w:left="-57" w:right="-57"/>
              <w:jc w:val="center"/>
              <w:rPr>
                <w:rFonts w:ascii="Arial Narrow" w:eastAsiaTheme="majorEastAsia" w:hAnsi="Arial Narrow" w:cstheme="minorHAnsi"/>
                <w:b/>
                <w:bCs/>
                <w:sz w:val="20"/>
                <w:szCs w:val="18"/>
                <w:lang w:eastAsia="en-US" w:bidi="en-US"/>
              </w:rPr>
            </w:pPr>
            <w:r w:rsidRPr="000507FA">
              <w:rPr>
                <w:rFonts w:ascii="Arial Narrow" w:eastAsiaTheme="majorEastAsia" w:hAnsi="Arial Narrow" w:cstheme="minorHAnsi"/>
                <w:b/>
                <w:bCs/>
                <w:sz w:val="20"/>
                <w:szCs w:val="18"/>
                <w:lang w:eastAsia="en-US" w:bidi="en-US"/>
              </w:rPr>
              <w:t>Between group comparison, p-value</w:t>
            </w:r>
          </w:p>
        </w:tc>
      </w:tr>
      <w:tr w:rsidR="00FB5323" w:rsidRPr="000507FA" w:rsidTr="00FB5323">
        <w:trPr>
          <w:trHeight w:val="232"/>
        </w:trPr>
        <w:tc>
          <w:tcPr>
            <w:tcW w:w="1656" w:type="dxa"/>
            <w:vMerge/>
          </w:tcPr>
          <w:p w:rsidR="00FB5323" w:rsidRPr="000507FA" w:rsidRDefault="00FB5323" w:rsidP="001003AD">
            <w:pPr>
              <w:pStyle w:val="ListParagraph"/>
              <w:widowControl w:val="0"/>
              <w:ind w:left="0"/>
              <w:jc w:val="both"/>
              <w:rPr>
                <w:rFonts w:ascii="Arial Narrow" w:eastAsiaTheme="majorEastAsia" w:hAnsi="Arial Narrow" w:cstheme="minorHAnsi"/>
                <w:b/>
                <w:bCs/>
                <w:sz w:val="20"/>
                <w:szCs w:val="18"/>
                <w:lang w:eastAsia="en-US" w:bidi="en-US"/>
              </w:rPr>
            </w:pPr>
          </w:p>
        </w:tc>
        <w:tc>
          <w:tcPr>
            <w:tcW w:w="993" w:type="dxa"/>
            <w:vMerge/>
          </w:tcPr>
          <w:p w:rsidR="00FB5323" w:rsidRPr="000507FA" w:rsidRDefault="00FB5323" w:rsidP="001003AD">
            <w:pPr>
              <w:pStyle w:val="ListParagraph"/>
              <w:widowControl w:val="0"/>
              <w:ind w:left="0"/>
              <w:jc w:val="center"/>
              <w:rPr>
                <w:rFonts w:ascii="Arial Narrow" w:eastAsiaTheme="majorEastAsia" w:hAnsi="Arial Narrow" w:cstheme="minorHAnsi"/>
                <w:b/>
                <w:bCs/>
                <w:sz w:val="20"/>
                <w:szCs w:val="18"/>
                <w:lang w:eastAsia="en-US" w:bidi="en-US"/>
              </w:rPr>
            </w:pPr>
          </w:p>
        </w:tc>
        <w:tc>
          <w:tcPr>
            <w:tcW w:w="567" w:type="dxa"/>
            <w:vMerge/>
          </w:tcPr>
          <w:p w:rsidR="00FB5323" w:rsidRPr="000507FA" w:rsidRDefault="00FB5323" w:rsidP="001003AD">
            <w:pPr>
              <w:pStyle w:val="ListParagraph"/>
              <w:widowControl w:val="0"/>
              <w:ind w:left="0"/>
              <w:jc w:val="center"/>
              <w:rPr>
                <w:rFonts w:ascii="Arial Narrow" w:eastAsiaTheme="majorEastAsia" w:hAnsi="Arial Narrow" w:cstheme="minorHAnsi"/>
                <w:b/>
                <w:bCs/>
                <w:sz w:val="20"/>
                <w:szCs w:val="18"/>
                <w:lang w:eastAsia="en-US" w:bidi="en-US"/>
              </w:rPr>
            </w:pPr>
          </w:p>
        </w:tc>
        <w:tc>
          <w:tcPr>
            <w:tcW w:w="992" w:type="dxa"/>
          </w:tcPr>
          <w:p w:rsidR="00FB5323" w:rsidRPr="000507FA" w:rsidRDefault="00FB5323" w:rsidP="001003AD">
            <w:pPr>
              <w:pStyle w:val="ListParagraph"/>
              <w:widowControl w:val="0"/>
              <w:ind w:left="0"/>
              <w:jc w:val="center"/>
              <w:rPr>
                <w:rFonts w:ascii="Arial Narrow" w:eastAsiaTheme="majorEastAsia" w:hAnsi="Arial Narrow" w:cstheme="minorHAnsi"/>
                <w:b/>
                <w:bCs/>
                <w:sz w:val="20"/>
                <w:szCs w:val="18"/>
                <w:lang w:eastAsia="en-US" w:bidi="en-US"/>
              </w:rPr>
            </w:pPr>
            <w:r w:rsidRPr="000507FA">
              <w:rPr>
                <w:rFonts w:ascii="Arial Narrow" w:eastAsiaTheme="majorEastAsia" w:hAnsi="Arial Narrow" w:cstheme="minorHAnsi"/>
                <w:b/>
                <w:bCs/>
                <w:sz w:val="20"/>
                <w:szCs w:val="18"/>
                <w:lang w:eastAsia="en-US" w:bidi="en-US"/>
              </w:rPr>
              <w:t>Baseline</w:t>
            </w:r>
            <w:r w:rsidRPr="000507FA">
              <w:rPr>
                <w:rFonts w:ascii="Arial Narrow" w:eastAsiaTheme="majorEastAsia" w:hAnsi="Arial Narrow" w:cstheme="minorHAnsi"/>
                <w:b/>
                <w:bCs/>
                <w:sz w:val="20"/>
                <w:szCs w:val="18"/>
                <w:vertAlign w:val="superscript"/>
                <w:lang w:eastAsia="en-US" w:bidi="en-US"/>
              </w:rPr>
              <w:t>a</w:t>
            </w:r>
          </w:p>
        </w:tc>
        <w:tc>
          <w:tcPr>
            <w:tcW w:w="1134" w:type="dxa"/>
          </w:tcPr>
          <w:p w:rsidR="00FB5323" w:rsidRPr="000507FA" w:rsidRDefault="00FB5323" w:rsidP="001003AD">
            <w:pPr>
              <w:pStyle w:val="ListParagraph"/>
              <w:widowControl w:val="0"/>
              <w:ind w:left="-57" w:right="-57"/>
              <w:jc w:val="center"/>
              <w:rPr>
                <w:rFonts w:ascii="Arial Narrow" w:eastAsiaTheme="majorEastAsia" w:hAnsi="Arial Narrow" w:cstheme="minorHAnsi"/>
                <w:b/>
                <w:bCs/>
                <w:sz w:val="20"/>
                <w:szCs w:val="18"/>
                <w:lang w:eastAsia="en-US" w:bidi="en-US"/>
              </w:rPr>
            </w:pPr>
            <w:r w:rsidRPr="000507FA">
              <w:rPr>
                <w:rFonts w:ascii="Arial Narrow" w:eastAsiaTheme="majorEastAsia" w:hAnsi="Arial Narrow" w:cstheme="minorHAnsi"/>
                <w:b/>
                <w:bCs/>
                <w:sz w:val="20"/>
                <w:szCs w:val="18"/>
                <w:lang w:eastAsia="en-US" w:bidi="en-US"/>
              </w:rPr>
              <w:t>Post-treatment</w:t>
            </w:r>
            <w:r w:rsidRPr="000507FA">
              <w:rPr>
                <w:rFonts w:ascii="Arial Narrow" w:eastAsiaTheme="majorEastAsia" w:hAnsi="Arial Narrow" w:cstheme="minorHAnsi"/>
                <w:b/>
                <w:bCs/>
                <w:sz w:val="20"/>
                <w:szCs w:val="18"/>
                <w:vertAlign w:val="superscript"/>
                <w:lang w:eastAsia="en-US" w:bidi="en-US"/>
              </w:rPr>
              <w:t>a</w:t>
            </w:r>
          </w:p>
        </w:tc>
        <w:tc>
          <w:tcPr>
            <w:tcW w:w="1275" w:type="dxa"/>
          </w:tcPr>
          <w:p w:rsidR="00FB5323" w:rsidRPr="000507FA" w:rsidRDefault="00FB5323" w:rsidP="006738C5">
            <w:pPr>
              <w:pStyle w:val="ListParagraph"/>
              <w:widowControl w:val="0"/>
              <w:ind w:left="0"/>
              <w:jc w:val="center"/>
              <w:rPr>
                <w:rFonts w:ascii="Arial Narrow" w:eastAsiaTheme="majorEastAsia" w:hAnsi="Arial Narrow" w:cstheme="minorHAnsi"/>
                <w:b/>
                <w:bCs/>
                <w:sz w:val="20"/>
                <w:szCs w:val="18"/>
                <w:lang w:eastAsia="en-US" w:bidi="en-US"/>
              </w:rPr>
            </w:pPr>
            <w:r w:rsidRPr="000507FA">
              <w:rPr>
                <w:rFonts w:ascii="Arial Narrow" w:eastAsiaTheme="majorEastAsia" w:hAnsi="Arial Narrow" w:cstheme="minorHAnsi"/>
                <w:b/>
                <w:bCs/>
                <w:sz w:val="20"/>
                <w:szCs w:val="18"/>
                <w:lang w:eastAsia="en-US" w:bidi="en-US"/>
              </w:rPr>
              <w:t>Mean (SD)</w:t>
            </w:r>
          </w:p>
        </w:tc>
        <w:tc>
          <w:tcPr>
            <w:tcW w:w="851" w:type="dxa"/>
          </w:tcPr>
          <w:p w:rsidR="00FB5323" w:rsidRPr="000507FA" w:rsidRDefault="00FB5323" w:rsidP="001003AD">
            <w:pPr>
              <w:pStyle w:val="ListParagraph"/>
              <w:widowControl w:val="0"/>
              <w:ind w:left="0"/>
              <w:jc w:val="center"/>
              <w:rPr>
                <w:rFonts w:ascii="Arial Narrow" w:eastAsiaTheme="majorEastAsia" w:hAnsi="Arial Narrow" w:cstheme="minorHAnsi"/>
                <w:b/>
                <w:bCs/>
                <w:sz w:val="20"/>
                <w:szCs w:val="18"/>
                <w:lang w:eastAsia="en-US" w:bidi="en-US"/>
              </w:rPr>
            </w:pPr>
            <w:r w:rsidRPr="000507FA">
              <w:rPr>
                <w:rFonts w:ascii="Arial Narrow" w:eastAsiaTheme="majorEastAsia" w:hAnsi="Arial Narrow" w:cstheme="minorHAnsi"/>
                <w:b/>
                <w:bCs/>
                <w:sz w:val="20"/>
                <w:szCs w:val="18"/>
                <w:lang w:eastAsia="en-US" w:bidi="en-US"/>
              </w:rPr>
              <w:t>p-value</w:t>
            </w:r>
          </w:p>
        </w:tc>
        <w:tc>
          <w:tcPr>
            <w:tcW w:w="1085" w:type="dxa"/>
            <w:vMerge/>
          </w:tcPr>
          <w:p w:rsidR="00FB5323" w:rsidRPr="000507FA" w:rsidRDefault="00FB5323" w:rsidP="001003AD">
            <w:pPr>
              <w:pStyle w:val="ListParagraph"/>
              <w:widowControl w:val="0"/>
              <w:ind w:left="0"/>
              <w:jc w:val="center"/>
              <w:rPr>
                <w:rFonts w:ascii="Arial Narrow" w:eastAsiaTheme="majorEastAsia" w:hAnsi="Arial Narrow" w:cstheme="minorHAnsi"/>
                <w:b/>
                <w:bCs/>
                <w:sz w:val="20"/>
                <w:szCs w:val="18"/>
                <w:lang w:eastAsia="en-US" w:bidi="en-US"/>
              </w:rPr>
            </w:pPr>
          </w:p>
        </w:tc>
      </w:tr>
      <w:tr w:rsidR="00FB5323" w:rsidRPr="000507FA" w:rsidTr="00FB5323">
        <w:tc>
          <w:tcPr>
            <w:tcW w:w="1656" w:type="dxa"/>
            <w:vMerge w:val="restart"/>
          </w:tcPr>
          <w:p w:rsidR="00FB5323" w:rsidRPr="000507FA" w:rsidRDefault="00FB5323" w:rsidP="001003AD">
            <w:pPr>
              <w:widowControl w:val="0"/>
              <w:ind w:right="-57"/>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 xml:space="preserve">CAP in Australia (Wainwright 2014) </w:t>
            </w: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Ivacaftor</w:t>
            </w:r>
          </w:p>
        </w:tc>
        <w:tc>
          <w:tcPr>
            <w:tcW w:w="567" w:type="dxa"/>
            <w:vAlign w:val="center"/>
          </w:tcPr>
          <w:p w:rsidR="00FB5323" w:rsidRPr="000507FA" w:rsidRDefault="00FB5323" w:rsidP="00FB5323">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17</w:t>
            </w:r>
          </w:p>
        </w:tc>
        <w:tc>
          <w:tcPr>
            <w:tcW w:w="992" w:type="dxa"/>
            <w:vAlign w:val="center"/>
          </w:tcPr>
          <w:p w:rsidR="00FB5323" w:rsidRPr="000507FA" w:rsidRDefault="00FB5323" w:rsidP="001003AD">
            <w:pPr>
              <w:widowControl w:val="0"/>
              <w:ind w:left="-57" w:right="-57"/>
              <w:jc w:val="center"/>
              <w:rPr>
                <w:rFonts w:ascii="Arial Narrow" w:hAnsi="Arial Narrow" w:cs="Arial"/>
                <w:snapToGrid w:val="0"/>
                <w:sz w:val="20"/>
                <w:szCs w:val="16"/>
                <w:lang w:val="en-US" w:eastAsia="en-US"/>
              </w:rPr>
            </w:pPr>
            <w:r w:rsidRPr="000507FA">
              <w:rPr>
                <w:rFonts w:ascii="Arial Narrow" w:hAnsi="Arial Narrow" w:cs="Arial"/>
                <w:snapToGrid w:val="0"/>
                <w:sz w:val="20"/>
                <w:szCs w:val="16"/>
                <w:lang w:val="en-US" w:eastAsia="en-US"/>
              </w:rPr>
              <w:t>38.3 (12.4)</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48.6 (17.8)</w:t>
            </w:r>
          </w:p>
        </w:tc>
        <w:tc>
          <w:tcPr>
            <w:tcW w:w="127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10.3 (8.1)</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&lt;0.001</w:t>
            </w:r>
          </w:p>
        </w:tc>
        <w:tc>
          <w:tcPr>
            <w:tcW w:w="1085" w:type="dxa"/>
            <w:vMerge w:val="restart"/>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&lt;0.001</w:t>
            </w:r>
          </w:p>
        </w:tc>
      </w:tr>
      <w:tr w:rsidR="00FB5323" w:rsidRPr="000507FA" w:rsidTr="00FB5323">
        <w:tc>
          <w:tcPr>
            <w:tcW w:w="1656" w:type="dxa"/>
            <w:vMerge/>
          </w:tcPr>
          <w:p w:rsidR="00FB5323" w:rsidRPr="000507FA" w:rsidRDefault="00FB5323" w:rsidP="001003AD">
            <w:pPr>
              <w:pStyle w:val="ListParagraph"/>
              <w:widowControl w:val="0"/>
              <w:ind w:left="0" w:right="-57"/>
              <w:rPr>
                <w:rFonts w:ascii="Arial Narrow" w:eastAsiaTheme="majorEastAsia" w:hAnsi="Arial Narrow" w:cstheme="minorHAnsi"/>
                <w:bCs/>
                <w:sz w:val="20"/>
                <w:szCs w:val="18"/>
                <w:lang w:eastAsia="en-US" w:bidi="en-US"/>
              </w:rPr>
            </w:pP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Control</w:t>
            </w:r>
          </w:p>
        </w:tc>
        <w:tc>
          <w:tcPr>
            <w:tcW w:w="567" w:type="dxa"/>
            <w:vAlign w:val="center"/>
          </w:tcPr>
          <w:p w:rsidR="00FB5323" w:rsidRPr="000507FA" w:rsidRDefault="00FB5323" w:rsidP="00FB5323">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314</w:t>
            </w:r>
          </w:p>
        </w:tc>
        <w:tc>
          <w:tcPr>
            <w:tcW w:w="992" w:type="dxa"/>
            <w:vAlign w:val="center"/>
          </w:tcPr>
          <w:p w:rsidR="00FB5323" w:rsidRPr="000507FA" w:rsidRDefault="00FB5323" w:rsidP="001003AD">
            <w:pPr>
              <w:widowControl w:val="0"/>
              <w:ind w:left="-57" w:right="-57"/>
              <w:jc w:val="center"/>
              <w:rPr>
                <w:rFonts w:ascii="Arial Narrow" w:hAnsi="Arial Narrow" w:cs="Arial"/>
                <w:snapToGrid w:val="0"/>
                <w:sz w:val="20"/>
                <w:szCs w:val="16"/>
                <w:lang w:val="en-US" w:eastAsia="en-US"/>
              </w:rPr>
            </w:pPr>
            <w:r w:rsidRPr="000507FA">
              <w:rPr>
                <w:rFonts w:ascii="Arial Narrow" w:hAnsi="Arial Narrow" w:cs="Arial"/>
                <w:snapToGrid w:val="0"/>
                <w:sz w:val="20"/>
                <w:szCs w:val="16"/>
                <w:lang w:val="en-US" w:eastAsia="en-US"/>
              </w:rPr>
              <w:t>45.4 (14.5)</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45.1 (13.7)</w:t>
            </w:r>
          </w:p>
        </w:tc>
        <w:tc>
          <w:tcPr>
            <w:tcW w:w="127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-0.4 (9.1)</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NS</w:t>
            </w:r>
          </w:p>
        </w:tc>
        <w:tc>
          <w:tcPr>
            <w:tcW w:w="1085" w:type="dxa"/>
            <w:vMerge/>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p>
        </w:tc>
      </w:tr>
      <w:tr w:rsidR="00FB5323" w:rsidRPr="000507FA" w:rsidTr="00FB5323">
        <w:tc>
          <w:tcPr>
            <w:tcW w:w="1656" w:type="dxa"/>
            <w:vMerge w:val="restart"/>
          </w:tcPr>
          <w:p w:rsidR="00FB5323" w:rsidRPr="000507FA" w:rsidRDefault="00FB5323" w:rsidP="001003AD">
            <w:pPr>
              <w:widowControl w:val="0"/>
              <w:ind w:right="-57"/>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 xml:space="preserve">CAP in UK/Ireland (Barry 2014) </w:t>
            </w: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Ivacaftor</w:t>
            </w:r>
          </w:p>
        </w:tc>
        <w:tc>
          <w:tcPr>
            <w:tcW w:w="567" w:type="dxa"/>
            <w:vAlign w:val="center"/>
          </w:tcPr>
          <w:p w:rsidR="00FB5323" w:rsidRPr="000507FA" w:rsidRDefault="00FB5323" w:rsidP="00FB5323">
            <w:pPr>
              <w:pStyle w:val="ListParagraph"/>
              <w:widowControl w:val="0"/>
              <w:ind w:left="-57" w:right="-57"/>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21</w:t>
            </w:r>
          </w:p>
        </w:tc>
        <w:tc>
          <w:tcPr>
            <w:tcW w:w="992"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26.5 (7.2)</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30.7 (9.9)</w:t>
            </w:r>
          </w:p>
        </w:tc>
        <w:tc>
          <w:tcPr>
            <w:tcW w:w="127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4.2</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0.007</w:t>
            </w:r>
          </w:p>
        </w:tc>
        <w:tc>
          <w:tcPr>
            <w:tcW w:w="1085" w:type="dxa"/>
            <w:vMerge w:val="restart"/>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0.003</w:t>
            </w:r>
          </w:p>
        </w:tc>
      </w:tr>
      <w:tr w:rsidR="00FB5323" w:rsidRPr="000507FA" w:rsidTr="00FB5323">
        <w:tc>
          <w:tcPr>
            <w:tcW w:w="1656" w:type="dxa"/>
            <w:vMerge/>
          </w:tcPr>
          <w:p w:rsidR="00FB5323" w:rsidRPr="000507FA" w:rsidRDefault="00FB5323" w:rsidP="001003AD">
            <w:pPr>
              <w:pStyle w:val="ListParagraph"/>
              <w:widowControl w:val="0"/>
              <w:ind w:left="0" w:right="-57"/>
              <w:rPr>
                <w:rFonts w:ascii="Arial Narrow" w:eastAsiaTheme="majorEastAsia" w:hAnsi="Arial Narrow" w:cstheme="minorHAnsi"/>
                <w:bCs/>
                <w:sz w:val="20"/>
                <w:szCs w:val="18"/>
                <w:lang w:eastAsia="en-US" w:bidi="en-US"/>
              </w:rPr>
            </w:pP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Control</w:t>
            </w:r>
          </w:p>
        </w:tc>
        <w:tc>
          <w:tcPr>
            <w:tcW w:w="567" w:type="dxa"/>
            <w:vAlign w:val="center"/>
          </w:tcPr>
          <w:p w:rsidR="00FB5323" w:rsidRPr="000507FA" w:rsidRDefault="00FB5323" w:rsidP="00FB5323">
            <w:pPr>
              <w:pStyle w:val="ListParagraph"/>
              <w:widowControl w:val="0"/>
              <w:ind w:left="-57" w:right="-57"/>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35</w:t>
            </w:r>
          </w:p>
        </w:tc>
        <w:tc>
          <w:tcPr>
            <w:tcW w:w="992"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30.3 (7.5)</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27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0.6 (-2.1, 2.8)</w:t>
            </w:r>
            <w:r w:rsidRPr="000507FA">
              <w:rPr>
                <w:rFonts w:ascii="Arial Narrow" w:eastAsiaTheme="majorEastAsia" w:hAnsi="Arial Narrow" w:cstheme="minorHAnsi"/>
                <w:bCs/>
                <w:sz w:val="20"/>
                <w:szCs w:val="18"/>
                <w:vertAlign w:val="superscript"/>
                <w:lang w:eastAsia="en-US" w:bidi="en-US"/>
              </w:rPr>
              <w:t>b</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085" w:type="dxa"/>
            <w:vMerge/>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p>
        </w:tc>
      </w:tr>
      <w:tr w:rsidR="00FB5323" w:rsidRPr="000507FA" w:rsidTr="00FB5323">
        <w:tc>
          <w:tcPr>
            <w:tcW w:w="1656" w:type="dxa"/>
          </w:tcPr>
          <w:p w:rsidR="00FB5323" w:rsidRPr="000507FA" w:rsidRDefault="00FB5323" w:rsidP="001003AD">
            <w:pPr>
              <w:widowControl w:val="0"/>
              <w:ind w:right="-57"/>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 xml:space="preserve">CAP in Germany (Hebestreit 2013) </w:t>
            </w: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Ivacaftor</w:t>
            </w:r>
          </w:p>
        </w:tc>
        <w:tc>
          <w:tcPr>
            <w:tcW w:w="567" w:type="dxa"/>
            <w:vAlign w:val="center"/>
          </w:tcPr>
          <w:p w:rsidR="00FB5323" w:rsidRPr="000507FA" w:rsidRDefault="00FB5323" w:rsidP="00FB5323">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14</w:t>
            </w:r>
          </w:p>
        </w:tc>
        <w:tc>
          <w:tcPr>
            <w:tcW w:w="992" w:type="dxa"/>
            <w:vAlign w:val="center"/>
          </w:tcPr>
          <w:p w:rsidR="00FB5323" w:rsidRPr="000507FA" w:rsidRDefault="00FB5323" w:rsidP="001003AD">
            <w:pPr>
              <w:widowControl w:val="0"/>
              <w:ind w:left="-57" w:right="-57"/>
              <w:jc w:val="center"/>
              <w:rPr>
                <w:rFonts w:ascii="Arial Narrow" w:hAnsi="Arial Narrow" w:cs="Arial"/>
                <w:snapToGrid w:val="0"/>
                <w:sz w:val="20"/>
                <w:szCs w:val="16"/>
                <w:lang w:val="en-US" w:eastAsia="en-US"/>
              </w:rPr>
            </w:pPr>
            <w:r w:rsidRPr="000507FA">
              <w:rPr>
                <w:rFonts w:ascii="Arial Narrow" w:hAnsi="Arial Narrow" w:cs="Arial"/>
                <w:snapToGrid w:val="0"/>
                <w:sz w:val="20"/>
                <w:szCs w:val="16"/>
                <w:lang w:val="en-US" w:eastAsia="en-US"/>
              </w:rPr>
              <w:t>25.0 (7.5)</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27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5.2 (5.6)</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0.005</w:t>
            </w:r>
          </w:p>
        </w:tc>
        <w:tc>
          <w:tcPr>
            <w:tcW w:w="108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sym w:font="Symbol" w:char="F02D"/>
            </w:r>
          </w:p>
        </w:tc>
      </w:tr>
      <w:tr w:rsidR="00FB5323" w:rsidRPr="000507FA" w:rsidTr="00FB5323">
        <w:tc>
          <w:tcPr>
            <w:tcW w:w="1656" w:type="dxa"/>
          </w:tcPr>
          <w:p w:rsidR="00FB5323" w:rsidRPr="000507FA" w:rsidRDefault="00FB5323" w:rsidP="001003AD">
            <w:pPr>
              <w:widowControl w:val="0"/>
              <w:ind w:right="-57"/>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 xml:space="preserve">CAP in France (ATU study) </w:t>
            </w: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Ivacaftor</w:t>
            </w:r>
          </w:p>
        </w:tc>
        <w:tc>
          <w:tcPr>
            <w:tcW w:w="567" w:type="dxa"/>
            <w:vAlign w:val="center"/>
          </w:tcPr>
          <w:p w:rsidR="00FB5323" w:rsidRPr="000507FA" w:rsidRDefault="00065965" w:rsidP="00FB5323">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8</w:t>
            </w:r>
            <w:r w:rsidRPr="00065965">
              <w:rPr>
                <w:rFonts w:ascii="Arial Narrow" w:hAnsi="Arial Narrow" w:cs="Arial"/>
                <w:snapToGrid w:val="0"/>
                <w:sz w:val="20"/>
                <w:szCs w:val="16"/>
                <w:vertAlign w:val="superscript"/>
                <w:lang w:val="en-US" w:eastAsia="en-US"/>
              </w:rPr>
              <w:t>c</w:t>
            </w:r>
          </w:p>
        </w:tc>
        <w:tc>
          <w:tcPr>
            <w:tcW w:w="992" w:type="dxa"/>
            <w:vAlign w:val="center"/>
          </w:tcPr>
          <w:p w:rsidR="00FB5323" w:rsidRPr="000507FA" w:rsidRDefault="00FB5323" w:rsidP="001003AD">
            <w:pPr>
              <w:widowControl w:val="0"/>
              <w:ind w:left="-57" w:right="-57"/>
              <w:jc w:val="center"/>
              <w:rPr>
                <w:rFonts w:ascii="Arial Narrow" w:hAnsi="Arial Narrow" w:cs="Arial"/>
                <w:snapToGrid w:val="0"/>
                <w:sz w:val="20"/>
                <w:szCs w:val="16"/>
                <w:lang w:val="en-US" w:eastAsia="en-US"/>
              </w:rPr>
            </w:pPr>
            <w:r w:rsidRPr="000507FA">
              <w:rPr>
                <w:rFonts w:ascii="Arial Narrow" w:hAnsi="Arial Narrow" w:cs="Arial"/>
                <w:snapToGrid w:val="0"/>
                <w:sz w:val="20"/>
                <w:szCs w:val="16"/>
                <w:lang w:val="en-US" w:eastAsia="en-US"/>
              </w:rPr>
              <w:t>31.2 (7.1)</w:t>
            </w:r>
            <w:r w:rsidR="00065965" w:rsidRPr="00065965">
              <w:rPr>
                <w:rFonts w:ascii="Arial Narrow" w:hAnsi="Arial Narrow" w:cs="Arial"/>
                <w:snapToGrid w:val="0"/>
                <w:sz w:val="20"/>
                <w:szCs w:val="16"/>
                <w:vertAlign w:val="superscript"/>
                <w:lang w:val="en-US" w:eastAsia="en-US"/>
              </w:rPr>
              <w:t>c</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35.2 (5.7)</w:t>
            </w:r>
            <w:r w:rsidR="00065965" w:rsidRPr="00065965">
              <w:rPr>
                <w:rFonts w:ascii="Arial Narrow" w:eastAsiaTheme="majorEastAsia" w:hAnsi="Arial Narrow" w:cstheme="minorHAnsi"/>
                <w:bCs/>
                <w:sz w:val="20"/>
                <w:szCs w:val="18"/>
                <w:vertAlign w:val="superscript"/>
                <w:lang w:eastAsia="en-US" w:bidi="en-US"/>
              </w:rPr>
              <w:t>c</w:t>
            </w:r>
          </w:p>
        </w:tc>
        <w:tc>
          <w:tcPr>
            <w:tcW w:w="127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4.1 (5.2)</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NS</w:t>
            </w:r>
          </w:p>
        </w:tc>
        <w:tc>
          <w:tcPr>
            <w:tcW w:w="108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sym w:font="Symbol" w:char="F02D"/>
            </w:r>
          </w:p>
        </w:tc>
      </w:tr>
      <w:tr w:rsidR="00FB5323" w:rsidRPr="000507FA" w:rsidTr="00065965">
        <w:tc>
          <w:tcPr>
            <w:tcW w:w="1656" w:type="dxa"/>
          </w:tcPr>
          <w:p w:rsidR="00FB5323" w:rsidRPr="000507FA" w:rsidRDefault="00FB5323" w:rsidP="001003AD">
            <w:pPr>
              <w:widowControl w:val="0"/>
              <w:ind w:right="-57"/>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 xml:space="preserve">CAP in US (Taylor-Cousar 2015) </w:t>
            </w: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Ivacaftor</w:t>
            </w:r>
          </w:p>
        </w:tc>
        <w:tc>
          <w:tcPr>
            <w:tcW w:w="567" w:type="dxa"/>
            <w:vAlign w:val="center"/>
          </w:tcPr>
          <w:p w:rsidR="00FB5323" w:rsidRPr="000507FA" w:rsidRDefault="00065965" w:rsidP="00065965">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44</w:t>
            </w:r>
            <w:r w:rsidRPr="00065965">
              <w:rPr>
                <w:rFonts w:ascii="Arial Narrow" w:hAnsi="Arial Narrow" w:cs="Arial"/>
                <w:snapToGrid w:val="0"/>
                <w:sz w:val="20"/>
                <w:szCs w:val="16"/>
                <w:vertAlign w:val="superscript"/>
                <w:lang w:val="en-US" w:eastAsia="en-US"/>
              </w:rPr>
              <w:t>d</w:t>
            </w:r>
          </w:p>
        </w:tc>
        <w:tc>
          <w:tcPr>
            <w:tcW w:w="992" w:type="dxa"/>
            <w:vAlign w:val="center"/>
          </w:tcPr>
          <w:p w:rsidR="00FB5323" w:rsidRPr="000507FA" w:rsidRDefault="00FB5323" w:rsidP="001003AD">
            <w:pPr>
              <w:widowControl w:val="0"/>
              <w:ind w:left="-57" w:right="-57"/>
              <w:jc w:val="center"/>
              <w:rPr>
                <w:rFonts w:ascii="Arial Narrow" w:hAnsi="Arial Narrow" w:cs="Arial"/>
                <w:snapToGrid w:val="0"/>
                <w:sz w:val="20"/>
                <w:szCs w:val="16"/>
                <w:lang w:val="en-US" w:eastAsia="en-US"/>
              </w:rPr>
            </w:pPr>
            <w:r w:rsidRPr="000507FA">
              <w:rPr>
                <w:rFonts w:ascii="Arial Narrow" w:hAnsi="Arial Narrow" w:cs="Arial"/>
                <w:snapToGrid w:val="0"/>
                <w:sz w:val="20"/>
                <w:szCs w:val="16"/>
                <w:lang w:val="en-US" w:eastAsia="en-US"/>
              </w:rPr>
              <w:t>29.6 (6.3)</w:t>
            </w:r>
            <w:r w:rsidR="00065965" w:rsidRPr="00065965">
              <w:rPr>
                <w:rFonts w:ascii="Arial Narrow" w:hAnsi="Arial Narrow" w:cs="Arial"/>
                <w:snapToGrid w:val="0"/>
                <w:sz w:val="20"/>
                <w:szCs w:val="16"/>
                <w:vertAlign w:val="superscript"/>
                <w:lang w:val="en-US" w:eastAsia="en-US"/>
              </w:rPr>
              <w:t>d</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27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5.5 (5.3)</w:t>
            </w:r>
            <w:r w:rsidR="00065965" w:rsidRPr="00065965">
              <w:rPr>
                <w:rFonts w:ascii="Arial Narrow" w:eastAsiaTheme="majorEastAsia" w:hAnsi="Arial Narrow" w:cstheme="minorHAnsi"/>
                <w:bCs/>
                <w:sz w:val="20"/>
                <w:szCs w:val="18"/>
                <w:vertAlign w:val="superscript"/>
                <w:lang w:eastAsia="en-US" w:bidi="en-US"/>
              </w:rPr>
              <w:t>d</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08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sym w:font="Symbol" w:char="F02D"/>
            </w:r>
          </w:p>
        </w:tc>
      </w:tr>
      <w:tr w:rsidR="00FB5323" w:rsidRPr="000507FA" w:rsidTr="00065965">
        <w:tc>
          <w:tcPr>
            <w:tcW w:w="1656" w:type="dxa"/>
            <w:vMerge w:val="restart"/>
          </w:tcPr>
          <w:p w:rsidR="00FB5323" w:rsidRPr="000507FA" w:rsidRDefault="00FB5323" w:rsidP="008F40DD">
            <w:pPr>
              <w:widowControl w:val="0"/>
              <w:ind w:right="-57"/>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 xml:space="preserve">STRIVE subgroup (Bell 2013) </w:t>
            </w: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Ivacaftor</w:t>
            </w:r>
          </w:p>
        </w:tc>
        <w:tc>
          <w:tcPr>
            <w:tcW w:w="567" w:type="dxa"/>
            <w:vAlign w:val="center"/>
          </w:tcPr>
          <w:p w:rsidR="00FB5323" w:rsidRPr="000507FA" w:rsidRDefault="00065965" w:rsidP="00065965">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5</w:t>
            </w:r>
            <w:r w:rsidRPr="00065965">
              <w:rPr>
                <w:rFonts w:ascii="Arial Narrow" w:hAnsi="Arial Narrow" w:cs="Arial"/>
                <w:snapToGrid w:val="0"/>
                <w:sz w:val="20"/>
                <w:szCs w:val="16"/>
                <w:vertAlign w:val="superscript"/>
                <w:lang w:val="en-US" w:eastAsia="en-US"/>
              </w:rPr>
              <w:t>e</w:t>
            </w:r>
          </w:p>
        </w:tc>
        <w:tc>
          <w:tcPr>
            <w:tcW w:w="992" w:type="dxa"/>
            <w:vAlign w:val="center"/>
          </w:tcPr>
          <w:p w:rsidR="00FB5323" w:rsidRPr="000507FA" w:rsidRDefault="00FB5323" w:rsidP="001003AD">
            <w:pPr>
              <w:widowControl w:val="0"/>
              <w:ind w:left="-57" w:right="-57"/>
              <w:jc w:val="center"/>
              <w:rPr>
                <w:rFonts w:ascii="Arial Narrow" w:hAnsi="Arial Narrow" w:cs="Arial"/>
                <w:snapToGrid w:val="0"/>
                <w:sz w:val="20"/>
                <w:szCs w:val="16"/>
                <w:lang w:val="en-US" w:eastAsia="en-US"/>
              </w:rPr>
            </w:pPr>
            <w:r w:rsidRPr="000507FA">
              <w:rPr>
                <w:rFonts w:ascii="Arial Narrow" w:hAnsi="Arial Narrow" w:cs="Arial"/>
                <w:snapToGrid w:val="0"/>
                <w:sz w:val="20"/>
                <w:szCs w:val="16"/>
                <w:lang w:val="en-US" w:eastAsia="en-US"/>
              </w:rPr>
              <w:t>38.2 (0.9)</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27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7.9 (7.6)</w:t>
            </w:r>
            <w:r w:rsidR="00065965" w:rsidRPr="00065965">
              <w:rPr>
                <w:rFonts w:ascii="Arial Narrow" w:eastAsiaTheme="majorEastAsia" w:hAnsi="Arial Narrow" w:cstheme="minorHAnsi"/>
                <w:bCs/>
                <w:sz w:val="20"/>
                <w:szCs w:val="18"/>
                <w:vertAlign w:val="superscript"/>
                <w:lang w:eastAsia="en-US" w:bidi="en-US"/>
              </w:rPr>
              <w:t>e</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085" w:type="dxa"/>
            <w:vMerge w:val="restart"/>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NS</w:t>
            </w:r>
            <w:r>
              <w:rPr>
                <w:rFonts w:ascii="Arial Narrow" w:eastAsiaTheme="majorEastAsia" w:hAnsi="Arial Narrow" w:cstheme="minorHAnsi"/>
                <w:bCs/>
                <w:sz w:val="20"/>
                <w:szCs w:val="18"/>
                <w:vertAlign w:val="superscript"/>
                <w:lang w:eastAsia="en-US" w:bidi="en-US"/>
              </w:rPr>
              <w:t>f</w:t>
            </w:r>
          </w:p>
        </w:tc>
      </w:tr>
      <w:tr w:rsidR="00FB5323" w:rsidRPr="000507FA" w:rsidTr="00065965">
        <w:tc>
          <w:tcPr>
            <w:tcW w:w="1656" w:type="dxa"/>
            <w:vMerge/>
          </w:tcPr>
          <w:p w:rsidR="00FB5323" w:rsidRPr="000507FA" w:rsidRDefault="00FB5323" w:rsidP="001003AD">
            <w:pPr>
              <w:pStyle w:val="ListParagraph"/>
              <w:widowControl w:val="0"/>
              <w:ind w:left="0" w:right="-57"/>
              <w:rPr>
                <w:rFonts w:ascii="Arial Narrow" w:eastAsiaTheme="majorEastAsia" w:hAnsi="Arial Narrow" w:cstheme="minorHAnsi"/>
                <w:bCs/>
                <w:sz w:val="20"/>
                <w:szCs w:val="18"/>
                <w:lang w:eastAsia="en-US" w:bidi="en-US"/>
              </w:rPr>
            </w:pP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Control</w:t>
            </w:r>
          </w:p>
        </w:tc>
        <w:tc>
          <w:tcPr>
            <w:tcW w:w="567" w:type="dxa"/>
            <w:vAlign w:val="center"/>
          </w:tcPr>
          <w:p w:rsidR="00FB5323" w:rsidRPr="000507FA" w:rsidRDefault="00065965" w:rsidP="00065965">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8</w:t>
            </w:r>
          </w:p>
        </w:tc>
        <w:tc>
          <w:tcPr>
            <w:tcW w:w="992" w:type="dxa"/>
            <w:vAlign w:val="center"/>
          </w:tcPr>
          <w:p w:rsidR="00FB5323" w:rsidRPr="000507FA" w:rsidRDefault="00FB5323" w:rsidP="001003AD">
            <w:pPr>
              <w:widowControl w:val="0"/>
              <w:ind w:left="-57" w:right="-57"/>
              <w:jc w:val="center"/>
              <w:rPr>
                <w:rFonts w:ascii="Arial Narrow" w:hAnsi="Arial Narrow" w:cs="Arial"/>
                <w:snapToGrid w:val="0"/>
                <w:sz w:val="20"/>
                <w:szCs w:val="16"/>
                <w:lang w:val="en-US" w:eastAsia="en-US"/>
              </w:rPr>
            </w:pPr>
            <w:r w:rsidRPr="000507FA">
              <w:rPr>
                <w:rFonts w:ascii="Arial Narrow" w:hAnsi="Arial Narrow" w:cs="Arial"/>
                <w:snapToGrid w:val="0"/>
                <w:sz w:val="20"/>
                <w:szCs w:val="16"/>
                <w:lang w:val="en-US" w:eastAsia="en-US"/>
              </w:rPr>
              <w:t>35.9 (2.6)</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275"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1.9 (7.0)</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085" w:type="dxa"/>
            <w:vMerge/>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p>
        </w:tc>
      </w:tr>
      <w:tr w:rsidR="00FB5323" w:rsidTr="00065965">
        <w:tc>
          <w:tcPr>
            <w:tcW w:w="1656" w:type="dxa"/>
          </w:tcPr>
          <w:p w:rsidR="00FB5323" w:rsidRPr="000507FA" w:rsidRDefault="00FB5323" w:rsidP="008F40DD">
            <w:pPr>
              <w:widowControl w:val="0"/>
              <w:ind w:right="-57"/>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 xml:space="preserve">PERSIST subgroup (Bell 2013) </w:t>
            </w:r>
          </w:p>
        </w:tc>
        <w:tc>
          <w:tcPr>
            <w:tcW w:w="993"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Ivacaftor</w:t>
            </w:r>
          </w:p>
        </w:tc>
        <w:tc>
          <w:tcPr>
            <w:tcW w:w="567" w:type="dxa"/>
            <w:vAlign w:val="center"/>
          </w:tcPr>
          <w:p w:rsidR="00FB5323" w:rsidRPr="000507FA" w:rsidRDefault="00065965" w:rsidP="00065965">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8</w:t>
            </w:r>
            <w:r w:rsidRPr="00065965">
              <w:rPr>
                <w:rFonts w:ascii="Arial Narrow" w:hAnsi="Arial Narrow" w:cs="Arial"/>
                <w:snapToGrid w:val="0"/>
                <w:sz w:val="20"/>
                <w:szCs w:val="16"/>
                <w:vertAlign w:val="superscript"/>
                <w:lang w:val="en-US" w:eastAsia="en-US"/>
              </w:rPr>
              <w:t>g</w:t>
            </w:r>
          </w:p>
        </w:tc>
        <w:tc>
          <w:tcPr>
            <w:tcW w:w="992" w:type="dxa"/>
            <w:vAlign w:val="center"/>
          </w:tcPr>
          <w:p w:rsidR="00FB5323" w:rsidRPr="000507FA" w:rsidRDefault="00FB5323" w:rsidP="001003AD">
            <w:pPr>
              <w:widowControl w:val="0"/>
              <w:ind w:left="-57" w:right="-57"/>
              <w:jc w:val="center"/>
              <w:rPr>
                <w:rFonts w:ascii="Arial Narrow" w:hAnsi="Arial Narrow" w:cs="Arial"/>
                <w:snapToGrid w:val="0"/>
                <w:sz w:val="20"/>
                <w:szCs w:val="16"/>
                <w:lang w:val="en-US" w:eastAsia="en-US"/>
              </w:rPr>
            </w:pPr>
            <w:r w:rsidRPr="000507FA">
              <w:rPr>
                <w:rFonts w:ascii="Arial Narrow" w:hAnsi="Arial Narrow" w:cs="Arial"/>
                <w:snapToGrid w:val="0"/>
                <w:sz w:val="20"/>
                <w:szCs w:val="16"/>
                <w:lang w:val="en-US" w:eastAsia="en-US"/>
              </w:rPr>
              <w:t>34.5 (3.7)</w:t>
            </w:r>
          </w:p>
        </w:tc>
        <w:tc>
          <w:tcPr>
            <w:tcW w:w="1134" w:type="dxa"/>
            <w:vAlign w:val="center"/>
          </w:tcPr>
          <w:p w:rsidR="00FB5323" w:rsidRPr="000507FA" w:rsidRDefault="00FB5323" w:rsidP="001003AD">
            <w:pPr>
              <w:pStyle w:val="ListParagraph"/>
              <w:widowControl w:val="0"/>
              <w:ind w:left="-57" w:right="-57"/>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275" w:type="dxa"/>
            <w:vAlign w:val="center"/>
          </w:tcPr>
          <w:p w:rsidR="00FB5323" w:rsidRPr="000507FA" w:rsidRDefault="00FB5323" w:rsidP="00D11875">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14.5 (9.0)</w:t>
            </w:r>
            <w:r>
              <w:rPr>
                <w:rFonts w:ascii="Arial Narrow" w:eastAsiaTheme="majorEastAsia" w:hAnsi="Arial Narrow" w:cstheme="minorHAnsi"/>
                <w:bCs/>
                <w:sz w:val="20"/>
                <w:szCs w:val="18"/>
                <w:vertAlign w:val="superscript"/>
                <w:lang w:eastAsia="en-US" w:bidi="en-US"/>
              </w:rPr>
              <w:t>g</w:t>
            </w:r>
          </w:p>
        </w:tc>
        <w:tc>
          <w:tcPr>
            <w:tcW w:w="851" w:type="dxa"/>
            <w:vAlign w:val="center"/>
          </w:tcPr>
          <w:p w:rsidR="00FB5323" w:rsidRPr="000507FA"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t>NR</w:t>
            </w:r>
          </w:p>
        </w:tc>
        <w:tc>
          <w:tcPr>
            <w:tcW w:w="1085" w:type="dxa"/>
            <w:vAlign w:val="center"/>
          </w:tcPr>
          <w:p w:rsidR="00FB5323" w:rsidRDefault="00FB5323" w:rsidP="001003AD">
            <w:pPr>
              <w:pStyle w:val="ListParagraph"/>
              <w:widowControl w:val="0"/>
              <w:ind w:left="0"/>
              <w:jc w:val="center"/>
              <w:rPr>
                <w:rFonts w:ascii="Arial Narrow" w:eastAsiaTheme="majorEastAsia" w:hAnsi="Arial Narrow" w:cstheme="minorHAnsi"/>
                <w:bCs/>
                <w:sz w:val="20"/>
                <w:szCs w:val="18"/>
                <w:lang w:eastAsia="en-US" w:bidi="en-US"/>
              </w:rPr>
            </w:pPr>
            <w:r w:rsidRPr="000507FA">
              <w:rPr>
                <w:rFonts w:ascii="Arial Narrow" w:eastAsiaTheme="majorEastAsia" w:hAnsi="Arial Narrow" w:cstheme="minorHAnsi"/>
                <w:bCs/>
                <w:sz w:val="20"/>
                <w:szCs w:val="18"/>
                <w:lang w:eastAsia="en-US" w:bidi="en-US"/>
              </w:rPr>
              <w:sym w:font="Symbol" w:char="F02D"/>
            </w:r>
          </w:p>
        </w:tc>
      </w:tr>
    </w:tbl>
    <w:p w:rsidR="00E55A4F" w:rsidRPr="00E55A4F" w:rsidRDefault="008D4521" w:rsidP="001003AD">
      <w:pPr>
        <w:pStyle w:val="tablenotes"/>
        <w:widowControl w:val="0"/>
        <w:rPr>
          <w:rFonts w:eastAsiaTheme="majorEastAsia"/>
          <w:lang w:bidi="en-US"/>
        </w:rPr>
      </w:pPr>
      <w:r>
        <w:t>CAP</w:t>
      </w:r>
      <w:r w:rsidRPr="00913303">
        <w:t xml:space="preserve"> = Compassionate Access Program</w:t>
      </w:r>
      <w:r>
        <w:t xml:space="preserve">; </w:t>
      </w:r>
      <w:r w:rsidR="00D11875" w:rsidRPr="004A1179">
        <w:t>FEV</w:t>
      </w:r>
      <w:r w:rsidR="00D11875" w:rsidRPr="004A1179">
        <w:rPr>
          <w:vertAlign w:val="subscript"/>
        </w:rPr>
        <w:t>1</w:t>
      </w:r>
      <w:r w:rsidR="00D11875">
        <w:t xml:space="preserve"> = </w:t>
      </w:r>
      <w:r w:rsidR="00D11875" w:rsidRPr="004A1179">
        <w:t>forced expiratory volume in one second</w:t>
      </w:r>
      <w:r w:rsidR="00D11875">
        <w:rPr>
          <w:rFonts w:eastAsiaTheme="majorEastAsia"/>
          <w:lang w:bidi="en-US"/>
        </w:rPr>
        <w:t xml:space="preserve">; </w:t>
      </w:r>
      <w:r w:rsidR="00E55A4F">
        <w:rPr>
          <w:rFonts w:eastAsiaTheme="majorEastAsia"/>
          <w:lang w:bidi="en-US"/>
        </w:rPr>
        <w:t>NR = not reported; NS = non-significant</w:t>
      </w:r>
      <w:r>
        <w:rPr>
          <w:rFonts w:eastAsiaTheme="majorEastAsia"/>
          <w:lang w:bidi="en-US"/>
        </w:rPr>
        <w:t>; SD = standard deviation</w:t>
      </w:r>
    </w:p>
    <w:p w:rsidR="00AB7B7F" w:rsidRPr="00293A11" w:rsidRDefault="00E55A4F" w:rsidP="001003AD">
      <w:pPr>
        <w:pStyle w:val="tablenotes"/>
        <w:widowControl w:val="0"/>
        <w:rPr>
          <w:rFonts w:eastAsiaTheme="majorEastAsia"/>
          <w:i/>
          <w:lang w:bidi="en-US"/>
        </w:rPr>
      </w:pPr>
      <w:r w:rsidRPr="00293A11">
        <w:rPr>
          <w:rFonts w:eastAsiaTheme="majorEastAsia"/>
          <w:i/>
          <w:vertAlign w:val="superscript"/>
          <w:lang w:bidi="en-US"/>
        </w:rPr>
        <w:t>a</w:t>
      </w:r>
      <w:r w:rsidRPr="00293A11">
        <w:rPr>
          <w:rFonts w:eastAsiaTheme="majorEastAsia"/>
          <w:i/>
          <w:lang w:bidi="en-US"/>
        </w:rPr>
        <w:t xml:space="preserve"> </w:t>
      </w:r>
      <w:r w:rsidR="00AB7B7F" w:rsidRPr="00293A11">
        <w:rPr>
          <w:rFonts w:eastAsiaTheme="majorEastAsia"/>
          <w:i/>
          <w:lang w:bidi="en-US"/>
        </w:rPr>
        <w:t>Data on FEV</w:t>
      </w:r>
      <w:r w:rsidR="00AB7B7F" w:rsidRPr="00293A11">
        <w:rPr>
          <w:rFonts w:eastAsiaTheme="majorEastAsia"/>
          <w:i/>
          <w:vertAlign w:val="subscript"/>
          <w:lang w:bidi="en-US"/>
        </w:rPr>
        <w:t>1</w:t>
      </w:r>
      <w:r w:rsidR="00AB7B7F" w:rsidRPr="00293A11">
        <w:rPr>
          <w:rFonts w:eastAsiaTheme="majorEastAsia"/>
          <w:i/>
          <w:lang w:bidi="en-US"/>
        </w:rPr>
        <w:t xml:space="preserve"> % predicted values at baseline and post-treatment were obtained from published papers, conference abstracts</w:t>
      </w:r>
      <w:r w:rsidR="003E1DDC" w:rsidRPr="00293A11">
        <w:rPr>
          <w:rFonts w:eastAsiaTheme="majorEastAsia"/>
          <w:i/>
          <w:lang w:bidi="en-US"/>
        </w:rPr>
        <w:t xml:space="preserve"> or </w:t>
      </w:r>
      <w:r w:rsidR="00AB7B7F" w:rsidRPr="00293A11">
        <w:rPr>
          <w:rFonts w:eastAsiaTheme="majorEastAsia"/>
          <w:i/>
          <w:lang w:bidi="en-US"/>
        </w:rPr>
        <w:t>study report</w:t>
      </w:r>
      <w:r w:rsidR="00B66429">
        <w:rPr>
          <w:rFonts w:eastAsiaTheme="majorEastAsia"/>
          <w:i/>
          <w:lang w:bidi="en-US"/>
        </w:rPr>
        <w:t xml:space="preserve"> on the included studies</w:t>
      </w:r>
      <w:r w:rsidR="00AB7B7F" w:rsidRPr="00293A11">
        <w:rPr>
          <w:rFonts w:eastAsiaTheme="majorEastAsia"/>
          <w:i/>
          <w:lang w:bidi="en-US"/>
        </w:rPr>
        <w:t xml:space="preserve">. </w:t>
      </w:r>
    </w:p>
    <w:p w:rsidR="007A034A" w:rsidRDefault="00AB7B7F" w:rsidP="001003AD">
      <w:pPr>
        <w:pStyle w:val="tablenotes"/>
        <w:widowControl w:val="0"/>
        <w:rPr>
          <w:rFonts w:eastAsiaTheme="majorEastAsia"/>
          <w:lang w:bidi="en-US"/>
        </w:rPr>
      </w:pPr>
      <w:r w:rsidRPr="00AB7B7F">
        <w:rPr>
          <w:rFonts w:eastAsiaTheme="majorEastAsia"/>
          <w:vertAlign w:val="superscript"/>
          <w:lang w:bidi="en-US"/>
        </w:rPr>
        <w:t xml:space="preserve">b </w:t>
      </w:r>
      <w:r w:rsidR="00E55A4F">
        <w:rPr>
          <w:rFonts w:eastAsiaTheme="majorEastAsia"/>
          <w:lang w:bidi="en-US"/>
        </w:rPr>
        <w:t>Results were presented as median (interquartile range)</w:t>
      </w:r>
    </w:p>
    <w:p w:rsidR="003E1DDC" w:rsidRDefault="00593587" w:rsidP="003E1DDC">
      <w:pPr>
        <w:pStyle w:val="tablenotes"/>
      </w:pPr>
      <w:r>
        <w:rPr>
          <w:rFonts w:eastAsiaTheme="majorEastAsia"/>
          <w:vertAlign w:val="superscript"/>
          <w:lang w:bidi="en-US"/>
        </w:rPr>
        <w:t>c</w:t>
      </w:r>
      <w:r>
        <w:rPr>
          <w:rFonts w:eastAsiaTheme="majorEastAsia"/>
          <w:lang w:bidi="en-US"/>
        </w:rPr>
        <w:t xml:space="preserve"> </w:t>
      </w:r>
      <w:r w:rsidR="003E1DDC">
        <w:t xml:space="preserve">Three (out of 8) patients with missing data on </w:t>
      </w:r>
      <w:r w:rsidR="003E1DDC" w:rsidRPr="00AD0578">
        <w:t>FEV</w:t>
      </w:r>
      <w:r w:rsidR="003E1DDC" w:rsidRPr="00AD0578">
        <w:rPr>
          <w:vertAlign w:val="subscript"/>
        </w:rPr>
        <w:t>1</w:t>
      </w:r>
      <w:r w:rsidR="003E1DDC">
        <w:t xml:space="preserve"> % at Week 12 were excluded from analysis. </w:t>
      </w:r>
    </w:p>
    <w:p w:rsidR="00593587" w:rsidRDefault="003E1DDC" w:rsidP="001003AD">
      <w:pPr>
        <w:pStyle w:val="tablenotes"/>
        <w:widowControl w:val="0"/>
        <w:rPr>
          <w:rFonts w:eastAsiaTheme="majorEastAsia"/>
          <w:lang w:bidi="en-US"/>
        </w:rPr>
      </w:pPr>
      <w:r w:rsidRPr="00F021F1">
        <w:rPr>
          <w:rFonts w:eastAsiaTheme="majorEastAsia"/>
          <w:vertAlign w:val="superscript"/>
          <w:lang w:bidi="en-US"/>
        </w:rPr>
        <w:t>d</w:t>
      </w:r>
      <w:r w:rsidRPr="00355DD8">
        <w:rPr>
          <w:rFonts w:eastAsiaTheme="majorEastAsia"/>
          <w:lang w:bidi="en-US"/>
        </w:rPr>
        <w:t xml:space="preserve"> </w:t>
      </w:r>
      <w:r w:rsidR="000507FA" w:rsidRPr="00355DD8">
        <w:rPr>
          <w:rFonts w:eastAsiaTheme="majorEastAsia"/>
          <w:lang w:bidi="en-US"/>
        </w:rPr>
        <w:t>FEV</w:t>
      </w:r>
      <w:r w:rsidR="000507FA" w:rsidRPr="00355DD8">
        <w:rPr>
          <w:rFonts w:eastAsiaTheme="majorEastAsia"/>
          <w:vertAlign w:val="subscript"/>
          <w:lang w:bidi="en-US"/>
        </w:rPr>
        <w:t>1</w:t>
      </w:r>
      <w:r w:rsidR="000507FA" w:rsidRPr="00355DD8">
        <w:rPr>
          <w:rFonts w:eastAsiaTheme="majorEastAsia"/>
          <w:lang w:bidi="en-US"/>
        </w:rPr>
        <w:t xml:space="preserve"> reported for spirometry subset: includes only patients with baseline spirometry assessed ≤31 days prior to first dose of study</w:t>
      </w:r>
      <w:r w:rsidR="001438FD">
        <w:rPr>
          <w:rFonts w:eastAsiaTheme="majorEastAsia"/>
          <w:lang w:bidi="en-US"/>
        </w:rPr>
        <w:t xml:space="preserve"> treatment</w:t>
      </w:r>
      <w:r w:rsidR="000507FA">
        <w:rPr>
          <w:rFonts w:eastAsiaTheme="majorEastAsia"/>
          <w:lang w:bidi="en-US"/>
        </w:rPr>
        <w:t>. n=35 at bas</w:t>
      </w:r>
      <w:r w:rsidR="00065965">
        <w:rPr>
          <w:rFonts w:eastAsiaTheme="majorEastAsia"/>
          <w:lang w:bidi="en-US"/>
        </w:rPr>
        <w:t>eline and n=19 at Week 24</w:t>
      </w:r>
      <w:r w:rsidR="000507FA">
        <w:rPr>
          <w:rFonts w:eastAsiaTheme="majorEastAsia"/>
          <w:lang w:bidi="en-US"/>
        </w:rPr>
        <w:t>.</w:t>
      </w:r>
    </w:p>
    <w:p w:rsidR="00355DD8" w:rsidRPr="00355DD8" w:rsidRDefault="003E1DDC" w:rsidP="00355DD8">
      <w:pPr>
        <w:pStyle w:val="tablenotes"/>
        <w:widowControl w:val="0"/>
        <w:rPr>
          <w:rFonts w:eastAsiaTheme="majorEastAsia"/>
          <w:lang w:bidi="en-US"/>
        </w:rPr>
      </w:pPr>
      <w:r w:rsidRPr="00D11875">
        <w:rPr>
          <w:rFonts w:eastAsiaTheme="majorEastAsia"/>
          <w:vertAlign w:val="superscript"/>
          <w:lang w:bidi="en-US"/>
        </w:rPr>
        <w:t>e</w:t>
      </w:r>
      <w:r>
        <w:rPr>
          <w:rFonts w:eastAsiaTheme="majorEastAsia"/>
          <w:lang w:bidi="en-US"/>
        </w:rPr>
        <w:t xml:space="preserve"> </w:t>
      </w:r>
      <w:r w:rsidR="000507FA">
        <w:rPr>
          <w:rFonts w:eastAsiaTheme="majorEastAsia"/>
          <w:lang w:bidi="en-US"/>
        </w:rPr>
        <w:t xml:space="preserve">One (out of 5) patient </w:t>
      </w:r>
      <w:r w:rsidR="000507FA" w:rsidRPr="00F021F1">
        <w:rPr>
          <w:rFonts w:eastAsiaTheme="majorEastAsia"/>
          <w:lang w:bidi="en-US"/>
        </w:rPr>
        <w:t>discontinued or had data unavailable</w:t>
      </w:r>
      <w:r w:rsidR="000507FA">
        <w:rPr>
          <w:rFonts w:eastAsiaTheme="majorEastAsia"/>
          <w:lang w:bidi="en-US"/>
        </w:rPr>
        <w:t xml:space="preserve"> and </w:t>
      </w:r>
      <w:r w:rsidR="008D4521">
        <w:rPr>
          <w:rFonts w:eastAsiaTheme="majorEastAsia"/>
          <w:lang w:bidi="en-US"/>
        </w:rPr>
        <w:t xml:space="preserve">was </w:t>
      </w:r>
      <w:r w:rsidR="000507FA">
        <w:rPr>
          <w:rFonts w:eastAsiaTheme="majorEastAsia"/>
          <w:lang w:bidi="en-US"/>
        </w:rPr>
        <w:t xml:space="preserve">not included </w:t>
      </w:r>
      <w:r w:rsidR="008D4521">
        <w:rPr>
          <w:rFonts w:eastAsiaTheme="majorEastAsia"/>
          <w:lang w:bidi="en-US"/>
        </w:rPr>
        <w:t>in the analysis.</w:t>
      </w:r>
    </w:p>
    <w:p w:rsidR="000507FA" w:rsidRDefault="003E1DDC" w:rsidP="001003AD">
      <w:pPr>
        <w:pStyle w:val="tablenotes"/>
        <w:widowControl w:val="0"/>
        <w:rPr>
          <w:rFonts w:eastAsiaTheme="majorEastAsia"/>
          <w:lang w:bidi="en-US"/>
        </w:rPr>
      </w:pPr>
      <w:r w:rsidRPr="000507FA">
        <w:rPr>
          <w:rFonts w:eastAsiaTheme="majorEastAsia"/>
          <w:vertAlign w:val="superscript"/>
          <w:lang w:bidi="en-US"/>
        </w:rPr>
        <w:t>f</w:t>
      </w:r>
      <w:r>
        <w:rPr>
          <w:rFonts w:eastAsiaTheme="majorEastAsia"/>
          <w:lang w:bidi="en-US"/>
        </w:rPr>
        <w:t xml:space="preserve"> </w:t>
      </w:r>
      <w:r w:rsidR="000507FA">
        <w:rPr>
          <w:rFonts w:eastAsiaTheme="majorEastAsia"/>
          <w:lang w:bidi="en-US"/>
        </w:rPr>
        <w:t xml:space="preserve">Using unpaired </w:t>
      </w:r>
      <w:r w:rsidR="000507FA">
        <w:rPr>
          <w:rFonts w:eastAsiaTheme="majorEastAsia"/>
          <w:i/>
          <w:lang w:bidi="en-US"/>
        </w:rPr>
        <w:t xml:space="preserve">t </w:t>
      </w:r>
      <w:r w:rsidR="000507FA">
        <w:rPr>
          <w:rFonts w:eastAsiaTheme="majorEastAsia"/>
          <w:lang w:bidi="en-US"/>
        </w:rPr>
        <w:t>test.</w:t>
      </w:r>
    </w:p>
    <w:p w:rsidR="00F021F1" w:rsidRPr="00593587" w:rsidRDefault="003E1DDC" w:rsidP="001003AD">
      <w:pPr>
        <w:pStyle w:val="tablenotes"/>
        <w:widowControl w:val="0"/>
        <w:rPr>
          <w:rFonts w:eastAsiaTheme="majorEastAsia"/>
          <w:lang w:bidi="en-US"/>
        </w:rPr>
      </w:pPr>
      <w:r>
        <w:rPr>
          <w:rFonts w:eastAsiaTheme="majorEastAsia"/>
          <w:vertAlign w:val="superscript"/>
          <w:lang w:bidi="en-US"/>
        </w:rPr>
        <w:t>g</w:t>
      </w:r>
      <w:r>
        <w:rPr>
          <w:rFonts w:eastAsiaTheme="majorEastAsia"/>
          <w:lang w:bidi="en-US"/>
        </w:rPr>
        <w:t xml:space="preserve"> </w:t>
      </w:r>
      <w:r w:rsidR="00F021F1">
        <w:rPr>
          <w:rFonts w:eastAsiaTheme="majorEastAsia"/>
          <w:lang w:bidi="en-US"/>
        </w:rPr>
        <w:t xml:space="preserve">Six </w:t>
      </w:r>
      <w:r w:rsidR="000507FA">
        <w:rPr>
          <w:rFonts w:eastAsiaTheme="majorEastAsia"/>
          <w:lang w:bidi="en-US"/>
        </w:rPr>
        <w:t>(out of 8)</w:t>
      </w:r>
      <w:r w:rsidR="00F021F1">
        <w:rPr>
          <w:rFonts w:eastAsiaTheme="majorEastAsia"/>
          <w:lang w:bidi="en-US"/>
        </w:rPr>
        <w:t xml:space="preserve"> patients </w:t>
      </w:r>
      <w:r w:rsidR="00F021F1" w:rsidRPr="00F021F1">
        <w:rPr>
          <w:rFonts w:eastAsiaTheme="majorEastAsia"/>
          <w:lang w:bidi="en-US"/>
        </w:rPr>
        <w:t>discontinued or had data unavailable</w:t>
      </w:r>
      <w:r w:rsidR="00F021F1">
        <w:rPr>
          <w:rFonts w:eastAsiaTheme="majorEastAsia"/>
          <w:lang w:bidi="en-US"/>
        </w:rPr>
        <w:t xml:space="preserve"> and were not included for assessment</w:t>
      </w:r>
    </w:p>
    <w:p w:rsidR="0017244F" w:rsidRDefault="0017244F" w:rsidP="001003AD">
      <w:pPr>
        <w:pStyle w:val="tablenotes"/>
        <w:widowControl w:val="0"/>
        <w:rPr>
          <w:rFonts w:eastAsiaTheme="majorEastAsia"/>
          <w:lang w:bidi="en-US"/>
        </w:rPr>
      </w:pPr>
      <w:r>
        <w:rPr>
          <w:rFonts w:eastAsiaTheme="majorEastAsia"/>
          <w:lang w:bidi="en-US"/>
        </w:rPr>
        <w:t xml:space="preserve">Source: Table </w:t>
      </w:r>
      <w:r w:rsidR="000D5601">
        <w:rPr>
          <w:rFonts w:eastAsiaTheme="majorEastAsia"/>
          <w:lang w:bidi="en-US"/>
        </w:rPr>
        <w:t>5, p15 of the minor submission</w:t>
      </w:r>
    </w:p>
    <w:p w:rsidR="00B26749" w:rsidRDefault="00B26749" w:rsidP="000D5601">
      <w:pPr>
        <w:rPr>
          <w:rFonts w:eastAsiaTheme="majorEastAsia"/>
          <w:lang w:bidi="en-US"/>
        </w:rPr>
      </w:pPr>
    </w:p>
    <w:p w:rsidR="000D5601" w:rsidRDefault="00020B8E" w:rsidP="006F3A4B">
      <w:pPr>
        <w:pStyle w:val="ListParagraph"/>
        <w:numPr>
          <w:ilvl w:val="1"/>
          <w:numId w:val="1"/>
        </w:numPr>
        <w:jc w:val="both"/>
        <w:rPr>
          <w:rFonts w:ascii="Arial" w:hAnsi="Arial"/>
          <w:sz w:val="22"/>
          <w:szCs w:val="22"/>
        </w:rPr>
      </w:pPr>
      <w:r w:rsidRPr="00020B8E">
        <w:rPr>
          <w:rFonts w:ascii="Arial" w:hAnsi="Arial"/>
          <w:sz w:val="22"/>
          <w:szCs w:val="22"/>
        </w:rPr>
        <w:t>Results of changes in FEV</w:t>
      </w:r>
      <w:r w:rsidRPr="00020B8E">
        <w:rPr>
          <w:rFonts w:ascii="Arial" w:hAnsi="Arial"/>
          <w:sz w:val="22"/>
          <w:szCs w:val="22"/>
          <w:vertAlign w:val="subscript"/>
        </w:rPr>
        <w:t>1</w:t>
      </w:r>
      <w:r w:rsidRPr="00020B8E">
        <w:rPr>
          <w:rFonts w:ascii="Arial" w:hAnsi="Arial"/>
          <w:sz w:val="22"/>
          <w:szCs w:val="22"/>
        </w:rPr>
        <w:t xml:space="preserve"> </w:t>
      </w:r>
      <w:r w:rsidR="000507FA" w:rsidRPr="00020B8E">
        <w:rPr>
          <w:rFonts w:ascii="Arial" w:hAnsi="Arial"/>
          <w:sz w:val="22"/>
          <w:szCs w:val="22"/>
        </w:rPr>
        <w:t xml:space="preserve">% predicted </w:t>
      </w:r>
      <w:r w:rsidRPr="00020B8E">
        <w:rPr>
          <w:rFonts w:ascii="Arial" w:hAnsi="Arial"/>
          <w:sz w:val="22"/>
          <w:szCs w:val="22"/>
        </w:rPr>
        <w:t xml:space="preserve">from baseline </w:t>
      </w:r>
      <w:r w:rsidR="00181BDF">
        <w:rPr>
          <w:rFonts w:ascii="Arial" w:hAnsi="Arial"/>
          <w:sz w:val="22"/>
          <w:szCs w:val="22"/>
        </w:rPr>
        <w:t>indicat</w:t>
      </w:r>
      <w:r w:rsidRPr="00020B8E">
        <w:rPr>
          <w:rFonts w:ascii="Arial" w:hAnsi="Arial"/>
          <w:sz w:val="22"/>
          <w:szCs w:val="22"/>
        </w:rPr>
        <w:t xml:space="preserve">ed </w:t>
      </w:r>
      <w:r w:rsidR="000507FA">
        <w:rPr>
          <w:rFonts w:ascii="Arial" w:hAnsi="Arial"/>
          <w:sz w:val="22"/>
          <w:szCs w:val="22"/>
        </w:rPr>
        <w:t xml:space="preserve">that </w:t>
      </w:r>
      <w:r>
        <w:rPr>
          <w:rFonts w:ascii="Arial" w:hAnsi="Arial"/>
          <w:sz w:val="22"/>
          <w:szCs w:val="22"/>
        </w:rPr>
        <w:t xml:space="preserve">patients receiving </w:t>
      </w:r>
      <w:r w:rsidR="008E117A" w:rsidRPr="00020B8E">
        <w:rPr>
          <w:rFonts w:ascii="Arial" w:hAnsi="Arial"/>
          <w:sz w:val="22"/>
          <w:szCs w:val="22"/>
        </w:rPr>
        <w:t xml:space="preserve">ivacaftor </w:t>
      </w:r>
      <w:r>
        <w:rPr>
          <w:rFonts w:ascii="Arial" w:hAnsi="Arial"/>
          <w:sz w:val="22"/>
          <w:szCs w:val="22"/>
        </w:rPr>
        <w:t xml:space="preserve">for treatment of severe CF with </w:t>
      </w:r>
      <w:r w:rsidR="000507FA">
        <w:rPr>
          <w:rFonts w:ascii="Arial" w:hAnsi="Arial"/>
          <w:sz w:val="22"/>
          <w:szCs w:val="22"/>
        </w:rPr>
        <w:t xml:space="preserve">the </w:t>
      </w:r>
      <w:r>
        <w:rPr>
          <w:rFonts w:ascii="Arial" w:hAnsi="Arial"/>
          <w:sz w:val="22"/>
          <w:szCs w:val="22"/>
        </w:rPr>
        <w:t xml:space="preserve">G551D CFTR mutation experienced </w:t>
      </w:r>
      <w:r w:rsidR="000507FA">
        <w:rPr>
          <w:rFonts w:ascii="Arial" w:hAnsi="Arial"/>
          <w:sz w:val="22"/>
          <w:szCs w:val="22"/>
        </w:rPr>
        <w:t xml:space="preserve">an </w:t>
      </w:r>
      <w:r>
        <w:rPr>
          <w:rFonts w:ascii="Arial" w:hAnsi="Arial"/>
          <w:sz w:val="22"/>
          <w:szCs w:val="22"/>
        </w:rPr>
        <w:t>improvement in lung function during</w:t>
      </w:r>
      <w:r w:rsidR="008E117A" w:rsidRPr="00020B8E">
        <w:rPr>
          <w:rFonts w:ascii="Arial" w:hAnsi="Arial"/>
          <w:sz w:val="22"/>
          <w:szCs w:val="22"/>
        </w:rPr>
        <w:t xml:space="preserve"> follow-up periods of </w:t>
      </w:r>
      <w:r w:rsidR="005C2E2E">
        <w:rPr>
          <w:rFonts w:ascii="Arial" w:hAnsi="Arial"/>
          <w:sz w:val="22"/>
          <w:szCs w:val="22"/>
        </w:rPr>
        <w:t>3</w:t>
      </w:r>
      <w:r w:rsidR="008E117A" w:rsidRPr="00020B8E">
        <w:rPr>
          <w:rFonts w:ascii="Arial" w:hAnsi="Arial"/>
          <w:sz w:val="22"/>
          <w:szCs w:val="22"/>
        </w:rPr>
        <w:t xml:space="preserve"> to</w:t>
      </w:r>
      <w:r w:rsidR="008E117A">
        <w:rPr>
          <w:rFonts w:ascii="Arial" w:hAnsi="Arial"/>
          <w:sz w:val="22"/>
          <w:szCs w:val="22"/>
        </w:rPr>
        <w:t xml:space="preserve"> 1</w:t>
      </w:r>
      <w:r w:rsidR="000962FB">
        <w:rPr>
          <w:rFonts w:ascii="Arial" w:hAnsi="Arial"/>
          <w:sz w:val="22"/>
          <w:szCs w:val="22"/>
        </w:rPr>
        <w:t>1</w:t>
      </w:r>
      <w:r w:rsidR="008E117A">
        <w:rPr>
          <w:rFonts w:ascii="Arial" w:hAnsi="Arial"/>
          <w:sz w:val="22"/>
          <w:szCs w:val="22"/>
        </w:rPr>
        <w:t xml:space="preserve"> months </w:t>
      </w:r>
      <w:r w:rsidR="00085802">
        <w:rPr>
          <w:rFonts w:ascii="Arial" w:hAnsi="Arial"/>
          <w:sz w:val="22"/>
          <w:szCs w:val="22"/>
        </w:rPr>
        <w:t xml:space="preserve">across studies. </w:t>
      </w:r>
      <w:r w:rsidR="001003AD">
        <w:rPr>
          <w:rFonts w:ascii="Arial" w:hAnsi="Arial"/>
          <w:sz w:val="22"/>
          <w:szCs w:val="22"/>
        </w:rPr>
        <w:t xml:space="preserve">In the three comparative studies, </w:t>
      </w:r>
      <w:r w:rsidR="000507FA">
        <w:rPr>
          <w:rFonts w:ascii="Arial" w:hAnsi="Arial"/>
          <w:sz w:val="22"/>
          <w:szCs w:val="22"/>
        </w:rPr>
        <w:t xml:space="preserve">increases in </w:t>
      </w:r>
      <w:r w:rsidR="00085802" w:rsidRPr="00085802">
        <w:rPr>
          <w:rFonts w:ascii="Arial" w:hAnsi="Arial"/>
          <w:sz w:val="22"/>
          <w:szCs w:val="22"/>
        </w:rPr>
        <w:t>FEV</w:t>
      </w:r>
      <w:r w:rsidR="00085802" w:rsidRPr="00085802">
        <w:rPr>
          <w:rFonts w:ascii="Arial" w:hAnsi="Arial"/>
          <w:sz w:val="22"/>
          <w:szCs w:val="22"/>
          <w:vertAlign w:val="subscript"/>
        </w:rPr>
        <w:t>1</w:t>
      </w:r>
      <w:r w:rsidR="00085802">
        <w:rPr>
          <w:rFonts w:ascii="Arial" w:hAnsi="Arial"/>
          <w:sz w:val="22"/>
          <w:szCs w:val="22"/>
        </w:rPr>
        <w:t xml:space="preserve"> % predicted w</w:t>
      </w:r>
      <w:r w:rsidR="000507FA">
        <w:rPr>
          <w:rFonts w:ascii="Arial" w:hAnsi="Arial"/>
          <w:sz w:val="22"/>
          <w:szCs w:val="22"/>
        </w:rPr>
        <w:t>ere</w:t>
      </w:r>
      <w:r w:rsidR="00085802">
        <w:rPr>
          <w:rFonts w:ascii="Arial" w:hAnsi="Arial"/>
          <w:sz w:val="22"/>
          <w:szCs w:val="22"/>
        </w:rPr>
        <w:t xml:space="preserve"> consistently higher in the ivacaftor </w:t>
      </w:r>
      <w:r w:rsidR="000507FA">
        <w:rPr>
          <w:rFonts w:ascii="Arial" w:hAnsi="Arial"/>
          <w:sz w:val="22"/>
          <w:szCs w:val="22"/>
        </w:rPr>
        <w:t>groups</w:t>
      </w:r>
      <w:r w:rsidR="00085802">
        <w:rPr>
          <w:rFonts w:ascii="Arial" w:hAnsi="Arial"/>
          <w:sz w:val="22"/>
          <w:szCs w:val="22"/>
        </w:rPr>
        <w:t xml:space="preserve"> than in the </w:t>
      </w:r>
      <w:r w:rsidR="000507FA">
        <w:rPr>
          <w:rFonts w:ascii="Arial" w:hAnsi="Arial"/>
          <w:sz w:val="22"/>
          <w:szCs w:val="22"/>
        </w:rPr>
        <w:t>control</w:t>
      </w:r>
      <w:r w:rsidR="00085802">
        <w:rPr>
          <w:rFonts w:ascii="Arial" w:hAnsi="Arial"/>
          <w:sz w:val="22"/>
          <w:szCs w:val="22"/>
        </w:rPr>
        <w:t xml:space="preserve"> </w:t>
      </w:r>
      <w:r w:rsidR="000507FA">
        <w:rPr>
          <w:rFonts w:ascii="Arial" w:hAnsi="Arial"/>
          <w:sz w:val="22"/>
          <w:szCs w:val="22"/>
        </w:rPr>
        <w:t>groups</w:t>
      </w:r>
      <w:r w:rsidR="00085802">
        <w:rPr>
          <w:rFonts w:ascii="Arial" w:hAnsi="Arial"/>
          <w:sz w:val="22"/>
          <w:szCs w:val="22"/>
        </w:rPr>
        <w:t xml:space="preserve"> (3.8%-7.9% </w:t>
      </w:r>
      <w:r w:rsidR="00085802">
        <w:rPr>
          <w:rFonts w:ascii="Arial" w:hAnsi="Arial"/>
          <w:i/>
          <w:sz w:val="22"/>
          <w:szCs w:val="22"/>
        </w:rPr>
        <w:t xml:space="preserve">vs </w:t>
      </w:r>
      <w:r w:rsidR="00085802">
        <w:rPr>
          <w:rFonts w:ascii="Arial" w:hAnsi="Arial"/>
          <w:sz w:val="22"/>
          <w:szCs w:val="22"/>
        </w:rPr>
        <w:t xml:space="preserve">-0.4%-1.9%), although the differences </w:t>
      </w:r>
      <w:r w:rsidR="000507FA">
        <w:rPr>
          <w:rFonts w:ascii="Arial" w:hAnsi="Arial"/>
          <w:sz w:val="22"/>
          <w:szCs w:val="22"/>
        </w:rPr>
        <w:t>between the two treatment groups</w:t>
      </w:r>
      <w:r w:rsidR="00085802">
        <w:rPr>
          <w:rFonts w:ascii="Arial" w:hAnsi="Arial"/>
          <w:sz w:val="22"/>
          <w:szCs w:val="22"/>
        </w:rPr>
        <w:t xml:space="preserve"> were not always statistically significant. </w:t>
      </w:r>
    </w:p>
    <w:p w:rsidR="00085802" w:rsidRPr="000D5601" w:rsidRDefault="00085802" w:rsidP="00085802">
      <w:pPr>
        <w:pStyle w:val="ListParagraph"/>
        <w:jc w:val="both"/>
        <w:rPr>
          <w:rFonts w:ascii="Arial" w:hAnsi="Arial"/>
          <w:sz w:val="22"/>
          <w:szCs w:val="22"/>
        </w:rPr>
      </w:pPr>
    </w:p>
    <w:p w:rsidR="0017745D" w:rsidRPr="002C713F" w:rsidRDefault="00605126" w:rsidP="006F3A4B">
      <w:pPr>
        <w:pStyle w:val="ListParagraph"/>
        <w:numPr>
          <w:ilvl w:val="1"/>
          <w:numId w:val="1"/>
        </w:numPr>
        <w:jc w:val="both"/>
        <w:rPr>
          <w:rFonts w:ascii="Arial" w:hAnsi="Arial"/>
          <w:sz w:val="22"/>
          <w:szCs w:val="22"/>
        </w:rPr>
      </w:pPr>
      <w:r w:rsidRPr="002C713F">
        <w:rPr>
          <w:rFonts w:ascii="Arial" w:hAnsi="Arial"/>
          <w:sz w:val="22"/>
          <w:szCs w:val="22"/>
        </w:rPr>
        <w:t xml:space="preserve">The PBAC has previously </w:t>
      </w:r>
      <w:r w:rsidR="00CA09C9" w:rsidRPr="002C713F">
        <w:rPr>
          <w:rFonts w:ascii="Arial" w:hAnsi="Arial"/>
          <w:sz w:val="22"/>
          <w:szCs w:val="22"/>
        </w:rPr>
        <w:t>accepted</w:t>
      </w:r>
      <w:r w:rsidRPr="002C713F">
        <w:rPr>
          <w:rFonts w:ascii="Arial" w:hAnsi="Arial"/>
          <w:sz w:val="22"/>
          <w:szCs w:val="22"/>
        </w:rPr>
        <w:t xml:space="preserve"> that “the demonstrated 10% improvement in FEV</w:t>
      </w:r>
      <w:r w:rsidRPr="002C713F">
        <w:rPr>
          <w:rFonts w:ascii="Arial" w:hAnsi="Arial"/>
          <w:sz w:val="22"/>
          <w:szCs w:val="22"/>
          <w:vertAlign w:val="subscript"/>
        </w:rPr>
        <w:t>1</w:t>
      </w:r>
      <w:r w:rsidRPr="002C713F">
        <w:rPr>
          <w:rFonts w:ascii="Arial" w:hAnsi="Arial"/>
          <w:sz w:val="22"/>
          <w:szCs w:val="22"/>
        </w:rPr>
        <w:t xml:space="preserve"> over a period of up to 2 years is clinically significant and important” (p12, Ivacaftor PSD, November 2013 PBAC meeting). </w:t>
      </w:r>
      <w:r w:rsidR="008F40DD" w:rsidRPr="002C713F">
        <w:rPr>
          <w:rFonts w:ascii="Arial" w:hAnsi="Arial"/>
          <w:sz w:val="22"/>
          <w:szCs w:val="22"/>
        </w:rPr>
        <w:t>A</w:t>
      </w:r>
      <w:r w:rsidR="00CA09C9" w:rsidRPr="002C713F">
        <w:rPr>
          <w:rFonts w:ascii="Arial" w:hAnsi="Arial"/>
          <w:sz w:val="22"/>
          <w:szCs w:val="22"/>
        </w:rPr>
        <w:t xml:space="preserve"> mean</w:t>
      </w:r>
      <w:r w:rsidR="008F40DD" w:rsidRPr="002C713F">
        <w:rPr>
          <w:rFonts w:ascii="Arial" w:hAnsi="Arial"/>
          <w:sz w:val="22"/>
          <w:szCs w:val="22"/>
        </w:rPr>
        <w:t xml:space="preserve"> absolute increase in FEV</w:t>
      </w:r>
      <w:r w:rsidR="008F40DD" w:rsidRPr="002C713F">
        <w:rPr>
          <w:rFonts w:ascii="Arial" w:hAnsi="Arial"/>
          <w:sz w:val="22"/>
          <w:szCs w:val="22"/>
          <w:vertAlign w:val="subscript"/>
        </w:rPr>
        <w:t>1</w:t>
      </w:r>
      <w:r w:rsidR="008F40DD" w:rsidRPr="002C713F">
        <w:rPr>
          <w:rFonts w:ascii="Arial" w:hAnsi="Arial"/>
          <w:sz w:val="22"/>
          <w:szCs w:val="22"/>
        </w:rPr>
        <w:t xml:space="preserve"> % predicted of &gt;10% </w:t>
      </w:r>
      <w:r w:rsidR="009E3C15" w:rsidRPr="002C713F">
        <w:rPr>
          <w:rFonts w:ascii="Arial" w:hAnsi="Arial"/>
          <w:sz w:val="22"/>
          <w:szCs w:val="22"/>
        </w:rPr>
        <w:t xml:space="preserve">from baseline </w:t>
      </w:r>
      <w:r w:rsidR="008F40DD" w:rsidRPr="002C713F">
        <w:rPr>
          <w:rFonts w:ascii="Arial" w:hAnsi="Arial"/>
          <w:sz w:val="22"/>
          <w:szCs w:val="22"/>
        </w:rPr>
        <w:t xml:space="preserve">was only </w:t>
      </w:r>
      <w:r w:rsidR="005F3633" w:rsidRPr="002C713F">
        <w:rPr>
          <w:rFonts w:ascii="Arial" w:hAnsi="Arial"/>
          <w:sz w:val="22"/>
          <w:szCs w:val="22"/>
        </w:rPr>
        <w:t>report</w:t>
      </w:r>
      <w:r w:rsidR="008F40DD" w:rsidRPr="002C713F">
        <w:rPr>
          <w:rFonts w:ascii="Arial" w:hAnsi="Arial"/>
          <w:sz w:val="22"/>
          <w:szCs w:val="22"/>
        </w:rPr>
        <w:t xml:space="preserve">ed in </w:t>
      </w:r>
      <w:r w:rsidR="00B90A4B" w:rsidRPr="002C713F">
        <w:rPr>
          <w:rFonts w:ascii="Arial" w:hAnsi="Arial"/>
          <w:sz w:val="22"/>
          <w:szCs w:val="22"/>
        </w:rPr>
        <w:t>the PERSIST subgroup (14.5%</w:t>
      </w:r>
      <w:r w:rsidR="00B90A4B" w:rsidRPr="002C713F">
        <w:rPr>
          <w:rFonts w:ascii="Arial" w:hAnsi="Arial" w:cs="Arial"/>
          <w:sz w:val="22"/>
          <w:szCs w:val="22"/>
        </w:rPr>
        <w:t>±</w:t>
      </w:r>
      <w:r w:rsidR="00B90A4B" w:rsidRPr="002C713F">
        <w:rPr>
          <w:rFonts w:ascii="Arial" w:hAnsi="Arial"/>
          <w:sz w:val="22"/>
          <w:szCs w:val="22"/>
        </w:rPr>
        <w:t xml:space="preserve">9.0%) and </w:t>
      </w:r>
      <w:r w:rsidR="008F40DD" w:rsidRPr="002C713F">
        <w:rPr>
          <w:rFonts w:ascii="Arial" w:hAnsi="Arial"/>
          <w:sz w:val="22"/>
          <w:szCs w:val="22"/>
        </w:rPr>
        <w:t>the Australian CAP</w:t>
      </w:r>
      <w:r w:rsidR="00B90A4B" w:rsidRPr="002C713F">
        <w:rPr>
          <w:rFonts w:ascii="Arial" w:hAnsi="Arial"/>
          <w:sz w:val="22"/>
          <w:szCs w:val="22"/>
        </w:rPr>
        <w:t xml:space="preserve"> (10.3%</w:t>
      </w:r>
      <w:r w:rsidR="00B90A4B" w:rsidRPr="002C713F">
        <w:rPr>
          <w:rFonts w:ascii="Arial" w:hAnsi="Arial" w:cs="Arial"/>
          <w:sz w:val="22"/>
          <w:szCs w:val="22"/>
        </w:rPr>
        <w:t>±</w:t>
      </w:r>
      <w:r w:rsidR="00B90A4B" w:rsidRPr="002C713F">
        <w:rPr>
          <w:rFonts w:ascii="Arial" w:hAnsi="Arial"/>
          <w:sz w:val="22"/>
          <w:szCs w:val="22"/>
        </w:rPr>
        <w:t>8.1)</w:t>
      </w:r>
      <w:r w:rsidR="008B23A5" w:rsidRPr="002C713F">
        <w:rPr>
          <w:rFonts w:ascii="Arial" w:hAnsi="Arial"/>
          <w:sz w:val="22"/>
          <w:szCs w:val="22"/>
        </w:rPr>
        <w:t>;</w:t>
      </w:r>
      <w:r w:rsidR="005F3633" w:rsidRPr="002C713F">
        <w:rPr>
          <w:rFonts w:ascii="Arial" w:hAnsi="Arial"/>
          <w:sz w:val="22"/>
          <w:szCs w:val="22"/>
        </w:rPr>
        <w:t xml:space="preserve"> </w:t>
      </w:r>
      <w:r w:rsidR="00B90A4B" w:rsidRPr="002C713F">
        <w:rPr>
          <w:rFonts w:ascii="Arial" w:hAnsi="Arial"/>
          <w:sz w:val="22"/>
          <w:szCs w:val="22"/>
        </w:rPr>
        <w:t xml:space="preserve">the former study had a </w:t>
      </w:r>
      <w:r w:rsidR="008745E0" w:rsidRPr="002C713F">
        <w:rPr>
          <w:rFonts w:ascii="Arial" w:hAnsi="Arial"/>
          <w:sz w:val="22"/>
          <w:szCs w:val="22"/>
        </w:rPr>
        <w:t xml:space="preserve">75% </w:t>
      </w:r>
      <w:r w:rsidR="00B90A4B" w:rsidRPr="002C713F">
        <w:rPr>
          <w:rFonts w:ascii="Arial" w:hAnsi="Arial"/>
          <w:sz w:val="22"/>
          <w:szCs w:val="22"/>
        </w:rPr>
        <w:t>attrition rate (6 out of 8)</w:t>
      </w:r>
      <w:r w:rsidR="008745E0" w:rsidRPr="002C713F">
        <w:rPr>
          <w:rFonts w:ascii="Arial" w:hAnsi="Arial"/>
          <w:sz w:val="22"/>
          <w:szCs w:val="22"/>
        </w:rPr>
        <w:t xml:space="preserve">, </w:t>
      </w:r>
      <w:r w:rsidR="008A776F" w:rsidRPr="002C713F">
        <w:rPr>
          <w:rFonts w:ascii="Arial" w:hAnsi="Arial"/>
          <w:sz w:val="22"/>
          <w:szCs w:val="22"/>
        </w:rPr>
        <w:t xml:space="preserve">with only two patients included </w:t>
      </w:r>
      <w:r w:rsidR="008745E0" w:rsidRPr="002C713F">
        <w:rPr>
          <w:rFonts w:ascii="Arial" w:hAnsi="Arial"/>
          <w:sz w:val="22"/>
          <w:szCs w:val="22"/>
        </w:rPr>
        <w:t xml:space="preserve">in the </w:t>
      </w:r>
      <w:r w:rsidR="00B90A4B" w:rsidRPr="002C713F">
        <w:rPr>
          <w:rFonts w:ascii="Arial" w:hAnsi="Arial"/>
          <w:sz w:val="22"/>
          <w:szCs w:val="22"/>
        </w:rPr>
        <w:t xml:space="preserve">Week 48 </w:t>
      </w:r>
      <w:r w:rsidR="008745E0" w:rsidRPr="002C713F">
        <w:rPr>
          <w:rFonts w:ascii="Arial" w:hAnsi="Arial"/>
          <w:sz w:val="22"/>
          <w:szCs w:val="22"/>
        </w:rPr>
        <w:t xml:space="preserve">assessment, while </w:t>
      </w:r>
      <w:r w:rsidR="005F3633" w:rsidRPr="002C713F">
        <w:rPr>
          <w:rFonts w:ascii="Arial" w:hAnsi="Arial"/>
          <w:sz w:val="22"/>
          <w:szCs w:val="22"/>
        </w:rPr>
        <w:t xml:space="preserve">the </w:t>
      </w:r>
      <w:r w:rsidR="00B90A4B" w:rsidRPr="002C713F">
        <w:rPr>
          <w:rFonts w:ascii="Arial" w:hAnsi="Arial"/>
          <w:sz w:val="22"/>
          <w:szCs w:val="22"/>
        </w:rPr>
        <w:t>latter</w:t>
      </w:r>
      <w:r w:rsidR="005F3633" w:rsidRPr="002C713F">
        <w:rPr>
          <w:rFonts w:ascii="Arial" w:hAnsi="Arial"/>
          <w:sz w:val="22"/>
          <w:szCs w:val="22"/>
        </w:rPr>
        <w:t xml:space="preserve"> study had a mean baseline % predicted FEV</w:t>
      </w:r>
      <w:r w:rsidR="005F3633" w:rsidRPr="002C713F">
        <w:rPr>
          <w:rFonts w:ascii="Arial" w:hAnsi="Arial"/>
          <w:sz w:val="22"/>
          <w:szCs w:val="22"/>
          <w:vertAlign w:val="subscript"/>
        </w:rPr>
        <w:t>1</w:t>
      </w:r>
      <w:r w:rsidR="005F3633" w:rsidRPr="002C713F">
        <w:rPr>
          <w:rFonts w:ascii="Arial" w:hAnsi="Arial"/>
          <w:sz w:val="22"/>
          <w:szCs w:val="22"/>
        </w:rPr>
        <w:t xml:space="preserve"> close to 40% (38.</w:t>
      </w:r>
      <w:r w:rsidR="00B90A4B" w:rsidRPr="002C713F">
        <w:rPr>
          <w:rFonts w:ascii="Arial" w:hAnsi="Arial"/>
          <w:sz w:val="22"/>
          <w:szCs w:val="22"/>
        </w:rPr>
        <w:t xml:space="preserve">3%). </w:t>
      </w:r>
      <w:r w:rsidR="00006FAC" w:rsidRPr="002C713F">
        <w:rPr>
          <w:rFonts w:ascii="Arial" w:hAnsi="Arial"/>
          <w:sz w:val="22"/>
          <w:szCs w:val="22"/>
        </w:rPr>
        <w:t>In patients with more severe disease</w:t>
      </w:r>
      <w:r w:rsidR="00B90A4B" w:rsidRPr="002C713F">
        <w:rPr>
          <w:rFonts w:ascii="Arial" w:hAnsi="Arial"/>
          <w:sz w:val="22"/>
          <w:szCs w:val="22"/>
        </w:rPr>
        <w:t xml:space="preserve"> at baseline</w:t>
      </w:r>
      <w:r w:rsidR="00006FAC" w:rsidRPr="002C713F">
        <w:rPr>
          <w:rFonts w:ascii="Arial" w:hAnsi="Arial"/>
          <w:sz w:val="22"/>
          <w:szCs w:val="22"/>
        </w:rPr>
        <w:t>, a smaller improvement of lung function was observed (change of 3.8%-5.5</w:t>
      </w:r>
      <w:r w:rsidR="003F349A" w:rsidRPr="002C713F">
        <w:rPr>
          <w:rFonts w:ascii="Arial" w:hAnsi="Arial"/>
          <w:sz w:val="22"/>
          <w:szCs w:val="22"/>
        </w:rPr>
        <w:t>%</w:t>
      </w:r>
      <w:r w:rsidR="00006FAC" w:rsidRPr="002C713F">
        <w:rPr>
          <w:rFonts w:ascii="Arial" w:hAnsi="Arial"/>
          <w:sz w:val="22"/>
          <w:szCs w:val="22"/>
        </w:rPr>
        <w:t xml:space="preserve"> in FEV</w:t>
      </w:r>
      <w:r w:rsidR="00006FAC" w:rsidRPr="002C713F">
        <w:rPr>
          <w:rFonts w:ascii="Arial" w:hAnsi="Arial"/>
          <w:sz w:val="22"/>
          <w:szCs w:val="22"/>
          <w:vertAlign w:val="subscript"/>
        </w:rPr>
        <w:t>1</w:t>
      </w:r>
      <w:r w:rsidR="00006FAC" w:rsidRPr="002C713F">
        <w:rPr>
          <w:rFonts w:ascii="Arial" w:hAnsi="Arial"/>
          <w:sz w:val="22"/>
          <w:szCs w:val="22"/>
        </w:rPr>
        <w:t xml:space="preserve"> % predicted in CAPs in UK/Ireland, Germany, France and UK)</w:t>
      </w:r>
      <w:r w:rsidR="008F40DD" w:rsidRPr="002C713F">
        <w:rPr>
          <w:rFonts w:ascii="Arial" w:hAnsi="Arial"/>
          <w:sz w:val="22"/>
          <w:szCs w:val="22"/>
        </w:rPr>
        <w:t xml:space="preserve">. </w:t>
      </w:r>
    </w:p>
    <w:p w:rsidR="0017745D" w:rsidRPr="0017745D" w:rsidRDefault="0017745D" w:rsidP="0017745D">
      <w:pPr>
        <w:pStyle w:val="ListParagraph"/>
        <w:rPr>
          <w:rFonts w:ascii="Arial" w:hAnsi="Arial"/>
          <w:sz w:val="22"/>
          <w:szCs w:val="22"/>
        </w:rPr>
      </w:pPr>
    </w:p>
    <w:p w:rsidR="000D5601" w:rsidRPr="002C713F" w:rsidRDefault="008F40DD" w:rsidP="006F3A4B">
      <w:pPr>
        <w:pStyle w:val="ListParagraph"/>
        <w:numPr>
          <w:ilvl w:val="1"/>
          <w:numId w:val="1"/>
        </w:numPr>
        <w:jc w:val="both"/>
        <w:rPr>
          <w:rFonts w:ascii="Arial" w:hAnsi="Arial"/>
          <w:sz w:val="22"/>
          <w:szCs w:val="22"/>
        </w:rPr>
      </w:pPr>
      <w:r w:rsidRPr="007A4C77">
        <w:rPr>
          <w:rFonts w:ascii="Arial" w:hAnsi="Arial"/>
          <w:sz w:val="22"/>
          <w:szCs w:val="22"/>
        </w:rPr>
        <w:t xml:space="preserve">The submission acknowledged that </w:t>
      </w:r>
      <w:r w:rsidR="000D5601" w:rsidRPr="007A4C77">
        <w:rPr>
          <w:rFonts w:ascii="Arial" w:hAnsi="Arial"/>
          <w:sz w:val="22"/>
          <w:szCs w:val="22"/>
        </w:rPr>
        <w:t>the absolute change</w:t>
      </w:r>
      <w:r w:rsidRPr="007A4C77">
        <w:rPr>
          <w:rFonts w:ascii="Arial" w:hAnsi="Arial"/>
          <w:sz w:val="22"/>
          <w:szCs w:val="22"/>
        </w:rPr>
        <w:t>s</w:t>
      </w:r>
      <w:r w:rsidR="000D5601" w:rsidRPr="007A4C77">
        <w:rPr>
          <w:rFonts w:ascii="Arial" w:hAnsi="Arial"/>
          <w:sz w:val="22"/>
          <w:szCs w:val="22"/>
        </w:rPr>
        <w:t xml:space="preserve"> in </w:t>
      </w:r>
      <w:r w:rsidR="00CE5316" w:rsidRPr="007A4C77">
        <w:rPr>
          <w:rFonts w:ascii="Arial" w:hAnsi="Arial"/>
          <w:sz w:val="22"/>
          <w:szCs w:val="22"/>
        </w:rPr>
        <w:t>FEV</w:t>
      </w:r>
      <w:r w:rsidR="00CE5316" w:rsidRPr="007A4C77">
        <w:rPr>
          <w:rFonts w:ascii="Arial" w:hAnsi="Arial"/>
          <w:sz w:val="22"/>
          <w:szCs w:val="22"/>
          <w:vertAlign w:val="subscript"/>
        </w:rPr>
        <w:t>1</w:t>
      </w:r>
      <w:r w:rsidR="00CE5316" w:rsidRPr="007A4C77">
        <w:rPr>
          <w:rFonts w:ascii="Arial" w:hAnsi="Arial"/>
          <w:sz w:val="22"/>
          <w:szCs w:val="22"/>
        </w:rPr>
        <w:t xml:space="preserve"> </w:t>
      </w:r>
      <w:r w:rsidR="007A4C77">
        <w:rPr>
          <w:rFonts w:ascii="Arial" w:hAnsi="Arial"/>
          <w:sz w:val="22"/>
          <w:szCs w:val="22"/>
        </w:rPr>
        <w:t xml:space="preserve">% predicted </w:t>
      </w:r>
      <w:r w:rsidR="00CE5316" w:rsidRPr="007A4C77">
        <w:rPr>
          <w:rFonts w:ascii="Arial" w:hAnsi="Arial"/>
          <w:sz w:val="22"/>
          <w:szCs w:val="22"/>
        </w:rPr>
        <w:t>for</w:t>
      </w:r>
      <w:r w:rsidR="000D5601" w:rsidRPr="007A4C77">
        <w:rPr>
          <w:rFonts w:ascii="Arial" w:hAnsi="Arial"/>
          <w:sz w:val="22"/>
          <w:szCs w:val="22"/>
        </w:rPr>
        <w:t xml:space="preserve"> </w:t>
      </w:r>
      <w:r w:rsidR="0017745D">
        <w:rPr>
          <w:rFonts w:ascii="Arial" w:hAnsi="Arial"/>
          <w:sz w:val="22"/>
          <w:szCs w:val="22"/>
        </w:rPr>
        <w:t xml:space="preserve">most </w:t>
      </w:r>
      <w:r w:rsidRPr="007A4C77">
        <w:rPr>
          <w:rFonts w:ascii="Arial" w:hAnsi="Arial"/>
          <w:sz w:val="22"/>
          <w:szCs w:val="22"/>
        </w:rPr>
        <w:t xml:space="preserve">patients with severe </w:t>
      </w:r>
      <w:r w:rsidR="00CE5316" w:rsidRPr="007A4C77">
        <w:rPr>
          <w:rFonts w:ascii="Arial" w:hAnsi="Arial"/>
          <w:sz w:val="22"/>
          <w:szCs w:val="22"/>
        </w:rPr>
        <w:t xml:space="preserve">lung dysfunction </w:t>
      </w:r>
      <w:r w:rsidRPr="007A4C77">
        <w:rPr>
          <w:rFonts w:ascii="Arial" w:hAnsi="Arial"/>
          <w:sz w:val="22"/>
          <w:szCs w:val="22"/>
        </w:rPr>
        <w:t>were</w:t>
      </w:r>
      <w:r w:rsidR="000D5601" w:rsidRPr="007A4C77">
        <w:rPr>
          <w:rFonts w:ascii="Arial" w:hAnsi="Arial"/>
          <w:sz w:val="22"/>
          <w:szCs w:val="22"/>
        </w:rPr>
        <w:t xml:space="preserve"> not as large as </w:t>
      </w:r>
      <w:r w:rsidRPr="007A4C77">
        <w:rPr>
          <w:rFonts w:ascii="Arial" w:hAnsi="Arial"/>
          <w:sz w:val="22"/>
          <w:szCs w:val="22"/>
        </w:rPr>
        <w:t xml:space="preserve">those </w:t>
      </w:r>
      <w:r w:rsidR="000D5601" w:rsidRPr="007A4C77">
        <w:rPr>
          <w:rFonts w:ascii="Arial" w:hAnsi="Arial"/>
          <w:sz w:val="22"/>
          <w:szCs w:val="22"/>
        </w:rPr>
        <w:t xml:space="preserve">observed in the </w:t>
      </w:r>
      <w:r w:rsidR="00006FAC" w:rsidRPr="007A4C77">
        <w:rPr>
          <w:rFonts w:ascii="Arial" w:hAnsi="Arial"/>
          <w:sz w:val="22"/>
          <w:szCs w:val="22"/>
        </w:rPr>
        <w:t xml:space="preserve">key </w:t>
      </w:r>
      <w:r w:rsidR="000D5601" w:rsidRPr="007A4C77">
        <w:rPr>
          <w:rFonts w:ascii="Arial" w:hAnsi="Arial"/>
          <w:sz w:val="22"/>
          <w:szCs w:val="22"/>
        </w:rPr>
        <w:t>trials</w:t>
      </w:r>
      <w:r w:rsidR="00CE5316" w:rsidRPr="007A4C77">
        <w:rPr>
          <w:rFonts w:ascii="Arial" w:hAnsi="Arial"/>
          <w:sz w:val="22"/>
          <w:szCs w:val="22"/>
        </w:rPr>
        <w:t xml:space="preserve"> included in previous submissions</w:t>
      </w:r>
      <w:r w:rsidR="008745E0">
        <w:rPr>
          <w:rFonts w:ascii="Arial" w:hAnsi="Arial"/>
          <w:sz w:val="22"/>
          <w:szCs w:val="22"/>
        </w:rPr>
        <w:t>,</w:t>
      </w:r>
      <w:r w:rsidR="00006FAC" w:rsidRPr="007A4C77">
        <w:rPr>
          <w:rFonts w:ascii="Arial" w:hAnsi="Arial"/>
          <w:sz w:val="22"/>
          <w:szCs w:val="22"/>
        </w:rPr>
        <w:t xml:space="preserve"> where patients with mild or moderate disease at screening were enrolled</w:t>
      </w:r>
      <w:r w:rsidR="007A4C77">
        <w:rPr>
          <w:rFonts w:ascii="Arial" w:hAnsi="Arial"/>
          <w:sz w:val="22"/>
          <w:szCs w:val="22"/>
        </w:rPr>
        <w:t xml:space="preserve"> (change at Week 48</w:t>
      </w:r>
      <w:r w:rsidR="007A4C77" w:rsidRPr="007A4C77">
        <w:rPr>
          <w:rFonts w:ascii="Arial" w:hAnsi="Arial"/>
          <w:sz w:val="22"/>
          <w:szCs w:val="22"/>
        </w:rPr>
        <w:t xml:space="preserve"> </w:t>
      </w:r>
      <w:r w:rsidR="007A4C77">
        <w:rPr>
          <w:rFonts w:ascii="Arial" w:hAnsi="Arial"/>
          <w:sz w:val="22"/>
          <w:szCs w:val="22"/>
        </w:rPr>
        <w:t xml:space="preserve">in STRIVE and ENVISION: </w:t>
      </w:r>
      <w:r w:rsidR="007A4C77">
        <w:rPr>
          <w:rFonts w:ascii="Arial" w:hAnsi="Arial"/>
          <w:sz w:val="22"/>
          <w:szCs w:val="22"/>
        </w:rPr>
        <w:lastRenderedPageBreak/>
        <w:t>10.0%-10.5%; Ivacaftor PSD, November 2014)</w:t>
      </w:r>
      <w:r w:rsidR="00006FAC" w:rsidRPr="007A4C77">
        <w:rPr>
          <w:rFonts w:ascii="Arial" w:hAnsi="Arial"/>
          <w:sz w:val="22"/>
          <w:szCs w:val="22"/>
        </w:rPr>
        <w:t>. The submission argued that i</w:t>
      </w:r>
      <w:r w:rsidR="000D5601" w:rsidRPr="007A4C77">
        <w:rPr>
          <w:rFonts w:ascii="Arial" w:hAnsi="Arial"/>
          <w:sz w:val="22"/>
          <w:szCs w:val="22"/>
        </w:rPr>
        <w:t>mprovement in FEV</w:t>
      </w:r>
      <w:r w:rsidR="000D5601" w:rsidRPr="007A4C77">
        <w:rPr>
          <w:rFonts w:ascii="Arial" w:hAnsi="Arial"/>
          <w:sz w:val="22"/>
          <w:szCs w:val="22"/>
          <w:vertAlign w:val="subscript"/>
        </w:rPr>
        <w:t>1</w:t>
      </w:r>
      <w:r w:rsidR="000D5601" w:rsidRPr="007A4C77">
        <w:rPr>
          <w:rFonts w:ascii="Arial" w:hAnsi="Arial"/>
          <w:sz w:val="22"/>
          <w:szCs w:val="22"/>
        </w:rPr>
        <w:t xml:space="preserve"> should be considered in the context of the degree of lung impairment of these patients prior to </w:t>
      </w:r>
      <w:r w:rsidR="003E2043" w:rsidRPr="007A4C77">
        <w:rPr>
          <w:rFonts w:ascii="Arial" w:hAnsi="Arial"/>
          <w:sz w:val="22"/>
          <w:szCs w:val="22"/>
        </w:rPr>
        <w:t>ivacaftor treatment</w:t>
      </w:r>
      <w:r w:rsidR="00006FAC" w:rsidRPr="007A4C77">
        <w:rPr>
          <w:rFonts w:ascii="Arial" w:hAnsi="Arial"/>
          <w:sz w:val="22"/>
          <w:szCs w:val="22"/>
        </w:rPr>
        <w:t xml:space="preserve">, as </w:t>
      </w:r>
      <w:r w:rsidR="009B64CA">
        <w:rPr>
          <w:rFonts w:ascii="Arial" w:hAnsi="Arial"/>
          <w:sz w:val="22"/>
          <w:szCs w:val="22"/>
        </w:rPr>
        <w:t xml:space="preserve">it is </w:t>
      </w:r>
      <w:r w:rsidR="009B64CA" w:rsidRPr="007A4C77">
        <w:rPr>
          <w:rFonts w:ascii="Arial" w:hAnsi="Arial"/>
          <w:sz w:val="22"/>
          <w:szCs w:val="22"/>
        </w:rPr>
        <w:t>known to be more difficult to show large absolute changes in FEV</w:t>
      </w:r>
      <w:r w:rsidR="009B64CA" w:rsidRPr="007A4C77">
        <w:rPr>
          <w:rFonts w:ascii="Arial" w:hAnsi="Arial"/>
          <w:sz w:val="22"/>
          <w:szCs w:val="22"/>
          <w:vertAlign w:val="subscript"/>
        </w:rPr>
        <w:t>1</w:t>
      </w:r>
      <w:r w:rsidR="009B64CA" w:rsidRPr="007A4C77">
        <w:rPr>
          <w:rFonts w:ascii="Arial" w:hAnsi="Arial"/>
          <w:sz w:val="22"/>
          <w:szCs w:val="22"/>
        </w:rPr>
        <w:t xml:space="preserve"> % predicted</w:t>
      </w:r>
      <w:r w:rsidR="009B64CA">
        <w:rPr>
          <w:rFonts w:ascii="Arial" w:hAnsi="Arial"/>
          <w:sz w:val="22"/>
          <w:szCs w:val="22"/>
        </w:rPr>
        <w:t xml:space="preserve"> in </w:t>
      </w:r>
      <w:r w:rsidR="00006FAC" w:rsidRPr="007A4C77">
        <w:rPr>
          <w:rFonts w:ascii="Arial" w:hAnsi="Arial"/>
          <w:sz w:val="22"/>
          <w:szCs w:val="22"/>
        </w:rPr>
        <w:t>p</w:t>
      </w:r>
      <w:r w:rsidR="000D5601" w:rsidRPr="007A4C77">
        <w:rPr>
          <w:rFonts w:ascii="Arial" w:hAnsi="Arial"/>
          <w:sz w:val="22"/>
          <w:szCs w:val="22"/>
        </w:rPr>
        <w:t>atients with poor lung function at baseline</w:t>
      </w:r>
      <w:r w:rsidR="00006FAC" w:rsidRPr="007A4C77">
        <w:rPr>
          <w:rFonts w:ascii="Arial" w:hAnsi="Arial"/>
          <w:sz w:val="22"/>
          <w:szCs w:val="22"/>
        </w:rPr>
        <w:t xml:space="preserve"> </w:t>
      </w:r>
      <w:r w:rsidR="000D5601" w:rsidRPr="007A4C77">
        <w:rPr>
          <w:rFonts w:ascii="Arial" w:hAnsi="Arial"/>
          <w:sz w:val="22"/>
          <w:szCs w:val="22"/>
        </w:rPr>
        <w:t>(Tobramycin PSD, March 2011</w:t>
      </w:r>
      <w:r w:rsidR="003F349A" w:rsidRPr="007A4C77">
        <w:rPr>
          <w:rFonts w:ascii="Arial" w:hAnsi="Arial"/>
          <w:sz w:val="22"/>
          <w:szCs w:val="22"/>
        </w:rPr>
        <w:t xml:space="preserve"> PBAC meeting</w:t>
      </w:r>
      <w:r w:rsidR="000D5601" w:rsidRPr="007A4C77">
        <w:rPr>
          <w:rFonts w:ascii="Arial" w:hAnsi="Arial"/>
          <w:sz w:val="22"/>
          <w:szCs w:val="22"/>
        </w:rPr>
        <w:t xml:space="preserve">). </w:t>
      </w:r>
      <w:r w:rsidR="003F349A" w:rsidRPr="002C713F">
        <w:rPr>
          <w:rFonts w:ascii="Arial" w:hAnsi="Arial"/>
          <w:sz w:val="22"/>
          <w:szCs w:val="22"/>
        </w:rPr>
        <w:t>However, the submission di</w:t>
      </w:r>
      <w:r w:rsidR="00305D59" w:rsidRPr="002C713F">
        <w:rPr>
          <w:rFonts w:ascii="Arial" w:hAnsi="Arial"/>
          <w:sz w:val="22"/>
          <w:szCs w:val="22"/>
        </w:rPr>
        <w:t xml:space="preserve">d not provide evidence to </w:t>
      </w:r>
      <w:r w:rsidR="00181BDF" w:rsidRPr="002C713F">
        <w:rPr>
          <w:rFonts w:ascii="Arial" w:hAnsi="Arial"/>
          <w:sz w:val="22"/>
          <w:szCs w:val="22"/>
        </w:rPr>
        <w:t>demonstrate</w:t>
      </w:r>
      <w:r w:rsidR="00305D59" w:rsidRPr="002C713F">
        <w:rPr>
          <w:rFonts w:ascii="Arial" w:hAnsi="Arial"/>
          <w:sz w:val="22"/>
          <w:szCs w:val="22"/>
        </w:rPr>
        <w:t xml:space="preserve"> </w:t>
      </w:r>
      <w:r w:rsidR="00181BDF" w:rsidRPr="002C713F">
        <w:rPr>
          <w:rFonts w:ascii="Arial" w:hAnsi="Arial"/>
          <w:sz w:val="22"/>
          <w:szCs w:val="22"/>
        </w:rPr>
        <w:t xml:space="preserve">that </w:t>
      </w:r>
      <w:r w:rsidR="003F349A" w:rsidRPr="002C713F">
        <w:rPr>
          <w:rFonts w:ascii="Arial" w:hAnsi="Arial"/>
          <w:sz w:val="22"/>
          <w:szCs w:val="22"/>
        </w:rPr>
        <w:t>a</w:t>
      </w:r>
      <w:r w:rsidR="006756B7" w:rsidRPr="002C713F">
        <w:rPr>
          <w:rFonts w:ascii="Arial" w:hAnsi="Arial"/>
          <w:sz w:val="22"/>
          <w:szCs w:val="22"/>
        </w:rPr>
        <w:t xml:space="preserve"> smaller</w:t>
      </w:r>
      <w:r w:rsidR="003F349A" w:rsidRPr="002C713F">
        <w:rPr>
          <w:rFonts w:ascii="Arial" w:hAnsi="Arial"/>
          <w:sz w:val="22"/>
          <w:szCs w:val="22"/>
        </w:rPr>
        <w:t xml:space="preserve"> absolute change </w:t>
      </w:r>
      <w:r w:rsidR="005C2032" w:rsidRPr="002C713F">
        <w:rPr>
          <w:rFonts w:ascii="Arial" w:hAnsi="Arial"/>
          <w:sz w:val="22"/>
          <w:szCs w:val="22"/>
        </w:rPr>
        <w:t>in</w:t>
      </w:r>
      <w:r w:rsidR="003F349A" w:rsidRPr="002C713F">
        <w:rPr>
          <w:rFonts w:ascii="Arial" w:hAnsi="Arial"/>
          <w:sz w:val="22"/>
          <w:szCs w:val="22"/>
        </w:rPr>
        <w:t xml:space="preserve"> FEV</w:t>
      </w:r>
      <w:r w:rsidR="003F349A" w:rsidRPr="002C713F">
        <w:rPr>
          <w:rFonts w:ascii="Arial" w:hAnsi="Arial"/>
          <w:sz w:val="22"/>
          <w:szCs w:val="22"/>
          <w:vertAlign w:val="subscript"/>
        </w:rPr>
        <w:t>1</w:t>
      </w:r>
      <w:r w:rsidR="003F349A" w:rsidRPr="002C713F">
        <w:rPr>
          <w:rFonts w:ascii="Arial" w:hAnsi="Arial"/>
          <w:sz w:val="22"/>
          <w:szCs w:val="22"/>
        </w:rPr>
        <w:t xml:space="preserve"> % predicted </w:t>
      </w:r>
      <w:r w:rsidR="00181BDF" w:rsidRPr="002C713F">
        <w:rPr>
          <w:rFonts w:ascii="Arial" w:hAnsi="Arial"/>
          <w:sz w:val="22"/>
          <w:szCs w:val="22"/>
        </w:rPr>
        <w:t xml:space="preserve">in patients with severe CF </w:t>
      </w:r>
      <w:r w:rsidR="003F349A" w:rsidRPr="002C713F">
        <w:rPr>
          <w:rFonts w:ascii="Arial" w:hAnsi="Arial"/>
          <w:sz w:val="22"/>
          <w:szCs w:val="22"/>
        </w:rPr>
        <w:t>is clinically important</w:t>
      </w:r>
      <w:r w:rsidR="00C17C46" w:rsidRPr="002C713F">
        <w:rPr>
          <w:rFonts w:ascii="Arial" w:hAnsi="Arial"/>
          <w:sz w:val="22"/>
          <w:szCs w:val="22"/>
        </w:rPr>
        <w:t>, e</w:t>
      </w:r>
      <w:r w:rsidR="00BE64D8" w:rsidRPr="002C713F">
        <w:rPr>
          <w:rFonts w:ascii="Arial" w:hAnsi="Arial"/>
          <w:sz w:val="22"/>
          <w:szCs w:val="22"/>
        </w:rPr>
        <w:t>.</w:t>
      </w:r>
      <w:r w:rsidR="00C17C46" w:rsidRPr="002C713F">
        <w:rPr>
          <w:rFonts w:ascii="Arial" w:hAnsi="Arial"/>
          <w:sz w:val="22"/>
          <w:szCs w:val="22"/>
        </w:rPr>
        <w:t>g</w:t>
      </w:r>
      <w:r w:rsidR="00BE64D8" w:rsidRPr="002C713F">
        <w:rPr>
          <w:rFonts w:ascii="Arial" w:hAnsi="Arial"/>
          <w:sz w:val="22"/>
          <w:szCs w:val="22"/>
        </w:rPr>
        <w:t>.</w:t>
      </w:r>
      <w:r w:rsidR="00C17C46" w:rsidRPr="002C713F">
        <w:rPr>
          <w:rFonts w:ascii="Arial" w:hAnsi="Arial"/>
          <w:sz w:val="22"/>
          <w:szCs w:val="22"/>
        </w:rPr>
        <w:t xml:space="preserve"> associated with reduced mortality</w:t>
      </w:r>
      <w:r w:rsidR="003F349A" w:rsidRPr="002C713F">
        <w:rPr>
          <w:rFonts w:ascii="Arial" w:hAnsi="Arial"/>
          <w:sz w:val="22"/>
          <w:szCs w:val="22"/>
        </w:rPr>
        <w:t xml:space="preserve">. </w:t>
      </w:r>
    </w:p>
    <w:p w:rsidR="003F349A" w:rsidRDefault="003F349A" w:rsidP="003F349A">
      <w:pPr>
        <w:pStyle w:val="ListParagraph"/>
        <w:jc w:val="both"/>
        <w:rPr>
          <w:rFonts w:ascii="Arial" w:hAnsi="Arial"/>
          <w:sz w:val="22"/>
          <w:szCs w:val="22"/>
        </w:rPr>
      </w:pPr>
    </w:p>
    <w:p w:rsidR="003F349A" w:rsidRPr="003F349A" w:rsidRDefault="00B63660" w:rsidP="006F3A4B">
      <w:pPr>
        <w:pStyle w:val="ListParagraph"/>
        <w:numPr>
          <w:ilvl w:val="1"/>
          <w:numId w:val="1"/>
        </w:numPr>
        <w:jc w:val="both"/>
        <w:rPr>
          <w:rFonts w:ascii="Arial" w:hAnsi="Arial"/>
          <w:sz w:val="22"/>
          <w:szCs w:val="22"/>
        </w:rPr>
      </w:pPr>
      <w:r>
        <w:rPr>
          <w:rFonts w:ascii="Arial" w:hAnsi="Arial"/>
          <w:sz w:val="22"/>
          <w:szCs w:val="22"/>
        </w:rPr>
        <w:t xml:space="preserve">Table </w:t>
      </w:r>
      <w:r w:rsidR="00631F92">
        <w:rPr>
          <w:rFonts w:ascii="Arial" w:hAnsi="Arial"/>
          <w:sz w:val="22"/>
          <w:szCs w:val="22"/>
        </w:rPr>
        <w:t>4</w:t>
      </w:r>
      <w:r>
        <w:rPr>
          <w:rFonts w:ascii="Arial" w:hAnsi="Arial"/>
          <w:sz w:val="22"/>
          <w:szCs w:val="22"/>
        </w:rPr>
        <w:t xml:space="preserve"> summarises </w:t>
      </w:r>
      <w:r w:rsidR="00831B93">
        <w:rPr>
          <w:rFonts w:ascii="Arial" w:hAnsi="Arial"/>
          <w:sz w:val="22"/>
          <w:szCs w:val="22"/>
        </w:rPr>
        <w:t xml:space="preserve">the results of </w:t>
      </w:r>
      <w:r>
        <w:rPr>
          <w:rFonts w:ascii="Arial" w:hAnsi="Arial"/>
          <w:sz w:val="22"/>
          <w:szCs w:val="22"/>
        </w:rPr>
        <w:t xml:space="preserve">change in body weight across clinical studies. </w:t>
      </w:r>
    </w:p>
    <w:p w:rsidR="00851FEA" w:rsidRDefault="00851FEA" w:rsidP="00B63660">
      <w:pPr>
        <w:pStyle w:val="ListParagraph"/>
        <w:widowControl w:val="0"/>
        <w:jc w:val="both"/>
        <w:rPr>
          <w:rFonts w:ascii="Arial Narrow" w:eastAsiaTheme="majorEastAsia" w:hAnsi="Arial Narrow" w:cstheme="minorHAnsi"/>
          <w:b/>
          <w:bCs/>
          <w:sz w:val="20"/>
          <w:szCs w:val="18"/>
          <w:lang w:eastAsia="en-US" w:bidi="en-US"/>
        </w:rPr>
      </w:pPr>
    </w:p>
    <w:p w:rsidR="00B63660" w:rsidRDefault="00B63660" w:rsidP="00B63660">
      <w:pPr>
        <w:pStyle w:val="ListParagraph"/>
        <w:widowControl w:val="0"/>
        <w:jc w:val="both"/>
        <w:rPr>
          <w:rFonts w:ascii="Arial Narrow" w:eastAsiaTheme="majorEastAsia" w:hAnsi="Arial Narrow" w:cstheme="minorHAnsi"/>
          <w:b/>
          <w:bCs/>
          <w:sz w:val="20"/>
          <w:szCs w:val="18"/>
          <w:lang w:eastAsia="en-US" w:bidi="en-US"/>
        </w:rPr>
      </w:pPr>
      <w:r w:rsidRPr="003D4671">
        <w:rPr>
          <w:rFonts w:ascii="Arial Narrow" w:eastAsiaTheme="majorEastAsia" w:hAnsi="Arial Narrow" w:cstheme="minorHAnsi"/>
          <w:b/>
          <w:bCs/>
          <w:sz w:val="20"/>
          <w:szCs w:val="18"/>
          <w:lang w:eastAsia="en-US" w:bidi="en-US"/>
        </w:rPr>
        <w:t xml:space="preserve">Table </w:t>
      </w:r>
      <w:r w:rsidR="00631F92">
        <w:rPr>
          <w:rFonts w:ascii="Arial Narrow" w:eastAsiaTheme="majorEastAsia" w:hAnsi="Arial Narrow" w:cstheme="minorHAnsi"/>
          <w:b/>
          <w:bCs/>
          <w:sz w:val="20"/>
          <w:szCs w:val="18"/>
          <w:lang w:eastAsia="en-US" w:bidi="en-US"/>
        </w:rPr>
        <w:t>4</w:t>
      </w:r>
      <w:r>
        <w:rPr>
          <w:rFonts w:ascii="Arial Narrow" w:eastAsiaTheme="majorEastAsia" w:hAnsi="Arial Narrow" w:cstheme="minorHAnsi"/>
          <w:b/>
          <w:bCs/>
          <w:sz w:val="20"/>
          <w:szCs w:val="18"/>
          <w:lang w:eastAsia="en-US" w:bidi="en-US"/>
        </w:rPr>
        <w:t>: Results of change in body weight</w:t>
      </w:r>
    </w:p>
    <w:tbl>
      <w:tblPr>
        <w:tblStyle w:val="TableGrid"/>
        <w:tblW w:w="8603" w:type="dxa"/>
        <w:tblInd w:w="720" w:type="dxa"/>
        <w:tblLayout w:type="fixed"/>
        <w:tblLook w:val="04A0" w:firstRow="1" w:lastRow="0" w:firstColumn="1" w:lastColumn="0" w:noHBand="0" w:noVBand="1"/>
      </w:tblPr>
      <w:tblGrid>
        <w:gridCol w:w="1656"/>
        <w:gridCol w:w="993"/>
        <w:gridCol w:w="567"/>
        <w:gridCol w:w="1134"/>
        <w:gridCol w:w="1134"/>
        <w:gridCol w:w="1134"/>
        <w:gridCol w:w="851"/>
        <w:gridCol w:w="1134"/>
      </w:tblGrid>
      <w:tr w:rsidR="006738C5" w:rsidRPr="00DB5DD6" w:rsidTr="006738C5">
        <w:trPr>
          <w:trHeight w:val="233"/>
        </w:trPr>
        <w:tc>
          <w:tcPr>
            <w:tcW w:w="1656" w:type="dxa"/>
            <w:vMerge w:val="restart"/>
          </w:tcPr>
          <w:p w:rsidR="006738C5" w:rsidRPr="00DB5DD6" w:rsidRDefault="006738C5" w:rsidP="001C2619">
            <w:pPr>
              <w:pStyle w:val="ListParagraph"/>
              <w:widowControl w:val="0"/>
              <w:ind w:left="0"/>
              <w:jc w:val="both"/>
              <w:rPr>
                <w:rFonts w:ascii="Arial Narrow" w:eastAsiaTheme="majorEastAsia" w:hAnsi="Arial Narrow" w:cstheme="minorHAnsi"/>
                <w:b/>
                <w:bCs/>
                <w:sz w:val="20"/>
                <w:szCs w:val="18"/>
                <w:lang w:eastAsia="en-US" w:bidi="en-US"/>
              </w:rPr>
            </w:pPr>
            <w:r w:rsidRPr="00DB5DD6">
              <w:rPr>
                <w:rFonts w:ascii="Arial Narrow" w:eastAsiaTheme="majorEastAsia" w:hAnsi="Arial Narrow" w:cstheme="minorHAnsi"/>
                <w:b/>
                <w:bCs/>
                <w:sz w:val="20"/>
                <w:szCs w:val="18"/>
                <w:lang w:eastAsia="en-US" w:bidi="en-US"/>
              </w:rPr>
              <w:t>Study</w:t>
            </w:r>
          </w:p>
        </w:tc>
        <w:tc>
          <w:tcPr>
            <w:tcW w:w="993" w:type="dxa"/>
            <w:vMerge w:val="restart"/>
          </w:tcPr>
          <w:p w:rsidR="006738C5" w:rsidRPr="00DB5DD6" w:rsidRDefault="006738C5" w:rsidP="001C2619">
            <w:pPr>
              <w:pStyle w:val="ListParagraph"/>
              <w:widowControl w:val="0"/>
              <w:ind w:left="-57" w:right="-57"/>
              <w:jc w:val="center"/>
              <w:rPr>
                <w:rFonts w:ascii="Arial Narrow" w:eastAsiaTheme="majorEastAsia" w:hAnsi="Arial Narrow" w:cstheme="minorHAnsi"/>
                <w:b/>
                <w:bCs/>
                <w:sz w:val="20"/>
                <w:szCs w:val="18"/>
                <w:lang w:eastAsia="en-US" w:bidi="en-US"/>
              </w:rPr>
            </w:pPr>
            <w:r w:rsidRPr="00DB5DD6">
              <w:rPr>
                <w:rFonts w:ascii="Arial Narrow" w:eastAsiaTheme="majorEastAsia" w:hAnsi="Arial Narrow" w:cstheme="minorHAnsi"/>
                <w:b/>
                <w:bCs/>
                <w:sz w:val="20"/>
                <w:szCs w:val="18"/>
                <w:lang w:eastAsia="en-US" w:bidi="en-US"/>
              </w:rPr>
              <w:t>Treatment group</w:t>
            </w:r>
          </w:p>
        </w:tc>
        <w:tc>
          <w:tcPr>
            <w:tcW w:w="567" w:type="dxa"/>
            <w:vMerge w:val="restart"/>
          </w:tcPr>
          <w:p w:rsidR="006738C5" w:rsidRPr="000507FA" w:rsidRDefault="006738C5" w:rsidP="00D65B04">
            <w:pPr>
              <w:pStyle w:val="ListParagraph"/>
              <w:widowControl w:val="0"/>
              <w:ind w:left="0"/>
              <w:jc w:val="center"/>
              <w:rPr>
                <w:rFonts w:ascii="Arial Narrow" w:eastAsiaTheme="majorEastAsia" w:hAnsi="Arial Narrow" w:cstheme="minorHAnsi"/>
                <w:b/>
                <w:bCs/>
                <w:sz w:val="20"/>
                <w:szCs w:val="18"/>
                <w:lang w:eastAsia="en-US" w:bidi="en-US"/>
              </w:rPr>
            </w:pPr>
            <w:r>
              <w:rPr>
                <w:rFonts w:ascii="Arial Narrow" w:eastAsiaTheme="majorEastAsia" w:hAnsi="Arial Narrow" w:cstheme="minorHAnsi"/>
                <w:b/>
                <w:bCs/>
                <w:sz w:val="20"/>
                <w:szCs w:val="18"/>
                <w:lang w:eastAsia="en-US" w:bidi="en-US"/>
              </w:rPr>
              <w:t>N</w:t>
            </w:r>
          </w:p>
        </w:tc>
        <w:tc>
          <w:tcPr>
            <w:tcW w:w="2268" w:type="dxa"/>
            <w:gridSpan w:val="2"/>
          </w:tcPr>
          <w:p w:rsidR="006738C5" w:rsidRPr="00DB5DD6" w:rsidRDefault="006738C5" w:rsidP="006738C5">
            <w:pPr>
              <w:pStyle w:val="ListParagraph"/>
              <w:widowControl w:val="0"/>
              <w:ind w:left="-57" w:right="-57"/>
              <w:jc w:val="center"/>
              <w:rPr>
                <w:rFonts w:ascii="Arial Narrow" w:eastAsiaTheme="majorEastAsia" w:hAnsi="Arial Narrow" w:cstheme="minorHAnsi"/>
                <w:b/>
                <w:bCs/>
                <w:sz w:val="20"/>
                <w:szCs w:val="18"/>
                <w:lang w:eastAsia="en-US" w:bidi="en-US"/>
              </w:rPr>
            </w:pPr>
            <w:r w:rsidRPr="00DB5DD6">
              <w:rPr>
                <w:rFonts w:ascii="Arial Narrow" w:eastAsiaTheme="majorEastAsia" w:hAnsi="Arial Narrow" w:cstheme="minorHAnsi"/>
                <w:b/>
                <w:bCs/>
                <w:sz w:val="20"/>
                <w:szCs w:val="18"/>
                <w:lang w:eastAsia="en-US" w:bidi="en-US"/>
              </w:rPr>
              <w:t>Body weight, mean (SD), kg</w:t>
            </w:r>
          </w:p>
        </w:tc>
        <w:tc>
          <w:tcPr>
            <w:tcW w:w="1985" w:type="dxa"/>
            <w:gridSpan w:val="2"/>
          </w:tcPr>
          <w:p w:rsidR="006738C5" w:rsidRPr="006738C5" w:rsidRDefault="006738C5" w:rsidP="006738C5">
            <w:pPr>
              <w:pStyle w:val="ListParagraph"/>
              <w:widowControl w:val="0"/>
              <w:ind w:left="0"/>
              <w:jc w:val="center"/>
              <w:rPr>
                <w:rFonts w:ascii="Arial Narrow" w:eastAsiaTheme="majorEastAsia" w:hAnsi="Arial Narrow" w:cstheme="minorHAnsi"/>
                <w:b/>
                <w:bCs/>
                <w:sz w:val="20"/>
                <w:szCs w:val="18"/>
                <w:lang w:eastAsia="en-US" w:bidi="en-US"/>
              </w:rPr>
            </w:pPr>
            <w:r w:rsidRPr="006738C5">
              <w:rPr>
                <w:rFonts w:ascii="Arial Narrow" w:eastAsiaTheme="majorEastAsia" w:hAnsi="Arial Narrow" w:cstheme="minorHAnsi"/>
                <w:b/>
                <w:bCs/>
                <w:sz w:val="20"/>
                <w:szCs w:val="18"/>
                <w:lang w:eastAsia="en-US" w:bidi="en-US"/>
              </w:rPr>
              <w:t>Absolute change in body weight, kg</w:t>
            </w:r>
          </w:p>
        </w:tc>
        <w:tc>
          <w:tcPr>
            <w:tcW w:w="1134" w:type="dxa"/>
            <w:vMerge w:val="restart"/>
          </w:tcPr>
          <w:p w:rsidR="006738C5" w:rsidRPr="00DB5DD6" w:rsidRDefault="006738C5" w:rsidP="001C2619">
            <w:pPr>
              <w:pStyle w:val="ListParagraph"/>
              <w:widowControl w:val="0"/>
              <w:ind w:left="-57" w:right="-57"/>
              <w:jc w:val="center"/>
              <w:rPr>
                <w:rFonts w:ascii="Arial Narrow" w:eastAsiaTheme="majorEastAsia" w:hAnsi="Arial Narrow" w:cstheme="minorHAnsi"/>
                <w:b/>
                <w:bCs/>
                <w:sz w:val="20"/>
                <w:szCs w:val="18"/>
                <w:lang w:eastAsia="en-US" w:bidi="en-US"/>
              </w:rPr>
            </w:pPr>
            <w:r w:rsidRPr="00DB5DD6">
              <w:rPr>
                <w:rFonts w:ascii="Arial Narrow" w:eastAsiaTheme="majorEastAsia" w:hAnsi="Arial Narrow" w:cstheme="minorHAnsi"/>
                <w:b/>
                <w:bCs/>
                <w:sz w:val="20"/>
                <w:szCs w:val="18"/>
                <w:lang w:eastAsia="en-US" w:bidi="en-US"/>
              </w:rPr>
              <w:t>Between group comparison, p-value</w:t>
            </w:r>
          </w:p>
        </w:tc>
      </w:tr>
      <w:tr w:rsidR="006738C5" w:rsidRPr="00DB5DD6" w:rsidTr="006738C5">
        <w:trPr>
          <w:trHeight w:val="232"/>
        </w:trPr>
        <w:tc>
          <w:tcPr>
            <w:tcW w:w="1656" w:type="dxa"/>
            <w:vMerge/>
          </w:tcPr>
          <w:p w:rsidR="006738C5" w:rsidRPr="00DB5DD6" w:rsidRDefault="006738C5" w:rsidP="001C2619">
            <w:pPr>
              <w:pStyle w:val="ListParagraph"/>
              <w:widowControl w:val="0"/>
              <w:ind w:left="0"/>
              <w:jc w:val="both"/>
              <w:rPr>
                <w:rFonts w:ascii="Arial Narrow" w:eastAsiaTheme="majorEastAsia" w:hAnsi="Arial Narrow" w:cstheme="minorHAnsi"/>
                <w:b/>
                <w:bCs/>
                <w:sz w:val="20"/>
                <w:szCs w:val="18"/>
                <w:lang w:eastAsia="en-US" w:bidi="en-US"/>
              </w:rPr>
            </w:pPr>
          </w:p>
        </w:tc>
        <w:tc>
          <w:tcPr>
            <w:tcW w:w="993" w:type="dxa"/>
            <w:vMerge/>
          </w:tcPr>
          <w:p w:rsidR="006738C5" w:rsidRPr="00DB5DD6" w:rsidRDefault="006738C5" w:rsidP="001C2619">
            <w:pPr>
              <w:pStyle w:val="ListParagraph"/>
              <w:widowControl w:val="0"/>
              <w:ind w:left="0"/>
              <w:jc w:val="center"/>
              <w:rPr>
                <w:rFonts w:ascii="Arial Narrow" w:eastAsiaTheme="majorEastAsia" w:hAnsi="Arial Narrow" w:cstheme="minorHAnsi"/>
                <w:b/>
                <w:bCs/>
                <w:sz w:val="20"/>
                <w:szCs w:val="18"/>
                <w:lang w:eastAsia="en-US" w:bidi="en-US"/>
              </w:rPr>
            </w:pPr>
          </w:p>
        </w:tc>
        <w:tc>
          <w:tcPr>
            <w:tcW w:w="567" w:type="dxa"/>
            <w:vMerge/>
          </w:tcPr>
          <w:p w:rsidR="006738C5" w:rsidRPr="000507FA" w:rsidRDefault="006738C5" w:rsidP="00D65B04">
            <w:pPr>
              <w:pStyle w:val="ListParagraph"/>
              <w:widowControl w:val="0"/>
              <w:ind w:left="0"/>
              <w:jc w:val="center"/>
              <w:rPr>
                <w:rFonts w:ascii="Arial Narrow" w:eastAsiaTheme="majorEastAsia" w:hAnsi="Arial Narrow" w:cstheme="minorHAnsi"/>
                <w:b/>
                <w:bCs/>
                <w:sz w:val="20"/>
                <w:szCs w:val="18"/>
                <w:lang w:eastAsia="en-US" w:bidi="en-US"/>
              </w:rPr>
            </w:pPr>
          </w:p>
        </w:tc>
        <w:tc>
          <w:tcPr>
            <w:tcW w:w="1134" w:type="dxa"/>
          </w:tcPr>
          <w:p w:rsidR="006738C5" w:rsidRPr="00DB5DD6" w:rsidRDefault="006738C5" w:rsidP="001C2619">
            <w:pPr>
              <w:pStyle w:val="ListParagraph"/>
              <w:widowControl w:val="0"/>
              <w:ind w:left="0"/>
              <w:jc w:val="center"/>
              <w:rPr>
                <w:rFonts w:ascii="Arial Narrow" w:eastAsiaTheme="majorEastAsia" w:hAnsi="Arial Narrow" w:cstheme="minorHAnsi"/>
                <w:b/>
                <w:bCs/>
                <w:sz w:val="20"/>
                <w:szCs w:val="18"/>
                <w:lang w:eastAsia="en-US" w:bidi="en-US"/>
              </w:rPr>
            </w:pPr>
            <w:r w:rsidRPr="00DB5DD6">
              <w:rPr>
                <w:rFonts w:ascii="Arial Narrow" w:eastAsiaTheme="majorEastAsia" w:hAnsi="Arial Narrow" w:cstheme="minorHAnsi"/>
                <w:b/>
                <w:bCs/>
                <w:sz w:val="20"/>
                <w:szCs w:val="18"/>
                <w:lang w:eastAsia="en-US" w:bidi="en-US"/>
              </w:rPr>
              <w:t>Baseline</w:t>
            </w:r>
            <w:r w:rsidRPr="00DB5DD6">
              <w:rPr>
                <w:rFonts w:ascii="Arial Narrow" w:eastAsiaTheme="majorEastAsia" w:hAnsi="Arial Narrow" w:cstheme="minorHAnsi"/>
                <w:b/>
                <w:bCs/>
                <w:sz w:val="20"/>
                <w:szCs w:val="18"/>
                <w:vertAlign w:val="superscript"/>
                <w:lang w:eastAsia="en-US" w:bidi="en-US"/>
              </w:rPr>
              <w:t>a</w:t>
            </w:r>
          </w:p>
        </w:tc>
        <w:tc>
          <w:tcPr>
            <w:tcW w:w="1134" w:type="dxa"/>
          </w:tcPr>
          <w:p w:rsidR="006738C5" w:rsidRPr="00DB5DD6" w:rsidRDefault="006738C5" w:rsidP="001C2619">
            <w:pPr>
              <w:pStyle w:val="ListParagraph"/>
              <w:widowControl w:val="0"/>
              <w:ind w:left="-57" w:right="-57"/>
              <w:jc w:val="center"/>
              <w:rPr>
                <w:rFonts w:ascii="Arial Narrow" w:eastAsiaTheme="majorEastAsia" w:hAnsi="Arial Narrow" w:cstheme="minorHAnsi"/>
                <w:b/>
                <w:bCs/>
                <w:sz w:val="20"/>
                <w:szCs w:val="18"/>
                <w:lang w:eastAsia="en-US" w:bidi="en-US"/>
              </w:rPr>
            </w:pPr>
            <w:r w:rsidRPr="00DB5DD6">
              <w:rPr>
                <w:rFonts w:ascii="Arial Narrow" w:eastAsiaTheme="majorEastAsia" w:hAnsi="Arial Narrow" w:cstheme="minorHAnsi"/>
                <w:b/>
                <w:bCs/>
                <w:sz w:val="20"/>
                <w:szCs w:val="18"/>
                <w:lang w:eastAsia="en-US" w:bidi="en-US"/>
              </w:rPr>
              <w:t>Post-treatment</w:t>
            </w:r>
            <w:r w:rsidRPr="00DB5DD6">
              <w:rPr>
                <w:rFonts w:ascii="Arial Narrow" w:eastAsiaTheme="majorEastAsia" w:hAnsi="Arial Narrow" w:cstheme="minorHAnsi"/>
                <w:b/>
                <w:bCs/>
                <w:sz w:val="20"/>
                <w:szCs w:val="18"/>
                <w:vertAlign w:val="superscript"/>
                <w:lang w:eastAsia="en-US" w:bidi="en-US"/>
              </w:rPr>
              <w:t>a</w:t>
            </w:r>
          </w:p>
        </w:tc>
        <w:tc>
          <w:tcPr>
            <w:tcW w:w="1134" w:type="dxa"/>
          </w:tcPr>
          <w:p w:rsidR="006738C5" w:rsidRPr="006738C5" w:rsidRDefault="006738C5" w:rsidP="006738C5">
            <w:pPr>
              <w:pStyle w:val="ListParagraph"/>
              <w:widowControl w:val="0"/>
              <w:ind w:left="0"/>
              <w:jc w:val="center"/>
              <w:rPr>
                <w:rFonts w:ascii="Arial Narrow" w:eastAsiaTheme="majorEastAsia" w:hAnsi="Arial Narrow" w:cstheme="minorHAnsi"/>
                <w:b/>
                <w:bCs/>
                <w:sz w:val="20"/>
                <w:szCs w:val="18"/>
                <w:lang w:eastAsia="en-US" w:bidi="en-US"/>
              </w:rPr>
            </w:pPr>
            <w:r w:rsidRPr="006738C5">
              <w:rPr>
                <w:rFonts w:ascii="Arial Narrow" w:eastAsiaTheme="majorEastAsia" w:hAnsi="Arial Narrow" w:cstheme="minorHAnsi"/>
                <w:b/>
                <w:bCs/>
                <w:sz w:val="20"/>
                <w:szCs w:val="18"/>
                <w:lang w:eastAsia="en-US" w:bidi="en-US"/>
              </w:rPr>
              <w:t xml:space="preserve">Mean (SD) </w:t>
            </w:r>
          </w:p>
        </w:tc>
        <w:tc>
          <w:tcPr>
            <w:tcW w:w="851" w:type="dxa"/>
          </w:tcPr>
          <w:p w:rsidR="006738C5" w:rsidRPr="006738C5" w:rsidRDefault="006738C5" w:rsidP="001C2619">
            <w:pPr>
              <w:pStyle w:val="ListParagraph"/>
              <w:widowControl w:val="0"/>
              <w:ind w:left="0"/>
              <w:jc w:val="center"/>
              <w:rPr>
                <w:rFonts w:ascii="Arial Narrow" w:eastAsiaTheme="majorEastAsia" w:hAnsi="Arial Narrow" w:cstheme="minorHAnsi"/>
                <w:b/>
                <w:bCs/>
                <w:sz w:val="20"/>
                <w:szCs w:val="18"/>
                <w:lang w:eastAsia="en-US" w:bidi="en-US"/>
              </w:rPr>
            </w:pPr>
            <w:r w:rsidRPr="006738C5">
              <w:rPr>
                <w:rFonts w:ascii="Arial Narrow" w:eastAsiaTheme="majorEastAsia" w:hAnsi="Arial Narrow" w:cstheme="minorHAnsi"/>
                <w:b/>
                <w:bCs/>
                <w:sz w:val="20"/>
                <w:szCs w:val="18"/>
                <w:lang w:eastAsia="en-US" w:bidi="en-US"/>
              </w:rPr>
              <w:t>p-value</w:t>
            </w:r>
          </w:p>
        </w:tc>
        <w:tc>
          <w:tcPr>
            <w:tcW w:w="1134" w:type="dxa"/>
            <w:vMerge/>
          </w:tcPr>
          <w:p w:rsidR="006738C5" w:rsidRPr="00DB5DD6" w:rsidRDefault="006738C5" w:rsidP="001C2619">
            <w:pPr>
              <w:pStyle w:val="ListParagraph"/>
              <w:widowControl w:val="0"/>
              <w:ind w:left="0"/>
              <w:jc w:val="center"/>
              <w:rPr>
                <w:rFonts w:ascii="Arial Narrow" w:eastAsiaTheme="majorEastAsia" w:hAnsi="Arial Narrow" w:cstheme="minorHAnsi"/>
                <w:b/>
                <w:bCs/>
                <w:sz w:val="20"/>
                <w:szCs w:val="18"/>
                <w:lang w:eastAsia="en-US" w:bidi="en-US"/>
              </w:rPr>
            </w:pPr>
          </w:p>
        </w:tc>
      </w:tr>
      <w:tr w:rsidR="006738C5" w:rsidRPr="00DB5DD6" w:rsidTr="006738C5">
        <w:tc>
          <w:tcPr>
            <w:tcW w:w="1656" w:type="dxa"/>
            <w:vMerge w:val="restart"/>
          </w:tcPr>
          <w:p w:rsidR="006738C5" w:rsidRPr="00DB5DD6" w:rsidRDefault="006738C5" w:rsidP="001C2619">
            <w:pPr>
              <w:widowControl w:val="0"/>
              <w:ind w:right="-57"/>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 xml:space="preserve">CAP in Australia (Wainwright 2014) </w:t>
            </w:r>
          </w:p>
        </w:tc>
        <w:tc>
          <w:tcPr>
            <w:tcW w:w="993"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Ivacaftor</w:t>
            </w:r>
          </w:p>
        </w:tc>
        <w:tc>
          <w:tcPr>
            <w:tcW w:w="567" w:type="dxa"/>
            <w:vAlign w:val="center"/>
          </w:tcPr>
          <w:p w:rsidR="006738C5" w:rsidRPr="000507FA" w:rsidRDefault="006738C5" w:rsidP="00D65B04">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17</w:t>
            </w:r>
          </w:p>
        </w:tc>
        <w:tc>
          <w:tcPr>
            <w:tcW w:w="1134" w:type="dxa"/>
            <w:vAlign w:val="center"/>
          </w:tcPr>
          <w:p w:rsidR="006738C5" w:rsidRPr="00DB5DD6" w:rsidRDefault="006738C5" w:rsidP="001C2619">
            <w:pPr>
              <w:widowControl w:val="0"/>
              <w:ind w:left="-57" w:right="-57"/>
              <w:jc w:val="center"/>
              <w:rPr>
                <w:rFonts w:ascii="Arial Narrow" w:hAnsi="Arial Narrow" w:cs="Arial"/>
                <w:snapToGrid w:val="0"/>
                <w:sz w:val="20"/>
                <w:szCs w:val="16"/>
                <w:lang w:val="en-US" w:eastAsia="en-US"/>
              </w:rPr>
            </w:pPr>
            <w:r w:rsidRPr="00DB5DD6">
              <w:rPr>
                <w:rFonts w:ascii="Arial Narrow" w:hAnsi="Arial Narrow" w:cs="Arial"/>
                <w:snapToGrid w:val="0"/>
                <w:sz w:val="20"/>
                <w:szCs w:val="16"/>
                <w:lang w:val="en-US" w:eastAsia="en-US"/>
              </w:rPr>
              <w:t>57.7 (12.2)</w:t>
            </w:r>
          </w:p>
        </w:tc>
        <w:tc>
          <w:tcPr>
            <w:tcW w:w="1134" w:type="dxa"/>
            <w:vAlign w:val="center"/>
          </w:tcPr>
          <w:p w:rsidR="006738C5" w:rsidRPr="00DB5DD6" w:rsidRDefault="006738C5" w:rsidP="001C2619">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60.5 (12.4)</w:t>
            </w:r>
          </w:p>
        </w:tc>
        <w:tc>
          <w:tcPr>
            <w:tcW w:w="1134"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2.8 (5.0)</w:t>
            </w:r>
          </w:p>
        </w:tc>
        <w:tc>
          <w:tcPr>
            <w:tcW w:w="851"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0.036</w:t>
            </w:r>
          </w:p>
        </w:tc>
        <w:tc>
          <w:tcPr>
            <w:tcW w:w="1134" w:type="dxa"/>
            <w:vMerge w:val="restart"/>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0.02</w:t>
            </w:r>
          </w:p>
        </w:tc>
      </w:tr>
      <w:tr w:rsidR="006738C5" w:rsidRPr="00DB5DD6" w:rsidTr="006738C5">
        <w:tc>
          <w:tcPr>
            <w:tcW w:w="1656" w:type="dxa"/>
            <w:vMerge/>
          </w:tcPr>
          <w:p w:rsidR="006738C5" w:rsidRPr="00DB5DD6" w:rsidRDefault="006738C5" w:rsidP="001C2619">
            <w:pPr>
              <w:pStyle w:val="ListParagraph"/>
              <w:widowControl w:val="0"/>
              <w:ind w:left="0" w:right="-57"/>
              <w:rPr>
                <w:rFonts w:ascii="Arial Narrow" w:eastAsiaTheme="majorEastAsia" w:hAnsi="Arial Narrow" w:cstheme="minorHAnsi"/>
                <w:bCs/>
                <w:sz w:val="20"/>
                <w:szCs w:val="18"/>
                <w:lang w:eastAsia="en-US" w:bidi="en-US"/>
              </w:rPr>
            </w:pPr>
          </w:p>
        </w:tc>
        <w:tc>
          <w:tcPr>
            <w:tcW w:w="993"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Control</w:t>
            </w:r>
          </w:p>
        </w:tc>
        <w:tc>
          <w:tcPr>
            <w:tcW w:w="567" w:type="dxa"/>
            <w:vAlign w:val="center"/>
          </w:tcPr>
          <w:p w:rsidR="006738C5" w:rsidRPr="000507FA" w:rsidRDefault="006738C5" w:rsidP="00D65B04">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314</w:t>
            </w:r>
          </w:p>
        </w:tc>
        <w:tc>
          <w:tcPr>
            <w:tcW w:w="1134" w:type="dxa"/>
            <w:vAlign w:val="center"/>
          </w:tcPr>
          <w:p w:rsidR="006738C5" w:rsidRPr="00DB5DD6" w:rsidRDefault="006738C5" w:rsidP="001C2619">
            <w:pPr>
              <w:widowControl w:val="0"/>
              <w:ind w:left="-57" w:right="-57"/>
              <w:jc w:val="center"/>
              <w:rPr>
                <w:rFonts w:ascii="Arial Narrow" w:hAnsi="Arial Narrow" w:cs="Arial"/>
                <w:snapToGrid w:val="0"/>
                <w:sz w:val="20"/>
                <w:szCs w:val="16"/>
                <w:lang w:val="en-US" w:eastAsia="en-US"/>
              </w:rPr>
            </w:pPr>
            <w:r w:rsidRPr="00DB5DD6">
              <w:rPr>
                <w:rFonts w:ascii="Arial Narrow" w:eastAsiaTheme="majorEastAsia" w:hAnsi="Arial Narrow" w:cstheme="minorHAnsi"/>
                <w:bCs/>
                <w:sz w:val="20"/>
                <w:szCs w:val="18"/>
                <w:lang w:eastAsia="en-US" w:bidi="en-US"/>
              </w:rPr>
              <w:t>57.7 (11.4)</w:t>
            </w:r>
          </w:p>
        </w:tc>
        <w:tc>
          <w:tcPr>
            <w:tcW w:w="1134" w:type="dxa"/>
            <w:vAlign w:val="center"/>
          </w:tcPr>
          <w:p w:rsidR="006738C5" w:rsidRPr="00DB5DD6" w:rsidRDefault="006738C5" w:rsidP="001C2619">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58.5 (11.4)</w:t>
            </w:r>
          </w:p>
        </w:tc>
        <w:tc>
          <w:tcPr>
            <w:tcW w:w="1134"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0.8 (3.3)</w:t>
            </w:r>
          </w:p>
        </w:tc>
        <w:tc>
          <w:tcPr>
            <w:tcW w:w="851"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&lt;0.001</w:t>
            </w:r>
          </w:p>
        </w:tc>
        <w:tc>
          <w:tcPr>
            <w:tcW w:w="1134" w:type="dxa"/>
            <w:vMerge/>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p>
        </w:tc>
      </w:tr>
      <w:tr w:rsidR="006738C5" w:rsidRPr="00DB5DD6" w:rsidTr="006738C5">
        <w:tc>
          <w:tcPr>
            <w:tcW w:w="1656" w:type="dxa"/>
            <w:vMerge w:val="restart"/>
          </w:tcPr>
          <w:p w:rsidR="006738C5" w:rsidRPr="00DB5DD6" w:rsidRDefault="006738C5" w:rsidP="001C2619">
            <w:pPr>
              <w:widowControl w:val="0"/>
              <w:ind w:right="-57"/>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 xml:space="preserve">CAP in UK/Ireland (Barry 2014) </w:t>
            </w:r>
          </w:p>
        </w:tc>
        <w:tc>
          <w:tcPr>
            <w:tcW w:w="993"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Ivacaftor</w:t>
            </w:r>
          </w:p>
        </w:tc>
        <w:tc>
          <w:tcPr>
            <w:tcW w:w="567" w:type="dxa"/>
            <w:vAlign w:val="center"/>
          </w:tcPr>
          <w:p w:rsidR="006738C5" w:rsidRPr="000507FA" w:rsidRDefault="006738C5" w:rsidP="00D65B04">
            <w:pPr>
              <w:pStyle w:val="ListParagraph"/>
              <w:widowControl w:val="0"/>
              <w:ind w:left="-57" w:right="-57"/>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21</w:t>
            </w:r>
          </w:p>
        </w:tc>
        <w:tc>
          <w:tcPr>
            <w:tcW w:w="1134" w:type="dxa"/>
            <w:vAlign w:val="center"/>
          </w:tcPr>
          <w:p w:rsidR="006738C5" w:rsidRPr="00DB5DD6" w:rsidRDefault="006738C5" w:rsidP="00BA49CB">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49.8</w:t>
            </w:r>
          </w:p>
          <w:p w:rsidR="006738C5" w:rsidRPr="00DB5DD6" w:rsidRDefault="006738C5" w:rsidP="00BA49CB">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(44.4, 60.7)</w:t>
            </w:r>
            <w:r w:rsidRPr="00DB5DD6">
              <w:rPr>
                <w:rFonts w:ascii="Arial Narrow" w:eastAsiaTheme="majorEastAsia" w:hAnsi="Arial Narrow" w:cstheme="minorHAnsi"/>
                <w:bCs/>
                <w:sz w:val="20"/>
                <w:szCs w:val="18"/>
                <w:vertAlign w:val="superscript"/>
                <w:lang w:eastAsia="en-US" w:bidi="en-US"/>
              </w:rPr>
              <w:t>b</w:t>
            </w:r>
          </w:p>
        </w:tc>
        <w:tc>
          <w:tcPr>
            <w:tcW w:w="1134" w:type="dxa"/>
            <w:vAlign w:val="center"/>
          </w:tcPr>
          <w:p w:rsidR="006738C5" w:rsidRPr="00DB5DD6" w:rsidRDefault="006738C5" w:rsidP="00BA49CB">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51.6</w:t>
            </w:r>
          </w:p>
          <w:p w:rsidR="006738C5" w:rsidRPr="00DB5DD6" w:rsidRDefault="006738C5" w:rsidP="00BA49CB">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(48.6-66.8)</w:t>
            </w:r>
            <w:r w:rsidRPr="00DB5DD6">
              <w:rPr>
                <w:rFonts w:ascii="Arial Narrow" w:eastAsiaTheme="majorEastAsia" w:hAnsi="Arial Narrow" w:cstheme="minorHAnsi"/>
                <w:bCs/>
                <w:sz w:val="20"/>
                <w:szCs w:val="18"/>
                <w:vertAlign w:val="superscript"/>
                <w:lang w:eastAsia="en-US" w:bidi="en-US"/>
              </w:rPr>
              <w:t>b</w:t>
            </w:r>
          </w:p>
        </w:tc>
        <w:tc>
          <w:tcPr>
            <w:tcW w:w="1134" w:type="dxa"/>
            <w:vAlign w:val="center"/>
          </w:tcPr>
          <w:p w:rsidR="006738C5" w:rsidRPr="00DB5DD6" w:rsidRDefault="006738C5" w:rsidP="00BA49CB">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 xml:space="preserve">2.3 </w:t>
            </w:r>
            <w:r>
              <w:rPr>
                <w:rFonts w:ascii="Arial Narrow" w:eastAsiaTheme="majorEastAsia" w:hAnsi="Arial Narrow" w:cstheme="minorHAnsi"/>
                <w:bCs/>
                <w:sz w:val="20"/>
                <w:szCs w:val="18"/>
                <w:lang w:eastAsia="en-US" w:bidi="en-US"/>
              </w:rPr>
              <w:br/>
            </w:r>
            <w:r w:rsidRPr="00DB5DD6">
              <w:rPr>
                <w:rFonts w:ascii="Arial Narrow" w:eastAsiaTheme="majorEastAsia" w:hAnsi="Arial Narrow" w:cstheme="minorHAnsi"/>
                <w:bCs/>
                <w:sz w:val="20"/>
                <w:szCs w:val="18"/>
                <w:lang w:eastAsia="en-US" w:bidi="en-US"/>
              </w:rPr>
              <w:t>(-0.4, 4.2)</w:t>
            </w:r>
            <w:r w:rsidRPr="00DB5DD6">
              <w:rPr>
                <w:rFonts w:ascii="Arial Narrow" w:eastAsiaTheme="majorEastAsia" w:hAnsi="Arial Narrow" w:cstheme="minorHAnsi"/>
                <w:bCs/>
                <w:sz w:val="20"/>
                <w:szCs w:val="18"/>
                <w:vertAlign w:val="superscript"/>
                <w:lang w:eastAsia="en-US" w:bidi="en-US"/>
              </w:rPr>
              <w:t>b</w:t>
            </w:r>
          </w:p>
        </w:tc>
        <w:tc>
          <w:tcPr>
            <w:tcW w:w="851"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0.006</w:t>
            </w:r>
          </w:p>
        </w:tc>
        <w:tc>
          <w:tcPr>
            <w:tcW w:w="1134" w:type="dxa"/>
            <w:vMerge w:val="restart"/>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0.25</w:t>
            </w:r>
          </w:p>
        </w:tc>
      </w:tr>
      <w:tr w:rsidR="006738C5" w:rsidRPr="00DB5DD6" w:rsidTr="006738C5">
        <w:tc>
          <w:tcPr>
            <w:tcW w:w="1656" w:type="dxa"/>
            <w:vMerge/>
          </w:tcPr>
          <w:p w:rsidR="006738C5" w:rsidRPr="00DB5DD6" w:rsidRDefault="006738C5" w:rsidP="001C2619">
            <w:pPr>
              <w:pStyle w:val="ListParagraph"/>
              <w:widowControl w:val="0"/>
              <w:ind w:left="0" w:right="-57"/>
              <w:rPr>
                <w:rFonts w:ascii="Arial Narrow" w:eastAsiaTheme="majorEastAsia" w:hAnsi="Arial Narrow" w:cstheme="minorHAnsi"/>
                <w:bCs/>
                <w:sz w:val="20"/>
                <w:szCs w:val="18"/>
                <w:lang w:eastAsia="en-US" w:bidi="en-US"/>
              </w:rPr>
            </w:pPr>
          </w:p>
        </w:tc>
        <w:tc>
          <w:tcPr>
            <w:tcW w:w="993"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Control</w:t>
            </w:r>
          </w:p>
        </w:tc>
        <w:tc>
          <w:tcPr>
            <w:tcW w:w="567" w:type="dxa"/>
            <w:vAlign w:val="center"/>
          </w:tcPr>
          <w:p w:rsidR="006738C5" w:rsidRPr="000507FA" w:rsidRDefault="006738C5" w:rsidP="00D65B04">
            <w:pPr>
              <w:pStyle w:val="ListParagraph"/>
              <w:widowControl w:val="0"/>
              <w:ind w:left="-57" w:right="-57"/>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35</w:t>
            </w:r>
          </w:p>
        </w:tc>
        <w:tc>
          <w:tcPr>
            <w:tcW w:w="1134" w:type="dxa"/>
            <w:vAlign w:val="center"/>
          </w:tcPr>
          <w:p w:rsidR="006738C5" w:rsidRPr="00DB5DD6" w:rsidRDefault="006738C5" w:rsidP="00BA49CB">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54.0</w:t>
            </w:r>
          </w:p>
          <w:p w:rsidR="006738C5" w:rsidRPr="00DB5DD6" w:rsidRDefault="006738C5" w:rsidP="00BA49CB">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(49.0, 62.4)</w:t>
            </w:r>
            <w:r w:rsidRPr="00DB5DD6">
              <w:rPr>
                <w:rFonts w:ascii="Arial Narrow" w:eastAsiaTheme="majorEastAsia" w:hAnsi="Arial Narrow" w:cstheme="minorHAnsi"/>
                <w:bCs/>
                <w:sz w:val="20"/>
                <w:szCs w:val="18"/>
                <w:vertAlign w:val="superscript"/>
                <w:lang w:eastAsia="en-US" w:bidi="en-US"/>
              </w:rPr>
              <w:t>b</w:t>
            </w:r>
          </w:p>
        </w:tc>
        <w:tc>
          <w:tcPr>
            <w:tcW w:w="1134" w:type="dxa"/>
            <w:vAlign w:val="center"/>
          </w:tcPr>
          <w:p w:rsidR="006738C5" w:rsidRPr="00DB5DD6" w:rsidRDefault="006738C5" w:rsidP="00BA49CB">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NR</w:t>
            </w:r>
          </w:p>
        </w:tc>
        <w:tc>
          <w:tcPr>
            <w:tcW w:w="1134" w:type="dxa"/>
            <w:vAlign w:val="center"/>
          </w:tcPr>
          <w:p w:rsidR="006738C5" w:rsidRPr="00DB5DD6" w:rsidRDefault="006738C5" w:rsidP="00BA49CB">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 xml:space="preserve">0.6 </w:t>
            </w:r>
            <w:r>
              <w:rPr>
                <w:rFonts w:ascii="Arial Narrow" w:eastAsiaTheme="majorEastAsia" w:hAnsi="Arial Narrow" w:cstheme="minorHAnsi"/>
                <w:bCs/>
                <w:sz w:val="20"/>
                <w:szCs w:val="18"/>
                <w:lang w:eastAsia="en-US" w:bidi="en-US"/>
              </w:rPr>
              <w:br/>
            </w:r>
            <w:r w:rsidRPr="00DB5DD6">
              <w:rPr>
                <w:rFonts w:ascii="Arial Narrow" w:eastAsiaTheme="majorEastAsia" w:hAnsi="Arial Narrow" w:cstheme="minorHAnsi"/>
                <w:bCs/>
                <w:sz w:val="20"/>
                <w:szCs w:val="18"/>
                <w:lang w:eastAsia="en-US" w:bidi="en-US"/>
              </w:rPr>
              <w:t>(-0.5, 3.2)</w:t>
            </w:r>
            <w:r w:rsidRPr="00DB5DD6">
              <w:rPr>
                <w:rFonts w:ascii="Arial Narrow" w:eastAsiaTheme="majorEastAsia" w:hAnsi="Arial Narrow" w:cstheme="minorHAnsi"/>
                <w:bCs/>
                <w:sz w:val="20"/>
                <w:szCs w:val="18"/>
                <w:vertAlign w:val="superscript"/>
                <w:lang w:eastAsia="en-US" w:bidi="en-US"/>
              </w:rPr>
              <w:t>b</w:t>
            </w:r>
          </w:p>
        </w:tc>
        <w:tc>
          <w:tcPr>
            <w:tcW w:w="851"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NR</w:t>
            </w:r>
          </w:p>
        </w:tc>
        <w:tc>
          <w:tcPr>
            <w:tcW w:w="1134" w:type="dxa"/>
            <w:vMerge/>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p>
        </w:tc>
      </w:tr>
      <w:tr w:rsidR="006738C5" w:rsidRPr="00DB5DD6" w:rsidTr="006738C5">
        <w:tc>
          <w:tcPr>
            <w:tcW w:w="1656" w:type="dxa"/>
          </w:tcPr>
          <w:p w:rsidR="006738C5" w:rsidRPr="00DB5DD6" w:rsidRDefault="006738C5" w:rsidP="001C2619">
            <w:pPr>
              <w:widowControl w:val="0"/>
              <w:ind w:right="-57"/>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 xml:space="preserve">CAP in Germany (Hebestreit 2013) </w:t>
            </w:r>
          </w:p>
        </w:tc>
        <w:tc>
          <w:tcPr>
            <w:tcW w:w="993"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Ivacaftor</w:t>
            </w:r>
          </w:p>
        </w:tc>
        <w:tc>
          <w:tcPr>
            <w:tcW w:w="567" w:type="dxa"/>
            <w:vAlign w:val="center"/>
          </w:tcPr>
          <w:p w:rsidR="006738C5" w:rsidRPr="000507FA" w:rsidRDefault="006738C5" w:rsidP="00D65B04">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14</w:t>
            </w:r>
          </w:p>
        </w:tc>
        <w:tc>
          <w:tcPr>
            <w:tcW w:w="1134" w:type="dxa"/>
            <w:vAlign w:val="center"/>
          </w:tcPr>
          <w:p w:rsidR="006738C5" w:rsidRPr="00DB5DD6" w:rsidRDefault="006738C5" w:rsidP="001C2619">
            <w:pPr>
              <w:widowControl w:val="0"/>
              <w:ind w:left="-57" w:right="-57"/>
              <w:jc w:val="center"/>
              <w:rPr>
                <w:rFonts w:ascii="Arial Narrow" w:hAnsi="Arial Narrow" w:cs="Arial"/>
                <w:snapToGrid w:val="0"/>
                <w:sz w:val="20"/>
                <w:szCs w:val="16"/>
                <w:lang w:val="en-US" w:eastAsia="en-US"/>
              </w:rPr>
            </w:pPr>
            <w:r w:rsidRPr="00DB5DD6">
              <w:rPr>
                <w:rFonts w:ascii="Arial Narrow" w:hAnsi="Arial Narrow" w:cs="Arial"/>
                <w:snapToGrid w:val="0"/>
                <w:sz w:val="20"/>
                <w:szCs w:val="16"/>
                <w:lang w:val="en-US" w:eastAsia="en-US"/>
              </w:rPr>
              <w:t>56 (10)</w:t>
            </w:r>
          </w:p>
        </w:tc>
        <w:tc>
          <w:tcPr>
            <w:tcW w:w="1134" w:type="dxa"/>
            <w:vAlign w:val="center"/>
          </w:tcPr>
          <w:p w:rsidR="006738C5" w:rsidRPr="00DB5DD6" w:rsidRDefault="006738C5" w:rsidP="001C2619">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NR</w:t>
            </w:r>
          </w:p>
        </w:tc>
        <w:tc>
          <w:tcPr>
            <w:tcW w:w="1134"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2.1 (2.4)</w:t>
            </w:r>
          </w:p>
        </w:tc>
        <w:tc>
          <w:tcPr>
            <w:tcW w:w="851"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0.005</w:t>
            </w:r>
          </w:p>
        </w:tc>
        <w:tc>
          <w:tcPr>
            <w:tcW w:w="1134"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sym w:font="Symbol" w:char="F02D"/>
            </w:r>
          </w:p>
        </w:tc>
      </w:tr>
      <w:tr w:rsidR="006738C5" w:rsidRPr="00DB5DD6" w:rsidTr="006738C5">
        <w:tc>
          <w:tcPr>
            <w:tcW w:w="1656" w:type="dxa"/>
          </w:tcPr>
          <w:p w:rsidR="006738C5" w:rsidRPr="00DB5DD6" w:rsidRDefault="006738C5" w:rsidP="001C2619">
            <w:pPr>
              <w:widowControl w:val="0"/>
              <w:ind w:right="-57"/>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 xml:space="preserve">CAP in France (ATU study) </w:t>
            </w:r>
          </w:p>
        </w:tc>
        <w:tc>
          <w:tcPr>
            <w:tcW w:w="993"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Ivacaftor</w:t>
            </w:r>
          </w:p>
        </w:tc>
        <w:tc>
          <w:tcPr>
            <w:tcW w:w="567" w:type="dxa"/>
            <w:vAlign w:val="center"/>
          </w:tcPr>
          <w:p w:rsidR="006738C5" w:rsidRPr="000507FA" w:rsidRDefault="006738C5" w:rsidP="00D65B04">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8</w:t>
            </w:r>
            <w:r w:rsidRPr="00065965">
              <w:rPr>
                <w:rFonts w:ascii="Arial Narrow" w:hAnsi="Arial Narrow" w:cs="Arial"/>
                <w:snapToGrid w:val="0"/>
                <w:sz w:val="20"/>
                <w:szCs w:val="16"/>
                <w:vertAlign w:val="superscript"/>
                <w:lang w:val="en-US" w:eastAsia="en-US"/>
              </w:rPr>
              <w:t>c</w:t>
            </w:r>
          </w:p>
        </w:tc>
        <w:tc>
          <w:tcPr>
            <w:tcW w:w="1134" w:type="dxa"/>
            <w:vAlign w:val="center"/>
          </w:tcPr>
          <w:p w:rsidR="006738C5" w:rsidRPr="00DB5DD6" w:rsidRDefault="006738C5" w:rsidP="001C2619">
            <w:pPr>
              <w:widowControl w:val="0"/>
              <w:ind w:left="-57" w:right="-57"/>
              <w:jc w:val="center"/>
              <w:rPr>
                <w:rFonts w:ascii="Arial Narrow" w:hAnsi="Arial Narrow" w:cs="Arial"/>
                <w:snapToGrid w:val="0"/>
                <w:sz w:val="20"/>
                <w:szCs w:val="16"/>
                <w:lang w:val="en-US" w:eastAsia="en-US"/>
              </w:rPr>
            </w:pPr>
            <w:r w:rsidRPr="00DB5DD6">
              <w:rPr>
                <w:rFonts w:ascii="Arial Narrow" w:hAnsi="Arial Narrow" w:cs="Arial"/>
                <w:snapToGrid w:val="0"/>
                <w:sz w:val="20"/>
                <w:szCs w:val="16"/>
                <w:lang w:val="en-US" w:eastAsia="en-US"/>
              </w:rPr>
              <w:t>60.8 (8.3)</w:t>
            </w:r>
            <w:r w:rsidRPr="00DB5DD6">
              <w:rPr>
                <w:rFonts w:ascii="Arial Narrow" w:hAnsi="Arial Narrow" w:cs="Arial"/>
                <w:snapToGrid w:val="0"/>
                <w:sz w:val="20"/>
                <w:szCs w:val="16"/>
                <w:vertAlign w:val="superscript"/>
                <w:lang w:val="en-US" w:eastAsia="en-US"/>
              </w:rPr>
              <w:t>c</w:t>
            </w:r>
          </w:p>
        </w:tc>
        <w:tc>
          <w:tcPr>
            <w:tcW w:w="1134" w:type="dxa"/>
            <w:vAlign w:val="center"/>
          </w:tcPr>
          <w:p w:rsidR="006738C5" w:rsidRPr="00DB5DD6" w:rsidRDefault="006738C5" w:rsidP="001C2619">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62.9 (8.6)</w:t>
            </w:r>
            <w:r w:rsidRPr="00DB5DD6">
              <w:rPr>
                <w:rFonts w:ascii="Arial Narrow" w:hAnsi="Arial Narrow" w:cs="Arial"/>
                <w:snapToGrid w:val="0"/>
                <w:sz w:val="20"/>
                <w:szCs w:val="16"/>
                <w:vertAlign w:val="superscript"/>
                <w:lang w:val="en-US" w:eastAsia="en-US"/>
              </w:rPr>
              <w:t>c</w:t>
            </w:r>
          </w:p>
        </w:tc>
        <w:tc>
          <w:tcPr>
            <w:tcW w:w="1134"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2.1 (2.0)</w:t>
            </w:r>
            <w:r w:rsidRPr="00DB5DD6">
              <w:rPr>
                <w:rFonts w:ascii="Arial Narrow" w:hAnsi="Arial Narrow" w:cs="Arial"/>
                <w:snapToGrid w:val="0"/>
                <w:sz w:val="20"/>
                <w:szCs w:val="16"/>
                <w:vertAlign w:val="superscript"/>
                <w:lang w:val="en-US" w:eastAsia="en-US"/>
              </w:rPr>
              <w:t>c</w:t>
            </w:r>
          </w:p>
        </w:tc>
        <w:tc>
          <w:tcPr>
            <w:tcW w:w="851"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NS</w:t>
            </w:r>
          </w:p>
        </w:tc>
        <w:tc>
          <w:tcPr>
            <w:tcW w:w="1134"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sym w:font="Symbol" w:char="F02D"/>
            </w:r>
          </w:p>
        </w:tc>
      </w:tr>
      <w:tr w:rsidR="006738C5" w:rsidTr="006738C5">
        <w:tc>
          <w:tcPr>
            <w:tcW w:w="1656" w:type="dxa"/>
          </w:tcPr>
          <w:p w:rsidR="006738C5" w:rsidRPr="00DB5DD6" w:rsidRDefault="006738C5" w:rsidP="001C2619">
            <w:pPr>
              <w:widowControl w:val="0"/>
              <w:ind w:right="-57"/>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 xml:space="preserve">CAP in US (Taylor-Cousar 2015) </w:t>
            </w:r>
          </w:p>
        </w:tc>
        <w:tc>
          <w:tcPr>
            <w:tcW w:w="993"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Ivacaftor</w:t>
            </w:r>
          </w:p>
        </w:tc>
        <w:tc>
          <w:tcPr>
            <w:tcW w:w="567" w:type="dxa"/>
            <w:vAlign w:val="center"/>
          </w:tcPr>
          <w:p w:rsidR="006738C5" w:rsidRPr="000507FA" w:rsidRDefault="006738C5" w:rsidP="00D65B04">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44</w:t>
            </w:r>
            <w:r w:rsidRPr="00065965">
              <w:rPr>
                <w:rFonts w:ascii="Arial Narrow" w:hAnsi="Arial Narrow" w:cs="Arial"/>
                <w:snapToGrid w:val="0"/>
                <w:sz w:val="20"/>
                <w:szCs w:val="16"/>
                <w:vertAlign w:val="superscript"/>
                <w:lang w:val="en-US" w:eastAsia="en-US"/>
              </w:rPr>
              <w:t>d</w:t>
            </w:r>
          </w:p>
        </w:tc>
        <w:tc>
          <w:tcPr>
            <w:tcW w:w="1134" w:type="dxa"/>
            <w:vAlign w:val="center"/>
          </w:tcPr>
          <w:p w:rsidR="006738C5" w:rsidRPr="00DB5DD6" w:rsidRDefault="006738C5" w:rsidP="001C2619">
            <w:pPr>
              <w:widowControl w:val="0"/>
              <w:ind w:left="-57" w:right="-57"/>
              <w:jc w:val="center"/>
              <w:rPr>
                <w:rFonts w:ascii="Arial Narrow" w:hAnsi="Arial Narrow" w:cs="Arial"/>
                <w:snapToGrid w:val="0"/>
                <w:sz w:val="20"/>
                <w:szCs w:val="16"/>
                <w:lang w:val="en-US" w:eastAsia="en-US"/>
              </w:rPr>
            </w:pPr>
            <w:r w:rsidRPr="00DB5DD6">
              <w:rPr>
                <w:rFonts w:ascii="Arial Narrow" w:hAnsi="Arial Narrow" w:cs="Arial"/>
                <w:snapToGrid w:val="0"/>
                <w:sz w:val="20"/>
                <w:szCs w:val="16"/>
                <w:lang w:val="en-US" w:eastAsia="en-US"/>
              </w:rPr>
              <w:t>58.9 (15.4)</w:t>
            </w:r>
          </w:p>
        </w:tc>
        <w:tc>
          <w:tcPr>
            <w:tcW w:w="1134" w:type="dxa"/>
            <w:vAlign w:val="center"/>
          </w:tcPr>
          <w:p w:rsidR="006738C5" w:rsidRPr="00DB5DD6" w:rsidRDefault="006738C5" w:rsidP="001C2619">
            <w:pPr>
              <w:pStyle w:val="ListParagraph"/>
              <w:widowControl w:val="0"/>
              <w:ind w:left="-57" w:right="-57"/>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NR</w:t>
            </w:r>
          </w:p>
        </w:tc>
        <w:tc>
          <w:tcPr>
            <w:tcW w:w="1134"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3.3 (4.0)</w:t>
            </w:r>
            <w:r w:rsidRPr="00DB5DD6">
              <w:rPr>
                <w:rFonts w:ascii="Arial Narrow" w:eastAsiaTheme="majorEastAsia" w:hAnsi="Arial Narrow" w:cstheme="minorHAnsi"/>
                <w:bCs/>
                <w:sz w:val="20"/>
                <w:szCs w:val="18"/>
                <w:vertAlign w:val="superscript"/>
                <w:lang w:eastAsia="en-US" w:bidi="en-US"/>
              </w:rPr>
              <w:t>d</w:t>
            </w:r>
          </w:p>
        </w:tc>
        <w:tc>
          <w:tcPr>
            <w:tcW w:w="851" w:type="dxa"/>
            <w:vAlign w:val="center"/>
          </w:tcPr>
          <w:p w:rsidR="006738C5" w:rsidRPr="00DB5DD6"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t>NR</w:t>
            </w:r>
          </w:p>
        </w:tc>
        <w:tc>
          <w:tcPr>
            <w:tcW w:w="1134" w:type="dxa"/>
            <w:vAlign w:val="center"/>
          </w:tcPr>
          <w:p w:rsidR="006738C5"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DB5DD6">
              <w:rPr>
                <w:rFonts w:ascii="Arial Narrow" w:eastAsiaTheme="majorEastAsia" w:hAnsi="Arial Narrow" w:cstheme="minorHAnsi"/>
                <w:bCs/>
                <w:sz w:val="20"/>
                <w:szCs w:val="18"/>
                <w:lang w:eastAsia="en-US" w:bidi="en-US"/>
              </w:rPr>
              <w:sym w:font="Symbol" w:char="F02D"/>
            </w:r>
          </w:p>
        </w:tc>
      </w:tr>
      <w:tr w:rsidR="006738C5" w:rsidTr="006738C5">
        <w:tc>
          <w:tcPr>
            <w:tcW w:w="1656" w:type="dxa"/>
            <w:vMerge w:val="restart"/>
          </w:tcPr>
          <w:p w:rsidR="006738C5" w:rsidRPr="0047555C" w:rsidRDefault="006738C5" w:rsidP="001C2619">
            <w:pPr>
              <w:widowControl w:val="0"/>
              <w:ind w:right="-57"/>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 xml:space="preserve">STRIVE subgroup </w:t>
            </w:r>
            <w:r w:rsidRPr="00913303">
              <w:rPr>
                <w:rFonts w:ascii="Arial Narrow" w:eastAsiaTheme="majorEastAsia" w:hAnsi="Arial Narrow" w:cstheme="minorHAnsi"/>
                <w:bCs/>
                <w:sz w:val="20"/>
                <w:szCs w:val="18"/>
                <w:lang w:eastAsia="en-US" w:bidi="en-US"/>
              </w:rPr>
              <w:t>(Bell 2013)</w:t>
            </w:r>
            <w:r w:rsidRPr="0047555C">
              <w:rPr>
                <w:rFonts w:ascii="Arial Narrow" w:eastAsiaTheme="majorEastAsia" w:hAnsi="Arial Narrow" w:cstheme="minorHAnsi"/>
                <w:bCs/>
                <w:sz w:val="20"/>
                <w:szCs w:val="18"/>
                <w:lang w:eastAsia="en-US" w:bidi="en-US"/>
              </w:rPr>
              <w:t xml:space="preserve"> </w:t>
            </w:r>
          </w:p>
        </w:tc>
        <w:tc>
          <w:tcPr>
            <w:tcW w:w="993" w:type="dxa"/>
            <w:vAlign w:val="center"/>
          </w:tcPr>
          <w:p w:rsidR="006738C5" w:rsidRPr="0047555C"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47555C">
              <w:rPr>
                <w:rFonts w:ascii="Arial Narrow" w:eastAsiaTheme="majorEastAsia" w:hAnsi="Arial Narrow" w:cstheme="minorHAnsi"/>
                <w:bCs/>
                <w:sz w:val="20"/>
                <w:szCs w:val="18"/>
                <w:lang w:eastAsia="en-US" w:bidi="en-US"/>
              </w:rPr>
              <w:t>Ivacaftor</w:t>
            </w:r>
          </w:p>
        </w:tc>
        <w:tc>
          <w:tcPr>
            <w:tcW w:w="567" w:type="dxa"/>
            <w:vAlign w:val="center"/>
          </w:tcPr>
          <w:p w:rsidR="006738C5" w:rsidRPr="000507FA" w:rsidRDefault="006738C5" w:rsidP="00D65B04">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5</w:t>
            </w:r>
            <w:r w:rsidRPr="00065965">
              <w:rPr>
                <w:rFonts w:ascii="Arial Narrow" w:hAnsi="Arial Narrow" w:cs="Arial"/>
                <w:snapToGrid w:val="0"/>
                <w:sz w:val="20"/>
                <w:szCs w:val="16"/>
                <w:vertAlign w:val="superscript"/>
                <w:lang w:val="en-US" w:eastAsia="en-US"/>
              </w:rPr>
              <w:t>e</w:t>
            </w:r>
          </w:p>
        </w:tc>
        <w:tc>
          <w:tcPr>
            <w:tcW w:w="1134" w:type="dxa"/>
            <w:vAlign w:val="center"/>
          </w:tcPr>
          <w:p w:rsidR="006738C5" w:rsidRPr="008B3F6F" w:rsidRDefault="006738C5" w:rsidP="001C2619">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61.0 (5.4)</w:t>
            </w:r>
          </w:p>
        </w:tc>
        <w:tc>
          <w:tcPr>
            <w:tcW w:w="1134" w:type="dxa"/>
            <w:vAlign w:val="center"/>
          </w:tcPr>
          <w:p w:rsidR="006738C5" w:rsidRPr="0047555C" w:rsidRDefault="006738C5" w:rsidP="001C2619">
            <w:pPr>
              <w:pStyle w:val="ListParagraph"/>
              <w:widowControl w:val="0"/>
              <w:ind w:left="-57" w:right="-57"/>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NR</w:t>
            </w:r>
          </w:p>
        </w:tc>
        <w:tc>
          <w:tcPr>
            <w:tcW w:w="1134" w:type="dxa"/>
            <w:vAlign w:val="center"/>
          </w:tcPr>
          <w:p w:rsidR="006738C5" w:rsidRPr="0047555C"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1.4 (2.6)</w:t>
            </w:r>
            <w:r w:rsidRPr="00D20ED4">
              <w:rPr>
                <w:rFonts w:ascii="Arial Narrow" w:eastAsiaTheme="majorEastAsia" w:hAnsi="Arial Narrow" w:cstheme="minorHAnsi"/>
                <w:bCs/>
                <w:sz w:val="20"/>
                <w:szCs w:val="18"/>
                <w:vertAlign w:val="superscript"/>
                <w:lang w:eastAsia="en-US" w:bidi="en-US"/>
              </w:rPr>
              <w:t>e</w:t>
            </w:r>
          </w:p>
        </w:tc>
        <w:tc>
          <w:tcPr>
            <w:tcW w:w="851" w:type="dxa"/>
            <w:vAlign w:val="center"/>
          </w:tcPr>
          <w:p w:rsidR="006738C5" w:rsidRPr="0047555C"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NR</w:t>
            </w:r>
          </w:p>
        </w:tc>
        <w:tc>
          <w:tcPr>
            <w:tcW w:w="1134" w:type="dxa"/>
            <w:vMerge w:val="restart"/>
            <w:vAlign w:val="center"/>
          </w:tcPr>
          <w:p w:rsidR="006738C5" w:rsidRDefault="006738C5" w:rsidP="00444D1A">
            <w:pPr>
              <w:pStyle w:val="ListParagraph"/>
              <w:widowControl w:val="0"/>
              <w:ind w:left="0"/>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NS</w:t>
            </w:r>
            <w:r>
              <w:rPr>
                <w:rFonts w:ascii="Arial Narrow" w:eastAsiaTheme="majorEastAsia" w:hAnsi="Arial Narrow" w:cstheme="minorHAnsi"/>
                <w:bCs/>
                <w:sz w:val="20"/>
                <w:szCs w:val="18"/>
                <w:vertAlign w:val="superscript"/>
                <w:lang w:eastAsia="en-US" w:bidi="en-US"/>
              </w:rPr>
              <w:t>f</w:t>
            </w:r>
          </w:p>
        </w:tc>
      </w:tr>
      <w:tr w:rsidR="006738C5" w:rsidTr="006738C5">
        <w:tc>
          <w:tcPr>
            <w:tcW w:w="1656" w:type="dxa"/>
            <w:vMerge/>
          </w:tcPr>
          <w:p w:rsidR="006738C5" w:rsidRPr="00B26749" w:rsidRDefault="006738C5" w:rsidP="001C2619">
            <w:pPr>
              <w:pStyle w:val="ListParagraph"/>
              <w:widowControl w:val="0"/>
              <w:ind w:left="0" w:right="-57"/>
              <w:rPr>
                <w:rFonts w:ascii="Arial Narrow" w:eastAsiaTheme="majorEastAsia" w:hAnsi="Arial Narrow" w:cstheme="minorHAnsi"/>
                <w:bCs/>
                <w:sz w:val="20"/>
                <w:szCs w:val="18"/>
                <w:lang w:eastAsia="en-US" w:bidi="en-US"/>
              </w:rPr>
            </w:pPr>
          </w:p>
        </w:tc>
        <w:tc>
          <w:tcPr>
            <w:tcW w:w="993" w:type="dxa"/>
            <w:vAlign w:val="center"/>
          </w:tcPr>
          <w:p w:rsidR="006738C5" w:rsidRPr="0047555C"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Control</w:t>
            </w:r>
          </w:p>
        </w:tc>
        <w:tc>
          <w:tcPr>
            <w:tcW w:w="567" w:type="dxa"/>
            <w:vAlign w:val="center"/>
          </w:tcPr>
          <w:p w:rsidR="006738C5" w:rsidRPr="000507FA" w:rsidRDefault="006738C5" w:rsidP="00D65B04">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8</w:t>
            </w:r>
          </w:p>
        </w:tc>
        <w:tc>
          <w:tcPr>
            <w:tcW w:w="1134" w:type="dxa"/>
            <w:vAlign w:val="center"/>
          </w:tcPr>
          <w:p w:rsidR="006738C5" w:rsidRPr="008B3F6F" w:rsidRDefault="006738C5" w:rsidP="001C2619">
            <w:pPr>
              <w:widowControl w:val="0"/>
              <w:ind w:left="-57" w:right="-57"/>
              <w:jc w:val="center"/>
              <w:rPr>
                <w:rFonts w:ascii="Arial Narrow" w:hAnsi="Arial Narrow" w:cs="Arial"/>
                <w:snapToGrid w:val="0"/>
                <w:sz w:val="20"/>
                <w:szCs w:val="16"/>
                <w:lang w:val="en-US" w:eastAsia="en-US"/>
              </w:rPr>
            </w:pPr>
            <w:r>
              <w:rPr>
                <w:rFonts w:ascii="Arial Narrow" w:eastAsiaTheme="majorEastAsia" w:hAnsi="Arial Narrow" w:cstheme="minorHAnsi"/>
                <w:bCs/>
                <w:sz w:val="20"/>
                <w:szCs w:val="18"/>
                <w:lang w:eastAsia="en-US" w:bidi="en-US"/>
              </w:rPr>
              <w:t>55.1 (11.6)</w:t>
            </w:r>
          </w:p>
        </w:tc>
        <w:tc>
          <w:tcPr>
            <w:tcW w:w="1134" w:type="dxa"/>
            <w:vAlign w:val="center"/>
          </w:tcPr>
          <w:p w:rsidR="006738C5" w:rsidRPr="0047555C" w:rsidRDefault="006738C5" w:rsidP="001C2619">
            <w:pPr>
              <w:pStyle w:val="ListParagraph"/>
              <w:widowControl w:val="0"/>
              <w:ind w:left="-57" w:right="-57"/>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NR</w:t>
            </w:r>
          </w:p>
        </w:tc>
        <w:tc>
          <w:tcPr>
            <w:tcW w:w="1134" w:type="dxa"/>
            <w:vAlign w:val="center"/>
          </w:tcPr>
          <w:p w:rsidR="006738C5" w:rsidRPr="0047555C"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-0.2 (3.0)</w:t>
            </w:r>
          </w:p>
        </w:tc>
        <w:tc>
          <w:tcPr>
            <w:tcW w:w="851" w:type="dxa"/>
            <w:vAlign w:val="center"/>
          </w:tcPr>
          <w:p w:rsidR="006738C5" w:rsidRPr="0047555C"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NR</w:t>
            </w:r>
          </w:p>
        </w:tc>
        <w:tc>
          <w:tcPr>
            <w:tcW w:w="1134" w:type="dxa"/>
            <w:vMerge/>
            <w:vAlign w:val="center"/>
          </w:tcPr>
          <w:p w:rsidR="006738C5"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p>
        </w:tc>
      </w:tr>
      <w:tr w:rsidR="006738C5" w:rsidTr="006738C5">
        <w:tc>
          <w:tcPr>
            <w:tcW w:w="1656" w:type="dxa"/>
          </w:tcPr>
          <w:p w:rsidR="006738C5" w:rsidRPr="00B26749" w:rsidRDefault="006738C5" w:rsidP="001C2619">
            <w:pPr>
              <w:widowControl w:val="0"/>
              <w:ind w:right="-57"/>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 xml:space="preserve">PERSIST </w:t>
            </w:r>
            <w:r w:rsidRPr="00913303">
              <w:rPr>
                <w:rFonts w:ascii="Arial Narrow" w:eastAsiaTheme="majorEastAsia" w:hAnsi="Arial Narrow" w:cstheme="minorHAnsi"/>
                <w:bCs/>
                <w:sz w:val="20"/>
                <w:szCs w:val="18"/>
                <w:lang w:eastAsia="en-US" w:bidi="en-US"/>
              </w:rPr>
              <w:t>sub</w:t>
            </w:r>
            <w:r>
              <w:rPr>
                <w:rFonts w:ascii="Arial Narrow" w:eastAsiaTheme="majorEastAsia" w:hAnsi="Arial Narrow" w:cstheme="minorHAnsi"/>
                <w:bCs/>
                <w:sz w:val="20"/>
                <w:szCs w:val="18"/>
                <w:lang w:eastAsia="en-US" w:bidi="en-US"/>
              </w:rPr>
              <w:t>group</w:t>
            </w:r>
            <w:r w:rsidRPr="00913303">
              <w:rPr>
                <w:rFonts w:ascii="Arial Narrow" w:eastAsiaTheme="majorEastAsia" w:hAnsi="Arial Narrow" w:cstheme="minorHAnsi"/>
                <w:bCs/>
                <w:sz w:val="20"/>
                <w:szCs w:val="18"/>
                <w:lang w:eastAsia="en-US" w:bidi="en-US"/>
              </w:rPr>
              <w:t xml:space="preserve"> (Bell 2013)</w:t>
            </w:r>
            <w:r w:rsidRPr="00B26749">
              <w:rPr>
                <w:rFonts w:ascii="Arial Narrow" w:eastAsiaTheme="majorEastAsia" w:hAnsi="Arial Narrow" w:cstheme="minorHAnsi"/>
                <w:bCs/>
                <w:sz w:val="20"/>
                <w:szCs w:val="18"/>
                <w:lang w:eastAsia="en-US" w:bidi="en-US"/>
              </w:rPr>
              <w:t xml:space="preserve"> </w:t>
            </w:r>
          </w:p>
        </w:tc>
        <w:tc>
          <w:tcPr>
            <w:tcW w:w="993" w:type="dxa"/>
            <w:vAlign w:val="center"/>
          </w:tcPr>
          <w:p w:rsidR="006738C5" w:rsidRPr="0047555C"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sidRPr="0047555C">
              <w:rPr>
                <w:rFonts w:ascii="Arial Narrow" w:eastAsiaTheme="majorEastAsia" w:hAnsi="Arial Narrow" w:cstheme="minorHAnsi"/>
                <w:bCs/>
                <w:sz w:val="20"/>
                <w:szCs w:val="18"/>
                <w:lang w:eastAsia="en-US" w:bidi="en-US"/>
              </w:rPr>
              <w:t>Ivacaftor</w:t>
            </w:r>
          </w:p>
        </w:tc>
        <w:tc>
          <w:tcPr>
            <w:tcW w:w="567" w:type="dxa"/>
            <w:vAlign w:val="center"/>
          </w:tcPr>
          <w:p w:rsidR="006738C5" w:rsidRPr="000507FA" w:rsidRDefault="006738C5" w:rsidP="00D65B04">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8</w:t>
            </w:r>
            <w:r w:rsidRPr="00065965">
              <w:rPr>
                <w:rFonts w:ascii="Arial Narrow" w:hAnsi="Arial Narrow" w:cs="Arial"/>
                <w:snapToGrid w:val="0"/>
                <w:sz w:val="20"/>
                <w:szCs w:val="16"/>
                <w:vertAlign w:val="superscript"/>
                <w:lang w:val="en-US" w:eastAsia="en-US"/>
              </w:rPr>
              <w:t>g</w:t>
            </w:r>
          </w:p>
        </w:tc>
        <w:tc>
          <w:tcPr>
            <w:tcW w:w="1134" w:type="dxa"/>
            <w:vAlign w:val="center"/>
          </w:tcPr>
          <w:p w:rsidR="006738C5" w:rsidRPr="008B3F6F" w:rsidRDefault="006738C5" w:rsidP="001C2619">
            <w:pPr>
              <w:widowControl w:val="0"/>
              <w:ind w:left="-57" w:right="-57"/>
              <w:jc w:val="center"/>
              <w:rPr>
                <w:rFonts w:ascii="Arial Narrow" w:hAnsi="Arial Narrow" w:cs="Arial"/>
                <w:snapToGrid w:val="0"/>
                <w:sz w:val="20"/>
                <w:szCs w:val="16"/>
                <w:lang w:val="en-US" w:eastAsia="en-US"/>
              </w:rPr>
            </w:pPr>
            <w:r>
              <w:rPr>
                <w:rFonts w:ascii="Arial Narrow" w:hAnsi="Arial Narrow" w:cs="Arial"/>
                <w:snapToGrid w:val="0"/>
                <w:sz w:val="20"/>
                <w:szCs w:val="16"/>
                <w:lang w:val="en-US" w:eastAsia="en-US"/>
              </w:rPr>
              <w:t>63.4 (23.0)</w:t>
            </w:r>
          </w:p>
        </w:tc>
        <w:tc>
          <w:tcPr>
            <w:tcW w:w="1134" w:type="dxa"/>
            <w:vAlign w:val="center"/>
          </w:tcPr>
          <w:p w:rsidR="006738C5" w:rsidRPr="0047555C" w:rsidRDefault="006738C5" w:rsidP="001C2619">
            <w:pPr>
              <w:pStyle w:val="ListParagraph"/>
              <w:widowControl w:val="0"/>
              <w:ind w:left="-57" w:right="-57"/>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NR</w:t>
            </w:r>
          </w:p>
        </w:tc>
        <w:tc>
          <w:tcPr>
            <w:tcW w:w="1134" w:type="dxa"/>
            <w:vAlign w:val="center"/>
          </w:tcPr>
          <w:p w:rsidR="006738C5" w:rsidRPr="0047555C"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3.5 (4.2)</w:t>
            </w:r>
            <w:r w:rsidRPr="00D20ED4">
              <w:rPr>
                <w:rFonts w:ascii="Arial Narrow" w:eastAsiaTheme="majorEastAsia" w:hAnsi="Arial Narrow" w:cstheme="minorHAnsi"/>
                <w:bCs/>
                <w:sz w:val="20"/>
                <w:szCs w:val="18"/>
                <w:vertAlign w:val="superscript"/>
                <w:lang w:eastAsia="en-US" w:bidi="en-US"/>
              </w:rPr>
              <w:t>g</w:t>
            </w:r>
          </w:p>
        </w:tc>
        <w:tc>
          <w:tcPr>
            <w:tcW w:w="851" w:type="dxa"/>
            <w:vAlign w:val="center"/>
          </w:tcPr>
          <w:p w:rsidR="006738C5" w:rsidRPr="0047555C"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t>NR</w:t>
            </w:r>
          </w:p>
        </w:tc>
        <w:tc>
          <w:tcPr>
            <w:tcW w:w="1134" w:type="dxa"/>
            <w:vAlign w:val="center"/>
          </w:tcPr>
          <w:p w:rsidR="006738C5" w:rsidRDefault="006738C5" w:rsidP="001C2619">
            <w:pPr>
              <w:pStyle w:val="ListParagraph"/>
              <w:widowControl w:val="0"/>
              <w:ind w:left="0"/>
              <w:jc w:val="center"/>
              <w:rPr>
                <w:rFonts w:ascii="Arial Narrow" w:eastAsiaTheme="majorEastAsia" w:hAnsi="Arial Narrow" w:cstheme="minorHAnsi"/>
                <w:bCs/>
                <w:sz w:val="20"/>
                <w:szCs w:val="18"/>
                <w:lang w:eastAsia="en-US" w:bidi="en-US"/>
              </w:rPr>
            </w:pPr>
            <w:r>
              <w:rPr>
                <w:rFonts w:ascii="Arial Narrow" w:eastAsiaTheme="majorEastAsia" w:hAnsi="Arial Narrow" w:cstheme="minorHAnsi"/>
                <w:bCs/>
                <w:sz w:val="20"/>
                <w:szCs w:val="18"/>
                <w:lang w:eastAsia="en-US" w:bidi="en-US"/>
              </w:rPr>
              <w:sym w:font="Symbol" w:char="F02D"/>
            </w:r>
          </w:p>
        </w:tc>
      </w:tr>
    </w:tbl>
    <w:p w:rsidR="00B63660" w:rsidRPr="00E55A4F" w:rsidRDefault="009B64CA" w:rsidP="00B63660">
      <w:pPr>
        <w:pStyle w:val="tablenotes"/>
        <w:widowControl w:val="0"/>
        <w:rPr>
          <w:rFonts w:eastAsiaTheme="majorEastAsia"/>
          <w:lang w:bidi="en-US"/>
        </w:rPr>
      </w:pPr>
      <w:r>
        <w:t>CAP</w:t>
      </w:r>
      <w:r w:rsidRPr="00913303">
        <w:t xml:space="preserve"> = Compassionate Access Program</w:t>
      </w:r>
      <w:r>
        <w:t xml:space="preserve">; </w:t>
      </w:r>
      <w:r w:rsidR="00B63660">
        <w:rPr>
          <w:rFonts w:eastAsiaTheme="majorEastAsia"/>
          <w:lang w:bidi="en-US"/>
        </w:rPr>
        <w:t>NR = not reported; NS = non-significant</w:t>
      </w:r>
      <w:r>
        <w:rPr>
          <w:rFonts w:eastAsiaTheme="majorEastAsia"/>
          <w:lang w:bidi="en-US"/>
        </w:rPr>
        <w:t>; SD = standard deviation</w:t>
      </w:r>
    </w:p>
    <w:p w:rsidR="00B63660" w:rsidRPr="00B66429" w:rsidRDefault="00B63660" w:rsidP="00B63660">
      <w:pPr>
        <w:pStyle w:val="tablenotes"/>
        <w:widowControl w:val="0"/>
        <w:rPr>
          <w:rFonts w:eastAsiaTheme="majorEastAsia"/>
          <w:i/>
          <w:lang w:bidi="en-US"/>
        </w:rPr>
      </w:pPr>
      <w:r w:rsidRPr="00B66429">
        <w:rPr>
          <w:rFonts w:eastAsiaTheme="majorEastAsia"/>
          <w:i/>
          <w:vertAlign w:val="superscript"/>
          <w:lang w:bidi="en-US"/>
        </w:rPr>
        <w:t>a</w:t>
      </w:r>
      <w:r w:rsidRPr="00B66429">
        <w:rPr>
          <w:rFonts w:eastAsiaTheme="majorEastAsia"/>
          <w:i/>
          <w:lang w:bidi="en-US"/>
        </w:rPr>
        <w:t xml:space="preserve"> Data on </w:t>
      </w:r>
      <w:r w:rsidR="00062F08" w:rsidRPr="00B66429">
        <w:rPr>
          <w:rFonts w:eastAsiaTheme="majorEastAsia"/>
          <w:i/>
          <w:lang w:bidi="en-US"/>
        </w:rPr>
        <w:t xml:space="preserve">body weight </w:t>
      </w:r>
      <w:r w:rsidRPr="00B66429">
        <w:rPr>
          <w:rFonts w:eastAsiaTheme="majorEastAsia"/>
          <w:i/>
          <w:lang w:bidi="en-US"/>
        </w:rPr>
        <w:t>at baseline and post-treatment were obtained from published papers, conference abstracts</w:t>
      </w:r>
      <w:r w:rsidR="003E1DDC" w:rsidRPr="00B66429">
        <w:rPr>
          <w:rFonts w:eastAsiaTheme="majorEastAsia"/>
          <w:i/>
          <w:lang w:bidi="en-US"/>
        </w:rPr>
        <w:t xml:space="preserve"> or </w:t>
      </w:r>
      <w:r w:rsidRPr="00B66429">
        <w:rPr>
          <w:rFonts w:eastAsiaTheme="majorEastAsia"/>
          <w:i/>
          <w:lang w:bidi="en-US"/>
        </w:rPr>
        <w:t>study report</w:t>
      </w:r>
      <w:r w:rsidR="00B66429">
        <w:rPr>
          <w:rFonts w:eastAsiaTheme="majorEastAsia"/>
          <w:i/>
          <w:lang w:bidi="en-US"/>
        </w:rPr>
        <w:t xml:space="preserve"> on the included studies</w:t>
      </w:r>
      <w:r w:rsidRPr="00B66429">
        <w:rPr>
          <w:rFonts w:eastAsiaTheme="majorEastAsia"/>
          <w:i/>
          <w:lang w:bidi="en-US"/>
        </w:rPr>
        <w:t xml:space="preserve">. </w:t>
      </w:r>
    </w:p>
    <w:p w:rsidR="00B63660" w:rsidRDefault="00B63660" w:rsidP="00B63660">
      <w:pPr>
        <w:pStyle w:val="tablenotes"/>
        <w:widowControl w:val="0"/>
        <w:rPr>
          <w:rFonts w:eastAsiaTheme="majorEastAsia"/>
          <w:lang w:bidi="en-US"/>
        </w:rPr>
      </w:pPr>
      <w:r w:rsidRPr="00AB7B7F">
        <w:rPr>
          <w:rFonts w:eastAsiaTheme="majorEastAsia"/>
          <w:vertAlign w:val="superscript"/>
          <w:lang w:bidi="en-US"/>
        </w:rPr>
        <w:t xml:space="preserve">b </w:t>
      </w:r>
      <w:r>
        <w:rPr>
          <w:rFonts w:eastAsiaTheme="majorEastAsia"/>
          <w:lang w:bidi="en-US"/>
        </w:rPr>
        <w:t>Results were presented as median (interquartile range)</w:t>
      </w:r>
    </w:p>
    <w:p w:rsidR="003E1DDC" w:rsidRDefault="00593587" w:rsidP="00593587">
      <w:pPr>
        <w:pStyle w:val="tablenotes"/>
        <w:widowControl w:val="0"/>
        <w:rPr>
          <w:rFonts w:eastAsiaTheme="majorEastAsia"/>
          <w:lang w:bidi="en-US"/>
        </w:rPr>
      </w:pPr>
      <w:r>
        <w:rPr>
          <w:rFonts w:eastAsiaTheme="majorEastAsia"/>
          <w:vertAlign w:val="superscript"/>
          <w:lang w:bidi="en-US"/>
        </w:rPr>
        <w:t>c</w:t>
      </w:r>
      <w:r>
        <w:rPr>
          <w:rFonts w:eastAsiaTheme="majorEastAsia"/>
          <w:lang w:bidi="en-US"/>
        </w:rPr>
        <w:t xml:space="preserve"> </w:t>
      </w:r>
      <w:r w:rsidR="003E1DDC">
        <w:rPr>
          <w:rFonts w:eastAsiaTheme="majorEastAsia"/>
          <w:lang w:bidi="en-US"/>
        </w:rPr>
        <w:t>Three (out of 8) patients were excluded from analysis due to lack of Week 12 data.</w:t>
      </w:r>
    </w:p>
    <w:p w:rsidR="00D20ED4" w:rsidRDefault="00D20ED4" w:rsidP="00593587">
      <w:pPr>
        <w:pStyle w:val="tablenotes"/>
        <w:widowControl w:val="0"/>
        <w:rPr>
          <w:rFonts w:eastAsiaTheme="majorEastAsia"/>
          <w:lang w:bidi="en-US"/>
        </w:rPr>
      </w:pPr>
      <w:r w:rsidRPr="00D20ED4">
        <w:rPr>
          <w:rFonts w:eastAsiaTheme="majorEastAsia"/>
          <w:vertAlign w:val="superscript"/>
          <w:lang w:bidi="en-US"/>
        </w:rPr>
        <w:t>d</w:t>
      </w:r>
      <w:r>
        <w:rPr>
          <w:rFonts w:eastAsiaTheme="majorEastAsia"/>
          <w:lang w:bidi="en-US"/>
        </w:rPr>
        <w:t xml:space="preserve"> Change in body weight at Week 24 were reported in 25 (out of 44) patients</w:t>
      </w:r>
    </w:p>
    <w:p w:rsidR="00D20ED4" w:rsidRPr="00355DD8" w:rsidRDefault="00D20ED4" w:rsidP="00D20ED4">
      <w:pPr>
        <w:pStyle w:val="tablenotes"/>
        <w:widowControl w:val="0"/>
        <w:rPr>
          <w:rFonts w:eastAsiaTheme="majorEastAsia"/>
          <w:lang w:bidi="en-US"/>
        </w:rPr>
      </w:pPr>
      <w:r w:rsidRPr="00D11875">
        <w:rPr>
          <w:rFonts w:eastAsiaTheme="majorEastAsia"/>
          <w:vertAlign w:val="superscript"/>
          <w:lang w:bidi="en-US"/>
        </w:rPr>
        <w:t>e</w:t>
      </w:r>
      <w:r>
        <w:rPr>
          <w:rFonts w:eastAsiaTheme="majorEastAsia"/>
          <w:lang w:bidi="en-US"/>
        </w:rPr>
        <w:t xml:space="preserve"> One (out of 5) patient </w:t>
      </w:r>
      <w:r w:rsidRPr="00F021F1">
        <w:rPr>
          <w:rFonts w:eastAsiaTheme="majorEastAsia"/>
          <w:lang w:bidi="en-US"/>
        </w:rPr>
        <w:t>discontinued or had data unavailable</w:t>
      </w:r>
      <w:r>
        <w:rPr>
          <w:rFonts w:eastAsiaTheme="majorEastAsia"/>
          <w:lang w:bidi="en-US"/>
        </w:rPr>
        <w:t xml:space="preserve"> and </w:t>
      </w:r>
      <w:r w:rsidR="0021657F">
        <w:rPr>
          <w:rFonts w:eastAsiaTheme="majorEastAsia"/>
          <w:lang w:bidi="en-US"/>
        </w:rPr>
        <w:t xml:space="preserve">was </w:t>
      </w:r>
      <w:r>
        <w:rPr>
          <w:rFonts w:eastAsiaTheme="majorEastAsia"/>
          <w:lang w:bidi="en-US"/>
        </w:rPr>
        <w:t xml:space="preserve">not included </w:t>
      </w:r>
      <w:r w:rsidR="0021657F">
        <w:rPr>
          <w:rFonts w:eastAsiaTheme="majorEastAsia"/>
          <w:lang w:bidi="en-US"/>
        </w:rPr>
        <w:t>in the analysis</w:t>
      </w:r>
    </w:p>
    <w:p w:rsidR="00D20ED4" w:rsidRDefault="00D20ED4" w:rsidP="00D20ED4">
      <w:pPr>
        <w:pStyle w:val="tablenotes"/>
        <w:widowControl w:val="0"/>
        <w:rPr>
          <w:rFonts w:eastAsiaTheme="majorEastAsia"/>
          <w:lang w:bidi="en-US"/>
        </w:rPr>
      </w:pPr>
      <w:r w:rsidRPr="000507FA">
        <w:rPr>
          <w:rFonts w:eastAsiaTheme="majorEastAsia"/>
          <w:vertAlign w:val="superscript"/>
          <w:lang w:bidi="en-US"/>
        </w:rPr>
        <w:t>f</w:t>
      </w:r>
      <w:r>
        <w:rPr>
          <w:rFonts w:eastAsiaTheme="majorEastAsia"/>
          <w:lang w:bidi="en-US"/>
        </w:rPr>
        <w:t xml:space="preserve"> Using unpaired </w:t>
      </w:r>
      <w:r>
        <w:rPr>
          <w:rFonts w:eastAsiaTheme="majorEastAsia"/>
          <w:i/>
          <w:lang w:bidi="en-US"/>
        </w:rPr>
        <w:t xml:space="preserve">t </w:t>
      </w:r>
      <w:r>
        <w:rPr>
          <w:rFonts w:eastAsiaTheme="majorEastAsia"/>
          <w:lang w:bidi="en-US"/>
        </w:rPr>
        <w:t>test.</w:t>
      </w:r>
    </w:p>
    <w:p w:rsidR="00D20ED4" w:rsidRPr="00593587" w:rsidRDefault="00D20ED4" w:rsidP="00D20ED4">
      <w:pPr>
        <w:pStyle w:val="tablenotes"/>
        <w:widowControl w:val="0"/>
        <w:rPr>
          <w:rFonts w:eastAsiaTheme="majorEastAsia"/>
          <w:lang w:bidi="en-US"/>
        </w:rPr>
      </w:pPr>
      <w:r>
        <w:rPr>
          <w:rFonts w:eastAsiaTheme="majorEastAsia"/>
          <w:vertAlign w:val="superscript"/>
          <w:lang w:bidi="en-US"/>
        </w:rPr>
        <w:t>g</w:t>
      </w:r>
      <w:r>
        <w:rPr>
          <w:rFonts w:eastAsiaTheme="majorEastAsia"/>
          <w:lang w:bidi="en-US"/>
        </w:rPr>
        <w:t xml:space="preserve"> Six (out of 8) patients </w:t>
      </w:r>
      <w:r w:rsidRPr="00F021F1">
        <w:rPr>
          <w:rFonts w:eastAsiaTheme="majorEastAsia"/>
          <w:lang w:bidi="en-US"/>
        </w:rPr>
        <w:t>discontinued or had data unavailable</w:t>
      </w:r>
      <w:r>
        <w:rPr>
          <w:rFonts w:eastAsiaTheme="majorEastAsia"/>
          <w:lang w:bidi="en-US"/>
        </w:rPr>
        <w:t xml:space="preserve"> and were not included </w:t>
      </w:r>
      <w:r w:rsidR="0021657F">
        <w:rPr>
          <w:rFonts w:eastAsiaTheme="majorEastAsia"/>
          <w:lang w:bidi="en-US"/>
        </w:rPr>
        <w:t>in the analysis</w:t>
      </w:r>
    </w:p>
    <w:p w:rsidR="00B63660" w:rsidRDefault="00B63660" w:rsidP="00B63660">
      <w:pPr>
        <w:pStyle w:val="tablenotes"/>
        <w:widowControl w:val="0"/>
        <w:rPr>
          <w:rFonts w:eastAsiaTheme="majorEastAsia"/>
          <w:lang w:bidi="en-US"/>
        </w:rPr>
      </w:pPr>
      <w:r>
        <w:rPr>
          <w:rFonts w:eastAsiaTheme="majorEastAsia"/>
          <w:lang w:bidi="en-US"/>
        </w:rPr>
        <w:t>Source: Table 5, p15 of the minor submission</w:t>
      </w:r>
    </w:p>
    <w:p w:rsidR="003F349A" w:rsidRDefault="003F349A" w:rsidP="000D5601">
      <w:pPr>
        <w:pStyle w:val="ListParagraph"/>
        <w:jc w:val="both"/>
        <w:rPr>
          <w:rFonts w:ascii="Arial" w:hAnsi="Arial"/>
          <w:sz w:val="22"/>
          <w:szCs w:val="22"/>
          <w:lang w:val="en-US"/>
        </w:rPr>
      </w:pPr>
    </w:p>
    <w:p w:rsidR="00593587" w:rsidRDefault="00593587" w:rsidP="0017745D">
      <w:pPr>
        <w:pStyle w:val="ListParagraph"/>
        <w:numPr>
          <w:ilvl w:val="1"/>
          <w:numId w:val="1"/>
        </w:numPr>
        <w:jc w:val="both"/>
        <w:rPr>
          <w:rFonts w:ascii="Arial" w:hAnsi="Arial"/>
          <w:sz w:val="22"/>
          <w:szCs w:val="22"/>
        </w:rPr>
      </w:pPr>
      <w:r w:rsidRPr="0017745D">
        <w:rPr>
          <w:rFonts w:ascii="Arial" w:hAnsi="Arial"/>
          <w:sz w:val="22"/>
          <w:szCs w:val="22"/>
        </w:rPr>
        <w:t xml:space="preserve">During follow-up periods of </w:t>
      </w:r>
      <w:r w:rsidR="00DB5DD6" w:rsidRPr="0017745D">
        <w:rPr>
          <w:rFonts w:ascii="Arial" w:hAnsi="Arial"/>
          <w:sz w:val="22"/>
          <w:szCs w:val="22"/>
        </w:rPr>
        <w:t>3</w:t>
      </w:r>
      <w:r w:rsidR="005C2E2E" w:rsidRPr="0017745D">
        <w:rPr>
          <w:rFonts w:ascii="Arial" w:hAnsi="Arial"/>
          <w:sz w:val="22"/>
          <w:szCs w:val="22"/>
        </w:rPr>
        <w:t xml:space="preserve"> </w:t>
      </w:r>
      <w:r w:rsidR="000962FB" w:rsidRPr="0017745D">
        <w:rPr>
          <w:rFonts w:ascii="Arial" w:hAnsi="Arial"/>
          <w:sz w:val="22"/>
          <w:szCs w:val="22"/>
        </w:rPr>
        <w:t>to 11</w:t>
      </w:r>
      <w:r w:rsidRPr="0017745D">
        <w:rPr>
          <w:rFonts w:ascii="Arial" w:hAnsi="Arial"/>
          <w:sz w:val="22"/>
          <w:szCs w:val="22"/>
        </w:rPr>
        <w:t xml:space="preserve"> months, </w:t>
      </w:r>
      <w:r w:rsidR="005C2E2E" w:rsidRPr="0017745D">
        <w:rPr>
          <w:rFonts w:ascii="Arial" w:hAnsi="Arial"/>
          <w:sz w:val="22"/>
          <w:szCs w:val="22"/>
        </w:rPr>
        <w:t xml:space="preserve">the mean body weight of patients </w:t>
      </w:r>
      <w:r w:rsidR="00911859" w:rsidRPr="0017745D">
        <w:rPr>
          <w:rFonts w:ascii="Arial" w:hAnsi="Arial"/>
          <w:sz w:val="22"/>
          <w:szCs w:val="22"/>
        </w:rPr>
        <w:t xml:space="preserve">who </w:t>
      </w:r>
      <w:r w:rsidR="005C2E2E" w:rsidRPr="0017745D">
        <w:rPr>
          <w:rFonts w:ascii="Arial" w:hAnsi="Arial"/>
          <w:sz w:val="22"/>
          <w:szCs w:val="22"/>
        </w:rPr>
        <w:t>receiv</w:t>
      </w:r>
      <w:r w:rsidR="00911859" w:rsidRPr="0017745D">
        <w:rPr>
          <w:rFonts w:ascii="Arial" w:hAnsi="Arial"/>
          <w:sz w:val="22"/>
          <w:szCs w:val="22"/>
        </w:rPr>
        <w:t>ed</w:t>
      </w:r>
      <w:r w:rsidR="005C2E2E" w:rsidRPr="0017745D">
        <w:rPr>
          <w:rFonts w:ascii="Arial" w:hAnsi="Arial"/>
          <w:sz w:val="22"/>
          <w:szCs w:val="22"/>
        </w:rPr>
        <w:t xml:space="preserve"> ivacaftor </w:t>
      </w:r>
      <w:r w:rsidR="00DB5DD6" w:rsidRPr="0017745D">
        <w:rPr>
          <w:rFonts w:ascii="Arial" w:hAnsi="Arial"/>
          <w:sz w:val="22"/>
          <w:szCs w:val="22"/>
        </w:rPr>
        <w:t>to treat</w:t>
      </w:r>
      <w:r w:rsidR="00911859" w:rsidRPr="0017745D">
        <w:rPr>
          <w:rFonts w:ascii="Arial" w:hAnsi="Arial"/>
          <w:sz w:val="22"/>
          <w:szCs w:val="22"/>
        </w:rPr>
        <w:t xml:space="preserve"> severe CF </w:t>
      </w:r>
      <w:r w:rsidR="005C2E2E" w:rsidRPr="0017745D">
        <w:rPr>
          <w:rFonts w:ascii="Arial" w:hAnsi="Arial"/>
          <w:sz w:val="22"/>
          <w:szCs w:val="22"/>
        </w:rPr>
        <w:t>increase</w:t>
      </w:r>
      <w:r w:rsidR="00911859" w:rsidRPr="0017745D">
        <w:rPr>
          <w:rFonts w:ascii="Arial" w:hAnsi="Arial"/>
          <w:sz w:val="22"/>
          <w:szCs w:val="22"/>
        </w:rPr>
        <w:t>d</w:t>
      </w:r>
      <w:r w:rsidR="005C2E2E" w:rsidRPr="0017745D">
        <w:rPr>
          <w:rFonts w:ascii="Arial" w:hAnsi="Arial"/>
          <w:sz w:val="22"/>
          <w:szCs w:val="22"/>
        </w:rPr>
        <w:t xml:space="preserve"> by 1.4kg to 3.5kg across studies</w:t>
      </w:r>
      <w:r w:rsidR="0017745D" w:rsidRPr="0017745D">
        <w:rPr>
          <w:rFonts w:ascii="Arial" w:hAnsi="Arial"/>
          <w:sz w:val="22"/>
          <w:szCs w:val="22"/>
        </w:rPr>
        <w:t xml:space="preserve">, </w:t>
      </w:r>
      <w:r w:rsidR="0017745D" w:rsidRPr="002C713F">
        <w:rPr>
          <w:rFonts w:ascii="Arial" w:hAnsi="Arial"/>
          <w:sz w:val="22"/>
          <w:szCs w:val="22"/>
        </w:rPr>
        <w:t>comparable to the results from key trials relating to patients with less severe disease</w:t>
      </w:r>
      <w:r w:rsidR="008A776F" w:rsidRPr="002C713F">
        <w:rPr>
          <w:rFonts w:ascii="Arial" w:hAnsi="Arial"/>
          <w:sz w:val="22"/>
          <w:szCs w:val="22"/>
        </w:rPr>
        <w:t xml:space="preserve"> </w:t>
      </w:r>
      <w:r w:rsidR="00EB2C63" w:rsidRPr="002C713F">
        <w:rPr>
          <w:rFonts w:ascii="Arial" w:hAnsi="Arial"/>
          <w:sz w:val="22"/>
          <w:szCs w:val="22"/>
        </w:rPr>
        <w:t xml:space="preserve">– </w:t>
      </w:r>
      <w:r w:rsidR="0017745D" w:rsidRPr="002C713F">
        <w:rPr>
          <w:rFonts w:ascii="Arial" w:hAnsi="Arial"/>
          <w:sz w:val="22"/>
          <w:szCs w:val="22"/>
        </w:rPr>
        <w:t>change at Week 48 in STRIVE and ENVISION: 2.7-2.8kg; Ivacaftor PSD, November 2014</w:t>
      </w:r>
      <w:r w:rsidR="00D77B6F" w:rsidRPr="002C713F">
        <w:rPr>
          <w:rFonts w:ascii="Arial" w:hAnsi="Arial"/>
          <w:sz w:val="22"/>
          <w:szCs w:val="22"/>
        </w:rPr>
        <w:t>)</w:t>
      </w:r>
      <w:r w:rsidR="005C2E2E" w:rsidRPr="002C713F">
        <w:rPr>
          <w:rFonts w:ascii="Arial" w:hAnsi="Arial"/>
          <w:sz w:val="22"/>
          <w:szCs w:val="22"/>
        </w:rPr>
        <w:t>.</w:t>
      </w:r>
      <w:r w:rsidR="005C2E2E" w:rsidRPr="0017745D">
        <w:rPr>
          <w:rFonts w:ascii="Arial" w:hAnsi="Arial"/>
          <w:sz w:val="22"/>
          <w:szCs w:val="22"/>
        </w:rPr>
        <w:t xml:space="preserve"> A statistically significantly greater weight gain in </w:t>
      </w:r>
      <w:r w:rsidR="00DB5DD6" w:rsidRPr="0017745D">
        <w:rPr>
          <w:rFonts w:ascii="Arial" w:hAnsi="Arial"/>
          <w:sz w:val="22"/>
          <w:szCs w:val="22"/>
        </w:rPr>
        <w:t>patients receiving ivacaftor</w:t>
      </w:r>
      <w:r w:rsidR="005C2E2E" w:rsidRPr="0017745D">
        <w:rPr>
          <w:rFonts w:ascii="Arial" w:hAnsi="Arial"/>
          <w:sz w:val="22"/>
          <w:szCs w:val="22"/>
        </w:rPr>
        <w:t xml:space="preserve"> than in the controls </w:t>
      </w:r>
      <w:r w:rsidR="0021657F" w:rsidRPr="0017745D">
        <w:rPr>
          <w:rFonts w:ascii="Arial" w:hAnsi="Arial"/>
          <w:sz w:val="22"/>
          <w:szCs w:val="22"/>
        </w:rPr>
        <w:t>w</w:t>
      </w:r>
      <w:r w:rsidR="0021657F">
        <w:rPr>
          <w:rFonts w:ascii="Arial" w:hAnsi="Arial"/>
          <w:sz w:val="22"/>
          <w:szCs w:val="22"/>
        </w:rPr>
        <w:t>as</w:t>
      </w:r>
      <w:r w:rsidR="0021657F" w:rsidRPr="0017745D">
        <w:rPr>
          <w:rFonts w:ascii="Arial" w:hAnsi="Arial"/>
          <w:sz w:val="22"/>
          <w:szCs w:val="22"/>
        </w:rPr>
        <w:t xml:space="preserve"> </w:t>
      </w:r>
      <w:r w:rsidR="005C2E2E" w:rsidRPr="0017745D">
        <w:rPr>
          <w:rFonts w:ascii="Arial" w:hAnsi="Arial"/>
          <w:sz w:val="22"/>
          <w:szCs w:val="22"/>
        </w:rPr>
        <w:t xml:space="preserve">reported by the CAP in Australia (p=0.02). </w:t>
      </w:r>
    </w:p>
    <w:p w:rsidR="005C2E2E" w:rsidRDefault="005C2E2E" w:rsidP="005C2E2E">
      <w:pPr>
        <w:pStyle w:val="ListParagraph"/>
        <w:jc w:val="both"/>
        <w:rPr>
          <w:rFonts w:ascii="Arial" w:hAnsi="Arial"/>
          <w:sz w:val="22"/>
          <w:szCs w:val="22"/>
        </w:rPr>
      </w:pPr>
    </w:p>
    <w:p w:rsidR="007E7238" w:rsidRPr="007E7238" w:rsidRDefault="006271E8" w:rsidP="007E7238">
      <w:pPr>
        <w:pStyle w:val="ListParagraph"/>
        <w:numPr>
          <w:ilvl w:val="1"/>
          <w:numId w:val="1"/>
        </w:numPr>
        <w:jc w:val="both"/>
        <w:rPr>
          <w:rFonts w:ascii="Arial" w:hAnsi="Arial"/>
          <w:sz w:val="22"/>
          <w:szCs w:val="22"/>
        </w:rPr>
      </w:pPr>
      <w:r w:rsidRPr="007E7238">
        <w:rPr>
          <w:rFonts w:ascii="Arial" w:hAnsi="Arial"/>
          <w:sz w:val="22"/>
          <w:szCs w:val="22"/>
        </w:rPr>
        <w:t xml:space="preserve">Data from </w:t>
      </w:r>
      <w:r w:rsidR="0017745D">
        <w:rPr>
          <w:rFonts w:ascii="Arial" w:hAnsi="Arial"/>
          <w:sz w:val="22"/>
          <w:szCs w:val="22"/>
        </w:rPr>
        <w:t xml:space="preserve">the </w:t>
      </w:r>
      <w:r w:rsidR="0017745D" w:rsidRPr="007E7238">
        <w:rPr>
          <w:rFonts w:ascii="Arial" w:hAnsi="Arial"/>
          <w:sz w:val="22"/>
          <w:szCs w:val="22"/>
        </w:rPr>
        <w:t>Australia</w:t>
      </w:r>
      <w:r w:rsidR="0017745D">
        <w:rPr>
          <w:rFonts w:ascii="Arial" w:hAnsi="Arial"/>
          <w:sz w:val="22"/>
          <w:szCs w:val="22"/>
        </w:rPr>
        <w:t>n</w:t>
      </w:r>
      <w:r w:rsidR="0017745D" w:rsidRPr="007E7238">
        <w:rPr>
          <w:rFonts w:ascii="Arial" w:hAnsi="Arial"/>
          <w:sz w:val="22"/>
          <w:szCs w:val="22"/>
        </w:rPr>
        <w:t xml:space="preserve"> and UK/Ireland </w:t>
      </w:r>
      <w:r w:rsidRPr="007E7238">
        <w:rPr>
          <w:rFonts w:ascii="Arial" w:hAnsi="Arial"/>
          <w:sz w:val="22"/>
          <w:szCs w:val="22"/>
        </w:rPr>
        <w:t>CAP</w:t>
      </w:r>
      <w:r w:rsidR="0017745D">
        <w:rPr>
          <w:rFonts w:ascii="Arial" w:hAnsi="Arial"/>
          <w:sz w:val="22"/>
          <w:szCs w:val="22"/>
        </w:rPr>
        <w:t>s</w:t>
      </w:r>
      <w:r w:rsidRPr="007E7238">
        <w:rPr>
          <w:rFonts w:ascii="Arial" w:hAnsi="Arial"/>
          <w:sz w:val="22"/>
          <w:szCs w:val="22"/>
        </w:rPr>
        <w:t xml:space="preserve"> </w:t>
      </w:r>
      <w:r w:rsidR="00FF53D2" w:rsidRPr="007E7238">
        <w:rPr>
          <w:rFonts w:ascii="Arial" w:hAnsi="Arial"/>
          <w:sz w:val="22"/>
          <w:szCs w:val="22"/>
        </w:rPr>
        <w:t>showed that</w:t>
      </w:r>
      <w:r w:rsidR="00911859" w:rsidRPr="007E7238">
        <w:rPr>
          <w:rFonts w:ascii="Arial" w:hAnsi="Arial"/>
          <w:sz w:val="22"/>
          <w:szCs w:val="22"/>
        </w:rPr>
        <w:t xml:space="preserve"> </w:t>
      </w:r>
      <w:r w:rsidR="00FF53D2" w:rsidRPr="007E7238">
        <w:rPr>
          <w:rFonts w:ascii="Arial" w:hAnsi="Arial"/>
          <w:sz w:val="22"/>
          <w:szCs w:val="22"/>
        </w:rPr>
        <w:t>i</w:t>
      </w:r>
      <w:r w:rsidRPr="007E7238">
        <w:rPr>
          <w:rFonts w:ascii="Arial" w:hAnsi="Arial"/>
          <w:sz w:val="22"/>
          <w:szCs w:val="22"/>
        </w:rPr>
        <w:t xml:space="preserve">vacaftor was associated with </w:t>
      </w:r>
      <w:r w:rsidR="00FF53D2" w:rsidRPr="007E7238">
        <w:rPr>
          <w:rFonts w:ascii="Arial" w:hAnsi="Arial"/>
          <w:sz w:val="22"/>
          <w:szCs w:val="22"/>
        </w:rPr>
        <w:t xml:space="preserve">substantial </w:t>
      </w:r>
      <w:r w:rsidRPr="007E7238">
        <w:rPr>
          <w:rFonts w:ascii="Arial" w:hAnsi="Arial"/>
          <w:sz w:val="22"/>
          <w:szCs w:val="22"/>
        </w:rPr>
        <w:t xml:space="preserve">decreases </w:t>
      </w:r>
      <w:r w:rsidR="004E1428" w:rsidRPr="007E7238">
        <w:rPr>
          <w:rFonts w:ascii="Arial" w:hAnsi="Arial"/>
          <w:sz w:val="22"/>
          <w:szCs w:val="22"/>
        </w:rPr>
        <w:t xml:space="preserve">(pre-treatment </w:t>
      </w:r>
      <w:r w:rsidR="004E1428" w:rsidRPr="007E7238">
        <w:rPr>
          <w:rFonts w:ascii="Arial" w:hAnsi="Arial"/>
          <w:i/>
          <w:sz w:val="22"/>
          <w:szCs w:val="22"/>
        </w:rPr>
        <w:t xml:space="preserve">vs </w:t>
      </w:r>
      <w:r w:rsidR="004E1428" w:rsidRPr="007E7238">
        <w:rPr>
          <w:rFonts w:ascii="Arial" w:hAnsi="Arial"/>
          <w:sz w:val="22"/>
          <w:szCs w:val="22"/>
        </w:rPr>
        <w:t xml:space="preserve">post-treatment) </w:t>
      </w:r>
      <w:r w:rsidRPr="007E7238">
        <w:rPr>
          <w:rFonts w:ascii="Arial" w:hAnsi="Arial"/>
          <w:sz w:val="22"/>
          <w:szCs w:val="22"/>
        </w:rPr>
        <w:t xml:space="preserve">in the </w:t>
      </w:r>
      <w:r w:rsidR="00D87BD8">
        <w:rPr>
          <w:rFonts w:ascii="Arial" w:hAnsi="Arial"/>
          <w:sz w:val="22"/>
          <w:szCs w:val="22"/>
        </w:rPr>
        <w:t xml:space="preserve">median </w:t>
      </w:r>
      <w:r w:rsidRPr="007E7238">
        <w:rPr>
          <w:rFonts w:ascii="Arial" w:hAnsi="Arial"/>
          <w:sz w:val="22"/>
          <w:szCs w:val="22"/>
        </w:rPr>
        <w:t>number of hospital admission</w:t>
      </w:r>
      <w:r w:rsidR="00E14391">
        <w:rPr>
          <w:rFonts w:ascii="Arial" w:hAnsi="Arial"/>
          <w:sz w:val="22"/>
          <w:szCs w:val="22"/>
        </w:rPr>
        <w:t>s</w:t>
      </w:r>
      <w:r w:rsidRPr="007E7238">
        <w:rPr>
          <w:rFonts w:ascii="Arial" w:hAnsi="Arial"/>
          <w:sz w:val="22"/>
          <w:szCs w:val="22"/>
        </w:rPr>
        <w:t xml:space="preserve"> </w:t>
      </w:r>
      <w:r w:rsidR="00D87BD8">
        <w:rPr>
          <w:rFonts w:ascii="Arial" w:hAnsi="Arial"/>
          <w:sz w:val="22"/>
          <w:szCs w:val="22"/>
        </w:rPr>
        <w:t xml:space="preserve">per year </w:t>
      </w:r>
      <w:r w:rsidRPr="007E7238">
        <w:rPr>
          <w:rFonts w:ascii="Arial" w:hAnsi="Arial"/>
          <w:sz w:val="22"/>
          <w:szCs w:val="22"/>
        </w:rPr>
        <w:t xml:space="preserve">(4.0 </w:t>
      </w:r>
      <w:r w:rsidR="00876755">
        <w:rPr>
          <w:rFonts w:ascii="Arial" w:hAnsi="Arial"/>
          <w:i/>
          <w:sz w:val="22"/>
          <w:szCs w:val="22"/>
        </w:rPr>
        <w:t>vs</w:t>
      </w:r>
      <w:r w:rsidRPr="007E7238">
        <w:rPr>
          <w:rFonts w:ascii="Arial" w:hAnsi="Arial"/>
          <w:sz w:val="22"/>
          <w:szCs w:val="22"/>
        </w:rPr>
        <w:t xml:space="preserve"> 0.6, p&lt;0.001) and </w:t>
      </w:r>
      <w:r w:rsidR="00D56B0D">
        <w:rPr>
          <w:rFonts w:ascii="Arial" w:hAnsi="Arial"/>
          <w:sz w:val="22"/>
          <w:szCs w:val="22"/>
        </w:rPr>
        <w:t xml:space="preserve">the </w:t>
      </w:r>
      <w:r w:rsidR="00D87BD8">
        <w:rPr>
          <w:rFonts w:ascii="Arial" w:hAnsi="Arial"/>
          <w:sz w:val="22"/>
          <w:szCs w:val="22"/>
        </w:rPr>
        <w:t xml:space="preserve">median </w:t>
      </w:r>
      <w:r w:rsidRPr="007E7238">
        <w:rPr>
          <w:rFonts w:ascii="Arial" w:hAnsi="Arial"/>
          <w:sz w:val="22"/>
          <w:szCs w:val="22"/>
        </w:rPr>
        <w:t xml:space="preserve">length of hospital stay (46 days </w:t>
      </w:r>
      <w:r w:rsidRPr="007E7238">
        <w:rPr>
          <w:rFonts w:ascii="Arial" w:hAnsi="Arial"/>
          <w:i/>
          <w:sz w:val="22"/>
          <w:szCs w:val="22"/>
        </w:rPr>
        <w:t xml:space="preserve">vs </w:t>
      </w:r>
      <w:r w:rsidRPr="007E7238">
        <w:rPr>
          <w:rFonts w:ascii="Arial" w:hAnsi="Arial"/>
          <w:sz w:val="22"/>
          <w:szCs w:val="22"/>
        </w:rPr>
        <w:t>2.9 days</w:t>
      </w:r>
      <w:r w:rsidR="00FF53D2" w:rsidRPr="007E7238">
        <w:rPr>
          <w:rFonts w:ascii="Arial" w:hAnsi="Arial"/>
          <w:sz w:val="22"/>
          <w:szCs w:val="22"/>
        </w:rPr>
        <w:t>, p=0.009</w:t>
      </w:r>
      <w:r w:rsidRPr="007E7238">
        <w:rPr>
          <w:rFonts w:ascii="Arial" w:hAnsi="Arial"/>
          <w:sz w:val="22"/>
          <w:szCs w:val="22"/>
        </w:rPr>
        <w:t xml:space="preserve">), the </w:t>
      </w:r>
      <w:r w:rsidR="00D87BD8">
        <w:rPr>
          <w:rFonts w:ascii="Arial" w:hAnsi="Arial"/>
          <w:sz w:val="22"/>
          <w:szCs w:val="22"/>
        </w:rPr>
        <w:t xml:space="preserve">median </w:t>
      </w:r>
      <w:r w:rsidRPr="007E7238">
        <w:rPr>
          <w:rFonts w:ascii="Arial" w:hAnsi="Arial"/>
          <w:sz w:val="22"/>
          <w:szCs w:val="22"/>
        </w:rPr>
        <w:t xml:space="preserve">number of inpatient intravenous (IV) antibiotic days (23 days </w:t>
      </w:r>
      <w:r w:rsidR="00FF53D2" w:rsidRPr="007E7238">
        <w:rPr>
          <w:rFonts w:ascii="Arial" w:hAnsi="Arial"/>
          <w:sz w:val="22"/>
          <w:szCs w:val="22"/>
        </w:rPr>
        <w:t xml:space="preserve">per year </w:t>
      </w:r>
      <w:r w:rsidRPr="007E7238">
        <w:rPr>
          <w:rFonts w:ascii="Arial" w:hAnsi="Arial"/>
          <w:i/>
          <w:sz w:val="22"/>
          <w:szCs w:val="22"/>
        </w:rPr>
        <w:t xml:space="preserve">vs </w:t>
      </w:r>
      <w:r w:rsidRPr="007E7238">
        <w:rPr>
          <w:rFonts w:ascii="Arial" w:hAnsi="Arial"/>
          <w:sz w:val="22"/>
          <w:szCs w:val="22"/>
        </w:rPr>
        <w:t>0 day</w:t>
      </w:r>
      <w:r w:rsidR="00FF53D2" w:rsidRPr="007E7238">
        <w:rPr>
          <w:rFonts w:ascii="Arial" w:hAnsi="Arial"/>
          <w:sz w:val="22"/>
          <w:szCs w:val="22"/>
        </w:rPr>
        <w:t xml:space="preserve"> per year, p=0.001</w:t>
      </w:r>
      <w:r w:rsidRPr="007E7238">
        <w:rPr>
          <w:rFonts w:ascii="Arial" w:hAnsi="Arial"/>
          <w:sz w:val="22"/>
          <w:szCs w:val="22"/>
        </w:rPr>
        <w:t>)</w:t>
      </w:r>
      <w:r w:rsidR="00FF53D2" w:rsidRPr="007E7238">
        <w:rPr>
          <w:rFonts w:ascii="Arial" w:hAnsi="Arial"/>
          <w:sz w:val="22"/>
          <w:szCs w:val="22"/>
        </w:rPr>
        <w:t xml:space="preserve"> and the </w:t>
      </w:r>
      <w:r w:rsidR="00D87BD8">
        <w:rPr>
          <w:rFonts w:ascii="Arial" w:hAnsi="Arial"/>
          <w:sz w:val="22"/>
          <w:szCs w:val="22"/>
        </w:rPr>
        <w:t xml:space="preserve">median </w:t>
      </w:r>
      <w:r w:rsidR="00D56B0D">
        <w:rPr>
          <w:rFonts w:ascii="Arial" w:hAnsi="Arial"/>
          <w:sz w:val="22"/>
          <w:szCs w:val="22"/>
        </w:rPr>
        <w:t xml:space="preserve">total IV </w:t>
      </w:r>
      <w:r w:rsidR="00D56B0D">
        <w:rPr>
          <w:rFonts w:ascii="Arial" w:hAnsi="Arial"/>
          <w:sz w:val="22"/>
          <w:szCs w:val="22"/>
        </w:rPr>
        <w:lastRenderedPageBreak/>
        <w:t>days</w:t>
      </w:r>
      <w:r w:rsidR="00FF53D2" w:rsidRPr="007E7238">
        <w:rPr>
          <w:rFonts w:ascii="Arial" w:hAnsi="Arial"/>
          <w:sz w:val="22"/>
          <w:szCs w:val="22"/>
        </w:rPr>
        <w:t xml:space="preserve"> (74 days </w:t>
      </w:r>
      <w:r w:rsidR="00FF53D2" w:rsidRPr="007E7238">
        <w:rPr>
          <w:rFonts w:ascii="Arial" w:hAnsi="Arial"/>
          <w:i/>
          <w:sz w:val="22"/>
          <w:szCs w:val="22"/>
        </w:rPr>
        <w:t xml:space="preserve">vs </w:t>
      </w:r>
      <w:r w:rsidR="00FF53D2" w:rsidRPr="007E7238">
        <w:rPr>
          <w:rFonts w:ascii="Arial" w:hAnsi="Arial"/>
          <w:sz w:val="22"/>
          <w:szCs w:val="22"/>
        </w:rPr>
        <w:t xml:space="preserve">38 days, p=0.002). Improvement in </w:t>
      </w:r>
      <w:r w:rsidR="004E1428" w:rsidRPr="007E7238">
        <w:rPr>
          <w:rFonts w:ascii="Arial" w:hAnsi="Arial"/>
          <w:sz w:val="22"/>
          <w:szCs w:val="22"/>
        </w:rPr>
        <w:t xml:space="preserve">hospitalisation and IV antibiotic requirements in patients receiving ivacaftor were also significant compared to control subjects. </w:t>
      </w:r>
      <w:r w:rsidR="00D56B0D">
        <w:rPr>
          <w:rFonts w:ascii="Arial" w:hAnsi="Arial"/>
          <w:sz w:val="22"/>
          <w:szCs w:val="22"/>
        </w:rPr>
        <w:t xml:space="preserve">The incidence </w:t>
      </w:r>
      <w:r w:rsidR="007E7238">
        <w:rPr>
          <w:rFonts w:ascii="Arial" w:hAnsi="Arial"/>
          <w:sz w:val="22"/>
          <w:szCs w:val="22"/>
        </w:rPr>
        <w:t>of</w:t>
      </w:r>
      <w:r w:rsidR="00231BBD" w:rsidRPr="007E7238">
        <w:rPr>
          <w:rFonts w:ascii="Arial" w:hAnsi="Arial"/>
          <w:sz w:val="22"/>
          <w:szCs w:val="22"/>
        </w:rPr>
        <w:t xml:space="preserve"> pulmonary exacerbation in </w:t>
      </w:r>
      <w:r w:rsidR="00D56B0D">
        <w:rPr>
          <w:rFonts w:ascii="Arial" w:hAnsi="Arial"/>
          <w:sz w:val="22"/>
          <w:szCs w:val="22"/>
        </w:rPr>
        <w:t xml:space="preserve">severe </w:t>
      </w:r>
      <w:r w:rsidR="00231BBD" w:rsidRPr="007E7238">
        <w:rPr>
          <w:rFonts w:ascii="Arial" w:hAnsi="Arial"/>
          <w:sz w:val="22"/>
          <w:szCs w:val="22"/>
        </w:rPr>
        <w:t xml:space="preserve">CF patients </w:t>
      </w:r>
      <w:r w:rsidR="00D56B0D">
        <w:rPr>
          <w:rFonts w:ascii="Arial" w:hAnsi="Arial"/>
          <w:sz w:val="22"/>
          <w:szCs w:val="22"/>
        </w:rPr>
        <w:t xml:space="preserve">receiving ivacaftor </w:t>
      </w:r>
      <w:r w:rsidR="00231BBD" w:rsidRPr="007E7238">
        <w:rPr>
          <w:rFonts w:ascii="Arial" w:hAnsi="Arial"/>
          <w:sz w:val="22"/>
          <w:szCs w:val="22"/>
        </w:rPr>
        <w:t>w</w:t>
      </w:r>
      <w:r w:rsidR="00D56B0D">
        <w:rPr>
          <w:rFonts w:ascii="Arial" w:hAnsi="Arial"/>
          <w:sz w:val="22"/>
          <w:szCs w:val="22"/>
        </w:rPr>
        <w:t>as</w:t>
      </w:r>
      <w:r w:rsidR="00231BBD" w:rsidRPr="007E7238">
        <w:rPr>
          <w:rFonts w:ascii="Arial" w:hAnsi="Arial"/>
          <w:sz w:val="22"/>
          <w:szCs w:val="22"/>
        </w:rPr>
        <w:t xml:space="preserve"> reported in the US CAP</w:t>
      </w:r>
      <w:r w:rsidR="00D56B0D">
        <w:rPr>
          <w:rFonts w:ascii="Arial" w:hAnsi="Arial"/>
          <w:sz w:val="22"/>
          <w:szCs w:val="22"/>
        </w:rPr>
        <w:t xml:space="preserve"> as an adverse event (AE)</w:t>
      </w:r>
      <w:r w:rsidR="00231BBD" w:rsidRPr="007E7238">
        <w:rPr>
          <w:rFonts w:ascii="Arial" w:hAnsi="Arial"/>
          <w:sz w:val="22"/>
          <w:szCs w:val="22"/>
        </w:rPr>
        <w:t xml:space="preserve">. During a 24-week treatment </w:t>
      </w:r>
      <w:r w:rsidR="007E7238" w:rsidRPr="007E7238">
        <w:rPr>
          <w:rFonts w:ascii="Arial" w:hAnsi="Arial"/>
          <w:sz w:val="22"/>
          <w:szCs w:val="22"/>
        </w:rPr>
        <w:t xml:space="preserve">period, 39 pulmonary exacerbation </w:t>
      </w:r>
      <w:r w:rsidR="00C249E9" w:rsidRPr="007E7238">
        <w:rPr>
          <w:rFonts w:ascii="Arial" w:hAnsi="Arial"/>
          <w:sz w:val="22"/>
          <w:szCs w:val="22"/>
        </w:rPr>
        <w:t xml:space="preserve">events </w:t>
      </w:r>
      <w:r w:rsidR="007E7238" w:rsidRPr="007E7238">
        <w:rPr>
          <w:rFonts w:ascii="Arial" w:hAnsi="Arial"/>
          <w:sz w:val="22"/>
          <w:szCs w:val="22"/>
        </w:rPr>
        <w:t>were reported</w:t>
      </w:r>
      <w:r w:rsidR="007E7238">
        <w:rPr>
          <w:rFonts w:ascii="Arial" w:hAnsi="Arial"/>
          <w:sz w:val="22"/>
          <w:szCs w:val="22"/>
        </w:rPr>
        <w:t xml:space="preserve"> in 20</w:t>
      </w:r>
      <w:r w:rsidR="007E7238" w:rsidRPr="007E7238">
        <w:rPr>
          <w:rFonts w:ascii="Arial" w:hAnsi="Arial"/>
          <w:sz w:val="22"/>
          <w:szCs w:val="22"/>
        </w:rPr>
        <w:t xml:space="preserve"> (45%) patients. Of these </w:t>
      </w:r>
      <w:r w:rsidR="007E7238">
        <w:rPr>
          <w:rFonts w:ascii="Arial" w:hAnsi="Arial"/>
          <w:sz w:val="22"/>
          <w:szCs w:val="22"/>
        </w:rPr>
        <w:t xml:space="preserve">events, 22 </w:t>
      </w:r>
      <w:r w:rsidR="007E7238" w:rsidRPr="007E7238">
        <w:rPr>
          <w:rFonts w:ascii="Arial" w:hAnsi="Arial"/>
          <w:sz w:val="22"/>
          <w:szCs w:val="22"/>
        </w:rPr>
        <w:t xml:space="preserve">required IV antibiotics and </w:t>
      </w:r>
      <w:r w:rsidR="007E7238">
        <w:rPr>
          <w:rFonts w:ascii="Arial" w:hAnsi="Arial"/>
          <w:sz w:val="22"/>
          <w:szCs w:val="22"/>
        </w:rPr>
        <w:t>17</w:t>
      </w:r>
      <w:r w:rsidR="007E7238" w:rsidRPr="007E7238">
        <w:rPr>
          <w:rFonts w:ascii="Arial" w:hAnsi="Arial"/>
          <w:sz w:val="22"/>
          <w:szCs w:val="22"/>
        </w:rPr>
        <w:t xml:space="preserve"> required hospitalisation</w:t>
      </w:r>
      <w:r w:rsidR="00E14391">
        <w:rPr>
          <w:rFonts w:ascii="Arial" w:hAnsi="Arial"/>
          <w:sz w:val="22"/>
          <w:szCs w:val="22"/>
        </w:rPr>
        <w:t>s</w:t>
      </w:r>
      <w:r w:rsidR="007E7238" w:rsidRPr="007E7238">
        <w:rPr>
          <w:rFonts w:ascii="Arial" w:hAnsi="Arial"/>
          <w:sz w:val="22"/>
          <w:szCs w:val="22"/>
        </w:rPr>
        <w:t xml:space="preserve">. </w:t>
      </w:r>
      <w:r w:rsidR="00D21422">
        <w:rPr>
          <w:rFonts w:ascii="Arial" w:hAnsi="Arial"/>
          <w:sz w:val="22"/>
          <w:szCs w:val="22"/>
        </w:rPr>
        <w:t xml:space="preserve">Pulmonary exacerbation was considered the cause of death in three patients (6.8%). </w:t>
      </w:r>
      <w:r w:rsidR="000007A0" w:rsidRPr="002C713F">
        <w:rPr>
          <w:rFonts w:ascii="Arial" w:hAnsi="Arial"/>
          <w:sz w:val="22"/>
          <w:szCs w:val="22"/>
        </w:rPr>
        <w:t>Data</w:t>
      </w:r>
      <w:r w:rsidR="007E7238" w:rsidRPr="002C713F">
        <w:rPr>
          <w:rFonts w:ascii="Arial" w:hAnsi="Arial"/>
          <w:sz w:val="22"/>
          <w:szCs w:val="22"/>
        </w:rPr>
        <w:t xml:space="preserve"> on </w:t>
      </w:r>
      <w:r w:rsidR="000007A0" w:rsidRPr="002C713F">
        <w:rPr>
          <w:rFonts w:ascii="Arial" w:hAnsi="Arial"/>
          <w:sz w:val="22"/>
          <w:szCs w:val="22"/>
        </w:rPr>
        <w:t xml:space="preserve">the pre-treatment incidence of </w:t>
      </w:r>
      <w:r w:rsidR="007E7238" w:rsidRPr="002C713F">
        <w:rPr>
          <w:rFonts w:ascii="Arial" w:hAnsi="Arial"/>
          <w:sz w:val="22"/>
          <w:szCs w:val="22"/>
        </w:rPr>
        <w:t>pulmonary exacerbation were not available</w:t>
      </w:r>
      <w:r w:rsidR="00C249E9" w:rsidRPr="002C713F">
        <w:rPr>
          <w:rFonts w:ascii="Arial" w:hAnsi="Arial"/>
          <w:sz w:val="22"/>
          <w:szCs w:val="22"/>
        </w:rPr>
        <w:t xml:space="preserve"> for comparison</w:t>
      </w:r>
      <w:r w:rsidR="007E7238" w:rsidRPr="002C713F">
        <w:rPr>
          <w:rFonts w:ascii="Arial" w:hAnsi="Arial"/>
          <w:sz w:val="22"/>
          <w:szCs w:val="22"/>
        </w:rPr>
        <w:t>.</w:t>
      </w:r>
      <w:r w:rsidR="007E7238">
        <w:rPr>
          <w:rFonts w:ascii="Arial" w:hAnsi="Arial"/>
          <w:sz w:val="22"/>
          <w:szCs w:val="22"/>
        </w:rPr>
        <w:t xml:space="preserve"> </w:t>
      </w:r>
      <w:r w:rsidR="004111F0" w:rsidRPr="004111F0">
        <w:rPr>
          <w:rFonts w:ascii="Arial" w:hAnsi="Arial"/>
          <w:sz w:val="22"/>
          <w:szCs w:val="22"/>
        </w:rPr>
        <w:t xml:space="preserve"> </w:t>
      </w:r>
    </w:p>
    <w:p w:rsidR="00567A05" w:rsidRDefault="00567A05" w:rsidP="00567A05">
      <w:pPr>
        <w:pStyle w:val="ListParagraph"/>
        <w:jc w:val="both"/>
        <w:rPr>
          <w:rFonts w:ascii="Arial" w:hAnsi="Arial"/>
          <w:sz w:val="22"/>
          <w:szCs w:val="22"/>
        </w:rPr>
      </w:pPr>
    </w:p>
    <w:p w:rsidR="00567A05" w:rsidRPr="002C713F" w:rsidRDefault="00567A05" w:rsidP="00567A05">
      <w:pPr>
        <w:pStyle w:val="ListParagraph"/>
        <w:numPr>
          <w:ilvl w:val="1"/>
          <w:numId w:val="1"/>
        </w:numPr>
        <w:jc w:val="both"/>
        <w:rPr>
          <w:rFonts w:ascii="Arial" w:hAnsi="Arial"/>
          <w:sz w:val="22"/>
          <w:szCs w:val="22"/>
        </w:rPr>
      </w:pPr>
      <w:r w:rsidRPr="000765F6">
        <w:rPr>
          <w:rFonts w:ascii="Arial" w:hAnsi="Arial"/>
          <w:sz w:val="22"/>
          <w:szCs w:val="22"/>
        </w:rPr>
        <w:t xml:space="preserve">Results of change in sweat chloride concentration were only reported </w:t>
      </w:r>
      <w:r w:rsidR="000007A0">
        <w:rPr>
          <w:rFonts w:ascii="Arial" w:hAnsi="Arial"/>
          <w:sz w:val="22"/>
          <w:szCs w:val="22"/>
        </w:rPr>
        <w:t>for</w:t>
      </w:r>
      <w:r w:rsidR="000007A0" w:rsidRPr="000765F6">
        <w:rPr>
          <w:rFonts w:ascii="Arial" w:hAnsi="Arial"/>
          <w:sz w:val="22"/>
          <w:szCs w:val="22"/>
        </w:rPr>
        <w:t xml:space="preserve"> </w:t>
      </w:r>
      <w:r w:rsidRPr="000765F6">
        <w:rPr>
          <w:rFonts w:ascii="Arial" w:hAnsi="Arial"/>
          <w:sz w:val="22"/>
          <w:szCs w:val="22"/>
        </w:rPr>
        <w:t xml:space="preserve">the severe disease subgroup </w:t>
      </w:r>
      <w:r w:rsidR="000007A0">
        <w:rPr>
          <w:rFonts w:ascii="Arial" w:hAnsi="Arial"/>
          <w:sz w:val="22"/>
          <w:szCs w:val="22"/>
        </w:rPr>
        <w:t>of patients in</w:t>
      </w:r>
      <w:r w:rsidR="000007A0" w:rsidRPr="000765F6">
        <w:rPr>
          <w:rFonts w:ascii="Arial" w:hAnsi="Arial"/>
          <w:sz w:val="22"/>
          <w:szCs w:val="22"/>
        </w:rPr>
        <w:t xml:space="preserve"> </w:t>
      </w:r>
      <w:r w:rsidR="000007A0">
        <w:rPr>
          <w:rFonts w:ascii="Arial" w:hAnsi="Arial"/>
          <w:sz w:val="22"/>
          <w:szCs w:val="22"/>
        </w:rPr>
        <w:t xml:space="preserve">the </w:t>
      </w:r>
      <w:r w:rsidRPr="000765F6">
        <w:rPr>
          <w:rFonts w:ascii="Arial" w:hAnsi="Arial"/>
          <w:sz w:val="22"/>
          <w:szCs w:val="22"/>
        </w:rPr>
        <w:t>STRIVE</w:t>
      </w:r>
      <w:r w:rsidR="000007A0">
        <w:rPr>
          <w:rFonts w:ascii="Arial" w:hAnsi="Arial"/>
          <w:sz w:val="22"/>
          <w:szCs w:val="22"/>
        </w:rPr>
        <w:t xml:space="preserve"> trial</w:t>
      </w:r>
      <w:r w:rsidRPr="000765F6">
        <w:rPr>
          <w:rFonts w:ascii="Arial" w:hAnsi="Arial"/>
          <w:sz w:val="22"/>
          <w:szCs w:val="22"/>
        </w:rPr>
        <w:t xml:space="preserve">. Following treatment with ivacaftor, the mean sweat chloride concentration decreased </w:t>
      </w:r>
      <w:r w:rsidR="000007A0">
        <w:rPr>
          <w:rFonts w:ascii="Arial" w:hAnsi="Arial"/>
          <w:sz w:val="22"/>
          <w:szCs w:val="22"/>
        </w:rPr>
        <w:t xml:space="preserve">from baseline </w:t>
      </w:r>
      <w:r w:rsidRPr="000765F6">
        <w:rPr>
          <w:rFonts w:ascii="Arial" w:hAnsi="Arial"/>
          <w:sz w:val="22"/>
          <w:szCs w:val="22"/>
        </w:rPr>
        <w:t>by 35.7</w:t>
      </w:r>
      <w:r w:rsidRPr="000765F6">
        <w:rPr>
          <w:rFonts w:ascii="Arial" w:hAnsi="Arial" w:cs="Arial"/>
          <w:sz w:val="22"/>
          <w:szCs w:val="22"/>
        </w:rPr>
        <w:t>±</w:t>
      </w:r>
      <w:r w:rsidRPr="000765F6">
        <w:rPr>
          <w:rFonts w:ascii="Arial" w:hAnsi="Arial"/>
          <w:sz w:val="22"/>
          <w:szCs w:val="22"/>
        </w:rPr>
        <w:t>37.5mmol/L at Week 48 (baseline: 98.2</w:t>
      </w:r>
      <w:r w:rsidRPr="000765F6">
        <w:rPr>
          <w:rFonts w:ascii="Arial" w:hAnsi="Arial" w:cs="Arial"/>
          <w:sz w:val="22"/>
          <w:szCs w:val="22"/>
        </w:rPr>
        <w:t>±</w:t>
      </w:r>
      <w:r w:rsidRPr="000765F6">
        <w:rPr>
          <w:rFonts w:ascii="Arial" w:hAnsi="Arial"/>
          <w:sz w:val="22"/>
          <w:szCs w:val="22"/>
        </w:rPr>
        <w:t>11.6mmol/L); whereas for patients in the placebo arm, the mean sweat chloride level at Week 48 was similar to the baseline value (mean change: -0.1</w:t>
      </w:r>
      <w:r w:rsidRPr="000765F6">
        <w:rPr>
          <w:rFonts w:ascii="Arial" w:hAnsi="Arial" w:cs="Arial"/>
          <w:sz w:val="22"/>
          <w:szCs w:val="22"/>
        </w:rPr>
        <w:t>±</w:t>
      </w:r>
      <w:r w:rsidRPr="000765F6">
        <w:rPr>
          <w:rFonts w:ascii="Arial" w:hAnsi="Arial"/>
          <w:sz w:val="22"/>
          <w:szCs w:val="22"/>
        </w:rPr>
        <w:t xml:space="preserve">11.0mmol/L). </w:t>
      </w:r>
      <w:r w:rsidR="00C45DB5">
        <w:rPr>
          <w:rFonts w:ascii="Arial" w:hAnsi="Arial"/>
          <w:sz w:val="22"/>
          <w:szCs w:val="22"/>
        </w:rPr>
        <w:t xml:space="preserve"> </w:t>
      </w:r>
      <w:r w:rsidRPr="002C713F">
        <w:rPr>
          <w:rFonts w:ascii="Arial" w:hAnsi="Arial"/>
          <w:sz w:val="22"/>
          <w:szCs w:val="22"/>
        </w:rPr>
        <w:t>The change in sweat chloride concentration reported in the ivacaftor-treated patients in STRIVE met the definition of treatment response in a clinical commissioning policy on ivacaftor treatment produced by the UK’s National Health Service</w:t>
      </w:r>
      <w:r w:rsidR="00D63DEE" w:rsidRPr="002C713F">
        <w:rPr>
          <w:rStyle w:val="FootnoteReference"/>
          <w:rFonts w:ascii="Arial" w:hAnsi="Arial"/>
          <w:sz w:val="22"/>
          <w:szCs w:val="22"/>
        </w:rPr>
        <w:footnoteReference w:id="5"/>
      </w:r>
      <w:r w:rsidRPr="002C713F">
        <w:rPr>
          <w:rFonts w:ascii="Arial" w:hAnsi="Arial"/>
          <w:sz w:val="22"/>
          <w:szCs w:val="22"/>
        </w:rPr>
        <w:t>, i</w:t>
      </w:r>
      <w:r w:rsidR="00BE64D8" w:rsidRPr="002C713F">
        <w:rPr>
          <w:rFonts w:ascii="Arial" w:hAnsi="Arial"/>
          <w:sz w:val="22"/>
          <w:szCs w:val="22"/>
        </w:rPr>
        <w:t>.</w:t>
      </w:r>
      <w:r w:rsidRPr="002C713F">
        <w:rPr>
          <w:rFonts w:ascii="Arial" w:hAnsi="Arial"/>
          <w:sz w:val="22"/>
          <w:szCs w:val="22"/>
        </w:rPr>
        <w:t>e</w:t>
      </w:r>
      <w:r w:rsidR="00BE64D8" w:rsidRPr="002C713F">
        <w:rPr>
          <w:rFonts w:ascii="Arial" w:hAnsi="Arial"/>
          <w:sz w:val="22"/>
          <w:szCs w:val="22"/>
        </w:rPr>
        <w:t>.</w:t>
      </w:r>
      <w:r w:rsidRPr="002C713F">
        <w:rPr>
          <w:rFonts w:ascii="Arial" w:hAnsi="Arial"/>
          <w:sz w:val="22"/>
          <w:szCs w:val="22"/>
        </w:rPr>
        <w:t xml:space="preserve"> a sweat chloride level below 60mmol/L or 30% less than baseline. </w:t>
      </w:r>
    </w:p>
    <w:p w:rsidR="00567A05" w:rsidRPr="004E1428" w:rsidRDefault="00567A05" w:rsidP="00567A05">
      <w:pPr>
        <w:pStyle w:val="ListParagraph"/>
        <w:rPr>
          <w:rFonts w:ascii="Arial" w:hAnsi="Arial"/>
          <w:sz w:val="22"/>
          <w:szCs w:val="22"/>
        </w:rPr>
      </w:pPr>
    </w:p>
    <w:p w:rsidR="000765F6" w:rsidRPr="000765F6" w:rsidRDefault="00343D55" w:rsidP="000765F6">
      <w:pPr>
        <w:pStyle w:val="ListParagraph"/>
        <w:numPr>
          <w:ilvl w:val="1"/>
          <w:numId w:val="1"/>
        </w:numPr>
        <w:jc w:val="both"/>
        <w:rPr>
          <w:rFonts w:ascii="Arial" w:hAnsi="Arial"/>
          <w:sz w:val="22"/>
          <w:szCs w:val="22"/>
        </w:rPr>
      </w:pPr>
      <w:r w:rsidRPr="000765F6">
        <w:rPr>
          <w:rFonts w:ascii="Arial" w:hAnsi="Arial"/>
          <w:sz w:val="22"/>
          <w:szCs w:val="22"/>
        </w:rPr>
        <w:t>In the 5-year observational study of the US CFFPR, the average duration of ivacaftor exposure was 1.4 years among the treated CF patients. In 2013, the annual risks of death, organ transplantation, hos</w:t>
      </w:r>
      <w:r w:rsidR="00116FE6" w:rsidRPr="000765F6">
        <w:rPr>
          <w:rFonts w:ascii="Arial" w:hAnsi="Arial"/>
          <w:sz w:val="22"/>
          <w:szCs w:val="22"/>
        </w:rPr>
        <w:t xml:space="preserve">pitalisation </w:t>
      </w:r>
      <w:r w:rsidRPr="000765F6">
        <w:rPr>
          <w:rFonts w:ascii="Arial" w:hAnsi="Arial"/>
          <w:sz w:val="22"/>
          <w:szCs w:val="22"/>
        </w:rPr>
        <w:t xml:space="preserve">and pulmonary exacerbation were all statistically significantly lower in the ivacaftor cohort than </w:t>
      </w:r>
      <w:r w:rsidR="00116FE6" w:rsidRPr="000765F6">
        <w:rPr>
          <w:rFonts w:ascii="Arial" w:hAnsi="Arial"/>
          <w:sz w:val="22"/>
          <w:szCs w:val="22"/>
        </w:rPr>
        <w:t xml:space="preserve">in </w:t>
      </w:r>
      <w:r w:rsidRPr="000765F6">
        <w:rPr>
          <w:rFonts w:ascii="Arial" w:hAnsi="Arial"/>
          <w:sz w:val="22"/>
          <w:szCs w:val="22"/>
        </w:rPr>
        <w:t xml:space="preserve">the matched comparator </w:t>
      </w:r>
      <w:r w:rsidR="004868BB">
        <w:rPr>
          <w:rFonts w:ascii="Arial" w:hAnsi="Arial"/>
          <w:sz w:val="22"/>
          <w:szCs w:val="22"/>
        </w:rPr>
        <w:t xml:space="preserve">cohort </w:t>
      </w:r>
      <w:r w:rsidR="00116FE6" w:rsidRPr="000765F6">
        <w:rPr>
          <w:rFonts w:ascii="Arial" w:hAnsi="Arial"/>
          <w:sz w:val="22"/>
          <w:szCs w:val="22"/>
        </w:rPr>
        <w:t>(Table 5</w:t>
      </w:r>
      <w:r w:rsidRPr="000765F6">
        <w:rPr>
          <w:rFonts w:ascii="Arial" w:hAnsi="Arial"/>
          <w:sz w:val="22"/>
          <w:szCs w:val="22"/>
        </w:rPr>
        <w:t>). Trends were similar when analyses were stratified by age and % predicted FEV</w:t>
      </w:r>
      <w:r w:rsidRPr="000765F6">
        <w:rPr>
          <w:rFonts w:ascii="Arial" w:hAnsi="Arial"/>
          <w:sz w:val="22"/>
          <w:szCs w:val="22"/>
          <w:vertAlign w:val="subscript"/>
        </w:rPr>
        <w:t>1</w:t>
      </w:r>
      <w:r w:rsidRPr="000765F6">
        <w:rPr>
          <w:rFonts w:ascii="Arial" w:hAnsi="Arial"/>
          <w:sz w:val="22"/>
          <w:szCs w:val="22"/>
        </w:rPr>
        <w:t xml:space="preserve">. </w:t>
      </w:r>
    </w:p>
    <w:p w:rsidR="000765F6" w:rsidRPr="000765F6" w:rsidRDefault="000765F6" w:rsidP="000765F6">
      <w:pPr>
        <w:pStyle w:val="ListParagraph"/>
        <w:rPr>
          <w:rFonts w:ascii="Arial" w:hAnsi="Arial"/>
          <w:sz w:val="22"/>
          <w:szCs w:val="22"/>
        </w:rPr>
      </w:pPr>
    </w:p>
    <w:p w:rsidR="0046677A" w:rsidRPr="00116FE6" w:rsidRDefault="0046677A" w:rsidP="00116FE6">
      <w:pPr>
        <w:pStyle w:val="ListParagraph"/>
        <w:widowControl w:val="0"/>
        <w:jc w:val="both"/>
        <w:rPr>
          <w:rFonts w:ascii="Arial Narrow" w:eastAsiaTheme="majorEastAsia" w:hAnsi="Arial Narrow" w:cstheme="minorHAnsi"/>
          <w:b/>
          <w:bCs/>
          <w:sz w:val="20"/>
          <w:szCs w:val="18"/>
          <w:lang w:eastAsia="en-US" w:bidi="en-US"/>
        </w:rPr>
      </w:pPr>
      <w:r w:rsidRPr="0046677A">
        <w:rPr>
          <w:rFonts w:ascii="Arial Narrow" w:eastAsiaTheme="majorEastAsia" w:hAnsi="Arial Narrow" w:cstheme="minorHAnsi"/>
          <w:b/>
          <w:bCs/>
          <w:sz w:val="20"/>
          <w:szCs w:val="18"/>
          <w:lang w:eastAsia="en-US" w:bidi="en-US"/>
        </w:rPr>
        <w:t>Table 5: Summary of key outcomes in the US CFFPR, 2013</w:t>
      </w:r>
    </w:p>
    <w:tbl>
      <w:tblPr>
        <w:tblW w:w="8364"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6"/>
        <w:gridCol w:w="992"/>
        <w:gridCol w:w="1417"/>
        <w:gridCol w:w="997"/>
        <w:gridCol w:w="1261"/>
        <w:gridCol w:w="1711"/>
      </w:tblGrid>
      <w:tr w:rsidR="00116FE6" w:rsidRPr="0046677A" w:rsidTr="0046677A">
        <w:tc>
          <w:tcPr>
            <w:tcW w:w="1986" w:type="dxa"/>
            <w:vMerge w:val="restart"/>
          </w:tcPr>
          <w:p w:rsidR="00116FE6" w:rsidRPr="0046677A" w:rsidRDefault="00116FE6" w:rsidP="0046677A">
            <w:pPr>
              <w:rPr>
                <w:rFonts w:ascii="Arial Narrow" w:eastAsia="Calibri" w:hAnsi="Arial Narrow" w:cs="Calibri"/>
                <w:sz w:val="20"/>
                <w:szCs w:val="20"/>
              </w:rPr>
            </w:pPr>
            <w:r w:rsidRPr="0046677A">
              <w:rPr>
                <w:rFonts w:ascii="Arial Narrow" w:eastAsia="Calibri" w:hAnsi="Arial Narrow" w:cs="Calibri"/>
                <w:b/>
                <w:bCs/>
                <w:sz w:val="20"/>
                <w:szCs w:val="20"/>
              </w:rPr>
              <w:t>O</w:t>
            </w:r>
            <w:r w:rsidRPr="0046677A">
              <w:rPr>
                <w:rFonts w:ascii="Arial Narrow" w:eastAsia="Calibri" w:hAnsi="Arial Narrow" w:cs="Calibri"/>
                <w:b/>
                <w:bCs/>
                <w:spacing w:val="-2"/>
                <w:sz w:val="20"/>
                <w:szCs w:val="20"/>
              </w:rPr>
              <w:t>u</w:t>
            </w:r>
            <w:r w:rsidRPr="0046677A">
              <w:rPr>
                <w:rFonts w:ascii="Arial Narrow" w:eastAsia="Calibri" w:hAnsi="Arial Narrow" w:cs="Calibri"/>
                <w:b/>
                <w:bCs/>
                <w:sz w:val="20"/>
                <w:szCs w:val="20"/>
              </w:rPr>
              <w:t>t</w:t>
            </w:r>
            <w:r w:rsidRPr="0046677A">
              <w:rPr>
                <w:rFonts w:ascii="Arial Narrow" w:eastAsia="Calibri" w:hAnsi="Arial Narrow" w:cs="Calibri"/>
                <w:b/>
                <w:bCs/>
                <w:spacing w:val="1"/>
                <w:sz w:val="20"/>
                <w:szCs w:val="20"/>
              </w:rPr>
              <w:t>c</w:t>
            </w:r>
            <w:r w:rsidRPr="0046677A">
              <w:rPr>
                <w:rFonts w:ascii="Arial Narrow" w:eastAsia="Calibri" w:hAnsi="Arial Narrow" w:cs="Calibri"/>
                <w:b/>
                <w:bCs/>
                <w:spacing w:val="-1"/>
                <w:sz w:val="20"/>
                <w:szCs w:val="20"/>
              </w:rPr>
              <w:t>o</w:t>
            </w:r>
            <w:r w:rsidRPr="0046677A">
              <w:rPr>
                <w:rFonts w:ascii="Arial Narrow" w:eastAsia="Calibri" w:hAnsi="Arial Narrow" w:cs="Calibri"/>
                <w:b/>
                <w:bCs/>
                <w:sz w:val="20"/>
                <w:szCs w:val="20"/>
              </w:rPr>
              <w:t>me</w:t>
            </w:r>
          </w:p>
        </w:tc>
        <w:tc>
          <w:tcPr>
            <w:tcW w:w="2409" w:type="dxa"/>
            <w:gridSpan w:val="2"/>
          </w:tcPr>
          <w:p w:rsidR="00116FE6" w:rsidRPr="0046677A" w:rsidRDefault="00116FE6" w:rsidP="0046677A">
            <w:pPr>
              <w:jc w:val="center"/>
              <w:rPr>
                <w:rFonts w:ascii="Arial Narrow" w:eastAsia="Calibri" w:hAnsi="Arial Narrow" w:cs="Calibri"/>
                <w:sz w:val="20"/>
                <w:szCs w:val="20"/>
              </w:rPr>
            </w:pPr>
            <w:r w:rsidRPr="0046677A">
              <w:rPr>
                <w:rFonts w:ascii="Arial Narrow" w:eastAsia="Calibri" w:hAnsi="Arial Narrow" w:cs="Calibri"/>
                <w:b/>
                <w:bCs/>
                <w:sz w:val="20"/>
                <w:szCs w:val="20"/>
              </w:rPr>
              <w:t>Iv</w:t>
            </w:r>
            <w:r w:rsidRPr="0046677A">
              <w:rPr>
                <w:rFonts w:ascii="Arial Narrow" w:eastAsia="Calibri" w:hAnsi="Arial Narrow" w:cs="Calibri"/>
                <w:b/>
                <w:bCs/>
                <w:spacing w:val="-4"/>
                <w:sz w:val="20"/>
                <w:szCs w:val="20"/>
              </w:rPr>
              <w:t>a</w:t>
            </w:r>
            <w:r w:rsidRPr="0046677A">
              <w:rPr>
                <w:rFonts w:ascii="Arial Narrow" w:eastAsia="Calibri" w:hAnsi="Arial Narrow" w:cs="Calibri"/>
                <w:b/>
                <w:bCs/>
                <w:spacing w:val="1"/>
                <w:sz w:val="20"/>
                <w:szCs w:val="20"/>
              </w:rPr>
              <w:t>c</w:t>
            </w:r>
            <w:r w:rsidRPr="0046677A">
              <w:rPr>
                <w:rFonts w:ascii="Arial Narrow" w:eastAsia="Calibri" w:hAnsi="Arial Narrow" w:cs="Calibri"/>
                <w:b/>
                <w:bCs/>
                <w:spacing w:val="-2"/>
                <w:sz w:val="20"/>
                <w:szCs w:val="20"/>
              </w:rPr>
              <w:t>a</w:t>
            </w:r>
            <w:r w:rsidRPr="0046677A">
              <w:rPr>
                <w:rFonts w:ascii="Arial Narrow" w:eastAsia="Calibri" w:hAnsi="Arial Narrow" w:cs="Calibri"/>
                <w:b/>
                <w:bCs/>
                <w:sz w:val="20"/>
                <w:szCs w:val="20"/>
              </w:rPr>
              <w:t>ft</w:t>
            </w:r>
            <w:r w:rsidRPr="0046677A">
              <w:rPr>
                <w:rFonts w:ascii="Arial Narrow" w:eastAsia="Calibri" w:hAnsi="Arial Narrow" w:cs="Calibri"/>
                <w:b/>
                <w:bCs/>
                <w:spacing w:val="-2"/>
                <w:sz w:val="20"/>
                <w:szCs w:val="20"/>
              </w:rPr>
              <w:t>o</w:t>
            </w:r>
            <w:r w:rsidRPr="0046677A">
              <w:rPr>
                <w:rFonts w:ascii="Arial Narrow" w:eastAsia="Calibri" w:hAnsi="Arial Narrow" w:cs="Calibri"/>
                <w:b/>
                <w:bCs/>
                <w:sz w:val="20"/>
                <w:szCs w:val="20"/>
              </w:rPr>
              <w:t>r</w:t>
            </w:r>
            <w:r w:rsidRPr="0046677A">
              <w:rPr>
                <w:rFonts w:ascii="Arial Narrow" w:eastAsia="Calibri" w:hAnsi="Arial Narrow" w:cs="Calibri"/>
                <w:b/>
                <w:bCs/>
                <w:spacing w:val="48"/>
                <w:sz w:val="20"/>
                <w:szCs w:val="20"/>
              </w:rPr>
              <w:t xml:space="preserve"> </w:t>
            </w:r>
            <w:r w:rsidRPr="0046677A">
              <w:rPr>
                <w:rFonts w:ascii="Arial Narrow" w:eastAsia="Calibri" w:hAnsi="Arial Narrow" w:cs="Calibri"/>
                <w:b/>
                <w:bCs/>
                <w:sz w:val="20"/>
                <w:szCs w:val="20"/>
              </w:rPr>
              <w:t>(</w:t>
            </w:r>
            <w:r w:rsidRPr="0046677A">
              <w:rPr>
                <w:rFonts w:ascii="Arial Narrow" w:eastAsia="Calibri" w:hAnsi="Arial Narrow" w:cs="Calibri"/>
                <w:b/>
                <w:bCs/>
                <w:spacing w:val="-1"/>
                <w:sz w:val="20"/>
                <w:szCs w:val="20"/>
              </w:rPr>
              <w:t>N</w:t>
            </w:r>
            <w:r w:rsidRPr="0046677A">
              <w:rPr>
                <w:rFonts w:ascii="Arial Narrow" w:eastAsia="Calibri" w:hAnsi="Arial Narrow" w:cs="Calibri"/>
                <w:b/>
                <w:bCs/>
                <w:sz w:val="20"/>
                <w:szCs w:val="20"/>
              </w:rPr>
              <w:t>=</w:t>
            </w:r>
            <w:r w:rsidRPr="0046677A">
              <w:rPr>
                <w:rFonts w:ascii="Arial Narrow" w:eastAsia="Calibri" w:hAnsi="Arial Narrow" w:cs="Calibri"/>
                <w:b/>
                <w:bCs/>
                <w:spacing w:val="-2"/>
                <w:sz w:val="20"/>
                <w:szCs w:val="20"/>
              </w:rPr>
              <w:t>9</w:t>
            </w:r>
            <w:r w:rsidRPr="0046677A">
              <w:rPr>
                <w:rFonts w:ascii="Arial Narrow" w:eastAsia="Calibri" w:hAnsi="Arial Narrow" w:cs="Calibri"/>
                <w:b/>
                <w:bCs/>
                <w:sz w:val="20"/>
                <w:szCs w:val="20"/>
              </w:rPr>
              <w:t>9</w:t>
            </w:r>
            <w:r w:rsidRPr="0046677A">
              <w:rPr>
                <w:rFonts w:ascii="Arial Narrow" w:eastAsia="Calibri" w:hAnsi="Arial Narrow" w:cs="Calibri"/>
                <w:b/>
                <w:bCs/>
                <w:spacing w:val="-2"/>
                <w:sz w:val="20"/>
                <w:szCs w:val="20"/>
              </w:rPr>
              <w:t>9</w:t>
            </w:r>
            <w:r w:rsidRPr="0046677A">
              <w:rPr>
                <w:rFonts w:ascii="Arial Narrow" w:eastAsia="Calibri" w:hAnsi="Arial Narrow" w:cs="Calibri"/>
                <w:b/>
                <w:bCs/>
                <w:sz w:val="20"/>
                <w:szCs w:val="20"/>
              </w:rPr>
              <w:t>)</w:t>
            </w:r>
          </w:p>
        </w:tc>
        <w:tc>
          <w:tcPr>
            <w:tcW w:w="2258" w:type="dxa"/>
            <w:gridSpan w:val="2"/>
          </w:tcPr>
          <w:p w:rsidR="00116FE6" w:rsidRPr="0046677A" w:rsidRDefault="00116FE6" w:rsidP="0046677A">
            <w:pPr>
              <w:jc w:val="center"/>
              <w:rPr>
                <w:rFonts w:ascii="Arial Narrow" w:eastAsia="Calibri" w:hAnsi="Arial Narrow" w:cs="Calibri"/>
                <w:sz w:val="20"/>
                <w:szCs w:val="20"/>
              </w:rPr>
            </w:pPr>
            <w:r w:rsidRPr="0046677A">
              <w:rPr>
                <w:rFonts w:ascii="Arial Narrow" w:eastAsia="Calibri" w:hAnsi="Arial Narrow" w:cs="Calibri"/>
                <w:b/>
                <w:bCs/>
                <w:sz w:val="20"/>
                <w:szCs w:val="20"/>
              </w:rPr>
              <w:t>C</w:t>
            </w:r>
            <w:r w:rsidRPr="0046677A">
              <w:rPr>
                <w:rFonts w:ascii="Arial Narrow" w:eastAsia="Calibri" w:hAnsi="Arial Narrow" w:cs="Calibri"/>
                <w:b/>
                <w:bCs/>
                <w:spacing w:val="-1"/>
                <w:sz w:val="20"/>
                <w:szCs w:val="20"/>
              </w:rPr>
              <w:t>o</w:t>
            </w:r>
            <w:r w:rsidRPr="0046677A">
              <w:rPr>
                <w:rFonts w:ascii="Arial Narrow" w:eastAsia="Calibri" w:hAnsi="Arial Narrow" w:cs="Calibri"/>
                <w:b/>
                <w:bCs/>
                <w:sz w:val="20"/>
                <w:szCs w:val="20"/>
              </w:rPr>
              <w:t>mp</w:t>
            </w:r>
            <w:r w:rsidRPr="0046677A">
              <w:rPr>
                <w:rFonts w:ascii="Arial Narrow" w:eastAsia="Calibri" w:hAnsi="Arial Narrow" w:cs="Calibri"/>
                <w:b/>
                <w:bCs/>
                <w:spacing w:val="-2"/>
                <w:sz w:val="20"/>
                <w:szCs w:val="20"/>
              </w:rPr>
              <w:t>a</w:t>
            </w:r>
            <w:r w:rsidRPr="0046677A">
              <w:rPr>
                <w:rFonts w:ascii="Arial Narrow" w:eastAsia="Calibri" w:hAnsi="Arial Narrow" w:cs="Calibri"/>
                <w:b/>
                <w:bCs/>
                <w:sz w:val="20"/>
                <w:szCs w:val="20"/>
              </w:rPr>
              <w:t>r</w:t>
            </w:r>
            <w:r w:rsidRPr="0046677A">
              <w:rPr>
                <w:rFonts w:ascii="Arial Narrow" w:eastAsia="Calibri" w:hAnsi="Arial Narrow" w:cs="Calibri"/>
                <w:b/>
                <w:bCs/>
                <w:spacing w:val="-2"/>
                <w:sz w:val="20"/>
                <w:szCs w:val="20"/>
              </w:rPr>
              <w:t>a</w:t>
            </w:r>
            <w:r w:rsidRPr="0046677A">
              <w:rPr>
                <w:rFonts w:ascii="Arial Narrow" w:eastAsia="Calibri" w:hAnsi="Arial Narrow" w:cs="Calibri"/>
                <w:b/>
                <w:bCs/>
                <w:sz w:val="20"/>
                <w:szCs w:val="20"/>
              </w:rPr>
              <w:t>t</w:t>
            </w:r>
            <w:r w:rsidRPr="0046677A">
              <w:rPr>
                <w:rFonts w:ascii="Arial Narrow" w:eastAsia="Calibri" w:hAnsi="Arial Narrow" w:cs="Calibri"/>
                <w:b/>
                <w:bCs/>
                <w:spacing w:val="-1"/>
                <w:sz w:val="20"/>
                <w:szCs w:val="20"/>
              </w:rPr>
              <w:t>o</w:t>
            </w:r>
            <w:r w:rsidRPr="0046677A">
              <w:rPr>
                <w:rFonts w:ascii="Arial Narrow" w:eastAsia="Calibri" w:hAnsi="Arial Narrow" w:cs="Calibri"/>
                <w:b/>
                <w:bCs/>
                <w:sz w:val="20"/>
                <w:szCs w:val="20"/>
              </w:rPr>
              <w:t>r (</w:t>
            </w:r>
            <w:r w:rsidRPr="0046677A">
              <w:rPr>
                <w:rFonts w:ascii="Arial Narrow" w:eastAsia="Calibri" w:hAnsi="Arial Narrow" w:cs="Calibri"/>
                <w:b/>
                <w:bCs/>
                <w:spacing w:val="-1"/>
                <w:sz w:val="20"/>
                <w:szCs w:val="20"/>
              </w:rPr>
              <w:t>n</w:t>
            </w:r>
            <w:r w:rsidRPr="0046677A">
              <w:rPr>
                <w:rFonts w:ascii="Arial Narrow" w:eastAsia="Calibri" w:hAnsi="Arial Narrow" w:cs="Calibri"/>
                <w:b/>
                <w:bCs/>
                <w:sz w:val="20"/>
                <w:szCs w:val="20"/>
              </w:rPr>
              <w:t>=</w:t>
            </w:r>
            <w:r w:rsidRPr="0046677A">
              <w:rPr>
                <w:rFonts w:ascii="Arial Narrow" w:eastAsia="Calibri" w:hAnsi="Arial Narrow" w:cs="Calibri"/>
                <w:b/>
                <w:bCs/>
                <w:spacing w:val="-2"/>
                <w:sz w:val="20"/>
                <w:szCs w:val="20"/>
              </w:rPr>
              <w:t>4,</w:t>
            </w:r>
            <w:r w:rsidRPr="0046677A">
              <w:rPr>
                <w:rFonts w:ascii="Arial Narrow" w:eastAsia="Calibri" w:hAnsi="Arial Narrow" w:cs="Calibri"/>
                <w:b/>
                <w:bCs/>
                <w:sz w:val="20"/>
                <w:szCs w:val="20"/>
              </w:rPr>
              <w:t>9</w:t>
            </w:r>
            <w:r w:rsidRPr="0046677A">
              <w:rPr>
                <w:rFonts w:ascii="Arial Narrow" w:eastAsia="Calibri" w:hAnsi="Arial Narrow" w:cs="Calibri"/>
                <w:b/>
                <w:bCs/>
                <w:spacing w:val="-2"/>
                <w:sz w:val="20"/>
                <w:szCs w:val="20"/>
              </w:rPr>
              <w:t>3</w:t>
            </w:r>
            <w:r w:rsidRPr="0046677A">
              <w:rPr>
                <w:rFonts w:ascii="Arial Narrow" w:eastAsia="Calibri" w:hAnsi="Arial Narrow" w:cs="Calibri"/>
                <w:b/>
                <w:bCs/>
                <w:sz w:val="20"/>
                <w:szCs w:val="20"/>
              </w:rPr>
              <w:t>2)</w:t>
            </w:r>
          </w:p>
        </w:tc>
        <w:tc>
          <w:tcPr>
            <w:tcW w:w="1711" w:type="dxa"/>
            <w:vMerge w:val="restart"/>
          </w:tcPr>
          <w:p w:rsidR="00116FE6" w:rsidRPr="0046677A" w:rsidRDefault="00116FE6" w:rsidP="00116FE6">
            <w:pPr>
              <w:jc w:val="center"/>
              <w:rPr>
                <w:rFonts w:ascii="Arial Narrow" w:eastAsia="Calibri" w:hAnsi="Arial Narrow" w:cs="Calibri"/>
                <w:sz w:val="20"/>
                <w:szCs w:val="20"/>
              </w:rPr>
            </w:pPr>
            <w:r>
              <w:rPr>
                <w:rFonts w:ascii="Arial Narrow" w:eastAsia="Calibri" w:hAnsi="Arial Narrow" w:cs="Calibri"/>
                <w:b/>
                <w:bCs/>
                <w:sz w:val="20"/>
                <w:szCs w:val="20"/>
              </w:rPr>
              <w:t>Relative risk</w:t>
            </w:r>
            <w:r>
              <w:rPr>
                <w:rFonts w:ascii="Arial Narrow" w:eastAsia="Calibri" w:hAnsi="Arial Narrow" w:cs="Calibri"/>
                <w:b/>
                <w:bCs/>
                <w:sz w:val="20"/>
                <w:szCs w:val="20"/>
              </w:rPr>
              <w:br/>
            </w:r>
            <w:r>
              <w:rPr>
                <w:rFonts w:ascii="Arial Narrow" w:eastAsia="Calibri" w:hAnsi="Arial Narrow" w:cs="Calibri"/>
                <w:b/>
                <w:bCs/>
                <w:spacing w:val="-1"/>
                <w:sz w:val="20"/>
                <w:szCs w:val="20"/>
              </w:rPr>
              <w:t>[</w:t>
            </w:r>
            <w:r w:rsidRPr="0046677A">
              <w:rPr>
                <w:rFonts w:ascii="Arial Narrow" w:eastAsia="Calibri" w:hAnsi="Arial Narrow" w:cs="Calibri"/>
                <w:b/>
                <w:bCs/>
                <w:spacing w:val="-2"/>
                <w:sz w:val="20"/>
                <w:szCs w:val="20"/>
              </w:rPr>
              <w:t>9</w:t>
            </w:r>
            <w:r w:rsidRPr="0046677A">
              <w:rPr>
                <w:rFonts w:ascii="Arial Narrow" w:eastAsia="Calibri" w:hAnsi="Arial Narrow" w:cs="Calibri"/>
                <w:b/>
                <w:bCs/>
                <w:sz w:val="20"/>
                <w:szCs w:val="20"/>
              </w:rPr>
              <w:t xml:space="preserve">5% </w:t>
            </w:r>
            <w:r w:rsidRPr="0046677A">
              <w:rPr>
                <w:rFonts w:ascii="Arial Narrow" w:eastAsia="Calibri" w:hAnsi="Arial Narrow" w:cs="Calibri"/>
                <w:b/>
                <w:bCs/>
                <w:spacing w:val="-2"/>
                <w:sz w:val="20"/>
                <w:szCs w:val="20"/>
              </w:rPr>
              <w:t>C</w:t>
            </w:r>
            <w:r w:rsidRPr="0046677A">
              <w:rPr>
                <w:rFonts w:ascii="Arial Narrow" w:eastAsia="Calibri" w:hAnsi="Arial Narrow" w:cs="Calibri"/>
                <w:b/>
                <w:bCs/>
                <w:sz w:val="20"/>
                <w:szCs w:val="20"/>
              </w:rPr>
              <w:t>I</w:t>
            </w:r>
            <w:r>
              <w:rPr>
                <w:rFonts w:ascii="Arial Narrow" w:eastAsia="Calibri" w:hAnsi="Arial Narrow" w:cs="Calibri"/>
                <w:b/>
                <w:bCs/>
                <w:sz w:val="20"/>
                <w:szCs w:val="20"/>
              </w:rPr>
              <w:t>]</w:t>
            </w:r>
          </w:p>
        </w:tc>
      </w:tr>
      <w:tr w:rsidR="00116FE6" w:rsidRPr="0046677A" w:rsidTr="0046677A">
        <w:tc>
          <w:tcPr>
            <w:tcW w:w="1986" w:type="dxa"/>
            <w:vMerge/>
          </w:tcPr>
          <w:p w:rsidR="00116FE6" w:rsidRPr="0046677A" w:rsidRDefault="00116FE6" w:rsidP="0046677A">
            <w:pPr>
              <w:rPr>
                <w:rFonts w:ascii="Arial Narrow" w:hAnsi="Arial Narrow"/>
                <w:sz w:val="20"/>
                <w:szCs w:val="20"/>
              </w:rPr>
            </w:pPr>
          </w:p>
        </w:tc>
        <w:tc>
          <w:tcPr>
            <w:tcW w:w="992" w:type="dxa"/>
          </w:tcPr>
          <w:p w:rsidR="00116FE6" w:rsidRPr="0046677A" w:rsidRDefault="00116FE6" w:rsidP="0046677A">
            <w:pPr>
              <w:jc w:val="center"/>
              <w:rPr>
                <w:rFonts w:ascii="Arial Narrow" w:eastAsia="Calibri" w:hAnsi="Arial Narrow" w:cs="Calibri"/>
                <w:sz w:val="20"/>
                <w:szCs w:val="20"/>
              </w:rPr>
            </w:pPr>
            <w:r w:rsidRPr="0046677A">
              <w:rPr>
                <w:rFonts w:ascii="Arial Narrow" w:eastAsia="Calibri" w:hAnsi="Arial Narrow" w:cs="Calibri"/>
                <w:b/>
                <w:bCs/>
                <w:sz w:val="20"/>
                <w:szCs w:val="20"/>
              </w:rPr>
              <w:t>n</w:t>
            </w:r>
          </w:p>
        </w:tc>
        <w:tc>
          <w:tcPr>
            <w:tcW w:w="1417" w:type="dxa"/>
          </w:tcPr>
          <w:p w:rsidR="00116FE6" w:rsidRPr="0046677A" w:rsidRDefault="00116FE6" w:rsidP="0046677A">
            <w:pPr>
              <w:jc w:val="center"/>
              <w:rPr>
                <w:rFonts w:ascii="Arial Narrow" w:eastAsia="Calibri" w:hAnsi="Arial Narrow" w:cs="Calibri"/>
                <w:sz w:val="20"/>
                <w:szCs w:val="20"/>
              </w:rPr>
            </w:pPr>
            <w:r w:rsidRPr="0046677A">
              <w:rPr>
                <w:rFonts w:ascii="Arial Narrow" w:eastAsia="Calibri" w:hAnsi="Arial Narrow" w:cs="Calibri"/>
                <w:b/>
                <w:bCs/>
                <w:sz w:val="20"/>
                <w:szCs w:val="20"/>
              </w:rPr>
              <w:t>Risk (%)</w:t>
            </w:r>
          </w:p>
        </w:tc>
        <w:tc>
          <w:tcPr>
            <w:tcW w:w="997" w:type="dxa"/>
          </w:tcPr>
          <w:p w:rsidR="00116FE6" w:rsidRPr="0046677A" w:rsidRDefault="00116FE6" w:rsidP="0046677A">
            <w:pPr>
              <w:jc w:val="center"/>
              <w:rPr>
                <w:rFonts w:ascii="Arial Narrow" w:hAnsi="Arial Narrow"/>
                <w:sz w:val="20"/>
                <w:szCs w:val="20"/>
              </w:rPr>
            </w:pPr>
            <w:r w:rsidRPr="0046677A">
              <w:rPr>
                <w:rFonts w:ascii="Arial Narrow" w:eastAsia="Calibri" w:hAnsi="Arial Narrow" w:cs="Calibri"/>
                <w:b/>
                <w:bCs/>
                <w:sz w:val="20"/>
                <w:szCs w:val="20"/>
              </w:rPr>
              <w:t>n</w:t>
            </w:r>
          </w:p>
        </w:tc>
        <w:tc>
          <w:tcPr>
            <w:tcW w:w="1261" w:type="dxa"/>
          </w:tcPr>
          <w:p w:rsidR="00116FE6" w:rsidRPr="0046677A" w:rsidRDefault="00116FE6" w:rsidP="0046677A">
            <w:pPr>
              <w:jc w:val="center"/>
              <w:rPr>
                <w:rFonts w:ascii="Arial Narrow" w:eastAsia="Calibri" w:hAnsi="Arial Narrow" w:cs="Calibri"/>
                <w:sz w:val="20"/>
                <w:szCs w:val="20"/>
              </w:rPr>
            </w:pPr>
            <w:r w:rsidRPr="0046677A">
              <w:rPr>
                <w:rFonts w:ascii="Arial Narrow" w:eastAsia="Calibri" w:hAnsi="Arial Narrow" w:cs="Calibri"/>
                <w:b/>
                <w:bCs/>
                <w:sz w:val="20"/>
                <w:szCs w:val="20"/>
              </w:rPr>
              <w:t>Risk (%)</w:t>
            </w:r>
          </w:p>
        </w:tc>
        <w:tc>
          <w:tcPr>
            <w:tcW w:w="1711" w:type="dxa"/>
            <w:vMerge/>
          </w:tcPr>
          <w:p w:rsidR="00116FE6" w:rsidRPr="0046677A" w:rsidRDefault="00116FE6" w:rsidP="0046677A">
            <w:pPr>
              <w:jc w:val="center"/>
              <w:rPr>
                <w:rFonts w:ascii="Arial Narrow" w:hAnsi="Arial Narrow"/>
                <w:sz w:val="20"/>
                <w:szCs w:val="20"/>
              </w:rPr>
            </w:pPr>
          </w:p>
        </w:tc>
      </w:tr>
      <w:tr w:rsidR="0046677A" w:rsidRPr="0046677A" w:rsidTr="0046677A">
        <w:tc>
          <w:tcPr>
            <w:tcW w:w="1986" w:type="dxa"/>
          </w:tcPr>
          <w:p w:rsidR="0046677A" w:rsidRPr="0046677A" w:rsidRDefault="0046677A" w:rsidP="0046677A">
            <w:pPr>
              <w:rPr>
                <w:rFonts w:ascii="Arial Narrow" w:eastAsiaTheme="majorEastAsia" w:hAnsi="Arial Narrow" w:cstheme="minorHAnsi"/>
                <w:bCs/>
                <w:sz w:val="20"/>
                <w:szCs w:val="18"/>
                <w:lang w:eastAsia="en-US" w:bidi="en-US"/>
              </w:rPr>
            </w:pPr>
            <w:r w:rsidRPr="0046677A">
              <w:rPr>
                <w:rFonts w:ascii="Arial Narrow" w:eastAsiaTheme="majorEastAsia" w:hAnsi="Arial Narrow" w:cstheme="minorHAnsi"/>
                <w:bCs/>
                <w:sz w:val="20"/>
                <w:szCs w:val="18"/>
                <w:lang w:eastAsia="en-US" w:bidi="en-US"/>
              </w:rPr>
              <w:t>Death</w:t>
            </w:r>
          </w:p>
        </w:tc>
        <w:tc>
          <w:tcPr>
            <w:tcW w:w="992"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5</w:t>
            </w:r>
          </w:p>
        </w:tc>
        <w:tc>
          <w:tcPr>
            <w:tcW w:w="1417"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0.5</w:t>
            </w:r>
          </w:p>
        </w:tc>
        <w:tc>
          <w:tcPr>
            <w:tcW w:w="997"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66</w:t>
            </w:r>
          </w:p>
        </w:tc>
        <w:tc>
          <w:tcPr>
            <w:tcW w:w="1261"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1.3</w:t>
            </w:r>
          </w:p>
        </w:tc>
        <w:tc>
          <w:tcPr>
            <w:tcW w:w="1711"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0.37 [0.15, 0.93]</w:t>
            </w:r>
          </w:p>
        </w:tc>
      </w:tr>
      <w:tr w:rsidR="0046677A" w:rsidRPr="0046677A" w:rsidTr="0046677A">
        <w:tc>
          <w:tcPr>
            <w:tcW w:w="1986" w:type="dxa"/>
          </w:tcPr>
          <w:p w:rsidR="0046677A" w:rsidRPr="0046677A" w:rsidRDefault="0046677A" w:rsidP="0046677A">
            <w:pPr>
              <w:rPr>
                <w:rFonts w:ascii="Arial Narrow" w:eastAsiaTheme="majorEastAsia" w:hAnsi="Arial Narrow" w:cstheme="minorHAnsi"/>
                <w:bCs/>
                <w:sz w:val="20"/>
                <w:szCs w:val="18"/>
                <w:lang w:eastAsia="en-US" w:bidi="en-US"/>
              </w:rPr>
            </w:pPr>
            <w:r w:rsidRPr="0046677A">
              <w:rPr>
                <w:rFonts w:ascii="Arial Narrow" w:eastAsiaTheme="majorEastAsia" w:hAnsi="Arial Narrow" w:cstheme="minorHAnsi"/>
                <w:bCs/>
                <w:sz w:val="20"/>
                <w:szCs w:val="18"/>
                <w:lang w:eastAsia="en-US" w:bidi="en-US"/>
              </w:rPr>
              <w:t>Organ transplantation</w:t>
            </w:r>
          </w:p>
        </w:tc>
        <w:tc>
          <w:tcPr>
            <w:tcW w:w="992"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2</w:t>
            </w:r>
          </w:p>
        </w:tc>
        <w:tc>
          <w:tcPr>
            <w:tcW w:w="1417"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0.2</w:t>
            </w:r>
          </w:p>
        </w:tc>
        <w:tc>
          <w:tcPr>
            <w:tcW w:w="997"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53</w:t>
            </w:r>
          </w:p>
        </w:tc>
        <w:tc>
          <w:tcPr>
            <w:tcW w:w="1261"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1.1</w:t>
            </w:r>
          </w:p>
        </w:tc>
        <w:tc>
          <w:tcPr>
            <w:tcW w:w="1711"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 xml:space="preserve">0.19 </w:t>
            </w:r>
            <w:r>
              <w:rPr>
                <w:rFonts w:ascii="Arial Narrow" w:eastAsia="Lucida Sans Unicode" w:hAnsi="Arial Narrow" w:cs="Lucida Sans Unicode"/>
                <w:sz w:val="20"/>
                <w:szCs w:val="20"/>
              </w:rPr>
              <w:t>[</w:t>
            </w:r>
            <w:r w:rsidRPr="0046677A">
              <w:rPr>
                <w:rFonts w:ascii="Arial Narrow" w:eastAsia="Lucida Sans Unicode" w:hAnsi="Arial Narrow" w:cs="Lucida Sans Unicode"/>
                <w:sz w:val="20"/>
                <w:szCs w:val="20"/>
              </w:rPr>
              <w:t>0.05</w:t>
            </w:r>
            <w:r>
              <w:rPr>
                <w:rFonts w:ascii="Arial Narrow" w:eastAsia="Lucida Sans Unicode" w:hAnsi="Arial Narrow" w:cs="Lucida Sans Unicode"/>
                <w:sz w:val="20"/>
                <w:szCs w:val="20"/>
              </w:rPr>
              <w:t xml:space="preserve">, </w:t>
            </w:r>
            <w:r w:rsidRPr="0046677A">
              <w:rPr>
                <w:rFonts w:ascii="Arial Narrow" w:eastAsia="Lucida Sans Unicode" w:hAnsi="Arial Narrow" w:cs="Lucida Sans Unicode"/>
                <w:sz w:val="20"/>
                <w:szCs w:val="20"/>
              </w:rPr>
              <w:t>0.76</w:t>
            </w:r>
            <w:r>
              <w:rPr>
                <w:rFonts w:ascii="Arial Narrow" w:eastAsia="Lucida Sans Unicode" w:hAnsi="Arial Narrow" w:cs="Lucida Sans Unicode"/>
                <w:sz w:val="20"/>
                <w:szCs w:val="20"/>
              </w:rPr>
              <w:t>]</w:t>
            </w:r>
          </w:p>
        </w:tc>
      </w:tr>
      <w:tr w:rsidR="0046677A" w:rsidRPr="0046677A" w:rsidTr="0046677A">
        <w:tc>
          <w:tcPr>
            <w:tcW w:w="1986" w:type="dxa"/>
          </w:tcPr>
          <w:p w:rsidR="0046677A" w:rsidRPr="0046677A" w:rsidRDefault="0046677A" w:rsidP="0046677A">
            <w:pPr>
              <w:rPr>
                <w:rFonts w:ascii="Arial Narrow" w:eastAsiaTheme="majorEastAsia" w:hAnsi="Arial Narrow" w:cstheme="minorHAnsi"/>
                <w:bCs/>
                <w:sz w:val="20"/>
                <w:szCs w:val="18"/>
                <w:lang w:eastAsia="en-US" w:bidi="en-US"/>
              </w:rPr>
            </w:pPr>
            <w:r w:rsidRPr="0046677A">
              <w:rPr>
                <w:rFonts w:ascii="Arial Narrow" w:eastAsiaTheme="majorEastAsia" w:hAnsi="Arial Narrow" w:cstheme="minorHAnsi"/>
                <w:bCs/>
                <w:sz w:val="20"/>
                <w:szCs w:val="18"/>
                <w:lang w:eastAsia="en-US" w:bidi="en-US"/>
              </w:rPr>
              <w:t>Hospitalisation</w:t>
            </w:r>
          </w:p>
        </w:tc>
        <w:tc>
          <w:tcPr>
            <w:tcW w:w="992"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247</w:t>
            </w:r>
          </w:p>
        </w:tc>
        <w:tc>
          <w:tcPr>
            <w:tcW w:w="1417"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24.7</w:t>
            </w:r>
          </w:p>
        </w:tc>
        <w:tc>
          <w:tcPr>
            <w:tcW w:w="997"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2,055</w:t>
            </w:r>
          </w:p>
        </w:tc>
        <w:tc>
          <w:tcPr>
            <w:tcW w:w="1261"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41.7</w:t>
            </w:r>
          </w:p>
        </w:tc>
        <w:tc>
          <w:tcPr>
            <w:tcW w:w="1711"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 xml:space="preserve">0.59 </w:t>
            </w:r>
            <w:r>
              <w:rPr>
                <w:rFonts w:ascii="Arial Narrow" w:eastAsia="Lucida Sans Unicode" w:hAnsi="Arial Narrow" w:cs="Lucida Sans Unicode"/>
                <w:sz w:val="20"/>
                <w:szCs w:val="20"/>
              </w:rPr>
              <w:t xml:space="preserve">[0.53, </w:t>
            </w:r>
            <w:r w:rsidRPr="0046677A">
              <w:rPr>
                <w:rFonts w:ascii="Arial Narrow" w:eastAsia="Lucida Sans Unicode" w:hAnsi="Arial Narrow" w:cs="Lucida Sans Unicode"/>
                <w:sz w:val="20"/>
                <w:szCs w:val="20"/>
              </w:rPr>
              <w:t>0.66</w:t>
            </w:r>
            <w:r>
              <w:rPr>
                <w:rFonts w:ascii="Arial Narrow" w:eastAsia="Lucida Sans Unicode" w:hAnsi="Arial Narrow" w:cs="Lucida Sans Unicode"/>
                <w:sz w:val="20"/>
                <w:szCs w:val="20"/>
              </w:rPr>
              <w:t>]</w:t>
            </w:r>
          </w:p>
        </w:tc>
      </w:tr>
      <w:tr w:rsidR="0046677A" w:rsidRPr="0046677A" w:rsidTr="0046677A">
        <w:tc>
          <w:tcPr>
            <w:tcW w:w="1986" w:type="dxa"/>
          </w:tcPr>
          <w:p w:rsidR="0046677A" w:rsidRPr="0046677A" w:rsidRDefault="0046677A" w:rsidP="0046677A">
            <w:pPr>
              <w:rPr>
                <w:rFonts w:ascii="Arial Narrow" w:eastAsia="Lucida Sans Unicode" w:hAnsi="Arial Narrow" w:cs="Lucida Sans Unicode"/>
                <w:sz w:val="20"/>
                <w:szCs w:val="20"/>
              </w:rPr>
            </w:pPr>
            <w:r>
              <w:rPr>
                <w:rFonts w:ascii="Arial Narrow" w:eastAsiaTheme="majorEastAsia" w:hAnsi="Arial Narrow" w:cstheme="minorHAnsi"/>
                <w:bCs/>
                <w:sz w:val="20"/>
                <w:szCs w:val="18"/>
                <w:lang w:eastAsia="en-US" w:bidi="en-US"/>
              </w:rPr>
              <w:t>Pulmonary exacerbation</w:t>
            </w:r>
          </w:p>
        </w:tc>
        <w:tc>
          <w:tcPr>
            <w:tcW w:w="992"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256</w:t>
            </w:r>
          </w:p>
        </w:tc>
        <w:tc>
          <w:tcPr>
            <w:tcW w:w="1417"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25.6</w:t>
            </w:r>
          </w:p>
        </w:tc>
        <w:tc>
          <w:tcPr>
            <w:tcW w:w="997"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2,037</w:t>
            </w:r>
          </w:p>
        </w:tc>
        <w:tc>
          <w:tcPr>
            <w:tcW w:w="1261"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41.3</w:t>
            </w:r>
          </w:p>
        </w:tc>
        <w:tc>
          <w:tcPr>
            <w:tcW w:w="1711" w:type="dxa"/>
          </w:tcPr>
          <w:p w:rsidR="0046677A" w:rsidRPr="0046677A" w:rsidRDefault="0046677A" w:rsidP="0046677A">
            <w:pPr>
              <w:jc w:val="center"/>
              <w:rPr>
                <w:rFonts w:ascii="Arial Narrow" w:eastAsia="Lucida Sans Unicode" w:hAnsi="Arial Narrow" w:cs="Lucida Sans Unicode"/>
                <w:sz w:val="20"/>
                <w:szCs w:val="20"/>
              </w:rPr>
            </w:pPr>
            <w:r w:rsidRPr="0046677A">
              <w:rPr>
                <w:rFonts w:ascii="Arial Narrow" w:eastAsia="Lucida Sans Unicode" w:hAnsi="Arial Narrow" w:cs="Lucida Sans Unicode"/>
                <w:sz w:val="20"/>
                <w:szCs w:val="20"/>
              </w:rPr>
              <w:t xml:space="preserve">0.62 </w:t>
            </w:r>
            <w:r>
              <w:rPr>
                <w:rFonts w:ascii="Arial Narrow" w:eastAsia="Lucida Sans Unicode" w:hAnsi="Arial Narrow" w:cs="Lucida Sans Unicode"/>
                <w:sz w:val="20"/>
                <w:szCs w:val="20"/>
              </w:rPr>
              <w:t xml:space="preserve">[0.56, </w:t>
            </w:r>
            <w:r w:rsidRPr="0046677A">
              <w:rPr>
                <w:rFonts w:ascii="Arial Narrow" w:eastAsia="Lucida Sans Unicode" w:hAnsi="Arial Narrow" w:cs="Lucida Sans Unicode"/>
                <w:sz w:val="20"/>
                <w:szCs w:val="20"/>
              </w:rPr>
              <w:t>0.69</w:t>
            </w:r>
            <w:r>
              <w:rPr>
                <w:rFonts w:ascii="Arial Narrow" w:eastAsia="Lucida Sans Unicode" w:hAnsi="Arial Narrow" w:cs="Lucida Sans Unicode"/>
                <w:sz w:val="20"/>
                <w:szCs w:val="20"/>
              </w:rPr>
              <w:t>]</w:t>
            </w:r>
          </w:p>
        </w:tc>
      </w:tr>
    </w:tbl>
    <w:p w:rsidR="00116FE6" w:rsidRDefault="00116FE6" w:rsidP="00116FE6">
      <w:pPr>
        <w:pStyle w:val="tablenotes"/>
        <w:widowControl w:val="0"/>
        <w:rPr>
          <w:rFonts w:eastAsiaTheme="majorEastAsia"/>
          <w:lang w:bidi="en-US"/>
        </w:rPr>
      </w:pPr>
      <w:r>
        <w:rPr>
          <w:rFonts w:eastAsiaTheme="majorEastAsia"/>
          <w:lang w:bidi="en-US"/>
        </w:rPr>
        <w:t xml:space="preserve">CI = confidence interval; </w:t>
      </w:r>
      <w:r>
        <w:t>CFFPR = Cystic Fibrosis Foundation Patient Registry</w:t>
      </w:r>
    </w:p>
    <w:p w:rsidR="0046677A" w:rsidRPr="004C7EF9" w:rsidRDefault="00116FE6" w:rsidP="004C7EF9">
      <w:pPr>
        <w:pStyle w:val="tablenotes"/>
        <w:widowControl w:val="0"/>
        <w:rPr>
          <w:rFonts w:eastAsiaTheme="majorEastAsia"/>
          <w:lang w:bidi="en-US"/>
        </w:rPr>
      </w:pPr>
      <w:r>
        <w:rPr>
          <w:rFonts w:eastAsiaTheme="majorEastAsia"/>
          <w:lang w:bidi="en-US"/>
        </w:rPr>
        <w:t>Source: Table 4, p19 of the submission</w:t>
      </w:r>
    </w:p>
    <w:p w:rsidR="00B51F34" w:rsidRPr="00B51F34" w:rsidRDefault="00B51F34" w:rsidP="00B51F34">
      <w:pPr>
        <w:jc w:val="both"/>
        <w:rPr>
          <w:rFonts w:ascii="Arial" w:hAnsi="Arial"/>
          <w:sz w:val="22"/>
          <w:szCs w:val="22"/>
        </w:rPr>
      </w:pPr>
    </w:p>
    <w:p w:rsidR="004E1428" w:rsidRDefault="0024332A" w:rsidP="006F3A4B">
      <w:pPr>
        <w:pStyle w:val="ListParagraph"/>
        <w:numPr>
          <w:ilvl w:val="1"/>
          <w:numId w:val="1"/>
        </w:numPr>
        <w:jc w:val="both"/>
        <w:rPr>
          <w:rFonts w:ascii="Arial" w:hAnsi="Arial"/>
          <w:sz w:val="22"/>
          <w:szCs w:val="22"/>
        </w:rPr>
      </w:pPr>
      <w:r>
        <w:rPr>
          <w:rFonts w:ascii="Arial" w:hAnsi="Arial"/>
          <w:sz w:val="22"/>
          <w:szCs w:val="22"/>
        </w:rPr>
        <w:t xml:space="preserve">The submission </w:t>
      </w:r>
      <w:r w:rsidR="00B27FEB">
        <w:rPr>
          <w:rFonts w:ascii="Arial" w:hAnsi="Arial"/>
          <w:sz w:val="22"/>
          <w:szCs w:val="22"/>
        </w:rPr>
        <w:t>not</w:t>
      </w:r>
      <w:r>
        <w:rPr>
          <w:rFonts w:ascii="Arial" w:hAnsi="Arial"/>
          <w:sz w:val="22"/>
          <w:szCs w:val="22"/>
        </w:rPr>
        <w:t xml:space="preserve">ed </w:t>
      </w:r>
      <w:r w:rsidR="000D750B">
        <w:rPr>
          <w:rFonts w:ascii="Arial" w:hAnsi="Arial"/>
          <w:sz w:val="22"/>
          <w:szCs w:val="22"/>
        </w:rPr>
        <w:t>several</w:t>
      </w:r>
      <w:r>
        <w:rPr>
          <w:rFonts w:ascii="Arial" w:hAnsi="Arial"/>
          <w:sz w:val="22"/>
          <w:szCs w:val="22"/>
        </w:rPr>
        <w:t xml:space="preserve"> limitations of the included studies</w:t>
      </w:r>
      <w:r w:rsidR="00DE32A5">
        <w:rPr>
          <w:rFonts w:ascii="Arial" w:hAnsi="Arial"/>
          <w:sz w:val="22"/>
          <w:szCs w:val="22"/>
        </w:rPr>
        <w:t>:</w:t>
      </w:r>
    </w:p>
    <w:p w:rsidR="0024332A" w:rsidRPr="0024332A" w:rsidRDefault="0024332A" w:rsidP="0024332A">
      <w:pPr>
        <w:pStyle w:val="ListParagraph"/>
        <w:rPr>
          <w:rFonts w:ascii="Arial" w:hAnsi="Arial"/>
          <w:sz w:val="22"/>
          <w:szCs w:val="22"/>
        </w:rPr>
      </w:pPr>
    </w:p>
    <w:p w:rsidR="0024332A" w:rsidRPr="002C713F" w:rsidRDefault="0024332A" w:rsidP="00715641">
      <w:pPr>
        <w:pStyle w:val="ListParagraph"/>
        <w:numPr>
          <w:ilvl w:val="0"/>
          <w:numId w:val="2"/>
        </w:numPr>
        <w:jc w:val="both"/>
        <w:rPr>
          <w:rFonts w:ascii="Arial" w:hAnsi="Arial"/>
          <w:sz w:val="22"/>
          <w:szCs w:val="22"/>
        </w:rPr>
      </w:pPr>
      <w:r w:rsidRPr="002C713F">
        <w:rPr>
          <w:rFonts w:ascii="Arial" w:hAnsi="Arial"/>
          <w:sz w:val="22"/>
          <w:szCs w:val="22"/>
        </w:rPr>
        <w:t>The retrospective data collection</w:t>
      </w:r>
      <w:r w:rsidR="000D750B" w:rsidRPr="002C713F">
        <w:rPr>
          <w:rFonts w:ascii="Arial" w:hAnsi="Arial"/>
          <w:sz w:val="22"/>
          <w:szCs w:val="22"/>
        </w:rPr>
        <w:t xml:space="preserve"> or post hoc analysis </w:t>
      </w:r>
      <w:r w:rsidRPr="002C713F">
        <w:rPr>
          <w:rFonts w:ascii="Arial" w:hAnsi="Arial"/>
          <w:sz w:val="22"/>
          <w:szCs w:val="22"/>
        </w:rPr>
        <w:t>in most of the studies.</w:t>
      </w:r>
      <w:r w:rsidR="000D750B" w:rsidRPr="002C713F">
        <w:rPr>
          <w:rFonts w:ascii="Arial" w:hAnsi="Arial"/>
          <w:sz w:val="22"/>
          <w:szCs w:val="22"/>
        </w:rPr>
        <w:t xml:space="preserve"> </w:t>
      </w:r>
      <w:r w:rsidR="0023535A" w:rsidRPr="002C713F">
        <w:rPr>
          <w:rFonts w:ascii="Arial" w:hAnsi="Arial"/>
          <w:sz w:val="22"/>
          <w:szCs w:val="22"/>
        </w:rPr>
        <w:t>P</w:t>
      </w:r>
      <w:r w:rsidR="00DF145B" w:rsidRPr="002C713F">
        <w:rPr>
          <w:rFonts w:ascii="Arial" w:hAnsi="Arial"/>
          <w:sz w:val="22"/>
          <w:szCs w:val="22"/>
        </w:rPr>
        <w:t>a</w:t>
      </w:r>
      <w:r w:rsidR="000765F6" w:rsidRPr="002C713F">
        <w:rPr>
          <w:rFonts w:ascii="Arial" w:hAnsi="Arial"/>
          <w:sz w:val="22"/>
          <w:szCs w:val="22"/>
        </w:rPr>
        <w:t xml:space="preserve">tients who discontinued treatment or had missing data were not included for </w:t>
      </w:r>
      <w:r w:rsidR="00715641" w:rsidRPr="002C713F">
        <w:rPr>
          <w:rFonts w:ascii="Arial" w:hAnsi="Arial"/>
          <w:sz w:val="22"/>
          <w:szCs w:val="22"/>
        </w:rPr>
        <w:t>analysis</w:t>
      </w:r>
      <w:r w:rsidR="000765F6" w:rsidRPr="002C713F">
        <w:rPr>
          <w:rFonts w:ascii="Arial" w:hAnsi="Arial"/>
          <w:sz w:val="22"/>
          <w:szCs w:val="22"/>
        </w:rPr>
        <w:t xml:space="preserve"> i</w:t>
      </w:r>
      <w:r w:rsidR="000D750B" w:rsidRPr="002C713F">
        <w:rPr>
          <w:rFonts w:ascii="Arial" w:hAnsi="Arial"/>
          <w:sz w:val="22"/>
          <w:szCs w:val="22"/>
        </w:rPr>
        <w:t>n the CAP</w:t>
      </w:r>
      <w:r w:rsidR="00355DD8" w:rsidRPr="002C713F">
        <w:rPr>
          <w:rFonts w:ascii="Arial" w:hAnsi="Arial"/>
          <w:sz w:val="22"/>
          <w:szCs w:val="22"/>
        </w:rPr>
        <w:t>s</w:t>
      </w:r>
      <w:r w:rsidR="000D750B" w:rsidRPr="002C713F">
        <w:rPr>
          <w:rFonts w:ascii="Arial" w:hAnsi="Arial"/>
          <w:sz w:val="22"/>
          <w:szCs w:val="22"/>
        </w:rPr>
        <w:t xml:space="preserve"> in France </w:t>
      </w:r>
      <w:r w:rsidR="00446E64" w:rsidRPr="002C713F">
        <w:rPr>
          <w:rFonts w:ascii="Arial" w:hAnsi="Arial"/>
          <w:sz w:val="22"/>
          <w:szCs w:val="22"/>
        </w:rPr>
        <w:t>(n=3</w:t>
      </w:r>
      <w:r w:rsidR="00096002" w:rsidRPr="002C713F">
        <w:rPr>
          <w:rFonts w:ascii="Arial" w:hAnsi="Arial"/>
          <w:sz w:val="22"/>
          <w:szCs w:val="22"/>
        </w:rPr>
        <w:t xml:space="preserve"> </w:t>
      </w:r>
      <w:r w:rsidR="00EB2C63" w:rsidRPr="002C713F">
        <w:rPr>
          <w:rFonts w:ascii="Arial" w:hAnsi="Arial"/>
          <w:sz w:val="22"/>
          <w:szCs w:val="22"/>
        </w:rPr>
        <w:t>(3</w:t>
      </w:r>
      <w:r w:rsidR="00760841" w:rsidRPr="002C713F">
        <w:rPr>
          <w:rFonts w:ascii="Arial" w:hAnsi="Arial"/>
          <w:sz w:val="22"/>
          <w:szCs w:val="22"/>
        </w:rPr>
        <w:t>8</w:t>
      </w:r>
      <w:r w:rsidR="00EB2C63" w:rsidRPr="002C713F">
        <w:rPr>
          <w:rFonts w:ascii="Arial" w:hAnsi="Arial"/>
          <w:sz w:val="22"/>
          <w:szCs w:val="22"/>
        </w:rPr>
        <w:t xml:space="preserve">%) </w:t>
      </w:r>
      <w:r w:rsidR="00096002" w:rsidRPr="002C713F">
        <w:rPr>
          <w:rFonts w:ascii="Arial" w:hAnsi="Arial"/>
          <w:sz w:val="22"/>
          <w:szCs w:val="22"/>
        </w:rPr>
        <w:t>at Week 12</w:t>
      </w:r>
      <w:r w:rsidR="00446E64" w:rsidRPr="002C713F">
        <w:rPr>
          <w:rFonts w:ascii="Arial" w:hAnsi="Arial"/>
          <w:sz w:val="22"/>
          <w:szCs w:val="22"/>
        </w:rPr>
        <w:t>)</w:t>
      </w:r>
      <w:r w:rsidR="00355DD8" w:rsidRPr="002C713F">
        <w:rPr>
          <w:rFonts w:ascii="Arial" w:hAnsi="Arial"/>
          <w:sz w:val="22"/>
          <w:szCs w:val="22"/>
        </w:rPr>
        <w:t xml:space="preserve"> and the US (n=</w:t>
      </w:r>
      <w:r w:rsidR="00760841" w:rsidRPr="002C713F">
        <w:rPr>
          <w:rFonts w:ascii="Arial" w:hAnsi="Arial"/>
          <w:sz w:val="22"/>
          <w:szCs w:val="22"/>
        </w:rPr>
        <w:t>25 (57%)</w:t>
      </w:r>
      <w:r w:rsidR="00715641" w:rsidRPr="002C713F">
        <w:rPr>
          <w:rFonts w:ascii="Arial" w:hAnsi="Arial"/>
          <w:sz w:val="22"/>
          <w:szCs w:val="22"/>
        </w:rPr>
        <w:t>, n=</w:t>
      </w:r>
      <w:r w:rsidR="000765F6" w:rsidRPr="002C713F">
        <w:rPr>
          <w:rFonts w:ascii="Arial" w:hAnsi="Arial"/>
          <w:sz w:val="22"/>
          <w:szCs w:val="22"/>
        </w:rPr>
        <w:t>19</w:t>
      </w:r>
      <w:r w:rsidR="00760841" w:rsidRPr="002C713F">
        <w:rPr>
          <w:rFonts w:ascii="Arial" w:hAnsi="Arial"/>
          <w:sz w:val="22"/>
          <w:szCs w:val="22"/>
        </w:rPr>
        <w:t xml:space="preserve"> (43%)</w:t>
      </w:r>
      <w:r w:rsidR="00355DD8" w:rsidRPr="002C713F">
        <w:rPr>
          <w:rFonts w:ascii="Arial" w:hAnsi="Arial"/>
          <w:sz w:val="22"/>
          <w:szCs w:val="22"/>
        </w:rPr>
        <w:t xml:space="preserve"> </w:t>
      </w:r>
      <w:r w:rsidR="00715641" w:rsidRPr="002C713F">
        <w:rPr>
          <w:rFonts w:ascii="Arial" w:hAnsi="Arial"/>
          <w:sz w:val="22"/>
          <w:szCs w:val="22"/>
        </w:rPr>
        <w:t>for FEV</w:t>
      </w:r>
      <w:r w:rsidR="00715641" w:rsidRPr="002C713F">
        <w:rPr>
          <w:rFonts w:ascii="Arial" w:hAnsi="Arial"/>
          <w:sz w:val="22"/>
          <w:szCs w:val="22"/>
          <w:vertAlign w:val="subscript"/>
        </w:rPr>
        <w:t>1</w:t>
      </w:r>
      <w:r w:rsidR="00715641" w:rsidRPr="002C713F">
        <w:rPr>
          <w:rFonts w:ascii="Arial" w:hAnsi="Arial"/>
          <w:sz w:val="22"/>
          <w:szCs w:val="22"/>
        </w:rPr>
        <w:t xml:space="preserve"> and weight, respectively, </w:t>
      </w:r>
      <w:r w:rsidR="00355DD8" w:rsidRPr="002C713F">
        <w:rPr>
          <w:rFonts w:ascii="Arial" w:hAnsi="Arial"/>
          <w:sz w:val="22"/>
          <w:szCs w:val="22"/>
        </w:rPr>
        <w:t>at Week 24)</w:t>
      </w:r>
      <w:r w:rsidR="00446E64" w:rsidRPr="002C713F">
        <w:rPr>
          <w:rFonts w:ascii="Arial" w:hAnsi="Arial"/>
          <w:sz w:val="22"/>
          <w:szCs w:val="22"/>
        </w:rPr>
        <w:t xml:space="preserve"> </w:t>
      </w:r>
      <w:r w:rsidR="000D750B" w:rsidRPr="002C713F">
        <w:rPr>
          <w:rFonts w:ascii="Arial" w:hAnsi="Arial"/>
          <w:sz w:val="22"/>
          <w:szCs w:val="22"/>
        </w:rPr>
        <w:t xml:space="preserve">and </w:t>
      </w:r>
      <w:r w:rsidR="00715641" w:rsidRPr="002C713F">
        <w:rPr>
          <w:rFonts w:ascii="Arial" w:hAnsi="Arial"/>
          <w:sz w:val="22"/>
          <w:szCs w:val="22"/>
        </w:rPr>
        <w:t xml:space="preserve">in </w:t>
      </w:r>
      <w:r w:rsidR="000D750B" w:rsidRPr="002C713F">
        <w:rPr>
          <w:rFonts w:ascii="Arial" w:hAnsi="Arial"/>
          <w:sz w:val="22"/>
          <w:szCs w:val="22"/>
        </w:rPr>
        <w:t xml:space="preserve">the subgroup analyses of STRIVE </w:t>
      </w:r>
      <w:r w:rsidR="00446E64" w:rsidRPr="002C713F">
        <w:rPr>
          <w:rFonts w:ascii="Arial" w:hAnsi="Arial"/>
          <w:sz w:val="22"/>
          <w:szCs w:val="22"/>
        </w:rPr>
        <w:t>(n=</w:t>
      </w:r>
      <w:r w:rsidR="006B11CF" w:rsidRPr="002C713F">
        <w:rPr>
          <w:rFonts w:ascii="Arial" w:hAnsi="Arial"/>
          <w:sz w:val="22"/>
          <w:szCs w:val="22"/>
        </w:rPr>
        <w:t>1</w:t>
      </w:r>
      <w:r w:rsidR="00096002" w:rsidRPr="002C713F">
        <w:rPr>
          <w:rFonts w:ascii="Arial" w:hAnsi="Arial"/>
          <w:sz w:val="22"/>
          <w:szCs w:val="22"/>
        </w:rPr>
        <w:t xml:space="preserve"> </w:t>
      </w:r>
      <w:r w:rsidR="00760841" w:rsidRPr="002C713F">
        <w:rPr>
          <w:rFonts w:ascii="Arial" w:hAnsi="Arial"/>
          <w:sz w:val="22"/>
          <w:szCs w:val="22"/>
        </w:rPr>
        <w:t xml:space="preserve">(20%) </w:t>
      </w:r>
      <w:r w:rsidR="00096002" w:rsidRPr="002C713F">
        <w:rPr>
          <w:rFonts w:ascii="Arial" w:hAnsi="Arial"/>
          <w:sz w:val="22"/>
          <w:szCs w:val="22"/>
        </w:rPr>
        <w:t>at Week 48</w:t>
      </w:r>
      <w:r w:rsidR="00446E64" w:rsidRPr="002C713F">
        <w:rPr>
          <w:rFonts w:ascii="Arial" w:hAnsi="Arial"/>
          <w:sz w:val="22"/>
          <w:szCs w:val="22"/>
        </w:rPr>
        <w:t xml:space="preserve">) </w:t>
      </w:r>
      <w:r w:rsidR="000D750B" w:rsidRPr="002C713F">
        <w:rPr>
          <w:rFonts w:ascii="Arial" w:hAnsi="Arial"/>
          <w:sz w:val="22"/>
          <w:szCs w:val="22"/>
        </w:rPr>
        <w:t>and PERSIST</w:t>
      </w:r>
      <w:r w:rsidR="00446E64" w:rsidRPr="002C713F">
        <w:rPr>
          <w:rFonts w:ascii="Arial" w:hAnsi="Arial"/>
          <w:sz w:val="22"/>
          <w:szCs w:val="22"/>
        </w:rPr>
        <w:t xml:space="preserve"> (n=</w:t>
      </w:r>
      <w:r w:rsidR="006B11CF" w:rsidRPr="002C713F">
        <w:rPr>
          <w:rFonts w:ascii="Arial" w:hAnsi="Arial"/>
          <w:sz w:val="22"/>
          <w:szCs w:val="22"/>
        </w:rPr>
        <w:t>6</w:t>
      </w:r>
      <w:r w:rsidR="00096002" w:rsidRPr="002C713F">
        <w:rPr>
          <w:rFonts w:ascii="Arial" w:hAnsi="Arial"/>
          <w:sz w:val="22"/>
          <w:szCs w:val="22"/>
        </w:rPr>
        <w:t xml:space="preserve"> </w:t>
      </w:r>
      <w:r w:rsidR="00760841" w:rsidRPr="002C713F">
        <w:rPr>
          <w:rFonts w:ascii="Arial" w:hAnsi="Arial"/>
          <w:sz w:val="22"/>
          <w:szCs w:val="22"/>
        </w:rPr>
        <w:t xml:space="preserve">(75%) </w:t>
      </w:r>
      <w:r w:rsidR="00096002" w:rsidRPr="002C713F">
        <w:rPr>
          <w:rFonts w:ascii="Arial" w:hAnsi="Arial"/>
          <w:sz w:val="22"/>
          <w:szCs w:val="22"/>
        </w:rPr>
        <w:t>at Week 48</w:t>
      </w:r>
      <w:r w:rsidR="00446E64" w:rsidRPr="002C713F">
        <w:rPr>
          <w:rFonts w:ascii="Arial" w:hAnsi="Arial"/>
          <w:sz w:val="22"/>
          <w:szCs w:val="22"/>
        </w:rPr>
        <w:t xml:space="preserve">). It is unknown whether this </w:t>
      </w:r>
      <w:r w:rsidR="00D347A8" w:rsidRPr="002C713F">
        <w:rPr>
          <w:rFonts w:ascii="Arial" w:hAnsi="Arial"/>
          <w:sz w:val="22"/>
          <w:szCs w:val="22"/>
        </w:rPr>
        <w:t>occurr</w:t>
      </w:r>
      <w:r w:rsidR="00446E64" w:rsidRPr="002C713F">
        <w:rPr>
          <w:rFonts w:ascii="Arial" w:hAnsi="Arial"/>
          <w:sz w:val="22"/>
          <w:szCs w:val="22"/>
        </w:rPr>
        <w:t>ed in other studies</w:t>
      </w:r>
      <w:r w:rsidR="00D347A8" w:rsidRPr="002C713F">
        <w:rPr>
          <w:rFonts w:ascii="Arial" w:hAnsi="Arial"/>
          <w:sz w:val="22"/>
          <w:szCs w:val="22"/>
        </w:rPr>
        <w:t xml:space="preserve"> as well</w:t>
      </w:r>
      <w:r w:rsidR="00446E64" w:rsidRPr="002C713F">
        <w:rPr>
          <w:rFonts w:ascii="Arial" w:hAnsi="Arial"/>
          <w:sz w:val="22"/>
          <w:szCs w:val="22"/>
        </w:rPr>
        <w:t xml:space="preserve">. If patients withdrew </w:t>
      </w:r>
      <w:r w:rsidR="00A93DF5" w:rsidRPr="002C713F">
        <w:rPr>
          <w:rFonts w:ascii="Arial" w:hAnsi="Arial"/>
          <w:sz w:val="22"/>
          <w:szCs w:val="22"/>
        </w:rPr>
        <w:t xml:space="preserve">from </w:t>
      </w:r>
      <w:r w:rsidR="00446E64" w:rsidRPr="002C713F">
        <w:rPr>
          <w:rFonts w:ascii="Arial" w:hAnsi="Arial"/>
          <w:sz w:val="22"/>
          <w:szCs w:val="22"/>
        </w:rPr>
        <w:t xml:space="preserve">ivacaftor therapy or </w:t>
      </w:r>
      <w:r w:rsidR="00A93DF5" w:rsidRPr="002C713F">
        <w:rPr>
          <w:rFonts w:ascii="Arial" w:hAnsi="Arial"/>
          <w:sz w:val="22"/>
          <w:szCs w:val="22"/>
        </w:rPr>
        <w:t xml:space="preserve">were </w:t>
      </w:r>
      <w:r w:rsidR="00446E64" w:rsidRPr="002C713F">
        <w:rPr>
          <w:rFonts w:ascii="Arial" w:hAnsi="Arial"/>
          <w:sz w:val="22"/>
          <w:szCs w:val="22"/>
        </w:rPr>
        <w:t>lost to follow-up due to lack of treatment response or disease exacerbation, the efficacy results would have been biased in favour of ivacaftor;</w:t>
      </w:r>
    </w:p>
    <w:p w:rsidR="0024332A" w:rsidRPr="002C713F" w:rsidRDefault="0024332A" w:rsidP="006F3A4B">
      <w:pPr>
        <w:pStyle w:val="ListParagraph"/>
        <w:numPr>
          <w:ilvl w:val="0"/>
          <w:numId w:val="2"/>
        </w:numPr>
        <w:jc w:val="both"/>
        <w:rPr>
          <w:rFonts w:ascii="Arial" w:hAnsi="Arial"/>
          <w:sz w:val="22"/>
          <w:szCs w:val="22"/>
        </w:rPr>
      </w:pPr>
      <w:r w:rsidRPr="002C713F">
        <w:rPr>
          <w:rFonts w:ascii="Arial" w:hAnsi="Arial"/>
          <w:sz w:val="22"/>
          <w:szCs w:val="22"/>
        </w:rPr>
        <w:lastRenderedPageBreak/>
        <w:t xml:space="preserve">The lack of </w:t>
      </w:r>
      <w:r w:rsidR="00810757" w:rsidRPr="002C713F">
        <w:rPr>
          <w:rFonts w:ascii="Arial" w:hAnsi="Arial"/>
          <w:sz w:val="22"/>
          <w:szCs w:val="22"/>
        </w:rPr>
        <w:t xml:space="preserve">a </w:t>
      </w:r>
      <w:r w:rsidR="004C78CD" w:rsidRPr="002C713F">
        <w:rPr>
          <w:rFonts w:ascii="Arial" w:hAnsi="Arial"/>
          <w:sz w:val="22"/>
          <w:szCs w:val="22"/>
        </w:rPr>
        <w:t>randomised</w:t>
      </w:r>
      <w:r w:rsidR="00810757" w:rsidRPr="002C713F">
        <w:rPr>
          <w:rFonts w:ascii="Arial" w:hAnsi="Arial"/>
          <w:sz w:val="22"/>
          <w:szCs w:val="22"/>
        </w:rPr>
        <w:t xml:space="preserve"> </w:t>
      </w:r>
      <w:r w:rsidRPr="002C713F">
        <w:rPr>
          <w:rFonts w:ascii="Arial" w:hAnsi="Arial"/>
          <w:sz w:val="22"/>
          <w:szCs w:val="22"/>
        </w:rPr>
        <w:t xml:space="preserve">placebo </w:t>
      </w:r>
      <w:r w:rsidR="00B06188" w:rsidRPr="002C713F">
        <w:rPr>
          <w:rFonts w:ascii="Arial" w:hAnsi="Arial"/>
          <w:sz w:val="22"/>
          <w:szCs w:val="22"/>
        </w:rPr>
        <w:t>arm</w:t>
      </w:r>
      <w:r w:rsidRPr="002C713F">
        <w:rPr>
          <w:rFonts w:ascii="Arial" w:hAnsi="Arial"/>
          <w:sz w:val="22"/>
          <w:szCs w:val="22"/>
        </w:rPr>
        <w:t xml:space="preserve">. Although </w:t>
      </w:r>
      <w:r w:rsidR="00810757" w:rsidRPr="002C713F">
        <w:rPr>
          <w:rFonts w:ascii="Arial" w:hAnsi="Arial"/>
          <w:sz w:val="22"/>
          <w:szCs w:val="22"/>
        </w:rPr>
        <w:t>‘no treatment’</w:t>
      </w:r>
      <w:r w:rsidRPr="002C713F">
        <w:rPr>
          <w:rFonts w:ascii="Arial" w:hAnsi="Arial"/>
          <w:sz w:val="22"/>
          <w:szCs w:val="22"/>
        </w:rPr>
        <w:t xml:space="preserve"> groups were </w:t>
      </w:r>
      <w:r w:rsidR="00B06188" w:rsidRPr="002C713F">
        <w:rPr>
          <w:rFonts w:ascii="Arial" w:hAnsi="Arial"/>
          <w:sz w:val="22"/>
          <w:szCs w:val="22"/>
        </w:rPr>
        <w:t>included</w:t>
      </w:r>
      <w:r w:rsidRPr="002C713F">
        <w:rPr>
          <w:rFonts w:ascii="Arial" w:hAnsi="Arial"/>
          <w:sz w:val="22"/>
          <w:szCs w:val="22"/>
        </w:rPr>
        <w:t xml:space="preserve"> in three studies, </w:t>
      </w:r>
      <w:r w:rsidR="00DA68F2" w:rsidRPr="002C713F">
        <w:rPr>
          <w:rFonts w:ascii="Arial" w:hAnsi="Arial"/>
          <w:sz w:val="22"/>
          <w:szCs w:val="22"/>
        </w:rPr>
        <w:t xml:space="preserve">due to </w:t>
      </w:r>
      <w:r w:rsidRPr="002C713F">
        <w:rPr>
          <w:rFonts w:ascii="Arial" w:hAnsi="Arial"/>
          <w:sz w:val="22"/>
          <w:szCs w:val="22"/>
        </w:rPr>
        <w:t>the non-randomis</w:t>
      </w:r>
      <w:r w:rsidR="00A93DF5" w:rsidRPr="002C713F">
        <w:rPr>
          <w:rFonts w:ascii="Arial" w:hAnsi="Arial"/>
          <w:sz w:val="22"/>
          <w:szCs w:val="22"/>
        </w:rPr>
        <w:t>ed</w:t>
      </w:r>
      <w:r w:rsidRPr="002C713F">
        <w:rPr>
          <w:rFonts w:ascii="Arial" w:hAnsi="Arial"/>
          <w:sz w:val="22"/>
          <w:szCs w:val="22"/>
        </w:rPr>
        <w:t xml:space="preserve"> </w:t>
      </w:r>
      <w:r w:rsidR="00B06188" w:rsidRPr="002C713F">
        <w:rPr>
          <w:rFonts w:ascii="Arial" w:hAnsi="Arial"/>
          <w:sz w:val="22"/>
          <w:szCs w:val="22"/>
        </w:rPr>
        <w:t>design of the studies</w:t>
      </w:r>
      <w:r w:rsidRPr="002C713F">
        <w:rPr>
          <w:rFonts w:ascii="Arial" w:hAnsi="Arial"/>
          <w:sz w:val="22"/>
          <w:szCs w:val="22"/>
        </w:rPr>
        <w:t xml:space="preserve">, patients in the two treatment arms were not comparable in terms of </w:t>
      </w:r>
      <w:r w:rsidR="00B06188" w:rsidRPr="002C713F">
        <w:rPr>
          <w:rFonts w:ascii="Arial" w:hAnsi="Arial"/>
          <w:sz w:val="22"/>
          <w:szCs w:val="22"/>
        </w:rPr>
        <w:t xml:space="preserve">baseline </w:t>
      </w:r>
      <w:r w:rsidRPr="002C713F">
        <w:rPr>
          <w:rFonts w:ascii="Arial" w:hAnsi="Arial"/>
          <w:sz w:val="22"/>
          <w:szCs w:val="22"/>
        </w:rPr>
        <w:t xml:space="preserve">lung function, CFTR genotype </w:t>
      </w:r>
      <w:r w:rsidR="00B06188" w:rsidRPr="002C713F">
        <w:rPr>
          <w:rFonts w:ascii="Arial" w:hAnsi="Arial"/>
          <w:sz w:val="22"/>
          <w:szCs w:val="22"/>
        </w:rPr>
        <w:t>and/or</w:t>
      </w:r>
      <w:r w:rsidRPr="002C713F">
        <w:rPr>
          <w:rFonts w:ascii="Arial" w:hAnsi="Arial"/>
          <w:sz w:val="22"/>
          <w:szCs w:val="22"/>
        </w:rPr>
        <w:t xml:space="preserve"> </w:t>
      </w:r>
      <w:r w:rsidR="000D750B" w:rsidRPr="002C713F">
        <w:rPr>
          <w:rFonts w:ascii="Arial" w:hAnsi="Arial"/>
          <w:sz w:val="22"/>
          <w:szCs w:val="22"/>
        </w:rPr>
        <w:t xml:space="preserve">other patient characteristics that would be expected to affect prognosis; </w:t>
      </w:r>
      <w:r w:rsidR="00446E64" w:rsidRPr="002C713F">
        <w:rPr>
          <w:rFonts w:ascii="Arial" w:hAnsi="Arial"/>
          <w:sz w:val="22"/>
          <w:szCs w:val="22"/>
        </w:rPr>
        <w:t>and</w:t>
      </w:r>
    </w:p>
    <w:p w:rsidR="0024332A" w:rsidRPr="002C713F" w:rsidRDefault="0024332A" w:rsidP="006F3A4B">
      <w:pPr>
        <w:pStyle w:val="ListParagraph"/>
        <w:numPr>
          <w:ilvl w:val="0"/>
          <w:numId w:val="2"/>
        </w:numPr>
        <w:jc w:val="both"/>
        <w:rPr>
          <w:rFonts w:ascii="Arial" w:hAnsi="Arial"/>
          <w:sz w:val="22"/>
          <w:szCs w:val="22"/>
        </w:rPr>
      </w:pPr>
      <w:r w:rsidRPr="002C713F">
        <w:rPr>
          <w:rFonts w:ascii="Arial" w:hAnsi="Arial"/>
          <w:sz w:val="22"/>
          <w:szCs w:val="22"/>
        </w:rPr>
        <w:t xml:space="preserve">The small number of </w:t>
      </w:r>
      <w:r w:rsidR="006868E9" w:rsidRPr="002C713F">
        <w:rPr>
          <w:rFonts w:ascii="Arial" w:hAnsi="Arial"/>
          <w:sz w:val="22"/>
          <w:szCs w:val="22"/>
        </w:rPr>
        <w:t xml:space="preserve">severe CF </w:t>
      </w:r>
      <w:r w:rsidRPr="002C713F">
        <w:rPr>
          <w:rFonts w:ascii="Arial" w:hAnsi="Arial"/>
          <w:sz w:val="22"/>
          <w:szCs w:val="22"/>
        </w:rPr>
        <w:t xml:space="preserve">patients in each study. </w:t>
      </w:r>
      <w:r w:rsidR="00B3014B" w:rsidRPr="002C713F">
        <w:rPr>
          <w:rFonts w:ascii="Arial" w:hAnsi="Arial"/>
          <w:sz w:val="22"/>
          <w:szCs w:val="22"/>
        </w:rPr>
        <w:t>T</w:t>
      </w:r>
      <w:r w:rsidRPr="002C713F">
        <w:rPr>
          <w:rFonts w:ascii="Arial" w:hAnsi="Arial"/>
          <w:sz w:val="22"/>
          <w:szCs w:val="22"/>
        </w:rPr>
        <w:t xml:space="preserve">he average responses reported </w:t>
      </w:r>
      <w:r w:rsidR="00B3014B" w:rsidRPr="002C713F">
        <w:rPr>
          <w:rFonts w:ascii="Arial" w:hAnsi="Arial"/>
          <w:sz w:val="22"/>
          <w:szCs w:val="22"/>
        </w:rPr>
        <w:t xml:space="preserve">in these studies were </w:t>
      </w:r>
      <w:r w:rsidRPr="002C713F">
        <w:rPr>
          <w:rFonts w:ascii="Arial" w:hAnsi="Arial"/>
          <w:sz w:val="22"/>
          <w:szCs w:val="22"/>
        </w:rPr>
        <w:t xml:space="preserve">susceptible to outliers. </w:t>
      </w:r>
    </w:p>
    <w:p w:rsidR="00446E64" w:rsidRPr="00ED1323" w:rsidRDefault="00446E64" w:rsidP="00446E64">
      <w:pPr>
        <w:ind w:left="1080"/>
        <w:jc w:val="both"/>
        <w:rPr>
          <w:rFonts w:ascii="Arial" w:hAnsi="Arial"/>
          <w:sz w:val="22"/>
          <w:szCs w:val="22"/>
        </w:rPr>
      </w:pPr>
    </w:p>
    <w:p w:rsidR="00DF26A7" w:rsidRPr="002C713F" w:rsidRDefault="00B3014B" w:rsidP="004C7EF9">
      <w:pPr>
        <w:pStyle w:val="ListParagraph"/>
        <w:jc w:val="both"/>
        <w:rPr>
          <w:rFonts w:ascii="Arial" w:hAnsi="Arial"/>
          <w:sz w:val="22"/>
          <w:szCs w:val="22"/>
        </w:rPr>
      </w:pPr>
      <w:r w:rsidRPr="002C713F">
        <w:rPr>
          <w:rFonts w:ascii="Arial" w:hAnsi="Arial"/>
          <w:sz w:val="22"/>
          <w:szCs w:val="22"/>
        </w:rPr>
        <w:t>Furthermore</w:t>
      </w:r>
      <w:r w:rsidR="00096002" w:rsidRPr="002C713F">
        <w:rPr>
          <w:rFonts w:ascii="Arial" w:hAnsi="Arial"/>
          <w:sz w:val="22"/>
          <w:szCs w:val="22"/>
        </w:rPr>
        <w:t xml:space="preserve">, ivacaftor is intended to be used in addition to best supportive care. </w:t>
      </w:r>
      <w:r w:rsidRPr="002C713F">
        <w:rPr>
          <w:rFonts w:ascii="Arial" w:hAnsi="Arial"/>
          <w:sz w:val="22"/>
          <w:szCs w:val="22"/>
        </w:rPr>
        <w:t xml:space="preserve">Information on </w:t>
      </w:r>
      <w:r w:rsidR="00096002" w:rsidRPr="002C713F">
        <w:rPr>
          <w:rFonts w:ascii="Arial" w:hAnsi="Arial"/>
          <w:sz w:val="22"/>
          <w:szCs w:val="22"/>
        </w:rPr>
        <w:t>background therapies in the included studies w</w:t>
      </w:r>
      <w:r w:rsidRPr="002C713F">
        <w:rPr>
          <w:rFonts w:ascii="Arial" w:hAnsi="Arial"/>
          <w:sz w:val="22"/>
          <w:szCs w:val="22"/>
        </w:rPr>
        <w:t xml:space="preserve">as </w:t>
      </w:r>
      <w:r w:rsidR="00096002" w:rsidRPr="002C713F">
        <w:rPr>
          <w:rFonts w:ascii="Arial" w:hAnsi="Arial"/>
          <w:sz w:val="22"/>
          <w:szCs w:val="22"/>
        </w:rPr>
        <w:t xml:space="preserve">not </w:t>
      </w:r>
      <w:r w:rsidRPr="002C713F">
        <w:rPr>
          <w:rFonts w:ascii="Arial" w:hAnsi="Arial"/>
          <w:sz w:val="22"/>
          <w:szCs w:val="22"/>
        </w:rPr>
        <w:t>provided</w:t>
      </w:r>
      <w:r w:rsidR="00096002" w:rsidRPr="002C713F">
        <w:rPr>
          <w:rFonts w:ascii="Arial" w:hAnsi="Arial"/>
          <w:sz w:val="22"/>
          <w:szCs w:val="22"/>
        </w:rPr>
        <w:t>. It is unclear whether the observed improvement</w:t>
      </w:r>
      <w:r w:rsidRPr="002C713F">
        <w:rPr>
          <w:rFonts w:ascii="Arial" w:hAnsi="Arial"/>
          <w:sz w:val="22"/>
          <w:szCs w:val="22"/>
        </w:rPr>
        <w:t>s</w:t>
      </w:r>
      <w:r w:rsidR="00096002" w:rsidRPr="002C713F">
        <w:rPr>
          <w:rFonts w:ascii="Arial" w:hAnsi="Arial"/>
          <w:sz w:val="22"/>
          <w:szCs w:val="22"/>
        </w:rPr>
        <w:t xml:space="preserve"> in health outcomes following ivacaftor </w:t>
      </w:r>
      <w:r w:rsidRPr="002C713F">
        <w:rPr>
          <w:rFonts w:ascii="Arial" w:hAnsi="Arial"/>
          <w:sz w:val="22"/>
          <w:szCs w:val="22"/>
        </w:rPr>
        <w:t>treatment</w:t>
      </w:r>
      <w:r w:rsidR="00D448C0" w:rsidRPr="002C713F">
        <w:rPr>
          <w:rFonts w:ascii="Arial" w:hAnsi="Arial"/>
          <w:sz w:val="22"/>
          <w:szCs w:val="22"/>
        </w:rPr>
        <w:t>,</w:t>
      </w:r>
      <w:r w:rsidRPr="002C713F">
        <w:rPr>
          <w:rFonts w:ascii="Arial" w:hAnsi="Arial"/>
          <w:sz w:val="22"/>
          <w:szCs w:val="22"/>
        </w:rPr>
        <w:t xml:space="preserve"> </w:t>
      </w:r>
      <w:r w:rsidR="00096002" w:rsidRPr="002C713F">
        <w:rPr>
          <w:rFonts w:ascii="Arial" w:hAnsi="Arial"/>
          <w:sz w:val="22"/>
          <w:szCs w:val="22"/>
        </w:rPr>
        <w:t xml:space="preserve">or differences between </w:t>
      </w:r>
      <w:r w:rsidRPr="002C713F">
        <w:rPr>
          <w:rFonts w:ascii="Arial" w:hAnsi="Arial"/>
          <w:sz w:val="22"/>
          <w:szCs w:val="22"/>
        </w:rPr>
        <w:t xml:space="preserve">the </w:t>
      </w:r>
      <w:r w:rsidR="00096002" w:rsidRPr="002C713F">
        <w:rPr>
          <w:rFonts w:ascii="Arial" w:hAnsi="Arial"/>
          <w:sz w:val="22"/>
          <w:szCs w:val="22"/>
        </w:rPr>
        <w:t>ivacaftor and control groups</w:t>
      </w:r>
      <w:r w:rsidR="00D448C0" w:rsidRPr="002C713F">
        <w:rPr>
          <w:rFonts w:ascii="Arial" w:hAnsi="Arial"/>
          <w:sz w:val="22"/>
          <w:szCs w:val="22"/>
        </w:rPr>
        <w:t>,</w:t>
      </w:r>
      <w:r w:rsidR="00096002" w:rsidRPr="002C713F">
        <w:rPr>
          <w:rFonts w:ascii="Arial" w:hAnsi="Arial"/>
          <w:sz w:val="22"/>
          <w:szCs w:val="22"/>
        </w:rPr>
        <w:t xml:space="preserve"> were </w:t>
      </w:r>
      <w:r w:rsidR="002E40F2" w:rsidRPr="002C713F">
        <w:rPr>
          <w:rFonts w:ascii="Arial" w:hAnsi="Arial"/>
          <w:sz w:val="22"/>
          <w:szCs w:val="22"/>
        </w:rPr>
        <w:t xml:space="preserve">entirely attributable </w:t>
      </w:r>
      <w:r w:rsidR="00096002" w:rsidRPr="002C713F">
        <w:rPr>
          <w:rFonts w:ascii="Arial" w:hAnsi="Arial"/>
          <w:sz w:val="22"/>
          <w:szCs w:val="22"/>
        </w:rPr>
        <w:t>to the use of ivacaftor</w:t>
      </w:r>
      <w:r w:rsidR="002E40F2" w:rsidRPr="002C713F">
        <w:rPr>
          <w:rFonts w:ascii="Arial" w:hAnsi="Arial"/>
          <w:sz w:val="22"/>
          <w:szCs w:val="22"/>
        </w:rPr>
        <w:t>,</w:t>
      </w:r>
      <w:r w:rsidR="00096002" w:rsidRPr="002C713F">
        <w:rPr>
          <w:rFonts w:ascii="Arial" w:hAnsi="Arial"/>
          <w:sz w:val="22"/>
          <w:szCs w:val="22"/>
        </w:rPr>
        <w:t xml:space="preserve"> </w:t>
      </w:r>
      <w:r w:rsidR="00E5621A" w:rsidRPr="002C713F">
        <w:rPr>
          <w:rFonts w:ascii="Arial" w:hAnsi="Arial"/>
          <w:sz w:val="22"/>
          <w:szCs w:val="22"/>
        </w:rPr>
        <w:t xml:space="preserve">or </w:t>
      </w:r>
      <w:r w:rsidR="002E40F2" w:rsidRPr="002C713F">
        <w:rPr>
          <w:rFonts w:ascii="Arial" w:hAnsi="Arial"/>
          <w:sz w:val="22"/>
          <w:szCs w:val="22"/>
        </w:rPr>
        <w:t xml:space="preserve">due to </w:t>
      </w:r>
      <w:r w:rsidR="00E5621A" w:rsidRPr="002C713F">
        <w:rPr>
          <w:rFonts w:ascii="Arial" w:hAnsi="Arial"/>
          <w:sz w:val="22"/>
          <w:szCs w:val="22"/>
        </w:rPr>
        <w:t xml:space="preserve">a combination of ivacaftor and </w:t>
      </w:r>
      <w:r w:rsidR="00D448C0" w:rsidRPr="002C713F">
        <w:rPr>
          <w:rFonts w:ascii="Arial" w:hAnsi="Arial"/>
          <w:sz w:val="22"/>
          <w:szCs w:val="22"/>
        </w:rPr>
        <w:t xml:space="preserve">differences in </w:t>
      </w:r>
      <w:r w:rsidR="00E5621A" w:rsidRPr="002C713F">
        <w:rPr>
          <w:rFonts w:ascii="Arial" w:hAnsi="Arial"/>
          <w:sz w:val="22"/>
          <w:szCs w:val="22"/>
        </w:rPr>
        <w:t>concomitant therapies used to manage CF.</w:t>
      </w:r>
      <w:r w:rsidR="000765F6" w:rsidRPr="002C713F">
        <w:rPr>
          <w:rFonts w:ascii="Arial" w:hAnsi="Arial"/>
          <w:sz w:val="22"/>
          <w:szCs w:val="22"/>
        </w:rPr>
        <w:t xml:space="preserve"> </w:t>
      </w:r>
    </w:p>
    <w:p w:rsidR="00252A49" w:rsidRPr="00943509" w:rsidRDefault="00252A49" w:rsidP="00882085">
      <w:pPr>
        <w:jc w:val="both"/>
        <w:rPr>
          <w:rFonts w:ascii="Arial" w:hAnsi="Arial"/>
          <w:sz w:val="22"/>
          <w:szCs w:val="22"/>
        </w:rPr>
      </w:pPr>
    </w:p>
    <w:p w:rsidR="005A3173" w:rsidRPr="00943509" w:rsidRDefault="005A3173" w:rsidP="00851FEA">
      <w:pPr>
        <w:pStyle w:val="Heading2"/>
      </w:pPr>
      <w:r w:rsidRPr="00943509">
        <w:t>Comparative harms</w:t>
      </w:r>
    </w:p>
    <w:p w:rsidR="005A3173" w:rsidRPr="00882085" w:rsidRDefault="005A3173" w:rsidP="00882085">
      <w:pPr>
        <w:ind w:left="720" w:hanging="720"/>
        <w:jc w:val="both"/>
        <w:rPr>
          <w:rFonts w:ascii="Arial" w:hAnsi="Arial"/>
          <w:sz w:val="22"/>
          <w:szCs w:val="22"/>
        </w:rPr>
      </w:pPr>
    </w:p>
    <w:p w:rsidR="00980CE4" w:rsidRPr="002C713F" w:rsidRDefault="00980CE4" w:rsidP="00980CE4">
      <w:pPr>
        <w:pStyle w:val="ListParagraph"/>
        <w:numPr>
          <w:ilvl w:val="1"/>
          <w:numId w:val="1"/>
        </w:numPr>
        <w:jc w:val="both"/>
        <w:rPr>
          <w:rFonts w:ascii="Arial" w:hAnsi="Arial"/>
          <w:sz w:val="22"/>
          <w:szCs w:val="22"/>
        </w:rPr>
      </w:pPr>
      <w:r w:rsidRPr="002C713F">
        <w:rPr>
          <w:rFonts w:ascii="Arial" w:hAnsi="Arial"/>
          <w:sz w:val="22"/>
          <w:szCs w:val="22"/>
        </w:rPr>
        <w:t xml:space="preserve">The submission did not present any </w:t>
      </w:r>
      <w:r w:rsidR="00C7573E" w:rsidRPr="002C713F">
        <w:rPr>
          <w:rFonts w:ascii="Arial" w:hAnsi="Arial"/>
          <w:sz w:val="22"/>
          <w:szCs w:val="22"/>
        </w:rPr>
        <w:t xml:space="preserve">comparative </w:t>
      </w:r>
      <w:r w:rsidRPr="002C713F">
        <w:rPr>
          <w:rFonts w:ascii="Arial" w:hAnsi="Arial"/>
          <w:sz w:val="22"/>
          <w:szCs w:val="22"/>
        </w:rPr>
        <w:t xml:space="preserve">safety data </w:t>
      </w:r>
      <w:r w:rsidR="002E40F2" w:rsidRPr="002C713F">
        <w:rPr>
          <w:rFonts w:ascii="Arial" w:hAnsi="Arial"/>
          <w:sz w:val="22"/>
          <w:szCs w:val="22"/>
        </w:rPr>
        <w:t xml:space="preserve">for </w:t>
      </w:r>
      <w:r w:rsidRPr="002C713F">
        <w:rPr>
          <w:rFonts w:ascii="Arial" w:hAnsi="Arial"/>
          <w:sz w:val="22"/>
          <w:szCs w:val="22"/>
        </w:rPr>
        <w:t>ivacaftor + best supportive care versus best supportive care alone.</w:t>
      </w:r>
    </w:p>
    <w:p w:rsidR="00980CE4" w:rsidRDefault="00980CE4" w:rsidP="00980CE4">
      <w:pPr>
        <w:jc w:val="both"/>
        <w:rPr>
          <w:rFonts w:ascii="Arial" w:hAnsi="Arial"/>
          <w:sz w:val="22"/>
          <w:szCs w:val="22"/>
        </w:rPr>
      </w:pPr>
    </w:p>
    <w:p w:rsidR="00980CE4" w:rsidRPr="004C7EF9" w:rsidRDefault="002549D2" w:rsidP="00980CE4">
      <w:pPr>
        <w:pStyle w:val="ListParagraph"/>
        <w:numPr>
          <w:ilvl w:val="1"/>
          <w:numId w:val="1"/>
        </w:numPr>
        <w:jc w:val="both"/>
        <w:rPr>
          <w:rFonts w:ascii="Arial" w:hAnsi="Arial"/>
          <w:sz w:val="22"/>
          <w:szCs w:val="22"/>
        </w:rPr>
      </w:pPr>
      <w:r w:rsidRPr="004B47AA">
        <w:rPr>
          <w:rFonts w:ascii="Arial" w:hAnsi="Arial"/>
          <w:sz w:val="22"/>
          <w:szCs w:val="22"/>
        </w:rPr>
        <w:t xml:space="preserve">Safety data were reported </w:t>
      </w:r>
      <w:r w:rsidR="002E40F2">
        <w:rPr>
          <w:rFonts w:ascii="Arial" w:hAnsi="Arial"/>
          <w:sz w:val="22"/>
          <w:szCs w:val="22"/>
        </w:rPr>
        <w:t>for</w:t>
      </w:r>
      <w:r w:rsidR="002E40F2" w:rsidRPr="004B47AA">
        <w:rPr>
          <w:rFonts w:ascii="Arial" w:hAnsi="Arial"/>
          <w:sz w:val="22"/>
          <w:szCs w:val="22"/>
        </w:rPr>
        <w:t xml:space="preserve"> </w:t>
      </w:r>
      <w:r w:rsidRPr="004B47AA">
        <w:rPr>
          <w:rFonts w:ascii="Arial" w:hAnsi="Arial"/>
          <w:sz w:val="22"/>
          <w:szCs w:val="22"/>
        </w:rPr>
        <w:t xml:space="preserve">three studies. </w:t>
      </w:r>
      <w:r w:rsidR="00227A01">
        <w:rPr>
          <w:rFonts w:ascii="Arial" w:hAnsi="Arial"/>
          <w:sz w:val="22"/>
          <w:szCs w:val="22"/>
        </w:rPr>
        <w:t>In</w:t>
      </w:r>
      <w:r w:rsidR="00A96D1F" w:rsidRPr="004B47AA">
        <w:rPr>
          <w:rFonts w:ascii="Arial" w:hAnsi="Arial"/>
          <w:sz w:val="22"/>
          <w:szCs w:val="22"/>
        </w:rPr>
        <w:t xml:space="preserve"> </w:t>
      </w:r>
      <w:r w:rsidRPr="004B47AA">
        <w:rPr>
          <w:rFonts w:ascii="Arial" w:hAnsi="Arial"/>
          <w:sz w:val="22"/>
          <w:szCs w:val="22"/>
        </w:rPr>
        <w:t xml:space="preserve">the </w:t>
      </w:r>
      <w:r w:rsidR="003D709A" w:rsidRPr="004B47AA">
        <w:rPr>
          <w:rFonts w:ascii="Arial" w:hAnsi="Arial"/>
          <w:sz w:val="22"/>
          <w:szCs w:val="22"/>
        </w:rPr>
        <w:t xml:space="preserve">UK/Ireland </w:t>
      </w:r>
      <w:r w:rsidR="00A96D1F" w:rsidRPr="004B47AA">
        <w:rPr>
          <w:rFonts w:ascii="Arial" w:hAnsi="Arial"/>
          <w:sz w:val="22"/>
          <w:szCs w:val="22"/>
        </w:rPr>
        <w:t>CAP</w:t>
      </w:r>
      <w:r w:rsidR="00227A01">
        <w:rPr>
          <w:rFonts w:ascii="Arial" w:hAnsi="Arial"/>
          <w:sz w:val="22"/>
          <w:szCs w:val="22"/>
        </w:rPr>
        <w:t xml:space="preserve">, no AEs were considered by the </w:t>
      </w:r>
      <w:r w:rsidR="004078D4">
        <w:rPr>
          <w:rFonts w:ascii="Arial" w:hAnsi="Arial"/>
          <w:sz w:val="22"/>
          <w:szCs w:val="22"/>
        </w:rPr>
        <w:t>clinician</w:t>
      </w:r>
      <w:r w:rsidR="00227A01">
        <w:rPr>
          <w:rFonts w:ascii="Arial" w:hAnsi="Arial"/>
          <w:sz w:val="22"/>
          <w:szCs w:val="22"/>
        </w:rPr>
        <w:t>s to be secondary to ivacaftor.</w:t>
      </w:r>
      <w:r w:rsidR="00A96D1F" w:rsidRPr="004B47AA">
        <w:rPr>
          <w:rFonts w:ascii="Arial" w:hAnsi="Arial"/>
          <w:sz w:val="22"/>
          <w:szCs w:val="22"/>
        </w:rPr>
        <w:t xml:space="preserve"> </w:t>
      </w:r>
      <w:r w:rsidR="00F27C63">
        <w:rPr>
          <w:rFonts w:ascii="Arial" w:hAnsi="Arial"/>
          <w:sz w:val="22"/>
          <w:szCs w:val="22"/>
        </w:rPr>
        <w:t>In the CAP in Germany, t</w:t>
      </w:r>
      <w:r w:rsidR="00A96D1F" w:rsidRPr="004B47AA">
        <w:rPr>
          <w:rFonts w:ascii="Arial" w:hAnsi="Arial"/>
          <w:sz w:val="22"/>
          <w:szCs w:val="22"/>
        </w:rPr>
        <w:t>hree (21.4%) patients experienced more secretions both in the bronchi and nasal cavity</w:t>
      </w:r>
      <w:r w:rsidR="00F27C63">
        <w:rPr>
          <w:rFonts w:ascii="Arial" w:hAnsi="Arial"/>
          <w:sz w:val="22"/>
          <w:szCs w:val="22"/>
        </w:rPr>
        <w:t>. One</w:t>
      </w:r>
      <w:r w:rsidR="00A96D1F" w:rsidRPr="004B47AA">
        <w:rPr>
          <w:rFonts w:ascii="Arial" w:hAnsi="Arial"/>
          <w:sz w:val="22"/>
          <w:szCs w:val="22"/>
        </w:rPr>
        <w:t xml:space="preserve"> patient reported to “suffocate” from the secretions so that IV antibiotic therapy was initiated and the ivacaftor therapy </w:t>
      </w:r>
      <w:r w:rsidR="00F27C63">
        <w:rPr>
          <w:rFonts w:ascii="Arial" w:hAnsi="Arial"/>
          <w:sz w:val="22"/>
          <w:szCs w:val="22"/>
        </w:rPr>
        <w:t>was</w:t>
      </w:r>
      <w:r w:rsidR="00A96D1F" w:rsidRPr="004B47AA">
        <w:rPr>
          <w:rFonts w:ascii="Arial" w:hAnsi="Arial"/>
          <w:sz w:val="22"/>
          <w:szCs w:val="22"/>
        </w:rPr>
        <w:t xml:space="preserve"> discontinued. </w:t>
      </w:r>
      <w:r w:rsidR="003B38F7" w:rsidRPr="004B47AA">
        <w:rPr>
          <w:rFonts w:ascii="Arial" w:hAnsi="Arial"/>
          <w:sz w:val="22"/>
          <w:szCs w:val="22"/>
        </w:rPr>
        <w:t xml:space="preserve">No additional severe </w:t>
      </w:r>
      <w:r w:rsidR="004B47AA" w:rsidRPr="004B47AA">
        <w:rPr>
          <w:rFonts w:ascii="Arial" w:hAnsi="Arial"/>
          <w:sz w:val="22"/>
          <w:szCs w:val="22"/>
        </w:rPr>
        <w:t>AE</w:t>
      </w:r>
      <w:r w:rsidR="003B38F7" w:rsidRPr="004B47AA">
        <w:rPr>
          <w:rFonts w:ascii="Arial" w:hAnsi="Arial"/>
          <w:sz w:val="22"/>
          <w:szCs w:val="22"/>
        </w:rPr>
        <w:t xml:space="preserve">s were reported in this study. During </w:t>
      </w:r>
      <w:r w:rsidR="00F27C63">
        <w:rPr>
          <w:rFonts w:ascii="Arial" w:hAnsi="Arial"/>
          <w:sz w:val="22"/>
          <w:szCs w:val="22"/>
        </w:rPr>
        <w:t xml:space="preserve">the course of the US </w:t>
      </w:r>
      <w:r w:rsidR="00F27C63" w:rsidRPr="004B47AA">
        <w:rPr>
          <w:rFonts w:ascii="Arial" w:hAnsi="Arial"/>
          <w:sz w:val="22"/>
          <w:szCs w:val="22"/>
        </w:rPr>
        <w:t>CAP</w:t>
      </w:r>
      <w:r w:rsidR="003B38F7" w:rsidRPr="004B47AA">
        <w:rPr>
          <w:rFonts w:ascii="Arial" w:hAnsi="Arial"/>
          <w:sz w:val="22"/>
          <w:szCs w:val="22"/>
        </w:rPr>
        <w:t xml:space="preserve">, </w:t>
      </w:r>
      <w:r w:rsidR="004B47AA" w:rsidRPr="004B47AA">
        <w:rPr>
          <w:rFonts w:ascii="Arial" w:hAnsi="Arial"/>
          <w:sz w:val="22"/>
          <w:szCs w:val="22"/>
        </w:rPr>
        <w:t xml:space="preserve">AEs </w:t>
      </w:r>
      <w:r w:rsidR="00EB2AB2" w:rsidRPr="004B47AA">
        <w:rPr>
          <w:rFonts w:ascii="Arial" w:hAnsi="Arial"/>
          <w:sz w:val="22"/>
          <w:szCs w:val="22"/>
        </w:rPr>
        <w:t>were reported in 38</w:t>
      </w:r>
      <w:r w:rsidR="004B47AA" w:rsidRPr="004B47AA">
        <w:rPr>
          <w:rFonts w:ascii="Arial" w:hAnsi="Arial"/>
          <w:sz w:val="22"/>
          <w:szCs w:val="22"/>
        </w:rPr>
        <w:t xml:space="preserve"> </w:t>
      </w:r>
      <w:r w:rsidR="00EB2AB2" w:rsidRPr="004B47AA">
        <w:rPr>
          <w:rFonts w:ascii="Arial" w:hAnsi="Arial"/>
          <w:sz w:val="22"/>
          <w:szCs w:val="22"/>
        </w:rPr>
        <w:t xml:space="preserve">(86.4%) patients. </w:t>
      </w:r>
      <w:r w:rsidR="004B47AA" w:rsidRPr="004B47AA">
        <w:rPr>
          <w:rFonts w:ascii="Arial" w:hAnsi="Arial"/>
          <w:sz w:val="22"/>
          <w:szCs w:val="22"/>
        </w:rPr>
        <w:t>The most frequently reported AEs</w:t>
      </w:r>
      <w:r w:rsidR="004B47AA">
        <w:rPr>
          <w:rFonts w:ascii="Arial" w:hAnsi="Arial"/>
          <w:sz w:val="22"/>
          <w:szCs w:val="22"/>
        </w:rPr>
        <w:t>,</w:t>
      </w:r>
      <w:r w:rsidR="004B47AA" w:rsidRPr="004B47AA">
        <w:rPr>
          <w:rFonts w:ascii="Arial" w:hAnsi="Arial"/>
          <w:i/>
          <w:sz w:val="22"/>
          <w:szCs w:val="22"/>
        </w:rPr>
        <w:t xml:space="preserve"> e</w:t>
      </w:r>
      <w:r w:rsidR="00BE64D8">
        <w:rPr>
          <w:rFonts w:ascii="Arial" w:hAnsi="Arial"/>
          <w:i/>
          <w:sz w:val="22"/>
          <w:szCs w:val="22"/>
        </w:rPr>
        <w:t>.</w:t>
      </w:r>
      <w:r w:rsidR="004B47AA" w:rsidRPr="004B47AA">
        <w:rPr>
          <w:rFonts w:ascii="Arial" w:hAnsi="Arial"/>
          <w:i/>
          <w:sz w:val="22"/>
          <w:szCs w:val="22"/>
        </w:rPr>
        <w:t>g</w:t>
      </w:r>
      <w:r w:rsidR="00BE64D8">
        <w:rPr>
          <w:rFonts w:ascii="Arial" w:hAnsi="Arial"/>
          <w:i/>
          <w:sz w:val="22"/>
          <w:szCs w:val="22"/>
        </w:rPr>
        <w:t>.</w:t>
      </w:r>
      <w:r w:rsidR="004B47AA" w:rsidRPr="004B47AA">
        <w:rPr>
          <w:rFonts w:ascii="Arial" w:hAnsi="Arial"/>
          <w:i/>
          <w:sz w:val="22"/>
          <w:szCs w:val="22"/>
        </w:rPr>
        <w:t xml:space="preserve"> </w:t>
      </w:r>
      <w:r w:rsidR="004B47AA" w:rsidRPr="004B47AA">
        <w:rPr>
          <w:rFonts w:ascii="Arial" w:hAnsi="Arial"/>
          <w:sz w:val="22"/>
          <w:szCs w:val="22"/>
        </w:rPr>
        <w:t>pulmonary exacerbation (19 patients, 43.2%)</w:t>
      </w:r>
      <w:r w:rsidR="004B47AA">
        <w:rPr>
          <w:rFonts w:ascii="Arial" w:hAnsi="Arial"/>
          <w:sz w:val="22"/>
          <w:szCs w:val="22"/>
        </w:rPr>
        <w:t>,</w:t>
      </w:r>
      <w:r w:rsidR="004B47AA" w:rsidRPr="004B47AA">
        <w:rPr>
          <w:rFonts w:ascii="Arial" w:hAnsi="Arial"/>
          <w:sz w:val="22"/>
          <w:szCs w:val="22"/>
        </w:rPr>
        <w:t xml:space="preserve"> were consistent with those that would be expected in patients with advanced CF lung disease. </w:t>
      </w:r>
      <w:r w:rsidR="00EB2AB2" w:rsidRPr="004B47AA">
        <w:rPr>
          <w:rFonts w:ascii="Arial" w:hAnsi="Arial"/>
          <w:sz w:val="22"/>
          <w:szCs w:val="22"/>
        </w:rPr>
        <w:t xml:space="preserve">Serious </w:t>
      </w:r>
      <w:r w:rsidR="004B47AA" w:rsidRPr="004B47AA">
        <w:rPr>
          <w:rFonts w:ascii="Arial" w:hAnsi="Arial"/>
          <w:sz w:val="22"/>
          <w:szCs w:val="22"/>
        </w:rPr>
        <w:t>AEs</w:t>
      </w:r>
      <w:r w:rsidR="00EB2AB2" w:rsidRPr="004B47AA">
        <w:rPr>
          <w:rFonts w:ascii="Arial" w:hAnsi="Arial"/>
          <w:sz w:val="22"/>
          <w:szCs w:val="22"/>
        </w:rPr>
        <w:t xml:space="preserve"> were reported in 14 (31.8%)</w:t>
      </w:r>
      <w:r w:rsidR="004B47AA" w:rsidRPr="004B47AA">
        <w:rPr>
          <w:rFonts w:ascii="Arial" w:hAnsi="Arial"/>
          <w:sz w:val="22"/>
          <w:szCs w:val="22"/>
        </w:rPr>
        <w:t xml:space="preserve"> </w:t>
      </w:r>
      <w:r w:rsidR="00EB2AB2" w:rsidRPr="004B47AA">
        <w:rPr>
          <w:rFonts w:ascii="Arial" w:hAnsi="Arial"/>
          <w:sz w:val="22"/>
          <w:szCs w:val="22"/>
        </w:rPr>
        <w:t>patients</w:t>
      </w:r>
      <w:r w:rsidR="004B47AA" w:rsidRPr="004B47AA">
        <w:rPr>
          <w:rFonts w:ascii="Arial" w:hAnsi="Arial"/>
          <w:sz w:val="22"/>
          <w:szCs w:val="22"/>
        </w:rPr>
        <w:t xml:space="preserve">, including </w:t>
      </w:r>
      <w:r w:rsidR="00EB2AB2" w:rsidRPr="004B47AA">
        <w:rPr>
          <w:rFonts w:ascii="Arial" w:hAnsi="Arial"/>
          <w:sz w:val="22"/>
          <w:szCs w:val="22"/>
        </w:rPr>
        <w:t>pulmonary exacerbation,</w:t>
      </w:r>
      <w:r w:rsidR="004B47AA" w:rsidRPr="004B47AA">
        <w:rPr>
          <w:rFonts w:ascii="Arial" w:hAnsi="Arial"/>
          <w:sz w:val="22"/>
          <w:szCs w:val="22"/>
        </w:rPr>
        <w:t xml:space="preserve"> </w:t>
      </w:r>
      <w:r w:rsidR="00EB2AB2" w:rsidRPr="004B47AA">
        <w:rPr>
          <w:rFonts w:ascii="Arial" w:hAnsi="Arial"/>
          <w:sz w:val="22"/>
          <w:szCs w:val="22"/>
        </w:rPr>
        <w:t>pneumothorax, upper respiratory tract infection, h</w:t>
      </w:r>
      <w:r w:rsidR="004B47AA" w:rsidRPr="004B47AA">
        <w:rPr>
          <w:rFonts w:ascii="Arial" w:hAnsi="Arial"/>
          <w:sz w:val="22"/>
          <w:szCs w:val="22"/>
        </w:rPr>
        <w:t>a</w:t>
      </w:r>
      <w:r w:rsidR="00EB2AB2" w:rsidRPr="004B47AA">
        <w:rPr>
          <w:rFonts w:ascii="Arial" w:hAnsi="Arial"/>
          <w:sz w:val="22"/>
          <w:szCs w:val="22"/>
        </w:rPr>
        <w:t>emoptysis,</w:t>
      </w:r>
      <w:r w:rsidR="004B47AA" w:rsidRPr="004B47AA">
        <w:rPr>
          <w:rFonts w:ascii="Arial" w:hAnsi="Arial"/>
          <w:sz w:val="22"/>
          <w:szCs w:val="22"/>
        </w:rPr>
        <w:t xml:space="preserve"> </w:t>
      </w:r>
      <w:r w:rsidR="00EB2AB2" w:rsidRPr="004B47AA">
        <w:rPr>
          <w:rFonts w:ascii="Arial" w:hAnsi="Arial"/>
          <w:sz w:val="22"/>
          <w:szCs w:val="22"/>
        </w:rPr>
        <w:t>gastroenteritis, acute respiratory failure, secondary adrenocortical</w:t>
      </w:r>
      <w:r w:rsidR="004B47AA" w:rsidRPr="004B47AA">
        <w:rPr>
          <w:rFonts w:ascii="Arial" w:hAnsi="Arial"/>
          <w:sz w:val="22"/>
          <w:szCs w:val="22"/>
        </w:rPr>
        <w:t xml:space="preserve"> </w:t>
      </w:r>
      <w:r w:rsidR="00EB2AB2" w:rsidRPr="004B47AA">
        <w:rPr>
          <w:rFonts w:ascii="Arial" w:hAnsi="Arial"/>
          <w:sz w:val="22"/>
          <w:szCs w:val="22"/>
        </w:rPr>
        <w:t>insufficiency, syncope, abdominal pain, and abnormal</w:t>
      </w:r>
      <w:r w:rsidR="004B47AA" w:rsidRPr="004B47AA">
        <w:rPr>
          <w:rFonts w:ascii="Arial" w:hAnsi="Arial"/>
          <w:sz w:val="22"/>
          <w:szCs w:val="22"/>
        </w:rPr>
        <w:t xml:space="preserve"> </w:t>
      </w:r>
      <w:r w:rsidR="00EB2AB2" w:rsidRPr="004B47AA">
        <w:rPr>
          <w:rFonts w:ascii="Arial" w:hAnsi="Arial"/>
          <w:sz w:val="22"/>
          <w:szCs w:val="22"/>
        </w:rPr>
        <w:t xml:space="preserve">liver test. Pulmonary exacerbation was the most common </w:t>
      </w:r>
      <w:r w:rsidR="00F27C63">
        <w:rPr>
          <w:rFonts w:ascii="Arial" w:hAnsi="Arial"/>
          <w:sz w:val="22"/>
          <w:szCs w:val="22"/>
        </w:rPr>
        <w:t xml:space="preserve">serious </w:t>
      </w:r>
      <w:r w:rsidR="00EB2AB2" w:rsidRPr="004B47AA">
        <w:rPr>
          <w:rFonts w:ascii="Arial" w:hAnsi="Arial"/>
          <w:sz w:val="22"/>
          <w:szCs w:val="22"/>
        </w:rPr>
        <w:t>AE</w:t>
      </w:r>
      <w:r w:rsidR="004B47AA" w:rsidRPr="004B47AA">
        <w:rPr>
          <w:rFonts w:ascii="Arial" w:hAnsi="Arial"/>
          <w:sz w:val="22"/>
          <w:szCs w:val="22"/>
        </w:rPr>
        <w:t xml:space="preserve"> (10 patients</w:t>
      </w:r>
      <w:r w:rsidR="00EB2AB2" w:rsidRPr="004B47AA">
        <w:rPr>
          <w:rFonts w:ascii="Arial" w:hAnsi="Arial"/>
          <w:sz w:val="22"/>
          <w:szCs w:val="22"/>
        </w:rPr>
        <w:t xml:space="preserve">, 22.7%). </w:t>
      </w:r>
      <w:r w:rsidR="00D64361">
        <w:rPr>
          <w:rFonts w:ascii="Arial" w:hAnsi="Arial"/>
          <w:sz w:val="22"/>
          <w:szCs w:val="22"/>
        </w:rPr>
        <w:t>AEs resulted in treatment withdrawal in t</w:t>
      </w:r>
      <w:r w:rsidR="00EB2AB2" w:rsidRPr="004B47AA">
        <w:rPr>
          <w:rFonts w:ascii="Arial" w:hAnsi="Arial"/>
          <w:sz w:val="22"/>
          <w:szCs w:val="22"/>
        </w:rPr>
        <w:t>wo patients</w:t>
      </w:r>
      <w:r w:rsidR="00F27C63">
        <w:rPr>
          <w:rFonts w:ascii="Arial" w:hAnsi="Arial"/>
          <w:sz w:val="22"/>
          <w:szCs w:val="22"/>
        </w:rPr>
        <w:t xml:space="preserve">: </w:t>
      </w:r>
      <w:r w:rsidR="004B47AA" w:rsidRPr="004B47AA">
        <w:rPr>
          <w:rFonts w:ascii="Arial" w:hAnsi="Arial"/>
          <w:sz w:val="22"/>
          <w:szCs w:val="22"/>
        </w:rPr>
        <w:t xml:space="preserve">one </w:t>
      </w:r>
      <w:r w:rsidR="00D64361">
        <w:rPr>
          <w:rFonts w:ascii="Arial" w:hAnsi="Arial"/>
          <w:sz w:val="22"/>
          <w:szCs w:val="22"/>
        </w:rPr>
        <w:t xml:space="preserve">due to severe abdominal pain; the other </w:t>
      </w:r>
      <w:r w:rsidR="00EB2AB2" w:rsidRPr="004B47AA">
        <w:rPr>
          <w:rFonts w:ascii="Arial" w:hAnsi="Arial"/>
          <w:sz w:val="22"/>
          <w:szCs w:val="22"/>
        </w:rPr>
        <w:t>due to dizziness and</w:t>
      </w:r>
      <w:r w:rsidR="00F27C63">
        <w:rPr>
          <w:rFonts w:ascii="Arial" w:hAnsi="Arial"/>
          <w:sz w:val="22"/>
          <w:szCs w:val="22"/>
        </w:rPr>
        <w:t xml:space="preserve"> tinnitus</w:t>
      </w:r>
      <w:r w:rsidR="00EB2AB2" w:rsidRPr="004B47AA">
        <w:rPr>
          <w:rFonts w:ascii="Arial" w:hAnsi="Arial"/>
          <w:sz w:val="22"/>
          <w:szCs w:val="22"/>
        </w:rPr>
        <w:t xml:space="preserve">. </w:t>
      </w:r>
      <w:r w:rsidR="00D21422">
        <w:rPr>
          <w:rFonts w:ascii="Arial" w:hAnsi="Arial"/>
          <w:sz w:val="22"/>
          <w:szCs w:val="22"/>
        </w:rPr>
        <w:t xml:space="preserve">Three (6.8%) </w:t>
      </w:r>
      <w:r w:rsidR="00D553BD">
        <w:rPr>
          <w:rFonts w:ascii="Arial" w:hAnsi="Arial"/>
          <w:sz w:val="22"/>
          <w:szCs w:val="22"/>
        </w:rPr>
        <w:t>deaths</w:t>
      </w:r>
      <w:r w:rsidR="00D21422">
        <w:rPr>
          <w:rFonts w:ascii="Arial" w:hAnsi="Arial"/>
          <w:sz w:val="22"/>
          <w:szCs w:val="22"/>
        </w:rPr>
        <w:t xml:space="preserve"> were reported in the US CAP</w:t>
      </w:r>
      <w:r w:rsidR="00EB2AB2" w:rsidRPr="004B47AA">
        <w:rPr>
          <w:rFonts w:ascii="Arial" w:hAnsi="Arial"/>
          <w:sz w:val="22"/>
          <w:szCs w:val="22"/>
        </w:rPr>
        <w:t>. All were the result</w:t>
      </w:r>
      <w:r w:rsidR="004B47AA" w:rsidRPr="004B47AA">
        <w:rPr>
          <w:rFonts w:ascii="Arial" w:hAnsi="Arial"/>
          <w:sz w:val="22"/>
          <w:szCs w:val="22"/>
        </w:rPr>
        <w:t xml:space="preserve"> </w:t>
      </w:r>
      <w:r w:rsidR="00EB2AB2" w:rsidRPr="004B47AA">
        <w:rPr>
          <w:rFonts w:ascii="Arial" w:hAnsi="Arial"/>
          <w:sz w:val="22"/>
          <w:szCs w:val="22"/>
        </w:rPr>
        <w:t>of pulmonary exacerbations and considered</w:t>
      </w:r>
      <w:r w:rsidR="004B47AA" w:rsidRPr="004B47AA">
        <w:rPr>
          <w:rFonts w:ascii="Arial" w:hAnsi="Arial"/>
          <w:sz w:val="22"/>
          <w:szCs w:val="22"/>
        </w:rPr>
        <w:t xml:space="preserve"> </w:t>
      </w:r>
      <w:r w:rsidR="00EB2AB2" w:rsidRPr="004B47AA">
        <w:rPr>
          <w:rFonts w:ascii="Arial" w:hAnsi="Arial"/>
          <w:sz w:val="22"/>
          <w:szCs w:val="22"/>
        </w:rPr>
        <w:t xml:space="preserve">unrelated to study drug by the </w:t>
      </w:r>
      <w:r w:rsidR="004B47AA" w:rsidRPr="004B47AA">
        <w:rPr>
          <w:rFonts w:ascii="Arial" w:hAnsi="Arial"/>
          <w:sz w:val="22"/>
          <w:szCs w:val="22"/>
        </w:rPr>
        <w:t>clinician</w:t>
      </w:r>
      <w:r w:rsidR="00EB2AB2" w:rsidRPr="004B47AA">
        <w:rPr>
          <w:rFonts w:ascii="Arial" w:hAnsi="Arial"/>
          <w:sz w:val="22"/>
          <w:szCs w:val="22"/>
        </w:rPr>
        <w:t>.</w:t>
      </w:r>
    </w:p>
    <w:p w:rsidR="00C45DB5" w:rsidRDefault="00C45DB5" w:rsidP="00882085">
      <w:pPr>
        <w:jc w:val="both"/>
        <w:rPr>
          <w:rFonts w:ascii="Arial" w:hAnsi="Arial"/>
          <w:b/>
          <w:sz w:val="22"/>
          <w:szCs w:val="22"/>
        </w:rPr>
      </w:pPr>
    </w:p>
    <w:p w:rsidR="005A3173" w:rsidRPr="002C713F" w:rsidRDefault="005A3173" w:rsidP="00851FEA">
      <w:pPr>
        <w:pStyle w:val="Heading2"/>
      </w:pPr>
      <w:r w:rsidRPr="002C713F">
        <w:t>Clinical claim</w:t>
      </w:r>
    </w:p>
    <w:p w:rsidR="005A3173" w:rsidRPr="00882085" w:rsidRDefault="005A3173" w:rsidP="00882085">
      <w:pPr>
        <w:ind w:left="720" w:hanging="720"/>
        <w:jc w:val="both"/>
        <w:rPr>
          <w:rFonts w:ascii="Arial" w:hAnsi="Arial"/>
          <w:sz w:val="22"/>
          <w:szCs w:val="22"/>
        </w:rPr>
      </w:pPr>
    </w:p>
    <w:p w:rsidR="009652F3" w:rsidRPr="002C713F" w:rsidRDefault="000B039B" w:rsidP="000E7E2E">
      <w:pPr>
        <w:pStyle w:val="ListParagraph"/>
        <w:numPr>
          <w:ilvl w:val="1"/>
          <w:numId w:val="1"/>
        </w:numPr>
        <w:jc w:val="both"/>
        <w:rPr>
          <w:rFonts w:ascii="Arial" w:hAnsi="Arial"/>
          <w:sz w:val="22"/>
          <w:szCs w:val="22"/>
        </w:rPr>
      </w:pPr>
      <w:r w:rsidRPr="002C713F">
        <w:rPr>
          <w:rFonts w:ascii="Arial" w:hAnsi="Arial"/>
          <w:sz w:val="22"/>
          <w:szCs w:val="22"/>
        </w:rPr>
        <w:t>T</w:t>
      </w:r>
      <w:r w:rsidR="00EE61EC" w:rsidRPr="002C713F">
        <w:rPr>
          <w:rFonts w:ascii="Arial" w:hAnsi="Arial"/>
          <w:sz w:val="22"/>
          <w:szCs w:val="22"/>
        </w:rPr>
        <w:t xml:space="preserve">he submission </w:t>
      </w:r>
      <w:r w:rsidRPr="002C713F">
        <w:rPr>
          <w:rFonts w:ascii="Arial" w:hAnsi="Arial"/>
          <w:sz w:val="22"/>
          <w:szCs w:val="22"/>
        </w:rPr>
        <w:t xml:space="preserve">claimed that the </w:t>
      </w:r>
      <w:r w:rsidR="0099149C" w:rsidRPr="002C713F">
        <w:rPr>
          <w:rFonts w:ascii="Arial" w:hAnsi="Arial"/>
          <w:sz w:val="22"/>
          <w:szCs w:val="22"/>
        </w:rPr>
        <w:t xml:space="preserve">treatment benefits </w:t>
      </w:r>
      <w:r w:rsidR="008D0247" w:rsidRPr="002C713F">
        <w:rPr>
          <w:rFonts w:ascii="Arial" w:hAnsi="Arial"/>
          <w:sz w:val="22"/>
          <w:szCs w:val="22"/>
        </w:rPr>
        <w:t>of</w:t>
      </w:r>
      <w:r w:rsidR="00EE61EC" w:rsidRPr="002C713F">
        <w:rPr>
          <w:rFonts w:ascii="Arial" w:hAnsi="Arial"/>
          <w:sz w:val="22"/>
          <w:szCs w:val="22"/>
        </w:rPr>
        <w:t xml:space="preserve"> </w:t>
      </w:r>
      <w:r w:rsidR="009B54AA" w:rsidRPr="002C713F">
        <w:rPr>
          <w:rFonts w:ascii="Arial" w:hAnsi="Arial"/>
          <w:sz w:val="22"/>
          <w:szCs w:val="22"/>
        </w:rPr>
        <w:t>ivacaftor</w:t>
      </w:r>
      <w:r w:rsidR="000422E1" w:rsidRPr="002C713F">
        <w:rPr>
          <w:rFonts w:ascii="Arial" w:hAnsi="Arial"/>
          <w:sz w:val="22"/>
          <w:szCs w:val="22"/>
        </w:rPr>
        <w:t xml:space="preserve"> in</w:t>
      </w:r>
      <w:r w:rsidR="001E6483" w:rsidRPr="002C713F">
        <w:rPr>
          <w:rFonts w:ascii="Arial" w:hAnsi="Arial"/>
          <w:sz w:val="22"/>
          <w:szCs w:val="22"/>
        </w:rPr>
        <w:t xml:space="preserve"> CF patients </w:t>
      </w:r>
      <w:r w:rsidR="000422E1" w:rsidRPr="002C713F">
        <w:rPr>
          <w:rFonts w:ascii="Arial" w:hAnsi="Arial"/>
          <w:sz w:val="22"/>
          <w:szCs w:val="22"/>
        </w:rPr>
        <w:t xml:space="preserve">aged 6 years and older </w:t>
      </w:r>
      <w:r w:rsidR="001E6483" w:rsidRPr="002C713F">
        <w:rPr>
          <w:rFonts w:ascii="Arial" w:hAnsi="Arial"/>
          <w:sz w:val="22"/>
          <w:szCs w:val="22"/>
        </w:rPr>
        <w:t xml:space="preserve">with at least one copy of the </w:t>
      </w:r>
      <w:r w:rsidR="000422E1" w:rsidRPr="002C713F">
        <w:rPr>
          <w:rFonts w:ascii="Arial" w:hAnsi="Arial"/>
          <w:sz w:val="22"/>
          <w:szCs w:val="22"/>
        </w:rPr>
        <w:t>G551D mutation</w:t>
      </w:r>
      <w:r w:rsidR="001E6483" w:rsidRPr="002C713F">
        <w:rPr>
          <w:rFonts w:ascii="Arial" w:hAnsi="Arial"/>
          <w:sz w:val="22"/>
          <w:szCs w:val="22"/>
        </w:rPr>
        <w:t>,</w:t>
      </w:r>
      <w:r w:rsidR="009B54AA" w:rsidRPr="002C713F">
        <w:rPr>
          <w:rFonts w:ascii="Arial" w:hAnsi="Arial"/>
          <w:sz w:val="22"/>
          <w:szCs w:val="22"/>
        </w:rPr>
        <w:t xml:space="preserve"> </w:t>
      </w:r>
      <w:r w:rsidR="00225AA1" w:rsidRPr="002C713F">
        <w:rPr>
          <w:rFonts w:ascii="Arial" w:hAnsi="Arial"/>
          <w:sz w:val="22"/>
          <w:szCs w:val="22"/>
        </w:rPr>
        <w:t xml:space="preserve">as </w:t>
      </w:r>
      <w:r w:rsidR="00F9569D" w:rsidRPr="002C713F">
        <w:rPr>
          <w:rFonts w:ascii="Arial" w:hAnsi="Arial"/>
          <w:sz w:val="22"/>
          <w:szCs w:val="22"/>
        </w:rPr>
        <w:t>reported</w:t>
      </w:r>
      <w:r w:rsidR="00225AA1" w:rsidRPr="002C713F">
        <w:rPr>
          <w:rFonts w:ascii="Arial" w:hAnsi="Arial"/>
          <w:sz w:val="22"/>
          <w:szCs w:val="22"/>
        </w:rPr>
        <w:t xml:space="preserve"> in the key trials </w:t>
      </w:r>
      <w:r w:rsidR="00F9569D" w:rsidRPr="002C713F">
        <w:rPr>
          <w:rFonts w:ascii="Arial" w:hAnsi="Arial"/>
          <w:sz w:val="22"/>
          <w:szCs w:val="22"/>
        </w:rPr>
        <w:t>relating to</w:t>
      </w:r>
      <w:r w:rsidR="00225AA1" w:rsidRPr="002C713F">
        <w:rPr>
          <w:rFonts w:ascii="Arial" w:hAnsi="Arial"/>
          <w:sz w:val="22"/>
          <w:szCs w:val="22"/>
        </w:rPr>
        <w:t xml:space="preserve"> patients with mild or moderate CF</w:t>
      </w:r>
      <w:r w:rsidR="000E7E2E" w:rsidRPr="002C713F">
        <w:rPr>
          <w:rFonts w:ascii="Arial" w:hAnsi="Arial"/>
          <w:sz w:val="22"/>
          <w:szCs w:val="22"/>
        </w:rPr>
        <w:t xml:space="preserve"> (STRIVE, ENVISION and KONNECTION)</w:t>
      </w:r>
      <w:r w:rsidR="000422E1" w:rsidRPr="002C713F">
        <w:rPr>
          <w:rFonts w:ascii="Arial" w:hAnsi="Arial"/>
          <w:sz w:val="22"/>
          <w:szCs w:val="22"/>
        </w:rPr>
        <w:t xml:space="preserve">, </w:t>
      </w:r>
      <w:r w:rsidR="009B54AA" w:rsidRPr="002C713F">
        <w:rPr>
          <w:rFonts w:ascii="Arial" w:hAnsi="Arial"/>
          <w:sz w:val="22"/>
          <w:szCs w:val="22"/>
        </w:rPr>
        <w:t xml:space="preserve">are applicable to </w:t>
      </w:r>
      <w:r w:rsidR="00225AA1" w:rsidRPr="002C713F">
        <w:rPr>
          <w:rFonts w:ascii="Arial" w:hAnsi="Arial"/>
          <w:sz w:val="22"/>
          <w:szCs w:val="22"/>
        </w:rPr>
        <w:t xml:space="preserve">patients with </w:t>
      </w:r>
      <w:r w:rsidR="00F9569D" w:rsidRPr="002C713F">
        <w:rPr>
          <w:rFonts w:ascii="Arial" w:hAnsi="Arial"/>
          <w:sz w:val="22"/>
          <w:szCs w:val="22"/>
        </w:rPr>
        <w:t>severe disease (</w:t>
      </w:r>
      <w:r w:rsidR="00944B94" w:rsidRPr="002C713F">
        <w:rPr>
          <w:rFonts w:ascii="Arial" w:hAnsi="Arial"/>
          <w:sz w:val="22"/>
          <w:szCs w:val="22"/>
        </w:rPr>
        <w:t>FEV</w:t>
      </w:r>
      <w:r w:rsidR="00944B94" w:rsidRPr="002C713F">
        <w:rPr>
          <w:rFonts w:ascii="Arial" w:hAnsi="Arial"/>
          <w:sz w:val="22"/>
          <w:szCs w:val="22"/>
          <w:vertAlign w:val="subscript"/>
        </w:rPr>
        <w:t>1</w:t>
      </w:r>
      <w:r w:rsidR="00944B94" w:rsidRPr="002C713F">
        <w:rPr>
          <w:rFonts w:ascii="Arial" w:hAnsi="Arial"/>
          <w:sz w:val="22"/>
          <w:szCs w:val="22"/>
        </w:rPr>
        <w:t>&lt;40% predicted</w:t>
      </w:r>
      <w:r w:rsidR="00F9569D" w:rsidRPr="002C713F">
        <w:rPr>
          <w:rFonts w:ascii="Arial" w:hAnsi="Arial"/>
          <w:sz w:val="22"/>
          <w:szCs w:val="22"/>
        </w:rPr>
        <w:t>)</w:t>
      </w:r>
      <w:r w:rsidR="009B54AA" w:rsidRPr="002C713F">
        <w:rPr>
          <w:rFonts w:ascii="Arial" w:hAnsi="Arial"/>
          <w:sz w:val="22"/>
          <w:szCs w:val="22"/>
        </w:rPr>
        <w:t xml:space="preserve">. The </w:t>
      </w:r>
      <w:r w:rsidR="000422E1" w:rsidRPr="002C713F">
        <w:rPr>
          <w:rFonts w:ascii="Arial" w:hAnsi="Arial"/>
          <w:sz w:val="22"/>
          <w:szCs w:val="22"/>
        </w:rPr>
        <w:t xml:space="preserve">average </w:t>
      </w:r>
      <w:r w:rsidR="004169BE" w:rsidRPr="002C713F">
        <w:rPr>
          <w:rFonts w:ascii="Arial" w:hAnsi="Arial"/>
          <w:sz w:val="22"/>
          <w:szCs w:val="22"/>
        </w:rPr>
        <w:t>magnitude of the improvement in lung function</w:t>
      </w:r>
      <w:r w:rsidR="000422E1" w:rsidRPr="002C713F">
        <w:rPr>
          <w:rFonts w:ascii="Arial" w:hAnsi="Arial"/>
          <w:sz w:val="22"/>
          <w:szCs w:val="22"/>
        </w:rPr>
        <w:t xml:space="preserve"> in patients with severe CF</w:t>
      </w:r>
      <w:r w:rsidR="004169BE" w:rsidRPr="002C713F">
        <w:rPr>
          <w:rFonts w:ascii="Arial" w:hAnsi="Arial"/>
          <w:sz w:val="22"/>
          <w:szCs w:val="22"/>
        </w:rPr>
        <w:t xml:space="preserve">, as measured by </w:t>
      </w:r>
      <w:r w:rsidR="000422E1" w:rsidRPr="002C713F">
        <w:rPr>
          <w:rFonts w:ascii="Arial" w:hAnsi="Arial"/>
          <w:sz w:val="22"/>
          <w:szCs w:val="22"/>
        </w:rPr>
        <w:t xml:space="preserve">change in </w:t>
      </w:r>
      <w:r w:rsidR="009B54AA" w:rsidRPr="002C713F">
        <w:rPr>
          <w:rFonts w:ascii="Arial" w:hAnsi="Arial"/>
          <w:sz w:val="22"/>
          <w:szCs w:val="22"/>
        </w:rPr>
        <w:t>FEV</w:t>
      </w:r>
      <w:r w:rsidR="009B54AA" w:rsidRPr="002C713F">
        <w:rPr>
          <w:rFonts w:ascii="Arial" w:hAnsi="Arial"/>
          <w:sz w:val="22"/>
          <w:szCs w:val="22"/>
          <w:vertAlign w:val="subscript"/>
        </w:rPr>
        <w:t>1</w:t>
      </w:r>
      <w:r w:rsidR="009B54AA" w:rsidRPr="002C713F">
        <w:rPr>
          <w:rFonts w:ascii="Arial" w:hAnsi="Arial"/>
          <w:sz w:val="22"/>
          <w:szCs w:val="22"/>
        </w:rPr>
        <w:t xml:space="preserve"> </w:t>
      </w:r>
      <w:r w:rsidR="004169BE" w:rsidRPr="002C713F">
        <w:rPr>
          <w:rFonts w:ascii="Arial" w:hAnsi="Arial"/>
          <w:sz w:val="22"/>
          <w:szCs w:val="22"/>
        </w:rPr>
        <w:t xml:space="preserve">% predicted, </w:t>
      </w:r>
      <w:r w:rsidR="00DE6875" w:rsidRPr="002C713F">
        <w:rPr>
          <w:rFonts w:ascii="Arial" w:hAnsi="Arial"/>
          <w:sz w:val="22"/>
          <w:szCs w:val="22"/>
        </w:rPr>
        <w:t xml:space="preserve">in most studies </w:t>
      </w:r>
      <w:r w:rsidR="004169BE" w:rsidRPr="002C713F">
        <w:rPr>
          <w:rFonts w:ascii="Arial" w:hAnsi="Arial"/>
          <w:sz w:val="22"/>
          <w:szCs w:val="22"/>
        </w:rPr>
        <w:t xml:space="preserve">was smaller than </w:t>
      </w:r>
      <w:r w:rsidR="0057498C" w:rsidRPr="002C713F">
        <w:rPr>
          <w:rFonts w:ascii="Arial" w:hAnsi="Arial"/>
          <w:sz w:val="22"/>
          <w:szCs w:val="22"/>
        </w:rPr>
        <w:t xml:space="preserve">that observed in patients with less severe disease and did not reach the clinically important difference previously accepted by the PBAC. </w:t>
      </w:r>
      <w:r w:rsidR="00414774" w:rsidRPr="002C713F">
        <w:rPr>
          <w:rFonts w:ascii="Arial" w:hAnsi="Arial"/>
          <w:sz w:val="22"/>
          <w:szCs w:val="22"/>
        </w:rPr>
        <w:t xml:space="preserve">Clinical data showed that </w:t>
      </w:r>
      <w:r w:rsidR="00F9569D" w:rsidRPr="002C713F">
        <w:rPr>
          <w:rFonts w:ascii="Arial" w:hAnsi="Arial"/>
          <w:sz w:val="22"/>
          <w:szCs w:val="22"/>
        </w:rPr>
        <w:t xml:space="preserve">the </w:t>
      </w:r>
      <w:r w:rsidR="00414774" w:rsidRPr="002C713F">
        <w:rPr>
          <w:rFonts w:ascii="Arial" w:hAnsi="Arial"/>
          <w:sz w:val="22"/>
          <w:szCs w:val="22"/>
        </w:rPr>
        <w:t>u</w:t>
      </w:r>
      <w:r w:rsidR="008D0247" w:rsidRPr="002C713F">
        <w:rPr>
          <w:rFonts w:ascii="Arial" w:hAnsi="Arial"/>
          <w:sz w:val="22"/>
          <w:szCs w:val="22"/>
        </w:rPr>
        <w:t xml:space="preserve">se of ivacaftor in </w:t>
      </w:r>
      <w:r w:rsidR="004E1AE0" w:rsidRPr="002C713F">
        <w:rPr>
          <w:rFonts w:ascii="Arial" w:hAnsi="Arial"/>
          <w:sz w:val="22"/>
          <w:szCs w:val="22"/>
        </w:rPr>
        <w:t xml:space="preserve">CF </w:t>
      </w:r>
      <w:r w:rsidR="008D0247" w:rsidRPr="002C713F">
        <w:rPr>
          <w:rFonts w:ascii="Arial" w:hAnsi="Arial"/>
          <w:sz w:val="22"/>
          <w:szCs w:val="22"/>
        </w:rPr>
        <w:t xml:space="preserve">patients with severe lung </w:t>
      </w:r>
      <w:r w:rsidR="00F9569D" w:rsidRPr="002C713F">
        <w:rPr>
          <w:rFonts w:ascii="Arial" w:hAnsi="Arial"/>
          <w:sz w:val="22"/>
          <w:szCs w:val="22"/>
        </w:rPr>
        <w:t>function impairment</w:t>
      </w:r>
      <w:r w:rsidR="008D0247" w:rsidRPr="002C713F">
        <w:rPr>
          <w:rFonts w:ascii="Arial" w:hAnsi="Arial"/>
          <w:sz w:val="22"/>
          <w:szCs w:val="22"/>
        </w:rPr>
        <w:t xml:space="preserve"> </w:t>
      </w:r>
      <w:r w:rsidR="00414774" w:rsidRPr="002C713F">
        <w:rPr>
          <w:rFonts w:ascii="Arial" w:hAnsi="Arial"/>
          <w:sz w:val="22"/>
          <w:szCs w:val="22"/>
        </w:rPr>
        <w:t>was</w:t>
      </w:r>
      <w:r w:rsidR="008D0247" w:rsidRPr="002C713F">
        <w:rPr>
          <w:rFonts w:ascii="Arial" w:hAnsi="Arial"/>
          <w:sz w:val="22"/>
          <w:szCs w:val="22"/>
        </w:rPr>
        <w:t xml:space="preserve"> associated with weight gain</w:t>
      </w:r>
      <w:r w:rsidR="004E1AE0" w:rsidRPr="002C713F">
        <w:rPr>
          <w:rFonts w:ascii="Arial" w:hAnsi="Arial"/>
          <w:sz w:val="22"/>
          <w:szCs w:val="22"/>
        </w:rPr>
        <w:t>,</w:t>
      </w:r>
      <w:r w:rsidR="008A0EE5" w:rsidRPr="002C713F">
        <w:rPr>
          <w:rFonts w:ascii="Arial" w:hAnsi="Arial"/>
          <w:sz w:val="22"/>
          <w:szCs w:val="22"/>
        </w:rPr>
        <w:t xml:space="preserve"> less hospitalisation and fewer IV antibiotic requirements. </w:t>
      </w:r>
      <w:r w:rsidR="00414774" w:rsidRPr="002C713F">
        <w:rPr>
          <w:rFonts w:ascii="Arial" w:hAnsi="Arial"/>
          <w:sz w:val="22"/>
          <w:szCs w:val="22"/>
        </w:rPr>
        <w:t xml:space="preserve">Interpretation of these results should </w:t>
      </w:r>
      <w:r w:rsidR="0076461F" w:rsidRPr="002C713F">
        <w:rPr>
          <w:rFonts w:ascii="Arial" w:hAnsi="Arial"/>
          <w:sz w:val="22"/>
          <w:szCs w:val="22"/>
        </w:rPr>
        <w:t xml:space="preserve">take into consideration </w:t>
      </w:r>
      <w:r w:rsidR="00414774" w:rsidRPr="002C713F">
        <w:rPr>
          <w:rFonts w:ascii="Arial" w:hAnsi="Arial"/>
          <w:sz w:val="22"/>
          <w:szCs w:val="22"/>
        </w:rPr>
        <w:t xml:space="preserve">the </w:t>
      </w:r>
      <w:r w:rsidR="0076461F" w:rsidRPr="002C713F">
        <w:rPr>
          <w:rFonts w:ascii="Arial" w:hAnsi="Arial"/>
          <w:sz w:val="22"/>
          <w:szCs w:val="22"/>
        </w:rPr>
        <w:t xml:space="preserve">potential for confounding due to differences in </w:t>
      </w:r>
      <w:r w:rsidR="00414774" w:rsidRPr="002C713F">
        <w:rPr>
          <w:rFonts w:ascii="Arial" w:hAnsi="Arial"/>
          <w:sz w:val="22"/>
          <w:szCs w:val="22"/>
        </w:rPr>
        <w:t xml:space="preserve">background CF management, the lack of </w:t>
      </w:r>
      <w:r w:rsidR="00414774" w:rsidRPr="002C713F">
        <w:rPr>
          <w:rFonts w:ascii="Arial" w:hAnsi="Arial"/>
          <w:sz w:val="22"/>
          <w:szCs w:val="22"/>
        </w:rPr>
        <w:lastRenderedPageBreak/>
        <w:t xml:space="preserve">comparable placebo </w:t>
      </w:r>
      <w:r w:rsidR="0076461F" w:rsidRPr="002C713F">
        <w:rPr>
          <w:rFonts w:ascii="Arial" w:hAnsi="Arial"/>
          <w:sz w:val="22"/>
          <w:szCs w:val="22"/>
        </w:rPr>
        <w:t xml:space="preserve">control </w:t>
      </w:r>
      <w:r w:rsidR="00414774" w:rsidRPr="002C713F">
        <w:rPr>
          <w:rFonts w:ascii="Arial" w:hAnsi="Arial"/>
          <w:sz w:val="22"/>
          <w:szCs w:val="22"/>
        </w:rPr>
        <w:t xml:space="preserve">group, the </w:t>
      </w:r>
      <w:r w:rsidR="0076461F" w:rsidRPr="002C713F">
        <w:rPr>
          <w:rFonts w:ascii="Arial" w:hAnsi="Arial"/>
          <w:sz w:val="22"/>
          <w:szCs w:val="22"/>
        </w:rPr>
        <w:t xml:space="preserve">high </w:t>
      </w:r>
      <w:r w:rsidR="00414774" w:rsidRPr="002C713F">
        <w:rPr>
          <w:rFonts w:ascii="Arial" w:hAnsi="Arial"/>
          <w:sz w:val="22"/>
          <w:szCs w:val="22"/>
        </w:rPr>
        <w:t xml:space="preserve">loss to follow-up and the small sample size of the clinical studies. </w:t>
      </w:r>
    </w:p>
    <w:p w:rsidR="0046677A" w:rsidRPr="0046677A" w:rsidRDefault="0046677A" w:rsidP="0046677A">
      <w:pPr>
        <w:pStyle w:val="ListParagraph"/>
        <w:rPr>
          <w:rFonts w:ascii="Arial" w:hAnsi="Arial"/>
          <w:sz w:val="22"/>
          <w:szCs w:val="22"/>
        </w:rPr>
      </w:pPr>
    </w:p>
    <w:p w:rsidR="0046677A" w:rsidRDefault="0046677A" w:rsidP="00423C95">
      <w:pPr>
        <w:pStyle w:val="ListParagraph"/>
        <w:numPr>
          <w:ilvl w:val="1"/>
          <w:numId w:val="1"/>
        </w:numPr>
        <w:jc w:val="both"/>
        <w:rPr>
          <w:rFonts w:ascii="Arial" w:hAnsi="Arial"/>
          <w:sz w:val="22"/>
          <w:szCs w:val="22"/>
        </w:rPr>
      </w:pPr>
      <w:r w:rsidRPr="002C713F">
        <w:rPr>
          <w:rFonts w:ascii="Arial" w:hAnsi="Arial"/>
          <w:sz w:val="22"/>
          <w:szCs w:val="22"/>
        </w:rPr>
        <w:t xml:space="preserve">The submission indicated that the significant reductions in risks of death and </w:t>
      </w:r>
      <w:r w:rsidR="003529E8" w:rsidRPr="002C713F">
        <w:rPr>
          <w:rFonts w:ascii="Arial" w:hAnsi="Arial"/>
          <w:sz w:val="22"/>
          <w:szCs w:val="22"/>
        </w:rPr>
        <w:t xml:space="preserve">lung </w:t>
      </w:r>
      <w:r w:rsidRPr="002C713F">
        <w:rPr>
          <w:rFonts w:ascii="Arial" w:hAnsi="Arial"/>
          <w:sz w:val="22"/>
          <w:szCs w:val="22"/>
        </w:rPr>
        <w:t>transplant</w:t>
      </w:r>
      <w:r w:rsidR="003529E8" w:rsidRPr="002C713F">
        <w:rPr>
          <w:rFonts w:ascii="Arial" w:hAnsi="Arial"/>
          <w:sz w:val="22"/>
          <w:szCs w:val="22"/>
        </w:rPr>
        <w:t>ation,</w:t>
      </w:r>
      <w:r w:rsidRPr="002C713F">
        <w:rPr>
          <w:rFonts w:ascii="Arial" w:hAnsi="Arial"/>
          <w:sz w:val="22"/>
          <w:szCs w:val="22"/>
        </w:rPr>
        <w:t xml:space="preserve"> </w:t>
      </w:r>
      <w:r w:rsidR="0014073E" w:rsidRPr="002C713F">
        <w:rPr>
          <w:rFonts w:ascii="Arial" w:hAnsi="Arial"/>
          <w:sz w:val="22"/>
          <w:szCs w:val="22"/>
        </w:rPr>
        <w:t>as reported in the US CFFPR study</w:t>
      </w:r>
      <w:r w:rsidR="003529E8" w:rsidRPr="002C713F">
        <w:rPr>
          <w:rFonts w:ascii="Arial" w:hAnsi="Arial"/>
          <w:sz w:val="22"/>
          <w:szCs w:val="22"/>
        </w:rPr>
        <w:t>,</w:t>
      </w:r>
      <w:r w:rsidRPr="002C713F">
        <w:rPr>
          <w:rFonts w:ascii="Arial" w:hAnsi="Arial"/>
          <w:sz w:val="22"/>
          <w:szCs w:val="22"/>
        </w:rPr>
        <w:t xml:space="preserve"> are a potential early indicator of disease modification by CFTR modulatory therapy.</w:t>
      </w:r>
      <w:r w:rsidR="0014073E" w:rsidRPr="002C713F">
        <w:rPr>
          <w:rFonts w:ascii="Arial" w:hAnsi="Arial"/>
          <w:sz w:val="22"/>
          <w:szCs w:val="22"/>
        </w:rPr>
        <w:t xml:space="preserve"> </w:t>
      </w:r>
      <w:r w:rsidR="00902062" w:rsidRPr="002C713F">
        <w:rPr>
          <w:rFonts w:ascii="Arial" w:hAnsi="Arial"/>
          <w:sz w:val="22"/>
          <w:szCs w:val="22"/>
        </w:rPr>
        <w:t xml:space="preserve">While considering the clinical evidence presented in the November 2013 submission, the PBAC </w:t>
      </w:r>
      <w:r w:rsidR="003529E8" w:rsidRPr="002C713F">
        <w:rPr>
          <w:rFonts w:ascii="Arial" w:hAnsi="Arial"/>
          <w:sz w:val="22"/>
          <w:szCs w:val="22"/>
        </w:rPr>
        <w:t>expressed</w:t>
      </w:r>
      <w:r w:rsidR="00902062" w:rsidRPr="002C713F">
        <w:rPr>
          <w:rFonts w:ascii="Arial" w:hAnsi="Arial"/>
          <w:sz w:val="22"/>
          <w:szCs w:val="22"/>
        </w:rPr>
        <w:t xml:space="preserve"> concerns regarding </w:t>
      </w:r>
      <w:r w:rsidR="003529E8" w:rsidRPr="002C713F">
        <w:rPr>
          <w:rFonts w:ascii="Arial" w:hAnsi="Arial"/>
          <w:sz w:val="22"/>
          <w:szCs w:val="22"/>
        </w:rPr>
        <w:t>whether the</w:t>
      </w:r>
      <w:r w:rsidR="00902062" w:rsidRPr="002C713F">
        <w:rPr>
          <w:rFonts w:ascii="Arial" w:hAnsi="Arial"/>
          <w:sz w:val="22"/>
          <w:szCs w:val="22"/>
        </w:rPr>
        <w:t xml:space="preserve"> short-term result of change in % predicted FEV</w:t>
      </w:r>
      <w:r w:rsidR="00902062" w:rsidRPr="002C713F">
        <w:rPr>
          <w:rFonts w:ascii="Arial" w:hAnsi="Arial"/>
          <w:sz w:val="22"/>
          <w:szCs w:val="22"/>
          <w:vertAlign w:val="subscript"/>
        </w:rPr>
        <w:t>1</w:t>
      </w:r>
      <w:r w:rsidR="00902062" w:rsidRPr="002C713F">
        <w:rPr>
          <w:rFonts w:ascii="Arial" w:hAnsi="Arial"/>
          <w:sz w:val="22"/>
          <w:szCs w:val="22"/>
        </w:rPr>
        <w:t xml:space="preserve"> </w:t>
      </w:r>
      <w:r w:rsidR="003529E8" w:rsidRPr="002C713F">
        <w:rPr>
          <w:rFonts w:ascii="Arial" w:hAnsi="Arial"/>
          <w:sz w:val="22"/>
          <w:szCs w:val="22"/>
        </w:rPr>
        <w:t xml:space="preserve">would translate </w:t>
      </w:r>
      <w:r w:rsidR="00902062" w:rsidRPr="002C713F">
        <w:rPr>
          <w:rFonts w:ascii="Arial" w:hAnsi="Arial"/>
          <w:sz w:val="22"/>
          <w:szCs w:val="22"/>
        </w:rPr>
        <w:t>into long-term survival benefits</w:t>
      </w:r>
      <w:r w:rsidR="00A96D9B" w:rsidRPr="002C713F">
        <w:rPr>
          <w:rFonts w:ascii="Arial" w:hAnsi="Arial"/>
          <w:sz w:val="22"/>
          <w:szCs w:val="22"/>
        </w:rPr>
        <w:t>,</w:t>
      </w:r>
      <w:r w:rsidR="00902062" w:rsidRPr="002C713F">
        <w:rPr>
          <w:rFonts w:ascii="Arial" w:hAnsi="Arial"/>
          <w:sz w:val="22"/>
          <w:szCs w:val="22"/>
        </w:rPr>
        <w:t xml:space="preserve"> and the lack of long-term safety data on ivacaftor (Ivacaftor PSD, November 2013). </w:t>
      </w:r>
      <w:r w:rsidR="009E5BED" w:rsidRPr="002C713F">
        <w:rPr>
          <w:rFonts w:ascii="Arial" w:hAnsi="Arial"/>
          <w:sz w:val="22"/>
          <w:szCs w:val="22"/>
        </w:rPr>
        <w:t xml:space="preserve">Given that </w:t>
      </w:r>
      <w:r w:rsidR="00DE6875" w:rsidRPr="002C713F">
        <w:rPr>
          <w:rFonts w:ascii="Arial" w:hAnsi="Arial"/>
          <w:sz w:val="22"/>
          <w:szCs w:val="22"/>
        </w:rPr>
        <w:t xml:space="preserve">ivacaftor </w:t>
      </w:r>
      <w:r w:rsidR="009E5BED" w:rsidRPr="002C713F">
        <w:rPr>
          <w:rFonts w:ascii="Arial" w:hAnsi="Arial"/>
          <w:sz w:val="22"/>
          <w:szCs w:val="22"/>
        </w:rPr>
        <w:t>therapy is likely to be life-long and the absence of long-term survival and safety data, t</w:t>
      </w:r>
      <w:r w:rsidR="00902062" w:rsidRPr="002C713F">
        <w:rPr>
          <w:rFonts w:ascii="Arial" w:hAnsi="Arial"/>
          <w:sz w:val="22"/>
          <w:szCs w:val="22"/>
        </w:rPr>
        <w:t xml:space="preserve">hese </w:t>
      </w:r>
      <w:r w:rsidR="00F9441E" w:rsidRPr="002C713F">
        <w:rPr>
          <w:rFonts w:ascii="Arial" w:hAnsi="Arial"/>
          <w:sz w:val="22"/>
          <w:szCs w:val="22"/>
        </w:rPr>
        <w:t xml:space="preserve">remain </w:t>
      </w:r>
      <w:r w:rsidR="009E5BED" w:rsidRPr="002C713F">
        <w:rPr>
          <w:rFonts w:ascii="Arial" w:hAnsi="Arial"/>
          <w:sz w:val="22"/>
          <w:szCs w:val="22"/>
        </w:rPr>
        <w:t>as major issues to be addressed.</w:t>
      </w:r>
    </w:p>
    <w:p w:rsidR="00745DF7" w:rsidRPr="00745DF7" w:rsidRDefault="00745DF7" w:rsidP="00745DF7">
      <w:pPr>
        <w:pStyle w:val="ListParagraph"/>
        <w:rPr>
          <w:rFonts w:ascii="Arial" w:hAnsi="Arial"/>
          <w:sz w:val="22"/>
          <w:szCs w:val="22"/>
        </w:rPr>
      </w:pPr>
    </w:p>
    <w:p w:rsidR="00745DF7" w:rsidRPr="00D83E89" w:rsidRDefault="00745DF7" w:rsidP="00745DF7">
      <w:pPr>
        <w:pStyle w:val="ListParagraph"/>
        <w:numPr>
          <w:ilvl w:val="1"/>
          <w:numId w:val="1"/>
        </w:numPr>
        <w:jc w:val="both"/>
        <w:rPr>
          <w:rFonts w:ascii="Arial" w:hAnsi="Arial"/>
          <w:b/>
          <w:sz w:val="22"/>
          <w:szCs w:val="22"/>
        </w:rPr>
      </w:pPr>
      <w:r w:rsidRPr="00D91A17">
        <w:rPr>
          <w:rFonts w:ascii="Arial" w:hAnsi="Arial"/>
          <w:sz w:val="22"/>
          <w:szCs w:val="22"/>
        </w:rPr>
        <w:t>Th</w:t>
      </w:r>
      <w:r>
        <w:rPr>
          <w:rFonts w:ascii="Arial" w:hAnsi="Arial"/>
          <w:sz w:val="22"/>
          <w:szCs w:val="22"/>
        </w:rPr>
        <w:t>e PBAC considered that the clinical evidence presented in the submission showed some benefit in severe CF group however, the PBAC noted that the absolute increase in FEV</w:t>
      </w:r>
      <w:r w:rsidRPr="004F7654">
        <w:rPr>
          <w:rFonts w:ascii="Arial" w:hAnsi="Arial"/>
          <w:sz w:val="22"/>
          <w:szCs w:val="22"/>
          <w:vertAlign w:val="subscript"/>
        </w:rPr>
        <w:t>1</w:t>
      </w:r>
      <w:r>
        <w:rPr>
          <w:rFonts w:ascii="Arial" w:hAnsi="Arial"/>
          <w:sz w:val="22"/>
          <w:szCs w:val="22"/>
        </w:rPr>
        <w:t xml:space="preserve"> was lower in patients under the compassionate access program across different countries than observed among patients in the PERSIST trial (refer Table 3 above).  The PBAC considered that it remains uncertain whether this will translate into significant patient relevant improvements in health.  </w:t>
      </w:r>
    </w:p>
    <w:p w:rsidR="00745DF7" w:rsidRPr="00745DF7" w:rsidRDefault="00745DF7" w:rsidP="00745DF7">
      <w:pPr>
        <w:jc w:val="both"/>
        <w:rPr>
          <w:rFonts w:ascii="Arial" w:hAnsi="Arial"/>
          <w:sz w:val="22"/>
          <w:szCs w:val="22"/>
        </w:rPr>
      </w:pPr>
    </w:p>
    <w:p w:rsidR="005A3173" w:rsidRPr="002C713F" w:rsidRDefault="005A3173" w:rsidP="00851FEA">
      <w:pPr>
        <w:pStyle w:val="Heading2"/>
      </w:pPr>
      <w:r w:rsidRPr="002C713F">
        <w:t>Economic analysis</w:t>
      </w:r>
    </w:p>
    <w:p w:rsidR="005A3173" w:rsidRPr="002C713F" w:rsidRDefault="005A3173" w:rsidP="00D84934">
      <w:pPr>
        <w:pStyle w:val="NoSpacing"/>
      </w:pPr>
    </w:p>
    <w:p w:rsidR="009B0F67" w:rsidRDefault="004A3ED7" w:rsidP="00156080">
      <w:pPr>
        <w:pStyle w:val="ListParagraph"/>
        <w:numPr>
          <w:ilvl w:val="1"/>
          <w:numId w:val="1"/>
        </w:numPr>
        <w:jc w:val="both"/>
        <w:rPr>
          <w:rFonts w:ascii="Arial" w:hAnsi="Arial"/>
          <w:sz w:val="22"/>
          <w:szCs w:val="22"/>
        </w:rPr>
      </w:pPr>
      <w:r w:rsidRPr="002C713F">
        <w:rPr>
          <w:rFonts w:ascii="Arial" w:hAnsi="Arial"/>
          <w:sz w:val="22"/>
          <w:szCs w:val="22"/>
        </w:rPr>
        <w:t>T</w:t>
      </w:r>
      <w:r w:rsidR="00156080" w:rsidRPr="002C713F">
        <w:rPr>
          <w:rFonts w:ascii="Arial" w:hAnsi="Arial"/>
          <w:sz w:val="22"/>
          <w:szCs w:val="22"/>
        </w:rPr>
        <w:t>here was no economic comparison presented.</w:t>
      </w:r>
    </w:p>
    <w:p w:rsidR="000B5E47" w:rsidRPr="002C713F" w:rsidRDefault="000B5E47" w:rsidP="000B5E47">
      <w:pPr>
        <w:pStyle w:val="ListParagraph"/>
        <w:jc w:val="both"/>
        <w:rPr>
          <w:rFonts w:ascii="Arial" w:hAnsi="Arial"/>
          <w:sz w:val="22"/>
          <w:szCs w:val="22"/>
        </w:rPr>
      </w:pPr>
    </w:p>
    <w:p w:rsidR="005A3173" w:rsidRPr="002C713F" w:rsidRDefault="005A3173" w:rsidP="00851FEA">
      <w:pPr>
        <w:pStyle w:val="Heading2"/>
      </w:pPr>
      <w:r w:rsidRPr="002C713F">
        <w:t>Estimated PBS usage &amp; financial implications</w:t>
      </w:r>
    </w:p>
    <w:p w:rsidR="005A3173" w:rsidRPr="002C713F" w:rsidRDefault="005A3173" w:rsidP="00882085">
      <w:pPr>
        <w:ind w:left="720" w:hanging="720"/>
        <w:jc w:val="both"/>
        <w:rPr>
          <w:rFonts w:ascii="Arial" w:hAnsi="Arial"/>
          <w:b/>
          <w:sz w:val="22"/>
          <w:szCs w:val="22"/>
        </w:rPr>
      </w:pPr>
    </w:p>
    <w:p w:rsidR="00252A49" w:rsidRDefault="00156080" w:rsidP="00156080">
      <w:pPr>
        <w:pStyle w:val="ListParagraph"/>
        <w:numPr>
          <w:ilvl w:val="1"/>
          <w:numId w:val="1"/>
        </w:numPr>
        <w:jc w:val="both"/>
        <w:rPr>
          <w:rFonts w:ascii="Arial" w:hAnsi="Arial"/>
          <w:sz w:val="22"/>
          <w:szCs w:val="22"/>
        </w:rPr>
      </w:pPr>
      <w:r w:rsidRPr="00156080">
        <w:rPr>
          <w:rFonts w:ascii="Arial" w:hAnsi="Arial"/>
          <w:sz w:val="22"/>
          <w:szCs w:val="22"/>
        </w:rPr>
        <w:t xml:space="preserve">Estimated financial implications were not presented in the </w:t>
      </w:r>
      <w:r>
        <w:rPr>
          <w:rFonts w:ascii="Arial" w:hAnsi="Arial"/>
          <w:sz w:val="22"/>
          <w:szCs w:val="22"/>
        </w:rPr>
        <w:t>m</w:t>
      </w:r>
      <w:r w:rsidRPr="00156080">
        <w:rPr>
          <w:rFonts w:ascii="Arial" w:hAnsi="Arial"/>
          <w:sz w:val="22"/>
          <w:szCs w:val="22"/>
        </w:rPr>
        <w:t xml:space="preserve">inor </w:t>
      </w:r>
      <w:r>
        <w:rPr>
          <w:rFonts w:ascii="Arial" w:hAnsi="Arial"/>
          <w:sz w:val="22"/>
          <w:szCs w:val="22"/>
        </w:rPr>
        <w:t>s</w:t>
      </w:r>
      <w:r w:rsidRPr="00156080">
        <w:rPr>
          <w:rFonts w:ascii="Arial" w:hAnsi="Arial"/>
          <w:sz w:val="22"/>
          <w:szCs w:val="22"/>
        </w:rPr>
        <w:t>ubmission.</w:t>
      </w:r>
    </w:p>
    <w:p w:rsidR="003B02DE" w:rsidRPr="004A1304" w:rsidRDefault="003B02DE" w:rsidP="004A1304">
      <w:pPr>
        <w:jc w:val="both"/>
        <w:rPr>
          <w:rFonts w:ascii="Arial" w:hAnsi="Arial"/>
          <w:sz w:val="22"/>
          <w:szCs w:val="22"/>
        </w:rPr>
      </w:pPr>
    </w:p>
    <w:p w:rsidR="006465D9" w:rsidRPr="006465D9" w:rsidRDefault="006465D9" w:rsidP="00C00DA7">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6465D9" w:rsidRPr="006465D9" w:rsidRDefault="006465D9" w:rsidP="00851FEA">
      <w:pPr>
        <w:spacing w:line="480" w:lineRule="auto"/>
        <w:jc w:val="both"/>
        <w:rPr>
          <w:rFonts w:ascii="Arial" w:hAnsi="Arial"/>
          <w:sz w:val="22"/>
          <w:szCs w:val="22"/>
        </w:rPr>
      </w:pPr>
    </w:p>
    <w:p w:rsidR="002C713F" w:rsidRDefault="002C713F" w:rsidP="00851FEA">
      <w:pPr>
        <w:pStyle w:val="Heading1"/>
        <w:rPr>
          <w:snapToGrid w:val="0"/>
          <w:lang w:eastAsia="en-US"/>
        </w:rPr>
      </w:pPr>
      <w:r w:rsidRPr="00B20701">
        <w:rPr>
          <w:snapToGrid w:val="0"/>
          <w:lang w:eastAsia="en-US"/>
        </w:rPr>
        <w:t>PBAC Outcome</w:t>
      </w:r>
    </w:p>
    <w:p w:rsidR="00851FEA" w:rsidRPr="00851FEA" w:rsidRDefault="00851FEA" w:rsidP="00851FEA">
      <w:pPr>
        <w:rPr>
          <w:lang w:eastAsia="en-US"/>
        </w:rPr>
      </w:pPr>
    </w:p>
    <w:p w:rsidR="00B92019" w:rsidRDefault="00B92019" w:rsidP="002C713F">
      <w:pPr>
        <w:widowControl w:val="0"/>
        <w:numPr>
          <w:ilvl w:val="1"/>
          <w:numId w:val="1"/>
        </w:numPr>
        <w:spacing w:after="120"/>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recommended to </w:t>
      </w:r>
      <w:r w:rsidR="00CA24A9" w:rsidRPr="00D91B7C">
        <w:rPr>
          <w:rFonts w:ascii="Arial" w:hAnsi="Arial" w:cs="Arial"/>
          <w:bCs/>
          <w:snapToGrid w:val="0"/>
          <w:sz w:val="22"/>
          <w:szCs w:val="22"/>
          <w:lang w:val="en-GB" w:eastAsia="en-US"/>
        </w:rPr>
        <w:t>continue</w:t>
      </w:r>
      <w:r>
        <w:rPr>
          <w:rFonts w:ascii="Arial" w:hAnsi="Arial" w:cs="Arial"/>
          <w:bCs/>
          <w:snapToGrid w:val="0"/>
          <w:sz w:val="22"/>
          <w:szCs w:val="22"/>
          <w:lang w:val="en-GB" w:eastAsia="en-US"/>
        </w:rPr>
        <w:t xml:space="preserve"> </w:t>
      </w:r>
      <w:r w:rsidR="0078231E">
        <w:rPr>
          <w:rFonts w:ascii="Arial" w:hAnsi="Arial" w:cs="Arial"/>
          <w:bCs/>
          <w:snapToGrid w:val="0"/>
          <w:sz w:val="22"/>
          <w:szCs w:val="22"/>
          <w:lang w:val="en-GB" w:eastAsia="en-US"/>
        </w:rPr>
        <w:t>the subsidy</w:t>
      </w:r>
      <w:r>
        <w:rPr>
          <w:rFonts w:ascii="Arial" w:hAnsi="Arial" w:cs="Arial"/>
          <w:bCs/>
          <w:snapToGrid w:val="0"/>
          <w:sz w:val="22"/>
          <w:szCs w:val="22"/>
          <w:lang w:val="en-GB" w:eastAsia="en-US"/>
        </w:rPr>
        <w:t xml:space="preserve"> of ivacaftor as a Section 100 (Highly Specialised Drugs Program) benefit for the treatment of cystic fibrosis (CF) </w:t>
      </w:r>
      <w:r w:rsidR="0078231E">
        <w:rPr>
          <w:rFonts w:ascii="Arial" w:hAnsi="Arial" w:cs="Arial"/>
          <w:bCs/>
          <w:snapToGrid w:val="0"/>
          <w:sz w:val="22"/>
          <w:szCs w:val="22"/>
          <w:lang w:val="en-GB" w:eastAsia="en-US"/>
        </w:rPr>
        <w:t>in</w:t>
      </w:r>
      <w:r>
        <w:rPr>
          <w:rFonts w:ascii="Arial" w:hAnsi="Arial" w:cs="Arial"/>
          <w:bCs/>
          <w:snapToGrid w:val="0"/>
          <w:sz w:val="22"/>
          <w:szCs w:val="22"/>
          <w:lang w:val="en-GB" w:eastAsia="en-US"/>
        </w:rPr>
        <w:t xml:space="preserve"> patients aged 6 years and older with a G551D or other gating (class III) mutation in cystic fibrosis transmembrane conductance regulator (CFTR) gene who have severe CF disease (forced expiratory volume in one second (FEV</w:t>
      </w:r>
      <w:r w:rsidRPr="00BB54EB">
        <w:rPr>
          <w:rFonts w:ascii="Arial" w:hAnsi="Arial" w:cs="Arial"/>
          <w:bCs/>
          <w:snapToGrid w:val="0"/>
          <w:sz w:val="22"/>
          <w:szCs w:val="22"/>
          <w:vertAlign w:val="subscript"/>
          <w:lang w:val="en-GB" w:eastAsia="en-US"/>
        </w:rPr>
        <w:t>1</w:t>
      </w:r>
      <w:r>
        <w:rPr>
          <w:rFonts w:ascii="Arial" w:hAnsi="Arial" w:cs="Arial"/>
          <w:bCs/>
          <w:snapToGrid w:val="0"/>
          <w:sz w:val="22"/>
          <w:szCs w:val="22"/>
          <w:lang w:val="en-GB" w:eastAsia="en-US"/>
        </w:rPr>
        <w:t xml:space="preserve">) &lt;40% predicted.  </w:t>
      </w:r>
    </w:p>
    <w:p w:rsidR="00B92019" w:rsidRDefault="00B92019" w:rsidP="00BB54EB">
      <w:pPr>
        <w:widowControl w:val="0"/>
        <w:spacing w:after="120"/>
        <w:ind w:left="720"/>
        <w:contextualSpacing/>
        <w:jc w:val="both"/>
        <w:rPr>
          <w:rFonts w:ascii="Arial" w:hAnsi="Arial" w:cs="Arial"/>
          <w:bCs/>
          <w:snapToGrid w:val="0"/>
          <w:sz w:val="22"/>
          <w:szCs w:val="22"/>
          <w:lang w:val="en-GB" w:eastAsia="en-US"/>
        </w:rPr>
      </w:pPr>
    </w:p>
    <w:p w:rsidR="002C713F" w:rsidRPr="00C45DB5" w:rsidRDefault="00B20701" w:rsidP="00BB54EB">
      <w:pPr>
        <w:pStyle w:val="ListParagraph"/>
        <w:numPr>
          <w:ilvl w:val="1"/>
          <w:numId w:val="1"/>
        </w:numPr>
        <w:jc w:val="both"/>
        <w:rPr>
          <w:rFonts w:ascii="Arial" w:hAnsi="Arial"/>
          <w:b/>
          <w:sz w:val="22"/>
          <w:szCs w:val="22"/>
        </w:rPr>
      </w:pPr>
      <w:r w:rsidRPr="00B20701">
        <w:rPr>
          <w:rFonts w:ascii="Arial" w:hAnsi="Arial" w:cs="Arial"/>
          <w:bCs/>
          <w:snapToGrid w:val="0"/>
          <w:sz w:val="22"/>
          <w:szCs w:val="22"/>
          <w:lang w:val="en-GB" w:eastAsia="en-US"/>
        </w:rPr>
        <w:t xml:space="preserve">The PBAC noted the </w:t>
      </w:r>
      <w:r w:rsidRPr="00B20701">
        <w:rPr>
          <w:rFonts w:ascii="Arial" w:hAnsi="Arial"/>
          <w:sz w:val="22"/>
          <w:szCs w:val="22"/>
        </w:rPr>
        <w:t>add</w:t>
      </w:r>
      <w:r w:rsidR="00A41AC0">
        <w:rPr>
          <w:rFonts w:ascii="Arial" w:hAnsi="Arial"/>
          <w:sz w:val="22"/>
          <w:szCs w:val="22"/>
        </w:rPr>
        <w:t>itional efficacy and safety data</w:t>
      </w:r>
      <w:r w:rsidRPr="00B20701">
        <w:rPr>
          <w:rFonts w:ascii="Arial" w:hAnsi="Arial"/>
          <w:sz w:val="22"/>
          <w:szCs w:val="22"/>
        </w:rPr>
        <w:t xml:space="preserve"> on the use of ivacaftor for the </w:t>
      </w:r>
      <w:r w:rsidRPr="006E248A">
        <w:rPr>
          <w:rFonts w:ascii="Arial" w:hAnsi="Arial"/>
          <w:sz w:val="22"/>
          <w:szCs w:val="22"/>
        </w:rPr>
        <w:t>severe CF</w:t>
      </w:r>
      <w:r>
        <w:rPr>
          <w:rFonts w:ascii="Arial" w:hAnsi="Arial"/>
          <w:sz w:val="22"/>
          <w:szCs w:val="22"/>
        </w:rPr>
        <w:t>.</w:t>
      </w:r>
      <w:r w:rsidR="000F7F8F">
        <w:rPr>
          <w:rFonts w:ascii="Arial" w:hAnsi="Arial"/>
          <w:sz w:val="22"/>
          <w:szCs w:val="22"/>
        </w:rPr>
        <w:t xml:space="preserve"> </w:t>
      </w:r>
      <w:r w:rsidR="00BB54EB" w:rsidRPr="00D91A17">
        <w:rPr>
          <w:rFonts w:ascii="Arial" w:hAnsi="Arial"/>
          <w:sz w:val="22"/>
          <w:szCs w:val="22"/>
        </w:rPr>
        <w:t>Th</w:t>
      </w:r>
      <w:r w:rsidR="00BB54EB">
        <w:rPr>
          <w:rFonts w:ascii="Arial" w:hAnsi="Arial"/>
          <w:sz w:val="22"/>
          <w:szCs w:val="22"/>
        </w:rPr>
        <w:t>e PBAC considered that the clinical evidence presented in the submission showed some benefit in severe CF group however, the PBAC noted that the absolute increase in FEV</w:t>
      </w:r>
      <w:r w:rsidR="00BB54EB" w:rsidRPr="004F7654">
        <w:rPr>
          <w:rFonts w:ascii="Arial" w:hAnsi="Arial"/>
          <w:sz w:val="22"/>
          <w:szCs w:val="22"/>
          <w:vertAlign w:val="subscript"/>
        </w:rPr>
        <w:t>1</w:t>
      </w:r>
      <w:r w:rsidR="00BB54EB">
        <w:rPr>
          <w:rFonts w:ascii="Arial" w:hAnsi="Arial"/>
          <w:sz w:val="22"/>
          <w:szCs w:val="22"/>
        </w:rPr>
        <w:t xml:space="preserve"> was lower in patients under the compassionate access program across different countries than observed among patients in the PERSIST trial (refer Table 3 above).  The PBAC considered that it remains uncertain whether this will translate into significant patient relevant improvements in health.  </w:t>
      </w:r>
    </w:p>
    <w:p w:rsidR="00C45DB5" w:rsidRPr="00C45DB5" w:rsidRDefault="00C45DB5" w:rsidP="00C45DB5">
      <w:pPr>
        <w:jc w:val="both"/>
        <w:rPr>
          <w:rFonts w:ascii="Arial" w:hAnsi="Arial"/>
          <w:b/>
          <w:sz w:val="22"/>
          <w:szCs w:val="22"/>
        </w:rPr>
      </w:pPr>
    </w:p>
    <w:p w:rsidR="00C45DB5" w:rsidRPr="00145C29" w:rsidRDefault="00C45DB5" w:rsidP="00C45DB5">
      <w:pPr>
        <w:pStyle w:val="ListParagraph"/>
        <w:numPr>
          <w:ilvl w:val="1"/>
          <w:numId w:val="1"/>
        </w:numPr>
        <w:jc w:val="both"/>
        <w:rPr>
          <w:rFonts w:ascii="Arial" w:hAnsi="Arial"/>
          <w:b/>
          <w:sz w:val="22"/>
          <w:szCs w:val="22"/>
        </w:rPr>
      </w:pPr>
      <w:r>
        <w:rPr>
          <w:rFonts w:ascii="Arial" w:hAnsi="Arial"/>
          <w:sz w:val="22"/>
          <w:szCs w:val="22"/>
        </w:rPr>
        <w:t>The PBAC</w:t>
      </w:r>
      <w:r w:rsidRPr="00D83E89">
        <w:rPr>
          <w:rFonts w:ascii="Arial" w:hAnsi="Arial"/>
          <w:sz w:val="22"/>
          <w:szCs w:val="22"/>
        </w:rPr>
        <w:t xml:space="preserve"> </w:t>
      </w:r>
      <w:r>
        <w:rPr>
          <w:rFonts w:ascii="Arial" w:hAnsi="Arial"/>
          <w:sz w:val="22"/>
          <w:szCs w:val="22"/>
        </w:rPr>
        <w:t>emphasised that this recommendation was in the context of a patient group with severe CF who did demonstrate a benefit with ivacaftor, albeit a smaller absolute improvement in FEV</w:t>
      </w:r>
      <w:r w:rsidRPr="00C45DB5">
        <w:rPr>
          <w:rFonts w:ascii="Arial" w:hAnsi="Arial"/>
          <w:sz w:val="22"/>
          <w:szCs w:val="22"/>
          <w:vertAlign w:val="subscript"/>
        </w:rPr>
        <w:t>1</w:t>
      </w:r>
      <w:r>
        <w:rPr>
          <w:rFonts w:ascii="Arial" w:hAnsi="Arial"/>
          <w:sz w:val="22"/>
          <w:szCs w:val="22"/>
        </w:rPr>
        <w:t xml:space="preserve"> than observed in the original positive recommendation for ivacaftor in March 2014.  The PBAC considered that this recommendation would </w:t>
      </w:r>
      <w:r>
        <w:rPr>
          <w:rFonts w:ascii="Arial" w:hAnsi="Arial"/>
          <w:sz w:val="22"/>
          <w:szCs w:val="22"/>
        </w:rPr>
        <w:lastRenderedPageBreak/>
        <w:t>not represent a precedent for accepting less than 10% FEV</w:t>
      </w:r>
      <w:r w:rsidRPr="00C45DB5">
        <w:rPr>
          <w:rFonts w:ascii="Arial" w:hAnsi="Arial"/>
          <w:sz w:val="22"/>
          <w:szCs w:val="22"/>
          <w:vertAlign w:val="subscript"/>
        </w:rPr>
        <w:t>1</w:t>
      </w:r>
      <w:r>
        <w:rPr>
          <w:rFonts w:ascii="Arial" w:hAnsi="Arial"/>
          <w:sz w:val="22"/>
          <w:szCs w:val="22"/>
        </w:rPr>
        <w:t xml:space="preserve"> improvement in future submissions.</w:t>
      </w:r>
    </w:p>
    <w:p w:rsidR="000F7F8F" w:rsidRPr="000F7F8F" w:rsidRDefault="000F7F8F" w:rsidP="000F7F8F">
      <w:pPr>
        <w:pStyle w:val="ListParagraph"/>
        <w:rPr>
          <w:rFonts w:ascii="Arial" w:hAnsi="Arial"/>
          <w:sz w:val="22"/>
          <w:szCs w:val="22"/>
        </w:rPr>
      </w:pPr>
    </w:p>
    <w:p w:rsidR="000F7F8F" w:rsidRPr="000F7F8F" w:rsidRDefault="000F7F8F" w:rsidP="00BB54EB">
      <w:pPr>
        <w:pStyle w:val="ListParagraph"/>
        <w:numPr>
          <w:ilvl w:val="1"/>
          <w:numId w:val="1"/>
        </w:numPr>
        <w:jc w:val="both"/>
        <w:rPr>
          <w:rFonts w:ascii="Arial" w:hAnsi="Arial"/>
          <w:sz w:val="22"/>
          <w:szCs w:val="22"/>
        </w:rPr>
      </w:pPr>
      <w:r w:rsidRPr="000F7F8F">
        <w:rPr>
          <w:rFonts w:ascii="Arial" w:hAnsi="Arial"/>
          <w:sz w:val="22"/>
          <w:szCs w:val="22"/>
        </w:rPr>
        <w:t xml:space="preserve">The PBAC noted </w:t>
      </w:r>
      <w:r>
        <w:rPr>
          <w:rFonts w:ascii="Arial" w:hAnsi="Arial"/>
          <w:sz w:val="22"/>
          <w:szCs w:val="22"/>
        </w:rPr>
        <w:t xml:space="preserve">the submission did not provide any evidence indicating the effectiveness and safety of ivacaftor in patients with severe CF who have a non-G551D class III mutation.  The PBAC noted there may be about one patient in Australia who has severe CF with a non-G551D </w:t>
      </w:r>
      <w:r w:rsidR="006B30F1">
        <w:rPr>
          <w:rFonts w:ascii="Arial" w:hAnsi="Arial"/>
          <w:sz w:val="22"/>
          <w:szCs w:val="22"/>
        </w:rPr>
        <w:t>class III</w:t>
      </w:r>
      <w:r>
        <w:rPr>
          <w:rFonts w:ascii="Arial" w:hAnsi="Arial"/>
          <w:sz w:val="22"/>
          <w:szCs w:val="22"/>
        </w:rPr>
        <w:t xml:space="preserve"> mutation. </w:t>
      </w:r>
    </w:p>
    <w:p w:rsidR="000F7F8F" w:rsidRPr="00332FB7" w:rsidRDefault="000F7F8F" w:rsidP="00332FB7">
      <w:pPr>
        <w:jc w:val="both"/>
        <w:rPr>
          <w:rFonts w:ascii="Arial" w:hAnsi="Arial"/>
          <w:b/>
          <w:sz w:val="22"/>
          <w:szCs w:val="22"/>
        </w:rPr>
      </w:pPr>
    </w:p>
    <w:p w:rsidR="00C45DB5" w:rsidRPr="00436D00" w:rsidRDefault="00453962" w:rsidP="00C45DB5">
      <w:pPr>
        <w:pStyle w:val="ListParagraph"/>
        <w:numPr>
          <w:ilvl w:val="1"/>
          <w:numId w:val="1"/>
        </w:numPr>
        <w:jc w:val="both"/>
        <w:rPr>
          <w:rFonts w:ascii="Arial" w:hAnsi="Arial"/>
          <w:b/>
          <w:sz w:val="22"/>
          <w:szCs w:val="22"/>
        </w:rPr>
      </w:pPr>
      <w:r>
        <w:rPr>
          <w:rFonts w:ascii="Arial" w:hAnsi="Arial"/>
          <w:sz w:val="22"/>
          <w:szCs w:val="22"/>
        </w:rPr>
        <w:t xml:space="preserve">Notwithstanding the </w:t>
      </w:r>
      <w:r w:rsidR="00F870FD">
        <w:rPr>
          <w:rFonts w:ascii="Arial" w:hAnsi="Arial"/>
          <w:sz w:val="22"/>
          <w:szCs w:val="22"/>
        </w:rPr>
        <w:t xml:space="preserve">concerns stated </w:t>
      </w:r>
      <w:r w:rsidR="00BB54EB">
        <w:rPr>
          <w:rFonts w:ascii="Arial" w:hAnsi="Arial"/>
          <w:sz w:val="22"/>
          <w:szCs w:val="22"/>
        </w:rPr>
        <w:t>above</w:t>
      </w:r>
      <w:r w:rsidR="00284049">
        <w:rPr>
          <w:rFonts w:ascii="Arial" w:hAnsi="Arial"/>
          <w:sz w:val="22"/>
          <w:szCs w:val="22"/>
        </w:rPr>
        <w:t>,</w:t>
      </w:r>
      <w:r>
        <w:rPr>
          <w:rFonts w:ascii="Arial" w:hAnsi="Arial"/>
          <w:sz w:val="22"/>
          <w:szCs w:val="22"/>
        </w:rPr>
        <w:t xml:space="preserve"> t</w:t>
      </w:r>
      <w:r w:rsidR="00942EC9" w:rsidRPr="00D83E89">
        <w:rPr>
          <w:rFonts w:ascii="Arial" w:hAnsi="Arial"/>
          <w:sz w:val="22"/>
          <w:szCs w:val="22"/>
        </w:rPr>
        <w:t xml:space="preserve">he PBAC considered that it may be </w:t>
      </w:r>
      <w:r w:rsidR="00942EC9" w:rsidRPr="007750EF">
        <w:rPr>
          <w:rFonts w:ascii="Arial" w:hAnsi="Arial"/>
          <w:sz w:val="22"/>
          <w:szCs w:val="22"/>
        </w:rPr>
        <w:t xml:space="preserve">reasonable </w:t>
      </w:r>
      <w:r w:rsidR="00B20701" w:rsidRPr="007750EF">
        <w:rPr>
          <w:rFonts w:ascii="Arial" w:hAnsi="Arial"/>
          <w:sz w:val="22"/>
          <w:szCs w:val="22"/>
        </w:rPr>
        <w:t xml:space="preserve">to </w:t>
      </w:r>
      <w:r w:rsidR="007E01ED">
        <w:rPr>
          <w:rFonts w:ascii="Arial" w:hAnsi="Arial"/>
          <w:noProof/>
          <w:color w:val="000000"/>
          <w:sz w:val="22"/>
          <w:szCs w:val="22"/>
          <w:highlight w:val="black"/>
        </w:rPr>
        <w:t xml:space="preserve">'''''''''''''''''' '''''''' ''''''''''''''' ''''''''''''''''''''''''''''''''''''''''' '''' ''''''''''''''''' '''''''''''''''''' '''' ''''''' '''''''''''''''''''' ''''''''''''' '''' '''''''''''' ''''''''' '''''''''''' '''''''''' ''' '''''''''''''''' ''''' '''''''''''' '''''''''''''''' '''''''''''' '''''' ''''''''''''''''''' '''' '''''''''''''''''' </w:t>
      </w:r>
      <w:r w:rsidR="003B02DE" w:rsidRPr="009278A4">
        <w:rPr>
          <w:rFonts w:ascii="Arial" w:hAnsi="Arial"/>
          <w:sz w:val="22"/>
          <w:szCs w:val="22"/>
        </w:rPr>
        <w:t xml:space="preserve">patients </w:t>
      </w:r>
      <w:r w:rsidR="00EF558D" w:rsidRPr="009278A4">
        <w:rPr>
          <w:rFonts w:ascii="Arial" w:hAnsi="Arial"/>
          <w:sz w:val="22"/>
          <w:szCs w:val="22"/>
        </w:rPr>
        <w:t>who have severe CF disease FEV1 &lt;40% (predicted)</w:t>
      </w:r>
      <w:r w:rsidR="004857D5">
        <w:rPr>
          <w:rFonts w:ascii="Arial" w:hAnsi="Arial"/>
          <w:sz w:val="22"/>
          <w:szCs w:val="22"/>
        </w:rPr>
        <w:t xml:space="preserve">.  The PBAC agreed that the </w:t>
      </w:r>
      <w:r w:rsidR="00F870FD">
        <w:rPr>
          <w:rFonts w:ascii="Arial" w:hAnsi="Arial"/>
          <w:sz w:val="22"/>
          <w:szCs w:val="22"/>
        </w:rPr>
        <w:t>severe CF patient group</w:t>
      </w:r>
      <w:r w:rsidR="004857D5">
        <w:rPr>
          <w:rFonts w:ascii="Arial" w:hAnsi="Arial"/>
          <w:sz w:val="22"/>
          <w:szCs w:val="22"/>
        </w:rPr>
        <w:t xml:space="preserve"> will be limited to </w:t>
      </w:r>
      <w:r w:rsidR="00F870FD">
        <w:rPr>
          <w:rFonts w:ascii="Arial" w:hAnsi="Arial"/>
          <w:sz w:val="22"/>
          <w:szCs w:val="22"/>
        </w:rPr>
        <w:t>the G551D and other (gating class III) mutation</w:t>
      </w:r>
      <w:r w:rsidR="004857D5">
        <w:rPr>
          <w:rFonts w:ascii="Arial" w:hAnsi="Arial"/>
          <w:sz w:val="22"/>
          <w:szCs w:val="22"/>
        </w:rPr>
        <w:t xml:space="preserve"> group</w:t>
      </w:r>
      <w:r w:rsidR="00F870FD">
        <w:rPr>
          <w:rFonts w:ascii="Arial" w:hAnsi="Arial"/>
          <w:sz w:val="22"/>
          <w:szCs w:val="22"/>
        </w:rPr>
        <w:t>s</w:t>
      </w:r>
      <w:r w:rsidR="004857D5">
        <w:rPr>
          <w:rFonts w:ascii="Arial" w:hAnsi="Arial"/>
          <w:sz w:val="22"/>
          <w:szCs w:val="22"/>
        </w:rPr>
        <w:t xml:space="preserve"> only</w:t>
      </w:r>
      <w:r w:rsidR="00F870FD">
        <w:rPr>
          <w:rFonts w:ascii="Arial" w:hAnsi="Arial"/>
          <w:sz w:val="22"/>
          <w:szCs w:val="22"/>
        </w:rPr>
        <w:t>,</w:t>
      </w:r>
      <w:r w:rsidR="004857D5">
        <w:rPr>
          <w:rFonts w:ascii="Arial" w:hAnsi="Arial"/>
          <w:sz w:val="22"/>
          <w:szCs w:val="22"/>
        </w:rPr>
        <w:t xml:space="preserve"> and will not apply to other </w:t>
      </w:r>
      <w:r w:rsidR="004461A1">
        <w:rPr>
          <w:rFonts w:ascii="Arial" w:hAnsi="Arial"/>
          <w:sz w:val="22"/>
          <w:szCs w:val="22"/>
        </w:rPr>
        <w:t>mutations of CFTR gene</w:t>
      </w:r>
      <w:r w:rsidR="004857D5">
        <w:rPr>
          <w:rFonts w:ascii="Arial" w:hAnsi="Arial"/>
          <w:sz w:val="22"/>
          <w:szCs w:val="22"/>
        </w:rPr>
        <w:t xml:space="preserve"> (</w:t>
      </w:r>
      <w:r w:rsidR="00E82DB8">
        <w:rPr>
          <w:rFonts w:ascii="Arial" w:hAnsi="Arial"/>
          <w:sz w:val="22"/>
          <w:szCs w:val="22"/>
        </w:rPr>
        <w:t xml:space="preserve">e.g </w:t>
      </w:r>
      <w:r w:rsidR="004857D5">
        <w:rPr>
          <w:rFonts w:ascii="Arial" w:hAnsi="Arial"/>
          <w:sz w:val="22"/>
          <w:szCs w:val="22"/>
        </w:rPr>
        <w:t>F508del</w:t>
      </w:r>
      <w:r w:rsidR="00F870FD">
        <w:rPr>
          <w:rFonts w:ascii="Arial" w:hAnsi="Arial"/>
          <w:sz w:val="22"/>
          <w:szCs w:val="22"/>
        </w:rPr>
        <w:t>)</w:t>
      </w:r>
      <w:r w:rsidR="004857D5">
        <w:rPr>
          <w:rFonts w:ascii="Arial" w:hAnsi="Arial"/>
          <w:sz w:val="22"/>
          <w:szCs w:val="22"/>
        </w:rPr>
        <w:t xml:space="preserve">.  </w:t>
      </w:r>
      <w:r w:rsidR="00EF558D">
        <w:rPr>
          <w:rFonts w:ascii="Arial" w:hAnsi="Arial"/>
          <w:sz w:val="22"/>
          <w:szCs w:val="22"/>
        </w:rPr>
        <w:t xml:space="preserve"> </w:t>
      </w:r>
      <w:r w:rsidR="004F7654">
        <w:rPr>
          <w:rFonts w:ascii="Arial" w:hAnsi="Arial"/>
          <w:sz w:val="22"/>
          <w:szCs w:val="22"/>
        </w:rPr>
        <w:t xml:space="preserve">   </w:t>
      </w:r>
      <w:r w:rsidR="00D83E89">
        <w:rPr>
          <w:rFonts w:ascii="Arial" w:hAnsi="Arial"/>
          <w:sz w:val="22"/>
          <w:szCs w:val="22"/>
        </w:rPr>
        <w:t xml:space="preserve"> </w:t>
      </w:r>
    </w:p>
    <w:p w:rsidR="00BF4981" w:rsidRPr="00145C29" w:rsidRDefault="00BF4981" w:rsidP="00145C29">
      <w:pPr>
        <w:pStyle w:val="ListParagraph"/>
        <w:rPr>
          <w:rFonts w:ascii="Arial" w:hAnsi="Arial"/>
          <w:b/>
          <w:sz w:val="22"/>
          <w:szCs w:val="22"/>
        </w:rPr>
      </w:pPr>
    </w:p>
    <w:p w:rsidR="00BF4981" w:rsidRPr="00145C29" w:rsidRDefault="00BF4981" w:rsidP="00D83E89">
      <w:pPr>
        <w:pStyle w:val="ListParagraph"/>
        <w:numPr>
          <w:ilvl w:val="1"/>
          <w:numId w:val="1"/>
        </w:numPr>
        <w:jc w:val="both"/>
        <w:rPr>
          <w:rFonts w:ascii="Arial" w:hAnsi="Arial"/>
          <w:sz w:val="22"/>
          <w:szCs w:val="22"/>
        </w:rPr>
      </w:pPr>
      <w:r w:rsidRPr="00D91B7C">
        <w:rPr>
          <w:rFonts w:ascii="Arial" w:hAnsi="Arial"/>
          <w:sz w:val="22"/>
          <w:szCs w:val="22"/>
        </w:rPr>
        <w:t xml:space="preserve">The PBAC noted that under the compassionate access program in Australia there are </w:t>
      </w:r>
      <w:r w:rsidR="007E01ED">
        <w:rPr>
          <w:rFonts w:ascii="Arial" w:hAnsi="Arial"/>
          <w:noProof/>
          <w:color w:val="000000"/>
          <w:sz w:val="22"/>
          <w:szCs w:val="22"/>
          <w:highlight w:val="black"/>
        </w:rPr>
        <w:t>''''''</w:t>
      </w:r>
      <w:r w:rsidRPr="00D91B7C">
        <w:rPr>
          <w:rFonts w:ascii="Arial" w:hAnsi="Arial"/>
          <w:sz w:val="22"/>
          <w:szCs w:val="22"/>
        </w:rPr>
        <w:t xml:space="preserve"> patients </w:t>
      </w:r>
      <w:r w:rsidR="006B30F1" w:rsidRPr="00D91B7C">
        <w:rPr>
          <w:rFonts w:ascii="Arial" w:hAnsi="Arial"/>
          <w:sz w:val="22"/>
          <w:szCs w:val="22"/>
        </w:rPr>
        <w:t xml:space="preserve">with severe CF </w:t>
      </w:r>
      <w:r w:rsidRPr="00D91B7C">
        <w:rPr>
          <w:rFonts w:ascii="Arial" w:hAnsi="Arial"/>
          <w:sz w:val="22"/>
          <w:szCs w:val="22"/>
        </w:rPr>
        <w:t>that may be eligible for treatment with ivacaftor.</w:t>
      </w:r>
      <w:r w:rsidR="007C4146">
        <w:rPr>
          <w:rFonts w:ascii="Arial" w:hAnsi="Arial"/>
          <w:sz w:val="22"/>
          <w:szCs w:val="22"/>
        </w:rPr>
        <w:t xml:space="preserve">  </w:t>
      </w:r>
      <w:r>
        <w:rPr>
          <w:rFonts w:ascii="Arial" w:hAnsi="Arial"/>
          <w:sz w:val="22"/>
          <w:szCs w:val="22"/>
        </w:rPr>
        <w:t xml:space="preserve"> </w:t>
      </w:r>
      <w:r w:rsidRPr="00145C29">
        <w:rPr>
          <w:rFonts w:ascii="Arial" w:hAnsi="Arial"/>
          <w:sz w:val="22"/>
          <w:szCs w:val="22"/>
        </w:rPr>
        <w:t xml:space="preserve"> </w:t>
      </w:r>
    </w:p>
    <w:p w:rsidR="00284049" w:rsidRPr="00B92019" w:rsidRDefault="00284049" w:rsidP="00B92019">
      <w:pPr>
        <w:pStyle w:val="ListParagraph"/>
        <w:rPr>
          <w:rFonts w:ascii="Arial" w:hAnsi="Arial"/>
          <w:sz w:val="22"/>
          <w:szCs w:val="22"/>
        </w:rPr>
      </w:pPr>
    </w:p>
    <w:p w:rsidR="00284049" w:rsidRDefault="00284049" w:rsidP="00D83E89">
      <w:pPr>
        <w:pStyle w:val="ListParagraph"/>
        <w:numPr>
          <w:ilvl w:val="1"/>
          <w:numId w:val="1"/>
        </w:numPr>
        <w:jc w:val="both"/>
        <w:rPr>
          <w:rFonts w:ascii="Arial" w:hAnsi="Arial"/>
          <w:sz w:val="22"/>
          <w:szCs w:val="22"/>
        </w:rPr>
      </w:pPr>
      <w:r w:rsidRPr="00B92019">
        <w:rPr>
          <w:rFonts w:ascii="Arial" w:hAnsi="Arial"/>
          <w:sz w:val="22"/>
          <w:szCs w:val="22"/>
        </w:rPr>
        <w:t>The PBAC</w:t>
      </w:r>
      <w:r>
        <w:rPr>
          <w:rFonts w:ascii="Arial" w:hAnsi="Arial"/>
          <w:sz w:val="22"/>
          <w:szCs w:val="22"/>
        </w:rPr>
        <w:t xml:space="preserve"> noted that the severe CF disease group would need to meet the eligibility and continuation criteria as had been previously recommended </w:t>
      </w:r>
      <w:r w:rsidR="007E01ED">
        <w:rPr>
          <w:rFonts w:ascii="Arial" w:hAnsi="Arial"/>
          <w:noProof/>
          <w:color w:val="000000"/>
          <w:sz w:val="22"/>
          <w:szCs w:val="22"/>
          <w:highlight w:val="black"/>
        </w:rPr>
        <w:t>'''''' ''''''''' '''''''''''''''''''''' ''''' '''''''' ''''''''''''' ''''''' ''''''''''''''''''''''''''</w:t>
      </w:r>
      <w:r w:rsidR="00BB54EB" w:rsidRPr="0076464E">
        <w:rPr>
          <w:rFonts w:ascii="Arial" w:hAnsi="Arial"/>
          <w:sz w:val="22"/>
          <w:szCs w:val="22"/>
        </w:rPr>
        <w:t>.</w:t>
      </w:r>
    </w:p>
    <w:p w:rsidR="00BB54EB" w:rsidRPr="00BF4981" w:rsidRDefault="00BB54EB" w:rsidP="00BF4981">
      <w:pPr>
        <w:pStyle w:val="ListParagraph"/>
        <w:rPr>
          <w:rFonts w:ascii="Arial" w:hAnsi="Arial"/>
          <w:sz w:val="22"/>
          <w:szCs w:val="22"/>
        </w:rPr>
      </w:pPr>
    </w:p>
    <w:p w:rsidR="00BB54EB" w:rsidRPr="00B92019" w:rsidRDefault="00BB54EB" w:rsidP="00D83E89">
      <w:pPr>
        <w:pStyle w:val="ListParagraph"/>
        <w:numPr>
          <w:ilvl w:val="1"/>
          <w:numId w:val="1"/>
        </w:numPr>
        <w:jc w:val="both"/>
        <w:rPr>
          <w:rFonts w:ascii="Arial" w:hAnsi="Arial"/>
          <w:sz w:val="22"/>
          <w:szCs w:val="22"/>
        </w:rPr>
      </w:pPr>
      <w:r w:rsidRPr="0076464E">
        <w:rPr>
          <w:rFonts w:ascii="Arial" w:hAnsi="Arial"/>
          <w:sz w:val="22"/>
          <w:szCs w:val="22"/>
        </w:rPr>
        <w:t xml:space="preserve">The PBAC also noted </w:t>
      </w:r>
      <w:r w:rsidR="007E01ED">
        <w:rPr>
          <w:rFonts w:ascii="Arial" w:hAnsi="Arial"/>
          <w:noProof/>
          <w:color w:val="000000"/>
          <w:sz w:val="22"/>
          <w:szCs w:val="22"/>
          <w:highlight w:val="black"/>
        </w:rPr>
        <w:t>''''''''' '''''' ''''''' ''''''''''''''''''''''''' '''''''''''''''''' ''''''''''''' '''''' ''''''''''''''''''''' ''''''''''''' ''''''' '''''''''''''''''' ''''''''''' '''''''''''' ''''''''''''''' ''''' ''''''' ''''''''''''''''''''' ''''''''''''''''''' '''''''''''''''''''''''''''' '''''' ''''''' '''''''''''''''''''''''''''''''''''''</w:t>
      </w:r>
      <w:r w:rsidRPr="0076464E">
        <w:rPr>
          <w:rFonts w:ascii="Arial" w:hAnsi="Arial"/>
          <w:sz w:val="22"/>
          <w:szCs w:val="22"/>
        </w:rPr>
        <w:t xml:space="preserve">. </w:t>
      </w:r>
      <w:r>
        <w:rPr>
          <w:rFonts w:ascii="Arial" w:hAnsi="Arial"/>
          <w:sz w:val="22"/>
          <w:szCs w:val="22"/>
        </w:rPr>
        <w:t xml:space="preserve"> </w:t>
      </w:r>
    </w:p>
    <w:p w:rsidR="002C713F" w:rsidRPr="000E195B" w:rsidRDefault="002C713F" w:rsidP="002C713F">
      <w:pPr>
        <w:jc w:val="both"/>
        <w:rPr>
          <w:rFonts w:ascii="Arial" w:hAnsi="Arial" w:cs="Arial"/>
          <w:b/>
          <w:bCs/>
          <w:snapToGrid w:val="0"/>
          <w:sz w:val="22"/>
          <w:szCs w:val="22"/>
          <w:highlight w:val="yellow"/>
          <w:lang w:val="en-GB" w:eastAsia="en-US"/>
        </w:rPr>
      </w:pPr>
    </w:p>
    <w:p w:rsidR="002C713F" w:rsidRPr="00B20701" w:rsidRDefault="002C713F" w:rsidP="00851FEA">
      <w:pPr>
        <w:pStyle w:val="Heading2"/>
        <w:rPr>
          <w:snapToGrid w:val="0"/>
          <w:lang w:val="en-GB" w:eastAsia="en-US"/>
        </w:rPr>
      </w:pPr>
      <w:r w:rsidRPr="00B20701">
        <w:rPr>
          <w:snapToGrid w:val="0"/>
          <w:lang w:val="en-GB" w:eastAsia="en-US"/>
        </w:rPr>
        <w:t>Outcome:</w:t>
      </w:r>
    </w:p>
    <w:p w:rsidR="002C713F" w:rsidRPr="00B20701" w:rsidRDefault="002C713F" w:rsidP="002C713F">
      <w:pPr>
        <w:jc w:val="both"/>
        <w:rPr>
          <w:rFonts w:ascii="Arial" w:hAnsi="Arial" w:cs="Arial"/>
          <w:bCs/>
          <w:snapToGrid w:val="0"/>
          <w:sz w:val="22"/>
          <w:szCs w:val="22"/>
          <w:lang w:val="en-GB" w:eastAsia="en-US"/>
        </w:rPr>
      </w:pPr>
      <w:r w:rsidRPr="00B20701">
        <w:rPr>
          <w:rFonts w:ascii="Arial" w:hAnsi="Arial" w:cs="Arial"/>
          <w:bCs/>
          <w:snapToGrid w:val="0"/>
          <w:sz w:val="22"/>
          <w:szCs w:val="22"/>
          <w:lang w:val="en-GB" w:eastAsia="en-US"/>
        </w:rPr>
        <w:t xml:space="preserve">Recommended </w:t>
      </w:r>
    </w:p>
    <w:p w:rsidR="002C713F" w:rsidRDefault="002C713F" w:rsidP="00851FEA">
      <w:pPr>
        <w:widowControl w:val="0"/>
        <w:spacing w:line="480" w:lineRule="auto"/>
        <w:jc w:val="both"/>
        <w:rPr>
          <w:rFonts w:ascii="Arial" w:hAnsi="Arial" w:cs="Arial"/>
          <w:b/>
          <w:bCs/>
          <w:snapToGrid w:val="0"/>
          <w:sz w:val="22"/>
          <w:szCs w:val="22"/>
          <w:highlight w:val="yellow"/>
          <w:lang w:eastAsia="en-US"/>
        </w:rPr>
      </w:pPr>
    </w:p>
    <w:p w:rsidR="002C713F" w:rsidRPr="00DA0BA6" w:rsidRDefault="002C713F" w:rsidP="00851FEA">
      <w:pPr>
        <w:pStyle w:val="Heading1"/>
        <w:rPr>
          <w:snapToGrid w:val="0"/>
          <w:lang w:val="en-GB" w:eastAsia="en-US"/>
        </w:rPr>
      </w:pPr>
      <w:r w:rsidRPr="00145C29">
        <w:rPr>
          <w:snapToGrid w:val="0"/>
          <w:lang w:val="en-GB" w:eastAsia="en-US"/>
        </w:rPr>
        <w:t>Recommended listing</w:t>
      </w:r>
    </w:p>
    <w:p w:rsidR="002C713F" w:rsidRPr="00145C29" w:rsidRDefault="002C713F" w:rsidP="002C713F">
      <w:pPr>
        <w:jc w:val="both"/>
        <w:rPr>
          <w:rFonts w:ascii="Arial" w:hAnsi="Arial" w:cs="Arial"/>
          <w:b/>
          <w:bCs/>
          <w:i/>
          <w:snapToGrid w:val="0"/>
          <w:sz w:val="22"/>
          <w:szCs w:val="22"/>
          <w:lang w:val="en-GB" w:eastAsia="en-US"/>
        </w:rPr>
      </w:pPr>
    </w:p>
    <w:p w:rsidR="002C713F" w:rsidRPr="00145C29" w:rsidRDefault="002C713F" w:rsidP="00284049">
      <w:pPr>
        <w:widowControl w:val="0"/>
        <w:numPr>
          <w:ilvl w:val="1"/>
          <w:numId w:val="1"/>
        </w:numPr>
        <w:spacing w:after="120"/>
        <w:contextualSpacing/>
        <w:jc w:val="both"/>
        <w:rPr>
          <w:rFonts w:ascii="Arial" w:hAnsi="Arial" w:cs="Arial"/>
          <w:bCs/>
          <w:snapToGrid w:val="0"/>
          <w:sz w:val="22"/>
          <w:szCs w:val="22"/>
          <w:lang w:eastAsia="en-US"/>
        </w:rPr>
      </w:pPr>
      <w:r w:rsidRPr="00145C29">
        <w:rPr>
          <w:rFonts w:ascii="Arial" w:hAnsi="Arial" w:cs="Arial"/>
          <w:bCs/>
          <w:snapToGrid w:val="0"/>
          <w:sz w:val="22"/>
          <w:szCs w:val="22"/>
          <w:lang w:eastAsia="en-US"/>
        </w:rPr>
        <w:t>No change to the existing listing</w:t>
      </w:r>
    </w:p>
    <w:p w:rsidR="002C713F" w:rsidRDefault="002C713F" w:rsidP="00851FEA">
      <w:pPr>
        <w:widowControl w:val="0"/>
        <w:spacing w:line="480" w:lineRule="auto"/>
        <w:jc w:val="both"/>
        <w:rPr>
          <w:rFonts w:ascii="Arial" w:hAnsi="Arial" w:cs="Arial"/>
          <w:b/>
          <w:bCs/>
          <w:snapToGrid w:val="0"/>
          <w:sz w:val="22"/>
          <w:szCs w:val="22"/>
          <w:highlight w:val="yellow"/>
          <w:lang w:eastAsia="en-US"/>
        </w:rPr>
      </w:pPr>
    </w:p>
    <w:p w:rsidR="000B5E47" w:rsidRPr="007869EC" w:rsidRDefault="000B5E47" w:rsidP="00851FEA">
      <w:pPr>
        <w:pStyle w:val="Heading1"/>
        <w:rPr>
          <w:rFonts w:eastAsia="SimSun"/>
          <w:snapToGrid w:val="0"/>
          <w:lang w:eastAsia="en-US"/>
        </w:rPr>
      </w:pPr>
      <w:r w:rsidRPr="007869EC">
        <w:rPr>
          <w:rFonts w:eastAsia="SimSun"/>
          <w:snapToGrid w:val="0"/>
          <w:lang w:eastAsia="en-US"/>
        </w:rPr>
        <w:t>Context for Decision</w:t>
      </w:r>
    </w:p>
    <w:p w:rsidR="000B5E47" w:rsidRPr="007869EC" w:rsidRDefault="000B5E47" w:rsidP="000B5E47">
      <w:pPr>
        <w:widowControl w:val="0"/>
        <w:ind w:left="720"/>
        <w:contextualSpacing/>
        <w:jc w:val="both"/>
        <w:rPr>
          <w:b/>
          <w:snapToGrid w:val="0"/>
        </w:rPr>
      </w:pPr>
    </w:p>
    <w:p w:rsidR="000B5E47" w:rsidRPr="007869EC" w:rsidRDefault="000B5E47" w:rsidP="000B5E47">
      <w:pPr>
        <w:widowControl w:val="0"/>
        <w:ind w:left="720"/>
        <w:jc w:val="both"/>
        <w:rPr>
          <w:rFonts w:ascii="Arial" w:hAnsi="Arial" w:cs="Arial"/>
          <w:bCs/>
          <w:snapToGrid w:val="0"/>
          <w:sz w:val="22"/>
          <w:szCs w:val="22"/>
          <w:lang w:eastAsia="en-US"/>
        </w:rPr>
      </w:pPr>
      <w:r w:rsidRPr="007869EC">
        <w:rPr>
          <w:rFonts w:ascii="Arial" w:hAnsi="Arial" w:cs="Arial"/>
          <w:bCs/>
          <w:snapToGrid w:val="0"/>
          <w:sz w:val="22"/>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B5E47" w:rsidRPr="007869EC" w:rsidRDefault="000B5E47" w:rsidP="00851FEA">
      <w:pPr>
        <w:widowControl w:val="0"/>
        <w:spacing w:line="480" w:lineRule="auto"/>
        <w:jc w:val="both"/>
        <w:rPr>
          <w:lang w:eastAsia="en-US"/>
        </w:rPr>
      </w:pPr>
    </w:p>
    <w:p w:rsidR="000B5E47" w:rsidRDefault="000B5E47" w:rsidP="00851FEA">
      <w:pPr>
        <w:pStyle w:val="Heading1"/>
        <w:rPr>
          <w:rFonts w:eastAsia="SimSun"/>
          <w:snapToGrid w:val="0"/>
          <w:lang w:eastAsia="en-US"/>
        </w:rPr>
      </w:pPr>
      <w:r w:rsidRPr="007869EC">
        <w:rPr>
          <w:rFonts w:eastAsia="SimSun"/>
          <w:snapToGrid w:val="0"/>
          <w:lang w:eastAsia="en-US"/>
        </w:rPr>
        <w:t>Sponsor’s Comment</w:t>
      </w:r>
    </w:p>
    <w:p w:rsidR="00064336" w:rsidRDefault="00064336" w:rsidP="00064336">
      <w:pPr>
        <w:widowControl w:val="0"/>
        <w:ind w:left="720"/>
        <w:contextualSpacing/>
        <w:jc w:val="both"/>
        <w:rPr>
          <w:rFonts w:ascii="Arial" w:eastAsia="SimSun" w:hAnsi="Arial" w:cs="Arial"/>
          <w:b/>
          <w:snapToGrid w:val="0"/>
          <w:sz w:val="22"/>
          <w:szCs w:val="22"/>
          <w:lang w:eastAsia="en-US"/>
        </w:rPr>
      </w:pPr>
    </w:p>
    <w:p w:rsidR="00064336" w:rsidRPr="00064336" w:rsidRDefault="00851FEA" w:rsidP="00064336">
      <w:pPr>
        <w:widowControl w:val="0"/>
        <w:ind w:left="720"/>
        <w:contextualSpacing/>
        <w:jc w:val="both"/>
        <w:rPr>
          <w:rFonts w:ascii="Arial" w:eastAsia="SimSun" w:hAnsi="Arial" w:cs="Arial"/>
          <w:snapToGrid w:val="0"/>
          <w:sz w:val="22"/>
          <w:szCs w:val="22"/>
          <w:lang w:eastAsia="en-US"/>
        </w:rPr>
      </w:pPr>
      <w:r>
        <w:rPr>
          <w:rFonts w:ascii="Arial" w:eastAsia="SimSun" w:hAnsi="Arial" w:cs="Arial"/>
          <w:snapToGrid w:val="0"/>
          <w:sz w:val="22"/>
          <w:szCs w:val="22"/>
          <w:lang w:eastAsia="en-US"/>
        </w:rPr>
        <w:t>T</w:t>
      </w:r>
      <w:r w:rsidR="00064336">
        <w:rPr>
          <w:rFonts w:ascii="Arial" w:eastAsia="SimSun" w:hAnsi="Arial" w:cs="Arial"/>
          <w:snapToGrid w:val="0"/>
          <w:sz w:val="22"/>
          <w:szCs w:val="22"/>
          <w:lang w:eastAsia="en-US"/>
        </w:rPr>
        <w:t xml:space="preserve">he </w:t>
      </w:r>
      <w:r>
        <w:rPr>
          <w:rFonts w:ascii="Arial" w:eastAsia="SimSun" w:hAnsi="Arial" w:cs="Arial"/>
          <w:snapToGrid w:val="0"/>
          <w:sz w:val="22"/>
          <w:szCs w:val="22"/>
          <w:lang w:eastAsia="en-US"/>
        </w:rPr>
        <w:t>s</w:t>
      </w:r>
      <w:r w:rsidR="00064336" w:rsidRPr="00064336">
        <w:rPr>
          <w:rFonts w:ascii="Arial" w:eastAsia="SimSun" w:hAnsi="Arial" w:cs="Arial"/>
          <w:snapToGrid w:val="0"/>
          <w:sz w:val="22"/>
          <w:szCs w:val="22"/>
          <w:lang w:eastAsia="en-US"/>
        </w:rPr>
        <w:t>ponsor ha</w:t>
      </w:r>
      <w:r w:rsidR="00064336">
        <w:rPr>
          <w:rFonts w:ascii="Arial" w:eastAsia="SimSun" w:hAnsi="Arial" w:cs="Arial"/>
          <w:snapToGrid w:val="0"/>
          <w:sz w:val="22"/>
          <w:szCs w:val="22"/>
          <w:lang w:eastAsia="en-US"/>
        </w:rPr>
        <w:t>d</w:t>
      </w:r>
      <w:r w:rsidR="00064336" w:rsidRPr="00064336">
        <w:rPr>
          <w:rFonts w:ascii="Arial" w:eastAsia="SimSun" w:hAnsi="Arial" w:cs="Arial"/>
          <w:snapToGrid w:val="0"/>
          <w:sz w:val="22"/>
          <w:szCs w:val="22"/>
          <w:lang w:eastAsia="en-US"/>
        </w:rPr>
        <w:t xml:space="preserve"> no comment. </w:t>
      </w:r>
    </w:p>
    <w:sectPr w:rsidR="00064336" w:rsidRPr="00064336"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1ED" w:rsidRDefault="007E01ED">
      <w:r>
        <w:separator/>
      </w:r>
    </w:p>
    <w:p w:rsidR="007E01ED" w:rsidRDefault="007E01ED"/>
  </w:endnote>
  <w:endnote w:type="continuationSeparator" w:id="0">
    <w:p w:rsidR="007E01ED" w:rsidRDefault="007E01ED">
      <w:r>
        <w:continuationSeparator/>
      </w:r>
    </w:p>
    <w:p w:rsidR="007E01ED" w:rsidRDefault="007E0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B60CA" w:rsidTr="005A3173">
      <w:trPr>
        <w:trHeight w:val="151"/>
      </w:trPr>
      <w:tc>
        <w:tcPr>
          <w:tcW w:w="2250" w:type="pct"/>
          <w:tcBorders>
            <w:top w:val="nil"/>
            <w:left w:val="nil"/>
            <w:bottom w:val="single" w:sz="4" w:space="0" w:color="4F81BD"/>
            <w:right w:val="nil"/>
          </w:tcBorders>
        </w:tcPr>
        <w:p w:rsidR="000B60CA" w:rsidRPr="005A3173" w:rsidRDefault="000B60C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B60CA" w:rsidRPr="005A3173" w:rsidRDefault="000B60C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B60CA" w:rsidRPr="005A3173" w:rsidRDefault="000B60CA" w:rsidP="005A3173">
          <w:pPr>
            <w:pStyle w:val="Header"/>
            <w:spacing w:line="276" w:lineRule="auto"/>
            <w:rPr>
              <w:rFonts w:ascii="Calibri" w:eastAsia="MS Gothic" w:hAnsi="Calibri"/>
              <w:b/>
              <w:bCs/>
              <w:color w:val="4F81BD"/>
            </w:rPr>
          </w:pPr>
        </w:p>
      </w:tc>
    </w:tr>
    <w:tr w:rsidR="000B60CA" w:rsidTr="005A3173">
      <w:trPr>
        <w:trHeight w:val="150"/>
      </w:trPr>
      <w:tc>
        <w:tcPr>
          <w:tcW w:w="2250" w:type="pct"/>
          <w:tcBorders>
            <w:top w:val="single" w:sz="4" w:space="0" w:color="4F81BD"/>
            <w:left w:val="nil"/>
            <w:bottom w:val="nil"/>
            <w:right w:val="nil"/>
          </w:tcBorders>
        </w:tcPr>
        <w:p w:rsidR="000B60CA" w:rsidRPr="005A3173" w:rsidRDefault="000B60CA" w:rsidP="005A3173">
          <w:pPr>
            <w:pStyle w:val="Header"/>
            <w:spacing w:line="276" w:lineRule="auto"/>
            <w:rPr>
              <w:rFonts w:ascii="Calibri" w:eastAsia="MS Gothic" w:hAnsi="Calibri"/>
              <w:b/>
              <w:bCs/>
              <w:color w:val="4F81BD"/>
            </w:rPr>
          </w:pPr>
        </w:p>
      </w:tc>
      <w:tc>
        <w:tcPr>
          <w:tcW w:w="0" w:type="auto"/>
          <w:vMerge/>
          <w:vAlign w:val="center"/>
          <w:hideMark/>
        </w:tcPr>
        <w:p w:rsidR="000B60CA" w:rsidRPr="005A3173" w:rsidRDefault="000B60CA" w:rsidP="005A3173">
          <w:pPr>
            <w:rPr>
              <w:rFonts w:ascii="Calibri" w:hAnsi="Calibri"/>
              <w:color w:val="365F91"/>
              <w:sz w:val="22"/>
              <w:szCs w:val="22"/>
            </w:rPr>
          </w:pPr>
        </w:p>
      </w:tc>
      <w:tc>
        <w:tcPr>
          <w:tcW w:w="2250" w:type="pct"/>
          <w:tcBorders>
            <w:top w:val="single" w:sz="4" w:space="0" w:color="4F81BD"/>
            <w:left w:val="nil"/>
            <w:bottom w:val="nil"/>
            <w:right w:val="nil"/>
          </w:tcBorders>
        </w:tcPr>
        <w:p w:rsidR="000B60CA" w:rsidRPr="005A3173" w:rsidRDefault="000B60CA" w:rsidP="005A3173">
          <w:pPr>
            <w:pStyle w:val="Header"/>
            <w:spacing w:line="276" w:lineRule="auto"/>
            <w:rPr>
              <w:rFonts w:ascii="Calibri" w:eastAsia="MS Gothic" w:hAnsi="Calibri"/>
              <w:b/>
              <w:bCs/>
              <w:color w:val="4F81BD"/>
            </w:rPr>
          </w:pPr>
        </w:p>
      </w:tc>
    </w:tr>
  </w:tbl>
  <w:p w:rsidR="000B60CA" w:rsidRDefault="000B60C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60CA" w:rsidRDefault="000B60CA">
    <w:pPr>
      <w:pStyle w:val="Footer"/>
    </w:pPr>
  </w:p>
  <w:p w:rsidR="000B60CA" w:rsidRDefault="000B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0B60CA" w:rsidRPr="002C713F" w:rsidRDefault="000B60CA" w:rsidP="002C713F">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7E01ED">
          <w:rPr>
            <w:rFonts w:ascii="Arial Narrow" w:hAnsi="Arial Narrow"/>
            <w:noProof/>
            <w:sz w:val="20"/>
            <w:szCs w:val="20"/>
          </w:rPr>
          <w:t>1</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B60CA" w:rsidTr="005A3173">
      <w:trPr>
        <w:trHeight w:val="151"/>
      </w:trPr>
      <w:tc>
        <w:tcPr>
          <w:tcW w:w="2250" w:type="pct"/>
          <w:tcBorders>
            <w:top w:val="nil"/>
            <w:left w:val="nil"/>
            <w:bottom w:val="single" w:sz="4" w:space="0" w:color="4F81BD"/>
            <w:right w:val="nil"/>
          </w:tcBorders>
        </w:tcPr>
        <w:p w:rsidR="000B60CA" w:rsidRPr="005A3173" w:rsidRDefault="000B60C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B60CA" w:rsidRPr="005A3173" w:rsidRDefault="000B60C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B60CA" w:rsidRPr="005A3173" w:rsidRDefault="000B60CA" w:rsidP="005A3173">
          <w:pPr>
            <w:pStyle w:val="Header"/>
            <w:spacing w:line="276" w:lineRule="auto"/>
            <w:rPr>
              <w:rFonts w:ascii="Calibri" w:eastAsia="MS Gothic" w:hAnsi="Calibri"/>
              <w:b/>
              <w:bCs/>
              <w:color w:val="4F81BD"/>
            </w:rPr>
          </w:pPr>
        </w:p>
      </w:tc>
    </w:tr>
    <w:tr w:rsidR="000B60CA" w:rsidTr="005A3173">
      <w:trPr>
        <w:trHeight w:val="150"/>
      </w:trPr>
      <w:tc>
        <w:tcPr>
          <w:tcW w:w="2250" w:type="pct"/>
          <w:tcBorders>
            <w:top w:val="single" w:sz="4" w:space="0" w:color="4F81BD"/>
            <w:left w:val="nil"/>
            <w:bottom w:val="nil"/>
            <w:right w:val="nil"/>
          </w:tcBorders>
        </w:tcPr>
        <w:p w:rsidR="000B60CA" w:rsidRPr="005A3173" w:rsidRDefault="000B60CA" w:rsidP="005A3173">
          <w:pPr>
            <w:pStyle w:val="Header"/>
            <w:spacing w:line="276" w:lineRule="auto"/>
            <w:rPr>
              <w:rFonts w:ascii="Calibri" w:eastAsia="MS Gothic" w:hAnsi="Calibri"/>
              <w:b/>
              <w:bCs/>
              <w:color w:val="4F81BD"/>
            </w:rPr>
          </w:pPr>
        </w:p>
      </w:tc>
      <w:tc>
        <w:tcPr>
          <w:tcW w:w="0" w:type="auto"/>
          <w:vMerge/>
          <w:vAlign w:val="center"/>
          <w:hideMark/>
        </w:tcPr>
        <w:p w:rsidR="000B60CA" w:rsidRPr="005A3173" w:rsidRDefault="000B60CA" w:rsidP="005A3173">
          <w:pPr>
            <w:rPr>
              <w:rFonts w:ascii="Calibri" w:hAnsi="Calibri"/>
              <w:color w:val="365F91"/>
              <w:sz w:val="22"/>
              <w:szCs w:val="22"/>
            </w:rPr>
          </w:pPr>
        </w:p>
      </w:tc>
      <w:tc>
        <w:tcPr>
          <w:tcW w:w="2250" w:type="pct"/>
          <w:tcBorders>
            <w:top w:val="single" w:sz="4" w:space="0" w:color="4F81BD"/>
            <w:left w:val="nil"/>
            <w:bottom w:val="nil"/>
            <w:right w:val="nil"/>
          </w:tcBorders>
        </w:tcPr>
        <w:p w:rsidR="000B60CA" w:rsidRPr="005A3173" w:rsidRDefault="000B60C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B60CA" w:rsidTr="005A3173">
      <w:trPr>
        <w:trHeight w:val="151"/>
      </w:trPr>
      <w:tc>
        <w:tcPr>
          <w:tcW w:w="2250" w:type="pct"/>
          <w:tcBorders>
            <w:top w:val="nil"/>
            <w:left w:val="nil"/>
            <w:bottom w:val="single" w:sz="4" w:space="0" w:color="4F81BD"/>
            <w:right w:val="nil"/>
          </w:tcBorders>
        </w:tcPr>
        <w:p w:rsidR="000B60CA" w:rsidRPr="005A3173" w:rsidRDefault="000B60C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B60CA" w:rsidRPr="005A3173" w:rsidRDefault="000B60C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B60CA" w:rsidRPr="005A3173" w:rsidRDefault="000B60CA" w:rsidP="005A3173">
          <w:pPr>
            <w:pStyle w:val="Header"/>
            <w:spacing w:line="276" w:lineRule="auto"/>
            <w:rPr>
              <w:rFonts w:ascii="Calibri" w:eastAsia="MS Gothic" w:hAnsi="Calibri"/>
              <w:b/>
              <w:bCs/>
              <w:color w:val="4F81BD"/>
            </w:rPr>
          </w:pPr>
        </w:p>
      </w:tc>
    </w:tr>
    <w:tr w:rsidR="000B60CA" w:rsidTr="005A3173">
      <w:trPr>
        <w:trHeight w:val="150"/>
      </w:trPr>
      <w:tc>
        <w:tcPr>
          <w:tcW w:w="2250" w:type="pct"/>
          <w:tcBorders>
            <w:top w:val="single" w:sz="4" w:space="0" w:color="4F81BD"/>
            <w:left w:val="nil"/>
            <w:bottom w:val="nil"/>
            <w:right w:val="nil"/>
          </w:tcBorders>
        </w:tcPr>
        <w:p w:rsidR="000B60CA" w:rsidRPr="005A3173" w:rsidRDefault="000B60CA" w:rsidP="005A3173">
          <w:pPr>
            <w:pStyle w:val="Header"/>
            <w:spacing w:line="276" w:lineRule="auto"/>
            <w:rPr>
              <w:rFonts w:ascii="Calibri" w:eastAsia="MS Gothic" w:hAnsi="Calibri"/>
              <w:b/>
              <w:bCs/>
              <w:color w:val="4F81BD"/>
            </w:rPr>
          </w:pPr>
        </w:p>
      </w:tc>
      <w:tc>
        <w:tcPr>
          <w:tcW w:w="0" w:type="auto"/>
          <w:vMerge/>
          <w:vAlign w:val="center"/>
          <w:hideMark/>
        </w:tcPr>
        <w:p w:rsidR="000B60CA" w:rsidRPr="005A3173" w:rsidRDefault="000B60CA" w:rsidP="005A3173">
          <w:pPr>
            <w:rPr>
              <w:rFonts w:ascii="Calibri" w:hAnsi="Calibri"/>
              <w:color w:val="365F91"/>
              <w:sz w:val="22"/>
              <w:szCs w:val="22"/>
            </w:rPr>
          </w:pPr>
        </w:p>
      </w:tc>
      <w:tc>
        <w:tcPr>
          <w:tcW w:w="2250" w:type="pct"/>
          <w:tcBorders>
            <w:top w:val="single" w:sz="4" w:space="0" w:color="4F81BD"/>
            <w:left w:val="nil"/>
            <w:bottom w:val="nil"/>
            <w:right w:val="nil"/>
          </w:tcBorders>
        </w:tcPr>
        <w:p w:rsidR="000B60CA" w:rsidRPr="005A3173" w:rsidRDefault="000B60CA" w:rsidP="005A3173">
          <w:pPr>
            <w:pStyle w:val="Header"/>
            <w:spacing w:line="276" w:lineRule="auto"/>
            <w:rPr>
              <w:rFonts w:ascii="Calibri" w:eastAsia="MS Gothic" w:hAnsi="Calibri"/>
              <w:b/>
              <w:bCs/>
              <w:color w:val="4F81BD"/>
            </w:rPr>
          </w:pPr>
        </w:p>
      </w:tc>
    </w:tr>
  </w:tbl>
  <w:p w:rsidR="000B60CA" w:rsidRPr="007C0F57" w:rsidRDefault="000B60C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B60CA" w:rsidRPr="007C0F57" w:rsidRDefault="000B60CA" w:rsidP="007C0F57">
    <w:pPr>
      <w:pStyle w:val="Footer"/>
      <w:jc w:val="center"/>
      <w:rPr>
        <w:b/>
        <w:i/>
        <w:sz w:val="20"/>
        <w:szCs w:val="20"/>
      </w:rPr>
    </w:pPr>
    <w:r w:rsidRPr="007C0F57">
      <w:rPr>
        <w:b/>
        <w:i/>
        <w:sz w:val="20"/>
        <w:szCs w:val="20"/>
      </w:rPr>
      <w:t>Commercial-in-Confidence</w:t>
    </w:r>
  </w:p>
  <w:p w:rsidR="000B60CA" w:rsidRDefault="000B60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1ED" w:rsidRDefault="007E01ED">
      <w:r>
        <w:separator/>
      </w:r>
    </w:p>
  </w:footnote>
  <w:footnote w:type="continuationSeparator" w:id="0">
    <w:p w:rsidR="007E01ED" w:rsidRDefault="007E01ED">
      <w:r>
        <w:continuationSeparator/>
      </w:r>
    </w:p>
    <w:p w:rsidR="007E01ED" w:rsidRDefault="007E01ED"/>
  </w:footnote>
  <w:footnote w:id="1">
    <w:p w:rsidR="000B60CA" w:rsidRPr="00817D1C" w:rsidRDefault="000B60CA" w:rsidP="00817D1C">
      <w:pPr>
        <w:pStyle w:val="FootnoteText"/>
        <w:jc w:val="both"/>
        <w:rPr>
          <w:rFonts w:ascii="Arial" w:hAnsi="Arial" w:cs="Arial"/>
        </w:rPr>
      </w:pPr>
      <w:r w:rsidRPr="00817D1C">
        <w:rPr>
          <w:rStyle w:val="FootnoteReference"/>
          <w:rFonts w:ascii="Arial" w:hAnsi="Arial" w:cs="Arial"/>
        </w:rPr>
        <w:footnoteRef/>
      </w:r>
      <w:r w:rsidRPr="00817D1C">
        <w:rPr>
          <w:rFonts w:ascii="Arial" w:hAnsi="Arial" w:cs="Arial"/>
        </w:rPr>
        <w:t xml:space="preserve"> </w:t>
      </w:r>
      <w:r>
        <w:rPr>
          <w:rFonts w:ascii="Arial" w:hAnsi="Arial" w:cs="Arial"/>
        </w:rPr>
        <w:t>The subgroup analysis of PERSIST</w:t>
      </w:r>
      <w:r w:rsidRPr="00817D1C">
        <w:rPr>
          <w:rFonts w:ascii="Arial" w:hAnsi="Arial" w:cs="Arial"/>
        </w:rPr>
        <w:t xml:space="preserve"> only </w:t>
      </w:r>
      <w:r>
        <w:rPr>
          <w:rFonts w:ascii="Arial" w:hAnsi="Arial" w:cs="Arial"/>
        </w:rPr>
        <w:t xml:space="preserve">included </w:t>
      </w:r>
      <w:r w:rsidRPr="00817D1C">
        <w:rPr>
          <w:rFonts w:ascii="Arial" w:hAnsi="Arial" w:cs="Arial"/>
        </w:rPr>
        <w:t xml:space="preserve">patients randomised to </w:t>
      </w:r>
      <w:r>
        <w:rPr>
          <w:rFonts w:ascii="Arial" w:hAnsi="Arial" w:cs="Arial"/>
        </w:rPr>
        <w:t xml:space="preserve">receive </w:t>
      </w:r>
      <w:r w:rsidRPr="00817D1C">
        <w:rPr>
          <w:rFonts w:ascii="Arial" w:hAnsi="Arial" w:cs="Arial"/>
        </w:rPr>
        <w:t>placebo during the prior controlled trials whose FEV</w:t>
      </w:r>
      <w:r w:rsidRPr="00817D1C">
        <w:rPr>
          <w:rFonts w:ascii="Arial" w:hAnsi="Arial" w:cs="Arial"/>
          <w:vertAlign w:val="subscript"/>
        </w:rPr>
        <w:t>1</w:t>
      </w:r>
      <w:r w:rsidRPr="00817D1C">
        <w:rPr>
          <w:rFonts w:ascii="Arial" w:hAnsi="Arial" w:cs="Arial"/>
        </w:rPr>
        <w:t xml:space="preserve"> was &lt;40% of predicted upon rollover to open-label treatment with ivacaftor; </w:t>
      </w:r>
      <w:r>
        <w:rPr>
          <w:rFonts w:ascii="Arial" w:hAnsi="Arial" w:cs="Arial"/>
        </w:rPr>
        <w:t xml:space="preserve">whereas the STRIVE subgroup analysis included </w:t>
      </w:r>
      <w:r w:rsidRPr="00817D1C">
        <w:rPr>
          <w:rFonts w:ascii="Arial" w:hAnsi="Arial" w:cs="Arial"/>
        </w:rPr>
        <w:t xml:space="preserve">patients randomised to </w:t>
      </w:r>
      <w:r>
        <w:rPr>
          <w:rFonts w:ascii="Arial" w:hAnsi="Arial" w:cs="Arial"/>
        </w:rPr>
        <w:t xml:space="preserve">both treatment arms (ivacaftor and placebo) who </w:t>
      </w:r>
      <w:r w:rsidRPr="00817D1C">
        <w:rPr>
          <w:rFonts w:ascii="Arial" w:hAnsi="Arial" w:cs="Arial"/>
        </w:rPr>
        <w:t>had baseline FEV</w:t>
      </w:r>
      <w:r w:rsidRPr="00FB5323">
        <w:rPr>
          <w:rFonts w:ascii="Arial" w:hAnsi="Arial" w:cs="Arial"/>
          <w:vertAlign w:val="subscript"/>
        </w:rPr>
        <w:t>1</w:t>
      </w:r>
      <w:r w:rsidRPr="00817D1C">
        <w:rPr>
          <w:rFonts w:ascii="Arial" w:hAnsi="Arial" w:cs="Arial"/>
        </w:rPr>
        <w:t xml:space="preserve"> &lt;40% </w:t>
      </w:r>
      <w:r>
        <w:rPr>
          <w:rFonts w:ascii="Arial" w:hAnsi="Arial" w:cs="Arial"/>
        </w:rPr>
        <w:t>at treatment initiation.</w:t>
      </w:r>
    </w:p>
  </w:footnote>
  <w:footnote w:id="2">
    <w:p w:rsidR="000B60CA" w:rsidRPr="00BE64D8" w:rsidRDefault="000B60CA">
      <w:pPr>
        <w:pStyle w:val="FootnoteText"/>
        <w:rPr>
          <w:rFonts w:ascii="Arial" w:hAnsi="Arial" w:cs="Arial"/>
        </w:rPr>
      </w:pPr>
      <w:r w:rsidRPr="00BE64D8">
        <w:rPr>
          <w:rStyle w:val="FootnoteReference"/>
          <w:rFonts w:ascii="Arial" w:hAnsi="Arial" w:cs="Arial"/>
        </w:rPr>
        <w:footnoteRef/>
      </w:r>
      <w:r w:rsidRPr="00BE64D8">
        <w:rPr>
          <w:rFonts w:ascii="Arial" w:hAnsi="Arial" w:cs="Arial"/>
        </w:rPr>
        <w:t xml:space="preserve"> ACFDR Annual Reports are available at: </w:t>
      </w:r>
      <w:hyperlink r:id="rId1" w:history="1">
        <w:r w:rsidRPr="00BE64D8">
          <w:rPr>
            <w:rStyle w:val="Hyperlink"/>
            <w:rFonts w:ascii="Arial" w:hAnsi="Arial" w:cs="Arial"/>
          </w:rPr>
          <w:t>http://www.cysticfibrosis.org.au/cfa/data-registry</w:t>
        </w:r>
      </w:hyperlink>
    </w:p>
  </w:footnote>
  <w:footnote w:id="3">
    <w:p w:rsidR="000B60CA" w:rsidRPr="000D5300" w:rsidRDefault="000B60CA" w:rsidP="000D5300">
      <w:pPr>
        <w:pStyle w:val="FootnoteText"/>
        <w:jc w:val="both"/>
        <w:rPr>
          <w:rFonts w:ascii="Arial" w:hAnsi="Arial" w:cs="Arial"/>
          <w:sz w:val="18"/>
          <w:szCs w:val="18"/>
        </w:rPr>
      </w:pPr>
      <w:r w:rsidRPr="000D5300">
        <w:rPr>
          <w:rStyle w:val="FootnoteReference"/>
          <w:rFonts w:ascii="Arial" w:hAnsi="Arial" w:cs="Arial"/>
          <w:sz w:val="18"/>
          <w:szCs w:val="18"/>
        </w:rPr>
        <w:footnoteRef/>
      </w:r>
      <w:r w:rsidRPr="000D5300">
        <w:rPr>
          <w:rStyle w:val="FootnoteReference"/>
          <w:rFonts w:ascii="Arial" w:hAnsi="Arial" w:cs="Arial"/>
          <w:sz w:val="18"/>
          <w:szCs w:val="18"/>
          <w:vertAlign w:val="baseline"/>
        </w:rPr>
        <w:t xml:space="preserve"> Pancreatic insufficiency is the most common gastrointestinal complication of </w:t>
      </w:r>
      <w:r>
        <w:rPr>
          <w:rStyle w:val="FootnoteReference"/>
          <w:rFonts w:ascii="Arial" w:hAnsi="Arial" w:cs="Arial"/>
          <w:sz w:val="18"/>
          <w:szCs w:val="18"/>
          <w:vertAlign w:val="baseline"/>
        </w:rPr>
        <w:t>CF</w:t>
      </w:r>
      <w:r w:rsidRPr="000D5300">
        <w:rPr>
          <w:rStyle w:val="FootnoteReference"/>
          <w:rFonts w:ascii="Arial" w:hAnsi="Arial" w:cs="Arial"/>
          <w:sz w:val="18"/>
          <w:szCs w:val="18"/>
          <w:vertAlign w:val="baseline"/>
        </w:rPr>
        <w:t>, affecting approximately 85</w:t>
      </w:r>
      <w:r>
        <w:rPr>
          <w:rStyle w:val="FootnoteReference"/>
          <w:rFonts w:ascii="Arial" w:hAnsi="Arial" w:cs="Arial"/>
          <w:sz w:val="18"/>
          <w:szCs w:val="18"/>
          <w:vertAlign w:val="baseline"/>
        </w:rPr>
        <w:t>%</w:t>
      </w:r>
      <w:r w:rsidRPr="000D5300">
        <w:rPr>
          <w:rStyle w:val="FootnoteReference"/>
          <w:rFonts w:ascii="Arial" w:hAnsi="Arial" w:cs="Arial"/>
          <w:sz w:val="18"/>
          <w:szCs w:val="18"/>
          <w:vertAlign w:val="baseline"/>
        </w:rPr>
        <w:t xml:space="preserve"> of patients at some time in their lives</w:t>
      </w:r>
      <w:r>
        <w:rPr>
          <w:rFonts w:ascii="Arial" w:hAnsi="Arial" w:cs="Arial"/>
          <w:sz w:val="18"/>
          <w:szCs w:val="18"/>
        </w:rPr>
        <w:t>.</w:t>
      </w:r>
      <w:r w:rsidRPr="000D5300">
        <w:rPr>
          <w:rStyle w:val="FootnoteReference"/>
          <w:rFonts w:ascii="Arial" w:hAnsi="Arial" w:cs="Arial"/>
          <w:sz w:val="18"/>
          <w:szCs w:val="18"/>
          <w:vertAlign w:val="baseline"/>
        </w:rPr>
        <w:t xml:space="preserve"> Absence or dysfunction of CFTR in pancreatic duct cells results in exocrine pancreatic insufficiency an</w:t>
      </w:r>
      <w:r>
        <w:rPr>
          <w:rStyle w:val="FootnoteReference"/>
          <w:rFonts w:ascii="Arial" w:hAnsi="Arial" w:cs="Arial"/>
          <w:sz w:val="18"/>
          <w:szCs w:val="18"/>
          <w:vertAlign w:val="baseline"/>
        </w:rPr>
        <w:t>d consequential malnutrition</w:t>
      </w:r>
      <w:r w:rsidRPr="000D5300">
        <w:rPr>
          <w:rStyle w:val="FootnoteReference"/>
          <w:rFonts w:ascii="Arial" w:hAnsi="Arial" w:cs="Arial"/>
          <w:sz w:val="18"/>
          <w:szCs w:val="18"/>
          <w:vertAlign w:val="baseline"/>
        </w:rPr>
        <w:t>.</w:t>
      </w:r>
    </w:p>
  </w:footnote>
  <w:footnote w:id="4">
    <w:p w:rsidR="000B60CA" w:rsidRDefault="000B60CA" w:rsidP="000D5300">
      <w:pPr>
        <w:pStyle w:val="FootnoteText"/>
        <w:jc w:val="both"/>
      </w:pPr>
      <w:r>
        <w:rPr>
          <w:rStyle w:val="FootnoteReference"/>
        </w:rPr>
        <w:footnoteRef/>
      </w:r>
      <w:r>
        <w:t xml:space="preserve"> </w:t>
      </w:r>
      <w:r w:rsidRPr="00605126">
        <w:rPr>
          <w:rFonts w:ascii="Arial" w:hAnsi="Arial" w:cs="Arial"/>
          <w:sz w:val="18"/>
          <w:szCs w:val="18"/>
        </w:rPr>
        <w:t xml:space="preserve">Inclusion criteria: </w:t>
      </w:r>
      <w:r>
        <w:rPr>
          <w:rFonts w:ascii="Arial" w:hAnsi="Arial" w:cs="Arial"/>
          <w:sz w:val="18"/>
          <w:szCs w:val="18"/>
        </w:rPr>
        <w:t xml:space="preserve">1) </w:t>
      </w:r>
      <w:r w:rsidRPr="00605126">
        <w:rPr>
          <w:rFonts w:ascii="Arial" w:hAnsi="Arial" w:cs="Arial"/>
          <w:sz w:val="18"/>
          <w:szCs w:val="18"/>
        </w:rPr>
        <w:t>the presence of at least one G551D allele</w:t>
      </w:r>
      <w:r>
        <w:rPr>
          <w:rFonts w:ascii="Arial" w:hAnsi="Arial" w:cs="Arial"/>
          <w:sz w:val="18"/>
          <w:szCs w:val="18"/>
        </w:rPr>
        <w:t xml:space="preserve">; and 2) </w:t>
      </w:r>
      <w:r w:rsidRPr="00605126">
        <w:rPr>
          <w:rFonts w:ascii="Arial" w:hAnsi="Arial" w:cs="Arial"/>
          <w:sz w:val="18"/>
          <w:szCs w:val="18"/>
        </w:rPr>
        <w:t>highest FEV</w:t>
      </w:r>
      <w:r w:rsidRPr="00605126">
        <w:rPr>
          <w:rFonts w:ascii="Arial" w:hAnsi="Arial" w:cs="Arial"/>
          <w:sz w:val="18"/>
          <w:szCs w:val="18"/>
          <w:vertAlign w:val="subscript"/>
        </w:rPr>
        <w:t>1</w:t>
      </w:r>
      <w:r w:rsidRPr="00605126">
        <w:rPr>
          <w:rFonts w:ascii="Arial" w:hAnsi="Arial" w:cs="Arial"/>
          <w:sz w:val="18"/>
          <w:szCs w:val="18"/>
        </w:rPr>
        <w:t xml:space="preserve"> &lt;40% predicted in the preceding 6 months and/or </w:t>
      </w:r>
      <w:r>
        <w:rPr>
          <w:rFonts w:ascii="Arial" w:hAnsi="Arial" w:cs="Arial"/>
          <w:sz w:val="18"/>
          <w:szCs w:val="18"/>
        </w:rPr>
        <w:t xml:space="preserve">on the </w:t>
      </w:r>
      <w:r w:rsidRPr="00605126">
        <w:rPr>
          <w:rFonts w:ascii="Arial" w:hAnsi="Arial" w:cs="Arial"/>
          <w:sz w:val="18"/>
          <w:szCs w:val="18"/>
        </w:rPr>
        <w:t>lung transplant listing</w:t>
      </w:r>
    </w:p>
  </w:footnote>
  <w:footnote w:id="5">
    <w:p w:rsidR="000B60CA" w:rsidRPr="009D3282" w:rsidRDefault="000B60CA">
      <w:pPr>
        <w:pStyle w:val="FootnoteText"/>
        <w:rPr>
          <w:rFonts w:ascii="Arial" w:hAnsi="Arial" w:cs="Arial"/>
        </w:rPr>
      </w:pPr>
      <w:r w:rsidRPr="009D3282">
        <w:rPr>
          <w:rStyle w:val="FootnoteReference"/>
          <w:rFonts w:ascii="Arial" w:hAnsi="Arial" w:cs="Arial"/>
        </w:rPr>
        <w:footnoteRef/>
      </w:r>
      <w:r w:rsidRPr="009D3282">
        <w:rPr>
          <w:rFonts w:ascii="Arial" w:hAnsi="Arial" w:cs="Arial"/>
        </w:rPr>
        <w:t xml:space="preserve"> Available at: </w:t>
      </w:r>
      <w:hyperlink r:id="rId2" w:history="1">
        <w:r w:rsidRPr="009D3282">
          <w:rPr>
            <w:rStyle w:val="Hyperlink"/>
            <w:rFonts w:ascii="Arial" w:hAnsi="Arial" w:cs="Arial"/>
          </w:rPr>
          <w:t>www.england.nhs.uk/wp-content/uploads/2013/04/a01-p-b.pdf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B60CA" w:rsidRPr="008E0D90" w:rsidTr="00A06225">
      <w:trPr>
        <w:trHeight w:val="151"/>
      </w:trPr>
      <w:tc>
        <w:tcPr>
          <w:tcW w:w="2389" w:type="pct"/>
          <w:tcBorders>
            <w:top w:val="nil"/>
            <w:left w:val="nil"/>
            <w:bottom w:val="single" w:sz="4" w:space="0" w:color="4F81BD"/>
            <w:right w:val="nil"/>
          </w:tcBorders>
        </w:tcPr>
        <w:p w:rsidR="000B60CA" w:rsidRPr="00A06225" w:rsidRDefault="000B60CA">
          <w:pPr>
            <w:pStyle w:val="Header"/>
            <w:spacing w:line="276" w:lineRule="auto"/>
            <w:rPr>
              <w:rFonts w:ascii="Cambria" w:eastAsia="MS Gothic" w:hAnsi="Cambria"/>
              <w:b/>
              <w:bCs/>
              <w:color w:val="4F81BD"/>
            </w:rPr>
          </w:pPr>
        </w:p>
      </w:tc>
      <w:tc>
        <w:tcPr>
          <w:tcW w:w="333" w:type="pct"/>
          <w:vMerge w:val="restart"/>
          <w:noWrap/>
          <w:vAlign w:val="center"/>
          <w:hideMark/>
        </w:tcPr>
        <w:p w:rsidR="000B60CA" w:rsidRPr="00A06225" w:rsidRDefault="000B60C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B60CA" w:rsidRPr="00A06225" w:rsidRDefault="000B60CA">
          <w:pPr>
            <w:pStyle w:val="Header"/>
            <w:spacing w:line="276" w:lineRule="auto"/>
            <w:rPr>
              <w:rFonts w:ascii="Cambria" w:eastAsia="MS Gothic" w:hAnsi="Cambria"/>
              <w:b/>
              <w:bCs/>
              <w:color w:val="4F81BD"/>
            </w:rPr>
          </w:pPr>
        </w:p>
      </w:tc>
    </w:tr>
    <w:tr w:rsidR="000B60CA" w:rsidRPr="008E0D90" w:rsidTr="00A06225">
      <w:trPr>
        <w:trHeight w:val="150"/>
      </w:trPr>
      <w:tc>
        <w:tcPr>
          <w:tcW w:w="2389" w:type="pct"/>
          <w:tcBorders>
            <w:top w:val="single" w:sz="4" w:space="0" w:color="4F81BD"/>
            <w:left w:val="nil"/>
            <w:bottom w:val="nil"/>
            <w:right w:val="nil"/>
          </w:tcBorders>
        </w:tcPr>
        <w:p w:rsidR="000B60CA" w:rsidRPr="00A06225" w:rsidRDefault="000B60CA">
          <w:pPr>
            <w:pStyle w:val="Header"/>
            <w:spacing w:line="276" w:lineRule="auto"/>
            <w:rPr>
              <w:rFonts w:ascii="Cambria" w:eastAsia="MS Gothic" w:hAnsi="Cambria"/>
              <w:b/>
              <w:bCs/>
              <w:color w:val="4F81BD"/>
            </w:rPr>
          </w:pPr>
        </w:p>
      </w:tc>
      <w:tc>
        <w:tcPr>
          <w:tcW w:w="0" w:type="auto"/>
          <w:vMerge/>
          <w:vAlign w:val="center"/>
          <w:hideMark/>
        </w:tcPr>
        <w:p w:rsidR="000B60CA" w:rsidRPr="00A06225" w:rsidRDefault="000B60CA">
          <w:pPr>
            <w:rPr>
              <w:rFonts w:ascii="Cambria" w:hAnsi="Cambria"/>
              <w:color w:val="4F81BD"/>
              <w:sz w:val="22"/>
              <w:szCs w:val="22"/>
            </w:rPr>
          </w:pPr>
        </w:p>
      </w:tc>
      <w:tc>
        <w:tcPr>
          <w:tcW w:w="2278" w:type="pct"/>
          <w:tcBorders>
            <w:top w:val="single" w:sz="4" w:space="0" w:color="4F81BD"/>
            <w:left w:val="nil"/>
            <w:bottom w:val="nil"/>
            <w:right w:val="nil"/>
          </w:tcBorders>
        </w:tcPr>
        <w:p w:rsidR="000B60CA" w:rsidRPr="00A06225" w:rsidRDefault="000B60CA">
          <w:pPr>
            <w:pStyle w:val="Header"/>
            <w:spacing w:line="276" w:lineRule="auto"/>
            <w:rPr>
              <w:rFonts w:ascii="Cambria" w:eastAsia="MS Gothic" w:hAnsi="Cambria"/>
              <w:b/>
              <w:bCs/>
              <w:color w:val="4F81BD"/>
            </w:rPr>
          </w:pPr>
        </w:p>
      </w:tc>
    </w:tr>
  </w:tbl>
  <w:p w:rsidR="000B60CA" w:rsidRDefault="000B60CA">
    <w:pPr>
      <w:pStyle w:val="Header"/>
    </w:pPr>
  </w:p>
  <w:p w:rsidR="000B60CA" w:rsidRDefault="000B60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CA" w:rsidRPr="00BE15D7" w:rsidRDefault="000B60CA" w:rsidP="000B5E47">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0B60CA" w:rsidRPr="002C713F" w:rsidRDefault="000B60CA" w:rsidP="002C713F">
    <w:pPr>
      <w:pStyle w:val="Header"/>
      <w:tabs>
        <w:tab w:val="center" w:pos="4693"/>
        <w:tab w:val="left" w:pos="6547"/>
      </w:tabs>
      <w:ind w:left="360"/>
      <w:rPr>
        <w:i/>
        <w:sz w:val="22"/>
        <w:szCs w:val="22"/>
      </w:rPr>
    </w:pPr>
    <w:r>
      <w:rPr>
        <w:rFonts w:ascii="Arial" w:hAnsi="Arial" w:cs="Arial"/>
        <w:i/>
        <w:color w:val="808080"/>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0CA" w:rsidRDefault="000B6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091"/>
    <w:multiLevelType w:val="multilevel"/>
    <w:tmpl w:val="AEAA291C"/>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C922F5C"/>
    <w:multiLevelType w:val="hybridMultilevel"/>
    <w:tmpl w:val="273A3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5E4D41"/>
    <w:multiLevelType w:val="hybridMultilevel"/>
    <w:tmpl w:val="D8C8F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7D6E8B"/>
    <w:multiLevelType w:val="hybridMultilevel"/>
    <w:tmpl w:val="4116696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784D033C"/>
    <w:multiLevelType w:val="multilevel"/>
    <w:tmpl w:val="91DC0E60"/>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Vancouver modifi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ve0ww2txaswce9et6xrtfxrfaz9d5rw9z9&quot;&gt;Ivacaftor&lt;record-ids&gt;&lt;item&gt;7&lt;/item&gt;&lt;item&gt;8&lt;/item&gt;&lt;item&gt;9&lt;/item&gt;&lt;item&gt;10&lt;/item&gt;&lt;item&gt;11&lt;/item&gt;&lt;/record-ids&gt;&lt;/item&gt;&lt;/Libraries&gt;"/>
  </w:docVars>
  <w:rsids>
    <w:rsidRoot w:val="0004240E"/>
    <w:rsid w:val="00000763"/>
    <w:rsid w:val="000007A0"/>
    <w:rsid w:val="000025AD"/>
    <w:rsid w:val="00006FAC"/>
    <w:rsid w:val="00007659"/>
    <w:rsid w:val="00020B8E"/>
    <w:rsid w:val="00023B95"/>
    <w:rsid w:val="0002464A"/>
    <w:rsid w:val="00025A1E"/>
    <w:rsid w:val="0003106B"/>
    <w:rsid w:val="000374F2"/>
    <w:rsid w:val="000421A1"/>
    <w:rsid w:val="000422E1"/>
    <w:rsid w:val="0004240E"/>
    <w:rsid w:val="00045E26"/>
    <w:rsid w:val="000507FA"/>
    <w:rsid w:val="000514B5"/>
    <w:rsid w:val="00052DFA"/>
    <w:rsid w:val="00060E64"/>
    <w:rsid w:val="000619A4"/>
    <w:rsid w:val="00062F08"/>
    <w:rsid w:val="00064336"/>
    <w:rsid w:val="0006495E"/>
    <w:rsid w:val="000651A7"/>
    <w:rsid w:val="00065965"/>
    <w:rsid w:val="00066755"/>
    <w:rsid w:val="000765F6"/>
    <w:rsid w:val="00085802"/>
    <w:rsid w:val="00096002"/>
    <w:rsid w:val="000962FB"/>
    <w:rsid w:val="000969AD"/>
    <w:rsid w:val="000B039B"/>
    <w:rsid w:val="000B2E24"/>
    <w:rsid w:val="000B558D"/>
    <w:rsid w:val="000B5E47"/>
    <w:rsid w:val="000B60CA"/>
    <w:rsid w:val="000C037C"/>
    <w:rsid w:val="000C04C8"/>
    <w:rsid w:val="000C6996"/>
    <w:rsid w:val="000D23BA"/>
    <w:rsid w:val="000D5300"/>
    <w:rsid w:val="000D5601"/>
    <w:rsid w:val="000D750B"/>
    <w:rsid w:val="000E397A"/>
    <w:rsid w:val="000E3988"/>
    <w:rsid w:val="000E599F"/>
    <w:rsid w:val="000E681E"/>
    <w:rsid w:val="000E7E2E"/>
    <w:rsid w:val="000F4E6A"/>
    <w:rsid w:val="000F7F8F"/>
    <w:rsid w:val="001003AD"/>
    <w:rsid w:val="001107BF"/>
    <w:rsid w:val="00111F68"/>
    <w:rsid w:val="00112730"/>
    <w:rsid w:val="00112C2B"/>
    <w:rsid w:val="00116FE6"/>
    <w:rsid w:val="0012417C"/>
    <w:rsid w:val="00133054"/>
    <w:rsid w:val="0014073E"/>
    <w:rsid w:val="00142395"/>
    <w:rsid w:val="00142714"/>
    <w:rsid w:val="001438FD"/>
    <w:rsid w:val="001452ED"/>
    <w:rsid w:val="00145C29"/>
    <w:rsid w:val="00147A84"/>
    <w:rsid w:val="001535F5"/>
    <w:rsid w:val="0015424C"/>
    <w:rsid w:val="00155948"/>
    <w:rsid w:val="00156080"/>
    <w:rsid w:val="0016412D"/>
    <w:rsid w:val="00166B15"/>
    <w:rsid w:val="0017244F"/>
    <w:rsid w:val="00177301"/>
    <w:rsid w:val="0017745D"/>
    <w:rsid w:val="00181BDF"/>
    <w:rsid w:val="001830CE"/>
    <w:rsid w:val="00190FE1"/>
    <w:rsid w:val="00192D06"/>
    <w:rsid w:val="00196307"/>
    <w:rsid w:val="00196398"/>
    <w:rsid w:val="001B017F"/>
    <w:rsid w:val="001B1116"/>
    <w:rsid w:val="001B3D09"/>
    <w:rsid w:val="001B5129"/>
    <w:rsid w:val="001B7FEA"/>
    <w:rsid w:val="001C1195"/>
    <w:rsid w:val="001C2619"/>
    <w:rsid w:val="001D315C"/>
    <w:rsid w:val="001E344A"/>
    <w:rsid w:val="001E4C48"/>
    <w:rsid w:val="001E6483"/>
    <w:rsid w:val="001E7FCD"/>
    <w:rsid w:val="001F1288"/>
    <w:rsid w:val="001F2267"/>
    <w:rsid w:val="001F535C"/>
    <w:rsid w:val="0020310C"/>
    <w:rsid w:val="00213CFB"/>
    <w:rsid w:val="002156AD"/>
    <w:rsid w:val="0021657F"/>
    <w:rsid w:val="00217A6D"/>
    <w:rsid w:val="00225AA1"/>
    <w:rsid w:val="002264D3"/>
    <w:rsid w:val="00227A01"/>
    <w:rsid w:val="00231BBD"/>
    <w:rsid w:val="0023535A"/>
    <w:rsid w:val="0024332A"/>
    <w:rsid w:val="002435DD"/>
    <w:rsid w:val="00252A49"/>
    <w:rsid w:val="002530EC"/>
    <w:rsid w:val="002549D2"/>
    <w:rsid w:val="002576B9"/>
    <w:rsid w:val="00271223"/>
    <w:rsid w:val="00271BA1"/>
    <w:rsid w:val="00273198"/>
    <w:rsid w:val="00277505"/>
    <w:rsid w:val="00284049"/>
    <w:rsid w:val="00286328"/>
    <w:rsid w:val="00293A11"/>
    <w:rsid w:val="0029458F"/>
    <w:rsid w:val="002978E4"/>
    <w:rsid w:val="002A104C"/>
    <w:rsid w:val="002A260C"/>
    <w:rsid w:val="002A2BE3"/>
    <w:rsid w:val="002A4960"/>
    <w:rsid w:val="002A546F"/>
    <w:rsid w:val="002B06FE"/>
    <w:rsid w:val="002B1AE6"/>
    <w:rsid w:val="002B30F8"/>
    <w:rsid w:val="002B78C6"/>
    <w:rsid w:val="002C212F"/>
    <w:rsid w:val="002C713F"/>
    <w:rsid w:val="002C72B6"/>
    <w:rsid w:val="002D115F"/>
    <w:rsid w:val="002E2B69"/>
    <w:rsid w:val="002E3153"/>
    <w:rsid w:val="002E40F2"/>
    <w:rsid w:val="002E4963"/>
    <w:rsid w:val="002E72CA"/>
    <w:rsid w:val="00305D59"/>
    <w:rsid w:val="003141A9"/>
    <w:rsid w:val="003239EA"/>
    <w:rsid w:val="00326E79"/>
    <w:rsid w:val="00332FB7"/>
    <w:rsid w:val="00335438"/>
    <w:rsid w:val="003367EF"/>
    <w:rsid w:val="00341AE4"/>
    <w:rsid w:val="00343D55"/>
    <w:rsid w:val="00344CF4"/>
    <w:rsid w:val="003452D2"/>
    <w:rsid w:val="003529E8"/>
    <w:rsid w:val="00355DD8"/>
    <w:rsid w:val="00356E0A"/>
    <w:rsid w:val="00362D3F"/>
    <w:rsid w:val="003638A6"/>
    <w:rsid w:val="003829AE"/>
    <w:rsid w:val="00386E54"/>
    <w:rsid w:val="003872CF"/>
    <w:rsid w:val="00394CBA"/>
    <w:rsid w:val="0039782C"/>
    <w:rsid w:val="003A5B4A"/>
    <w:rsid w:val="003B02DE"/>
    <w:rsid w:val="003B133F"/>
    <w:rsid w:val="003B23C5"/>
    <w:rsid w:val="003B2A75"/>
    <w:rsid w:val="003B38F7"/>
    <w:rsid w:val="003C4602"/>
    <w:rsid w:val="003D4AC4"/>
    <w:rsid w:val="003D63B7"/>
    <w:rsid w:val="003D709A"/>
    <w:rsid w:val="003E0BF9"/>
    <w:rsid w:val="003E1DDC"/>
    <w:rsid w:val="003E2043"/>
    <w:rsid w:val="003E468B"/>
    <w:rsid w:val="003F0167"/>
    <w:rsid w:val="003F349A"/>
    <w:rsid w:val="003F5C8C"/>
    <w:rsid w:val="00401AE4"/>
    <w:rsid w:val="00403CAD"/>
    <w:rsid w:val="00404994"/>
    <w:rsid w:val="004078D4"/>
    <w:rsid w:val="004111F0"/>
    <w:rsid w:val="00414774"/>
    <w:rsid w:val="00414D55"/>
    <w:rsid w:val="004169BE"/>
    <w:rsid w:val="00421F74"/>
    <w:rsid w:val="00423C95"/>
    <w:rsid w:val="00423F69"/>
    <w:rsid w:val="00436D00"/>
    <w:rsid w:val="00443AB2"/>
    <w:rsid w:val="00444D1A"/>
    <w:rsid w:val="004461A1"/>
    <w:rsid w:val="004465BD"/>
    <w:rsid w:val="00446E64"/>
    <w:rsid w:val="00450720"/>
    <w:rsid w:val="00453962"/>
    <w:rsid w:val="004634D7"/>
    <w:rsid w:val="0046677A"/>
    <w:rsid w:val="00466ADA"/>
    <w:rsid w:val="0047555C"/>
    <w:rsid w:val="00476245"/>
    <w:rsid w:val="004857D5"/>
    <w:rsid w:val="00485940"/>
    <w:rsid w:val="004868BB"/>
    <w:rsid w:val="0048751D"/>
    <w:rsid w:val="00494389"/>
    <w:rsid w:val="004A1179"/>
    <w:rsid w:val="004A1304"/>
    <w:rsid w:val="004A3ED7"/>
    <w:rsid w:val="004A5A85"/>
    <w:rsid w:val="004B47AA"/>
    <w:rsid w:val="004B5640"/>
    <w:rsid w:val="004C1BD7"/>
    <w:rsid w:val="004C1E15"/>
    <w:rsid w:val="004C2CD6"/>
    <w:rsid w:val="004C691D"/>
    <w:rsid w:val="004C78CD"/>
    <w:rsid w:val="004C7EF9"/>
    <w:rsid w:val="004E1428"/>
    <w:rsid w:val="004E1AE0"/>
    <w:rsid w:val="004E2565"/>
    <w:rsid w:val="004E38CA"/>
    <w:rsid w:val="004E4CE1"/>
    <w:rsid w:val="004E692D"/>
    <w:rsid w:val="004F7654"/>
    <w:rsid w:val="004F798B"/>
    <w:rsid w:val="004F7E68"/>
    <w:rsid w:val="00501554"/>
    <w:rsid w:val="0050715D"/>
    <w:rsid w:val="00507586"/>
    <w:rsid w:val="00507D85"/>
    <w:rsid w:val="00514CD7"/>
    <w:rsid w:val="005308D8"/>
    <w:rsid w:val="005319B2"/>
    <w:rsid w:val="00532C74"/>
    <w:rsid w:val="00534E2E"/>
    <w:rsid w:val="005362F0"/>
    <w:rsid w:val="005431D0"/>
    <w:rsid w:val="00543A68"/>
    <w:rsid w:val="00544552"/>
    <w:rsid w:val="00567A05"/>
    <w:rsid w:val="00572AF0"/>
    <w:rsid w:val="0057498C"/>
    <w:rsid w:val="00574B97"/>
    <w:rsid w:val="00581932"/>
    <w:rsid w:val="00592FB2"/>
    <w:rsid w:val="0059324C"/>
    <w:rsid w:val="00593587"/>
    <w:rsid w:val="00594196"/>
    <w:rsid w:val="005963BB"/>
    <w:rsid w:val="005A3173"/>
    <w:rsid w:val="005A3223"/>
    <w:rsid w:val="005A3DA3"/>
    <w:rsid w:val="005A52C4"/>
    <w:rsid w:val="005B5913"/>
    <w:rsid w:val="005C2032"/>
    <w:rsid w:val="005C2E2E"/>
    <w:rsid w:val="005D03AB"/>
    <w:rsid w:val="005D5017"/>
    <w:rsid w:val="005E6FD9"/>
    <w:rsid w:val="005E7F81"/>
    <w:rsid w:val="005F0E50"/>
    <w:rsid w:val="005F3633"/>
    <w:rsid w:val="005F6376"/>
    <w:rsid w:val="00601A91"/>
    <w:rsid w:val="00602BA3"/>
    <w:rsid w:val="00605126"/>
    <w:rsid w:val="00614159"/>
    <w:rsid w:val="006176E9"/>
    <w:rsid w:val="00617C00"/>
    <w:rsid w:val="006263BF"/>
    <w:rsid w:val="006271E8"/>
    <w:rsid w:val="0062748A"/>
    <w:rsid w:val="00630A2C"/>
    <w:rsid w:val="00631F92"/>
    <w:rsid w:val="00634354"/>
    <w:rsid w:val="006465D9"/>
    <w:rsid w:val="00646FB5"/>
    <w:rsid w:val="006503E6"/>
    <w:rsid w:val="00651169"/>
    <w:rsid w:val="006512B6"/>
    <w:rsid w:val="00653D69"/>
    <w:rsid w:val="006612C0"/>
    <w:rsid w:val="00665579"/>
    <w:rsid w:val="00670A76"/>
    <w:rsid w:val="006711AA"/>
    <w:rsid w:val="00672B57"/>
    <w:rsid w:val="006734AB"/>
    <w:rsid w:val="006738C5"/>
    <w:rsid w:val="00675622"/>
    <w:rsid w:val="006756B7"/>
    <w:rsid w:val="006763A3"/>
    <w:rsid w:val="00685562"/>
    <w:rsid w:val="006868E9"/>
    <w:rsid w:val="006906DB"/>
    <w:rsid w:val="006954CB"/>
    <w:rsid w:val="006976B7"/>
    <w:rsid w:val="006A12A5"/>
    <w:rsid w:val="006B0D94"/>
    <w:rsid w:val="006B108F"/>
    <w:rsid w:val="006B11CF"/>
    <w:rsid w:val="006B1768"/>
    <w:rsid w:val="006B30F1"/>
    <w:rsid w:val="006B485D"/>
    <w:rsid w:val="006C1A11"/>
    <w:rsid w:val="006C708E"/>
    <w:rsid w:val="006D6EC7"/>
    <w:rsid w:val="006E248A"/>
    <w:rsid w:val="006E3277"/>
    <w:rsid w:val="006E3C6E"/>
    <w:rsid w:val="006E4712"/>
    <w:rsid w:val="006E69F9"/>
    <w:rsid w:val="006F024C"/>
    <w:rsid w:val="006F09D8"/>
    <w:rsid w:val="006F3A4B"/>
    <w:rsid w:val="006F5125"/>
    <w:rsid w:val="00703B02"/>
    <w:rsid w:val="00715641"/>
    <w:rsid w:val="007174BB"/>
    <w:rsid w:val="007209D1"/>
    <w:rsid w:val="00745DF7"/>
    <w:rsid w:val="00755753"/>
    <w:rsid w:val="0075662A"/>
    <w:rsid w:val="00760841"/>
    <w:rsid w:val="0076420C"/>
    <w:rsid w:val="0076461F"/>
    <w:rsid w:val="0076464E"/>
    <w:rsid w:val="007750EF"/>
    <w:rsid w:val="007753C2"/>
    <w:rsid w:val="00780D86"/>
    <w:rsid w:val="007818C7"/>
    <w:rsid w:val="0078231E"/>
    <w:rsid w:val="00782C5C"/>
    <w:rsid w:val="007838B8"/>
    <w:rsid w:val="00785F08"/>
    <w:rsid w:val="007A034A"/>
    <w:rsid w:val="007A2280"/>
    <w:rsid w:val="007A4C77"/>
    <w:rsid w:val="007A6600"/>
    <w:rsid w:val="007B03E5"/>
    <w:rsid w:val="007B6CE7"/>
    <w:rsid w:val="007C0F57"/>
    <w:rsid w:val="007C1D4A"/>
    <w:rsid w:val="007C34AA"/>
    <w:rsid w:val="007C40B6"/>
    <w:rsid w:val="007C4146"/>
    <w:rsid w:val="007C5976"/>
    <w:rsid w:val="007C5C1A"/>
    <w:rsid w:val="007C6AC2"/>
    <w:rsid w:val="007C729F"/>
    <w:rsid w:val="007D6F15"/>
    <w:rsid w:val="007E01ED"/>
    <w:rsid w:val="007E1D28"/>
    <w:rsid w:val="007E7238"/>
    <w:rsid w:val="007E79DC"/>
    <w:rsid w:val="007F2641"/>
    <w:rsid w:val="007F56AB"/>
    <w:rsid w:val="007F7C36"/>
    <w:rsid w:val="00806796"/>
    <w:rsid w:val="00810757"/>
    <w:rsid w:val="00817D1C"/>
    <w:rsid w:val="00826F6D"/>
    <w:rsid w:val="00831B93"/>
    <w:rsid w:val="00837A31"/>
    <w:rsid w:val="008455E0"/>
    <w:rsid w:val="00851FEA"/>
    <w:rsid w:val="00856DDD"/>
    <w:rsid w:val="00863E68"/>
    <w:rsid w:val="00873DE4"/>
    <w:rsid w:val="008745E0"/>
    <w:rsid w:val="00874709"/>
    <w:rsid w:val="00876755"/>
    <w:rsid w:val="0088014E"/>
    <w:rsid w:val="00882085"/>
    <w:rsid w:val="00883188"/>
    <w:rsid w:val="00897D58"/>
    <w:rsid w:val="008A0EE5"/>
    <w:rsid w:val="008A0F36"/>
    <w:rsid w:val="008A1956"/>
    <w:rsid w:val="008A4937"/>
    <w:rsid w:val="008A776F"/>
    <w:rsid w:val="008B23A5"/>
    <w:rsid w:val="008B3F6F"/>
    <w:rsid w:val="008D0247"/>
    <w:rsid w:val="008D3C82"/>
    <w:rsid w:val="008D447E"/>
    <w:rsid w:val="008D4521"/>
    <w:rsid w:val="008D7A41"/>
    <w:rsid w:val="008E117A"/>
    <w:rsid w:val="008E208F"/>
    <w:rsid w:val="008E3680"/>
    <w:rsid w:val="008E5870"/>
    <w:rsid w:val="008F1434"/>
    <w:rsid w:val="008F40DD"/>
    <w:rsid w:val="008F7355"/>
    <w:rsid w:val="00902062"/>
    <w:rsid w:val="009067B7"/>
    <w:rsid w:val="00907459"/>
    <w:rsid w:val="00911859"/>
    <w:rsid w:val="00913303"/>
    <w:rsid w:val="00920DBC"/>
    <w:rsid w:val="0092547D"/>
    <w:rsid w:val="00925BE1"/>
    <w:rsid w:val="00926269"/>
    <w:rsid w:val="009278A4"/>
    <w:rsid w:val="00930937"/>
    <w:rsid w:val="00933E6C"/>
    <w:rsid w:val="0094019F"/>
    <w:rsid w:val="00942160"/>
    <w:rsid w:val="00942EC9"/>
    <w:rsid w:val="00943509"/>
    <w:rsid w:val="00944B94"/>
    <w:rsid w:val="00947254"/>
    <w:rsid w:val="009602C5"/>
    <w:rsid w:val="0096074C"/>
    <w:rsid w:val="00961073"/>
    <w:rsid w:val="009652F3"/>
    <w:rsid w:val="00974C21"/>
    <w:rsid w:val="00974CB0"/>
    <w:rsid w:val="00980CE4"/>
    <w:rsid w:val="00986B02"/>
    <w:rsid w:val="0099149C"/>
    <w:rsid w:val="00997CA7"/>
    <w:rsid w:val="009B0CF1"/>
    <w:rsid w:val="009B0F67"/>
    <w:rsid w:val="009B2B3B"/>
    <w:rsid w:val="009B54AA"/>
    <w:rsid w:val="009B64CA"/>
    <w:rsid w:val="009C105D"/>
    <w:rsid w:val="009C703C"/>
    <w:rsid w:val="009D3282"/>
    <w:rsid w:val="009D3CAA"/>
    <w:rsid w:val="009E3C15"/>
    <w:rsid w:val="009E5BED"/>
    <w:rsid w:val="009F42E5"/>
    <w:rsid w:val="009F4E46"/>
    <w:rsid w:val="009F5B65"/>
    <w:rsid w:val="009F5F2E"/>
    <w:rsid w:val="00A06225"/>
    <w:rsid w:val="00A119C4"/>
    <w:rsid w:val="00A11E2C"/>
    <w:rsid w:val="00A128E6"/>
    <w:rsid w:val="00A24791"/>
    <w:rsid w:val="00A247BD"/>
    <w:rsid w:val="00A31E04"/>
    <w:rsid w:val="00A37C8D"/>
    <w:rsid w:val="00A41AC0"/>
    <w:rsid w:val="00A45E1D"/>
    <w:rsid w:val="00A5273B"/>
    <w:rsid w:val="00A53A9D"/>
    <w:rsid w:val="00A55FEE"/>
    <w:rsid w:val="00A62C1A"/>
    <w:rsid w:val="00A6426D"/>
    <w:rsid w:val="00A70622"/>
    <w:rsid w:val="00A70977"/>
    <w:rsid w:val="00A8390C"/>
    <w:rsid w:val="00A92502"/>
    <w:rsid w:val="00A928BD"/>
    <w:rsid w:val="00A93DF5"/>
    <w:rsid w:val="00A96D1F"/>
    <w:rsid w:val="00A96D9B"/>
    <w:rsid w:val="00AA2E5A"/>
    <w:rsid w:val="00AA4D1C"/>
    <w:rsid w:val="00AB7B7F"/>
    <w:rsid w:val="00AC5206"/>
    <w:rsid w:val="00AE11A5"/>
    <w:rsid w:val="00AE13E2"/>
    <w:rsid w:val="00AE261E"/>
    <w:rsid w:val="00AF156B"/>
    <w:rsid w:val="00AF68CC"/>
    <w:rsid w:val="00B06188"/>
    <w:rsid w:val="00B146A7"/>
    <w:rsid w:val="00B146D9"/>
    <w:rsid w:val="00B1545F"/>
    <w:rsid w:val="00B205AA"/>
    <w:rsid w:val="00B20701"/>
    <w:rsid w:val="00B22E84"/>
    <w:rsid w:val="00B25F75"/>
    <w:rsid w:val="00B26749"/>
    <w:rsid w:val="00B27FEB"/>
    <w:rsid w:val="00B3014B"/>
    <w:rsid w:val="00B37A17"/>
    <w:rsid w:val="00B43E90"/>
    <w:rsid w:val="00B51F34"/>
    <w:rsid w:val="00B56118"/>
    <w:rsid w:val="00B61D24"/>
    <w:rsid w:val="00B63660"/>
    <w:rsid w:val="00B63A90"/>
    <w:rsid w:val="00B66303"/>
    <w:rsid w:val="00B66429"/>
    <w:rsid w:val="00B66C68"/>
    <w:rsid w:val="00B6773F"/>
    <w:rsid w:val="00B7204A"/>
    <w:rsid w:val="00B77B4E"/>
    <w:rsid w:val="00B801BA"/>
    <w:rsid w:val="00B90A4B"/>
    <w:rsid w:val="00B91A2C"/>
    <w:rsid w:val="00B92019"/>
    <w:rsid w:val="00BA2E98"/>
    <w:rsid w:val="00BA49CB"/>
    <w:rsid w:val="00BA7C31"/>
    <w:rsid w:val="00BA7F7A"/>
    <w:rsid w:val="00BB379B"/>
    <w:rsid w:val="00BB54EB"/>
    <w:rsid w:val="00BB69F5"/>
    <w:rsid w:val="00BB7EC3"/>
    <w:rsid w:val="00BC01EB"/>
    <w:rsid w:val="00BC431E"/>
    <w:rsid w:val="00BC4B9A"/>
    <w:rsid w:val="00BC6B69"/>
    <w:rsid w:val="00BD784C"/>
    <w:rsid w:val="00BE0D4C"/>
    <w:rsid w:val="00BE3052"/>
    <w:rsid w:val="00BE3C06"/>
    <w:rsid w:val="00BE64D8"/>
    <w:rsid w:val="00BE733B"/>
    <w:rsid w:val="00BF4981"/>
    <w:rsid w:val="00BF4CB6"/>
    <w:rsid w:val="00BF6DEF"/>
    <w:rsid w:val="00C00DA7"/>
    <w:rsid w:val="00C12768"/>
    <w:rsid w:val="00C1331B"/>
    <w:rsid w:val="00C13564"/>
    <w:rsid w:val="00C17C46"/>
    <w:rsid w:val="00C202D4"/>
    <w:rsid w:val="00C208DF"/>
    <w:rsid w:val="00C249E9"/>
    <w:rsid w:val="00C27B58"/>
    <w:rsid w:val="00C31FCC"/>
    <w:rsid w:val="00C35996"/>
    <w:rsid w:val="00C4022D"/>
    <w:rsid w:val="00C40EF8"/>
    <w:rsid w:val="00C43F7B"/>
    <w:rsid w:val="00C44481"/>
    <w:rsid w:val="00C45DB5"/>
    <w:rsid w:val="00C52278"/>
    <w:rsid w:val="00C5342C"/>
    <w:rsid w:val="00C6256A"/>
    <w:rsid w:val="00C6395F"/>
    <w:rsid w:val="00C65172"/>
    <w:rsid w:val="00C669FF"/>
    <w:rsid w:val="00C7573E"/>
    <w:rsid w:val="00C800DF"/>
    <w:rsid w:val="00C87DEF"/>
    <w:rsid w:val="00C91449"/>
    <w:rsid w:val="00C92D10"/>
    <w:rsid w:val="00CA09C9"/>
    <w:rsid w:val="00CA24A9"/>
    <w:rsid w:val="00CA4179"/>
    <w:rsid w:val="00CB3843"/>
    <w:rsid w:val="00CB6EC4"/>
    <w:rsid w:val="00CE10C4"/>
    <w:rsid w:val="00CE27B5"/>
    <w:rsid w:val="00CE4785"/>
    <w:rsid w:val="00CE49E7"/>
    <w:rsid w:val="00CE5316"/>
    <w:rsid w:val="00CF53C6"/>
    <w:rsid w:val="00D0321E"/>
    <w:rsid w:val="00D075FC"/>
    <w:rsid w:val="00D11875"/>
    <w:rsid w:val="00D1455A"/>
    <w:rsid w:val="00D1795D"/>
    <w:rsid w:val="00D20ED4"/>
    <w:rsid w:val="00D21422"/>
    <w:rsid w:val="00D3280C"/>
    <w:rsid w:val="00D33C06"/>
    <w:rsid w:val="00D3406A"/>
    <w:rsid w:val="00D3422A"/>
    <w:rsid w:val="00D347A8"/>
    <w:rsid w:val="00D36800"/>
    <w:rsid w:val="00D37047"/>
    <w:rsid w:val="00D448C0"/>
    <w:rsid w:val="00D469B2"/>
    <w:rsid w:val="00D47E73"/>
    <w:rsid w:val="00D50D6F"/>
    <w:rsid w:val="00D553BD"/>
    <w:rsid w:val="00D55E31"/>
    <w:rsid w:val="00D56B0D"/>
    <w:rsid w:val="00D63DEE"/>
    <w:rsid w:val="00D64361"/>
    <w:rsid w:val="00D65475"/>
    <w:rsid w:val="00D65B04"/>
    <w:rsid w:val="00D674A5"/>
    <w:rsid w:val="00D725F7"/>
    <w:rsid w:val="00D741EB"/>
    <w:rsid w:val="00D77B6F"/>
    <w:rsid w:val="00D8187D"/>
    <w:rsid w:val="00D83E89"/>
    <w:rsid w:val="00D84934"/>
    <w:rsid w:val="00D87BD8"/>
    <w:rsid w:val="00D90A0D"/>
    <w:rsid w:val="00D91271"/>
    <w:rsid w:val="00D91A17"/>
    <w:rsid w:val="00D91B7C"/>
    <w:rsid w:val="00D93006"/>
    <w:rsid w:val="00DA0BA6"/>
    <w:rsid w:val="00DA2CB5"/>
    <w:rsid w:val="00DA4BAC"/>
    <w:rsid w:val="00DA68F2"/>
    <w:rsid w:val="00DB5DD6"/>
    <w:rsid w:val="00DC4F03"/>
    <w:rsid w:val="00DD50C6"/>
    <w:rsid w:val="00DE32A5"/>
    <w:rsid w:val="00DE6875"/>
    <w:rsid w:val="00DE6D27"/>
    <w:rsid w:val="00DE7649"/>
    <w:rsid w:val="00DF145B"/>
    <w:rsid w:val="00DF1B4E"/>
    <w:rsid w:val="00DF217D"/>
    <w:rsid w:val="00DF26A7"/>
    <w:rsid w:val="00E005AC"/>
    <w:rsid w:val="00E01244"/>
    <w:rsid w:val="00E059FC"/>
    <w:rsid w:val="00E13439"/>
    <w:rsid w:val="00E136C7"/>
    <w:rsid w:val="00E142E5"/>
    <w:rsid w:val="00E14391"/>
    <w:rsid w:val="00E164B3"/>
    <w:rsid w:val="00E1663E"/>
    <w:rsid w:val="00E16910"/>
    <w:rsid w:val="00E20853"/>
    <w:rsid w:val="00E405E5"/>
    <w:rsid w:val="00E523AA"/>
    <w:rsid w:val="00E55A4F"/>
    <w:rsid w:val="00E5621A"/>
    <w:rsid w:val="00E60CCD"/>
    <w:rsid w:val="00E6331C"/>
    <w:rsid w:val="00E65E54"/>
    <w:rsid w:val="00E80155"/>
    <w:rsid w:val="00E8234B"/>
    <w:rsid w:val="00E82DB8"/>
    <w:rsid w:val="00E848C0"/>
    <w:rsid w:val="00E913A4"/>
    <w:rsid w:val="00E91B96"/>
    <w:rsid w:val="00E941A1"/>
    <w:rsid w:val="00E95CE3"/>
    <w:rsid w:val="00EA2825"/>
    <w:rsid w:val="00EB2AB2"/>
    <w:rsid w:val="00EB2C63"/>
    <w:rsid w:val="00EB5088"/>
    <w:rsid w:val="00EB6694"/>
    <w:rsid w:val="00EC3F4A"/>
    <w:rsid w:val="00EC4107"/>
    <w:rsid w:val="00EC4A4D"/>
    <w:rsid w:val="00ED1323"/>
    <w:rsid w:val="00ED13C5"/>
    <w:rsid w:val="00ED1644"/>
    <w:rsid w:val="00ED48A0"/>
    <w:rsid w:val="00ED4AC3"/>
    <w:rsid w:val="00ED71F0"/>
    <w:rsid w:val="00ED7B79"/>
    <w:rsid w:val="00EE562B"/>
    <w:rsid w:val="00EE5A44"/>
    <w:rsid w:val="00EE61EC"/>
    <w:rsid w:val="00EF44A0"/>
    <w:rsid w:val="00EF558D"/>
    <w:rsid w:val="00EF5D75"/>
    <w:rsid w:val="00EF731E"/>
    <w:rsid w:val="00F021F1"/>
    <w:rsid w:val="00F050BD"/>
    <w:rsid w:val="00F05657"/>
    <w:rsid w:val="00F25578"/>
    <w:rsid w:val="00F258E5"/>
    <w:rsid w:val="00F27C63"/>
    <w:rsid w:val="00F300BC"/>
    <w:rsid w:val="00F3334E"/>
    <w:rsid w:val="00F34101"/>
    <w:rsid w:val="00F34CCA"/>
    <w:rsid w:val="00F44557"/>
    <w:rsid w:val="00F50EC4"/>
    <w:rsid w:val="00F515B5"/>
    <w:rsid w:val="00F552EB"/>
    <w:rsid w:val="00F5578C"/>
    <w:rsid w:val="00F56B28"/>
    <w:rsid w:val="00F57A6D"/>
    <w:rsid w:val="00F61143"/>
    <w:rsid w:val="00F638CC"/>
    <w:rsid w:val="00F77704"/>
    <w:rsid w:val="00F8247A"/>
    <w:rsid w:val="00F870FD"/>
    <w:rsid w:val="00F92CEF"/>
    <w:rsid w:val="00F9441E"/>
    <w:rsid w:val="00F9569D"/>
    <w:rsid w:val="00F9629A"/>
    <w:rsid w:val="00FA5648"/>
    <w:rsid w:val="00FA5883"/>
    <w:rsid w:val="00FA6055"/>
    <w:rsid w:val="00FB322F"/>
    <w:rsid w:val="00FB3E2E"/>
    <w:rsid w:val="00FB442F"/>
    <w:rsid w:val="00FB4D4E"/>
    <w:rsid w:val="00FB5323"/>
    <w:rsid w:val="00FC0C07"/>
    <w:rsid w:val="00FC1929"/>
    <w:rsid w:val="00FC5B46"/>
    <w:rsid w:val="00FC6D91"/>
    <w:rsid w:val="00FC74E9"/>
    <w:rsid w:val="00FE0377"/>
    <w:rsid w:val="00FE4A8A"/>
    <w:rsid w:val="00FF00BD"/>
    <w:rsid w:val="00FF0408"/>
    <w:rsid w:val="00FF1ED4"/>
    <w:rsid w:val="00FF53D2"/>
    <w:rsid w:val="00FF6466"/>
    <w:rsid w:val="00FF7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851FEA"/>
    <w:pPr>
      <w:numPr>
        <w:numId w:val="1"/>
      </w:numPr>
      <w:jc w:val="both"/>
      <w:outlineLvl w:val="0"/>
    </w:pPr>
    <w:rPr>
      <w:rFonts w:ascii="Arial" w:hAnsi="Arial"/>
      <w:b/>
      <w:sz w:val="22"/>
      <w:szCs w:val="22"/>
    </w:rPr>
  </w:style>
  <w:style w:type="paragraph" w:styleId="Heading2">
    <w:name w:val="heading 2"/>
    <w:basedOn w:val="Normal"/>
    <w:next w:val="Normal"/>
    <w:qFormat/>
    <w:rsid w:val="00851FEA"/>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ListParagraph"/>
    <w:qFormat/>
    <w:rsid w:val="00E913A4"/>
    <w:pPr>
      <w:ind w:left="709"/>
      <w:jc w:val="both"/>
    </w:pPr>
    <w:rPr>
      <w:rFonts w:ascii="Arial Narrow" w:hAnsi="Arial Narrow" w:cs="Arial"/>
      <w:snapToGrid w:val="0"/>
      <w:sz w:val="18"/>
      <w:szCs w:val="18"/>
      <w:lang w:val="en-US" w:eastAsia="en-US"/>
    </w:rPr>
  </w:style>
  <w:style w:type="paragraph" w:styleId="NoSpacing">
    <w:name w:val="No Spacing"/>
    <w:basedOn w:val="Normal"/>
    <w:uiPriority w:val="99"/>
    <w:qFormat/>
    <w:rsid w:val="00C27B58"/>
    <w:pPr>
      <w:jc w:val="both"/>
    </w:pPr>
    <w:rPr>
      <w:rFonts w:ascii="Arial" w:hAnsi="Arial"/>
      <w:sz w:val="22"/>
      <w:szCs w:val="22"/>
    </w:rPr>
  </w:style>
  <w:style w:type="paragraph" w:styleId="FootnoteText">
    <w:name w:val="footnote text"/>
    <w:basedOn w:val="Normal"/>
    <w:link w:val="FootnoteTextChar"/>
    <w:rsid w:val="00B63A90"/>
    <w:rPr>
      <w:sz w:val="20"/>
      <w:szCs w:val="20"/>
    </w:rPr>
  </w:style>
  <w:style w:type="character" w:customStyle="1" w:styleId="FootnoteTextChar">
    <w:name w:val="Footnote Text Char"/>
    <w:basedOn w:val="DefaultParagraphFont"/>
    <w:link w:val="FootnoteText"/>
    <w:rsid w:val="00B63A90"/>
  </w:style>
  <w:style w:type="character" w:styleId="FootnoteReference">
    <w:name w:val="footnote reference"/>
    <w:basedOn w:val="DefaultParagraphFont"/>
    <w:rsid w:val="00B63A90"/>
    <w:rPr>
      <w:vertAlign w:val="superscript"/>
    </w:rPr>
  </w:style>
  <w:style w:type="paragraph" w:customStyle="1" w:styleId="TableParagraph">
    <w:name w:val="Table Paragraph"/>
    <w:basedOn w:val="Normal"/>
    <w:uiPriority w:val="1"/>
    <w:qFormat/>
    <w:rsid w:val="007A034A"/>
    <w:pPr>
      <w:widowControl w:val="0"/>
    </w:pPr>
    <w:rPr>
      <w:rFonts w:asciiTheme="minorHAnsi" w:eastAsiaTheme="minorHAnsi" w:hAnsiTheme="minorHAnsi" w:cstheme="minorBidi"/>
      <w:sz w:val="22"/>
      <w:szCs w:val="22"/>
      <w:lang w:val="en-US" w:eastAsia="en-US"/>
    </w:rPr>
  </w:style>
  <w:style w:type="paragraph" w:customStyle="1" w:styleId="EndNoteBibliographyTitle">
    <w:name w:val="EndNote Bibliography Title"/>
    <w:basedOn w:val="Normal"/>
    <w:link w:val="EndNoteBibliographyTitleChar"/>
    <w:rsid w:val="00C800DF"/>
    <w:pPr>
      <w:jc w:val="center"/>
    </w:pPr>
    <w:rPr>
      <w:noProof/>
    </w:rPr>
  </w:style>
  <w:style w:type="character" w:customStyle="1" w:styleId="ListParagraphChar">
    <w:name w:val="List Paragraph Char"/>
    <w:basedOn w:val="DefaultParagraphFont"/>
    <w:link w:val="ListParagraph"/>
    <w:uiPriority w:val="72"/>
    <w:rsid w:val="00C800DF"/>
    <w:rPr>
      <w:sz w:val="24"/>
      <w:szCs w:val="24"/>
    </w:rPr>
  </w:style>
  <w:style w:type="character" w:customStyle="1" w:styleId="EndNoteBibliographyTitleChar">
    <w:name w:val="EndNote Bibliography Title Char"/>
    <w:basedOn w:val="ListParagraphChar"/>
    <w:link w:val="EndNoteBibliographyTitle"/>
    <w:rsid w:val="00C800DF"/>
    <w:rPr>
      <w:noProof/>
      <w:sz w:val="24"/>
      <w:szCs w:val="24"/>
    </w:rPr>
  </w:style>
  <w:style w:type="paragraph" w:customStyle="1" w:styleId="EndNoteBibliography">
    <w:name w:val="EndNote Bibliography"/>
    <w:basedOn w:val="Normal"/>
    <w:link w:val="EndNoteBibliographyChar"/>
    <w:rsid w:val="00C800DF"/>
    <w:pPr>
      <w:jc w:val="both"/>
    </w:pPr>
    <w:rPr>
      <w:noProof/>
    </w:rPr>
  </w:style>
  <w:style w:type="character" w:customStyle="1" w:styleId="EndNoteBibliographyChar">
    <w:name w:val="EndNote Bibliography Char"/>
    <w:basedOn w:val="ListParagraphChar"/>
    <w:link w:val="EndNoteBibliography"/>
    <w:rsid w:val="00C800DF"/>
    <w:rPr>
      <w:noProof/>
      <w:sz w:val="24"/>
      <w:szCs w:val="24"/>
    </w:rPr>
  </w:style>
  <w:style w:type="character" w:styleId="Hyperlink">
    <w:name w:val="Hyperlink"/>
    <w:basedOn w:val="DefaultParagraphFont"/>
    <w:rsid w:val="00D63DEE"/>
    <w:rPr>
      <w:color w:val="0000FF" w:themeColor="hyperlink"/>
      <w:u w:val="single"/>
    </w:rPr>
  </w:style>
  <w:style w:type="paragraph" w:styleId="Revision">
    <w:name w:val="Revision"/>
    <w:hidden/>
    <w:uiPriority w:val="71"/>
    <w:rsid w:val="00974CB0"/>
    <w:rPr>
      <w:sz w:val="24"/>
      <w:szCs w:val="24"/>
    </w:rPr>
  </w:style>
  <w:style w:type="paragraph" w:styleId="Title">
    <w:name w:val="Title"/>
    <w:basedOn w:val="Normal"/>
    <w:next w:val="Normal"/>
    <w:link w:val="TitleChar"/>
    <w:qFormat/>
    <w:rsid w:val="00851FEA"/>
    <w:pPr>
      <w:ind w:left="720" w:hanging="720"/>
      <w:outlineLvl w:val="0"/>
    </w:pPr>
    <w:rPr>
      <w:rFonts w:ascii="Arial" w:hAnsi="Arial"/>
      <w:b/>
      <w:sz w:val="28"/>
      <w:szCs w:val="28"/>
    </w:rPr>
  </w:style>
  <w:style w:type="character" w:customStyle="1" w:styleId="TitleChar">
    <w:name w:val="Title Char"/>
    <w:basedOn w:val="DefaultParagraphFont"/>
    <w:link w:val="Title"/>
    <w:rsid w:val="00851FEA"/>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851FEA"/>
    <w:pPr>
      <w:numPr>
        <w:numId w:val="1"/>
      </w:numPr>
      <w:jc w:val="both"/>
      <w:outlineLvl w:val="0"/>
    </w:pPr>
    <w:rPr>
      <w:rFonts w:ascii="Arial" w:hAnsi="Arial"/>
      <w:b/>
      <w:sz w:val="22"/>
      <w:szCs w:val="22"/>
    </w:rPr>
  </w:style>
  <w:style w:type="paragraph" w:styleId="Heading2">
    <w:name w:val="heading 2"/>
    <w:basedOn w:val="Normal"/>
    <w:next w:val="Normal"/>
    <w:qFormat/>
    <w:rsid w:val="00851FEA"/>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ListParagraph"/>
    <w:qFormat/>
    <w:rsid w:val="00E913A4"/>
    <w:pPr>
      <w:ind w:left="709"/>
      <w:jc w:val="both"/>
    </w:pPr>
    <w:rPr>
      <w:rFonts w:ascii="Arial Narrow" w:hAnsi="Arial Narrow" w:cs="Arial"/>
      <w:snapToGrid w:val="0"/>
      <w:sz w:val="18"/>
      <w:szCs w:val="18"/>
      <w:lang w:val="en-US" w:eastAsia="en-US"/>
    </w:rPr>
  </w:style>
  <w:style w:type="paragraph" w:styleId="NoSpacing">
    <w:name w:val="No Spacing"/>
    <w:basedOn w:val="Normal"/>
    <w:uiPriority w:val="99"/>
    <w:qFormat/>
    <w:rsid w:val="00C27B58"/>
    <w:pPr>
      <w:jc w:val="both"/>
    </w:pPr>
    <w:rPr>
      <w:rFonts w:ascii="Arial" w:hAnsi="Arial"/>
      <w:sz w:val="22"/>
      <w:szCs w:val="22"/>
    </w:rPr>
  </w:style>
  <w:style w:type="paragraph" w:styleId="FootnoteText">
    <w:name w:val="footnote text"/>
    <w:basedOn w:val="Normal"/>
    <w:link w:val="FootnoteTextChar"/>
    <w:rsid w:val="00B63A90"/>
    <w:rPr>
      <w:sz w:val="20"/>
      <w:szCs w:val="20"/>
    </w:rPr>
  </w:style>
  <w:style w:type="character" w:customStyle="1" w:styleId="FootnoteTextChar">
    <w:name w:val="Footnote Text Char"/>
    <w:basedOn w:val="DefaultParagraphFont"/>
    <w:link w:val="FootnoteText"/>
    <w:rsid w:val="00B63A90"/>
  </w:style>
  <w:style w:type="character" w:styleId="FootnoteReference">
    <w:name w:val="footnote reference"/>
    <w:basedOn w:val="DefaultParagraphFont"/>
    <w:rsid w:val="00B63A90"/>
    <w:rPr>
      <w:vertAlign w:val="superscript"/>
    </w:rPr>
  </w:style>
  <w:style w:type="paragraph" w:customStyle="1" w:styleId="TableParagraph">
    <w:name w:val="Table Paragraph"/>
    <w:basedOn w:val="Normal"/>
    <w:uiPriority w:val="1"/>
    <w:qFormat/>
    <w:rsid w:val="007A034A"/>
    <w:pPr>
      <w:widowControl w:val="0"/>
    </w:pPr>
    <w:rPr>
      <w:rFonts w:asciiTheme="minorHAnsi" w:eastAsiaTheme="minorHAnsi" w:hAnsiTheme="minorHAnsi" w:cstheme="minorBidi"/>
      <w:sz w:val="22"/>
      <w:szCs w:val="22"/>
      <w:lang w:val="en-US" w:eastAsia="en-US"/>
    </w:rPr>
  </w:style>
  <w:style w:type="paragraph" w:customStyle="1" w:styleId="EndNoteBibliographyTitle">
    <w:name w:val="EndNote Bibliography Title"/>
    <w:basedOn w:val="Normal"/>
    <w:link w:val="EndNoteBibliographyTitleChar"/>
    <w:rsid w:val="00C800DF"/>
    <w:pPr>
      <w:jc w:val="center"/>
    </w:pPr>
    <w:rPr>
      <w:noProof/>
    </w:rPr>
  </w:style>
  <w:style w:type="character" w:customStyle="1" w:styleId="ListParagraphChar">
    <w:name w:val="List Paragraph Char"/>
    <w:basedOn w:val="DefaultParagraphFont"/>
    <w:link w:val="ListParagraph"/>
    <w:uiPriority w:val="72"/>
    <w:rsid w:val="00C800DF"/>
    <w:rPr>
      <w:sz w:val="24"/>
      <w:szCs w:val="24"/>
    </w:rPr>
  </w:style>
  <w:style w:type="character" w:customStyle="1" w:styleId="EndNoteBibliographyTitleChar">
    <w:name w:val="EndNote Bibliography Title Char"/>
    <w:basedOn w:val="ListParagraphChar"/>
    <w:link w:val="EndNoteBibliographyTitle"/>
    <w:rsid w:val="00C800DF"/>
    <w:rPr>
      <w:noProof/>
      <w:sz w:val="24"/>
      <w:szCs w:val="24"/>
    </w:rPr>
  </w:style>
  <w:style w:type="paragraph" w:customStyle="1" w:styleId="EndNoteBibliography">
    <w:name w:val="EndNote Bibliography"/>
    <w:basedOn w:val="Normal"/>
    <w:link w:val="EndNoteBibliographyChar"/>
    <w:rsid w:val="00C800DF"/>
    <w:pPr>
      <w:jc w:val="both"/>
    </w:pPr>
    <w:rPr>
      <w:noProof/>
    </w:rPr>
  </w:style>
  <w:style w:type="character" w:customStyle="1" w:styleId="EndNoteBibliographyChar">
    <w:name w:val="EndNote Bibliography Char"/>
    <w:basedOn w:val="ListParagraphChar"/>
    <w:link w:val="EndNoteBibliography"/>
    <w:rsid w:val="00C800DF"/>
    <w:rPr>
      <w:noProof/>
      <w:sz w:val="24"/>
      <w:szCs w:val="24"/>
    </w:rPr>
  </w:style>
  <w:style w:type="character" w:styleId="Hyperlink">
    <w:name w:val="Hyperlink"/>
    <w:basedOn w:val="DefaultParagraphFont"/>
    <w:rsid w:val="00D63DEE"/>
    <w:rPr>
      <w:color w:val="0000FF" w:themeColor="hyperlink"/>
      <w:u w:val="single"/>
    </w:rPr>
  </w:style>
  <w:style w:type="paragraph" w:styleId="Revision">
    <w:name w:val="Revision"/>
    <w:hidden/>
    <w:uiPriority w:val="71"/>
    <w:rsid w:val="00974CB0"/>
    <w:rPr>
      <w:sz w:val="24"/>
      <w:szCs w:val="24"/>
    </w:rPr>
  </w:style>
  <w:style w:type="paragraph" w:styleId="Title">
    <w:name w:val="Title"/>
    <w:basedOn w:val="Normal"/>
    <w:next w:val="Normal"/>
    <w:link w:val="TitleChar"/>
    <w:qFormat/>
    <w:rsid w:val="00851FEA"/>
    <w:pPr>
      <w:ind w:left="720" w:hanging="720"/>
      <w:outlineLvl w:val="0"/>
    </w:pPr>
    <w:rPr>
      <w:rFonts w:ascii="Arial" w:hAnsi="Arial"/>
      <w:b/>
      <w:sz w:val="28"/>
      <w:szCs w:val="28"/>
    </w:rPr>
  </w:style>
  <w:style w:type="character" w:customStyle="1" w:styleId="TitleChar">
    <w:name w:val="Title Char"/>
    <w:basedOn w:val="DefaultParagraphFont"/>
    <w:link w:val="Title"/>
    <w:rsid w:val="00851FEA"/>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england.nhs.uk/wp-content/uploads/2013/04/a01-p-b.pdf" TargetMode="External"/><Relationship Id="rId1" Type="http://schemas.openxmlformats.org/officeDocument/2006/relationships/hyperlink" Target="http://www.cysticfibrosis.org.au/cfa/data-reg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BB9D-3584-44E0-A96A-268CF5DB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5495</Words>
  <Characters>29901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7.12	IVACAFTOR</vt:lpstr>
    </vt:vector>
  </TitlesOfParts>
  <Company>Dept Health And Ageing</Company>
  <LinksUpToDate>false</LinksUpToDate>
  <CharactersWithSpaces>35326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7.12	IVACAFTOR</dc:title>
  <dc:creator>HENDRIKS, Lauren</dc:creator>
  <cp:lastModifiedBy>Lauren Hendriks</cp:lastModifiedBy>
  <cp:revision>1</cp:revision>
  <dcterms:created xsi:type="dcterms:W3CDTF">2016-02-29T00:02:00Z</dcterms:created>
  <dcterms:modified xsi:type="dcterms:W3CDTF">2016-02-29T00:03:00Z</dcterms:modified>
</cp:coreProperties>
</file>