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3619E3" w:rsidRDefault="000E0069" w:rsidP="003619E3">
      <w:pPr>
        <w:pStyle w:val="Title"/>
      </w:pPr>
      <w:r w:rsidRPr="003619E3">
        <w:t>7</w:t>
      </w:r>
      <w:r w:rsidR="0004240E" w:rsidRPr="003619E3">
        <w:t>.</w:t>
      </w:r>
      <w:r w:rsidRPr="003619E3">
        <w:t>13</w:t>
      </w:r>
      <w:r w:rsidR="007C0F57" w:rsidRPr="003619E3">
        <w:tab/>
      </w:r>
      <w:r w:rsidR="00AE610F" w:rsidRPr="003619E3">
        <w:t xml:space="preserve">NETUPITANT </w:t>
      </w:r>
      <w:r w:rsidR="00DB3D80" w:rsidRPr="003619E3">
        <w:t>and PALONOSETRON</w:t>
      </w:r>
    </w:p>
    <w:p w:rsidR="00C27B58" w:rsidRPr="003619E3" w:rsidRDefault="00DB3D80" w:rsidP="003619E3">
      <w:pPr>
        <w:pStyle w:val="Title"/>
        <w:ind w:hanging="11"/>
      </w:pPr>
      <w:r w:rsidRPr="003619E3">
        <w:t>netupitant 300 mg + palonosetron 0.5 mg, capsule</w:t>
      </w:r>
    </w:p>
    <w:p w:rsidR="00D3280C" w:rsidRPr="003619E3" w:rsidRDefault="00DB3D80" w:rsidP="003619E3">
      <w:pPr>
        <w:pStyle w:val="Title"/>
        <w:ind w:hanging="11"/>
      </w:pPr>
      <w:r w:rsidRPr="003619E3">
        <w:t>Akynzeo</w:t>
      </w:r>
      <w:r w:rsidR="0004240E" w:rsidRPr="003619E3">
        <w:t>®</w:t>
      </w:r>
      <w:r w:rsidR="00EF44A0" w:rsidRPr="003619E3">
        <w:t xml:space="preserve">, </w:t>
      </w:r>
      <w:r w:rsidRPr="003619E3">
        <w:t>Specialised The</w:t>
      </w:r>
      <w:r w:rsidR="00EF44A0" w:rsidRPr="003619E3">
        <w:t>r</w:t>
      </w:r>
      <w:r w:rsidRPr="003619E3">
        <w:t>apeutics Australia</w:t>
      </w:r>
      <w:r w:rsidR="00446653" w:rsidRPr="003619E3">
        <w:t xml:space="preserve"> Pty Ltd</w:t>
      </w:r>
    </w:p>
    <w:p w:rsidR="00CE10C4" w:rsidRDefault="00CE10C4" w:rsidP="00C27B58">
      <w:pPr>
        <w:pStyle w:val="NoSpacing"/>
      </w:pPr>
    </w:p>
    <w:p w:rsidR="00C27B58" w:rsidRDefault="00C27B58" w:rsidP="00C27B58">
      <w:pPr>
        <w:pStyle w:val="NoSpacing"/>
      </w:pPr>
    </w:p>
    <w:p w:rsidR="00CE10C4" w:rsidRPr="00882085" w:rsidRDefault="00CE10C4" w:rsidP="003619E3">
      <w:pPr>
        <w:pStyle w:val="Heading1"/>
      </w:pPr>
      <w:r w:rsidRPr="00882085">
        <w:t xml:space="preserve">Purpose </w:t>
      </w:r>
      <w:r w:rsidRPr="003619E3">
        <w:t>of</w:t>
      </w:r>
      <w:r w:rsidRPr="00882085">
        <w:t xml:space="preserve"> </w:t>
      </w:r>
      <w:r w:rsidR="0004240E" w:rsidRPr="00882085">
        <w:t>Application</w:t>
      </w:r>
    </w:p>
    <w:p w:rsidR="006A12A5" w:rsidRPr="00882085" w:rsidRDefault="006A12A5" w:rsidP="00882085">
      <w:pPr>
        <w:jc w:val="both"/>
        <w:rPr>
          <w:rFonts w:ascii="Arial" w:hAnsi="Arial"/>
          <w:sz w:val="22"/>
          <w:szCs w:val="22"/>
        </w:rPr>
      </w:pPr>
    </w:p>
    <w:p w:rsidR="006A12A5" w:rsidRPr="00EF44A0" w:rsidRDefault="00EF44A0" w:rsidP="005A46BF">
      <w:pPr>
        <w:pStyle w:val="ListParagraph"/>
        <w:numPr>
          <w:ilvl w:val="1"/>
          <w:numId w:val="1"/>
        </w:numPr>
        <w:jc w:val="both"/>
        <w:rPr>
          <w:rFonts w:ascii="Arial" w:hAnsi="Arial"/>
          <w:b/>
          <w:sz w:val="22"/>
          <w:szCs w:val="22"/>
        </w:rPr>
      </w:pPr>
      <w:r>
        <w:rPr>
          <w:rFonts w:ascii="Arial" w:hAnsi="Arial"/>
          <w:sz w:val="22"/>
          <w:szCs w:val="22"/>
        </w:rPr>
        <w:t>The mi</w:t>
      </w:r>
      <w:r w:rsidR="00FF2801">
        <w:rPr>
          <w:rFonts w:ascii="Arial" w:hAnsi="Arial"/>
          <w:sz w:val="22"/>
          <w:szCs w:val="22"/>
        </w:rPr>
        <w:t xml:space="preserve">nor </w:t>
      </w:r>
      <w:r w:rsidR="00E11ED7">
        <w:rPr>
          <w:rFonts w:ascii="Arial" w:hAnsi="Arial"/>
          <w:sz w:val="22"/>
          <w:szCs w:val="22"/>
        </w:rPr>
        <w:t>re</w:t>
      </w:r>
      <w:r w:rsidR="00FF2801">
        <w:rPr>
          <w:rFonts w:ascii="Arial" w:hAnsi="Arial"/>
          <w:sz w:val="22"/>
          <w:szCs w:val="22"/>
        </w:rPr>
        <w:t>submission requested</w:t>
      </w:r>
      <w:r w:rsidR="00E11ED7">
        <w:rPr>
          <w:rFonts w:ascii="Arial" w:hAnsi="Arial"/>
          <w:sz w:val="22"/>
          <w:szCs w:val="22"/>
        </w:rPr>
        <w:t xml:space="preserve"> an </w:t>
      </w:r>
      <w:r w:rsidR="00E11ED7" w:rsidRPr="00E11ED7">
        <w:rPr>
          <w:rFonts w:ascii="Arial" w:hAnsi="Arial"/>
          <w:sz w:val="22"/>
          <w:szCs w:val="22"/>
        </w:rPr>
        <w:t xml:space="preserve">Authority Required (STREAMLINED) </w:t>
      </w:r>
      <w:r w:rsidR="00513A2A">
        <w:rPr>
          <w:rFonts w:ascii="Arial" w:hAnsi="Arial"/>
          <w:sz w:val="22"/>
          <w:szCs w:val="22"/>
        </w:rPr>
        <w:t xml:space="preserve">listing on the General Schedule </w:t>
      </w:r>
      <w:r w:rsidR="00E11ED7" w:rsidRPr="00E11ED7">
        <w:rPr>
          <w:rFonts w:ascii="Arial" w:hAnsi="Arial"/>
          <w:sz w:val="22"/>
          <w:szCs w:val="22"/>
        </w:rPr>
        <w:t>and Section 100 (Efficient Funding of C</w:t>
      </w:r>
      <w:r w:rsidR="00513A2A">
        <w:rPr>
          <w:rFonts w:ascii="Arial" w:hAnsi="Arial"/>
          <w:sz w:val="22"/>
          <w:szCs w:val="22"/>
        </w:rPr>
        <w:t>hemotherapy - Related Benefits),</w:t>
      </w:r>
      <w:r w:rsidR="00E11ED7" w:rsidRPr="00E11ED7">
        <w:rPr>
          <w:rFonts w:ascii="Arial" w:hAnsi="Arial"/>
          <w:sz w:val="22"/>
          <w:szCs w:val="22"/>
        </w:rPr>
        <w:t xml:space="preserve"> for the prevention of nausea and vomiting associated with initial and repeat courses of highly emetogenic chemotherapy</w:t>
      </w:r>
      <w:r w:rsidR="008B7338">
        <w:rPr>
          <w:rFonts w:ascii="Arial" w:hAnsi="Arial"/>
          <w:sz w:val="22"/>
          <w:szCs w:val="22"/>
        </w:rPr>
        <w:t xml:space="preserve"> (HEC)</w:t>
      </w:r>
      <w:r w:rsidR="00955C7D">
        <w:rPr>
          <w:rFonts w:ascii="Arial" w:hAnsi="Arial"/>
          <w:sz w:val="22"/>
          <w:szCs w:val="22"/>
        </w:rPr>
        <w:t>,</w:t>
      </w:r>
      <w:r w:rsidR="008B7338">
        <w:rPr>
          <w:rFonts w:ascii="Arial" w:hAnsi="Arial"/>
          <w:sz w:val="22"/>
          <w:szCs w:val="22"/>
        </w:rPr>
        <w:t xml:space="preserve"> and anthracycline plus cyclophosphamide (AC) based regimens in patients with breast cancer</w:t>
      </w:r>
      <w:r w:rsidR="00E11ED7" w:rsidRPr="00E11ED7">
        <w:rPr>
          <w:rFonts w:ascii="Arial" w:hAnsi="Arial"/>
          <w:sz w:val="22"/>
          <w:szCs w:val="22"/>
        </w:rPr>
        <w:t>.</w:t>
      </w:r>
    </w:p>
    <w:p w:rsidR="00F9629A" w:rsidRPr="00F9629A" w:rsidRDefault="00F9629A" w:rsidP="00C27B58">
      <w:pPr>
        <w:pStyle w:val="NoSpacing"/>
      </w:pPr>
    </w:p>
    <w:p w:rsidR="00EF44A0" w:rsidRPr="00C27B58" w:rsidRDefault="00EF44A0" w:rsidP="00C27B58">
      <w:pPr>
        <w:pStyle w:val="NoSpacing"/>
      </w:pPr>
    </w:p>
    <w:p w:rsidR="00614159" w:rsidRPr="00882085" w:rsidRDefault="006A12A5" w:rsidP="003619E3">
      <w:pPr>
        <w:pStyle w:val="Heading1"/>
      </w:pPr>
      <w:r w:rsidRPr="00882085">
        <w:t>Requested listing</w:t>
      </w:r>
    </w:p>
    <w:p w:rsidR="006A12A5" w:rsidRPr="00882085" w:rsidRDefault="006A12A5" w:rsidP="00882085">
      <w:pPr>
        <w:jc w:val="both"/>
        <w:rPr>
          <w:rFonts w:ascii="Arial" w:hAnsi="Arial"/>
          <w:b/>
          <w:sz w:val="22"/>
          <w:szCs w:val="22"/>
        </w:rPr>
      </w:pPr>
    </w:p>
    <w:p w:rsidR="00826F6D" w:rsidRPr="00826F6D" w:rsidRDefault="00EF44A0" w:rsidP="005A46BF">
      <w:pPr>
        <w:pStyle w:val="ListParagraph"/>
        <w:numPr>
          <w:ilvl w:val="1"/>
          <w:numId w:val="1"/>
        </w:numPr>
        <w:jc w:val="both"/>
        <w:rPr>
          <w:rFonts w:ascii="Arial" w:hAnsi="Arial"/>
          <w:sz w:val="22"/>
          <w:szCs w:val="22"/>
        </w:rPr>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the following </w:t>
      </w:r>
      <w:r w:rsidR="0076420C">
        <w:rPr>
          <w:rFonts w:ascii="Arial" w:hAnsi="Arial"/>
          <w:sz w:val="22"/>
          <w:szCs w:val="22"/>
        </w:rPr>
        <w:t xml:space="preserve">new </w:t>
      </w:r>
      <w:r w:rsidR="00D54AFF">
        <w:rPr>
          <w:rFonts w:ascii="Arial" w:hAnsi="Arial"/>
          <w:sz w:val="22"/>
          <w:szCs w:val="22"/>
        </w:rPr>
        <w:t>listings</w:t>
      </w:r>
      <w:r w:rsidR="00446653">
        <w:rPr>
          <w:rFonts w:ascii="Arial" w:hAnsi="Arial"/>
          <w:sz w:val="22"/>
          <w:szCs w:val="22"/>
        </w:rPr>
        <w:t>. The proposed ex-manufacturer price ($</w:t>
      </w:r>
      <w:r w:rsidR="001A0E97">
        <w:rPr>
          <w:rFonts w:ascii="Arial" w:hAnsi="Arial"/>
          <w:noProof/>
          <w:color w:val="000000"/>
          <w:sz w:val="22"/>
          <w:szCs w:val="22"/>
          <w:highlight w:val="black"/>
        </w:rPr>
        <w:t>'''''''''''''''</w:t>
      </w:r>
      <w:r w:rsidR="00446653">
        <w:rPr>
          <w:rFonts w:ascii="Arial" w:hAnsi="Arial"/>
          <w:sz w:val="22"/>
          <w:szCs w:val="22"/>
        </w:rPr>
        <w:t>) is unchanged from the previous submissions</w:t>
      </w:r>
      <w:r w:rsidR="00826F6D">
        <w:rPr>
          <w:rFonts w:ascii="Arial" w:hAnsi="Arial"/>
          <w:sz w:val="22"/>
          <w:szCs w:val="22"/>
        </w:rPr>
        <w:t>:</w:t>
      </w:r>
      <w:r>
        <w:rPr>
          <w:rFonts w:ascii="Arial" w:hAnsi="Arial"/>
          <w:sz w:val="22"/>
          <w:szCs w:val="22"/>
        </w:rPr>
        <w:t xml:space="preserve"> </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Caption w:val="Requested listing 1"/>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446653" w:rsidRDefault="00446653" w:rsidP="00446653">
            <w:pPr>
              <w:keepNext/>
              <w:ind w:left="-108"/>
              <w:rPr>
                <w:rFonts w:ascii="Arial Narrow" w:hAnsi="Arial Narrow"/>
                <w:smallCaps/>
                <w:sz w:val="20"/>
              </w:rPr>
            </w:pPr>
            <w:r>
              <w:rPr>
                <w:rFonts w:ascii="Arial Narrow" w:hAnsi="Arial Narrow"/>
                <w:smallCaps/>
                <w:sz w:val="20"/>
              </w:rPr>
              <w:t>General Schedule</w:t>
            </w:r>
          </w:p>
          <w:p w:rsidR="00446653" w:rsidRPr="00260CE3" w:rsidRDefault="00446653" w:rsidP="00446653">
            <w:pPr>
              <w:keepNext/>
              <w:ind w:left="-108"/>
              <w:rPr>
                <w:rFonts w:ascii="Arial Narrow" w:hAnsi="Arial Narrow"/>
                <w:sz w:val="20"/>
              </w:rPr>
            </w:pPr>
            <w:r>
              <w:rPr>
                <w:rFonts w:ascii="Arial Narrow" w:hAnsi="Arial Narrow"/>
                <w:smallCaps/>
                <w:sz w:val="20"/>
              </w:rPr>
              <w:t>NETUPITANT with PALONOSETRON</w:t>
            </w:r>
          </w:p>
          <w:p w:rsidR="00446653" w:rsidRDefault="00446653" w:rsidP="00446653">
            <w:pPr>
              <w:keepNext/>
              <w:ind w:left="-108"/>
              <w:rPr>
                <w:rFonts w:ascii="Arial Narrow" w:hAnsi="Arial Narrow"/>
                <w:sz w:val="20"/>
              </w:rPr>
            </w:pPr>
            <w:r>
              <w:rPr>
                <w:rFonts w:ascii="Arial Narrow" w:hAnsi="Arial Narrow"/>
                <w:sz w:val="20"/>
              </w:rPr>
              <w:t>Capsule 300 mg + 0.5 mg, 1</w:t>
            </w:r>
          </w:p>
          <w:p w:rsidR="00446653" w:rsidRDefault="00446653" w:rsidP="00446653">
            <w:pPr>
              <w:keepNext/>
              <w:ind w:left="-108"/>
              <w:rPr>
                <w:rFonts w:ascii="Arial Narrow" w:hAnsi="Arial Narrow"/>
                <w:sz w:val="20"/>
              </w:rPr>
            </w:pPr>
            <w:r>
              <w:rPr>
                <w:rFonts w:ascii="Arial Narrow" w:hAnsi="Arial Narrow"/>
                <w:sz w:val="20"/>
              </w:rPr>
              <w:t>S</w:t>
            </w:r>
            <w:r w:rsidRPr="00F76C4E">
              <w:rPr>
                <w:rFonts w:ascii="Arial Narrow" w:hAnsi="Arial Narrow"/>
                <w:sz w:val="18"/>
              </w:rPr>
              <w:t>ECTION</w:t>
            </w:r>
            <w:r>
              <w:rPr>
                <w:rFonts w:ascii="Arial Narrow" w:hAnsi="Arial Narrow"/>
                <w:sz w:val="20"/>
              </w:rPr>
              <w:t xml:space="preserve"> 100 (C</w:t>
            </w:r>
            <w:r w:rsidRPr="00F76C4E">
              <w:rPr>
                <w:rFonts w:ascii="Arial Narrow" w:hAnsi="Arial Narrow"/>
                <w:sz w:val="18"/>
              </w:rPr>
              <w:t>HEMOTHERAPY</w:t>
            </w:r>
            <w:r>
              <w:rPr>
                <w:rFonts w:ascii="Arial Narrow" w:hAnsi="Arial Narrow"/>
                <w:sz w:val="20"/>
              </w:rPr>
              <w:t>)</w:t>
            </w:r>
          </w:p>
          <w:p w:rsidR="00446653" w:rsidRDefault="00446653" w:rsidP="00446653">
            <w:pPr>
              <w:keepNext/>
              <w:ind w:left="-108"/>
              <w:rPr>
                <w:rFonts w:ascii="Arial Narrow" w:hAnsi="Arial Narrow"/>
                <w:sz w:val="20"/>
              </w:rPr>
            </w:pPr>
            <w:r>
              <w:rPr>
                <w:rFonts w:ascii="Arial Narrow" w:hAnsi="Arial Narrow"/>
                <w:sz w:val="20"/>
              </w:rPr>
              <w:t xml:space="preserve">NETUPITANT </w:t>
            </w:r>
            <w:r w:rsidRPr="00F76C4E">
              <w:rPr>
                <w:rFonts w:ascii="Arial Narrow" w:hAnsi="Arial Narrow"/>
                <w:sz w:val="16"/>
                <w:szCs w:val="16"/>
              </w:rPr>
              <w:t>WITH</w:t>
            </w:r>
            <w:r>
              <w:rPr>
                <w:rFonts w:ascii="Arial Narrow" w:hAnsi="Arial Narrow"/>
                <w:sz w:val="20"/>
              </w:rPr>
              <w:t xml:space="preserve"> PALONOSETRON</w:t>
            </w:r>
          </w:p>
          <w:p w:rsidR="00826F6D" w:rsidRPr="00260CE3" w:rsidRDefault="00446653" w:rsidP="00446653">
            <w:pPr>
              <w:keepNext/>
              <w:ind w:left="-108"/>
              <w:jc w:val="both"/>
              <w:rPr>
                <w:rFonts w:ascii="Arial Narrow" w:hAnsi="Arial Narrow" w:cs="Arial"/>
                <w:sz w:val="20"/>
                <w:szCs w:val="20"/>
              </w:rPr>
            </w:pPr>
            <w:r>
              <w:rPr>
                <w:rFonts w:ascii="Arial Narrow" w:hAnsi="Arial Narrow"/>
                <w:sz w:val="20"/>
              </w:rPr>
              <w:t>Capsule 300 mg + 0.5 mg, 1</w:t>
            </w:r>
          </w:p>
        </w:tc>
        <w:tc>
          <w:tcPr>
            <w:tcW w:w="850" w:type="dxa"/>
          </w:tcPr>
          <w:p w:rsidR="00826F6D" w:rsidRDefault="00826F6D" w:rsidP="00C27B58">
            <w:pPr>
              <w:keepNext/>
              <w:ind w:left="-108"/>
              <w:jc w:val="both"/>
              <w:rPr>
                <w:rFonts w:ascii="Arial Narrow" w:hAnsi="Arial Narrow" w:cs="Arial"/>
                <w:sz w:val="20"/>
                <w:szCs w:val="20"/>
              </w:rPr>
            </w:pPr>
          </w:p>
          <w:p w:rsidR="00E5736C" w:rsidRDefault="00E5736C" w:rsidP="00C27B58">
            <w:pPr>
              <w:keepNext/>
              <w:ind w:left="-108"/>
              <w:jc w:val="both"/>
              <w:rPr>
                <w:rFonts w:ascii="Arial Narrow" w:hAnsi="Arial Narrow" w:cs="Arial"/>
                <w:sz w:val="20"/>
                <w:szCs w:val="20"/>
              </w:rPr>
            </w:pPr>
            <w:r>
              <w:rPr>
                <w:rFonts w:ascii="Arial Narrow" w:hAnsi="Arial Narrow" w:cs="Arial"/>
                <w:sz w:val="20"/>
                <w:szCs w:val="20"/>
              </w:rPr>
              <w:t>1</w:t>
            </w:r>
          </w:p>
          <w:p w:rsidR="00446653" w:rsidRDefault="00446653" w:rsidP="00C27B58">
            <w:pPr>
              <w:keepNext/>
              <w:ind w:left="-108"/>
              <w:jc w:val="both"/>
              <w:rPr>
                <w:rFonts w:ascii="Arial Narrow" w:hAnsi="Arial Narrow" w:cs="Arial"/>
                <w:sz w:val="20"/>
                <w:szCs w:val="20"/>
              </w:rPr>
            </w:pPr>
          </w:p>
          <w:p w:rsidR="00446653" w:rsidRDefault="00446653" w:rsidP="00C27B58">
            <w:pPr>
              <w:keepNext/>
              <w:ind w:left="-108"/>
              <w:jc w:val="both"/>
              <w:rPr>
                <w:rFonts w:ascii="Arial Narrow" w:hAnsi="Arial Narrow" w:cs="Arial"/>
                <w:sz w:val="20"/>
                <w:szCs w:val="20"/>
              </w:rPr>
            </w:pPr>
          </w:p>
          <w:p w:rsidR="00446653" w:rsidRPr="00260CE3" w:rsidRDefault="00446653" w:rsidP="00C27B58">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E5736C" w:rsidRDefault="00E5736C" w:rsidP="00C27B58">
            <w:pPr>
              <w:keepNext/>
              <w:ind w:left="-108"/>
              <w:jc w:val="both"/>
              <w:rPr>
                <w:rFonts w:ascii="Arial Narrow" w:hAnsi="Arial Narrow" w:cs="Arial"/>
                <w:sz w:val="20"/>
                <w:szCs w:val="20"/>
              </w:rPr>
            </w:pPr>
          </w:p>
          <w:p w:rsidR="00826F6D" w:rsidRDefault="00E5736C" w:rsidP="00C27B58">
            <w:pPr>
              <w:keepNext/>
              <w:ind w:left="-108"/>
              <w:jc w:val="both"/>
              <w:rPr>
                <w:rFonts w:ascii="Arial Narrow" w:hAnsi="Arial Narrow" w:cs="Arial"/>
                <w:sz w:val="20"/>
                <w:szCs w:val="20"/>
              </w:rPr>
            </w:pPr>
            <w:r>
              <w:rPr>
                <w:rFonts w:ascii="Arial Narrow" w:hAnsi="Arial Narrow" w:cs="Arial"/>
                <w:sz w:val="20"/>
                <w:szCs w:val="20"/>
              </w:rPr>
              <w:t>5</w:t>
            </w:r>
          </w:p>
          <w:p w:rsidR="00446653" w:rsidRDefault="00446653" w:rsidP="00C27B58">
            <w:pPr>
              <w:keepNext/>
              <w:ind w:left="-108"/>
              <w:jc w:val="both"/>
              <w:rPr>
                <w:rFonts w:ascii="Arial Narrow" w:hAnsi="Arial Narrow" w:cs="Arial"/>
                <w:sz w:val="20"/>
                <w:szCs w:val="20"/>
              </w:rPr>
            </w:pPr>
          </w:p>
          <w:p w:rsidR="00446653" w:rsidRDefault="00446653" w:rsidP="00C27B58">
            <w:pPr>
              <w:keepNext/>
              <w:ind w:left="-108"/>
              <w:jc w:val="both"/>
              <w:rPr>
                <w:rFonts w:ascii="Arial Narrow" w:hAnsi="Arial Narrow" w:cs="Arial"/>
                <w:sz w:val="20"/>
                <w:szCs w:val="20"/>
              </w:rPr>
            </w:pPr>
          </w:p>
          <w:p w:rsidR="00446653" w:rsidRPr="00260CE3" w:rsidRDefault="00446653"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1A0E97" w:rsidRDefault="00826F6D" w:rsidP="00C27B58">
            <w:pPr>
              <w:keepNext/>
              <w:ind w:left="-108"/>
              <w:jc w:val="both"/>
              <w:rPr>
                <w:rFonts w:ascii="Arial Narrow" w:hAnsi="Arial Narrow" w:cs="Arial"/>
                <w:sz w:val="20"/>
                <w:szCs w:val="20"/>
              </w:rPr>
            </w:pPr>
            <w:r w:rsidRPr="00260CE3">
              <w:rPr>
                <w:rFonts w:ascii="Arial Narrow" w:hAnsi="Arial Narrow" w:cs="Arial"/>
                <w:sz w:val="20"/>
                <w:szCs w:val="20"/>
              </w:rPr>
              <w:t>$</w:t>
            </w:r>
            <w:r w:rsidR="001A0E97">
              <w:rPr>
                <w:rFonts w:ascii="Arial Narrow" w:hAnsi="Arial Narrow" w:cs="Arial"/>
                <w:noProof/>
                <w:color w:val="000000"/>
                <w:sz w:val="20"/>
                <w:szCs w:val="20"/>
                <w:highlight w:val="black"/>
              </w:rPr>
              <w:t>''''''''''''''''</w:t>
            </w:r>
          </w:p>
          <w:p w:rsidR="00E5736C" w:rsidRDefault="00E5736C" w:rsidP="00C27B58">
            <w:pPr>
              <w:keepNext/>
              <w:ind w:left="-108"/>
              <w:jc w:val="both"/>
              <w:rPr>
                <w:rFonts w:ascii="Arial Narrow" w:hAnsi="Arial Narrow" w:cs="Arial"/>
                <w:sz w:val="20"/>
                <w:szCs w:val="20"/>
              </w:rPr>
            </w:pPr>
          </w:p>
          <w:p w:rsidR="00446653" w:rsidRDefault="00446653" w:rsidP="00C27B58">
            <w:pPr>
              <w:keepNext/>
              <w:ind w:left="-108"/>
              <w:jc w:val="both"/>
              <w:rPr>
                <w:rFonts w:ascii="Arial Narrow" w:hAnsi="Arial Narrow" w:cs="Arial"/>
                <w:sz w:val="20"/>
                <w:szCs w:val="20"/>
              </w:rPr>
            </w:pPr>
          </w:p>
          <w:p w:rsidR="00E5736C" w:rsidRPr="00260CE3" w:rsidRDefault="00E5736C" w:rsidP="00C27B58">
            <w:pPr>
              <w:keepNext/>
              <w:ind w:left="-108"/>
              <w:jc w:val="both"/>
              <w:rPr>
                <w:rFonts w:ascii="Arial Narrow" w:hAnsi="Arial Narrow" w:cs="Arial"/>
                <w:sz w:val="20"/>
                <w:szCs w:val="20"/>
              </w:rPr>
            </w:pPr>
            <w:r>
              <w:rPr>
                <w:rFonts w:ascii="Arial Narrow" w:hAnsi="Arial Narrow" w:cs="Arial"/>
                <w:sz w:val="20"/>
                <w:szCs w:val="20"/>
              </w:rPr>
              <w:t>$</w:t>
            </w:r>
            <w:r w:rsidR="001A0E97">
              <w:rPr>
                <w:rFonts w:ascii="Arial Narrow" w:hAnsi="Arial Narrow" w:cs="Arial"/>
                <w:noProof/>
                <w:color w:val="000000"/>
                <w:sz w:val="20"/>
                <w:szCs w:val="20"/>
                <w:highlight w:val="black"/>
              </w:rPr>
              <w:t>'''''''''''''''''</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E5736C" w:rsidP="00E5736C">
            <w:pPr>
              <w:keepNext/>
              <w:jc w:val="both"/>
              <w:rPr>
                <w:rFonts w:ascii="Arial Narrow" w:hAnsi="Arial Narrow" w:cs="Arial"/>
                <w:sz w:val="20"/>
                <w:szCs w:val="20"/>
              </w:rPr>
            </w:pPr>
            <w:r>
              <w:rPr>
                <w:rFonts w:ascii="Arial Narrow" w:hAnsi="Arial Narrow" w:cs="Arial"/>
                <w:sz w:val="20"/>
                <w:szCs w:val="20"/>
              </w:rPr>
              <w:t>Akynzeo</w:t>
            </w:r>
            <w:r w:rsidR="00446653" w:rsidRPr="00E90C0E">
              <w:rPr>
                <w:rFonts w:ascii="Arial Narrow" w:hAnsi="Arial Narrow"/>
                <w:sz w:val="20"/>
                <w:vertAlign w:val="superscript"/>
              </w:rPr>
              <w:t>®</w:t>
            </w:r>
          </w:p>
        </w:tc>
        <w:tc>
          <w:tcPr>
            <w:tcW w:w="1134" w:type="dxa"/>
          </w:tcPr>
          <w:p w:rsidR="00826F6D" w:rsidRDefault="00826F6D" w:rsidP="00C27B58">
            <w:pPr>
              <w:keepNext/>
              <w:jc w:val="both"/>
              <w:rPr>
                <w:rFonts w:ascii="Arial Narrow" w:hAnsi="Arial Narrow" w:cs="Arial"/>
                <w:sz w:val="20"/>
                <w:szCs w:val="20"/>
              </w:rPr>
            </w:pPr>
          </w:p>
          <w:p w:rsidR="00E5736C" w:rsidRPr="00260CE3" w:rsidRDefault="00E5736C" w:rsidP="00C27B58">
            <w:pPr>
              <w:keepNext/>
              <w:jc w:val="both"/>
              <w:rPr>
                <w:rFonts w:ascii="Arial Narrow" w:hAnsi="Arial Narrow" w:cs="Arial"/>
                <w:sz w:val="20"/>
                <w:szCs w:val="20"/>
              </w:rPr>
            </w:pPr>
            <w:r>
              <w:rPr>
                <w:rFonts w:ascii="Arial Narrow" w:hAnsi="Arial Narrow" w:cs="Arial"/>
                <w:sz w:val="20"/>
                <w:szCs w:val="20"/>
              </w:rPr>
              <w:t>STA</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r w:rsidR="00AF41C5">
              <w:rPr>
                <w:rFonts w:ascii="Arial Narrow" w:hAnsi="Arial Narrow" w:cs="Arial"/>
                <w:sz w:val="20"/>
                <w:szCs w:val="20"/>
              </w:rPr>
              <w:t>*</w:t>
            </w:r>
          </w:p>
          <w:p w:rsidR="00826F6D" w:rsidRPr="00260CE3" w:rsidRDefault="00826F6D" w:rsidP="00446653">
            <w:pPr>
              <w:rPr>
                <w:rFonts w:ascii="Arial Narrow" w:hAnsi="Arial Narrow" w:cs="Arial"/>
                <w:sz w:val="20"/>
                <w:szCs w:val="20"/>
              </w:rPr>
            </w:pPr>
            <w:r w:rsidRPr="00260CE3">
              <w:rPr>
                <w:rFonts w:ascii="Arial Narrow" w:hAnsi="Arial Narrow" w:cs="Arial"/>
                <w:sz w:val="20"/>
                <w:szCs w:val="20"/>
              </w:rPr>
              <w:t xml:space="preserve">Section 100 – </w:t>
            </w:r>
            <w:r w:rsidR="00446653">
              <w:rPr>
                <w:rFonts w:ascii="Arial Narrow" w:hAnsi="Arial Narrow" w:cs="Arial"/>
                <w:sz w:val="20"/>
                <w:szCs w:val="20"/>
              </w:rPr>
              <w:t>Chemotherapy related benefits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AF41C5">
              <w:rPr>
                <w:rFonts w:ascii="Arial Narrow" w:hAnsi="Arial Narrow" w:cs="Arial"/>
                <w:sz w:val="20"/>
                <w:szCs w:val="20"/>
              </w:rPr>
              <w:fldChar w:fldCharType="begin">
                <w:ffData>
                  <w:name w:val=""/>
                  <w:enabled/>
                  <w:calcOnExit w:val="0"/>
                  <w:checkBox>
                    <w:sizeAuto/>
                    <w:default w:val="1"/>
                  </w:checkBox>
                </w:ffData>
              </w:fldChar>
            </w:r>
            <w:r w:rsidR="00AF41C5">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00AF41C5">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AF41C5">
              <w:rPr>
                <w:rFonts w:ascii="Arial Narrow" w:hAnsi="Arial Narrow" w:cs="Arial"/>
                <w:sz w:val="20"/>
                <w:szCs w:val="20"/>
              </w:rPr>
              <w:fldChar w:fldCharType="begin">
                <w:ffData>
                  <w:name w:val="Check3"/>
                  <w:enabled/>
                  <w:calcOnExit w:val="0"/>
                  <w:checkBox>
                    <w:sizeAuto/>
                    <w:default w:val="1"/>
                  </w:checkBox>
                </w:ffData>
              </w:fldChar>
            </w:r>
            <w:bookmarkStart w:id="0" w:name="Check3"/>
            <w:r w:rsidR="00AF41C5">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00AF41C5">
              <w:rPr>
                <w:rFonts w:ascii="Arial Narrow" w:hAnsi="Arial Narrow" w:cs="Arial"/>
                <w:sz w:val="20"/>
                <w:szCs w:val="20"/>
              </w:rPr>
              <w:fldChar w:fldCharType="end"/>
            </w:r>
            <w:bookmarkEnd w:id="0"/>
            <w:r w:rsidRPr="00260CE3">
              <w:rPr>
                <w:rFonts w:ascii="Arial Narrow" w:hAnsi="Arial Narrow" w:cs="Arial"/>
                <w:sz w:val="20"/>
                <w:szCs w:val="20"/>
              </w:rPr>
              <w:t>Nurse practitioners</w:t>
            </w:r>
            <w:r w:rsidR="00AF41C5">
              <w:rPr>
                <w:rFonts w:ascii="Arial Narrow" w:hAnsi="Arial Narrow" w:cs="Arial"/>
                <w:sz w:val="20"/>
                <w:szCs w:val="20"/>
              </w:rPr>
              <w:t>*</w:t>
            </w:r>
            <w:r w:rsidRPr="00260CE3">
              <w:rPr>
                <w:rFonts w:ascii="Arial Narrow" w:hAnsi="Arial Narrow" w:cs="Arial"/>
                <w:sz w:val="20"/>
                <w:szCs w:val="20"/>
              </w:rPr>
              <w:t xml:space="preserve">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54AFF"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260CE3" w:rsidRDefault="00D54AFF"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D54AFF" w:rsidRPr="00407DB2" w:rsidRDefault="00D54AFF" w:rsidP="00D54AFF">
            <w:pPr>
              <w:keepNext/>
              <w:rPr>
                <w:rFonts w:ascii="Arial Narrow" w:hAnsi="Arial Narrow"/>
                <w:sz w:val="20"/>
              </w:rPr>
            </w:pPr>
            <w:r w:rsidRPr="00407DB2">
              <w:rPr>
                <w:rFonts w:ascii="Arial Narrow" w:hAnsi="Arial Narrow"/>
                <w:sz w:val="20"/>
              </w:rPr>
              <w:t>Nausea and vomiting</w:t>
            </w:r>
          </w:p>
        </w:tc>
      </w:tr>
      <w:tr w:rsidR="00D54AFF"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260CE3" w:rsidRDefault="00D54AFF"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D54AFF" w:rsidRPr="00407DB2" w:rsidRDefault="00D54AFF" w:rsidP="00D54AFF">
            <w:pPr>
              <w:keepNext/>
              <w:rPr>
                <w:rFonts w:ascii="Arial Narrow" w:hAnsi="Arial Narrow"/>
                <w:sz w:val="20"/>
              </w:rPr>
            </w:pPr>
            <w:r w:rsidRPr="00407DB2">
              <w:rPr>
                <w:rFonts w:ascii="Arial Narrow" w:hAnsi="Arial Narrow"/>
                <w:sz w:val="20"/>
              </w:rPr>
              <w:t>Nausea and vomiting</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AF41C5"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54AFF" w:rsidRDefault="00826F6D" w:rsidP="00D54AFF">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D54AFF" w:rsidRPr="00407DB2" w:rsidRDefault="00D54AFF" w:rsidP="00D54AFF">
            <w:pPr>
              <w:pStyle w:val="Default"/>
              <w:keepNext/>
              <w:rPr>
                <w:rFonts w:ascii="Arial Narrow" w:hAnsi="Arial Narrow"/>
                <w:sz w:val="20"/>
                <w:szCs w:val="20"/>
              </w:rPr>
            </w:pPr>
            <w:r w:rsidRPr="00407DB2">
              <w:rPr>
                <w:rFonts w:ascii="Arial Narrow" w:hAnsi="Arial Narrow"/>
                <w:sz w:val="20"/>
                <w:szCs w:val="20"/>
              </w:rPr>
              <w:t>The condition must be associated with cytotoxic chemotherapy being used to treat malignancy;</w:t>
            </w:r>
          </w:p>
          <w:p w:rsidR="00D54AFF" w:rsidRPr="00407DB2" w:rsidRDefault="00D54AFF" w:rsidP="00D54AFF">
            <w:pPr>
              <w:pStyle w:val="Default"/>
              <w:keepNext/>
              <w:rPr>
                <w:rFonts w:ascii="Arial Narrow" w:hAnsi="Arial Narrow"/>
                <w:b/>
                <w:bCs/>
                <w:sz w:val="20"/>
                <w:szCs w:val="20"/>
              </w:rPr>
            </w:pPr>
            <w:r w:rsidRPr="00407DB2">
              <w:rPr>
                <w:rFonts w:ascii="Arial Narrow" w:hAnsi="Arial Narrow"/>
                <w:b/>
                <w:bCs/>
                <w:sz w:val="20"/>
                <w:szCs w:val="20"/>
              </w:rPr>
              <w:t xml:space="preserve">AND </w:t>
            </w:r>
          </w:p>
          <w:p w:rsidR="00D54AFF" w:rsidRPr="00407DB2" w:rsidRDefault="00D54AFF" w:rsidP="00D54AFF">
            <w:pPr>
              <w:pStyle w:val="Default"/>
              <w:keepNext/>
              <w:rPr>
                <w:rFonts w:ascii="Arial Narrow" w:hAnsi="Arial Narrow"/>
                <w:sz w:val="20"/>
                <w:szCs w:val="20"/>
              </w:rPr>
            </w:pPr>
            <w:r w:rsidRPr="00407DB2">
              <w:rPr>
                <w:rFonts w:ascii="Arial Narrow" w:hAnsi="Arial Narrow"/>
                <w:sz w:val="20"/>
                <w:szCs w:val="20"/>
              </w:rPr>
              <w:t>The treatment must be in combination with dexamethasone;</w:t>
            </w:r>
          </w:p>
          <w:p w:rsidR="00D54AFF" w:rsidRPr="00407DB2" w:rsidRDefault="00D54AFF" w:rsidP="00D54AFF">
            <w:pPr>
              <w:pStyle w:val="Default"/>
              <w:keepNext/>
              <w:rPr>
                <w:rFonts w:ascii="Arial Narrow" w:hAnsi="Arial Narrow"/>
                <w:b/>
                <w:bCs/>
                <w:sz w:val="20"/>
                <w:szCs w:val="20"/>
              </w:rPr>
            </w:pPr>
            <w:r w:rsidRPr="00407DB2">
              <w:rPr>
                <w:rFonts w:ascii="Arial Narrow" w:hAnsi="Arial Narrow"/>
                <w:b/>
                <w:bCs/>
                <w:sz w:val="20"/>
                <w:szCs w:val="20"/>
              </w:rPr>
              <w:t xml:space="preserve">AND </w:t>
            </w:r>
          </w:p>
          <w:p w:rsidR="00826F6D" w:rsidRPr="00260CE3" w:rsidRDefault="00D54AFF" w:rsidP="00D54AFF">
            <w:pPr>
              <w:rPr>
                <w:rFonts w:ascii="Arial Narrow" w:hAnsi="Arial Narrow" w:cs="Arial"/>
                <w:sz w:val="20"/>
                <w:szCs w:val="20"/>
              </w:rPr>
            </w:pPr>
            <w:r w:rsidRPr="00407DB2">
              <w:rPr>
                <w:rFonts w:ascii="Arial Narrow" w:hAnsi="Arial Narrow"/>
                <w:sz w:val="20"/>
                <w:szCs w:val="20"/>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tc>
      </w:tr>
      <w:tr w:rsidR="00D54AFF"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D54AFF" w:rsidRDefault="00D54AFF" w:rsidP="00D54AFF">
            <w:pPr>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D54AFF" w:rsidRPr="00407DB2" w:rsidRDefault="00D54AFF" w:rsidP="00D54AFF">
            <w:pPr>
              <w:pStyle w:val="Default"/>
              <w:keepNext/>
              <w:rPr>
                <w:rFonts w:ascii="Arial Narrow" w:hAnsi="Arial Narrow"/>
                <w:sz w:val="20"/>
              </w:rPr>
            </w:pPr>
            <w:r w:rsidRPr="00407DB2">
              <w:rPr>
                <w:rFonts w:ascii="Arial Narrow" w:hAnsi="Arial Narrow"/>
                <w:sz w:val="20"/>
                <w:szCs w:val="20"/>
              </w:rPr>
              <w:t>No more than 1 capsule of 300</w:t>
            </w:r>
            <w:r>
              <w:rPr>
                <w:rFonts w:ascii="Arial Narrow" w:hAnsi="Arial Narrow"/>
                <w:sz w:val="20"/>
                <w:szCs w:val="20"/>
              </w:rPr>
              <w:t xml:space="preserve"> </w:t>
            </w:r>
            <w:r w:rsidRPr="00407DB2">
              <w:rPr>
                <w:rFonts w:ascii="Arial Narrow" w:hAnsi="Arial Narrow"/>
                <w:sz w:val="20"/>
                <w:szCs w:val="20"/>
              </w:rPr>
              <w:t>mg netupitant/0.5</w:t>
            </w:r>
            <w:r>
              <w:rPr>
                <w:rFonts w:ascii="Arial Narrow" w:hAnsi="Arial Narrow"/>
                <w:sz w:val="20"/>
                <w:szCs w:val="20"/>
              </w:rPr>
              <w:t xml:space="preserve"> </w:t>
            </w:r>
            <w:r w:rsidRPr="00407DB2">
              <w:rPr>
                <w:rFonts w:ascii="Arial Narrow" w:hAnsi="Arial Narrow"/>
                <w:sz w:val="20"/>
                <w:szCs w:val="20"/>
              </w:rPr>
              <w:t>mg palonosetron fixed dose combination will be authorised per cycle of cytotoxic chemotherapy.</w:t>
            </w:r>
          </w:p>
        </w:tc>
      </w:tr>
      <w:tr w:rsidR="00D54AFF"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D54AFF" w:rsidRDefault="00D54AFF" w:rsidP="00D54AFF">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D54AFF" w:rsidRPr="00D54AFF" w:rsidRDefault="00D54AFF" w:rsidP="00D54AFF">
            <w:pPr>
              <w:rPr>
                <w:rFonts w:ascii="Arial Narrow" w:hAnsi="Arial Narrow"/>
                <w:sz w:val="20"/>
              </w:rPr>
            </w:pPr>
            <w:r w:rsidRPr="00D54AFF">
              <w:rPr>
                <w:rFonts w:ascii="Arial Narrow" w:hAnsi="Arial Narrow"/>
                <w:sz w:val="20"/>
              </w:rPr>
              <w:t xml:space="preserve">No increase in the maximum quantity or number of units may be authorised. </w:t>
            </w:r>
          </w:p>
          <w:p w:rsidR="00D54AFF" w:rsidRPr="00D54AFF" w:rsidRDefault="00D54AFF" w:rsidP="00D54AFF">
            <w:pPr>
              <w:rPr>
                <w:rFonts w:ascii="Arial Narrow" w:hAnsi="Arial Narrow"/>
                <w:sz w:val="20"/>
              </w:rPr>
            </w:pPr>
            <w:r w:rsidRPr="00D54AFF">
              <w:rPr>
                <w:rFonts w:ascii="Arial Narrow" w:hAnsi="Arial Narrow"/>
                <w:sz w:val="20"/>
              </w:rPr>
              <w:t xml:space="preserve">No Increase in the maximum number of repeats may be authorised. </w:t>
            </w:r>
          </w:p>
          <w:p w:rsidR="00D54AFF" w:rsidRPr="00260CE3" w:rsidRDefault="00D54AFF" w:rsidP="00D54AFF">
            <w:pPr>
              <w:rPr>
                <w:rFonts w:ascii="Arial Narrow" w:hAnsi="Arial Narrow" w:cs="Arial"/>
                <w:sz w:val="20"/>
                <w:szCs w:val="20"/>
              </w:rPr>
            </w:pPr>
            <w:r w:rsidRPr="00D54AFF">
              <w:rPr>
                <w:rFonts w:ascii="Arial Narrow" w:hAnsi="Arial Narrow"/>
                <w:sz w:val="20"/>
              </w:rPr>
              <w:t>This medicine is not PBS-subsidised for nausea and vomiting associated with radiotherapy being used to treat malignancy.</w:t>
            </w:r>
          </w:p>
        </w:tc>
      </w:tr>
    </w:tbl>
    <w:p w:rsidR="00826F6D" w:rsidRDefault="00826F6D" w:rsidP="00826F6D">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Caption w:val="Requested listing 2"/>
      </w:tblPr>
      <w:tblGrid>
        <w:gridCol w:w="1985"/>
        <w:gridCol w:w="6378"/>
      </w:tblGrid>
      <w:tr w:rsidR="00D54AFF" w:rsidRPr="00260CE3"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260CE3" w:rsidRDefault="00D54AFF" w:rsidP="00D54AFF">
            <w:pPr>
              <w:jc w:val="both"/>
              <w:rPr>
                <w:rFonts w:ascii="Arial Narrow" w:hAnsi="Arial Narrow" w:cs="Arial"/>
                <w:b/>
                <w:sz w:val="20"/>
                <w:szCs w:val="20"/>
              </w:rPr>
            </w:pPr>
            <w:r w:rsidRPr="00260CE3">
              <w:rPr>
                <w:rFonts w:ascii="Arial Narrow" w:hAnsi="Arial Narrow" w:cs="Arial"/>
                <w:b/>
                <w:sz w:val="20"/>
                <w:szCs w:val="20"/>
              </w:rPr>
              <w:t xml:space="preserve">Category / </w:t>
            </w:r>
          </w:p>
          <w:p w:rsidR="00D54AFF" w:rsidRPr="00260CE3" w:rsidRDefault="00D54AFF" w:rsidP="00D54AFF">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tcPr>
          <w:p w:rsidR="00D54AFF" w:rsidRPr="00260CE3" w:rsidRDefault="00D54AFF" w:rsidP="00D54AFF">
            <w:pPr>
              <w:rPr>
                <w:rFonts w:ascii="Arial Narrow" w:hAnsi="Arial Narrow" w:cs="Arial"/>
                <w:sz w:val="20"/>
                <w:szCs w:val="20"/>
              </w:rPr>
            </w:pPr>
            <w:r w:rsidRPr="00260CE3">
              <w:rPr>
                <w:rFonts w:ascii="Arial Narrow" w:hAnsi="Arial Narrow" w:cs="Arial"/>
                <w:sz w:val="20"/>
                <w:szCs w:val="20"/>
              </w:rPr>
              <w:t>GENERAL – General Schedule (Code GE)</w:t>
            </w:r>
            <w:r w:rsidR="00AF41C5">
              <w:rPr>
                <w:rFonts w:ascii="Arial Narrow" w:hAnsi="Arial Narrow" w:cs="Arial"/>
                <w:sz w:val="20"/>
                <w:szCs w:val="20"/>
              </w:rPr>
              <w:t>*</w:t>
            </w:r>
          </w:p>
          <w:p w:rsidR="00D54AFF" w:rsidRPr="00260CE3" w:rsidRDefault="00D54AFF" w:rsidP="00AF41C5">
            <w:pPr>
              <w:rPr>
                <w:rFonts w:ascii="Arial Narrow" w:hAnsi="Arial Narrow" w:cs="Arial"/>
                <w:sz w:val="20"/>
                <w:szCs w:val="20"/>
              </w:rPr>
            </w:pPr>
            <w:r w:rsidRPr="00260CE3">
              <w:rPr>
                <w:rFonts w:ascii="Arial Narrow" w:hAnsi="Arial Narrow" w:cs="Arial"/>
                <w:sz w:val="20"/>
                <w:szCs w:val="20"/>
              </w:rPr>
              <w:t xml:space="preserve">Section 100 – </w:t>
            </w:r>
            <w:r w:rsidR="00AF41C5">
              <w:rPr>
                <w:rFonts w:ascii="Arial Narrow" w:hAnsi="Arial Narrow" w:cs="Arial"/>
                <w:sz w:val="20"/>
                <w:szCs w:val="20"/>
              </w:rPr>
              <w:t>Chemotherapy related benefits</w:t>
            </w:r>
          </w:p>
        </w:tc>
      </w:tr>
      <w:tr w:rsidR="00D54AFF" w:rsidRPr="00260CE3"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260CE3" w:rsidRDefault="00D54AFF" w:rsidP="00D54AFF">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D54AFF" w:rsidRPr="00260CE3" w:rsidRDefault="00D54AFF" w:rsidP="00D54AFF">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AF41C5">
              <w:rPr>
                <w:rFonts w:ascii="Arial Narrow" w:hAnsi="Arial Narrow" w:cs="Arial"/>
                <w:sz w:val="20"/>
                <w:szCs w:val="20"/>
              </w:rPr>
              <w:fldChar w:fldCharType="begin">
                <w:ffData>
                  <w:name w:val=""/>
                  <w:enabled/>
                  <w:calcOnExit w:val="0"/>
                  <w:checkBox>
                    <w:sizeAuto/>
                    <w:default w:val="1"/>
                  </w:checkBox>
                </w:ffData>
              </w:fldChar>
            </w:r>
            <w:r w:rsidR="00AF41C5">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00AF41C5">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AF41C5">
              <w:rPr>
                <w:rFonts w:ascii="Arial Narrow" w:hAnsi="Arial Narrow" w:cs="Arial"/>
                <w:sz w:val="20"/>
                <w:szCs w:val="20"/>
              </w:rPr>
              <w:fldChar w:fldCharType="begin">
                <w:ffData>
                  <w:name w:val=""/>
                  <w:enabled/>
                  <w:calcOnExit w:val="0"/>
                  <w:checkBox>
                    <w:sizeAuto/>
                    <w:default w:val="1"/>
                  </w:checkBox>
                </w:ffData>
              </w:fldChar>
            </w:r>
            <w:r w:rsidR="00AF41C5">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00AF41C5">
              <w:rPr>
                <w:rFonts w:ascii="Arial Narrow" w:hAnsi="Arial Narrow" w:cs="Arial"/>
                <w:sz w:val="20"/>
                <w:szCs w:val="20"/>
              </w:rPr>
              <w:fldChar w:fldCharType="end"/>
            </w:r>
            <w:r w:rsidRPr="00260CE3">
              <w:rPr>
                <w:rFonts w:ascii="Arial Narrow" w:hAnsi="Arial Narrow" w:cs="Arial"/>
                <w:sz w:val="20"/>
                <w:szCs w:val="20"/>
              </w:rPr>
              <w:t>Nurse practitioners</w:t>
            </w:r>
            <w:r w:rsidR="00AF41C5">
              <w:rPr>
                <w:rFonts w:ascii="Arial Narrow" w:hAnsi="Arial Narrow" w:cs="Arial"/>
                <w:sz w:val="20"/>
                <w:szCs w:val="20"/>
              </w:rPr>
              <w:t>*</w:t>
            </w:r>
            <w:r w:rsidRPr="00260CE3">
              <w:rPr>
                <w:rFonts w:ascii="Arial Narrow" w:hAnsi="Arial Narrow" w:cs="Arial"/>
                <w:sz w:val="20"/>
                <w:szCs w:val="20"/>
              </w:rPr>
              <w:t xml:space="preserve">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D54AFF" w:rsidRPr="00260CE3" w:rsidRDefault="00D54AFF" w:rsidP="00D54AFF">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54AFF" w:rsidRPr="00407DB2"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260CE3" w:rsidRDefault="00D54AFF" w:rsidP="00D54AFF">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D54AFF" w:rsidRPr="00407DB2" w:rsidRDefault="00D54AFF" w:rsidP="00D54AFF">
            <w:pPr>
              <w:keepNext/>
              <w:rPr>
                <w:rFonts w:ascii="Arial Narrow" w:hAnsi="Arial Narrow"/>
                <w:sz w:val="20"/>
              </w:rPr>
            </w:pPr>
            <w:r w:rsidRPr="00407DB2">
              <w:rPr>
                <w:rFonts w:ascii="Arial Narrow" w:hAnsi="Arial Narrow"/>
                <w:sz w:val="20"/>
              </w:rPr>
              <w:t>Nausea and vomiting</w:t>
            </w:r>
          </w:p>
        </w:tc>
      </w:tr>
      <w:tr w:rsidR="00D54AFF" w:rsidRPr="00407DB2"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260CE3" w:rsidRDefault="00D54AFF" w:rsidP="00D54AFF">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D54AFF" w:rsidRPr="00407DB2" w:rsidRDefault="00D54AFF" w:rsidP="00D54AFF">
            <w:pPr>
              <w:keepNext/>
              <w:rPr>
                <w:rFonts w:ascii="Arial Narrow" w:hAnsi="Arial Narrow"/>
                <w:sz w:val="20"/>
              </w:rPr>
            </w:pPr>
            <w:r w:rsidRPr="00407DB2">
              <w:rPr>
                <w:rFonts w:ascii="Arial Narrow" w:hAnsi="Arial Narrow"/>
                <w:sz w:val="20"/>
              </w:rPr>
              <w:t>Nausea and vomiting</w:t>
            </w:r>
          </w:p>
        </w:tc>
      </w:tr>
      <w:tr w:rsidR="00D54AFF" w:rsidRPr="00260CE3"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260CE3" w:rsidRDefault="00D54AFF" w:rsidP="00D54AFF">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D54AFF" w:rsidRPr="00260CE3" w:rsidRDefault="00D54AFF" w:rsidP="00D54AFF">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D54AFF" w:rsidRPr="00106BCF" w:rsidRDefault="00D54AFF" w:rsidP="00D54AFF">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D54AFF" w:rsidRPr="00106BCF" w:rsidRDefault="00D54AFF" w:rsidP="00D54AFF">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D54AFF" w:rsidRPr="00106BCF" w:rsidRDefault="00D54AFF" w:rsidP="00D54AFF">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D54AFF" w:rsidRPr="00106BCF" w:rsidRDefault="00D54AFF" w:rsidP="00D54AFF">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D54AFF" w:rsidRPr="00106BCF" w:rsidRDefault="00D54AFF" w:rsidP="00D54AFF">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D54AFF" w:rsidRPr="00260CE3" w:rsidRDefault="00AF41C5" w:rsidP="00D54AF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r w:rsidR="00D54AFF" w:rsidRPr="00106BCF">
              <w:rPr>
                <w:rFonts w:ascii="Arial Narrow" w:hAnsi="Arial Narrow" w:cs="Arial"/>
                <w:sz w:val="20"/>
                <w:szCs w:val="20"/>
              </w:rPr>
              <w:t>Streamlined</w:t>
            </w:r>
          </w:p>
        </w:tc>
      </w:tr>
      <w:tr w:rsidR="00D54AFF" w:rsidRPr="00260CE3"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D54AFF" w:rsidRDefault="00D54AFF" w:rsidP="00D54AFF">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D54AFF" w:rsidRDefault="00D54AFF" w:rsidP="00D54AFF">
            <w:pPr>
              <w:pStyle w:val="Default"/>
              <w:keepNext/>
              <w:rPr>
                <w:rFonts w:ascii="Arial Narrow" w:hAnsi="Arial Narrow"/>
                <w:sz w:val="20"/>
                <w:szCs w:val="20"/>
              </w:rPr>
            </w:pPr>
            <w:r w:rsidRPr="00732412">
              <w:rPr>
                <w:rFonts w:ascii="Arial Narrow" w:hAnsi="Arial Narrow"/>
                <w:sz w:val="20"/>
                <w:szCs w:val="20"/>
              </w:rPr>
              <w:t>The condition must be associated with cytotoxic chemotherapy bei</w:t>
            </w:r>
            <w:r>
              <w:rPr>
                <w:rFonts w:ascii="Arial Narrow" w:hAnsi="Arial Narrow"/>
                <w:sz w:val="20"/>
                <w:szCs w:val="20"/>
              </w:rPr>
              <w:t>ng used to treat breast cancer;</w:t>
            </w:r>
          </w:p>
          <w:p w:rsidR="00D54AFF" w:rsidRDefault="00D54AFF" w:rsidP="00D54AFF">
            <w:pPr>
              <w:pStyle w:val="Default"/>
              <w:keepNext/>
              <w:rPr>
                <w:rFonts w:ascii="Arial Narrow" w:hAnsi="Arial Narrow"/>
                <w:b/>
                <w:bCs/>
                <w:sz w:val="20"/>
                <w:szCs w:val="20"/>
              </w:rPr>
            </w:pPr>
            <w:r w:rsidRPr="00732412">
              <w:rPr>
                <w:rFonts w:ascii="Arial Narrow" w:hAnsi="Arial Narrow"/>
                <w:b/>
                <w:bCs/>
                <w:sz w:val="20"/>
                <w:szCs w:val="20"/>
              </w:rPr>
              <w:t xml:space="preserve">AND </w:t>
            </w:r>
          </w:p>
          <w:p w:rsidR="00D54AFF" w:rsidRDefault="00D54AFF" w:rsidP="00D54AFF">
            <w:pPr>
              <w:pStyle w:val="Default"/>
              <w:keepNext/>
              <w:rPr>
                <w:rFonts w:ascii="Arial Narrow" w:hAnsi="Arial Narrow"/>
                <w:sz w:val="20"/>
                <w:szCs w:val="20"/>
              </w:rPr>
            </w:pPr>
            <w:r w:rsidRPr="00732412">
              <w:rPr>
                <w:rFonts w:ascii="Arial Narrow" w:hAnsi="Arial Narrow"/>
                <w:sz w:val="20"/>
                <w:szCs w:val="20"/>
              </w:rPr>
              <w:t xml:space="preserve">The treatment must be in </w:t>
            </w:r>
            <w:r>
              <w:rPr>
                <w:rFonts w:ascii="Arial Narrow" w:hAnsi="Arial Narrow"/>
                <w:sz w:val="20"/>
                <w:szCs w:val="20"/>
              </w:rPr>
              <w:t>combination with dexamethasone;</w:t>
            </w:r>
          </w:p>
          <w:p w:rsidR="00D54AFF" w:rsidRDefault="00D54AFF" w:rsidP="00D54AFF">
            <w:pPr>
              <w:pStyle w:val="Default"/>
              <w:keepNext/>
              <w:rPr>
                <w:rFonts w:ascii="Arial Narrow" w:hAnsi="Arial Narrow"/>
                <w:b/>
                <w:bCs/>
                <w:sz w:val="20"/>
                <w:szCs w:val="20"/>
              </w:rPr>
            </w:pPr>
            <w:r w:rsidRPr="00732412">
              <w:rPr>
                <w:rFonts w:ascii="Arial Narrow" w:hAnsi="Arial Narrow"/>
                <w:b/>
                <w:bCs/>
                <w:sz w:val="20"/>
                <w:szCs w:val="20"/>
              </w:rPr>
              <w:t xml:space="preserve">AND </w:t>
            </w:r>
          </w:p>
          <w:p w:rsidR="00D54AFF" w:rsidRPr="00260CE3" w:rsidRDefault="00D54AFF" w:rsidP="00D54AFF">
            <w:pPr>
              <w:rPr>
                <w:rFonts w:ascii="Arial Narrow" w:hAnsi="Arial Narrow" w:cs="Arial"/>
                <w:sz w:val="20"/>
                <w:szCs w:val="20"/>
              </w:rPr>
            </w:pPr>
            <w:r w:rsidRPr="00732412">
              <w:rPr>
                <w:rFonts w:ascii="Arial Narrow" w:hAnsi="Arial Narrow"/>
                <w:sz w:val="20"/>
                <w:szCs w:val="20"/>
              </w:rPr>
              <w:t>Patient must be scheduled to be co-administered cycloph</w:t>
            </w:r>
            <w:r>
              <w:rPr>
                <w:rFonts w:ascii="Arial Narrow" w:hAnsi="Arial Narrow"/>
                <w:sz w:val="20"/>
                <w:szCs w:val="20"/>
              </w:rPr>
              <w:t>osphamide and an anthracycline;</w:t>
            </w:r>
          </w:p>
        </w:tc>
      </w:tr>
      <w:tr w:rsidR="00D54AFF" w:rsidRPr="00407DB2"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D54AFF" w:rsidRDefault="00D54AFF" w:rsidP="00D54AFF">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D54AFF" w:rsidRPr="00407DB2" w:rsidRDefault="00D54AFF" w:rsidP="00D54AFF">
            <w:pPr>
              <w:pStyle w:val="Default"/>
              <w:keepNext/>
              <w:rPr>
                <w:rFonts w:ascii="Arial Narrow" w:hAnsi="Arial Narrow"/>
                <w:sz w:val="20"/>
              </w:rPr>
            </w:pPr>
            <w:r w:rsidRPr="00407DB2">
              <w:rPr>
                <w:rFonts w:ascii="Arial Narrow" w:hAnsi="Arial Narrow"/>
                <w:sz w:val="20"/>
                <w:szCs w:val="20"/>
              </w:rPr>
              <w:t>No more than 1 capsule of 300</w:t>
            </w:r>
            <w:r>
              <w:rPr>
                <w:rFonts w:ascii="Arial Narrow" w:hAnsi="Arial Narrow"/>
                <w:sz w:val="20"/>
                <w:szCs w:val="20"/>
              </w:rPr>
              <w:t xml:space="preserve"> </w:t>
            </w:r>
            <w:r w:rsidRPr="00407DB2">
              <w:rPr>
                <w:rFonts w:ascii="Arial Narrow" w:hAnsi="Arial Narrow"/>
                <w:sz w:val="20"/>
                <w:szCs w:val="20"/>
              </w:rPr>
              <w:t>mg netupitant/0.5</w:t>
            </w:r>
            <w:r>
              <w:rPr>
                <w:rFonts w:ascii="Arial Narrow" w:hAnsi="Arial Narrow"/>
                <w:sz w:val="20"/>
                <w:szCs w:val="20"/>
              </w:rPr>
              <w:t xml:space="preserve"> </w:t>
            </w:r>
            <w:r w:rsidRPr="00407DB2">
              <w:rPr>
                <w:rFonts w:ascii="Arial Narrow" w:hAnsi="Arial Narrow"/>
                <w:sz w:val="20"/>
                <w:szCs w:val="20"/>
              </w:rPr>
              <w:t>mg palonosetron fixed dose combination will be authorised per cycle of cytotoxic chemotherapy.</w:t>
            </w:r>
          </w:p>
        </w:tc>
      </w:tr>
      <w:tr w:rsidR="00D54AFF" w:rsidRPr="00260CE3" w:rsidTr="00D54A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D54AFF" w:rsidRPr="00D54AFF" w:rsidRDefault="00D54AFF" w:rsidP="00D54AFF">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D54AFF" w:rsidRPr="00D54AFF" w:rsidRDefault="00D54AFF" w:rsidP="00D54AFF">
            <w:pPr>
              <w:rPr>
                <w:rFonts w:ascii="Arial Narrow" w:hAnsi="Arial Narrow"/>
                <w:sz w:val="20"/>
              </w:rPr>
            </w:pPr>
            <w:r w:rsidRPr="00D54AFF">
              <w:rPr>
                <w:rFonts w:ascii="Arial Narrow" w:hAnsi="Arial Narrow"/>
                <w:sz w:val="20"/>
              </w:rPr>
              <w:t xml:space="preserve">No increase in the maximum quantity or number of units may be authorised. </w:t>
            </w:r>
          </w:p>
          <w:p w:rsidR="00D54AFF" w:rsidRPr="00D54AFF" w:rsidRDefault="00D54AFF" w:rsidP="00D54AFF">
            <w:pPr>
              <w:rPr>
                <w:rFonts w:ascii="Arial Narrow" w:hAnsi="Arial Narrow"/>
                <w:sz w:val="20"/>
              </w:rPr>
            </w:pPr>
            <w:r w:rsidRPr="00D54AFF">
              <w:rPr>
                <w:rFonts w:ascii="Arial Narrow" w:hAnsi="Arial Narrow"/>
                <w:sz w:val="20"/>
              </w:rPr>
              <w:t xml:space="preserve">No Increase in the maximum number of repeats may be authorised. </w:t>
            </w:r>
          </w:p>
          <w:p w:rsidR="00D54AFF" w:rsidRPr="00260CE3" w:rsidRDefault="00D54AFF" w:rsidP="00D54AFF">
            <w:pPr>
              <w:rPr>
                <w:rFonts w:ascii="Arial Narrow" w:hAnsi="Arial Narrow" w:cs="Arial"/>
                <w:sz w:val="20"/>
                <w:szCs w:val="20"/>
              </w:rPr>
            </w:pPr>
            <w:r w:rsidRPr="00D54AFF">
              <w:rPr>
                <w:rFonts w:ascii="Arial Narrow" w:hAnsi="Arial Narrow"/>
                <w:sz w:val="20"/>
              </w:rPr>
              <w:t>This medicine is not PBS-subsidised for nausea and vomiting associated with radiotherapy being used to treat malignancy.</w:t>
            </w:r>
          </w:p>
        </w:tc>
      </w:tr>
    </w:tbl>
    <w:p w:rsidR="00D54AFF" w:rsidRPr="00826F6D" w:rsidRDefault="00D54AFF" w:rsidP="00826F6D">
      <w:pPr>
        <w:pStyle w:val="ListParagraph"/>
        <w:jc w:val="both"/>
        <w:rPr>
          <w:rFonts w:ascii="Arial" w:hAnsi="Arial"/>
          <w:sz w:val="22"/>
          <w:szCs w:val="22"/>
        </w:rPr>
      </w:pPr>
    </w:p>
    <w:p w:rsidR="00D039D6" w:rsidRPr="00882085" w:rsidRDefault="00D039D6" w:rsidP="00882085">
      <w:pPr>
        <w:jc w:val="both"/>
        <w:rPr>
          <w:rFonts w:ascii="Arial" w:hAnsi="Arial"/>
          <w:b/>
          <w:sz w:val="22"/>
          <w:szCs w:val="22"/>
        </w:rPr>
      </w:pPr>
    </w:p>
    <w:p w:rsidR="00CE10C4" w:rsidRPr="00882085" w:rsidRDefault="00CE10C4" w:rsidP="003619E3">
      <w:pPr>
        <w:pStyle w:val="Heading1"/>
      </w:pPr>
      <w:r w:rsidRPr="00882085">
        <w:t>Background</w:t>
      </w:r>
    </w:p>
    <w:p w:rsidR="006A12A5" w:rsidRPr="00882085" w:rsidRDefault="006A12A5" w:rsidP="00882085">
      <w:pPr>
        <w:jc w:val="both"/>
        <w:rPr>
          <w:rFonts w:ascii="Arial" w:hAnsi="Arial"/>
          <w:sz w:val="22"/>
          <w:szCs w:val="22"/>
        </w:rPr>
      </w:pPr>
    </w:p>
    <w:p w:rsidR="000E0069" w:rsidRPr="000E0069" w:rsidRDefault="00287D67" w:rsidP="00287D67">
      <w:pPr>
        <w:pStyle w:val="ListParagraph"/>
        <w:widowControl w:val="0"/>
        <w:numPr>
          <w:ilvl w:val="1"/>
          <w:numId w:val="1"/>
        </w:numPr>
        <w:jc w:val="both"/>
        <w:rPr>
          <w:rFonts w:ascii="Arial" w:hAnsi="Arial"/>
          <w:sz w:val="22"/>
          <w:szCs w:val="22"/>
        </w:rPr>
      </w:pPr>
      <w:r w:rsidRPr="00287D67">
        <w:rPr>
          <w:rFonts w:ascii="Arial" w:hAnsi="Arial"/>
          <w:sz w:val="22"/>
          <w:szCs w:val="22"/>
        </w:rPr>
        <w:t xml:space="preserve">TGA status at the time of PBAC consideration: </w:t>
      </w:r>
      <w:r w:rsidR="00C54D67">
        <w:rPr>
          <w:rFonts w:ascii="Arial" w:hAnsi="Arial"/>
          <w:sz w:val="22"/>
          <w:szCs w:val="22"/>
        </w:rPr>
        <w:t>Netupitant + palonosetron (</w:t>
      </w:r>
      <w:r w:rsidR="000E0069" w:rsidRPr="000E0069">
        <w:rPr>
          <w:rFonts w:ascii="Arial" w:hAnsi="Arial"/>
          <w:sz w:val="22"/>
          <w:szCs w:val="22"/>
        </w:rPr>
        <w:t>NEPA</w:t>
      </w:r>
      <w:r w:rsidR="00C54D67">
        <w:rPr>
          <w:rFonts w:ascii="Arial" w:hAnsi="Arial"/>
          <w:sz w:val="22"/>
          <w:szCs w:val="22"/>
        </w:rPr>
        <w:t>)</w:t>
      </w:r>
      <w:r w:rsidR="000E0069" w:rsidRPr="000E0069">
        <w:rPr>
          <w:rFonts w:ascii="Arial" w:hAnsi="Arial"/>
          <w:sz w:val="22"/>
          <w:szCs w:val="22"/>
        </w:rPr>
        <w:t xml:space="preserve"> was registered with the Therapeutic Goods Administration (TGA) in May 2015. NEPA is indicated in adult patients for:</w:t>
      </w:r>
    </w:p>
    <w:p w:rsidR="000E0069" w:rsidRPr="000E0069" w:rsidRDefault="000E0069" w:rsidP="005A46BF">
      <w:pPr>
        <w:pStyle w:val="ListParagraph"/>
        <w:widowControl w:val="0"/>
        <w:numPr>
          <w:ilvl w:val="0"/>
          <w:numId w:val="2"/>
        </w:numPr>
        <w:jc w:val="both"/>
        <w:rPr>
          <w:rFonts w:ascii="Arial" w:hAnsi="Arial"/>
          <w:sz w:val="22"/>
          <w:szCs w:val="22"/>
        </w:rPr>
      </w:pPr>
      <w:r w:rsidRPr="000E0069">
        <w:rPr>
          <w:rFonts w:ascii="Arial" w:hAnsi="Arial"/>
          <w:sz w:val="22"/>
          <w:szCs w:val="22"/>
        </w:rPr>
        <w:t>prevention of acute and delayed nausea and vomiting associated with initial and repeat courses of highly emetogenic cancer chemotherapy; and</w:t>
      </w:r>
    </w:p>
    <w:p w:rsidR="000E0069" w:rsidRPr="000E0069" w:rsidRDefault="000E0069" w:rsidP="005A46BF">
      <w:pPr>
        <w:pStyle w:val="ListParagraph"/>
        <w:widowControl w:val="0"/>
        <w:numPr>
          <w:ilvl w:val="0"/>
          <w:numId w:val="2"/>
        </w:numPr>
        <w:jc w:val="both"/>
        <w:rPr>
          <w:rFonts w:ascii="Arial" w:hAnsi="Arial"/>
          <w:sz w:val="22"/>
          <w:szCs w:val="22"/>
        </w:rPr>
      </w:pPr>
      <w:r w:rsidRPr="000E0069">
        <w:rPr>
          <w:rFonts w:ascii="Arial" w:hAnsi="Arial"/>
          <w:sz w:val="22"/>
          <w:szCs w:val="22"/>
        </w:rPr>
        <w:t>prevention of acute and delayed nausea and vomiting associated with initial and repeat courses of moderately emetogenic cancer chemotherapy.</w:t>
      </w:r>
    </w:p>
    <w:p w:rsidR="006B0D94" w:rsidRPr="00882085" w:rsidRDefault="006B0D94" w:rsidP="00882085">
      <w:pPr>
        <w:pStyle w:val="ListParagraph"/>
        <w:jc w:val="both"/>
        <w:rPr>
          <w:rFonts w:ascii="Arial" w:hAnsi="Arial"/>
          <w:sz w:val="22"/>
          <w:szCs w:val="22"/>
        </w:rPr>
      </w:pPr>
    </w:p>
    <w:p w:rsidR="000E0069" w:rsidRDefault="000E0069" w:rsidP="005A46BF">
      <w:pPr>
        <w:pStyle w:val="ListParagraph"/>
        <w:widowControl w:val="0"/>
        <w:numPr>
          <w:ilvl w:val="1"/>
          <w:numId w:val="1"/>
        </w:numPr>
        <w:jc w:val="both"/>
        <w:rPr>
          <w:rFonts w:ascii="Arial" w:hAnsi="Arial"/>
          <w:sz w:val="22"/>
          <w:szCs w:val="22"/>
        </w:rPr>
      </w:pPr>
      <w:r w:rsidRPr="000E0069">
        <w:rPr>
          <w:rFonts w:ascii="Arial" w:hAnsi="Arial"/>
          <w:sz w:val="22"/>
          <w:szCs w:val="22"/>
        </w:rPr>
        <w:t xml:space="preserve">NEPA </w:t>
      </w:r>
      <w:r w:rsidR="0051452E">
        <w:rPr>
          <w:rFonts w:ascii="Arial" w:hAnsi="Arial"/>
          <w:sz w:val="22"/>
          <w:szCs w:val="22"/>
        </w:rPr>
        <w:t>h</w:t>
      </w:r>
      <w:r w:rsidRPr="000E0069">
        <w:rPr>
          <w:rFonts w:ascii="Arial" w:hAnsi="Arial"/>
          <w:sz w:val="22"/>
          <w:szCs w:val="22"/>
        </w:rPr>
        <w:t xml:space="preserve">as previously </w:t>
      </w:r>
      <w:r w:rsidR="0051452E">
        <w:rPr>
          <w:rFonts w:ascii="Arial" w:hAnsi="Arial"/>
          <w:sz w:val="22"/>
          <w:szCs w:val="22"/>
        </w:rPr>
        <w:t xml:space="preserve">been </w:t>
      </w:r>
      <w:r w:rsidRPr="000E0069">
        <w:rPr>
          <w:rFonts w:ascii="Arial" w:hAnsi="Arial"/>
          <w:sz w:val="22"/>
          <w:szCs w:val="22"/>
        </w:rPr>
        <w:t>considered by the PBAC at the March 2015 meeting</w:t>
      </w:r>
      <w:r w:rsidR="0051452E">
        <w:rPr>
          <w:rFonts w:ascii="Arial" w:hAnsi="Arial"/>
          <w:sz w:val="22"/>
          <w:szCs w:val="22"/>
        </w:rPr>
        <w:t xml:space="preserve"> and July 2015 meeting</w:t>
      </w:r>
      <w:r w:rsidRPr="000E0069">
        <w:rPr>
          <w:rFonts w:ascii="Arial" w:hAnsi="Arial"/>
          <w:sz w:val="22"/>
          <w:szCs w:val="22"/>
        </w:rPr>
        <w:t xml:space="preserve">. The major submission </w:t>
      </w:r>
      <w:r w:rsidR="0051452E">
        <w:rPr>
          <w:rFonts w:ascii="Arial" w:hAnsi="Arial"/>
          <w:sz w:val="22"/>
          <w:szCs w:val="22"/>
        </w:rPr>
        <w:t>in March 2015</w:t>
      </w:r>
      <w:r w:rsidRPr="000E0069">
        <w:rPr>
          <w:rFonts w:ascii="Arial" w:hAnsi="Arial"/>
          <w:sz w:val="22"/>
          <w:szCs w:val="22"/>
        </w:rPr>
        <w:t xml:space="preserve"> was rejected by the PBAC as there was no recognised unmet clinical need for this population of patients and the clinical place for NEPA was not established in the major submission (paragraph 7.1 of the March 2015 minutes). Further, the PBAC was concerned that the fixed dose combination guidelines were not addressed in the submission. </w:t>
      </w:r>
      <w:r w:rsidR="00155396">
        <w:rPr>
          <w:rFonts w:ascii="Arial" w:hAnsi="Arial"/>
          <w:sz w:val="22"/>
          <w:szCs w:val="22"/>
        </w:rPr>
        <w:t xml:space="preserve">The minor submission in July 2015 was rejected by the PBAC as there was still uncertain clinical need for this population of patients, the fixed dose combination guidelines were not addressed </w:t>
      </w:r>
      <w:r w:rsidR="00155396">
        <w:rPr>
          <w:rFonts w:ascii="Arial" w:hAnsi="Arial"/>
          <w:sz w:val="22"/>
          <w:szCs w:val="22"/>
        </w:rPr>
        <w:lastRenderedPageBreak/>
        <w:t xml:space="preserve">in the </w:t>
      </w:r>
      <w:r w:rsidR="00331988">
        <w:rPr>
          <w:rFonts w:ascii="Arial" w:hAnsi="Arial"/>
          <w:sz w:val="22"/>
          <w:szCs w:val="22"/>
        </w:rPr>
        <w:t>re</w:t>
      </w:r>
      <w:r w:rsidR="00155396">
        <w:rPr>
          <w:rFonts w:ascii="Arial" w:hAnsi="Arial"/>
          <w:sz w:val="22"/>
          <w:szCs w:val="22"/>
        </w:rPr>
        <w:t>submission, and the</w:t>
      </w:r>
      <w:r w:rsidR="00331988">
        <w:rPr>
          <w:rFonts w:ascii="Arial" w:hAnsi="Arial"/>
          <w:sz w:val="22"/>
          <w:szCs w:val="22"/>
        </w:rPr>
        <w:t xml:space="preserve">re was </w:t>
      </w:r>
      <w:r w:rsidR="00155396">
        <w:rPr>
          <w:rFonts w:ascii="Arial" w:hAnsi="Arial"/>
          <w:sz w:val="22"/>
          <w:szCs w:val="22"/>
        </w:rPr>
        <w:t>potential for leakage.</w:t>
      </w:r>
    </w:p>
    <w:p w:rsidR="00B71B4F" w:rsidRDefault="00B71B4F" w:rsidP="00B71B4F">
      <w:pPr>
        <w:pStyle w:val="ListParagraph"/>
        <w:widowControl w:val="0"/>
        <w:jc w:val="both"/>
        <w:rPr>
          <w:rFonts w:ascii="Arial" w:hAnsi="Arial"/>
          <w:sz w:val="22"/>
          <w:szCs w:val="22"/>
        </w:rPr>
      </w:pPr>
    </w:p>
    <w:p w:rsidR="00B71B4F" w:rsidRDefault="00B71B4F" w:rsidP="005A46BF">
      <w:pPr>
        <w:pStyle w:val="ListParagraph"/>
        <w:widowControl w:val="0"/>
        <w:numPr>
          <w:ilvl w:val="1"/>
          <w:numId w:val="1"/>
        </w:numPr>
        <w:jc w:val="both"/>
        <w:rPr>
          <w:rFonts w:ascii="Arial" w:hAnsi="Arial"/>
          <w:sz w:val="22"/>
          <w:szCs w:val="22"/>
        </w:rPr>
      </w:pPr>
      <w:r>
        <w:rPr>
          <w:rFonts w:ascii="Arial" w:hAnsi="Arial"/>
          <w:sz w:val="22"/>
          <w:szCs w:val="22"/>
        </w:rPr>
        <w:t xml:space="preserve">The current resubmission sought to address the FDC guidelines, describe the clinical need for NEPA, and propose a risk sharing arrangement to </w:t>
      </w:r>
      <w:r w:rsidR="00955C7D">
        <w:rPr>
          <w:rFonts w:ascii="Arial" w:hAnsi="Arial"/>
          <w:sz w:val="22"/>
          <w:szCs w:val="22"/>
        </w:rPr>
        <w:t>address potential</w:t>
      </w:r>
      <w:r>
        <w:rPr>
          <w:rFonts w:ascii="Arial" w:hAnsi="Arial"/>
          <w:sz w:val="22"/>
          <w:szCs w:val="22"/>
        </w:rPr>
        <w:t xml:space="preserve"> leakage.</w:t>
      </w:r>
    </w:p>
    <w:p w:rsidR="00437015" w:rsidRPr="00437015" w:rsidRDefault="00437015" w:rsidP="00437015">
      <w:pPr>
        <w:pStyle w:val="ListParagraph"/>
        <w:rPr>
          <w:rFonts w:ascii="Arial" w:hAnsi="Arial"/>
          <w:sz w:val="22"/>
          <w:szCs w:val="22"/>
        </w:rPr>
      </w:pPr>
    </w:p>
    <w:p w:rsidR="00437015" w:rsidRPr="00437015" w:rsidRDefault="00FB6683" w:rsidP="00437015">
      <w:pPr>
        <w:pStyle w:val="ListParagraph"/>
        <w:rPr>
          <w:rStyle w:val="CommentReference"/>
          <w:rFonts w:ascii="Arial Narrow" w:hAnsi="Arial Narrow" w:cs="Arial"/>
          <w:b/>
          <w:sz w:val="20"/>
        </w:rPr>
      </w:pPr>
      <w:r>
        <w:rPr>
          <w:rStyle w:val="CommentReference"/>
          <w:rFonts w:ascii="Arial Narrow" w:hAnsi="Arial Narrow" w:cs="Arial"/>
          <w:b/>
          <w:sz w:val="20"/>
        </w:rPr>
        <w:t>Table 1: Summary of key issues from</w:t>
      </w:r>
      <w:r w:rsidR="00437015" w:rsidRPr="00437015">
        <w:rPr>
          <w:rStyle w:val="CommentReference"/>
          <w:rFonts w:ascii="Arial Narrow" w:hAnsi="Arial Narrow" w:cs="Arial"/>
          <w:b/>
          <w:sz w:val="20"/>
        </w:rPr>
        <w:t xml:space="preserve"> the previous submission and current resubmission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Summary of key issues from the previous submission and current resubmission"/>
      </w:tblPr>
      <w:tblGrid>
        <w:gridCol w:w="946"/>
        <w:gridCol w:w="3894"/>
        <w:gridCol w:w="3505"/>
      </w:tblGrid>
      <w:tr w:rsidR="00E43BA5" w:rsidRPr="00ED0F04" w:rsidTr="001A0E97">
        <w:trPr>
          <w:trHeight w:val="220"/>
          <w:tblHeader/>
        </w:trPr>
        <w:tc>
          <w:tcPr>
            <w:tcW w:w="0" w:type="auto"/>
          </w:tcPr>
          <w:p w:rsidR="00437015" w:rsidRPr="00FB6683" w:rsidRDefault="00437015" w:rsidP="00437015">
            <w:pPr>
              <w:pStyle w:val="Tabletext"/>
              <w:rPr>
                <w:rFonts w:ascii="Arial Narrow" w:hAnsi="Arial Narrow"/>
              </w:rPr>
            </w:pPr>
          </w:p>
        </w:tc>
        <w:tc>
          <w:tcPr>
            <w:tcW w:w="0" w:type="auto"/>
            <w:vAlign w:val="center"/>
          </w:tcPr>
          <w:p w:rsidR="00437015" w:rsidRPr="00FB6683" w:rsidRDefault="00437015" w:rsidP="00437015">
            <w:pPr>
              <w:pStyle w:val="Tabletext"/>
              <w:jc w:val="center"/>
              <w:rPr>
                <w:rFonts w:ascii="Arial Narrow" w:hAnsi="Arial Narrow"/>
                <w:b/>
              </w:rPr>
            </w:pPr>
            <w:r w:rsidRPr="00FB6683">
              <w:rPr>
                <w:rFonts w:ascii="Arial Narrow" w:hAnsi="Arial Narrow"/>
                <w:b/>
              </w:rPr>
              <w:t>NEPA July 2015</w:t>
            </w:r>
          </w:p>
        </w:tc>
        <w:tc>
          <w:tcPr>
            <w:tcW w:w="0" w:type="auto"/>
            <w:vAlign w:val="center"/>
          </w:tcPr>
          <w:p w:rsidR="00437015" w:rsidRPr="00FB6683" w:rsidRDefault="00437015" w:rsidP="00437015">
            <w:pPr>
              <w:pStyle w:val="Tabletext"/>
              <w:jc w:val="center"/>
              <w:rPr>
                <w:rFonts w:ascii="Arial Narrow" w:hAnsi="Arial Narrow"/>
                <w:b/>
              </w:rPr>
            </w:pPr>
            <w:r w:rsidRPr="00FB6683">
              <w:rPr>
                <w:rFonts w:ascii="Arial Narrow" w:hAnsi="Arial Narrow"/>
                <w:b/>
              </w:rPr>
              <w:t>Current re-submission</w:t>
            </w:r>
          </w:p>
        </w:tc>
      </w:tr>
      <w:tr w:rsidR="00E43BA5" w:rsidRPr="00ED0F04" w:rsidTr="001A0E97">
        <w:trPr>
          <w:trHeight w:val="422"/>
        </w:trPr>
        <w:tc>
          <w:tcPr>
            <w:tcW w:w="0" w:type="auto"/>
          </w:tcPr>
          <w:p w:rsidR="00437015" w:rsidRPr="00FB6683" w:rsidRDefault="00437015" w:rsidP="00437015">
            <w:pPr>
              <w:pStyle w:val="Tabletext"/>
              <w:rPr>
                <w:rFonts w:ascii="Arial Narrow" w:hAnsi="Arial Narrow"/>
              </w:rPr>
            </w:pPr>
            <w:r w:rsidRPr="00FB6683">
              <w:rPr>
                <w:rFonts w:ascii="Arial Narrow" w:hAnsi="Arial Narrow"/>
              </w:rPr>
              <w:t>Requested price</w:t>
            </w:r>
          </w:p>
        </w:tc>
        <w:tc>
          <w:tcPr>
            <w:tcW w:w="0" w:type="auto"/>
          </w:tcPr>
          <w:p w:rsidR="00437015" w:rsidRPr="00FB6683" w:rsidRDefault="00437015" w:rsidP="00437015">
            <w:pPr>
              <w:pStyle w:val="Tabletext"/>
              <w:rPr>
                <w:rFonts w:ascii="Arial Narrow" w:hAnsi="Arial Narrow"/>
              </w:rPr>
            </w:pPr>
            <w:r w:rsidRPr="00FB6683">
              <w:rPr>
                <w:rFonts w:ascii="Arial Narrow" w:hAnsi="Arial Narrow"/>
              </w:rPr>
              <w:t>Effective DPMQ</w:t>
            </w:r>
          </w:p>
          <w:p w:rsidR="00437015" w:rsidRPr="00FB6683" w:rsidRDefault="00437015" w:rsidP="00437015">
            <w:pPr>
              <w:pStyle w:val="Tabletext"/>
              <w:rPr>
                <w:rFonts w:ascii="Arial Narrow" w:hAnsi="Arial Narrow"/>
              </w:rPr>
            </w:pPr>
            <w:r w:rsidRPr="00FB6683">
              <w:rPr>
                <w:rFonts w:ascii="Arial Narrow" w:hAnsi="Arial Narrow"/>
              </w:rPr>
              <w:t>Section 85: $</w:t>
            </w:r>
            <w:r w:rsidR="001A0E97">
              <w:rPr>
                <w:rFonts w:ascii="Arial Narrow" w:hAnsi="Arial Narrow"/>
                <w:noProof/>
                <w:color w:val="000000"/>
                <w:highlight w:val="black"/>
              </w:rPr>
              <w:t>''''''''''''''''</w:t>
            </w:r>
          </w:p>
          <w:p w:rsidR="00437015" w:rsidRPr="00FB6683" w:rsidRDefault="00437015" w:rsidP="00437015">
            <w:pPr>
              <w:pStyle w:val="Tabletext"/>
              <w:rPr>
                <w:rFonts w:ascii="Arial Narrow" w:hAnsi="Arial Narrow"/>
              </w:rPr>
            </w:pPr>
            <w:r w:rsidRPr="00FB6683">
              <w:rPr>
                <w:rFonts w:ascii="Arial Narrow" w:hAnsi="Arial Narrow"/>
              </w:rPr>
              <w:t>Section 100: $</w:t>
            </w:r>
            <w:r w:rsidR="001A0E97">
              <w:rPr>
                <w:rFonts w:ascii="Arial Narrow" w:hAnsi="Arial Narrow"/>
                <w:noProof/>
                <w:color w:val="000000"/>
                <w:highlight w:val="black"/>
              </w:rPr>
              <w:t>'''''''''''''''''</w:t>
            </w:r>
          </w:p>
        </w:tc>
        <w:tc>
          <w:tcPr>
            <w:tcW w:w="0" w:type="auto"/>
          </w:tcPr>
          <w:p w:rsidR="00437015" w:rsidRPr="00FB6683" w:rsidRDefault="00437015" w:rsidP="00437015">
            <w:pPr>
              <w:pStyle w:val="Tabletext"/>
              <w:rPr>
                <w:rFonts w:ascii="Arial Narrow" w:hAnsi="Arial Narrow"/>
              </w:rPr>
            </w:pPr>
            <w:r w:rsidRPr="00FB6683">
              <w:rPr>
                <w:rFonts w:ascii="Arial Narrow" w:hAnsi="Arial Narrow"/>
              </w:rPr>
              <w:t>No change in ex-manufacturer price, DPMQs updated</w:t>
            </w:r>
          </w:p>
          <w:p w:rsidR="00437015" w:rsidRPr="00FB6683" w:rsidRDefault="00437015" w:rsidP="00437015">
            <w:pPr>
              <w:pStyle w:val="Tabletext"/>
              <w:rPr>
                <w:rFonts w:ascii="Arial Narrow" w:hAnsi="Arial Narrow"/>
              </w:rPr>
            </w:pPr>
            <w:r w:rsidRPr="00FB6683">
              <w:rPr>
                <w:rFonts w:ascii="Arial Narrow" w:hAnsi="Arial Narrow"/>
              </w:rPr>
              <w:t>Section 85: $</w:t>
            </w:r>
            <w:r w:rsidR="001A0E97">
              <w:rPr>
                <w:rFonts w:ascii="Arial Narrow" w:hAnsi="Arial Narrow"/>
                <w:noProof/>
                <w:color w:val="000000"/>
                <w:highlight w:val="black"/>
              </w:rPr>
              <w:t>'''''''''''''''''</w:t>
            </w:r>
          </w:p>
          <w:p w:rsidR="00437015" w:rsidRPr="00FB6683" w:rsidRDefault="00437015" w:rsidP="00437015">
            <w:pPr>
              <w:pStyle w:val="Tabletext"/>
              <w:rPr>
                <w:rFonts w:ascii="Arial Narrow" w:hAnsi="Arial Narrow"/>
                <w:color w:val="0000FF"/>
              </w:rPr>
            </w:pPr>
            <w:r w:rsidRPr="00FB6683">
              <w:rPr>
                <w:rFonts w:ascii="Arial Narrow" w:hAnsi="Arial Narrow"/>
              </w:rPr>
              <w:t>Section 100: $</w:t>
            </w:r>
            <w:r w:rsidR="001A0E97">
              <w:rPr>
                <w:rFonts w:ascii="Arial Narrow" w:hAnsi="Arial Narrow"/>
                <w:noProof/>
                <w:color w:val="000000"/>
                <w:highlight w:val="black"/>
              </w:rPr>
              <w:t>''''''''''''''''</w:t>
            </w:r>
          </w:p>
        </w:tc>
      </w:tr>
      <w:tr w:rsidR="00E43BA5" w:rsidRPr="00ED0F04" w:rsidTr="001A0E97">
        <w:trPr>
          <w:trHeight w:val="422"/>
        </w:trPr>
        <w:tc>
          <w:tcPr>
            <w:tcW w:w="0" w:type="auto"/>
          </w:tcPr>
          <w:p w:rsidR="00437015" w:rsidRPr="00FB6683" w:rsidRDefault="005823EF" w:rsidP="00437015">
            <w:pPr>
              <w:pStyle w:val="Tabletext"/>
              <w:rPr>
                <w:rFonts w:ascii="Arial Narrow" w:hAnsi="Arial Narrow"/>
              </w:rPr>
            </w:pPr>
            <w:r>
              <w:rPr>
                <w:rFonts w:ascii="Arial Narrow" w:hAnsi="Arial Narrow"/>
              </w:rPr>
              <w:t>Uncertain c</w:t>
            </w:r>
            <w:r w:rsidR="00437015" w:rsidRPr="00FB6683">
              <w:rPr>
                <w:rFonts w:ascii="Arial Narrow" w:hAnsi="Arial Narrow"/>
              </w:rPr>
              <w:t>linical need</w:t>
            </w:r>
          </w:p>
        </w:tc>
        <w:tc>
          <w:tcPr>
            <w:tcW w:w="0" w:type="auto"/>
          </w:tcPr>
          <w:p w:rsidR="00FB6683" w:rsidRDefault="00FB6683" w:rsidP="00437015">
            <w:pPr>
              <w:pStyle w:val="Tabletext"/>
              <w:rPr>
                <w:rFonts w:ascii="Arial Narrow" w:hAnsi="Arial Narrow"/>
              </w:rPr>
            </w:pPr>
            <w:r>
              <w:rPr>
                <w:rFonts w:ascii="Arial Narrow" w:hAnsi="Arial Narrow"/>
              </w:rPr>
              <w:t>Inclusion of NEPA in National Comprehensive Cancer Network (NCCN) guidelines</w:t>
            </w:r>
          </w:p>
          <w:p w:rsidR="00FB6683" w:rsidRDefault="00FB6683" w:rsidP="00437015">
            <w:pPr>
              <w:pStyle w:val="Tabletext"/>
              <w:rPr>
                <w:rFonts w:ascii="Arial Narrow" w:hAnsi="Arial Narrow"/>
              </w:rPr>
            </w:pPr>
            <w:r>
              <w:rPr>
                <w:rFonts w:ascii="Arial Narrow" w:hAnsi="Arial Narrow"/>
              </w:rPr>
              <w:t>Improved adherence to treatment guidelines</w:t>
            </w:r>
          </w:p>
          <w:p w:rsidR="00FB6683" w:rsidRDefault="00FB6683" w:rsidP="00437015">
            <w:pPr>
              <w:pStyle w:val="Tabletext"/>
              <w:rPr>
                <w:rFonts w:ascii="Arial Narrow" w:hAnsi="Arial Narrow"/>
              </w:rPr>
            </w:pPr>
            <w:r>
              <w:rPr>
                <w:rFonts w:ascii="Arial Narrow" w:hAnsi="Arial Narrow"/>
              </w:rPr>
              <w:t>Improved patient compliance</w:t>
            </w:r>
          </w:p>
          <w:p w:rsidR="00FB6683" w:rsidRPr="00FB6683" w:rsidRDefault="00FB6683" w:rsidP="00437015">
            <w:pPr>
              <w:pStyle w:val="Tabletext"/>
              <w:rPr>
                <w:rFonts w:ascii="Arial Narrow" w:hAnsi="Arial Narrow"/>
              </w:rPr>
            </w:pPr>
            <w:r>
              <w:rPr>
                <w:rFonts w:ascii="Arial Narrow" w:hAnsi="Arial Narrow"/>
              </w:rPr>
              <w:t>Impact on resource use</w:t>
            </w:r>
          </w:p>
          <w:p w:rsidR="00FB6683" w:rsidRDefault="00FB6683" w:rsidP="00437015">
            <w:pPr>
              <w:pStyle w:val="Tabletext"/>
              <w:rPr>
                <w:rFonts w:ascii="Arial Narrow" w:hAnsi="Arial Narrow"/>
                <w:b/>
              </w:rPr>
            </w:pPr>
          </w:p>
          <w:p w:rsidR="00437015" w:rsidRPr="00FB6683" w:rsidRDefault="00FB6683" w:rsidP="00437015">
            <w:pPr>
              <w:pStyle w:val="Tabletext"/>
              <w:rPr>
                <w:rFonts w:ascii="Arial Narrow" w:hAnsi="Arial Narrow"/>
              </w:rPr>
            </w:pPr>
            <w:r w:rsidRPr="00FB6683">
              <w:rPr>
                <w:rFonts w:ascii="Arial Narrow" w:hAnsi="Arial Narrow"/>
                <w:b/>
              </w:rPr>
              <w:t xml:space="preserve">PBAC Comment: </w:t>
            </w:r>
            <w:r w:rsidR="00437015" w:rsidRPr="00FB6683">
              <w:rPr>
                <w:rFonts w:ascii="Arial Narrow" w:hAnsi="Arial Narrow"/>
              </w:rPr>
              <w:t xml:space="preserve">The PBAC noted the updated NCCN guidelines but considered the clinical need for the FDC in </w:t>
            </w:r>
            <w:r>
              <w:rPr>
                <w:rFonts w:ascii="Arial Narrow" w:hAnsi="Arial Narrow"/>
              </w:rPr>
              <w:t>Australia was not established by</w:t>
            </w:r>
            <w:r w:rsidR="00437015" w:rsidRPr="00FB6683">
              <w:rPr>
                <w:rFonts w:ascii="Arial Narrow" w:hAnsi="Arial Narrow"/>
              </w:rPr>
              <w:t xml:space="preserve"> the resubmission.</w:t>
            </w:r>
            <w:r>
              <w:rPr>
                <w:rFonts w:ascii="Arial Narrow" w:hAnsi="Arial Narrow"/>
              </w:rPr>
              <w:t xml:space="preserve"> (7.2, July 2015 PBAC minutes)</w:t>
            </w:r>
          </w:p>
        </w:tc>
        <w:tc>
          <w:tcPr>
            <w:tcW w:w="0" w:type="auto"/>
          </w:tcPr>
          <w:p w:rsidR="00437015" w:rsidRDefault="00387A30" w:rsidP="00437015">
            <w:pPr>
              <w:pStyle w:val="Tabletext"/>
              <w:rPr>
                <w:rFonts w:ascii="Arial Narrow" w:hAnsi="Arial Narrow"/>
              </w:rPr>
            </w:pPr>
            <w:r>
              <w:rPr>
                <w:rFonts w:ascii="Arial Narrow" w:hAnsi="Arial Narrow"/>
              </w:rPr>
              <w:t>No change in claim, p</w:t>
            </w:r>
            <w:r w:rsidR="00E43BA5">
              <w:rPr>
                <w:rFonts w:ascii="Arial Narrow" w:hAnsi="Arial Narrow"/>
              </w:rPr>
              <w:t>rovided additional references:</w:t>
            </w:r>
          </w:p>
          <w:p w:rsidR="00E43BA5" w:rsidRPr="00E43BA5" w:rsidRDefault="00E43BA5" w:rsidP="00E43BA5">
            <w:pPr>
              <w:pStyle w:val="Tabletext"/>
              <w:rPr>
                <w:rFonts w:ascii="Arial Narrow" w:hAnsi="Arial Narrow"/>
              </w:rPr>
            </w:pPr>
            <w:r w:rsidRPr="00E43BA5">
              <w:rPr>
                <w:rFonts w:ascii="Arial Narrow" w:hAnsi="Arial Narrow"/>
              </w:rPr>
              <w:t>Burke TA, Wisniewski T, Ernst FR. Resource utilization and costs associated with chemotherapy-induced nausea and vomiting (CINV) following highly or moderately emetogenic chemotherapy administered in the US outpatient hospital setting. Support Care Cancer. 2011;19(1):131-140.</w:t>
            </w:r>
          </w:p>
          <w:p w:rsidR="00E43BA5" w:rsidRPr="00E43BA5" w:rsidRDefault="00E43BA5" w:rsidP="00E43BA5">
            <w:pPr>
              <w:pStyle w:val="Tabletext"/>
              <w:rPr>
                <w:rFonts w:ascii="Arial Narrow" w:hAnsi="Arial Narrow"/>
              </w:rPr>
            </w:pPr>
            <w:r w:rsidRPr="00E43BA5">
              <w:rPr>
                <w:rFonts w:ascii="Arial Narrow" w:hAnsi="Arial Narrow"/>
              </w:rPr>
              <w:t>eviQ Cancer Treatments Online; www.eviq.org.au. 2015.</w:t>
            </w:r>
          </w:p>
          <w:p w:rsidR="00E43BA5" w:rsidRPr="00E43BA5" w:rsidRDefault="00E43BA5" w:rsidP="00E43BA5">
            <w:pPr>
              <w:pStyle w:val="Tabletext"/>
              <w:rPr>
                <w:rFonts w:ascii="Arial Narrow" w:hAnsi="Arial Narrow"/>
              </w:rPr>
            </w:pPr>
            <w:r w:rsidRPr="00E43BA5">
              <w:rPr>
                <w:rFonts w:ascii="Arial Narrow" w:hAnsi="Arial Narrow"/>
              </w:rPr>
              <w:t>Lai J, Hornung I, Greenberg S. Predictors of chemotherapy-induced nausea and vomiting (CINV) presentations to a symptom urgent review clinic (SURC) at  Western Health, Melbourne. Lai J, Hornung I, Greenberg S. Asia-Pac J Oncology 2014; 10(Suppl.6): 52-68.</w:t>
            </w:r>
          </w:p>
          <w:p w:rsidR="00E43BA5" w:rsidRPr="00E43BA5" w:rsidRDefault="00E43BA5" w:rsidP="00E43BA5">
            <w:pPr>
              <w:pStyle w:val="Tabletext"/>
              <w:rPr>
                <w:rFonts w:ascii="Arial Narrow" w:hAnsi="Arial Narrow"/>
              </w:rPr>
            </w:pPr>
            <w:r w:rsidRPr="00E43BA5">
              <w:rPr>
                <w:rFonts w:ascii="Arial Narrow" w:hAnsi="Arial Narrow"/>
              </w:rPr>
              <w:t xml:space="preserve">Mayer DK, Travers D, Wyss A, Leak A, Waller A. Why do patients with cancer visit emergency departments? Results of a 2008 population study in North Carolina. J Clin Oncol 2011;29:2683-2688. </w:t>
            </w:r>
          </w:p>
          <w:p w:rsidR="00E43BA5" w:rsidRPr="00E43BA5" w:rsidRDefault="00E43BA5" w:rsidP="00E43BA5">
            <w:pPr>
              <w:pStyle w:val="Tabletext"/>
              <w:rPr>
                <w:rFonts w:ascii="Arial Narrow" w:hAnsi="Arial Narrow"/>
              </w:rPr>
            </w:pPr>
            <w:r w:rsidRPr="00E43BA5">
              <w:rPr>
                <w:rFonts w:ascii="Arial Narrow" w:hAnsi="Arial Narrow"/>
              </w:rPr>
              <w:t>McKenzie  H, Hayes L, White K, Cox K, Fethney J, Boughton M, Dunn J. Chemotherapy outpatients’ unplanned presentations to hospital: a retrospective study. Support Care Cancer (2011) 19:963–969.</w:t>
            </w:r>
          </w:p>
          <w:p w:rsidR="00E43BA5" w:rsidRPr="00FB6683" w:rsidRDefault="00E43BA5" w:rsidP="00E43BA5">
            <w:pPr>
              <w:pStyle w:val="Tabletext"/>
              <w:rPr>
                <w:rFonts w:ascii="Arial Narrow" w:hAnsi="Arial Narrow"/>
              </w:rPr>
            </w:pPr>
            <w:r w:rsidRPr="00E43BA5">
              <w:rPr>
                <w:rFonts w:ascii="Arial Narrow" w:hAnsi="Arial Narrow"/>
              </w:rPr>
              <w:t>Schenberg T, Greenberg S. A retrospective audit of requirement for medical review in the Chemotherapy Day Unit (CDU) at Western Health (WH), presented at MOGA 2013.</w:t>
            </w:r>
          </w:p>
        </w:tc>
      </w:tr>
      <w:tr w:rsidR="00E43BA5" w:rsidRPr="00ED0F04" w:rsidTr="001A0E97">
        <w:trPr>
          <w:trHeight w:val="1130"/>
        </w:trPr>
        <w:tc>
          <w:tcPr>
            <w:tcW w:w="0" w:type="auto"/>
          </w:tcPr>
          <w:p w:rsidR="00437015" w:rsidRPr="00FB6683" w:rsidRDefault="00437015" w:rsidP="00437015">
            <w:pPr>
              <w:pStyle w:val="Tabletext"/>
              <w:rPr>
                <w:rFonts w:ascii="Arial Narrow" w:hAnsi="Arial Narrow"/>
              </w:rPr>
            </w:pPr>
            <w:r w:rsidRPr="00FB6683">
              <w:rPr>
                <w:rFonts w:ascii="Arial Narrow" w:hAnsi="Arial Narrow"/>
              </w:rPr>
              <w:t>Economic evaluation</w:t>
            </w:r>
          </w:p>
        </w:tc>
        <w:tc>
          <w:tcPr>
            <w:tcW w:w="0" w:type="auto"/>
          </w:tcPr>
          <w:p w:rsidR="00437015" w:rsidRPr="00FB6683" w:rsidRDefault="00437015" w:rsidP="00437015">
            <w:pPr>
              <w:pStyle w:val="Tabletext"/>
              <w:rPr>
                <w:rFonts w:ascii="Arial Narrow" w:hAnsi="Arial Narrow"/>
                <w:b/>
              </w:rPr>
            </w:pPr>
            <w:r w:rsidRPr="00FB6683">
              <w:rPr>
                <w:rFonts w:ascii="Arial Narrow" w:hAnsi="Arial Narrow"/>
              </w:rPr>
              <w:t>Cost-minimisation, with the equi-effective doses calculated during the submission.</w:t>
            </w:r>
          </w:p>
          <w:p w:rsidR="00437015" w:rsidRPr="00FB6683" w:rsidRDefault="00437015" w:rsidP="00437015">
            <w:pPr>
              <w:pStyle w:val="Tabletext"/>
              <w:rPr>
                <w:rFonts w:ascii="Arial Narrow" w:hAnsi="Arial Narrow"/>
                <w:b/>
              </w:rPr>
            </w:pPr>
          </w:p>
          <w:p w:rsidR="00437015" w:rsidRPr="00FB6683" w:rsidRDefault="00437015" w:rsidP="00955C7D">
            <w:pPr>
              <w:pStyle w:val="Tabletext"/>
              <w:rPr>
                <w:rFonts w:ascii="Arial Narrow" w:hAnsi="Arial Narrow"/>
              </w:rPr>
            </w:pPr>
            <w:r w:rsidRPr="00FB6683">
              <w:rPr>
                <w:rFonts w:ascii="Arial Narrow" w:hAnsi="Arial Narrow"/>
                <w:b/>
              </w:rPr>
              <w:t>PBAC Comment:</w:t>
            </w:r>
            <w:r w:rsidRPr="00FB6683">
              <w:rPr>
                <w:rFonts w:ascii="Arial Narrow" w:hAnsi="Arial Narrow"/>
              </w:rPr>
              <w:t xml:space="preserve"> The </w:t>
            </w:r>
            <w:r w:rsidR="00E43BA5">
              <w:rPr>
                <w:rFonts w:ascii="Arial Narrow" w:hAnsi="Arial Narrow"/>
              </w:rPr>
              <w:t xml:space="preserve">PBAC noted that the </w:t>
            </w:r>
            <w:r w:rsidRPr="00FB6683">
              <w:rPr>
                <w:rFonts w:ascii="Arial Narrow" w:hAnsi="Arial Narrow"/>
              </w:rPr>
              <w:t xml:space="preserve">economic evaluation </w:t>
            </w:r>
            <w:r w:rsidR="00E43BA5">
              <w:rPr>
                <w:rFonts w:ascii="Arial Narrow" w:hAnsi="Arial Narrow"/>
              </w:rPr>
              <w:t xml:space="preserve">remained the same as that </w:t>
            </w:r>
            <w:r w:rsidR="00E43BA5">
              <w:rPr>
                <w:rFonts w:ascii="Arial Narrow" w:hAnsi="Arial Narrow"/>
              </w:rPr>
              <w:lastRenderedPageBreak/>
              <w:t>from March 2015, which</w:t>
            </w:r>
            <w:r w:rsidRPr="00FB6683">
              <w:rPr>
                <w:rFonts w:ascii="Arial Narrow" w:hAnsi="Arial Narrow"/>
              </w:rPr>
              <w:t xml:space="preserve"> was a </w:t>
            </w:r>
            <w:r w:rsidR="00E43BA5">
              <w:rPr>
                <w:rFonts w:ascii="Arial Narrow" w:hAnsi="Arial Narrow"/>
              </w:rPr>
              <w:t xml:space="preserve">cost comparison </w:t>
            </w:r>
            <w:r w:rsidRPr="00FB6683">
              <w:rPr>
                <w:rFonts w:ascii="Arial Narrow" w:hAnsi="Arial Narrow"/>
              </w:rPr>
              <w:t xml:space="preserve">rather </w:t>
            </w:r>
            <w:r w:rsidR="00E43BA5">
              <w:rPr>
                <w:rFonts w:ascii="Arial Narrow" w:hAnsi="Arial Narrow"/>
              </w:rPr>
              <w:t xml:space="preserve">than </w:t>
            </w:r>
            <w:r w:rsidRPr="00FB6683">
              <w:rPr>
                <w:rFonts w:ascii="Arial Narrow" w:hAnsi="Arial Narrow"/>
              </w:rPr>
              <w:t>a cost</w:t>
            </w:r>
            <w:r w:rsidR="00E43BA5">
              <w:rPr>
                <w:rFonts w:ascii="Arial Narrow" w:hAnsi="Arial Narrow"/>
              </w:rPr>
              <w:t>-minimisation</w:t>
            </w:r>
            <w:r w:rsidRPr="00FB6683">
              <w:rPr>
                <w:rFonts w:ascii="Arial Narrow" w:hAnsi="Arial Narrow"/>
              </w:rPr>
              <w:t>.</w:t>
            </w:r>
            <w:r w:rsidR="00513A2A">
              <w:rPr>
                <w:rFonts w:ascii="Arial Narrow" w:hAnsi="Arial Narrow"/>
              </w:rPr>
              <w:t xml:space="preserve"> (7.8, July 2015 PBAC minutes)</w:t>
            </w:r>
          </w:p>
        </w:tc>
        <w:tc>
          <w:tcPr>
            <w:tcW w:w="0" w:type="auto"/>
          </w:tcPr>
          <w:p w:rsidR="00437015" w:rsidRPr="00FB6683" w:rsidRDefault="00437015" w:rsidP="00437015">
            <w:pPr>
              <w:pStyle w:val="Tabletext"/>
              <w:rPr>
                <w:rFonts w:ascii="Arial Narrow" w:hAnsi="Arial Narrow"/>
              </w:rPr>
            </w:pPr>
            <w:r w:rsidRPr="00FB6683">
              <w:rPr>
                <w:rFonts w:ascii="Arial Narrow" w:hAnsi="Arial Narrow"/>
              </w:rPr>
              <w:lastRenderedPageBreak/>
              <w:t>No change in economic evaluation.</w:t>
            </w:r>
          </w:p>
          <w:p w:rsidR="00437015" w:rsidRPr="00FB6683" w:rsidRDefault="00437015" w:rsidP="00437015">
            <w:pPr>
              <w:pStyle w:val="Tabletext"/>
              <w:rPr>
                <w:rFonts w:ascii="Arial Narrow" w:hAnsi="Arial Narrow"/>
                <w:color w:val="0000FF"/>
              </w:rPr>
            </w:pPr>
          </w:p>
        </w:tc>
      </w:tr>
      <w:tr w:rsidR="00E43BA5" w:rsidRPr="00ED0F04" w:rsidTr="001A0E97">
        <w:trPr>
          <w:trHeight w:val="1130"/>
        </w:trPr>
        <w:tc>
          <w:tcPr>
            <w:tcW w:w="0" w:type="auto"/>
          </w:tcPr>
          <w:p w:rsidR="00437015" w:rsidRPr="00FB6683" w:rsidRDefault="00FB6683" w:rsidP="00437015">
            <w:pPr>
              <w:pStyle w:val="Tabletext"/>
              <w:rPr>
                <w:rFonts w:ascii="Arial Narrow" w:hAnsi="Arial Narrow"/>
              </w:rPr>
            </w:pPr>
            <w:r w:rsidRPr="00FB6683">
              <w:rPr>
                <w:rFonts w:ascii="Arial Narrow" w:hAnsi="Arial Narrow"/>
              </w:rPr>
              <w:lastRenderedPageBreak/>
              <w:t xml:space="preserve">FDC </w:t>
            </w:r>
            <w:r w:rsidR="00437015" w:rsidRPr="00FB6683">
              <w:rPr>
                <w:rFonts w:ascii="Arial Narrow" w:hAnsi="Arial Narrow"/>
              </w:rPr>
              <w:t>guidelines</w:t>
            </w:r>
          </w:p>
        </w:tc>
        <w:tc>
          <w:tcPr>
            <w:tcW w:w="0" w:type="auto"/>
          </w:tcPr>
          <w:p w:rsidR="00437015" w:rsidRPr="00FB6683" w:rsidRDefault="00FB6683" w:rsidP="00437015">
            <w:pPr>
              <w:pStyle w:val="Tabletext"/>
              <w:rPr>
                <w:rFonts w:ascii="Arial Narrow" w:hAnsi="Arial Narrow"/>
              </w:rPr>
            </w:pPr>
            <w:r w:rsidRPr="00FB6683">
              <w:rPr>
                <w:rFonts w:ascii="Arial Narrow" w:hAnsi="Arial Narrow"/>
                <w:b/>
              </w:rPr>
              <w:t xml:space="preserve">PBAC Comment: </w:t>
            </w:r>
            <w:r w:rsidR="00437015" w:rsidRPr="00FB6683">
              <w:rPr>
                <w:rFonts w:ascii="Arial Narrow" w:hAnsi="Arial Narrow"/>
              </w:rPr>
              <w:t>The PBAC remained concerned that the Fixed Dose Combination guidelines were not addressed in the submission.</w:t>
            </w:r>
            <w:r w:rsidR="00513A2A">
              <w:rPr>
                <w:rFonts w:ascii="Arial Narrow" w:hAnsi="Arial Narrow"/>
              </w:rPr>
              <w:t xml:space="preserve"> (7.3, July 2015 PBAC minutes)</w:t>
            </w:r>
          </w:p>
        </w:tc>
        <w:tc>
          <w:tcPr>
            <w:tcW w:w="0" w:type="auto"/>
          </w:tcPr>
          <w:p w:rsidR="00437015" w:rsidRPr="00FB6683" w:rsidRDefault="00437015" w:rsidP="00437015">
            <w:pPr>
              <w:pStyle w:val="Tabletext"/>
              <w:rPr>
                <w:rFonts w:ascii="Arial Narrow" w:hAnsi="Arial Narrow"/>
              </w:rPr>
            </w:pPr>
            <w:r w:rsidRPr="00FB6683">
              <w:rPr>
                <w:rFonts w:ascii="Arial Narrow" w:hAnsi="Arial Narrow"/>
              </w:rPr>
              <w:t>Provided table addressing FDC guidelines</w:t>
            </w:r>
            <w:r w:rsidR="00E43BA5">
              <w:rPr>
                <w:rFonts w:ascii="Arial Narrow" w:hAnsi="Arial Narrow"/>
              </w:rPr>
              <w:t xml:space="preserve"> (see Table 4)</w:t>
            </w:r>
          </w:p>
        </w:tc>
      </w:tr>
      <w:tr w:rsidR="00E43BA5" w:rsidRPr="00ED0F04" w:rsidTr="001A0E97">
        <w:trPr>
          <w:trHeight w:val="438"/>
        </w:trPr>
        <w:tc>
          <w:tcPr>
            <w:tcW w:w="0" w:type="auto"/>
          </w:tcPr>
          <w:p w:rsidR="00437015" w:rsidRPr="00FB6683" w:rsidRDefault="00437015" w:rsidP="00E43BA5">
            <w:pPr>
              <w:pStyle w:val="Tabletext"/>
              <w:rPr>
                <w:rFonts w:ascii="Arial Narrow" w:hAnsi="Arial Narrow"/>
              </w:rPr>
            </w:pPr>
            <w:r w:rsidRPr="00FB6683">
              <w:rPr>
                <w:rFonts w:ascii="Arial Narrow" w:hAnsi="Arial Narrow"/>
              </w:rPr>
              <w:br w:type="page"/>
            </w:r>
            <w:r w:rsidR="00E43BA5">
              <w:rPr>
                <w:rFonts w:ascii="Arial Narrow" w:hAnsi="Arial Narrow"/>
              </w:rPr>
              <w:t>Potential for leakage</w:t>
            </w:r>
          </w:p>
        </w:tc>
        <w:tc>
          <w:tcPr>
            <w:tcW w:w="0" w:type="auto"/>
          </w:tcPr>
          <w:p w:rsidR="00437015" w:rsidRPr="00FB6683" w:rsidRDefault="00E43BA5" w:rsidP="00437015">
            <w:pPr>
              <w:pStyle w:val="Tabletext"/>
              <w:rPr>
                <w:rFonts w:ascii="Arial Narrow" w:hAnsi="Arial Narrow"/>
              </w:rPr>
            </w:pPr>
            <w:r>
              <w:rPr>
                <w:rFonts w:ascii="Arial Narrow" w:hAnsi="Arial Narrow"/>
                <w:b/>
              </w:rPr>
              <w:t>PBAC Comment:</w:t>
            </w:r>
            <w:r>
              <w:rPr>
                <w:rFonts w:ascii="Arial Narrow" w:hAnsi="Arial Narrow"/>
              </w:rPr>
              <w:t xml:space="preserve"> The PBAC considered however, that despite the restriction, leakage was likely to occur in the population of patient scheduled to receive moderately emetogenic chemotherapy and also to patient who would usually only receive the 5-HT3 RA component because of the dose form being one tablet.</w:t>
            </w:r>
            <w:r w:rsidR="00437015" w:rsidRPr="00FB6683">
              <w:rPr>
                <w:rFonts w:ascii="Arial Narrow" w:hAnsi="Arial Narrow"/>
              </w:rPr>
              <w:t xml:space="preserve"> </w:t>
            </w:r>
            <w:r w:rsidR="00513A2A">
              <w:rPr>
                <w:rFonts w:ascii="Arial Narrow" w:hAnsi="Arial Narrow"/>
              </w:rPr>
              <w:t>(7.5, July 2015 PBAC minutes)</w:t>
            </w:r>
          </w:p>
        </w:tc>
        <w:tc>
          <w:tcPr>
            <w:tcW w:w="0" w:type="auto"/>
          </w:tcPr>
          <w:p w:rsidR="00437015" w:rsidRPr="00FB6683" w:rsidRDefault="006811B5" w:rsidP="00437015">
            <w:pPr>
              <w:pStyle w:val="Tabletext"/>
              <w:rPr>
                <w:rFonts w:ascii="Arial Narrow" w:hAnsi="Arial Narrow"/>
              </w:rPr>
            </w:pPr>
            <w:r>
              <w:rPr>
                <w:rFonts w:ascii="Arial Narrow" w:hAnsi="Arial Narrow"/>
              </w:rPr>
              <w:t>Proposed a risk sharing arrangement  to address risk of use beyond the proposed restriction (see paragraph 6.7)</w:t>
            </w:r>
          </w:p>
        </w:tc>
      </w:tr>
    </w:tbl>
    <w:p w:rsidR="00437015" w:rsidRDefault="00437015" w:rsidP="00437015">
      <w:pPr>
        <w:pStyle w:val="TableFooter"/>
        <w:ind w:firstLine="720"/>
      </w:pPr>
      <w:r w:rsidRPr="001D112E">
        <w:t xml:space="preserve">Source: Compiled </w:t>
      </w:r>
      <w:r>
        <w:t>for the Minor Overview</w:t>
      </w:r>
    </w:p>
    <w:p w:rsidR="00437015" w:rsidRPr="0018076E" w:rsidRDefault="00437015" w:rsidP="0018076E">
      <w:pPr>
        <w:pStyle w:val="TableFooter"/>
        <w:ind w:left="720"/>
      </w:pPr>
      <w:r>
        <w:t>DPMQ = dispensed price for maximum quantity; FDC = fixed dose combination; NEPA = netupitant/palonosetron; PBAC = Pharmaceutic</w:t>
      </w:r>
      <w:r w:rsidR="00FB6683">
        <w:t>al Benefits Advisory Committee</w:t>
      </w:r>
      <w:r w:rsidR="0018076E">
        <w:t>;</w:t>
      </w:r>
      <w:r w:rsidR="0018076E" w:rsidRPr="0018076E">
        <w:t xml:space="preserve"> </w:t>
      </w:r>
      <w:r w:rsidR="0018076E">
        <w:t>5-HT</w:t>
      </w:r>
      <w:r w:rsidR="0018076E">
        <w:rPr>
          <w:vertAlign w:val="subscript"/>
        </w:rPr>
        <w:t xml:space="preserve">3 </w:t>
      </w:r>
      <w:r w:rsidR="0018076E">
        <w:t>RA = serotonin receptor antagonist</w:t>
      </w:r>
    </w:p>
    <w:p w:rsidR="00BB7EC3" w:rsidRDefault="00BB7EC3" w:rsidP="00882085">
      <w:pPr>
        <w:jc w:val="both"/>
        <w:rPr>
          <w:rFonts w:ascii="Arial" w:hAnsi="Arial"/>
          <w:b/>
          <w:sz w:val="22"/>
          <w:szCs w:val="22"/>
        </w:rPr>
      </w:pPr>
    </w:p>
    <w:p w:rsidR="008A1956" w:rsidRPr="00882085" w:rsidRDefault="008A1956" w:rsidP="00882085">
      <w:pPr>
        <w:jc w:val="both"/>
        <w:rPr>
          <w:rFonts w:ascii="Arial" w:hAnsi="Arial"/>
          <w:b/>
          <w:sz w:val="22"/>
          <w:szCs w:val="22"/>
        </w:rPr>
      </w:pPr>
    </w:p>
    <w:p w:rsidR="00CE10C4" w:rsidRPr="00882085" w:rsidRDefault="00CE10C4" w:rsidP="003619E3">
      <w:pPr>
        <w:pStyle w:val="Heading1"/>
      </w:pPr>
      <w:r w:rsidRPr="00882085">
        <w:t>Clinical place for the proposed ther</w:t>
      </w:r>
      <w:r w:rsidR="006A12A5" w:rsidRPr="00882085">
        <w:t>apy</w:t>
      </w:r>
    </w:p>
    <w:p w:rsidR="00CE10C4" w:rsidRPr="00882085" w:rsidRDefault="00CE10C4" w:rsidP="00882085">
      <w:pPr>
        <w:jc w:val="both"/>
        <w:rPr>
          <w:rFonts w:ascii="Arial" w:hAnsi="Arial"/>
          <w:sz w:val="22"/>
          <w:szCs w:val="22"/>
        </w:rPr>
      </w:pPr>
    </w:p>
    <w:p w:rsidR="00387A30" w:rsidRPr="00387A30" w:rsidRDefault="00387A30" w:rsidP="005A46BF">
      <w:pPr>
        <w:pStyle w:val="ListParagraph"/>
        <w:widowControl w:val="0"/>
        <w:numPr>
          <w:ilvl w:val="1"/>
          <w:numId w:val="1"/>
        </w:numPr>
        <w:jc w:val="both"/>
        <w:rPr>
          <w:rFonts w:ascii="Arial" w:hAnsi="Arial"/>
          <w:sz w:val="22"/>
          <w:szCs w:val="22"/>
        </w:rPr>
      </w:pPr>
      <w:r w:rsidRPr="00387A30">
        <w:rPr>
          <w:rFonts w:ascii="Arial" w:hAnsi="Arial"/>
          <w:sz w:val="22"/>
          <w:szCs w:val="22"/>
        </w:rPr>
        <w:t>The re</w:t>
      </w:r>
      <w:r>
        <w:rPr>
          <w:rFonts w:ascii="Arial" w:hAnsi="Arial"/>
          <w:sz w:val="22"/>
          <w:szCs w:val="22"/>
        </w:rPr>
        <w:t>submission suggested, as previously, that</w:t>
      </w:r>
      <w:r w:rsidRPr="00387A30">
        <w:rPr>
          <w:rFonts w:ascii="Arial" w:hAnsi="Arial"/>
          <w:sz w:val="22"/>
          <w:szCs w:val="22"/>
        </w:rPr>
        <w:t xml:space="preserve"> the availability of a FDC regimen on the PBS will improve adherence to treatment guidelines at time of HEC administration, improve patient compliance in the home, and impact on resource use.</w:t>
      </w:r>
      <w:r w:rsidR="004422EC">
        <w:rPr>
          <w:rFonts w:ascii="Arial" w:hAnsi="Arial"/>
          <w:sz w:val="22"/>
          <w:szCs w:val="22"/>
        </w:rPr>
        <w:t xml:space="preserve"> The resubmission pro</w:t>
      </w:r>
      <w:r w:rsidR="00DD46F9">
        <w:rPr>
          <w:rFonts w:ascii="Arial" w:hAnsi="Arial"/>
          <w:sz w:val="22"/>
          <w:szCs w:val="22"/>
        </w:rPr>
        <w:t>po</w:t>
      </w:r>
      <w:r w:rsidR="004422EC">
        <w:rPr>
          <w:rFonts w:ascii="Arial" w:hAnsi="Arial"/>
          <w:sz w:val="22"/>
          <w:szCs w:val="22"/>
        </w:rPr>
        <w:t xml:space="preserve">sed that </w:t>
      </w:r>
      <w:r w:rsidR="004422EC" w:rsidRPr="004422EC">
        <w:rPr>
          <w:rFonts w:ascii="Arial" w:hAnsi="Arial"/>
          <w:sz w:val="22"/>
          <w:szCs w:val="22"/>
        </w:rPr>
        <w:t xml:space="preserve">the key benefits to patients and nursing staff by developing </w:t>
      </w:r>
      <w:r w:rsidR="003F458C">
        <w:rPr>
          <w:rFonts w:ascii="Arial" w:hAnsi="Arial"/>
          <w:sz w:val="22"/>
          <w:szCs w:val="22"/>
        </w:rPr>
        <w:t xml:space="preserve">NEPA </w:t>
      </w:r>
      <w:r w:rsidR="004422EC" w:rsidRPr="004422EC">
        <w:rPr>
          <w:rFonts w:ascii="Arial" w:hAnsi="Arial"/>
          <w:sz w:val="22"/>
          <w:szCs w:val="22"/>
        </w:rPr>
        <w:t>as a FDC of two mandatorily combined single agents are the reduction in pill burden, greater convenience and potentially improved compliance.</w:t>
      </w:r>
      <w:r w:rsidR="003F458C">
        <w:rPr>
          <w:rFonts w:ascii="Arial" w:hAnsi="Arial"/>
          <w:sz w:val="22"/>
          <w:szCs w:val="22"/>
        </w:rPr>
        <w:t xml:space="preserve"> </w:t>
      </w:r>
      <w:r w:rsidR="005A46BF">
        <w:rPr>
          <w:rFonts w:ascii="Arial" w:hAnsi="Arial"/>
          <w:sz w:val="22"/>
          <w:szCs w:val="22"/>
        </w:rPr>
        <w:t>Following</w:t>
      </w:r>
      <w:r w:rsidR="003F458C" w:rsidRPr="003F458C">
        <w:rPr>
          <w:rFonts w:ascii="Arial" w:hAnsi="Arial"/>
          <w:sz w:val="22"/>
          <w:szCs w:val="22"/>
        </w:rPr>
        <w:t xml:space="preserve"> the FDA approval of </w:t>
      </w:r>
      <w:r w:rsidR="003F458C">
        <w:rPr>
          <w:rFonts w:ascii="Arial" w:hAnsi="Arial"/>
          <w:sz w:val="22"/>
          <w:szCs w:val="22"/>
        </w:rPr>
        <w:t>NEPA</w:t>
      </w:r>
      <w:r w:rsidR="003F458C" w:rsidRPr="003F458C">
        <w:rPr>
          <w:rFonts w:ascii="Arial" w:hAnsi="Arial"/>
          <w:sz w:val="22"/>
          <w:szCs w:val="22"/>
        </w:rPr>
        <w:t xml:space="preserve">, the NCCN guidelines </w:t>
      </w:r>
      <w:r w:rsidR="003F458C">
        <w:rPr>
          <w:rFonts w:ascii="Arial" w:hAnsi="Arial"/>
          <w:sz w:val="22"/>
          <w:szCs w:val="22"/>
        </w:rPr>
        <w:t>for HEC emesis prevention wer</w:t>
      </w:r>
      <w:r w:rsidR="003F458C" w:rsidRPr="003F458C">
        <w:rPr>
          <w:rFonts w:ascii="Arial" w:hAnsi="Arial"/>
          <w:sz w:val="22"/>
          <w:szCs w:val="22"/>
        </w:rPr>
        <w:t xml:space="preserve">e updated to specifically include </w:t>
      </w:r>
      <w:r w:rsidR="003F458C">
        <w:rPr>
          <w:rFonts w:ascii="Arial" w:hAnsi="Arial"/>
          <w:sz w:val="22"/>
          <w:szCs w:val="22"/>
        </w:rPr>
        <w:t>NEPA (see Figure 1 of the resubmission).</w:t>
      </w:r>
    </w:p>
    <w:p w:rsidR="00C35996" w:rsidRPr="00882085" w:rsidRDefault="00C35996" w:rsidP="00882085">
      <w:pPr>
        <w:pStyle w:val="ListParagraph"/>
        <w:jc w:val="both"/>
        <w:rPr>
          <w:rFonts w:ascii="Arial" w:hAnsi="Arial"/>
          <w:sz w:val="22"/>
          <w:szCs w:val="22"/>
        </w:rPr>
      </w:pPr>
    </w:p>
    <w:p w:rsidR="008A1956" w:rsidRPr="00882085" w:rsidRDefault="008A1956" w:rsidP="00882085">
      <w:pPr>
        <w:pStyle w:val="Header"/>
        <w:tabs>
          <w:tab w:val="clear" w:pos="4153"/>
          <w:tab w:val="clear" w:pos="8306"/>
        </w:tabs>
        <w:jc w:val="both"/>
        <w:rPr>
          <w:rFonts w:ascii="Arial" w:hAnsi="Arial"/>
          <w:sz w:val="22"/>
          <w:szCs w:val="22"/>
        </w:rPr>
      </w:pPr>
    </w:p>
    <w:p w:rsidR="005A3173" w:rsidRPr="00882085" w:rsidRDefault="005A3173" w:rsidP="003619E3">
      <w:pPr>
        <w:pStyle w:val="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76245" w:rsidRPr="00882085" w:rsidRDefault="00D039D6" w:rsidP="005A46BF">
      <w:pPr>
        <w:pStyle w:val="ListParagraph"/>
        <w:numPr>
          <w:ilvl w:val="1"/>
          <w:numId w:val="1"/>
        </w:numPr>
        <w:jc w:val="both"/>
        <w:rPr>
          <w:rFonts w:ascii="Arial" w:hAnsi="Arial"/>
          <w:sz w:val="22"/>
          <w:szCs w:val="22"/>
        </w:rPr>
      </w:pPr>
      <w:r>
        <w:rPr>
          <w:rFonts w:ascii="Arial" w:hAnsi="Arial"/>
          <w:sz w:val="22"/>
          <w:szCs w:val="22"/>
        </w:rPr>
        <w:t>The previous</w:t>
      </w:r>
      <w:r w:rsidR="00476245">
        <w:rPr>
          <w:rFonts w:ascii="Arial" w:hAnsi="Arial"/>
          <w:sz w:val="22"/>
          <w:szCs w:val="22"/>
        </w:rPr>
        <w:t xml:space="preserve"> submission</w:t>
      </w:r>
      <w:r>
        <w:rPr>
          <w:rFonts w:ascii="Arial" w:hAnsi="Arial"/>
          <w:sz w:val="22"/>
          <w:szCs w:val="22"/>
        </w:rPr>
        <w:t>s</w:t>
      </w:r>
      <w:r w:rsidR="00476245">
        <w:rPr>
          <w:rFonts w:ascii="Arial" w:hAnsi="Arial"/>
          <w:sz w:val="22"/>
          <w:szCs w:val="22"/>
        </w:rPr>
        <w:t xml:space="preserve"> considered by the PBAC in </w:t>
      </w:r>
      <w:r>
        <w:rPr>
          <w:rFonts w:ascii="Arial" w:hAnsi="Arial"/>
          <w:sz w:val="22"/>
          <w:szCs w:val="22"/>
        </w:rPr>
        <w:t xml:space="preserve">March 2015 and July 2015 </w:t>
      </w:r>
      <w:r w:rsidR="00FF2801">
        <w:rPr>
          <w:rFonts w:ascii="Arial" w:hAnsi="Arial"/>
          <w:sz w:val="22"/>
          <w:szCs w:val="22"/>
        </w:rPr>
        <w:t xml:space="preserve">nominated </w:t>
      </w:r>
      <w:r>
        <w:rPr>
          <w:rFonts w:ascii="Arial" w:hAnsi="Arial"/>
          <w:sz w:val="22"/>
          <w:szCs w:val="22"/>
        </w:rPr>
        <w:t>aprepitant plus a 5-HT3 receptor antagonist</w:t>
      </w:r>
      <w:r w:rsidR="00DD46F9">
        <w:rPr>
          <w:rFonts w:ascii="Arial" w:hAnsi="Arial"/>
          <w:sz w:val="22"/>
          <w:szCs w:val="22"/>
        </w:rPr>
        <w:t xml:space="preserve"> (</w:t>
      </w:r>
      <w:r w:rsidR="00DD46F9" w:rsidRPr="00AF41C5">
        <w:rPr>
          <w:rFonts w:ascii="Arial" w:hAnsi="Arial" w:cs="Arial"/>
          <w:snapToGrid w:val="0"/>
          <w:sz w:val="22"/>
          <w:szCs w:val="22"/>
          <w:lang w:eastAsia="en-US"/>
        </w:rPr>
        <w:t>5-HT</w:t>
      </w:r>
      <w:r w:rsidR="00DD46F9" w:rsidRPr="00AF41C5">
        <w:rPr>
          <w:rFonts w:ascii="Arial" w:hAnsi="Arial" w:cs="Arial"/>
          <w:snapToGrid w:val="0"/>
          <w:sz w:val="22"/>
          <w:szCs w:val="22"/>
          <w:vertAlign w:val="subscript"/>
          <w:lang w:eastAsia="en-US"/>
        </w:rPr>
        <w:t xml:space="preserve">3 </w:t>
      </w:r>
      <w:r w:rsidR="00DD46F9" w:rsidRPr="00AF41C5">
        <w:rPr>
          <w:rFonts w:ascii="Arial" w:hAnsi="Arial" w:cs="Arial"/>
          <w:snapToGrid w:val="0"/>
          <w:sz w:val="22"/>
          <w:szCs w:val="22"/>
          <w:lang w:eastAsia="en-US"/>
        </w:rPr>
        <w:t>RA</w:t>
      </w:r>
      <w:r w:rsidR="00DD46F9">
        <w:rPr>
          <w:rFonts w:ascii="Arial" w:hAnsi="Arial" w:cs="Arial"/>
          <w:snapToGrid w:val="0"/>
          <w:sz w:val="22"/>
          <w:szCs w:val="22"/>
          <w:lang w:eastAsia="en-US"/>
        </w:rPr>
        <w:t>).</w:t>
      </w:r>
      <w:r w:rsidR="00FF2801">
        <w:rPr>
          <w:rFonts w:ascii="Arial" w:hAnsi="Arial"/>
          <w:sz w:val="22"/>
          <w:szCs w:val="22"/>
        </w:rPr>
        <w:t xml:space="preserve">  This wa</w:t>
      </w:r>
      <w:r w:rsidR="00476245">
        <w:rPr>
          <w:rFonts w:ascii="Arial" w:hAnsi="Arial"/>
          <w:sz w:val="22"/>
          <w:szCs w:val="22"/>
        </w:rPr>
        <w:t>s unchanged.</w:t>
      </w:r>
      <w:r w:rsidR="00826F6D">
        <w:rPr>
          <w:rFonts w:ascii="Arial" w:hAnsi="Arial"/>
          <w:sz w:val="22"/>
          <w:szCs w:val="22"/>
        </w:rPr>
        <w:t xml:space="preserve"> </w:t>
      </w:r>
      <w:r>
        <w:rPr>
          <w:rFonts w:ascii="Arial" w:hAnsi="Arial"/>
          <w:sz w:val="22"/>
          <w:szCs w:val="22"/>
        </w:rPr>
        <w:t xml:space="preserve">The PBAC has previously </w:t>
      </w:r>
      <w:r w:rsidR="00AF41C5">
        <w:rPr>
          <w:rFonts w:ascii="Arial" w:hAnsi="Arial"/>
          <w:sz w:val="22"/>
          <w:szCs w:val="22"/>
        </w:rPr>
        <w:t>considered</w:t>
      </w:r>
      <w:r>
        <w:rPr>
          <w:rFonts w:ascii="Arial" w:hAnsi="Arial"/>
          <w:sz w:val="22"/>
          <w:szCs w:val="22"/>
        </w:rPr>
        <w:t xml:space="preserve"> this as the appropriate comparator.</w:t>
      </w:r>
    </w:p>
    <w:p w:rsidR="00DF26A7" w:rsidRDefault="00DF26A7" w:rsidP="00476245">
      <w:pPr>
        <w:jc w:val="both"/>
        <w:rPr>
          <w:rFonts w:ascii="Arial" w:hAnsi="Arial"/>
          <w:sz w:val="22"/>
          <w:szCs w:val="22"/>
        </w:rPr>
      </w:pPr>
    </w:p>
    <w:p w:rsidR="008A1956" w:rsidRPr="003619E3" w:rsidRDefault="00B05EB6" w:rsidP="003619E3">
      <w:pPr>
        <w:pStyle w:val="ListParagraph"/>
        <w:ind w:left="709"/>
        <w:jc w:val="both"/>
        <w:rPr>
          <w:rFonts w:ascii="Arial" w:hAnsi="Arial"/>
          <w:i/>
          <w:sz w:val="22"/>
          <w:szCs w:val="22"/>
        </w:rPr>
      </w:pPr>
      <w:r w:rsidRPr="00E01527">
        <w:rPr>
          <w:rFonts w:ascii="Arial" w:hAnsi="Arial"/>
          <w:i/>
          <w:sz w:val="22"/>
          <w:szCs w:val="22"/>
        </w:rPr>
        <w:t>For more detail on PBAC’s view, see section 7 “PBAC outcome”</w:t>
      </w:r>
    </w:p>
    <w:p w:rsidR="00B05EB6" w:rsidRPr="00476245" w:rsidRDefault="00B05EB6" w:rsidP="00476245">
      <w:pPr>
        <w:jc w:val="both"/>
        <w:rPr>
          <w:rFonts w:ascii="Arial" w:hAnsi="Arial"/>
          <w:sz w:val="22"/>
          <w:szCs w:val="22"/>
        </w:rPr>
      </w:pPr>
    </w:p>
    <w:p w:rsidR="000B558D" w:rsidRPr="00882085" w:rsidRDefault="00747C98" w:rsidP="003619E3">
      <w:pPr>
        <w:pStyle w:val="Heading1"/>
      </w:pPr>
      <w:r>
        <w:t>PBAC c</w:t>
      </w:r>
      <w:r w:rsidR="00D84934">
        <w:t>onsideration of the evidence</w:t>
      </w:r>
    </w:p>
    <w:p w:rsidR="00DC738B" w:rsidRPr="00923937" w:rsidRDefault="00DC738B" w:rsidP="00DC738B">
      <w:pPr>
        <w:jc w:val="both"/>
        <w:rPr>
          <w:rFonts w:ascii="Arial" w:hAnsi="Arial"/>
          <w:b/>
          <w:sz w:val="22"/>
          <w:szCs w:val="22"/>
        </w:rPr>
      </w:pPr>
    </w:p>
    <w:p w:rsidR="00DC738B" w:rsidRPr="00923937" w:rsidRDefault="00DC738B" w:rsidP="003619E3">
      <w:pPr>
        <w:pStyle w:val="Heading2"/>
      </w:pPr>
      <w:r w:rsidRPr="00923937">
        <w:t xml:space="preserve">Sponsor </w:t>
      </w:r>
      <w:r w:rsidRPr="003619E3">
        <w:t>hearing</w:t>
      </w:r>
    </w:p>
    <w:p w:rsidR="00DC738B" w:rsidRPr="00923937" w:rsidRDefault="00DC738B" w:rsidP="00DC738B">
      <w:pPr>
        <w:jc w:val="both"/>
        <w:rPr>
          <w:rFonts w:ascii="Arial" w:hAnsi="Arial"/>
          <w:b/>
          <w:sz w:val="22"/>
          <w:szCs w:val="22"/>
        </w:rPr>
      </w:pPr>
    </w:p>
    <w:p w:rsidR="00DC738B" w:rsidRPr="00923937" w:rsidRDefault="00DC738B" w:rsidP="00DC738B">
      <w:pPr>
        <w:pStyle w:val="ListParagraph"/>
        <w:numPr>
          <w:ilvl w:val="1"/>
          <w:numId w:val="1"/>
        </w:numPr>
        <w:jc w:val="both"/>
        <w:rPr>
          <w:rFonts w:ascii="Arial" w:hAnsi="Arial"/>
          <w:b/>
          <w:sz w:val="22"/>
          <w:szCs w:val="22"/>
        </w:rPr>
      </w:pPr>
      <w:r w:rsidRPr="00923937">
        <w:rPr>
          <w:rFonts w:ascii="Arial" w:hAnsi="Arial" w:cs="Arial"/>
          <w:bCs/>
          <w:snapToGrid w:val="0"/>
          <w:sz w:val="22"/>
          <w:szCs w:val="22"/>
        </w:rPr>
        <w:t>There was no hearing for this item as it was a minor submission.</w:t>
      </w:r>
    </w:p>
    <w:p w:rsidR="00DC738B" w:rsidRDefault="00DC738B" w:rsidP="00DC738B">
      <w:pPr>
        <w:jc w:val="both"/>
        <w:rPr>
          <w:rFonts w:ascii="Arial" w:hAnsi="Arial"/>
          <w:b/>
          <w:sz w:val="22"/>
          <w:szCs w:val="22"/>
        </w:rPr>
      </w:pPr>
    </w:p>
    <w:p w:rsidR="003619E3" w:rsidRDefault="003619E3">
      <w:pPr>
        <w:rPr>
          <w:rFonts w:ascii="Arial" w:hAnsi="Arial"/>
          <w:b/>
          <w:sz w:val="22"/>
          <w:szCs w:val="22"/>
        </w:rPr>
      </w:pPr>
      <w:r>
        <w:rPr>
          <w:rFonts w:ascii="Arial" w:hAnsi="Arial"/>
          <w:b/>
          <w:sz w:val="22"/>
          <w:szCs w:val="22"/>
        </w:rPr>
        <w:br w:type="page"/>
      </w:r>
    </w:p>
    <w:p w:rsidR="00DC738B" w:rsidRPr="00C550BB" w:rsidRDefault="00DC738B" w:rsidP="003619E3">
      <w:pPr>
        <w:pStyle w:val="Heading2"/>
      </w:pPr>
      <w:r w:rsidRPr="00C550BB">
        <w:lastRenderedPageBreak/>
        <w:t>Consumer comments</w:t>
      </w:r>
    </w:p>
    <w:p w:rsidR="00DC738B" w:rsidRPr="00C550BB" w:rsidRDefault="00DC738B" w:rsidP="00DC738B">
      <w:pPr>
        <w:jc w:val="both"/>
        <w:rPr>
          <w:rFonts w:ascii="Arial" w:hAnsi="Arial"/>
          <w:b/>
          <w:sz w:val="22"/>
          <w:szCs w:val="22"/>
        </w:rPr>
      </w:pPr>
    </w:p>
    <w:p w:rsidR="00DC738B" w:rsidRPr="00C550BB" w:rsidRDefault="00DC738B" w:rsidP="00DC738B">
      <w:pPr>
        <w:pStyle w:val="ListParagraph"/>
        <w:numPr>
          <w:ilvl w:val="1"/>
          <w:numId w:val="1"/>
        </w:numPr>
        <w:jc w:val="both"/>
        <w:rPr>
          <w:rFonts w:ascii="Arial" w:hAnsi="Arial"/>
          <w:b/>
          <w:sz w:val="22"/>
          <w:szCs w:val="22"/>
        </w:rPr>
      </w:pPr>
      <w:r w:rsidRPr="00C550BB">
        <w:rPr>
          <w:rFonts w:ascii="Arial" w:hAnsi="Arial" w:cs="Arial"/>
          <w:bCs/>
          <w:snapToGrid w:val="0"/>
          <w:sz w:val="22"/>
          <w:szCs w:val="22"/>
        </w:rPr>
        <w:t>The PBAC noted that no consumer comments were received for this item.</w:t>
      </w:r>
    </w:p>
    <w:p w:rsidR="00BB7EC3" w:rsidRDefault="00BB7EC3" w:rsidP="00F9629A">
      <w:pPr>
        <w:jc w:val="both"/>
        <w:rPr>
          <w:rFonts w:ascii="Arial" w:hAnsi="Arial"/>
          <w:sz w:val="22"/>
          <w:szCs w:val="22"/>
        </w:rPr>
      </w:pPr>
    </w:p>
    <w:p w:rsidR="00D84934" w:rsidRPr="00DC738B" w:rsidRDefault="00D84934" w:rsidP="003619E3">
      <w:pPr>
        <w:pStyle w:val="Heading2"/>
      </w:pPr>
      <w:r w:rsidRPr="00DC738B">
        <w:t>Clinical trials</w:t>
      </w:r>
    </w:p>
    <w:p w:rsidR="00D84934" w:rsidRPr="00DC738B" w:rsidRDefault="00D84934" w:rsidP="00F9629A">
      <w:pPr>
        <w:jc w:val="both"/>
        <w:rPr>
          <w:rFonts w:ascii="Arial" w:hAnsi="Arial"/>
          <w:sz w:val="22"/>
          <w:szCs w:val="22"/>
        </w:rPr>
      </w:pPr>
    </w:p>
    <w:p w:rsidR="0076420C" w:rsidRPr="00DC738B" w:rsidRDefault="0076420C" w:rsidP="005A46BF">
      <w:pPr>
        <w:pStyle w:val="ListParagraph"/>
        <w:numPr>
          <w:ilvl w:val="1"/>
          <w:numId w:val="1"/>
        </w:numPr>
        <w:jc w:val="both"/>
        <w:rPr>
          <w:rFonts w:ascii="Arial" w:hAnsi="Arial"/>
          <w:sz w:val="22"/>
          <w:szCs w:val="22"/>
        </w:rPr>
      </w:pPr>
      <w:r w:rsidRPr="00DC738B">
        <w:rPr>
          <w:rFonts w:ascii="Arial" w:hAnsi="Arial"/>
          <w:sz w:val="22"/>
          <w:szCs w:val="22"/>
        </w:rPr>
        <w:t xml:space="preserve">As a minor submission, no new clinical </w:t>
      </w:r>
      <w:r w:rsidR="00AF41C5" w:rsidRPr="00DC738B">
        <w:rPr>
          <w:rFonts w:ascii="Arial" w:hAnsi="Arial"/>
          <w:sz w:val="22"/>
          <w:szCs w:val="22"/>
        </w:rPr>
        <w:t>data</w:t>
      </w:r>
      <w:r w:rsidRPr="00DC738B">
        <w:rPr>
          <w:rFonts w:ascii="Arial" w:hAnsi="Arial"/>
          <w:sz w:val="22"/>
          <w:szCs w:val="22"/>
        </w:rPr>
        <w:t xml:space="preserve"> </w:t>
      </w:r>
      <w:r w:rsidR="00FF2801" w:rsidRPr="00DC738B">
        <w:rPr>
          <w:rFonts w:ascii="Arial" w:hAnsi="Arial"/>
          <w:sz w:val="22"/>
          <w:szCs w:val="22"/>
        </w:rPr>
        <w:t>were</w:t>
      </w:r>
      <w:r w:rsidRPr="00DC738B">
        <w:rPr>
          <w:rFonts w:ascii="Arial" w:hAnsi="Arial"/>
          <w:sz w:val="22"/>
          <w:szCs w:val="22"/>
        </w:rPr>
        <w:t xml:space="preserve"> presented in the re-submission.</w:t>
      </w:r>
    </w:p>
    <w:p w:rsidR="00BB7EC3" w:rsidRPr="00DC738B" w:rsidRDefault="00BB7EC3" w:rsidP="009B0F67">
      <w:pPr>
        <w:jc w:val="both"/>
        <w:rPr>
          <w:rFonts w:ascii="Arial" w:hAnsi="Arial"/>
          <w:sz w:val="22"/>
          <w:szCs w:val="22"/>
        </w:rPr>
      </w:pPr>
    </w:p>
    <w:p w:rsidR="00AF41C5" w:rsidRPr="00DC738B" w:rsidRDefault="00AF41C5" w:rsidP="003619E3">
      <w:pPr>
        <w:pStyle w:val="Heading2"/>
        <w:rPr>
          <w:snapToGrid w:val="0"/>
          <w:lang w:eastAsia="en-US"/>
        </w:rPr>
      </w:pPr>
      <w:r w:rsidRPr="00DC738B">
        <w:rPr>
          <w:snapToGrid w:val="0"/>
          <w:lang w:eastAsia="en-US"/>
        </w:rPr>
        <w:t>Comparative effectiveness and harms</w:t>
      </w:r>
    </w:p>
    <w:p w:rsidR="00AF41C5" w:rsidRPr="00AF41C5" w:rsidRDefault="00AF41C5" w:rsidP="00AF41C5">
      <w:pPr>
        <w:widowControl w:val="0"/>
        <w:jc w:val="both"/>
        <w:rPr>
          <w:rFonts w:ascii="Arial" w:hAnsi="Arial" w:cs="Arial"/>
          <w:snapToGrid w:val="0"/>
          <w:sz w:val="22"/>
          <w:szCs w:val="22"/>
          <w:lang w:eastAsia="en-US"/>
        </w:rPr>
      </w:pPr>
    </w:p>
    <w:p w:rsidR="00AF41C5" w:rsidRPr="00AF41C5" w:rsidRDefault="00AF41C5" w:rsidP="005A46BF">
      <w:pPr>
        <w:widowControl w:val="0"/>
        <w:numPr>
          <w:ilvl w:val="1"/>
          <w:numId w:val="1"/>
        </w:numPr>
        <w:contextualSpacing/>
        <w:jc w:val="both"/>
        <w:rPr>
          <w:rFonts w:ascii="Arial" w:hAnsi="Arial" w:cs="Arial"/>
          <w:snapToGrid w:val="0"/>
          <w:sz w:val="22"/>
          <w:szCs w:val="22"/>
          <w:lang w:eastAsia="en-US"/>
        </w:rPr>
      </w:pPr>
      <w:r w:rsidRPr="00AF41C5">
        <w:rPr>
          <w:rFonts w:ascii="Arial" w:hAnsi="Arial" w:cs="Arial"/>
          <w:snapToGrid w:val="0"/>
          <w:sz w:val="22"/>
          <w:szCs w:val="22"/>
          <w:lang w:eastAsia="en-US"/>
        </w:rPr>
        <w:t xml:space="preserve">The PBAC </w:t>
      </w:r>
      <w:r w:rsidR="00513A2A">
        <w:rPr>
          <w:rFonts w:ascii="Arial" w:hAnsi="Arial" w:cs="Arial"/>
          <w:snapToGrid w:val="0"/>
          <w:sz w:val="22"/>
          <w:szCs w:val="22"/>
          <w:lang w:eastAsia="en-US"/>
        </w:rPr>
        <w:t xml:space="preserve">previously </w:t>
      </w:r>
      <w:r w:rsidRPr="00AF41C5">
        <w:rPr>
          <w:rFonts w:ascii="Arial" w:hAnsi="Arial" w:cs="Arial"/>
          <w:snapToGrid w:val="0"/>
          <w:sz w:val="22"/>
          <w:szCs w:val="22"/>
          <w:lang w:eastAsia="en-US"/>
        </w:rPr>
        <w:t>considered that despite the wide confidence intervals, the clinical claim that NEPA was non-inferior to aprepitant plus a 5-HT</w:t>
      </w:r>
      <w:r w:rsidRPr="00AF41C5">
        <w:rPr>
          <w:rFonts w:ascii="Arial" w:hAnsi="Arial" w:cs="Arial"/>
          <w:snapToGrid w:val="0"/>
          <w:sz w:val="22"/>
          <w:szCs w:val="22"/>
          <w:vertAlign w:val="subscript"/>
          <w:lang w:eastAsia="en-US"/>
        </w:rPr>
        <w:t xml:space="preserve">3 </w:t>
      </w:r>
      <w:r w:rsidRPr="00AF41C5">
        <w:rPr>
          <w:rFonts w:ascii="Arial" w:hAnsi="Arial" w:cs="Arial"/>
          <w:snapToGrid w:val="0"/>
          <w:sz w:val="22"/>
          <w:szCs w:val="22"/>
          <w:lang w:eastAsia="en-US"/>
        </w:rPr>
        <w:t>RA was reasonably well supported for patients scheduled to receive highly emetogenic chemotherapy and in patients with breast cancer scheduled to receive anthracycline plus cyclophosphamide based regimens (paragraph 7.6 of the March 2015 minutes).</w:t>
      </w:r>
    </w:p>
    <w:p w:rsidR="00AF41C5" w:rsidRPr="00AF41C5" w:rsidRDefault="00AF41C5" w:rsidP="00AF41C5">
      <w:pPr>
        <w:widowControl w:val="0"/>
        <w:ind w:left="720"/>
        <w:contextualSpacing/>
        <w:jc w:val="both"/>
        <w:rPr>
          <w:rFonts w:ascii="Arial" w:hAnsi="Arial" w:cs="Arial"/>
          <w:snapToGrid w:val="0"/>
          <w:sz w:val="22"/>
          <w:szCs w:val="22"/>
          <w:lang w:eastAsia="en-US"/>
        </w:rPr>
      </w:pPr>
    </w:p>
    <w:p w:rsidR="00AF41C5" w:rsidRPr="00AF41C5" w:rsidRDefault="00AF41C5" w:rsidP="005A46BF">
      <w:pPr>
        <w:widowControl w:val="0"/>
        <w:numPr>
          <w:ilvl w:val="1"/>
          <w:numId w:val="1"/>
        </w:numPr>
        <w:contextualSpacing/>
        <w:jc w:val="both"/>
        <w:rPr>
          <w:rFonts w:ascii="Arial" w:hAnsi="Arial" w:cs="Arial"/>
          <w:snapToGrid w:val="0"/>
          <w:sz w:val="22"/>
          <w:szCs w:val="22"/>
          <w:lang w:eastAsia="en-US"/>
        </w:rPr>
      </w:pPr>
      <w:r w:rsidRPr="00AF41C5">
        <w:rPr>
          <w:rFonts w:ascii="Arial" w:hAnsi="Arial" w:cs="Arial"/>
          <w:snapToGrid w:val="0"/>
          <w:sz w:val="22"/>
          <w:szCs w:val="22"/>
          <w:lang w:eastAsia="en-US"/>
        </w:rPr>
        <w:t xml:space="preserve">The PBAC </w:t>
      </w:r>
      <w:r w:rsidR="00513A2A">
        <w:rPr>
          <w:rFonts w:ascii="Arial" w:hAnsi="Arial" w:cs="Arial"/>
          <w:snapToGrid w:val="0"/>
          <w:sz w:val="22"/>
          <w:szCs w:val="22"/>
          <w:lang w:eastAsia="en-US"/>
        </w:rPr>
        <w:t xml:space="preserve">previously </w:t>
      </w:r>
      <w:r w:rsidRPr="00AF41C5">
        <w:rPr>
          <w:rFonts w:ascii="Arial" w:hAnsi="Arial" w:cs="Arial"/>
          <w:snapToGrid w:val="0"/>
          <w:sz w:val="22"/>
          <w:szCs w:val="22"/>
          <w:lang w:eastAsia="en-US"/>
        </w:rPr>
        <w:t>considered that the claim of non-inferior comparative safety was reasonable (paragraph 6.18 of the March 2015 minutes).</w:t>
      </w:r>
    </w:p>
    <w:p w:rsidR="00FA6055" w:rsidRDefault="00FA6055" w:rsidP="00B6773F">
      <w:pPr>
        <w:jc w:val="both"/>
        <w:rPr>
          <w:rFonts w:ascii="Arial" w:hAnsi="Arial"/>
          <w:sz w:val="22"/>
          <w:szCs w:val="22"/>
        </w:rPr>
      </w:pPr>
    </w:p>
    <w:p w:rsidR="005A3173" w:rsidRPr="00DC738B" w:rsidRDefault="005A3173" w:rsidP="003619E3">
      <w:pPr>
        <w:pStyle w:val="Heading2"/>
      </w:pPr>
      <w:r w:rsidRPr="00DC738B">
        <w:t>Economic analysis</w:t>
      </w:r>
    </w:p>
    <w:p w:rsidR="005A3173" w:rsidRPr="00882085" w:rsidRDefault="005A3173" w:rsidP="00D84934">
      <w:pPr>
        <w:pStyle w:val="NoSpacing"/>
      </w:pPr>
    </w:p>
    <w:p w:rsidR="009B0F67" w:rsidRPr="00C00DA7" w:rsidRDefault="009B0F67" w:rsidP="005A46BF">
      <w:pPr>
        <w:pStyle w:val="ListParagraph"/>
        <w:numPr>
          <w:ilvl w:val="1"/>
          <w:numId w:val="1"/>
        </w:numPr>
        <w:jc w:val="both"/>
        <w:rPr>
          <w:rFonts w:ascii="Arial" w:hAnsi="Arial"/>
          <w:sz w:val="22"/>
          <w:szCs w:val="22"/>
        </w:rPr>
      </w:pPr>
      <w:r>
        <w:rPr>
          <w:rFonts w:ascii="Arial" w:hAnsi="Arial"/>
          <w:sz w:val="22"/>
          <w:szCs w:val="22"/>
        </w:rPr>
        <w:t xml:space="preserve">In the previous major submission considered by PBAC in </w:t>
      </w:r>
      <w:r w:rsidR="00697B26">
        <w:rPr>
          <w:rFonts w:ascii="Arial" w:hAnsi="Arial"/>
          <w:sz w:val="22"/>
          <w:szCs w:val="22"/>
        </w:rPr>
        <w:t>March 2015</w:t>
      </w:r>
      <w:r>
        <w:rPr>
          <w:rFonts w:ascii="Arial" w:hAnsi="Arial"/>
          <w:sz w:val="22"/>
          <w:szCs w:val="22"/>
        </w:rPr>
        <w:t>, the submission pr</w:t>
      </w:r>
      <w:r w:rsidRPr="00697B26">
        <w:rPr>
          <w:rFonts w:ascii="Arial" w:hAnsi="Arial" w:cs="Arial"/>
          <w:sz w:val="22"/>
          <w:szCs w:val="22"/>
        </w:rPr>
        <w:t>esented a cost-minimisation analysis</w:t>
      </w:r>
      <w:r w:rsidR="00697B26" w:rsidRPr="00697B26">
        <w:rPr>
          <w:rFonts w:ascii="Arial" w:hAnsi="Arial" w:cs="Arial"/>
          <w:sz w:val="22"/>
          <w:szCs w:val="22"/>
        </w:rPr>
        <w:t xml:space="preserve"> against aprepitant plus a 5-HT</w:t>
      </w:r>
      <w:r w:rsidR="00697B26" w:rsidRPr="00697B26">
        <w:rPr>
          <w:rFonts w:ascii="Arial" w:hAnsi="Arial" w:cs="Arial"/>
          <w:sz w:val="22"/>
          <w:szCs w:val="22"/>
          <w:vertAlign w:val="subscript"/>
        </w:rPr>
        <w:t>3</w:t>
      </w:r>
      <w:r w:rsidR="00697B26" w:rsidRPr="00697B26">
        <w:rPr>
          <w:rFonts w:ascii="Arial" w:hAnsi="Arial" w:cs="Arial"/>
          <w:sz w:val="22"/>
          <w:szCs w:val="22"/>
        </w:rPr>
        <w:t xml:space="preserve"> RA. The PBAC considered the economic evaluation presented to be a cost comparison, rather than a cost-minimisation analysis (paragraph 7.7 of the March 2015 minutes)</w:t>
      </w:r>
      <w:r w:rsidR="00BE7AAF">
        <w:rPr>
          <w:rFonts w:ascii="Arial" w:hAnsi="Arial" w:cs="Arial"/>
          <w:sz w:val="22"/>
          <w:szCs w:val="22"/>
        </w:rPr>
        <w:t>, noting</w:t>
      </w:r>
      <w:r w:rsidR="00B3000E">
        <w:rPr>
          <w:rFonts w:ascii="Arial" w:hAnsi="Arial" w:cs="Arial"/>
          <w:sz w:val="22"/>
          <w:szCs w:val="22"/>
        </w:rPr>
        <w:t xml:space="preserve"> that </w:t>
      </w:r>
      <w:r w:rsidR="00B3000E" w:rsidRPr="00B3000E">
        <w:rPr>
          <w:rFonts w:ascii="Arial" w:hAnsi="Arial" w:cs="Arial"/>
          <w:sz w:val="22"/>
          <w:szCs w:val="22"/>
        </w:rPr>
        <w:t>the cost of the FDC is less than the cost of aprepitant alone.</w:t>
      </w:r>
    </w:p>
    <w:p w:rsidR="00A61359" w:rsidRDefault="00A61359">
      <w:pPr>
        <w:rPr>
          <w:rFonts w:ascii="Arial" w:hAnsi="Arial"/>
          <w:b/>
          <w:sz w:val="22"/>
          <w:szCs w:val="22"/>
        </w:rPr>
      </w:pPr>
    </w:p>
    <w:p w:rsidR="005A3173" w:rsidRPr="00DC738B" w:rsidRDefault="005A3173" w:rsidP="003619E3">
      <w:pPr>
        <w:pStyle w:val="Heading2"/>
      </w:pPr>
      <w:r w:rsidRPr="00DC738B">
        <w:t>Estimated PBS usage &amp; financial implications</w:t>
      </w:r>
    </w:p>
    <w:p w:rsidR="008A560D" w:rsidRDefault="008A560D" w:rsidP="00882085">
      <w:pPr>
        <w:ind w:left="720" w:hanging="720"/>
        <w:jc w:val="both"/>
        <w:rPr>
          <w:rFonts w:ascii="Arial" w:hAnsi="Arial"/>
          <w:b/>
          <w:i/>
          <w:sz w:val="22"/>
          <w:szCs w:val="22"/>
        </w:rPr>
      </w:pPr>
    </w:p>
    <w:p w:rsidR="00CE7404" w:rsidRPr="008A560D" w:rsidRDefault="00CE7404" w:rsidP="005A46BF">
      <w:pPr>
        <w:pStyle w:val="ListParagraph"/>
        <w:numPr>
          <w:ilvl w:val="1"/>
          <w:numId w:val="1"/>
        </w:numPr>
        <w:jc w:val="both"/>
        <w:rPr>
          <w:rFonts w:ascii="Arial" w:hAnsi="Arial"/>
          <w:b/>
          <w:i/>
          <w:sz w:val="22"/>
          <w:szCs w:val="22"/>
        </w:rPr>
      </w:pPr>
      <w:bookmarkStart w:id="2" w:name="_Ref417469303"/>
      <w:r w:rsidRPr="008A560D">
        <w:rPr>
          <w:rFonts w:ascii="Arial Narrow" w:hAnsi="Arial Narrow"/>
          <w:b/>
          <w:sz w:val="20"/>
        </w:rPr>
        <w:t xml:space="preserve">Table </w:t>
      </w:r>
      <w:bookmarkEnd w:id="2"/>
      <w:r w:rsidR="005823EF">
        <w:rPr>
          <w:rFonts w:ascii="Arial Narrow" w:hAnsi="Arial Narrow"/>
          <w:b/>
          <w:sz w:val="20"/>
        </w:rPr>
        <w:t>2</w:t>
      </w:r>
      <w:r w:rsidRPr="008A560D">
        <w:rPr>
          <w:rFonts w:ascii="Arial Narrow" w:hAnsi="Arial Narrow"/>
          <w:b/>
          <w:noProof/>
          <w:sz w:val="20"/>
        </w:rPr>
        <w:t xml:space="preserve">: </w:t>
      </w:r>
      <w:r w:rsidRPr="008A560D">
        <w:rPr>
          <w:rFonts w:ascii="Arial Narrow" w:hAnsi="Arial Narrow"/>
          <w:b/>
          <w:sz w:val="20"/>
        </w:rPr>
        <w:t>Estimated financial implications for the PBS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Estimated financial implications for the PBS"/>
      </w:tblPr>
      <w:tblGrid>
        <w:gridCol w:w="2693"/>
        <w:gridCol w:w="1134"/>
        <w:gridCol w:w="1134"/>
        <w:gridCol w:w="1134"/>
        <w:gridCol w:w="1134"/>
        <w:gridCol w:w="1134"/>
      </w:tblGrid>
      <w:tr w:rsidR="00CE7404" w:rsidRPr="00CE7404" w:rsidTr="00CE7404">
        <w:trPr>
          <w:trHeight w:val="255"/>
        </w:trPr>
        <w:tc>
          <w:tcPr>
            <w:tcW w:w="2693" w:type="dxa"/>
            <w:shd w:val="clear" w:color="auto" w:fill="auto"/>
            <w:noWrap/>
            <w:vAlign w:val="bottom"/>
          </w:tcPr>
          <w:p w:rsidR="00CE7404" w:rsidRPr="00CE7404" w:rsidRDefault="00CE7404" w:rsidP="00437015">
            <w:pPr>
              <w:pStyle w:val="TableText0"/>
              <w:spacing w:before="0" w:after="0" w:line="276" w:lineRule="auto"/>
              <w:rPr>
                <w:lang w:eastAsia="en-AU"/>
              </w:rPr>
            </w:pPr>
          </w:p>
        </w:tc>
        <w:tc>
          <w:tcPr>
            <w:tcW w:w="1134" w:type="dxa"/>
            <w:shd w:val="clear" w:color="auto" w:fill="auto"/>
            <w:noWrap/>
            <w:hideMark/>
          </w:tcPr>
          <w:p w:rsidR="00CE7404" w:rsidRPr="00CE7404" w:rsidRDefault="00CE7404" w:rsidP="00437015">
            <w:pPr>
              <w:pStyle w:val="TableText0"/>
              <w:spacing w:before="0" w:after="0" w:line="276" w:lineRule="auto"/>
              <w:jc w:val="center"/>
              <w:rPr>
                <w:b/>
                <w:lang w:eastAsia="en-AU"/>
              </w:rPr>
            </w:pPr>
            <w:r w:rsidRPr="00CE7404">
              <w:rPr>
                <w:b/>
                <w:lang w:eastAsia="en-AU"/>
              </w:rPr>
              <w:t>Year 1</w:t>
            </w:r>
            <w:r w:rsidRPr="00CE7404">
              <w:rPr>
                <w:b/>
                <w:lang w:eastAsia="en-AU"/>
              </w:rPr>
              <w:br/>
              <w:t>(2016)</w:t>
            </w:r>
          </w:p>
        </w:tc>
        <w:tc>
          <w:tcPr>
            <w:tcW w:w="1134" w:type="dxa"/>
            <w:shd w:val="clear" w:color="auto" w:fill="auto"/>
            <w:noWrap/>
            <w:hideMark/>
          </w:tcPr>
          <w:p w:rsidR="00CE7404" w:rsidRPr="00CE7404" w:rsidRDefault="00CE7404" w:rsidP="00437015">
            <w:pPr>
              <w:pStyle w:val="TableText0"/>
              <w:spacing w:before="0" w:after="0" w:line="276" w:lineRule="auto"/>
              <w:jc w:val="center"/>
              <w:rPr>
                <w:b/>
                <w:lang w:eastAsia="en-AU"/>
              </w:rPr>
            </w:pPr>
            <w:r w:rsidRPr="00CE7404">
              <w:rPr>
                <w:b/>
                <w:lang w:eastAsia="en-AU"/>
              </w:rPr>
              <w:t>Year 2</w:t>
            </w:r>
            <w:r w:rsidRPr="00CE7404">
              <w:rPr>
                <w:b/>
                <w:lang w:eastAsia="en-AU"/>
              </w:rPr>
              <w:br/>
              <w:t>(2017)</w:t>
            </w:r>
          </w:p>
        </w:tc>
        <w:tc>
          <w:tcPr>
            <w:tcW w:w="1134" w:type="dxa"/>
            <w:shd w:val="clear" w:color="auto" w:fill="auto"/>
            <w:noWrap/>
            <w:hideMark/>
          </w:tcPr>
          <w:p w:rsidR="00CE7404" w:rsidRPr="00CE7404" w:rsidRDefault="00CE7404" w:rsidP="00437015">
            <w:pPr>
              <w:pStyle w:val="TableText0"/>
              <w:spacing w:before="0" w:after="0" w:line="276" w:lineRule="auto"/>
              <w:jc w:val="center"/>
              <w:rPr>
                <w:b/>
                <w:lang w:eastAsia="en-AU"/>
              </w:rPr>
            </w:pPr>
            <w:r w:rsidRPr="00CE7404">
              <w:rPr>
                <w:b/>
                <w:lang w:eastAsia="en-AU"/>
              </w:rPr>
              <w:t>Year 3</w:t>
            </w:r>
            <w:r w:rsidRPr="00CE7404">
              <w:rPr>
                <w:b/>
                <w:lang w:eastAsia="en-AU"/>
              </w:rPr>
              <w:br/>
              <w:t>(2018)</w:t>
            </w:r>
          </w:p>
        </w:tc>
        <w:tc>
          <w:tcPr>
            <w:tcW w:w="1134" w:type="dxa"/>
            <w:shd w:val="clear" w:color="auto" w:fill="auto"/>
            <w:noWrap/>
            <w:hideMark/>
          </w:tcPr>
          <w:p w:rsidR="00CE7404" w:rsidRPr="00CE7404" w:rsidRDefault="00CE7404" w:rsidP="00437015">
            <w:pPr>
              <w:pStyle w:val="TableText0"/>
              <w:spacing w:before="0" w:after="0" w:line="276" w:lineRule="auto"/>
              <w:jc w:val="center"/>
              <w:rPr>
                <w:b/>
                <w:lang w:eastAsia="en-AU"/>
              </w:rPr>
            </w:pPr>
            <w:r w:rsidRPr="00CE7404">
              <w:rPr>
                <w:b/>
                <w:lang w:eastAsia="en-AU"/>
              </w:rPr>
              <w:t>Year 4</w:t>
            </w:r>
            <w:r w:rsidRPr="00CE7404">
              <w:rPr>
                <w:b/>
                <w:lang w:eastAsia="en-AU"/>
              </w:rPr>
              <w:br/>
              <w:t>(2019)</w:t>
            </w:r>
          </w:p>
        </w:tc>
        <w:tc>
          <w:tcPr>
            <w:tcW w:w="1134" w:type="dxa"/>
            <w:shd w:val="clear" w:color="auto" w:fill="auto"/>
            <w:noWrap/>
            <w:hideMark/>
          </w:tcPr>
          <w:p w:rsidR="00CE7404" w:rsidRPr="00CE7404" w:rsidRDefault="00CE7404" w:rsidP="00437015">
            <w:pPr>
              <w:pStyle w:val="TableText0"/>
              <w:spacing w:before="0" w:after="0" w:line="276" w:lineRule="auto"/>
              <w:jc w:val="center"/>
              <w:rPr>
                <w:b/>
                <w:lang w:eastAsia="en-AU"/>
              </w:rPr>
            </w:pPr>
            <w:r w:rsidRPr="00CE7404">
              <w:rPr>
                <w:b/>
                <w:lang w:eastAsia="en-AU"/>
              </w:rPr>
              <w:t>Year 5</w:t>
            </w:r>
            <w:r w:rsidRPr="00CE7404">
              <w:rPr>
                <w:b/>
                <w:lang w:eastAsia="en-AU"/>
              </w:rPr>
              <w:br/>
              <w:t>(2020)</w:t>
            </w:r>
          </w:p>
        </w:tc>
      </w:tr>
      <w:tr w:rsidR="00CE7404" w:rsidRPr="00CE7404" w:rsidTr="00CE7404">
        <w:trPr>
          <w:trHeight w:val="255"/>
        </w:trPr>
        <w:tc>
          <w:tcPr>
            <w:tcW w:w="2693" w:type="dxa"/>
            <w:shd w:val="clear" w:color="auto" w:fill="auto"/>
            <w:noWrap/>
            <w:vAlign w:val="bottom"/>
          </w:tcPr>
          <w:p w:rsidR="00CE7404" w:rsidRPr="00CE7404" w:rsidRDefault="00CE7404" w:rsidP="00437015">
            <w:pPr>
              <w:pStyle w:val="TableText0"/>
              <w:spacing w:before="0" w:after="0" w:line="276" w:lineRule="auto"/>
              <w:rPr>
                <w:lang w:eastAsia="en-AU"/>
              </w:rPr>
            </w:pPr>
            <w:r w:rsidRPr="00CE7404">
              <w:rPr>
                <w:color w:val="000000"/>
              </w:rPr>
              <w:t>Estimated PBS Services for Akynzeo</w:t>
            </w:r>
          </w:p>
        </w:tc>
        <w:tc>
          <w:tcPr>
            <w:tcW w:w="1134" w:type="dxa"/>
            <w:shd w:val="clear" w:color="auto" w:fill="auto"/>
            <w:noWrap/>
          </w:tcPr>
          <w:p w:rsidR="00CE7404" w:rsidRPr="001A0E97" w:rsidRDefault="001A0E97" w:rsidP="00437015">
            <w:pPr>
              <w:pStyle w:val="TableText0"/>
              <w:spacing w:before="0" w:after="0" w:line="276" w:lineRule="auto"/>
              <w:jc w:val="center"/>
              <w:rPr>
                <w:color w:val="000000"/>
                <w:highlight w:val="black"/>
              </w:rPr>
            </w:pPr>
            <w:r>
              <w:rPr>
                <w:noProof/>
                <w:color w:val="000000"/>
                <w:highlight w:val="black"/>
              </w:rPr>
              <w:t>''''''''''''''</w:t>
            </w:r>
          </w:p>
        </w:tc>
        <w:tc>
          <w:tcPr>
            <w:tcW w:w="1134" w:type="dxa"/>
            <w:shd w:val="clear" w:color="auto" w:fill="auto"/>
            <w:noWrap/>
          </w:tcPr>
          <w:p w:rsidR="00CE7404" w:rsidRPr="001A0E97" w:rsidRDefault="001A0E97" w:rsidP="00437015">
            <w:pPr>
              <w:pStyle w:val="TableText0"/>
              <w:spacing w:before="0" w:after="0" w:line="276" w:lineRule="auto"/>
              <w:jc w:val="center"/>
              <w:rPr>
                <w:color w:val="000000"/>
                <w:highlight w:val="black"/>
              </w:rPr>
            </w:pPr>
            <w:r>
              <w:rPr>
                <w:noProof/>
                <w:color w:val="000000"/>
                <w:highlight w:val="black"/>
              </w:rPr>
              <w:t>''''''''''''</w:t>
            </w:r>
          </w:p>
        </w:tc>
        <w:tc>
          <w:tcPr>
            <w:tcW w:w="1134" w:type="dxa"/>
            <w:shd w:val="clear" w:color="auto" w:fill="auto"/>
            <w:noWrap/>
          </w:tcPr>
          <w:p w:rsidR="00CE7404" w:rsidRPr="001A0E97" w:rsidRDefault="001A0E97" w:rsidP="00437015">
            <w:pPr>
              <w:pStyle w:val="TableText0"/>
              <w:spacing w:before="0" w:after="0" w:line="276" w:lineRule="auto"/>
              <w:jc w:val="center"/>
              <w:rPr>
                <w:color w:val="000000"/>
                <w:highlight w:val="black"/>
              </w:rPr>
            </w:pPr>
            <w:r>
              <w:rPr>
                <w:noProof/>
                <w:color w:val="000000"/>
                <w:highlight w:val="black"/>
              </w:rPr>
              <w:t>''''''''''''''''</w:t>
            </w:r>
          </w:p>
        </w:tc>
        <w:tc>
          <w:tcPr>
            <w:tcW w:w="1134" w:type="dxa"/>
            <w:shd w:val="clear" w:color="auto" w:fill="auto"/>
            <w:noWrap/>
          </w:tcPr>
          <w:p w:rsidR="00CE7404" w:rsidRPr="001A0E97" w:rsidRDefault="001A0E97" w:rsidP="00437015">
            <w:pPr>
              <w:pStyle w:val="TableText0"/>
              <w:spacing w:before="0" w:after="0" w:line="276" w:lineRule="auto"/>
              <w:jc w:val="center"/>
              <w:rPr>
                <w:color w:val="000000"/>
                <w:highlight w:val="black"/>
              </w:rPr>
            </w:pPr>
            <w:r>
              <w:rPr>
                <w:noProof/>
                <w:color w:val="000000"/>
                <w:highlight w:val="black"/>
              </w:rPr>
              <w:t>'''''''''''''''</w:t>
            </w:r>
          </w:p>
        </w:tc>
        <w:tc>
          <w:tcPr>
            <w:tcW w:w="1134" w:type="dxa"/>
            <w:shd w:val="clear" w:color="auto" w:fill="auto"/>
            <w:noWrap/>
          </w:tcPr>
          <w:p w:rsidR="00CE7404" w:rsidRPr="001A0E97" w:rsidRDefault="001A0E97" w:rsidP="00437015">
            <w:pPr>
              <w:pStyle w:val="TableText0"/>
              <w:spacing w:before="0" w:after="0" w:line="276" w:lineRule="auto"/>
              <w:jc w:val="center"/>
              <w:rPr>
                <w:color w:val="000000"/>
                <w:highlight w:val="black"/>
              </w:rPr>
            </w:pPr>
            <w:r>
              <w:rPr>
                <w:noProof/>
                <w:color w:val="000000"/>
                <w:highlight w:val="black"/>
              </w:rPr>
              <w:t>''''''''''''''''</w:t>
            </w:r>
          </w:p>
        </w:tc>
      </w:tr>
      <w:tr w:rsidR="00CE7404" w:rsidRPr="00CE7404" w:rsidTr="00CE7404">
        <w:trPr>
          <w:trHeight w:val="255"/>
        </w:trPr>
        <w:tc>
          <w:tcPr>
            <w:tcW w:w="2693" w:type="dxa"/>
            <w:shd w:val="clear" w:color="auto" w:fill="auto"/>
            <w:noWrap/>
            <w:vAlign w:val="bottom"/>
          </w:tcPr>
          <w:p w:rsidR="00CE7404" w:rsidRPr="00CE7404" w:rsidRDefault="00CE7404" w:rsidP="00437015">
            <w:pPr>
              <w:pStyle w:val="TableText0"/>
              <w:spacing w:before="0" w:after="0" w:line="276" w:lineRule="auto"/>
              <w:rPr>
                <w:color w:val="000000"/>
              </w:rPr>
            </w:pPr>
            <w:r w:rsidRPr="00CE7404">
              <w:rPr>
                <w:color w:val="000000"/>
              </w:rPr>
              <w:t>Total cost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r>
      <w:tr w:rsidR="00CE7404" w:rsidRPr="00CE7404" w:rsidTr="00CE7404">
        <w:trPr>
          <w:trHeight w:val="255"/>
        </w:trPr>
        <w:tc>
          <w:tcPr>
            <w:tcW w:w="2693" w:type="dxa"/>
            <w:shd w:val="clear" w:color="auto" w:fill="auto"/>
            <w:noWrap/>
            <w:vAlign w:val="bottom"/>
          </w:tcPr>
          <w:p w:rsidR="00CE7404" w:rsidRPr="00CE7404" w:rsidRDefault="00CE7404" w:rsidP="00437015">
            <w:pPr>
              <w:pStyle w:val="TableText0"/>
              <w:spacing w:before="0" w:after="0" w:line="276" w:lineRule="auto"/>
              <w:rPr>
                <w:color w:val="000000"/>
              </w:rPr>
            </w:pPr>
            <w:r w:rsidRPr="00CE7404">
              <w:rPr>
                <w:color w:val="000000"/>
              </w:rPr>
              <w:t>Average patient co-payment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r>
      <w:tr w:rsidR="00CE7404" w:rsidRPr="00CE7404" w:rsidTr="00CE7404">
        <w:trPr>
          <w:trHeight w:val="255"/>
        </w:trPr>
        <w:tc>
          <w:tcPr>
            <w:tcW w:w="2693" w:type="dxa"/>
            <w:shd w:val="clear" w:color="auto" w:fill="auto"/>
            <w:noWrap/>
            <w:vAlign w:val="bottom"/>
          </w:tcPr>
          <w:p w:rsidR="00CE7404" w:rsidRPr="00CE7404" w:rsidRDefault="00CE7404" w:rsidP="00437015">
            <w:pPr>
              <w:pStyle w:val="TableText0"/>
              <w:spacing w:before="0" w:after="0" w:line="276" w:lineRule="auto"/>
              <w:rPr>
                <w:b/>
                <w:color w:val="000000"/>
              </w:rPr>
            </w:pPr>
            <w:r w:rsidRPr="00CE7404">
              <w:rPr>
                <w:b/>
                <w:color w:val="000000"/>
              </w:rPr>
              <w:t>Net cost to Government for the drug</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color w:val="000000"/>
              </w:rPr>
              <w:t>$</w:t>
            </w:r>
            <w:r w:rsidR="001A0E97">
              <w:rPr>
                <w:b/>
                <w:noProof/>
                <w:color w:val="000000"/>
                <w:highlight w:val="black"/>
              </w:rPr>
              <w:t>'''''''''''''''''''</w:t>
            </w:r>
          </w:p>
        </w:tc>
      </w:tr>
      <w:tr w:rsidR="00CE7404" w:rsidRPr="00CE7404" w:rsidTr="00CE7404">
        <w:trPr>
          <w:trHeight w:val="255"/>
        </w:trPr>
        <w:tc>
          <w:tcPr>
            <w:tcW w:w="2693" w:type="dxa"/>
            <w:shd w:val="clear" w:color="auto" w:fill="auto"/>
            <w:noWrap/>
            <w:vAlign w:val="bottom"/>
            <w:hideMark/>
          </w:tcPr>
          <w:p w:rsidR="00CE7404" w:rsidRPr="00CE7404" w:rsidRDefault="00CE7404" w:rsidP="00437015">
            <w:pPr>
              <w:pStyle w:val="TableText0"/>
              <w:spacing w:before="0" w:after="0" w:line="276" w:lineRule="auto"/>
              <w:rPr>
                <w:lang w:eastAsia="en-AU"/>
              </w:rPr>
            </w:pPr>
            <w:r w:rsidRPr="00CE7404">
              <w:rPr>
                <w:lang w:eastAsia="en-AU"/>
              </w:rPr>
              <w:t>Net cost for aprepitant/5-HT</w:t>
            </w:r>
            <w:r w:rsidRPr="00CE7404">
              <w:rPr>
                <w:vertAlign w:val="subscript"/>
                <w:lang w:eastAsia="en-AU"/>
              </w:rPr>
              <w:t xml:space="preserve">3 </w:t>
            </w:r>
            <w:r w:rsidRPr="00CE7404">
              <w:rPr>
                <w:lang w:eastAsia="en-AU"/>
              </w:rPr>
              <w:t>RA</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577E1F" w:rsidP="00437015">
            <w:pPr>
              <w:pStyle w:val="TableText0"/>
              <w:spacing w:before="0" w:after="0" w:line="276" w:lineRule="auto"/>
              <w:jc w:val="center"/>
              <w:rPr>
                <w:color w:val="000000"/>
              </w:rPr>
            </w:pPr>
            <w:r>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color w:val="000000"/>
              </w:rPr>
            </w:pPr>
            <w:r w:rsidRPr="00CE7404">
              <w:rPr>
                <w:color w:val="000000"/>
              </w:rPr>
              <w:t>$</w:t>
            </w:r>
            <w:r w:rsidR="001A0E97">
              <w:rPr>
                <w:noProof/>
                <w:color w:val="000000"/>
                <w:highlight w:val="black"/>
              </w:rPr>
              <w:t>''''''''''''''''''''''</w:t>
            </w:r>
          </w:p>
        </w:tc>
      </w:tr>
      <w:tr w:rsidR="00CE7404" w:rsidRPr="00CE7404" w:rsidTr="00CE7404">
        <w:trPr>
          <w:trHeight w:val="255"/>
        </w:trPr>
        <w:tc>
          <w:tcPr>
            <w:tcW w:w="2693" w:type="dxa"/>
            <w:shd w:val="clear" w:color="auto" w:fill="auto"/>
            <w:vAlign w:val="bottom"/>
            <w:hideMark/>
          </w:tcPr>
          <w:p w:rsidR="00CE7404" w:rsidRPr="00CE7404" w:rsidRDefault="00CE7404" w:rsidP="00437015">
            <w:pPr>
              <w:pStyle w:val="TableText0"/>
              <w:spacing w:before="0" w:after="0" w:line="276" w:lineRule="auto"/>
              <w:rPr>
                <w:b/>
                <w:lang w:eastAsia="en-AU"/>
              </w:rPr>
            </w:pPr>
            <w:r w:rsidRPr="00CE7404">
              <w:rPr>
                <w:b/>
                <w:lang w:eastAsia="en-AU"/>
              </w:rPr>
              <w:t>Overall Net Cost to PBS</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rPr>
              <w:t>–</w:t>
            </w: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rPr>
              <w:t>–</w:t>
            </w: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rPr>
              <w:t>–</w:t>
            </w: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rPr>
              <w:t>–</w:t>
            </w:r>
            <w:r w:rsidRPr="00CE7404">
              <w:rPr>
                <w:b/>
                <w:color w:val="000000"/>
              </w:rPr>
              <w:t>$</w:t>
            </w:r>
            <w:r w:rsidR="001A0E97">
              <w:rPr>
                <w:b/>
                <w:noProof/>
                <w:color w:val="000000"/>
                <w:highlight w:val="black"/>
              </w:rPr>
              <w:t>'''''''''''''''''</w:t>
            </w:r>
          </w:p>
        </w:tc>
        <w:tc>
          <w:tcPr>
            <w:tcW w:w="1134" w:type="dxa"/>
            <w:shd w:val="clear" w:color="auto" w:fill="auto"/>
            <w:noWrap/>
            <w:vAlign w:val="bottom"/>
          </w:tcPr>
          <w:p w:rsidR="00CE7404" w:rsidRPr="00CE7404" w:rsidRDefault="00CE7404" w:rsidP="00437015">
            <w:pPr>
              <w:pStyle w:val="TableText0"/>
              <w:spacing w:before="0" w:after="0" w:line="276" w:lineRule="auto"/>
              <w:jc w:val="center"/>
              <w:rPr>
                <w:b/>
                <w:color w:val="000000"/>
              </w:rPr>
            </w:pPr>
            <w:r w:rsidRPr="00CE7404">
              <w:rPr>
                <w:b/>
              </w:rPr>
              <w:t>–</w:t>
            </w:r>
            <w:r w:rsidRPr="00CE7404">
              <w:rPr>
                <w:b/>
                <w:color w:val="000000"/>
              </w:rPr>
              <w:t>$</w:t>
            </w:r>
            <w:r w:rsidR="001A0E97">
              <w:rPr>
                <w:b/>
                <w:noProof/>
                <w:color w:val="000000"/>
                <w:highlight w:val="black"/>
              </w:rPr>
              <w:t>'''''''''''''''</w:t>
            </w:r>
          </w:p>
        </w:tc>
      </w:tr>
    </w:tbl>
    <w:p w:rsidR="00CE7404" w:rsidRPr="00CE7404" w:rsidRDefault="00CE7404" w:rsidP="00CE7404">
      <w:pPr>
        <w:tabs>
          <w:tab w:val="left" w:pos="915"/>
        </w:tabs>
        <w:ind w:left="720" w:hanging="720"/>
        <w:jc w:val="both"/>
        <w:rPr>
          <w:rFonts w:ascii="Arial Narrow" w:hAnsi="Arial Narrow"/>
          <w:sz w:val="18"/>
          <w:szCs w:val="22"/>
        </w:rPr>
      </w:pPr>
      <w:r w:rsidRPr="00CE7404">
        <w:rPr>
          <w:rFonts w:ascii="Arial Narrow" w:hAnsi="Arial Narrow"/>
          <w:sz w:val="18"/>
          <w:szCs w:val="22"/>
        </w:rPr>
        <w:tab/>
        <w:t>Source: Submission, Table 4 p.10</w:t>
      </w:r>
    </w:p>
    <w:p w:rsidR="00CE7404" w:rsidRPr="00CE7404" w:rsidRDefault="00CE7404" w:rsidP="00CE7404">
      <w:pPr>
        <w:tabs>
          <w:tab w:val="left" w:pos="915"/>
        </w:tabs>
        <w:ind w:left="720" w:hanging="720"/>
        <w:jc w:val="both"/>
        <w:rPr>
          <w:rFonts w:ascii="Arial Narrow" w:hAnsi="Arial Narrow"/>
          <w:b/>
          <w:i/>
          <w:sz w:val="22"/>
          <w:szCs w:val="22"/>
        </w:rPr>
      </w:pPr>
    </w:p>
    <w:p w:rsidR="00C00DA7" w:rsidRPr="008A3184" w:rsidRDefault="009B3B7D" w:rsidP="005A46BF">
      <w:pPr>
        <w:pStyle w:val="ListParagraph"/>
        <w:numPr>
          <w:ilvl w:val="1"/>
          <w:numId w:val="1"/>
        </w:numPr>
        <w:jc w:val="both"/>
        <w:rPr>
          <w:rFonts w:ascii="Arial" w:hAnsi="Arial"/>
          <w:color w:val="FF00FF"/>
          <w:sz w:val="22"/>
          <w:szCs w:val="22"/>
        </w:rPr>
      </w:pPr>
      <w:r>
        <w:rPr>
          <w:rFonts w:ascii="Arial" w:hAnsi="Arial"/>
          <w:sz w:val="22"/>
          <w:szCs w:val="22"/>
        </w:rPr>
        <w:t xml:space="preserve">The </w:t>
      </w:r>
      <w:r w:rsidR="00FF2801" w:rsidRPr="008A3184">
        <w:rPr>
          <w:rFonts w:ascii="Arial" w:hAnsi="Arial"/>
          <w:sz w:val="22"/>
          <w:szCs w:val="22"/>
        </w:rPr>
        <w:t xml:space="preserve">minor submission </w:t>
      </w:r>
      <w:r>
        <w:rPr>
          <w:rFonts w:ascii="Arial" w:hAnsi="Arial"/>
          <w:sz w:val="22"/>
          <w:szCs w:val="22"/>
        </w:rPr>
        <w:t xml:space="preserve">estimated that there will be </w:t>
      </w:r>
      <w:r w:rsidR="001A0E97">
        <w:rPr>
          <w:rFonts w:ascii="Arial" w:hAnsi="Arial"/>
          <w:noProof/>
          <w:color w:val="000000"/>
          <w:sz w:val="22"/>
          <w:szCs w:val="22"/>
          <w:highlight w:val="black"/>
        </w:rPr>
        <w:t>''''''''''''''''''</w:t>
      </w:r>
      <w:r>
        <w:rPr>
          <w:rFonts w:ascii="Arial" w:hAnsi="Arial"/>
          <w:sz w:val="22"/>
          <w:szCs w:val="22"/>
        </w:rPr>
        <w:t xml:space="preserve"> </w:t>
      </w:r>
      <w:r w:rsidR="00C76DBE" w:rsidRPr="00DC2095">
        <w:rPr>
          <w:rFonts w:ascii="Arial" w:hAnsi="Arial"/>
          <w:sz w:val="22"/>
          <w:szCs w:val="22"/>
        </w:rPr>
        <w:t>10,000 – 50,000</w:t>
      </w:r>
      <w:r w:rsidR="00C76DBE">
        <w:rPr>
          <w:rFonts w:ascii="Arial" w:hAnsi="Arial"/>
          <w:sz w:val="22"/>
          <w:szCs w:val="22"/>
        </w:rPr>
        <w:t xml:space="preserve"> </w:t>
      </w:r>
      <w:r>
        <w:rPr>
          <w:rFonts w:ascii="Arial" w:hAnsi="Arial"/>
          <w:sz w:val="22"/>
          <w:szCs w:val="22"/>
        </w:rPr>
        <w:t xml:space="preserve">prescriptions for NEPA in Year 5 of listing. This is unchanged from the previous July 2015 resubmission. The current resubmission </w:t>
      </w:r>
      <w:r w:rsidR="00FF2801" w:rsidRPr="008A3184">
        <w:rPr>
          <w:rFonts w:ascii="Arial" w:hAnsi="Arial"/>
          <w:sz w:val="22"/>
          <w:szCs w:val="22"/>
        </w:rPr>
        <w:t>estimated</w:t>
      </w:r>
      <w:r w:rsidR="00C00DA7" w:rsidRPr="008A3184">
        <w:rPr>
          <w:rFonts w:ascii="Arial" w:hAnsi="Arial"/>
          <w:sz w:val="22"/>
          <w:szCs w:val="22"/>
        </w:rPr>
        <w:t xml:space="preserve"> a net save to the PBS of $</w:t>
      </w:r>
      <w:r w:rsidR="001A0E97">
        <w:rPr>
          <w:rFonts w:ascii="Arial" w:hAnsi="Arial"/>
          <w:noProof/>
          <w:color w:val="000000"/>
          <w:sz w:val="22"/>
          <w:szCs w:val="22"/>
          <w:highlight w:val="black"/>
        </w:rPr>
        <w:t>''''''''''''''''''''</w:t>
      </w:r>
      <w:r w:rsidR="00C00DA7" w:rsidRPr="008A3184">
        <w:rPr>
          <w:rFonts w:ascii="Arial" w:hAnsi="Arial"/>
          <w:sz w:val="22"/>
          <w:szCs w:val="22"/>
        </w:rPr>
        <w:t xml:space="preserve"> in Year 5 of listing, with a total net save to the PBS of </w:t>
      </w:r>
      <w:r w:rsidR="00C76DBE" w:rsidRPr="00DC2095">
        <w:rPr>
          <w:rFonts w:ascii="Arial" w:hAnsi="Arial"/>
          <w:sz w:val="22"/>
          <w:szCs w:val="22"/>
        </w:rPr>
        <w:t>less than</w:t>
      </w:r>
      <w:r w:rsidR="00DC2095">
        <w:rPr>
          <w:rFonts w:ascii="Arial" w:hAnsi="Arial"/>
          <w:noProof/>
          <w:color w:val="000000"/>
          <w:sz w:val="22"/>
          <w:szCs w:val="22"/>
        </w:rPr>
        <w:t xml:space="preserve"> </w:t>
      </w:r>
      <w:r w:rsidR="00C76DBE">
        <w:rPr>
          <w:rFonts w:ascii="Arial" w:hAnsi="Arial"/>
          <w:sz w:val="22"/>
          <w:szCs w:val="22"/>
        </w:rPr>
        <w:t xml:space="preserve">$10 </w:t>
      </w:r>
      <w:r w:rsidR="00CE7404">
        <w:rPr>
          <w:rFonts w:ascii="Arial" w:hAnsi="Arial"/>
          <w:sz w:val="22"/>
          <w:szCs w:val="22"/>
        </w:rPr>
        <w:t>million</w:t>
      </w:r>
      <w:r w:rsidR="00C00DA7" w:rsidRPr="008A3184">
        <w:rPr>
          <w:rFonts w:ascii="Arial" w:hAnsi="Arial"/>
          <w:sz w:val="22"/>
          <w:szCs w:val="22"/>
        </w:rPr>
        <w:t xml:space="preserve"> over the first 5 years of listing.  </w:t>
      </w:r>
    </w:p>
    <w:p w:rsidR="00906E12" w:rsidRDefault="00906E12" w:rsidP="00C00DA7">
      <w:pPr>
        <w:pStyle w:val="ListParagraph"/>
        <w:ind w:left="709"/>
        <w:jc w:val="both"/>
        <w:rPr>
          <w:rFonts w:ascii="Arial" w:hAnsi="Arial"/>
          <w:sz w:val="22"/>
          <w:szCs w:val="22"/>
        </w:rPr>
      </w:pPr>
    </w:p>
    <w:p w:rsidR="00906E12" w:rsidRDefault="00906E12" w:rsidP="005A46BF">
      <w:pPr>
        <w:pStyle w:val="ListParagraph"/>
        <w:numPr>
          <w:ilvl w:val="1"/>
          <w:numId w:val="1"/>
        </w:numPr>
        <w:jc w:val="both"/>
        <w:rPr>
          <w:rFonts w:ascii="Arial" w:hAnsi="Arial"/>
          <w:sz w:val="22"/>
          <w:szCs w:val="22"/>
        </w:rPr>
      </w:pPr>
      <w:r>
        <w:rPr>
          <w:rFonts w:ascii="Arial" w:hAnsi="Arial"/>
          <w:sz w:val="22"/>
          <w:szCs w:val="22"/>
        </w:rPr>
        <w:lastRenderedPageBreak/>
        <w:t>The sponsor proposed a risk sharing arrangement where any usage beyond</w:t>
      </w:r>
      <w:r w:rsidRPr="005641B7">
        <w:rPr>
          <w:rFonts w:ascii="Arial" w:hAnsi="Arial"/>
          <w:sz w:val="22"/>
          <w:szCs w:val="22"/>
        </w:rPr>
        <w:t xml:space="preserve"> the </w:t>
      </w:r>
      <w:r w:rsidR="00D039D6" w:rsidRPr="005641B7">
        <w:rPr>
          <w:rFonts w:ascii="Arial" w:hAnsi="Arial"/>
          <w:sz w:val="22"/>
          <w:szCs w:val="22"/>
        </w:rPr>
        <w:t>proposed</w:t>
      </w:r>
      <w:r w:rsidR="001748AC">
        <w:rPr>
          <w:rFonts w:ascii="Arial" w:hAnsi="Arial"/>
          <w:sz w:val="22"/>
          <w:szCs w:val="22"/>
        </w:rPr>
        <w:t xml:space="preserve"> estimates for NK1 RA use in HEC and </w:t>
      </w:r>
      <w:r w:rsidR="00215621">
        <w:rPr>
          <w:rFonts w:ascii="Arial" w:hAnsi="Arial"/>
          <w:sz w:val="22"/>
          <w:szCs w:val="22"/>
        </w:rPr>
        <w:t xml:space="preserve">AC breast cancer </w:t>
      </w:r>
      <w:r w:rsidR="00215621" w:rsidRPr="00215621">
        <w:rPr>
          <w:rFonts w:ascii="Arial" w:hAnsi="Arial"/>
          <w:sz w:val="22"/>
          <w:szCs w:val="22"/>
        </w:rPr>
        <w:t>would be subject to a rebate of 30% of the cost of Akynzeo. This would occur for any usage greater than 100% of the total HEC/AC breast cancer market.</w:t>
      </w:r>
    </w:p>
    <w:p w:rsidR="00215621" w:rsidRDefault="00215621" w:rsidP="005641B7">
      <w:pPr>
        <w:pStyle w:val="ListParagraph"/>
        <w:ind w:left="709"/>
        <w:jc w:val="both"/>
        <w:rPr>
          <w:rFonts w:ascii="Arial" w:hAnsi="Arial"/>
          <w:sz w:val="22"/>
          <w:szCs w:val="22"/>
        </w:rPr>
      </w:pPr>
    </w:p>
    <w:p w:rsidR="00215621" w:rsidRPr="000E0069" w:rsidRDefault="00215621" w:rsidP="00E34BF1">
      <w:pPr>
        <w:pStyle w:val="Caption"/>
        <w:keepNext/>
        <w:ind w:hanging="130"/>
        <w:jc w:val="both"/>
        <w:rPr>
          <w:rFonts w:ascii="Arial Narrow" w:hAnsi="Arial Narrow"/>
          <w:sz w:val="20"/>
        </w:rPr>
      </w:pPr>
      <w:r w:rsidRPr="000E0069">
        <w:rPr>
          <w:rFonts w:ascii="Arial Narrow" w:hAnsi="Arial Narrow"/>
          <w:sz w:val="20"/>
        </w:rPr>
        <w:t xml:space="preserve">Table </w:t>
      </w:r>
      <w:r w:rsidR="005823EF">
        <w:rPr>
          <w:rFonts w:ascii="Arial Narrow" w:hAnsi="Arial Narrow"/>
          <w:sz w:val="20"/>
        </w:rPr>
        <w:t>3</w:t>
      </w:r>
      <w:r w:rsidR="00E34BF1" w:rsidRPr="000E0069">
        <w:rPr>
          <w:rFonts w:ascii="Arial Narrow" w:hAnsi="Arial Narrow"/>
          <w:sz w:val="20"/>
        </w:rPr>
        <w:t xml:space="preserve">: </w:t>
      </w:r>
      <w:r w:rsidRPr="000E0069">
        <w:rPr>
          <w:rFonts w:ascii="Arial Narrow" w:hAnsi="Arial Narrow"/>
          <w:sz w:val="20"/>
        </w:rPr>
        <w:t>Estimated PBS services per year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Estimated PBS services per year"/>
      </w:tblPr>
      <w:tblGrid>
        <w:gridCol w:w="2977"/>
        <w:gridCol w:w="1077"/>
        <w:gridCol w:w="1077"/>
        <w:gridCol w:w="1077"/>
        <w:gridCol w:w="1077"/>
        <w:gridCol w:w="1078"/>
      </w:tblGrid>
      <w:tr w:rsidR="00215621" w:rsidRPr="00D91344" w:rsidTr="00D91344">
        <w:trPr>
          <w:trHeight w:val="255"/>
        </w:trPr>
        <w:tc>
          <w:tcPr>
            <w:tcW w:w="2977" w:type="dxa"/>
            <w:shd w:val="clear" w:color="auto" w:fill="auto"/>
            <w:noWrap/>
            <w:vAlign w:val="bottom"/>
          </w:tcPr>
          <w:p w:rsidR="00215621" w:rsidRPr="00D91344" w:rsidRDefault="00215621" w:rsidP="00E34BF1">
            <w:pPr>
              <w:pStyle w:val="TableText0"/>
              <w:spacing w:before="0" w:after="0" w:line="276" w:lineRule="auto"/>
              <w:rPr>
                <w:lang w:eastAsia="en-AU"/>
              </w:rPr>
            </w:pPr>
          </w:p>
        </w:tc>
        <w:tc>
          <w:tcPr>
            <w:tcW w:w="1077" w:type="dxa"/>
            <w:shd w:val="clear" w:color="auto" w:fill="auto"/>
            <w:noWrap/>
            <w:hideMark/>
          </w:tcPr>
          <w:p w:rsidR="00215621" w:rsidRPr="00D91344" w:rsidRDefault="00215621" w:rsidP="00E34BF1">
            <w:pPr>
              <w:pStyle w:val="TableText0"/>
              <w:spacing w:before="0" w:after="0" w:line="276" w:lineRule="auto"/>
              <w:jc w:val="center"/>
              <w:rPr>
                <w:b/>
                <w:lang w:eastAsia="en-AU"/>
              </w:rPr>
            </w:pPr>
            <w:r w:rsidRPr="00D91344">
              <w:rPr>
                <w:b/>
                <w:lang w:eastAsia="en-AU"/>
              </w:rPr>
              <w:t>Year 1</w:t>
            </w:r>
            <w:r w:rsidRPr="00D91344">
              <w:rPr>
                <w:b/>
                <w:lang w:eastAsia="en-AU"/>
              </w:rPr>
              <w:br/>
              <w:t>(2016)</w:t>
            </w:r>
          </w:p>
        </w:tc>
        <w:tc>
          <w:tcPr>
            <w:tcW w:w="1077" w:type="dxa"/>
            <w:shd w:val="clear" w:color="auto" w:fill="auto"/>
            <w:noWrap/>
            <w:hideMark/>
          </w:tcPr>
          <w:p w:rsidR="00215621" w:rsidRPr="00D91344" w:rsidRDefault="00215621" w:rsidP="00E34BF1">
            <w:pPr>
              <w:pStyle w:val="TableText0"/>
              <w:spacing w:before="0" w:after="0" w:line="276" w:lineRule="auto"/>
              <w:jc w:val="center"/>
              <w:rPr>
                <w:b/>
                <w:lang w:eastAsia="en-AU"/>
              </w:rPr>
            </w:pPr>
            <w:r w:rsidRPr="00D91344">
              <w:rPr>
                <w:b/>
                <w:lang w:eastAsia="en-AU"/>
              </w:rPr>
              <w:t>Year 2</w:t>
            </w:r>
            <w:r w:rsidRPr="00D91344">
              <w:rPr>
                <w:b/>
                <w:lang w:eastAsia="en-AU"/>
              </w:rPr>
              <w:br/>
              <w:t>(2017)</w:t>
            </w:r>
          </w:p>
        </w:tc>
        <w:tc>
          <w:tcPr>
            <w:tcW w:w="1077" w:type="dxa"/>
            <w:shd w:val="clear" w:color="auto" w:fill="auto"/>
            <w:noWrap/>
            <w:hideMark/>
          </w:tcPr>
          <w:p w:rsidR="00215621" w:rsidRPr="00D91344" w:rsidRDefault="00215621" w:rsidP="00E34BF1">
            <w:pPr>
              <w:pStyle w:val="TableText0"/>
              <w:spacing w:before="0" w:after="0" w:line="276" w:lineRule="auto"/>
              <w:jc w:val="center"/>
              <w:rPr>
                <w:b/>
                <w:lang w:eastAsia="en-AU"/>
              </w:rPr>
            </w:pPr>
            <w:r w:rsidRPr="00D91344">
              <w:rPr>
                <w:b/>
                <w:lang w:eastAsia="en-AU"/>
              </w:rPr>
              <w:t>Year 3</w:t>
            </w:r>
            <w:r w:rsidRPr="00D91344">
              <w:rPr>
                <w:b/>
                <w:lang w:eastAsia="en-AU"/>
              </w:rPr>
              <w:br/>
              <w:t>(2018)</w:t>
            </w:r>
          </w:p>
        </w:tc>
        <w:tc>
          <w:tcPr>
            <w:tcW w:w="1077" w:type="dxa"/>
            <w:shd w:val="clear" w:color="auto" w:fill="auto"/>
            <w:noWrap/>
            <w:hideMark/>
          </w:tcPr>
          <w:p w:rsidR="00215621" w:rsidRPr="00D91344" w:rsidRDefault="00215621" w:rsidP="00E34BF1">
            <w:pPr>
              <w:pStyle w:val="TableText0"/>
              <w:spacing w:before="0" w:after="0" w:line="276" w:lineRule="auto"/>
              <w:jc w:val="center"/>
              <w:rPr>
                <w:b/>
                <w:lang w:eastAsia="en-AU"/>
              </w:rPr>
            </w:pPr>
            <w:r w:rsidRPr="00D91344">
              <w:rPr>
                <w:b/>
                <w:lang w:eastAsia="en-AU"/>
              </w:rPr>
              <w:t>Year 4</w:t>
            </w:r>
            <w:r w:rsidRPr="00D91344">
              <w:rPr>
                <w:b/>
                <w:lang w:eastAsia="en-AU"/>
              </w:rPr>
              <w:br/>
              <w:t>(2019)</w:t>
            </w:r>
          </w:p>
        </w:tc>
        <w:tc>
          <w:tcPr>
            <w:tcW w:w="1078" w:type="dxa"/>
            <w:shd w:val="clear" w:color="auto" w:fill="auto"/>
            <w:noWrap/>
            <w:hideMark/>
          </w:tcPr>
          <w:p w:rsidR="00215621" w:rsidRPr="00D91344" w:rsidRDefault="00215621" w:rsidP="00E34BF1">
            <w:pPr>
              <w:pStyle w:val="TableText0"/>
              <w:spacing w:before="0" w:after="0" w:line="276" w:lineRule="auto"/>
              <w:jc w:val="center"/>
              <w:rPr>
                <w:b/>
                <w:lang w:eastAsia="en-AU"/>
              </w:rPr>
            </w:pPr>
            <w:r w:rsidRPr="00D91344">
              <w:rPr>
                <w:b/>
                <w:lang w:eastAsia="en-AU"/>
              </w:rPr>
              <w:t>Year 5</w:t>
            </w:r>
            <w:r w:rsidRPr="00D91344">
              <w:rPr>
                <w:b/>
                <w:lang w:eastAsia="en-AU"/>
              </w:rPr>
              <w:br/>
              <w:t>(2020)</w:t>
            </w:r>
          </w:p>
        </w:tc>
      </w:tr>
      <w:tr w:rsidR="00215621" w:rsidRPr="00D91344" w:rsidTr="00D91344">
        <w:trPr>
          <w:trHeight w:val="255"/>
        </w:trPr>
        <w:tc>
          <w:tcPr>
            <w:tcW w:w="2977" w:type="dxa"/>
            <w:shd w:val="clear" w:color="auto" w:fill="auto"/>
            <w:noWrap/>
            <w:vAlign w:val="bottom"/>
          </w:tcPr>
          <w:p w:rsidR="00215621" w:rsidRPr="00D91344" w:rsidRDefault="00215621" w:rsidP="00E34BF1">
            <w:pPr>
              <w:pStyle w:val="TableText0"/>
              <w:spacing w:before="0" w:after="0" w:line="276" w:lineRule="auto"/>
              <w:rPr>
                <w:color w:val="000000"/>
              </w:rPr>
            </w:pPr>
            <w:r w:rsidRPr="00D91344">
              <w:rPr>
                <w:color w:val="000000"/>
              </w:rPr>
              <w:t>Total PBS Services for NK1 RAs</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8"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r>
      <w:tr w:rsidR="00215621" w:rsidRPr="00D91344" w:rsidTr="00D91344">
        <w:trPr>
          <w:trHeight w:val="255"/>
        </w:trPr>
        <w:tc>
          <w:tcPr>
            <w:tcW w:w="2977" w:type="dxa"/>
            <w:shd w:val="clear" w:color="auto" w:fill="auto"/>
            <w:noWrap/>
            <w:vAlign w:val="bottom"/>
          </w:tcPr>
          <w:p w:rsidR="00215621" w:rsidRPr="00D91344" w:rsidRDefault="00215621" w:rsidP="00E34BF1">
            <w:pPr>
              <w:pStyle w:val="TableText0"/>
              <w:spacing w:before="0" w:after="0" w:line="276" w:lineRule="auto"/>
              <w:rPr>
                <w:color w:val="000000"/>
              </w:rPr>
            </w:pPr>
            <w:r w:rsidRPr="00D91344">
              <w:rPr>
                <w:color w:val="000000"/>
              </w:rPr>
              <w:t>NK1 RAs use in HEC/AC-MEC</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8" w:type="dxa"/>
            <w:shd w:val="clear" w:color="auto" w:fill="auto"/>
            <w:noWrap/>
            <w:vAlign w:val="bottom"/>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r>
      <w:tr w:rsidR="00215621" w:rsidRPr="00D91344" w:rsidTr="00D91344">
        <w:trPr>
          <w:trHeight w:val="255"/>
        </w:trPr>
        <w:tc>
          <w:tcPr>
            <w:tcW w:w="2977" w:type="dxa"/>
            <w:shd w:val="clear" w:color="auto" w:fill="auto"/>
            <w:noWrap/>
            <w:vAlign w:val="bottom"/>
          </w:tcPr>
          <w:p w:rsidR="00215621" w:rsidRPr="00D91344" w:rsidRDefault="00215621" w:rsidP="00E34BF1">
            <w:pPr>
              <w:pStyle w:val="TableText0"/>
              <w:spacing w:before="0" w:after="0" w:line="276" w:lineRule="auto"/>
              <w:rPr>
                <w:lang w:eastAsia="en-AU"/>
              </w:rPr>
            </w:pPr>
            <w:r w:rsidRPr="00D91344">
              <w:rPr>
                <w:color w:val="000000"/>
              </w:rPr>
              <w:t>Estimated PBS Services for Akynzeo</w:t>
            </w:r>
          </w:p>
        </w:tc>
        <w:tc>
          <w:tcPr>
            <w:tcW w:w="1077" w:type="dxa"/>
            <w:shd w:val="clear" w:color="auto" w:fill="auto"/>
            <w:noWrap/>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7" w:type="dxa"/>
            <w:shd w:val="clear" w:color="auto" w:fill="auto"/>
            <w:noWrap/>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c>
          <w:tcPr>
            <w:tcW w:w="1078" w:type="dxa"/>
            <w:shd w:val="clear" w:color="auto" w:fill="auto"/>
            <w:noWrap/>
          </w:tcPr>
          <w:p w:rsidR="00215621" w:rsidRPr="001A0E97" w:rsidRDefault="001A0E97" w:rsidP="00E34BF1">
            <w:pPr>
              <w:pStyle w:val="TableText0"/>
              <w:spacing w:before="0" w:after="0" w:line="276" w:lineRule="auto"/>
              <w:jc w:val="center"/>
              <w:rPr>
                <w:color w:val="000000"/>
                <w:highlight w:val="black"/>
              </w:rPr>
            </w:pPr>
            <w:r>
              <w:rPr>
                <w:noProof/>
                <w:color w:val="000000"/>
                <w:highlight w:val="black"/>
              </w:rPr>
              <w:t>''''''''''''''''</w:t>
            </w:r>
          </w:p>
        </w:tc>
      </w:tr>
    </w:tbl>
    <w:p w:rsidR="00215621" w:rsidRDefault="00215621" w:rsidP="005641B7">
      <w:pPr>
        <w:pStyle w:val="ListParagraph"/>
        <w:ind w:left="709"/>
        <w:jc w:val="both"/>
        <w:rPr>
          <w:rFonts w:ascii="Arial Narrow" w:hAnsi="Arial Narrow"/>
          <w:sz w:val="18"/>
          <w:szCs w:val="22"/>
        </w:rPr>
      </w:pPr>
      <w:r w:rsidRPr="000E0069">
        <w:rPr>
          <w:rFonts w:ascii="Arial Narrow" w:hAnsi="Arial Narrow"/>
          <w:sz w:val="18"/>
          <w:szCs w:val="22"/>
        </w:rPr>
        <w:t>Source: Submission, Table 5 p.11</w:t>
      </w:r>
    </w:p>
    <w:p w:rsidR="004D0E6E" w:rsidRDefault="004D0E6E" w:rsidP="005641B7">
      <w:pPr>
        <w:pStyle w:val="ListParagraph"/>
        <w:ind w:left="709"/>
        <w:jc w:val="both"/>
        <w:rPr>
          <w:rFonts w:ascii="Arial Narrow" w:hAnsi="Arial Narrow"/>
          <w:sz w:val="18"/>
          <w:szCs w:val="22"/>
        </w:rPr>
      </w:pPr>
    </w:p>
    <w:p w:rsidR="004D0E6E" w:rsidRPr="00DC738B" w:rsidRDefault="004D0E6E" w:rsidP="005641B7">
      <w:pPr>
        <w:pStyle w:val="ListParagraph"/>
        <w:ind w:left="709"/>
        <w:jc w:val="both"/>
        <w:rPr>
          <w:rFonts w:ascii="Arial" w:hAnsi="Arial" w:cs="Arial"/>
          <w:sz w:val="22"/>
          <w:szCs w:val="22"/>
        </w:rPr>
      </w:pPr>
      <w:r w:rsidRPr="00DC738B">
        <w:rPr>
          <w:rFonts w:ascii="Arial" w:hAnsi="Arial" w:cs="Arial"/>
          <w:sz w:val="22"/>
          <w:szCs w:val="22"/>
        </w:rPr>
        <w:t xml:space="preserve">The estimated use of NK1 RAs is based on the streamlined Authority Required use of aprepitant in HEC and AC breast cancer, adjusted by a growth factor of 4% annually.    </w:t>
      </w:r>
    </w:p>
    <w:p w:rsidR="003405D6" w:rsidRPr="00571296" w:rsidRDefault="003405D6" w:rsidP="003405D6">
      <w:pPr>
        <w:widowControl w:val="0"/>
        <w:spacing w:after="120"/>
        <w:ind w:left="720"/>
        <w:contextualSpacing/>
        <w:jc w:val="both"/>
        <w:rPr>
          <w:rFonts w:ascii="Arial" w:hAnsi="Arial" w:cs="Arial"/>
          <w:bCs/>
          <w:snapToGrid w:val="0"/>
          <w:sz w:val="22"/>
          <w:szCs w:val="22"/>
          <w:lang w:val="en-GB" w:eastAsia="en-US"/>
        </w:rPr>
      </w:pPr>
    </w:p>
    <w:p w:rsidR="003405D6" w:rsidRDefault="003405D6" w:rsidP="003405D6">
      <w:pPr>
        <w:widowControl w:val="0"/>
        <w:numPr>
          <w:ilvl w:val="1"/>
          <w:numId w:val="1"/>
        </w:numPr>
        <w:spacing w:after="120"/>
        <w:contextualSpacing/>
        <w:jc w:val="both"/>
        <w:rPr>
          <w:rFonts w:ascii="Arial" w:hAnsi="Arial" w:cs="Arial"/>
          <w:bCs/>
          <w:snapToGrid w:val="0"/>
          <w:sz w:val="22"/>
          <w:szCs w:val="22"/>
          <w:lang w:val="en-GB" w:eastAsia="en-US"/>
        </w:rPr>
      </w:pPr>
      <w:r w:rsidRPr="00571296">
        <w:rPr>
          <w:rFonts w:ascii="Arial" w:hAnsi="Arial" w:cs="Arial"/>
          <w:bCs/>
          <w:snapToGrid w:val="0"/>
          <w:sz w:val="22"/>
          <w:szCs w:val="22"/>
          <w:lang w:val="en-GB" w:eastAsia="en-US"/>
        </w:rPr>
        <w:t xml:space="preserve">The PBAC advised that a risk sharing arrangement should include a subsidisation cap where higher than expected use of </w:t>
      </w:r>
      <w:r w:rsidR="00C54D67">
        <w:rPr>
          <w:rFonts w:ascii="Arial" w:hAnsi="Arial" w:cs="Arial"/>
          <w:bCs/>
          <w:snapToGrid w:val="0"/>
          <w:sz w:val="22"/>
          <w:szCs w:val="22"/>
          <w:lang w:val="en-GB" w:eastAsia="en-US"/>
        </w:rPr>
        <w:t>NEPA</w:t>
      </w:r>
      <w:r w:rsidRPr="00571296">
        <w:rPr>
          <w:rFonts w:ascii="Arial" w:hAnsi="Arial" w:cs="Arial"/>
          <w:bCs/>
          <w:snapToGrid w:val="0"/>
          <w:sz w:val="22"/>
          <w:szCs w:val="22"/>
          <w:lang w:val="en-GB" w:eastAsia="en-US"/>
        </w:rPr>
        <w:t xml:space="preserve"> defaults to the </w:t>
      </w:r>
      <w:r>
        <w:rPr>
          <w:rFonts w:ascii="Arial" w:hAnsi="Arial" w:cs="Arial"/>
          <w:bCs/>
          <w:snapToGrid w:val="0"/>
          <w:sz w:val="22"/>
          <w:szCs w:val="22"/>
          <w:lang w:val="en-GB" w:eastAsia="en-US"/>
        </w:rPr>
        <w:t>equivalent cost of a 5</w:t>
      </w:r>
      <w:r w:rsidR="004C3780">
        <w:rPr>
          <w:rFonts w:ascii="Arial" w:hAnsi="Arial" w:cs="Arial"/>
          <w:bCs/>
          <w:snapToGrid w:val="0"/>
          <w:sz w:val="22"/>
          <w:szCs w:val="22"/>
          <w:lang w:val="en-GB" w:eastAsia="en-US"/>
        </w:rPr>
        <w:noBreakHyphen/>
      </w:r>
      <w:r>
        <w:rPr>
          <w:rFonts w:ascii="Arial" w:hAnsi="Arial" w:cs="Arial"/>
          <w:bCs/>
          <w:snapToGrid w:val="0"/>
          <w:sz w:val="22"/>
          <w:szCs w:val="22"/>
          <w:lang w:val="en-GB" w:eastAsia="en-US"/>
        </w:rPr>
        <w:t>HT</w:t>
      </w:r>
      <w:r w:rsidRPr="00CB2EAA">
        <w:rPr>
          <w:rFonts w:ascii="Arial" w:hAnsi="Arial" w:cs="Arial"/>
          <w:bCs/>
          <w:snapToGrid w:val="0"/>
          <w:sz w:val="22"/>
          <w:szCs w:val="22"/>
          <w:vertAlign w:val="subscript"/>
          <w:lang w:val="en-GB" w:eastAsia="en-US"/>
        </w:rPr>
        <w:t>3</w:t>
      </w:r>
      <w:r>
        <w:rPr>
          <w:rFonts w:ascii="Arial" w:hAnsi="Arial" w:cs="Arial"/>
          <w:bCs/>
          <w:snapToGrid w:val="0"/>
          <w:sz w:val="22"/>
          <w:szCs w:val="22"/>
          <w:lang w:val="en-GB" w:eastAsia="en-US"/>
        </w:rPr>
        <w:t xml:space="preserve"> </w:t>
      </w:r>
      <w:r w:rsidR="00060618">
        <w:rPr>
          <w:rFonts w:ascii="Arial" w:hAnsi="Arial" w:cs="Arial"/>
          <w:bCs/>
          <w:snapToGrid w:val="0"/>
          <w:sz w:val="22"/>
          <w:szCs w:val="22"/>
          <w:lang w:val="en-GB" w:eastAsia="en-US"/>
        </w:rPr>
        <w:t xml:space="preserve">receptor </w:t>
      </w:r>
      <w:r>
        <w:rPr>
          <w:rFonts w:ascii="Arial" w:hAnsi="Arial" w:cs="Arial"/>
          <w:bCs/>
          <w:snapToGrid w:val="0"/>
          <w:sz w:val="22"/>
          <w:szCs w:val="22"/>
          <w:lang w:val="en-GB" w:eastAsia="en-US"/>
        </w:rPr>
        <w:t>anta</w:t>
      </w:r>
      <w:r w:rsidRPr="00571296">
        <w:rPr>
          <w:rFonts w:ascii="Arial" w:hAnsi="Arial" w:cs="Arial"/>
          <w:bCs/>
          <w:snapToGrid w:val="0"/>
          <w:sz w:val="22"/>
          <w:szCs w:val="22"/>
          <w:lang w:val="en-GB" w:eastAsia="en-US"/>
        </w:rPr>
        <w:t>gonist.</w:t>
      </w:r>
      <w:r w:rsidR="00863842">
        <w:rPr>
          <w:rFonts w:ascii="Arial" w:hAnsi="Arial" w:cs="Arial"/>
          <w:bCs/>
          <w:snapToGrid w:val="0"/>
          <w:sz w:val="22"/>
          <w:szCs w:val="22"/>
          <w:lang w:val="en-GB" w:eastAsia="en-US"/>
        </w:rPr>
        <w:t xml:space="preserve"> The PBAC considered that </w:t>
      </w:r>
      <w:r w:rsidR="00DD46F9">
        <w:rPr>
          <w:rFonts w:ascii="Arial" w:hAnsi="Arial" w:cs="Arial"/>
          <w:bCs/>
          <w:snapToGrid w:val="0"/>
          <w:sz w:val="22"/>
          <w:szCs w:val="22"/>
          <w:lang w:val="en-GB" w:eastAsia="en-US"/>
        </w:rPr>
        <w:t>caps</w:t>
      </w:r>
      <w:r w:rsidR="00863842">
        <w:rPr>
          <w:rFonts w:ascii="Arial" w:hAnsi="Arial" w:cs="Arial"/>
          <w:bCs/>
          <w:snapToGrid w:val="0"/>
          <w:sz w:val="22"/>
          <w:szCs w:val="22"/>
          <w:lang w:val="en-GB" w:eastAsia="en-US"/>
        </w:rPr>
        <w:t xml:space="preserve"> should be based on</w:t>
      </w:r>
      <w:r w:rsidR="00134CDB">
        <w:rPr>
          <w:rFonts w:ascii="Arial" w:hAnsi="Arial" w:cs="Arial"/>
          <w:bCs/>
          <w:snapToGrid w:val="0"/>
          <w:sz w:val="22"/>
          <w:szCs w:val="22"/>
          <w:lang w:val="en-GB" w:eastAsia="en-US"/>
        </w:rPr>
        <w:t xml:space="preserve"> </w:t>
      </w:r>
      <w:r w:rsidR="00DD46F9">
        <w:rPr>
          <w:rFonts w:ascii="Arial" w:hAnsi="Arial" w:cs="Arial"/>
          <w:bCs/>
          <w:snapToGrid w:val="0"/>
          <w:sz w:val="22"/>
          <w:szCs w:val="22"/>
          <w:lang w:val="en-GB" w:eastAsia="en-US"/>
        </w:rPr>
        <w:t>estimates of NEPA use</w:t>
      </w:r>
      <w:r w:rsidR="00863842">
        <w:rPr>
          <w:rFonts w:ascii="Arial" w:hAnsi="Arial" w:cs="Arial"/>
          <w:bCs/>
          <w:snapToGrid w:val="0"/>
          <w:sz w:val="22"/>
          <w:szCs w:val="22"/>
          <w:lang w:val="en-GB" w:eastAsia="en-US"/>
        </w:rPr>
        <w:t xml:space="preserve"> in HEC and AC breast cancer indications</w:t>
      </w:r>
      <w:r w:rsidR="00DD46F9">
        <w:rPr>
          <w:rFonts w:ascii="Arial" w:hAnsi="Arial" w:cs="Arial"/>
          <w:bCs/>
          <w:snapToGrid w:val="0"/>
          <w:sz w:val="22"/>
          <w:szCs w:val="22"/>
          <w:lang w:val="en-GB" w:eastAsia="en-US"/>
        </w:rPr>
        <w:t>, as presented in the submission</w:t>
      </w:r>
      <w:r w:rsidR="00541F9B">
        <w:rPr>
          <w:rFonts w:ascii="Arial" w:hAnsi="Arial" w:cs="Arial"/>
          <w:bCs/>
          <w:snapToGrid w:val="0"/>
          <w:sz w:val="22"/>
          <w:szCs w:val="22"/>
          <w:lang w:val="en-GB" w:eastAsia="en-US"/>
        </w:rPr>
        <w:t>.</w:t>
      </w:r>
      <w:r w:rsidR="0002304F">
        <w:rPr>
          <w:rFonts w:ascii="Arial" w:hAnsi="Arial" w:cs="Arial"/>
          <w:bCs/>
          <w:snapToGrid w:val="0"/>
          <w:sz w:val="22"/>
          <w:szCs w:val="22"/>
          <w:lang w:val="en-GB" w:eastAsia="en-US"/>
        </w:rPr>
        <w:t xml:space="preserve"> </w:t>
      </w:r>
      <w:r w:rsidR="00BD490A">
        <w:rPr>
          <w:rFonts w:ascii="Arial" w:hAnsi="Arial" w:cs="Arial"/>
          <w:bCs/>
          <w:snapToGrid w:val="0"/>
          <w:sz w:val="22"/>
          <w:szCs w:val="22"/>
          <w:lang w:val="en-GB" w:eastAsia="en-US"/>
        </w:rPr>
        <w:t xml:space="preserve">The PBAC reiterated that there is substantial risk of </w:t>
      </w:r>
      <w:r w:rsidR="00BD490A" w:rsidRPr="004C3780">
        <w:rPr>
          <w:rFonts w:ascii="Arial" w:hAnsi="Arial" w:cs="Arial"/>
          <w:bCs/>
          <w:snapToGrid w:val="0"/>
          <w:sz w:val="22"/>
          <w:szCs w:val="22"/>
          <w:lang w:val="en-GB" w:eastAsia="en-US"/>
        </w:rPr>
        <w:t>leakage in</w:t>
      </w:r>
      <w:r w:rsidR="00BD490A" w:rsidRPr="004C3780">
        <w:rPr>
          <w:rFonts w:ascii="Arial" w:hAnsi="Arial" w:cs="Arial"/>
          <w:sz w:val="22"/>
          <w:szCs w:val="22"/>
        </w:rPr>
        <w:t>to the population of patients scheduled to receive moderately emetogenic chemotherapy and also to patients who would usually only receive the 5-HT</w:t>
      </w:r>
      <w:r w:rsidR="00BD490A" w:rsidRPr="004C3780">
        <w:rPr>
          <w:rFonts w:ascii="Arial" w:hAnsi="Arial" w:cs="Arial"/>
          <w:sz w:val="22"/>
          <w:szCs w:val="22"/>
          <w:vertAlign w:val="subscript"/>
        </w:rPr>
        <w:t>3</w:t>
      </w:r>
      <w:r w:rsidR="00BD490A" w:rsidRPr="004C3780">
        <w:rPr>
          <w:rFonts w:ascii="Arial" w:hAnsi="Arial" w:cs="Arial"/>
          <w:sz w:val="22"/>
          <w:szCs w:val="22"/>
        </w:rPr>
        <w:t xml:space="preserve"> RA component because of the dose form being one tablet.</w:t>
      </w:r>
    </w:p>
    <w:p w:rsidR="003405D6" w:rsidRPr="00DC738B" w:rsidRDefault="003405D6" w:rsidP="00C00DA7">
      <w:pPr>
        <w:jc w:val="both"/>
        <w:rPr>
          <w:rFonts w:ascii="Arial" w:hAnsi="Arial"/>
          <w:sz w:val="22"/>
          <w:szCs w:val="22"/>
        </w:rPr>
      </w:pPr>
    </w:p>
    <w:p w:rsidR="0006044B" w:rsidRPr="00DC738B" w:rsidRDefault="0006044B" w:rsidP="003619E3">
      <w:pPr>
        <w:pStyle w:val="Heading2"/>
      </w:pPr>
      <w:r w:rsidRPr="00DC738B">
        <w:t>Quality Use of Medicines</w:t>
      </w:r>
    </w:p>
    <w:p w:rsidR="0006044B" w:rsidRDefault="0006044B" w:rsidP="00C00DA7">
      <w:pPr>
        <w:jc w:val="both"/>
        <w:rPr>
          <w:rFonts w:ascii="Arial" w:hAnsi="Arial"/>
          <w:sz w:val="22"/>
          <w:szCs w:val="22"/>
        </w:rPr>
      </w:pPr>
    </w:p>
    <w:p w:rsidR="00044A72" w:rsidRDefault="00044A72" w:rsidP="005A46BF">
      <w:pPr>
        <w:pStyle w:val="ListParagraph"/>
        <w:numPr>
          <w:ilvl w:val="1"/>
          <w:numId w:val="1"/>
        </w:numPr>
        <w:jc w:val="both"/>
        <w:rPr>
          <w:rFonts w:ascii="Arial" w:hAnsi="Arial"/>
          <w:sz w:val="22"/>
          <w:szCs w:val="22"/>
        </w:rPr>
      </w:pPr>
      <w:r w:rsidRPr="00044A72">
        <w:rPr>
          <w:rFonts w:ascii="Arial" w:hAnsi="Arial"/>
          <w:sz w:val="22"/>
          <w:szCs w:val="22"/>
        </w:rPr>
        <w:t>The re-submission made a claim of improved compliance with NEPA for delayed chemotherapy-induced nausea and vomiting</w:t>
      </w:r>
      <w:r>
        <w:rPr>
          <w:rFonts w:ascii="Arial" w:hAnsi="Arial"/>
          <w:sz w:val="22"/>
          <w:szCs w:val="22"/>
        </w:rPr>
        <w:t xml:space="preserve"> (as in the previous July 2015 resubmission)</w:t>
      </w:r>
      <w:r w:rsidRPr="00044A72">
        <w:rPr>
          <w:rFonts w:ascii="Arial" w:hAnsi="Arial"/>
          <w:sz w:val="22"/>
          <w:szCs w:val="22"/>
        </w:rPr>
        <w:t>. This was based on a study by Chan et al (2012) that examined the association between non-compliance and delayed phase patients with breast cancer who received anthracycline plus cyclophosphamide based regimens (Source: p</w:t>
      </w:r>
      <w:r>
        <w:rPr>
          <w:rFonts w:ascii="Arial" w:hAnsi="Arial"/>
          <w:sz w:val="22"/>
          <w:szCs w:val="22"/>
        </w:rPr>
        <w:t>.6 of the resubmission</w:t>
      </w:r>
      <w:r w:rsidRPr="00044A72">
        <w:rPr>
          <w:rFonts w:ascii="Arial" w:hAnsi="Arial"/>
          <w:sz w:val="22"/>
          <w:szCs w:val="22"/>
        </w:rPr>
        <w:t>).</w:t>
      </w:r>
      <w:r w:rsidR="00D21A82">
        <w:rPr>
          <w:rFonts w:ascii="Arial" w:hAnsi="Arial"/>
          <w:sz w:val="22"/>
          <w:szCs w:val="22"/>
        </w:rPr>
        <w:t xml:space="preserve"> The submission claimed that the likely improvement of patient compliance was due to a simplification and convenience of therapy.</w:t>
      </w:r>
    </w:p>
    <w:p w:rsidR="00044A72" w:rsidRDefault="00044A72" w:rsidP="00044A72">
      <w:pPr>
        <w:pStyle w:val="ListParagraph"/>
        <w:jc w:val="both"/>
        <w:rPr>
          <w:rFonts w:ascii="Arial" w:hAnsi="Arial"/>
          <w:sz w:val="22"/>
          <w:szCs w:val="22"/>
        </w:rPr>
      </w:pPr>
    </w:p>
    <w:p w:rsidR="0006044B" w:rsidRDefault="007C2520" w:rsidP="005A46BF">
      <w:pPr>
        <w:pStyle w:val="ListParagraph"/>
        <w:numPr>
          <w:ilvl w:val="1"/>
          <w:numId w:val="1"/>
        </w:numPr>
        <w:jc w:val="both"/>
        <w:rPr>
          <w:rFonts w:ascii="Arial" w:hAnsi="Arial"/>
          <w:sz w:val="22"/>
          <w:szCs w:val="22"/>
        </w:rPr>
      </w:pPr>
      <w:r>
        <w:rPr>
          <w:rFonts w:ascii="Arial" w:hAnsi="Arial"/>
          <w:sz w:val="22"/>
          <w:szCs w:val="22"/>
        </w:rPr>
        <w:t>The following table was provided in the submission to address the fixed dose combination guidelines:</w:t>
      </w:r>
    </w:p>
    <w:p w:rsidR="007C2520" w:rsidRDefault="007C2520" w:rsidP="00C00DA7">
      <w:pPr>
        <w:jc w:val="both"/>
        <w:rPr>
          <w:rFonts w:ascii="Arial" w:hAnsi="Arial"/>
          <w:sz w:val="22"/>
          <w:szCs w:val="22"/>
        </w:rPr>
      </w:pPr>
    </w:p>
    <w:p w:rsidR="006B0697" w:rsidRDefault="006B0697">
      <w:pPr>
        <w:rPr>
          <w:rFonts w:ascii="Arial Narrow" w:hAnsi="Arial Narrow" w:cs="Arial"/>
          <w:b/>
          <w:bCs/>
          <w:sz w:val="20"/>
          <w:szCs w:val="22"/>
          <w:lang w:eastAsia="en-US"/>
        </w:rPr>
      </w:pPr>
      <w:bookmarkStart w:id="3" w:name="_Ref319398002"/>
      <w:bookmarkStart w:id="4" w:name="_Toc402444093"/>
      <w:r>
        <w:rPr>
          <w:rFonts w:ascii="Arial Narrow" w:hAnsi="Arial Narrow"/>
          <w:sz w:val="20"/>
        </w:rPr>
        <w:br w:type="page"/>
      </w:r>
    </w:p>
    <w:p w:rsidR="005A46BF" w:rsidRDefault="008A3184" w:rsidP="00CE7404">
      <w:pPr>
        <w:pStyle w:val="Caption"/>
        <w:ind w:hanging="130"/>
        <w:rPr>
          <w:rFonts w:ascii="Arial Narrow" w:hAnsi="Arial Narrow"/>
          <w:sz w:val="20"/>
        </w:rPr>
      </w:pPr>
      <w:bookmarkStart w:id="5" w:name="_GoBack"/>
      <w:bookmarkEnd w:id="5"/>
      <w:r w:rsidRPr="008A3184">
        <w:rPr>
          <w:rFonts w:ascii="Arial Narrow" w:hAnsi="Arial Narrow"/>
          <w:sz w:val="20"/>
        </w:rPr>
        <w:lastRenderedPageBreak/>
        <w:t xml:space="preserve">Table </w:t>
      </w:r>
      <w:bookmarkEnd w:id="3"/>
      <w:r w:rsidR="005823EF">
        <w:rPr>
          <w:rFonts w:ascii="Arial Narrow" w:hAnsi="Arial Narrow"/>
          <w:sz w:val="20"/>
        </w:rPr>
        <w:t>4</w:t>
      </w:r>
      <w:r>
        <w:rPr>
          <w:rFonts w:ascii="Arial Narrow" w:hAnsi="Arial Narrow"/>
          <w:noProof/>
          <w:sz w:val="20"/>
        </w:rPr>
        <w:t xml:space="preserve">: </w:t>
      </w:r>
      <w:r w:rsidRPr="008A3184">
        <w:rPr>
          <w:rFonts w:ascii="Arial Narrow" w:hAnsi="Arial Narrow"/>
          <w:sz w:val="20"/>
        </w:rPr>
        <w:t>Matters to consider for the listing of fixed combination products</w:t>
      </w:r>
      <w:bookmarkEnd w:id="4"/>
      <w:r w:rsidR="005A46BF">
        <w:rPr>
          <w:rFonts w:ascii="Arial Narrow" w:hAnsi="Arial Narrow"/>
          <w:sz w:val="20"/>
        </w:rPr>
        <w:t xml:space="preserve"> </w:t>
      </w:r>
    </w:p>
    <w:p w:rsidR="008A3184" w:rsidRPr="005A46BF" w:rsidRDefault="005A46BF" w:rsidP="00CE7404">
      <w:pPr>
        <w:pStyle w:val="Caption"/>
        <w:ind w:hanging="130"/>
        <w:rPr>
          <w:rFonts w:ascii="Arial Narrow" w:hAnsi="Arial Narrow"/>
          <w:i/>
          <w:sz w:val="20"/>
        </w:rPr>
      </w:pPr>
      <w:r>
        <w:rPr>
          <w:rFonts w:ascii="Arial Narrow" w:hAnsi="Arial Narrow"/>
          <w:i/>
          <w:sz w:val="20"/>
        </w:rPr>
        <w:t>(abridged table from the resubmission)</w:t>
      </w:r>
    </w:p>
    <w:tbl>
      <w:tblPr>
        <w:tblStyle w:val="TableGrid"/>
        <w:tblW w:w="8363" w:type="dxa"/>
        <w:tblInd w:w="817" w:type="dxa"/>
        <w:tblLook w:val="04A0" w:firstRow="1" w:lastRow="0" w:firstColumn="1" w:lastColumn="0" w:noHBand="0" w:noVBand="1"/>
        <w:tblCaption w:val="Table 4: Matters to consider for the listing of fixed combination products "/>
        <w:tblDescription w:val="(abridged table from the resubmission)"/>
      </w:tblPr>
      <w:tblGrid>
        <w:gridCol w:w="4253"/>
        <w:gridCol w:w="4110"/>
      </w:tblGrid>
      <w:tr w:rsidR="008A3184" w:rsidRPr="00856D15" w:rsidTr="008A3184">
        <w:trPr>
          <w:cantSplit/>
          <w:tblHeader/>
        </w:trPr>
        <w:tc>
          <w:tcPr>
            <w:tcW w:w="4253" w:type="dxa"/>
          </w:tcPr>
          <w:p w:rsidR="008A3184" w:rsidRPr="00856D15" w:rsidRDefault="008A3184" w:rsidP="00437015">
            <w:pPr>
              <w:pStyle w:val="Table"/>
              <w:keepNext/>
              <w:rPr>
                <w:b/>
              </w:rPr>
            </w:pPr>
            <w:r w:rsidRPr="00856D15">
              <w:rPr>
                <w:b/>
              </w:rPr>
              <w:t>PBAC Guidelines</w:t>
            </w:r>
          </w:p>
        </w:tc>
        <w:tc>
          <w:tcPr>
            <w:tcW w:w="4110" w:type="dxa"/>
          </w:tcPr>
          <w:p w:rsidR="008A3184" w:rsidRPr="00856D15" w:rsidRDefault="008A3184" w:rsidP="00437015">
            <w:pPr>
              <w:pStyle w:val="Table"/>
              <w:keepNext/>
              <w:rPr>
                <w:b/>
              </w:rPr>
            </w:pPr>
            <w:r>
              <w:rPr>
                <w:b/>
              </w:rPr>
              <w:t>Application to NEPA</w:t>
            </w:r>
          </w:p>
        </w:tc>
      </w:tr>
      <w:tr w:rsidR="008A3184" w:rsidRPr="00E77558" w:rsidTr="008A3184">
        <w:trPr>
          <w:cantSplit/>
        </w:trPr>
        <w:tc>
          <w:tcPr>
            <w:tcW w:w="4253" w:type="dxa"/>
            <w:tcBorders>
              <w:right w:val="nil"/>
            </w:tcBorders>
            <w:shd w:val="clear" w:color="auto" w:fill="B8CCE4" w:themeFill="accent1" w:themeFillTint="66"/>
          </w:tcPr>
          <w:p w:rsidR="008A3184" w:rsidRPr="00E77558" w:rsidRDefault="008A3184" w:rsidP="00437015">
            <w:pPr>
              <w:pStyle w:val="Table"/>
              <w:keepNext/>
              <w:rPr>
                <w:b/>
              </w:rPr>
            </w:pPr>
            <w:r w:rsidRPr="00E77558">
              <w:rPr>
                <w:b/>
              </w:rPr>
              <w:t>Information requests</w:t>
            </w:r>
          </w:p>
        </w:tc>
        <w:tc>
          <w:tcPr>
            <w:tcW w:w="4110" w:type="dxa"/>
            <w:tcBorders>
              <w:left w:val="nil"/>
            </w:tcBorders>
            <w:shd w:val="clear" w:color="auto" w:fill="B8CCE4" w:themeFill="accent1" w:themeFillTint="66"/>
          </w:tcPr>
          <w:p w:rsidR="008A3184" w:rsidRPr="00E77558" w:rsidRDefault="008A3184" w:rsidP="00437015">
            <w:pPr>
              <w:pStyle w:val="Table"/>
              <w:keepNext/>
              <w:rPr>
                <w:b/>
              </w:rPr>
            </w:pPr>
          </w:p>
        </w:tc>
      </w:tr>
      <w:tr w:rsidR="008A3184" w:rsidTr="008A3184">
        <w:trPr>
          <w:cantSplit/>
        </w:trPr>
        <w:tc>
          <w:tcPr>
            <w:tcW w:w="4253" w:type="dxa"/>
          </w:tcPr>
          <w:p w:rsidR="008A3184" w:rsidRPr="0003678A" w:rsidRDefault="008A3184" w:rsidP="00437015">
            <w:pPr>
              <w:pStyle w:val="Table"/>
            </w:pPr>
            <w:r w:rsidRPr="0003678A">
              <w:t xml:space="preserve">Provide information as part of the response to Part II, Subsection A.2 to show that the combination product has been approved by the TGA, or is recommended for approval by the TGA, and meets all clinical criteria required by the TGA. Confirm that any requested restriction is consistent with any restriction for each component of the combination product. </w:t>
            </w:r>
          </w:p>
        </w:tc>
        <w:tc>
          <w:tcPr>
            <w:tcW w:w="4110" w:type="dxa"/>
          </w:tcPr>
          <w:p w:rsidR="00237534" w:rsidRDefault="00237534" w:rsidP="00237534">
            <w:pPr>
              <w:pStyle w:val="Table"/>
            </w:pPr>
            <w:r>
              <w:t>NEPA was registered with the Therapeutic Goods Administration (TGA) in May 2015. NEPA is indicated in adult patients for:</w:t>
            </w:r>
          </w:p>
          <w:p w:rsidR="00237534" w:rsidRDefault="00237534" w:rsidP="005A46BF">
            <w:pPr>
              <w:pStyle w:val="Table"/>
              <w:numPr>
                <w:ilvl w:val="0"/>
                <w:numId w:val="4"/>
              </w:numPr>
            </w:pPr>
            <w:r>
              <w:t>prevention of acute and delayed nausea and vomiting associated with initial and repeat courses of highly emetogenic cancer chemotherapy; and</w:t>
            </w:r>
          </w:p>
          <w:p w:rsidR="00237534" w:rsidRDefault="00237534" w:rsidP="005A46BF">
            <w:pPr>
              <w:pStyle w:val="Table"/>
              <w:numPr>
                <w:ilvl w:val="0"/>
                <w:numId w:val="4"/>
              </w:numPr>
            </w:pPr>
            <w:r>
              <w:t>prevention of acute and delayed nausea and vomiting associated with initial and repeat courses of moderately emetogenic cancer chemotherapy.</w:t>
            </w:r>
          </w:p>
          <w:p w:rsidR="008A3184" w:rsidRPr="003F6D51" w:rsidRDefault="008A3184" w:rsidP="00437015">
            <w:pPr>
              <w:pStyle w:val="Table"/>
            </w:pPr>
          </w:p>
        </w:tc>
      </w:tr>
      <w:tr w:rsidR="008A3184" w:rsidTr="008A3184">
        <w:trPr>
          <w:cantSplit/>
        </w:trPr>
        <w:tc>
          <w:tcPr>
            <w:tcW w:w="4253" w:type="dxa"/>
          </w:tcPr>
          <w:p w:rsidR="008A3184" w:rsidRDefault="008A3184" w:rsidP="00437015">
            <w:pPr>
              <w:pStyle w:val="Table"/>
            </w:pPr>
            <w:r w:rsidRPr="00775127">
              <w:t>For each component of the combination product, provide information as part of the response to Part II, Subsection A.3 to show that:</w:t>
            </w:r>
          </w:p>
          <w:p w:rsidR="008A3184" w:rsidRDefault="008A3184" w:rsidP="005A46BF">
            <w:pPr>
              <w:pStyle w:val="Table"/>
              <w:numPr>
                <w:ilvl w:val="0"/>
                <w:numId w:val="3"/>
              </w:numPr>
              <w:ind w:left="142" w:hanging="142"/>
            </w:pPr>
            <w:r w:rsidRPr="00775127">
              <w:t>it is (preferably) listed on the PBS or funded on the NIP</w:t>
            </w:r>
          </w:p>
          <w:p w:rsidR="008A3184" w:rsidRDefault="008A3184" w:rsidP="005A46BF">
            <w:pPr>
              <w:pStyle w:val="Table"/>
              <w:numPr>
                <w:ilvl w:val="0"/>
                <w:numId w:val="3"/>
              </w:numPr>
              <w:ind w:left="142" w:hanging="142"/>
            </w:pPr>
            <w:r w:rsidRPr="00775127">
              <w:t xml:space="preserve">the doses are consistent with the doses of the combination product. </w:t>
            </w:r>
          </w:p>
        </w:tc>
        <w:tc>
          <w:tcPr>
            <w:tcW w:w="4110" w:type="dxa"/>
          </w:tcPr>
          <w:p w:rsidR="00237534" w:rsidRDefault="008A3184" w:rsidP="00237534">
            <w:pPr>
              <w:pStyle w:val="Table"/>
            </w:pPr>
            <w:r w:rsidRPr="00436AD7">
              <w:t xml:space="preserve">Neither of the component products are registered with the TGA, nor listed on the PBS. </w:t>
            </w:r>
          </w:p>
          <w:p w:rsidR="00237534" w:rsidRDefault="008A3184" w:rsidP="005A46BF">
            <w:pPr>
              <w:pStyle w:val="Table"/>
              <w:numPr>
                <w:ilvl w:val="0"/>
                <w:numId w:val="5"/>
              </w:numPr>
            </w:pPr>
            <w:r w:rsidRPr="00436AD7">
              <w:t>Although palonosetron is listed on the PBS, oral palonosetron</w:t>
            </w:r>
            <w:r>
              <w:t xml:space="preserve"> is</w:t>
            </w:r>
            <w:r w:rsidRPr="00436AD7">
              <w:t xml:space="preserve"> not listed on the PBS. </w:t>
            </w:r>
          </w:p>
          <w:p w:rsidR="008A3184" w:rsidRPr="00436AD7" w:rsidRDefault="008A3184" w:rsidP="005A46BF">
            <w:pPr>
              <w:pStyle w:val="Table"/>
              <w:numPr>
                <w:ilvl w:val="0"/>
                <w:numId w:val="5"/>
              </w:numPr>
            </w:pPr>
            <w:r w:rsidRPr="00436AD7">
              <w:t xml:space="preserve">Netupitant </w:t>
            </w:r>
            <w:r>
              <w:t xml:space="preserve">is </w:t>
            </w:r>
            <w:r w:rsidRPr="00436AD7">
              <w:t>not listed on PBS, or registered for use as a single agent.</w:t>
            </w:r>
          </w:p>
        </w:tc>
      </w:tr>
      <w:tr w:rsidR="008A3184" w:rsidTr="008A3184">
        <w:trPr>
          <w:cantSplit/>
        </w:trPr>
        <w:tc>
          <w:tcPr>
            <w:tcW w:w="4253" w:type="dxa"/>
          </w:tcPr>
          <w:p w:rsidR="008A3184" w:rsidRDefault="008A3184" w:rsidP="00437015">
            <w:pPr>
              <w:pStyle w:val="Table"/>
            </w:pPr>
            <w:r w:rsidRPr="00775127">
              <w:t xml:space="preserve">Also as part of the response to Part II, Subsection A.3, show that listing the combination product would not result in: </w:t>
            </w:r>
          </w:p>
          <w:p w:rsidR="008A3184" w:rsidRDefault="008A3184" w:rsidP="005A46BF">
            <w:pPr>
              <w:pStyle w:val="Table"/>
              <w:numPr>
                <w:ilvl w:val="0"/>
                <w:numId w:val="3"/>
              </w:numPr>
              <w:ind w:left="142" w:hanging="142"/>
            </w:pPr>
            <w:r w:rsidRPr="00775127">
              <w:t>inappropriate dosing of either component (eg the combination product should not contain components for which individual dose titration is preferable)</w:t>
            </w:r>
          </w:p>
          <w:p w:rsidR="008A3184" w:rsidRDefault="008A3184" w:rsidP="005A46BF">
            <w:pPr>
              <w:pStyle w:val="Table"/>
              <w:numPr>
                <w:ilvl w:val="0"/>
                <w:numId w:val="3"/>
              </w:numPr>
              <w:ind w:left="142" w:hanging="142"/>
            </w:pPr>
            <w:r w:rsidRPr="00775127">
              <w:t xml:space="preserve">unnecessary proliferation of products or dose forms. </w:t>
            </w:r>
          </w:p>
        </w:tc>
        <w:tc>
          <w:tcPr>
            <w:tcW w:w="4110" w:type="dxa"/>
          </w:tcPr>
          <w:p w:rsidR="008A3184" w:rsidRPr="00436AD7" w:rsidRDefault="008A3184" w:rsidP="00237534">
            <w:pPr>
              <w:pStyle w:val="Table"/>
            </w:pPr>
            <w:r w:rsidRPr="00436AD7">
              <w:t xml:space="preserve">There is no issue regarding inappropriate dosing or unnecessary proliferation of dose forms </w:t>
            </w:r>
            <w:r w:rsidR="00237534">
              <w:t>as</w:t>
            </w:r>
            <w:r w:rsidRPr="00436AD7">
              <w:t xml:space="preserve"> palonosetron is only listed for one strength and netupitant is not listed. </w:t>
            </w:r>
            <w:r w:rsidR="00237534">
              <w:t>L</w:t>
            </w:r>
            <w:r w:rsidRPr="00436AD7">
              <w:t>isting the fixed dose combination of an NK1 inhibitor and 5-HT</w:t>
            </w:r>
            <w:r w:rsidRPr="008E6EA3">
              <w:rPr>
                <w:vertAlign w:val="subscript"/>
              </w:rPr>
              <w:t>3</w:t>
            </w:r>
            <w:r w:rsidRPr="00436AD7">
              <w:t xml:space="preserve"> receptor antagonist is</w:t>
            </w:r>
            <w:r w:rsidR="00237534">
              <w:t xml:space="preserve"> suggested by the resubmission</w:t>
            </w:r>
            <w:r w:rsidRPr="00436AD7">
              <w:t xml:space="preserve"> to </w:t>
            </w:r>
            <w:r w:rsidR="00237534" w:rsidRPr="00436AD7">
              <w:t xml:space="preserve">likely </w:t>
            </w:r>
            <w:r w:rsidRPr="00436AD7">
              <w:t>improve adherence to treatment guidelines.</w:t>
            </w:r>
          </w:p>
        </w:tc>
      </w:tr>
      <w:tr w:rsidR="008A3184" w:rsidTr="008A3184">
        <w:trPr>
          <w:cantSplit/>
        </w:trPr>
        <w:tc>
          <w:tcPr>
            <w:tcW w:w="4253" w:type="dxa"/>
          </w:tcPr>
          <w:p w:rsidR="008A3184" w:rsidRDefault="008A3184" w:rsidP="00437015">
            <w:pPr>
              <w:pStyle w:val="Table"/>
            </w:pPr>
            <w:r w:rsidRPr="00775127">
              <w:t xml:space="preserve">As part of the response to Part II, Subsection A.4, identify the main comparator products and explain the reasons for the selection of these comparators. </w:t>
            </w:r>
          </w:p>
        </w:tc>
        <w:tc>
          <w:tcPr>
            <w:tcW w:w="4110" w:type="dxa"/>
          </w:tcPr>
          <w:p w:rsidR="008A3184" w:rsidRPr="00024569" w:rsidRDefault="008A3184" w:rsidP="00237534">
            <w:pPr>
              <w:pStyle w:val="Table"/>
            </w:pPr>
            <w:r w:rsidRPr="00024569">
              <w:t>The main comparator is aprepitant plus a 5-HT</w:t>
            </w:r>
            <w:r w:rsidRPr="008E6EA3">
              <w:rPr>
                <w:vertAlign w:val="subscript"/>
              </w:rPr>
              <w:t>3</w:t>
            </w:r>
            <w:r w:rsidRPr="00024569">
              <w:t xml:space="preserve"> receptor antagonist. </w:t>
            </w:r>
          </w:p>
        </w:tc>
      </w:tr>
      <w:tr w:rsidR="008A3184" w:rsidTr="008A3184">
        <w:trPr>
          <w:cantSplit/>
        </w:trPr>
        <w:tc>
          <w:tcPr>
            <w:tcW w:w="4253" w:type="dxa"/>
          </w:tcPr>
          <w:p w:rsidR="008A3184" w:rsidRDefault="008A3184" w:rsidP="00437015">
            <w:pPr>
              <w:pStyle w:val="Table"/>
            </w:pPr>
            <w:r w:rsidRPr="00775127">
              <w:t xml:space="preserve">Provide data as part of submission section B to show additive (not necessarily synergistic) beneficial effectiveness of the components. </w:t>
            </w:r>
          </w:p>
        </w:tc>
        <w:tc>
          <w:tcPr>
            <w:tcW w:w="4110" w:type="dxa"/>
          </w:tcPr>
          <w:p w:rsidR="008A3184" w:rsidRDefault="008A3184" w:rsidP="00437015">
            <w:pPr>
              <w:pStyle w:val="Table"/>
            </w:pPr>
            <w:r w:rsidRPr="00024569">
              <w:t>Data from NETU-08-18 prese</w:t>
            </w:r>
            <w:r>
              <w:t>n</w:t>
            </w:r>
            <w:r w:rsidRPr="00024569">
              <w:t xml:space="preserve">ted in </w:t>
            </w:r>
            <w:r>
              <w:t>the original major submission</w:t>
            </w:r>
            <w:r w:rsidRPr="00024569">
              <w:t xml:space="preserve"> demonstrate the additive effectiveness of the FDC over palonosetron monotherapy. </w:t>
            </w:r>
          </w:p>
          <w:p w:rsidR="008A3184" w:rsidRPr="00024569" w:rsidRDefault="008A3184" w:rsidP="00437015">
            <w:pPr>
              <w:pStyle w:val="Table"/>
            </w:pPr>
            <w:r>
              <w:t>Further, netupitant has</w:t>
            </w:r>
            <w:r w:rsidRPr="00332E78">
              <w:t xml:space="preserve"> synergistic activity with palonosetron</w:t>
            </w:r>
            <w:r>
              <w:t>,</w:t>
            </w:r>
            <w:r w:rsidRPr="00332E78">
              <w:t xml:space="preserve"> in contrast to only additive activity shown by the other 5-HT</w:t>
            </w:r>
            <w:r w:rsidRPr="008E6EA3">
              <w:rPr>
                <w:vertAlign w:val="subscript"/>
              </w:rPr>
              <w:t>3</w:t>
            </w:r>
            <w:r w:rsidRPr="00332E78">
              <w:t xml:space="preserve"> RA/NK1 receptor antagonist combinations</w:t>
            </w:r>
            <w:r>
              <w:t xml:space="preserve"> (Stathis et al., 2012)</w:t>
            </w:r>
            <w:r w:rsidRPr="00332E78">
              <w:t>.</w:t>
            </w:r>
          </w:p>
        </w:tc>
      </w:tr>
      <w:tr w:rsidR="008A3184" w:rsidTr="008A3184">
        <w:trPr>
          <w:cantSplit/>
        </w:trPr>
        <w:tc>
          <w:tcPr>
            <w:tcW w:w="4253" w:type="dxa"/>
          </w:tcPr>
          <w:p w:rsidR="008A3184" w:rsidRDefault="008A3184" w:rsidP="00437015">
            <w:pPr>
              <w:pStyle w:val="Table"/>
            </w:pPr>
            <w:r w:rsidRPr="00775127">
              <w:t>Substantiate any claims of improved patient convenience or compliance in terms of their impact on improving health outcomes (as part of the response to submission sections B or C), reducing provision of other health care resources (as part of submission sections B, C or D), or reducing expenditure in the Australian Government health budget (as part of submission section E).</w:t>
            </w:r>
          </w:p>
        </w:tc>
        <w:tc>
          <w:tcPr>
            <w:tcW w:w="4110" w:type="dxa"/>
          </w:tcPr>
          <w:p w:rsidR="008A3184" w:rsidRPr="00024569" w:rsidRDefault="008A3184" w:rsidP="00237534">
            <w:pPr>
              <w:pStyle w:val="Table"/>
            </w:pPr>
            <w:r w:rsidRPr="00024569">
              <w:t>The availability of a fixed dose combination is likely to improve adherence to guidelines, as co-prescription data suggests that</w:t>
            </w:r>
            <w:r>
              <w:t xml:space="preserve"> </w:t>
            </w:r>
            <w:r w:rsidRPr="00024569">
              <w:t xml:space="preserve">approximately one quarter of aprepitant use is prescribed as monotherapy. The listing of </w:t>
            </w:r>
            <w:r w:rsidR="00237534">
              <w:t>NEPA</w:t>
            </w:r>
            <w:r w:rsidRPr="00024569">
              <w:t xml:space="preserve"> will result in some cost savings to patients (general) and the PBS (concession card holders) for cost of 5-HT</w:t>
            </w:r>
            <w:r w:rsidRPr="008E6EA3">
              <w:rPr>
                <w:vertAlign w:val="subscript"/>
              </w:rPr>
              <w:t>3</w:t>
            </w:r>
            <w:r w:rsidRPr="00024569">
              <w:t xml:space="preserve"> receptor antagonist.</w:t>
            </w:r>
          </w:p>
        </w:tc>
      </w:tr>
      <w:tr w:rsidR="008A3184" w:rsidTr="008A3184">
        <w:trPr>
          <w:cantSplit/>
        </w:trPr>
        <w:tc>
          <w:tcPr>
            <w:tcW w:w="4253" w:type="dxa"/>
            <w:tcBorders>
              <w:bottom w:val="single" w:sz="4" w:space="0" w:color="auto"/>
            </w:tcBorders>
          </w:tcPr>
          <w:p w:rsidR="008A3184" w:rsidRDefault="008A3184" w:rsidP="00437015">
            <w:pPr>
              <w:pStyle w:val="Table"/>
            </w:pPr>
            <w:r w:rsidRPr="00E77558">
              <w:t>Provide an analysis as part of submission section E to show that listing the combination product would not encourage or result in an inappropriate increase in overall use of its individual components, nor in inappropriate use of one or more of those components in specific patient groups.</w:t>
            </w:r>
          </w:p>
        </w:tc>
        <w:tc>
          <w:tcPr>
            <w:tcW w:w="4110" w:type="dxa"/>
            <w:tcBorders>
              <w:bottom w:val="single" w:sz="4" w:space="0" w:color="auto"/>
            </w:tcBorders>
          </w:tcPr>
          <w:p w:rsidR="008A3184" w:rsidRPr="003C6F7B" w:rsidRDefault="008A3184" w:rsidP="00237534">
            <w:pPr>
              <w:pStyle w:val="Table"/>
            </w:pPr>
            <w:r w:rsidRPr="003C6F7B">
              <w:t xml:space="preserve">The listing of </w:t>
            </w:r>
            <w:r w:rsidR="00237534">
              <w:t>NEPA</w:t>
            </w:r>
            <w:r w:rsidRPr="003C6F7B">
              <w:t xml:space="preserve"> is unlikely to increase the use of palonosetron. </w:t>
            </w:r>
            <w:r w:rsidR="00237534">
              <w:t>NEPA</w:t>
            </w:r>
            <w:r w:rsidRPr="003C6F7B">
              <w:t xml:space="preserve"> will substitute for aprepitant in combination with a 5-HT</w:t>
            </w:r>
            <w:r w:rsidRPr="008E6EA3">
              <w:rPr>
                <w:vertAlign w:val="subscript"/>
              </w:rPr>
              <w:t>3</w:t>
            </w:r>
            <w:r w:rsidRPr="003C6F7B">
              <w:t xml:space="preserve"> receptor antagonist (so will actually decrease the numbe</w:t>
            </w:r>
            <w:r>
              <w:t>r of palonosetron prescriptions).</w:t>
            </w:r>
          </w:p>
        </w:tc>
      </w:tr>
      <w:tr w:rsidR="008A3184" w:rsidRPr="00992FDA" w:rsidTr="008A3184">
        <w:trPr>
          <w:cantSplit/>
        </w:trPr>
        <w:tc>
          <w:tcPr>
            <w:tcW w:w="4253" w:type="dxa"/>
            <w:tcBorders>
              <w:bottom w:val="single" w:sz="4" w:space="0" w:color="auto"/>
              <w:right w:val="nil"/>
            </w:tcBorders>
            <w:shd w:val="clear" w:color="auto" w:fill="B8CCE4" w:themeFill="accent1" w:themeFillTint="66"/>
          </w:tcPr>
          <w:p w:rsidR="008A3184" w:rsidRPr="00992FDA" w:rsidRDefault="008A3184" w:rsidP="00437015">
            <w:pPr>
              <w:pStyle w:val="Table"/>
              <w:keepNext/>
              <w:rPr>
                <w:b/>
              </w:rPr>
            </w:pPr>
            <w:r w:rsidRPr="00992FDA">
              <w:rPr>
                <w:b/>
              </w:rPr>
              <w:lastRenderedPageBreak/>
              <w:t>Identifying the main comparators</w:t>
            </w:r>
          </w:p>
        </w:tc>
        <w:tc>
          <w:tcPr>
            <w:tcW w:w="4110" w:type="dxa"/>
            <w:tcBorders>
              <w:left w:val="nil"/>
              <w:bottom w:val="single" w:sz="4" w:space="0" w:color="auto"/>
            </w:tcBorders>
            <w:shd w:val="clear" w:color="auto" w:fill="B8CCE4" w:themeFill="accent1" w:themeFillTint="66"/>
          </w:tcPr>
          <w:p w:rsidR="008A3184" w:rsidRPr="00514D0A" w:rsidRDefault="008A3184" w:rsidP="00437015">
            <w:pPr>
              <w:pStyle w:val="Table"/>
              <w:keepNext/>
              <w:rPr>
                <w:b/>
                <w:highlight w:val="yellow"/>
              </w:rPr>
            </w:pPr>
          </w:p>
        </w:tc>
      </w:tr>
      <w:tr w:rsidR="008A3184" w:rsidTr="008A3184">
        <w:trPr>
          <w:cantSplit/>
        </w:trPr>
        <w:tc>
          <w:tcPr>
            <w:tcW w:w="4253" w:type="dxa"/>
            <w:tcBorders>
              <w:bottom w:val="nil"/>
            </w:tcBorders>
          </w:tcPr>
          <w:p w:rsidR="008A3184" w:rsidRPr="00E77558" w:rsidRDefault="008A3184" w:rsidP="00437015">
            <w:pPr>
              <w:pStyle w:val="Table"/>
              <w:keepNext/>
            </w:pPr>
            <w:r w:rsidRPr="00992FDA">
              <w:t>More than one comparison should usually be presented for a combination product, such</w:t>
            </w:r>
            <w:r>
              <w:t xml:space="preserve"> </w:t>
            </w:r>
            <w:r w:rsidRPr="00992FDA">
              <w:t>as one or more of the following:</w:t>
            </w:r>
          </w:p>
        </w:tc>
        <w:tc>
          <w:tcPr>
            <w:tcW w:w="4110" w:type="dxa"/>
            <w:tcBorders>
              <w:bottom w:val="nil"/>
            </w:tcBorders>
          </w:tcPr>
          <w:p w:rsidR="008A3184" w:rsidRPr="00514D0A" w:rsidRDefault="008A3184" w:rsidP="00437015">
            <w:pPr>
              <w:pStyle w:val="Table"/>
              <w:keepNext/>
              <w:rPr>
                <w:highlight w:val="yellow"/>
              </w:rPr>
            </w:pPr>
          </w:p>
        </w:tc>
      </w:tr>
      <w:tr w:rsidR="008A3184" w:rsidTr="008A3184">
        <w:trPr>
          <w:cantSplit/>
        </w:trPr>
        <w:tc>
          <w:tcPr>
            <w:tcW w:w="4253" w:type="dxa"/>
            <w:tcBorders>
              <w:top w:val="nil"/>
              <w:bottom w:val="nil"/>
            </w:tcBorders>
          </w:tcPr>
          <w:p w:rsidR="008A3184" w:rsidRPr="00E77558" w:rsidRDefault="008A3184" w:rsidP="005A46BF">
            <w:pPr>
              <w:pStyle w:val="Table"/>
              <w:keepNext/>
              <w:numPr>
                <w:ilvl w:val="0"/>
                <w:numId w:val="3"/>
              </w:numPr>
              <w:ind w:left="142" w:hanging="142"/>
            </w:pPr>
            <w:r w:rsidRPr="00992FDA">
              <w:t>the combination product against its component products given concomitantly as the</w:t>
            </w:r>
            <w:r>
              <w:t xml:space="preserve"> </w:t>
            </w:r>
            <w:r w:rsidRPr="00992FDA">
              <w:t>basis for a cost-minimisation recommendation (this need not apply where the</w:t>
            </w:r>
            <w:r>
              <w:t xml:space="preserve"> </w:t>
            </w:r>
            <w:r w:rsidRPr="00992FDA">
              <w:t xml:space="preserve">combination product consists of the individual dosage forms in a </w:t>
            </w:r>
            <w:r>
              <w:t>c</w:t>
            </w:r>
            <w:r w:rsidRPr="00992FDA">
              <w:t>omposite</w:t>
            </w:r>
            <w:r>
              <w:t xml:space="preserve"> </w:t>
            </w:r>
            <w:r w:rsidRPr="00992FDA">
              <w:t>packaging)</w:t>
            </w:r>
          </w:p>
        </w:tc>
        <w:tc>
          <w:tcPr>
            <w:tcW w:w="4110" w:type="dxa"/>
            <w:tcBorders>
              <w:top w:val="nil"/>
              <w:bottom w:val="nil"/>
            </w:tcBorders>
          </w:tcPr>
          <w:p w:rsidR="008A3184" w:rsidRPr="003C6F7B" w:rsidRDefault="008A3184" w:rsidP="005A46BF">
            <w:pPr>
              <w:pStyle w:val="Table"/>
              <w:keepNext/>
              <w:numPr>
                <w:ilvl w:val="0"/>
                <w:numId w:val="3"/>
              </w:numPr>
              <w:ind w:left="142" w:hanging="142"/>
            </w:pPr>
            <w:r w:rsidRPr="003C6F7B">
              <w:t xml:space="preserve">There are no studies comparing the FDC with the individual components used concomitantly. In the key clinical trials, the </w:t>
            </w:r>
            <w:r>
              <w:t>fixed dose combination</w:t>
            </w:r>
            <w:r w:rsidRPr="003C6F7B">
              <w:t xml:space="preserve"> was used in NETU-10-29, while netupitant and palonosetron were administered concomitantly in NETU-07-07</w:t>
            </w:r>
          </w:p>
        </w:tc>
      </w:tr>
      <w:tr w:rsidR="008A3184" w:rsidTr="008A3184">
        <w:trPr>
          <w:cantSplit/>
        </w:trPr>
        <w:tc>
          <w:tcPr>
            <w:tcW w:w="4253" w:type="dxa"/>
            <w:tcBorders>
              <w:top w:val="nil"/>
              <w:bottom w:val="nil"/>
            </w:tcBorders>
          </w:tcPr>
          <w:p w:rsidR="008A3184" w:rsidRPr="00361E5C" w:rsidRDefault="008A3184" w:rsidP="005A46BF">
            <w:pPr>
              <w:pStyle w:val="Table"/>
              <w:keepNext/>
              <w:numPr>
                <w:ilvl w:val="0"/>
                <w:numId w:val="3"/>
              </w:numPr>
              <w:ind w:left="142" w:hanging="142"/>
            </w:pPr>
            <w:r w:rsidRPr="00361E5C">
              <w:t>the combination product (or its components given concomitantly) against each of the component products given alone as the basis for establishing at least an additive beneficial effectiveness (or the basis to establish no loss of beneficial effectiveness of the components in the case of fixed combination vaccine products; see Part IV, Product type 3), thus involving at least two comparisons depending on the number of components in the fixed combination product</w:t>
            </w:r>
          </w:p>
        </w:tc>
        <w:tc>
          <w:tcPr>
            <w:tcW w:w="4110" w:type="dxa"/>
            <w:tcBorders>
              <w:top w:val="nil"/>
              <w:bottom w:val="nil"/>
            </w:tcBorders>
          </w:tcPr>
          <w:p w:rsidR="008A3184" w:rsidRPr="00361E5C" w:rsidRDefault="008A3184" w:rsidP="005A46BF">
            <w:pPr>
              <w:pStyle w:val="Table"/>
              <w:keepNext/>
              <w:numPr>
                <w:ilvl w:val="0"/>
                <w:numId w:val="3"/>
              </w:numPr>
              <w:ind w:left="142" w:hanging="142"/>
            </w:pPr>
            <w:r w:rsidRPr="00361E5C">
              <w:t xml:space="preserve">Data from NETU-08-18 can be used to demonstrate the additive effectiveness of the FDC over palonosetron monotherapy. However no data are available to demonstrate additive effectiveness of </w:t>
            </w:r>
            <w:r w:rsidR="00237534">
              <w:t>NEPA</w:t>
            </w:r>
            <w:r w:rsidRPr="00361E5C">
              <w:t xml:space="preserve"> over netupitant which has not been developed as a monotherapy agent.</w:t>
            </w:r>
          </w:p>
        </w:tc>
      </w:tr>
      <w:tr w:rsidR="008A3184" w:rsidTr="008A3184">
        <w:trPr>
          <w:cantSplit/>
        </w:trPr>
        <w:tc>
          <w:tcPr>
            <w:tcW w:w="4253" w:type="dxa"/>
            <w:tcBorders>
              <w:top w:val="nil"/>
              <w:bottom w:val="single" w:sz="4" w:space="0" w:color="auto"/>
            </w:tcBorders>
          </w:tcPr>
          <w:p w:rsidR="008A3184" w:rsidRPr="00361E5C" w:rsidRDefault="008A3184" w:rsidP="005A46BF">
            <w:pPr>
              <w:pStyle w:val="Table"/>
              <w:numPr>
                <w:ilvl w:val="0"/>
                <w:numId w:val="3"/>
              </w:numPr>
              <w:ind w:left="142" w:hanging="142"/>
            </w:pPr>
            <w:r w:rsidRPr="00361E5C">
              <w:t>the combination product against the therapy that prescribers would most replace in practice, should this be expected to vary from the current concomitant use of the individual components.</w:t>
            </w:r>
          </w:p>
        </w:tc>
        <w:tc>
          <w:tcPr>
            <w:tcW w:w="4110" w:type="dxa"/>
            <w:tcBorders>
              <w:top w:val="nil"/>
              <w:bottom w:val="single" w:sz="4" w:space="0" w:color="auto"/>
            </w:tcBorders>
          </w:tcPr>
          <w:p w:rsidR="008A3184" w:rsidRPr="00361E5C" w:rsidRDefault="008A3184" w:rsidP="005A46BF">
            <w:pPr>
              <w:pStyle w:val="Table"/>
              <w:numPr>
                <w:ilvl w:val="0"/>
                <w:numId w:val="3"/>
              </w:numPr>
              <w:ind w:left="142" w:hanging="142"/>
            </w:pPr>
            <w:r w:rsidRPr="00361E5C">
              <w:t xml:space="preserve">There are two RCTs comparing </w:t>
            </w:r>
            <w:r w:rsidR="00237534">
              <w:t>NEPA</w:t>
            </w:r>
            <w:r w:rsidRPr="00361E5C">
              <w:t xml:space="preserve"> with the main comparator, aprepitant plus a 5-HT</w:t>
            </w:r>
            <w:r w:rsidRPr="008E6EA3">
              <w:rPr>
                <w:vertAlign w:val="subscript"/>
              </w:rPr>
              <w:t>3</w:t>
            </w:r>
            <w:r w:rsidRPr="00361E5C">
              <w:t xml:space="preserve"> receptor antagonist.</w:t>
            </w:r>
            <w:r w:rsidRPr="00F2467C">
              <w:t xml:space="preserve"> The 5-HT</w:t>
            </w:r>
            <w:r w:rsidRPr="008E6EA3">
              <w:rPr>
                <w:vertAlign w:val="subscript"/>
              </w:rPr>
              <w:t>3</w:t>
            </w:r>
            <w:r w:rsidRPr="00F2467C">
              <w:t xml:space="preserve"> receptor antagonist included in study NETU-10-29 was palonosetron while, in study NETU-07-07, 32mg iv ondansetron was co</w:t>
            </w:r>
            <w:r>
              <w:t>-</w:t>
            </w:r>
            <w:r w:rsidRPr="00F2467C">
              <w:t xml:space="preserve">prescribed. </w:t>
            </w:r>
          </w:p>
        </w:tc>
      </w:tr>
      <w:tr w:rsidR="008A3184" w:rsidRPr="00294B39" w:rsidTr="008A3184">
        <w:trPr>
          <w:cantSplit/>
        </w:trPr>
        <w:tc>
          <w:tcPr>
            <w:tcW w:w="4253" w:type="dxa"/>
            <w:tcBorders>
              <w:bottom w:val="single" w:sz="4" w:space="0" w:color="auto"/>
              <w:right w:val="nil"/>
            </w:tcBorders>
            <w:shd w:val="clear" w:color="auto" w:fill="B8CCE4" w:themeFill="accent1" w:themeFillTint="66"/>
          </w:tcPr>
          <w:p w:rsidR="008A3184" w:rsidRPr="00294B39" w:rsidRDefault="008A3184" w:rsidP="00437015">
            <w:pPr>
              <w:pStyle w:val="Table"/>
              <w:keepNext/>
              <w:rPr>
                <w:b/>
              </w:rPr>
            </w:pPr>
            <w:r w:rsidRPr="00294B39">
              <w:rPr>
                <w:b/>
              </w:rPr>
              <w:t>Pricing of fixed dose combination products</w:t>
            </w:r>
          </w:p>
        </w:tc>
        <w:tc>
          <w:tcPr>
            <w:tcW w:w="4110" w:type="dxa"/>
            <w:tcBorders>
              <w:left w:val="nil"/>
              <w:bottom w:val="single" w:sz="4" w:space="0" w:color="auto"/>
            </w:tcBorders>
            <w:shd w:val="clear" w:color="auto" w:fill="B8CCE4" w:themeFill="accent1" w:themeFillTint="66"/>
          </w:tcPr>
          <w:p w:rsidR="008A3184" w:rsidRPr="00514D0A" w:rsidRDefault="008A3184" w:rsidP="00437015">
            <w:pPr>
              <w:pStyle w:val="Table"/>
              <w:keepNext/>
              <w:rPr>
                <w:b/>
                <w:highlight w:val="yellow"/>
              </w:rPr>
            </w:pPr>
          </w:p>
        </w:tc>
      </w:tr>
      <w:tr w:rsidR="008A3184" w:rsidRPr="00361E5C" w:rsidTr="008A3184">
        <w:trPr>
          <w:cantSplit/>
        </w:trPr>
        <w:tc>
          <w:tcPr>
            <w:tcW w:w="4253" w:type="dxa"/>
            <w:tcBorders>
              <w:bottom w:val="nil"/>
            </w:tcBorders>
          </w:tcPr>
          <w:p w:rsidR="008A3184" w:rsidRPr="00361E5C" w:rsidRDefault="008A3184" w:rsidP="00437015">
            <w:pPr>
              <w:pStyle w:val="Table"/>
            </w:pPr>
            <w:r w:rsidRPr="00361E5C">
              <w:t>If the request for listing is on a cost-minimisation basis against the component products, the pricing of a combination product would normally be no greater than the sum of its individual components (at the current price to pharmacist level for PBS products or at the Commonwealth price for NIP products), usually calculated on a per milligram basis.</w:t>
            </w:r>
          </w:p>
        </w:tc>
        <w:tc>
          <w:tcPr>
            <w:tcW w:w="4110" w:type="dxa"/>
            <w:tcBorders>
              <w:bottom w:val="nil"/>
            </w:tcBorders>
          </w:tcPr>
          <w:p w:rsidR="008A3184" w:rsidRPr="00783722" w:rsidRDefault="008A3184" w:rsidP="00437015">
            <w:pPr>
              <w:pStyle w:val="Table"/>
            </w:pPr>
            <w:r w:rsidRPr="00783722">
              <w:t xml:space="preserve">The pricing of </w:t>
            </w:r>
            <w:r w:rsidR="00237534">
              <w:t>NEPA</w:t>
            </w:r>
            <w:r w:rsidRPr="00783722">
              <w:t xml:space="preserve"> was set on the basis of equivalence with aprepitant, with no cost assigned to the 5-HT</w:t>
            </w:r>
            <w:r w:rsidRPr="008E6EA3">
              <w:rPr>
                <w:vertAlign w:val="subscript"/>
              </w:rPr>
              <w:t>3</w:t>
            </w:r>
            <w:r w:rsidRPr="00783722">
              <w:t xml:space="preserve"> RA component. The sponsor was also able to offer a lower price, so that the cost of the FDC is less than the cost of aprepitant alone.</w:t>
            </w:r>
          </w:p>
          <w:p w:rsidR="008A3184" w:rsidRDefault="008A3184" w:rsidP="00437015">
            <w:pPr>
              <w:pStyle w:val="Table"/>
            </w:pPr>
          </w:p>
          <w:p w:rsidR="00237534" w:rsidRDefault="00237534" w:rsidP="00437015">
            <w:pPr>
              <w:pStyle w:val="Table"/>
            </w:pPr>
          </w:p>
          <w:p w:rsidR="00237534" w:rsidRPr="00361E5C" w:rsidRDefault="00237534" w:rsidP="00437015">
            <w:pPr>
              <w:pStyle w:val="Table"/>
            </w:pPr>
          </w:p>
        </w:tc>
      </w:tr>
      <w:tr w:rsidR="008A3184" w:rsidTr="008A3184">
        <w:trPr>
          <w:cantSplit/>
        </w:trPr>
        <w:tc>
          <w:tcPr>
            <w:tcW w:w="4253" w:type="dxa"/>
            <w:tcBorders>
              <w:top w:val="nil"/>
              <w:bottom w:val="nil"/>
            </w:tcBorders>
          </w:tcPr>
          <w:p w:rsidR="008A3184" w:rsidRPr="00361E5C" w:rsidRDefault="008A3184" w:rsidP="00437015">
            <w:pPr>
              <w:pStyle w:val="Table"/>
            </w:pPr>
            <w:r w:rsidRPr="00361E5C">
              <w:t>Where the combination product(s) are expected to substitute for two or more strengths of the component products, the price to pharmacist should reflect the sum of the individual components as a function of the expected proportions of substitution.</w:t>
            </w:r>
          </w:p>
        </w:tc>
        <w:tc>
          <w:tcPr>
            <w:tcW w:w="4110" w:type="dxa"/>
            <w:tcBorders>
              <w:top w:val="nil"/>
              <w:bottom w:val="nil"/>
            </w:tcBorders>
          </w:tcPr>
          <w:p w:rsidR="008A3184" w:rsidRPr="00361E5C" w:rsidRDefault="008A3184" w:rsidP="00437015">
            <w:pPr>
              <w:pStyle w:val="Table"/>
            </w:pPr>
            <w:r w:rsidRPr="00361E5C">
              <w:t>n/a</w:t>
            </w:r>
          </w:p>
        </w:tc>
      </w:tr>
      <w:tr w:rsidR="008A3184" w:rsidTr="008A3184">
        <w:trPr>
          <w:cantSplit/>
        </w:trPr>
        <w:tc>
          <w:tcPr>
            <w:tcW w:w="4253" w:type="dxa"/>
            <w:tcBorders>
              <w:top w:val="nil"/>
            </w:tcBorders>
          </w:tcPr>
          <w:p w:rsidR="008A3184" w:rsidRPr="00361E5C" w:rsidRDefault="008A3184" w:rsidP="00437015">
            <w:pPr>
              <w:pStyle w:val="Table"/>
            </w:pPr>
            <w:r w:rsidRPr="00361E5C">
              <w:t>Support any request for a price advantage with evidence of acceptable cost-effectiveness via improved health outcomes or acceptable cost offsets.</w:t>
            </w:r>
          </w:p>
        </w:tc>
        <w:tc>
          <w:tcPr>
            <w:tcW w:w="4110" w:type="dxa"/>
            <w:tcBorders>
              <w:top w:val="nil"/>
            </w:tcBorders>
          </w:tcPr>
          <w:p w:rsidR="008A3184" w:rsidRPr="005A46BF" w:rsidRDefault="005A46BF" w:rsidP="00437015">
            <w:pPr>
              <w:pStyle w:val="Table"/>
              <w:rPr>
                <w:i/>
              </w:rPr>
            </w:pPr>
            <w:r w:rsidRPr="005A46BF">
              <w:rPr>
                <w:i/>
              </w:rPr>
              <w:t>n/a</w:t>
            </w:r>
            <w:r w:rsidR="008A3184" w:rsidRPr="005A46BF">
              <w:rPr>
                <w:i/>
              </w:rPr>
              <w:t xml:space="preserve"> </w:t>
            </w:r>
          </w:p>
        </w:tc>
      </w:tr>
      <w:tr w:rsidR="008A3184" w:rsidRPr="0030437C" w:rsidTr="008A3184">
        <w:trPr>
          <w:cantSplit/>
        </w:trPr>
        <w:tc>
          <w:tcPr>
            <w:tcW w:w="4253" w:type="dxa"/>
            <w:tcBorders>
              <w:right w:val="nil"/>
            </w:tcBorders>
            <w:shd w:val="clear" w:color="auto" w:fill="B8CCE4" w:themeFill="accent1" w:themeFillTint="66"/>
          </w:tcPr>
          <w:p w:rsidR="008A3184" w:rsidRPr="0030437C" w:rsidRDefault="008A3184" w:rsidP="00437015">
            <w:pPr>
              <w:pStyle w:val="Table"/>
              <w:keepNext/>
              <w:rPr>
                <w:b/>
              </w:rPr>
            </w:pPr>
            <w:r w:rsidRPr="0030437C">
              <w:rPr>
                <w:b/>
              </w:rPr>
              <w:t>Providing advice under subsection 101(4AC)</w:t>
            </w:r>
          </w:p>
        </w:tc>
        <w:tc>
          <w:tcPr>
            <w:tcW w:w="4110" w:type="dxa"/>
            <w:tcBorders>
              <w:left w:val="nil"/>
            </w:tcBorders>
            <w:shd w:val="clear" w:color="auto" w:fill="B8CCE4" w:themeFill="accent1" w:themeFillTint="66"/>
          </w:tcPr>
          <w:p w:rsidR="008A3184" w:rsidRPr="0030437C" w:rsidRDefault="008A3184" w:rsidP="00437015">
            <w:pPr>
              <w:pStyle w:val="Table"/>
              <w:keepNext/>
              <w:rPr>
                <w:b/>
              </w:rPr>
            </w:pPr>
          </w:p>
        </w:tc>
      </w:tr>
      <w:tr w:rsidR="008A3184" w:rsidTr="008A3184">
        <w:trPr>
          <w:cantSplit/>
        </w:trPr>
        <w:tc>
          <w:tcPr>
            <w:tcW w:w="4253" w:type="dxa"/>
            <w:tcBorders>
              <w:bottom w:val="single" w:sz="4" w:space="0" w:color="auto"/>
            </w:tcBorders>
          </w:tcPr>
          <w:p w:rsidR="008A3184" w:rsidRPr="00E77558" w:rsidRDefault="008A3184" w:rsidP="00437015">
            <w:pPr>
              <w:pStyle w:val="Table"/>
            </w:pPr>
            <w:r w:rsidRPr="0030437C">
              <w:t>Identify whether the fixed combination product meets the definition of a combination item.</w:t>
            </w:r>
          </w:p>
        </w:tc>
        <w:tc>
          <w:tcPr>
            <w:tcW w:w="4110" w:type="dxa"/>
            <w:tcBorders>
              <w:bottom w:val="single" w:sz="4" w:space="0" w:color="auto"/>
            </w:tcBorders>
          </w:tcPr>
          <w:p w:rsidR="008A3184" w:rsidRPr="000C4EFF" w:rsidRDefault="008A3184" w:rsidP="005A46BF">
            <w:pPr>
              <w:pStyle w:val="Table"/>
            </w:pPr>
            <w:r w:rsidRPr="000C4EFF">
              <w:t xml:space="preserve">The product is a fixed dose combination, </w:t>
            </w:r>
            <w:r>
              <w:t>h</w:t>
            </w:r>
            <w:r w:rsidRPr="000C4EFF">
              <w:t xml:space="preserve">owever, as neither </w:t>
            </w:r>
            <w:r>
              <w:t>netupitant, not oral palonosetron are</w:t>
            </w:r>
            <w:r w:rsidRPr="000C4EFF">
              <w:t xml:space="preserve"> listed on the PBS, </w:t>
            </w:r>
            <w:r w:rsidR="005A46BF">
              <w:t>NEPA</w:t>
            </w:r>
            <w:r w:rsidRPr="000C4EFF">
              <w:t xml:space="preserve"> </w:t>
            </w:r>
            <w:r w:rsidR="005A46BF" w:rsidRPr="005A46BF">
              <w:rPr>
                <w:i/>
              </w:rPr>
              <w:t>is requested</w:t>
            </w:r>
            <w:r w:rsidR="005A46BF">
              <w:t xml:space="preserve"> to</w:t>
            </w:r>
            <w:r w:rsidRPr="000C4EFF">
              <w:t xml:space="preserve"> be listed on the F1 formulary instead of the combination schedule. </w:t>
            </w:r>
          </w:p>
        </w:tc>
      </w:tr>
      <w:tr w:rsidR="008A3184" w:rsidTr="008A3184">
        <w:trPr>
          <w:cantSplit/>
        </w:trPr>
        <w:tc>
          <w:tcPr>
            <w:tcW w:w="4253" w:type="dxa"/>
          </w:tcPr>
          <w:p w:rsidR="008A3184" w:rsidRPr="000C4EFF" w:rsidRDefault="008A3184" w:rsidP="00437015">
            <w:pPr>
              <w:pStyle w:val="Table"/>
            </w:pPr>
            <w:r w:rsidRPr="000C4EFF">
              <w:t>Identify and define the alternative therapies.</w:t>
            </w:r>
          </w:p>
        </w:tc>
        <w:tc>
          <w:tcPr>
            <w:tcW w:w="4110" w:type="dxa"/>
          </w:tcPr>
          <w:p w:rsidR="008A3184" w:rsidRPr="000C4EFF" w:rsidRDefault="008A3184" w:rsidP="00437015">
            <w:pPr>
              <w:pStyle w:val="Table"/>
            </w:pPr>
            <w:r w:rsidRPr="000C4EFF">
              <w:t xml:space="preserve">The comparator is </w:t>
            </w:r>
            <w:r>
              <w:t>a</w:t>
            </w:r>
            <w:r w:rsidRPr="000C4EFF">
              <w:t>prepitant in combination with a 5-HT</w:t>
            </w:r>
            <w:r w:rsidRPr="008E6EA3">
              <w:rPr>
                <w:vertAlign w:val="subscript"/>
              </w:rPr>
              <w:t>3</w:t>
            </w:r>
            <w:r w:rsidRPr="000C4EFF">
              <w:t xml:space="preserve"> receptor antagonist </w:t>
            </w:r>
          </w:p>
        </w:tc>
      </w:tr>
      <w:tr w:rsidR="008A3184" w:rsidTr="008A3184">
        <w:trPr>
          <w:cantSplit/>
        </w:trPr>
        <w:tc>
          <w:tcPr>
            <w:tcW w:w="4253" w:type="dxa"/>
          </w:tcPr>
          <w:p w:rsidR="008A3184" w:rsidRPr="000C4EFF" w:rsidRDefault="008A3184" w:rsidP="00437015">
            <w:pPr>
              <w:pStyle w:val="Table"/>
            </w:pPr>
            <w:r w:rsidRPr="000C4EFF">
              <w:lastRenderedPageBreak/>
              <w:t>Provide information to enable PBAC to decide whether it is satisfied that the combination item provides, for some patients:</w:t>
            </w:r>
          </w:p>
          <w:p w:rsidR="008A3184" w:rsidRPr="000C4EFF" w:rsidRDefault="008A3184" w:rsidP="005A46BF">
            <w:pPr>
              <w:pStyle w:val="Table"/>
              <w:numPr>
                <w:ilvl w:val="0"/>
                <w:numId w:val="3"/>
              </w:numPr>
              <w:ind w:left="142" w:hanging="142"/>
            </w:pPr>
            <w:r w:rsidRPr="000C4EFF">
              <w:t>a significant improvement in compliance or</w:t>
            </w:r>
          </w:p>
          <w:p w:rsidR="008A3184" w:rsidRPr="000C4EFF" w:rsidRDefault="008A3184" w:rsidP="005A46BF">
            <w:pPr>
              <w:pStyle w:val="Table"/>
              <w:numPr>
                <w:ilvl w:val="0"/>
                <w:numId w:val="3"/>
              </w:numPr>
              <w:ind w:left="142" w:hanging="142"/>
            </w:pPr>
            <w:r w:rsidRPr="000C4EFF">
              <w:t>a significant improvement in efficacy or</w:t>
            </w:r>
          </w:p>
          <w:p w:rsidR="008A3184" w:rsidRPr="000C4EFF" w:rsidRDefault="008A3184" w:rsidP="005A46BF">
            <w:pPr>
              <w:pStyle w:val="Table"/>
              <w:numPr>
                <w:ilvl w:val="0"/>
                <w:numId w:val="3"/>
              </w:numPr>
              <w:ind w:left="142" w:hanging="142"/>
            </w:pPr>
            <w:r w:rsidRPr="000C4EFF">
              <w:t>a significant reduction in toxicity over the alternative therapies.</w:t>
            </w:r>
          </w:p>
        </w:tc>
        <w:tc>
          <w:tcPr>
            <w:tcW w:w="4110" w:type="dxa"/>
          </w:tcPr>
          <w:p w:rsidR="008A3184" w:rsidRDefault="005A46BF" w:rsidP="00437015">
            <w:pPr>
              <w:pStyle w:val="Table"/>
            </w:pPr>
            <w:r>
              <w:t>NEPA</w:t>
            </w:r>
            <w:r w:rsidR="008A3184" w:rsidRPr="000C4EFF">
              <w:t xml:space="preserve"> appears to be as effective and safe as the use of aprepitant in combination with a 5-HT</w:t>
            </w:r>
            <w:r w:rsidR="008A3184" w:rsidRPr="008E6EA3">
              <w:rPr>
                <w:vertAlign w:val="subscript"/>
              </w:rPr>
              <w:t>3</w:t>
            </w:r>
            <w:r w:rsidR="008A3184" w:rsidRPr="000C4EFF">
              <w:t xml:space="preserve"> receptor antagonist.</w:t>
            </w:r>
          </w:p>
          <w:p w:rsidR="008A3184" w:rsidRPr="000C4EFF" w:rsidRDefault="008A3184" w:rsidP="00437015">
            <w:pPr>
              <w:pStyle w:val="Table"/>
            </w:pPr>
            <w:r>
              <w:t>Co-prescription data indicates that up to one quarter of aprepitant scripts are issued as monotherapy (HI Connections data). The availability of NEPA as a fixed dose combination will improve adherence to Consensus guidelines for patients scheduled to receive HEC and AC chemotherapy regimens.</w:t>
            </w:r>
          </w:p>
        </w:tc>
      </w:tr>
    </w:tbl>
    <w:p w:rsidR="00DC738B" w:rsidRDefault="008A3184" w:rsidP="008A3184">
      <w:pPr>
        <w:ind w:firstLine="720"/>
        <w:rPr>
          <w:rFonts w:ascii="Arial Narrow" w:hAnsi="Arial Narrow"/>
          <w:i/>
          <w:sz w:val="18"/>
          <w:szCs w:val="22"/>
        </w:rPr>
      </w:pPr>
      <w:r w:rsidRPr="008A3184">
        <w:rPr>
          <w:rFonts w:ascii="Arial Narrow" w:hAnsi="Arial Narrow"/>
          <w:sz w:val="18"/>
          <w:szCs w:val="22"/>
        </w:rPr>
        <w:t>Source: Submission, Table 3 p.8</w:t>
      </w:r>
      <w:r w:rsidR="00237534">
        <w:rPr>
          <w:rFonts w:ascii="Arial Narrow" w:hAnsi="Arial Narrow"/>
          <w:sz w:val="18"/>
          <w:szCs w:val="22"/>
        </w:rPr>
        <w:t xml:space="preserve"> </w:t>
      </w:r>
      <w:r w:rsidR="00237534" w:rsidRPr="00237534">
        <w:rPr>
          <w:rFonts w:ascii="Arial Narrow" w:hAnsi="Arial Narrow"/>
          <w:i/>
          <w:sz w:val="18"/>
          <w:szCs w:val="22"/>
        </w:rPr>
        <w:t>(abridged)</w:t>
      </w:r>
    </w:p>
    <w:p w:rsidR="00DC738B" w:rsidRDefault="00DC738B" w:rsidP="00E01527">
      <w:pPr>
        <w:contextualSpacing/>
        <w:jc w:val="both"/>
        <w:rPr>
          <w:rFonts w:ascii="Arial" w:hAnsi="Arial" w:cs="Arial"/>
          <w:bCs/>
          <w:snapToGrid w:val="0"/>
          <w:sz w:val="22"/>
          <w:szCs w:val="22"/>
          <w:lang w:val="en-GB" w:eastAsia="en-US"/>
        </w:rPr>
      </w:pPr>
    </w:p>
    <w:p w:rsidR="00E01527" w:rsidRDefault="00E01527" w:rsidP="00E01527">
      <w:pPr>
        <w:pStyle w:val="ListParagraph"/>
        <w:ind w:left="709"/>
        <w:jc w:val="both"/>
        <w:rPr>
          <w:rFonts w:ascii="Arial" w:hAnsi="Arial"/>
          <w:i/>
          <w:sz w:val="22"/>
          <w:szCs w:val="22"/>
        </w:rPr>
      </w:pPr>
      <w:r w:rsidRPr="00E01527">
        <w:rPr>
          <w:rFonts w:ascii="Arial" w:hAnsi="Arial"/>
          <w:i/>
          <w:sz w:val="22"/>
          <w:szCs w:val="22"/>
        </w:rPr>
        <w:t>For more detail on PBAC’s view, see section 7 “PBAC outcome”</w:t>
      </w:r>
    </w:p>
    <w:p w:rsidR="00E01527" w:rsidRPr="00FC5631" w:rsidRDefault="00E01527" w:rsidP="00E01527">
      <w:pPr>
        <w:contextualSpacing/>
        <w:jc w:val="both"/>
        <w:rPr>
          <w:rFonts w:ascii="Arial" w:hAnsi="Arial" w:cs="Arial"/>
          <w:bCs/>
          <w:snapToGrid w:val="0"/>
          <w:sz w:val="22"/>
          <w:szCs w:val="22"/>
          <w:lang w:val="en-GB" w:eastAsia="en-US"/>
        </w:rPr>
      </w:pPr>
    </w:p>
    <w:p w:rsidR="00DC738B" w:rsidRPr="00FC5631" w:rsidRDefault="00DC738B" w:rsidP="00FC5631">
      <w:pPr>
        <w:contextualSpacing/>
        <w:jc w:val="both"/>
        <w:rPr>
          <w:rFonts w:ascii="Arial" w:hAnsi="Arial" w:cs="Arial"/>
          <w:bCs/>
          <w:snapToGrid w:val="0"/>
          <w:sz w:val="22"/>
          <w:szCs w:val="22"/>
          <w:lang w:val="en-GB" w:eastAsia="en-US"/>
        </w:rPr>
      </w:pPr>
    </w:p>
    <w:p w:rsidR="00DC738B" w:rsidRPr="00571296" w:rsidRDefault="00DC738B" w:rsidP="003619E3">
      <w:pPr>
        <w:pStyle w:val="Heading1"/>
        <w:rPr>
          <w:snapToGrid w:val="0"/>
          <w:lang w:eastAsia="en-US"/>
        </w:rPr>
      </w:pPr>
      <w:r w:rsidRPr="00571296">
        <w:rPr>
          <w:snapToGrid w:val="0"/>
          <w:lang w:eastAsia="en-US"/>
        </w:rPr>
        <w:t>PBAC Outcome</w:t>
      </w:r>
    </w:p>
    <w:p w:rsidR="00DC738B" w:rsidRPr="00571296" w:rsidRDefault="00DC738B" w:rsidP="00DC738B">
      <w:pPr>
        <w:contextualSpacing/>
        <w:jc w:val="both"/>
        <w:rPr>
          <w:rFonts w:ascii="Arial" w:hAnsi="Arial" w:cs="Arial"/>
          <w:bCs/>
          <w:snapToGrid w:val="0"/>
          <w:sz w:val="22"/>
          <w:szCs w:val="22"/>
          <w:lang w:val="en-GB" w:eastAsia="en-US"/>
        </w:rPr>
      </w:pPr>
    </w:p>
    <w:p w:rsidR="00DC738B" w:rsidRDefault="00923937" w:rsidP="00DC738B">
      <w:pPr>
        <w:widowControl w:val="0"/>
        <w:numPr>
          <w:ilvl w:val="1"/>
          <w:numId w:val="1"/>
        </w:numPr>
        <w:spacing w:after="120"/>
        <w:contextualSpacing/>
        <w:jc w:val="both"/>
        <w:rPr>
          <w:rFonts w:ascii="Arial" w:hAnsi="Arial" w:cs="Arial"/>
          <w:bCs/>
          <w:snapToGrid w:val="0"/>
          <w:sz w:val="22"/>
          <w:szCs w:val="22"/>
          <w:lang w:val="en-GB" w:eastAsia="en-US"/>
        </w:rPr>
      </w:pPr>
      <w:r w:rsidRPr="00571296">
        <w:rPr>
          <w:rFonts w:ascii="Arial" w:hAnsi="Arial" w:cs="Arial"/>
          <w:bCs/>
          <w:snapToGrid w:val="0"/>
          <w:sz w:val="22"/>
          <w:szCs w:val="22"/>
          <w:lang w:val="en-GB" w:eastAsia="en-US"/>
        </w:rPr>
        <w:t>The PBAC recommended listing netupitant + palonosetron</w:t>
      </w:r>
      <w:r w:rsidR="00F82A79">
        <w:rPr>
          <w:rFonts w:ascii="Arial" w:hAnsi="Arial" w:cs="Arial"/>
          <w:bCs/>
          <w:snapToGrid w:val="0"/>
          <w:sz w:val="22"/>
          <w:szCs w:val="22"/>
          <w:lang w:val="en-GB" w:eastAsia="en-US"/>
        </w:rPr>
        <w:t xml:space="preserve"> fixed dose combination (NEPA FDC)</w:t>
      </w:r>
      <w:r w:rsidRPr="00571296">
        <w:rPr>
          <w:rFonts w:ascii="Arial" w:hAnsi="Arial" w:cs="Arial"/>
          <w:bCs/>
          <w:snapToGrid w:val="0"/>
          <w:sz w:val="22"/>
          <w:szCs w:val="22"/>
          <w:lang w:val="en-GB" w:eastAsia="en-US"/>
        </w:rPr>
        <w:t xml:space="preserve"> </w:t>
      </w:r>
      <w:r w:rsidR="00E81740" w:rsidRPr="00571296">
        <w:rPr>
          <w:rFonts w:ascii="Arial" w:hAnsi="Arial" w:cs="Arial"/>
          <w:bCs/>
          <w:snapToGrid w:val="0"/>
          <w:sz w:val="22"/>
          <w:szCs w:val="22"/>
          <w:lang w:val="en-GB" w:eastAsia="en-US"/>
        </w:rPr>
        <w:t>as an Authority Required STREAMLINED benefit on the General Schedule and under the Section 100 program Efficient Funding of Chemotherapy – Related Benefits</w:t>
      </w:r>
      <w:r w:rsidR="00B547F9" w:rsidRPr="00571296">
        <w:rPr>
          <w:rFonts w:ascii="Arial" w:hAnsi="Arial" w:cs="Arial"/>
          <w:bCs/>
          <w:snapToGrid w:val="0"/>
          <w:sz w:val="22"/>
          <w:szCs w:val="22"/>
          <w:lang w:val="en-GB" w:eastAsia="en-US"/>
        </w:rPr>
        <w:t xml:space="preserve">, for the prevention of nausea and vomiting associated with initial and repeat courses of highly emetogenic chemotherapy and anthracycline plus cyclophosphamide based regimens in patients with breast cancer. </w:t>
      </w:r>
    </w:p>
    <w:p w:rsidR="00D73646" w:rsidRDefault="00D73646" w:rsidP="00D73646">
      <w:pPr>
        <w:widowControl w:val="0"/>
        <w:spacing w:after="120"/>
        <w:contextualSpacing/>
        <w:jc w:val="both"/>
        <w:rPr>
          <w:rFonts w:ascii="Arial" w:hAnsi="Arial" w:cs="Arial"/>
          <w:bCs/>
          <w:snapToGrid w:val="0"/>
          <w:sz w:val="22"/>
          <w:szCs w:val="22"/>
          <w:lang w:val="en-GB" w:eastAsia="en-US"/>
        </w:rPr>
      </w:pPr>
    </w:p>
    <w:p w:rsidR="00293FF4" w:rsidRDefault="00690635" w:rsidP="00690635">
      <w:pPr>
        <w:widowControl w:val="0"/>
        <w:numPr>
          <w:ilvl w:val="1"/>
          <w:numId w:val="1"/>
        </w:numPr>
        <w:spacing w:after="120"/>
        <w:contextualSpacing/>
        <w:jc w:val="both"/>
        <w:rPr>
          <w:rFonts w:ascii="Arial" w:hAnsi="Arial" w:cs="Arial"/>
          <w:bCs/>
          <w:snapToGrid w:val="0"/>
          <w:sz w:val="22"/>
          <w:szCs w:val="22"/>
          <w:lang w:val="en-GB" w:eastAsia="en-US"/>
        </w:rPr>
      </w:pPr>
      <w:r w:rsidRPr="00690635">
        <w:rPr>
          <w:rFonts w:ascii="Arial" w:hAnsi="Arial" w:cs="Arial"/>
          <w:bCs/>
          <w:snapToGrid w:val="0"/>
          <w:sz w:val="22"/>
          <w:szCs w:val="22"/>
          <w:lang w:val="en-GB" w:eastAsia="en-US"/>
        </w:rPr>
        <w:t xml:space="preserve">Listing was recommended at the price proposed in the submission, with the PBAC noting the lower DPMQ offered for </w:t>
      </w:r>
      <w:r>
        <w:rPr>
          <w:rFonts w:ascii="Arial" w:hAnsi="Arial" w:cs="Arial"/>
          <w:bCs/>
          <w:snapToGrid w:val="0"/>
          <w:sz w:val="22"/>
          <w:szCs w:val="22"/>
          <w:lang w:val="en-GB" w:eastAsia="en-US"/>
        </w:rPr>
        <w:t>NEPA compared with aprepitant</w:t>
      </w:r>
      <w:r w:rsidRPr="00690635">
        <w:rPr>
          <w:rFonts w:ascii="Arial" w:hAnsi="Arial" w:cs="Arial"/>
          <w:bCs/>
          <w:snapToGrid w:val="0"/>
          <w:sz w:val="22"/>
          <w:szCs w:val="22"/>
          <w:lang w:val="en-GB" w:eastAsia="en-US"/>
        </w:rPr>
        <w:t>.</w:t>
      </w:r>
      <w:r w:rsidR="004C300F" w:rsidRPr="003405D6">
        <w:rPr>
          <w:rFonts w:ascii="Arial" w:hAnsi="Arial" w:cs="Arial"/>
          <w:bCs/>
          <w:snapToGrid w:val="0"/>
          <w:sz w:val="22"/>
          <w:szCs w:val="22"/>
          <w:lang w:val="en-GB" w:eastAsia="en-US"/>
        </w:rPr>
        <w:t xml:space="preserve"> The PBAC noted that the economic analysis </w:t>
      </w:r>
      <w:r w:rsidR="007E6C25" w:rsidRPr="003405D6">
        <w:rPr>
          <w:rFonts w:ascii="Arial" w:hAnsi="Arial" w:cs="Arial"/>
          <w:bCs/>
          <w:snapToGrid w:val="0"/>
          <w:sz w:val="22"/>
          <w:szCs w:val="22"/>
          <w:lang w:val="en-GB" w:eastAsia="en-US"/>
        </w:rPr>
        <w:t xml:space="preserve">presented in the original submission was a cost comparison and the equi-effective doses were </w:t>
      </w:r>
      <w:r w:rsidR="000303F0" w:rsidRPr="003405D6">
        <w:rPr>
          <w:rFonts w:ascii="Arial" w:hAnsi="Arial" w:cs="Arial"/>
          <w:bCs/>
          <w:snapToGrid w:val="0"/>
          <w:sz w:val="22"/>
          <w:szCs w:val="22"/>
          <w:lang w:val="en-GB" w:eastAsia="en-US"/>
        </w:rPr>
        <w:t>difficult to establish</w:t>
      </w:r>
      <w:r w:rsidR="00A30CC1">
        <w:rPr>
          <w:rFonts w:ascii="Arial" w:hAnsi="Arial" w:cs="Arial"/>
          <w:bCs/>
          <w:snapToGrid w:val="0"/>
          <w:sz w:val="22"/>
          <w:szCs w:val="22"/>
          <w:lang w:val="en-GB" w:eastAsia="en-US"/>
        </w:rPr>
        <w:t xml:space="preserve">, however considered </w:t>
      </w:r>
      <w:r w:rsidR="00F82A79">
        <w:rPr>
          <w:rFonts w:ascii="Arial" w:hAnsi="Arial" w:cs="Arial"/>
          <w:bCs/>
          <w:snapToGrid w:val="0"/>
          <w:sz w:val="22"/>
          <w:szCs w:val="22"/>
          <w:lang w:val="en-GB" w:eastAsia="en-US"/>
        </w:rPr>
        <w:t xml:space="preserve">an assumption that each </w:t>
      </w:r>
      <w:r w:rsidR="006571C6">
        <w:rPr>
          <w:rFonts w:ascii="Arial" w:hAnsi="Arial" w:cs="Arial"/>
          <w:bCs/>
          <w:snapToGrid w:val="0"/>
          <w:sz w:val="22"/>
          <w:szCs w:val="22"/>
          <w:lang w:val="en-GB" w:eastAsia="en-US"/>
        </w:rPr>
        <w:t xml:space="preserve">chemotherapy </w:t>
      </w:r>
      <w:r w:rsidR="00F82A79">
        <w:rPr>
          <w:rFonts w:ascii="Arial" w:hAnsi="Arial" w:cs="Arial"/>
          <w:bCs/>
          <w:snapToGrid w:val="0"/>
          <w:sz w:val="22"/>
          <w:szCs w:val="22"/>
          <w:lang w:val="en-GB" w:eastAsia="en-US"/>
        </w:rPr>
        <w:t>course</w:t>
      </w:r>
      <w:r w:rsidR="00A30CC1">
        <w:rPr>
          <w:rFonts w:ascii="Arial" w:hAnsi="Arial" w:cs="Arial"/>
          <w:bCs/>
          <w:snapToGrid w:val="0"/>
          <w:sz w:val="22"/>
          <w:szCs w:val="22"/>
          <w:lang w:val="en-GB" w:eastAsia="en-US"/>
        </w:rPr>
        <w:t xml:space="preserve"> </w:t>
      </w:r>
      <w:r w:rsidR="006571C6">
        <w:rPr>
          <w:rFonts w:ascii="Arial" w:hAnsi="Arial" w:cs="Arial"/>
          <w:bCs/>
          <w:snapToGrid w:val="0"/>
          <w:sz w:val="22"/>
          <w:szCs w:val="22"/>
          <w:lang w:val="en-GB" w:eastAsia="en-US"/>
        </w:rPr>
        <w:t xml:space="preserve">would </w:t>
      </w:r>
      <w:r w:rsidR="00F82A79">
        <w:rPr>
          <w:rFonts w:ascii="Arial" w:hAnsi="Arial" w:cs="Arial"/>
          <w:bCs/>
          <w:snapToGrid w:val="0"/>
          <w:sz w:val="22"/>
          <w:szCs w:val="22"/>
          <w:lang w:val="en-GB" w:eastAsia="en-US"/>
        </w:rPr>
        <w:t xml:space="preserve">be treated with </w:t>
      </w:r>
      <w:r w:rsidR="00A30CC1">
        <w:rPr>
          <w:rFonts w:ascii="Arial" w:hAnsi="Arial" w:cs="Arial"/>
          <w:bCs/>
          <w:snapToGrid w:val="0"/>
          <w:sz w:val="22"/>
          <w:szCs w:val="22"/>
          <w:lang w:val="en-GB" w:eastAsia="en-US"/>
        </w:rPr>
        <w:t>one capsule of</w:t>
      </w:r>
      <w:r w:rsidR="00F82A79">
        <w:rPr>
          <w:rFonts w:ascii="Arial" w:hAnsi="Arial" w:cs="Arial"/>
          <w:bCs/>
          <w:snapToGrid w:val="0"/>
          <w:sz w:val="22"/>
          <w:szCs w:val="22"/>
          <w:lang w:val="en-GB" w:eastAsia="en-US"/>
        </w:rPr>
        <w:t xml:space="preserve"> NEPA FDC</w:t>
      </w:r>
      <w:r w:rsidR="00A30CC1">
        <w:rPr>
          <w:rFonts w:ascii="Arial" w:hAnsi="Arial" w:cs="Arial"/>
          <w:bCs/>
          <w:snapToGrid w:val="0"/>
          <w:sz w:val="22"/>
          <w:szCs w:val="22"/>
          <w:lang w:val="en-GB" w:eastAsia="en-US"/>
        </w:rPr>
        <w:t xml:space="preserve"> </w:t>
      </w:r>
      <w:r w:rsidR="00F82A79">
        <w:rPr>
          <w:rFonts w:ascii="Arial" w:hAnsi="Arial" w:cs="Arial"/>
          <w:bCs/>
          <w:snapToGrid w:val="0"/>
          <w:sz w:val="22"/>
          <w:szCs w:val="22"/>
          <w:lang w:val="en-GB" w:eastAsia="en-US"/>
        </w:rPr>
        <w:t>or one capsule of aprepitant</w:t>
      </w:r>
      <w:r w:rsidR="00505973">
        <w:rPr>
          <w:rFonts w:ascii="Arial" w:hAnsi="Arial" w:cs="Arial"/>
          <w:bCs/>
          <w:snapToGrid w:val="0"/>
          <w:sz w:val="22"/>
          <w:szCs w:val="22"/>
          <w:lang w:val="en-GB" w:eastAsia="en-US"/>
        </w:rPr>
        <w:t xml:space="preserve"> 165 mg</w:t>
      </w:r>
      <w:r w:rsidR="00A325DD">
        <w:rPr>
          <w:rFonts w:ascii="Arial" w:hAnsi="Arial" w:cs="Arial"/>
          <w:bCs/>
          <w:snapToGrid w:val="0"/>
          <w:sz w:val="22"/>
          <w:szCs w:val="22"/>
          <w:lang w:val="en-GB" w:eastAsia="en-US"/>
        </w:rPr>
        <w:t xml:space="preserve"> plus a 5</w:t>
      </w:r>
      <w:r w:rsidR="00A325DD">
        <w:rPr>
          <w:rFonts w:ascii="Arial" w:hAnsi="Arial" w:cs="Arial"/>
          <w:bCs/>
          <w:snapToGrid w:val="0"/>
          <w:sz w:val="22"/>
          <w:szCs w:val="22"/>
          <w:lang w:val="en-GB" w:eastAsia="en-US"/>
        </w:rPr>
        <w:noBreakHyphen/>
      </w:r>
      <w:r w:rsidR="00F82A79">
        <w:rPr>
          <w:rFonts w:ascii="Arial" w:hAnsi="Arial" w:cs="Arial"/>
          <w:bCs/>
          <w:snapToGrid w:val="0"/>
          <w:sz w:val="22"/>
          <w:szCs w:val="22"/>
          <w:lang w:val="en-GB" w:eastAsia="en-US"/>
        </w:rPr>
        <w:t>HT</w:t>
      </w:r>
      <w:r w:rsidR="00F82A79" w:rsidRPr="00A325DD">
        <w:rPr>
          <w:rFonts w:ascii="Arial" w:hAnsi="Arial" w:cs="Arial"/>
          <w:bCs/>
          <w:snapToGrid w:val="0"/>
          <w:sz w:val="22"/>
          <w:szCs w:val="22"/>
          <w:vertAlign w:val="subscript"/>
          <w:lang w:val="en-GB" w:eastAsia="en-US"/>
        </w:rPr>
        <w:t>3</w:t>
      </w:r>
      <w:r w:rsidR="00F82A79">
        <w:rPr>
          <w:rFonts w:ascii="Arial" w:hAnsi="Arial" w:cs="Arial"/>
          <w:bCs/>
          <w:snapToGrid w:val="0"/>
          <w:sz w:val="22"/>
          <w:szCs w:val="22"/>
          <w:lang w:val="en-GB" w:eastAsia="en-US"/>
        </w:rPr>
        <w:t xml:space="preserve"> </w:t>
      </w:r>
      <w:r w:rsidR="004B2B25">
        <w:rPr>
          <w:rFonts w:ascii="Arial" w:hAnsi="Arial" w:cs="Arial"/>
          <w:bCs/>
          <w:snapToGrid w:val="0"/>
          <w:sz w:val="22"/>
          <w:szCs w:val="22"/>
          <w:lang w:val="en-GB" w:eastAsia="en-US"/>
        </w:rPr>
        <w:t>RA</w:t>
      </w:r>
      <w:r w:rsidR="00F82A79">
        <w:rPr>
          <w:rFonts w:ascii="Arial" w:hAnsi="Arial" w:cs="Arial"/>
          <w:bCs/>
          <w:snapToGrid w:val="0"/>
          <w:sz w:val="22"/>
          <w:szCs w:val="22"/>
          <w:lang w:val="en-GB" w:eastAsia="en-US"/>
        </w:rPr>
        <w:t xml:space="preserve"> </w:t>
      </w:r>
      <w:r w:rsidR="006E2AF5">
        <w:rPr>
          <w:rFonts w:ascii="Arial" w:hAnsi="Arial" w:cs="Arial"/>
          <w:bCs/>
          <w:snapToGrid w:val="0"/>
          <w:sz w:val="22"/>
          <w:szCs w:val="22"/>
          <w:lang w:val="en-GB" w:eastAsia="en-US"/>
        </w:rPr>
        <w:t>to</w:t>
      </w:r>
      <w:r w:rsidR="00B108D0">
        <w:rPr>
          <w:rFonts w:ascii="Arial" w:hAnsi="Arial" w:cs="Arial"/>
          <w:bCs/>
          <w:snapToGrid w:val="0"/>
          <w:sz w:val="22"/>
          <w:szCs w:val="22"/>
          <w:lang w:val="en-GB" w:eastAsia="en-US"/>
        </w:rPr>
        <w:t xml:space="preserve"> be</w:t>
      </w:r>
      <w:r w:rsidR="00F82A79">
        <w:rPr>
          <w:rFonts w:ascii="Arial" w:hAnsi="Arial" w:cs="Arial"/>
          <w:bCs/>
          <w:snapToGrid w:val="0"/>
          <w:sz w:val="22"/>
          <w:szCs w:val="22"/>
          <w:lang w:val="en-GB" w:eastAsia="en-US"/>
        </w:rPr>
        <w:t xml:space="preserve"> reasonable.</w:t>
      </w:r>
    </w:p>
    <w:p w:rsidR="003405D6" w:rsidRPr="003405D6" w:rsidRDefault="003405D6" w:rsidP="003405D6">
      <w:pPr>
        <w:widowControl w:val="0"/>
        <w:spacing w:after="120"/>
        <w:contextualSpacing/>
        <w:jc w:val="both"/>
        <w:rPr>
          <w:rFonts w:ascii="Arial" w:hAnsi="Arial" w:cs="Arial"/>
          <w:bCs/>
          <w:snapToGrid w:val="0"/>
          <w:sz w:val="22"/>
          <w:szCs w:val="22"/>
          <w:lang w:val="en-GB" w:eastAsia="en-US"/>
        </w:rPr>
      </w:pPr>
    </w:p>
    <w:p w:rsidR="00293FF4" w:rsidRDefault="00293FF4" w:rsidP="00766481">
      <w:pPr>
        <w:widowControl w:val="0"/>
        <w:numPr>
          <w:ilvl w:val="1"/>
          <w:numId w:val="1"/>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considered that the clinical need </w:t>
      </w:r>
      <w:r w:rsidR="00F74DF3">
        <w:rPr>
          <w:rFonts w:ascii="Arial" w:hAnsi="Arial" w:cs="Arial"/>
          <w:bCs/>
          <w:snapToGrid w:val="0"/>
          <w:sz w:val="22"/>
          <w:szCs w:val="22"/>
          <w:lang w:val="en-GB" w:eastAsia="en-US"/>
        </w:rPr>
        <w:t xml:space="preserve">for the </w:t>
      </w:r>
      <w:r w:rsidR="006E2AF5">
        <w:rPr>
          <w:rFonts w:ascii="Arial" w:hAnsi="Arial" w:cs="Arial"/>
          <w:bCs/>
          <w:snapToGrid w:val="0"/>
          <w:sz w:val="22"/>
          <w:szCs w:val="22"/>
          <w:lang w:val="en-GB" w:eastAsia="en-US"/>
        </w:rPr>
        <w:t>NEPA FDC</w:t>
      </w:r>
      <w:r w:rsidR="003405D6">
        <w:rPr>
          <w:rFonts w:ascii="Arial" w:hAnsi="Arial" w:cs="Arial"/>
          <w:bCs/>
          <w:snapToGrid w:val="0"/>
          <w:sz w:val="22"/>
          <w:szCs w:val="22"/>
          <w:lang w:val="en-GB" w:eastAsia="en-US"/>
        </w:rPr>
        <w:t xml:space="preserve"> </w:t>
      </w:r>
      <w:r>
        <w:rPr>
          <w:rFonts w:ascii="Arial" w:hAnsi="Arial" w:cs="Arial"/>
          <w:bCs/>
          <w:snapToGrid w:val="0"/>
          <w:sz w:val="22"/>
          <w:szCs w:val="22"/>
          <w:lang w:val="en-GB" w:eastAsia="en-US"/>
        </w:rPr>
        <w:t xml:space="preserve">remained </w:t>
      </w:r>
      <w:r w:rsidR="00FB1D95">
        <w:rPr>
          <w:rFonts w:ascii="Arial" w:hAnsi="Arial" w:cs="Arial"/>
          <w:bCs/>
          <w:snapToGrid w:val="0"/>
          <w:sz w:val="22"/>
          <w:szCs w:val="22"/>
          <w:lang w:val="en-GB" w:eastAsia="en-US"/>
        </w:rPr>
        <w:t>low</w:t>
      </w:r>
      <w:r>
        <w:rPr>
          <w:rFonts w:ascii="Arial" w:hAnsi="Arial" w:cs="Arial"/>
          <w:bCs/>
          <w:snapToGrid w:val="0"/>
          <w:sz w:val="22"/>
          <w:szCs w:val="22"/>
          <w:lang w:val="en-GB" w:eastAsia="en-US"/>
        </w:rPr>
        <w:t xml:space="preserve">, and noting the </w:t>
      </w:r>
      <w:r w:rsidR="008C184E">
        <w:rPr>
          <w:rFonts w:ascii="Arial" w:hAnsi="Arial" w:cs="Arial"/>
          <w:bCs/>
          <w:snapToGrid w:val="0"/>
          <w:sz w:val="22"/>
          <w:szCs w:val="22"/>
          <w:lang w:val="en-GB" w:eastAsia="en-US"/>
        </w:rPr>
        <w:t xml:space="preserve">very high </w:t>
      </w:r>
      <w:r>
        <w:rPr>
          <w:rFonts w:ascii="Arial" w:hAnsi="Arial" w:cs="Arial"/>
          <w:bCs/>
          <w:snapToGrid w:val="0"/>
          <w:sz w:val="22"/>
          <w:szCs w:val="22"/>
          <w:lang w:val="en-GB" w:eastAsia="en-US"/>
        </w:rPr>
        <w:t xml:space="preserve">potential for leakage, </w:t>
      </w:r>
      <w:r w:rsidR="003405D6">
        <w:rPr>
          <w:rFonts w:ascii="Arial" w:hAnsi="Arial" w:cs="Arial"/>
          <w:bCs/>
          <w:snapToGrid w:val="0"/>
          <w:sz w:val="22"/>
          <w:szCs w:val="22"/>
          <w:lang w:val="en-GB" w:eastAsia="en-US"/>
        </w:rPr>
        <w:t>considered that</w:t>
      </w:r>
      <w:r>
        <w:rPr>
          <w:rFonts w:ascii="Arial" w:hAnsi="Arial" w:cs="Arial"/>
          <w:bCs/>
          <w:snapToGrid w:val="0"/>
          <w:sz w:val="22"/>
          <w:szCs w:val="22"/>
          <w:lang w:val="en-GB" w:eastAsia="en-US"/>
        </w:rPr>
        <w:t xml:space="preserve"> a </w:t>
      </w:r>
      <w:r w:rsidR="00A325DD">
        <w:rPr>
          <w:rFonts w:ascii="Arial" w:hAnsi="Arial" w:cs="Arial"/>
          <w:bCs/>
          <w:snapToGrid w:val="0"/>
          <w:sz w:val="22"/>
          <w:szCs w:val="22"/>
          <w:lang w:val="en-GB" w:eastAsia="en-US"/>
        </w:rPr>
        <w:t xml:space="preserve">robust </w:t>
      </w:r>
      <w:r>
        <w:rPr>
          <w:rFonts w:ascii="Arial" w:hAnsi="Arial" w:cs="Arial"/>
          <w:bCs/>
          <w:snapToGrid w:val="0"/>
          <w:sz w:val="22"/>
          <w:szCs w:val="22"/>
          <w:lang w:val="en-GB" w:eastAsia="en-US"/>
        </w:rPr>
        <w:t xml:space="preserve">risk sharing arrangement </w:t>
      </w:r>
      <w:r w:rsidR="003405D6">
        <w:rPr>
          <w:rFonts w:ascii="Arial" w:hAnsi="Arial" w:cs="Arial"/>
          <w:bCs/>
          <w:snapToGrid w:val="0"/>
          <w:sz w:val="22"/>
          <w:szCs w:val="22"/>
          <w:lang w:val="en-GB" w:eastAsia="en-US"/>
        </w:rPr>
        <w:t xml:space="preserve">would be required to address this uncertainty. </w:t>
      </w:r>
    </w:p>
    <w:p w:rsidR="007744DE" w:rsidRDefault="007744DE" w:rsidP="007744DE">
      <w:pPr>
        <w:widowControl w:val="0"/>
        <w:spacing w:after="120"/>
        <w:contextualSpacing/>
        <w:jc w:val="both"/>
        <w:rPr>
          <w:rFonts w:ascii="Arial" w:hAnsi="Arial" w:cs="Arial"/>
          <w:bCs/>
          <w:snapToGrid w:val="0"/>
          <w:sz w:val="22"/>
          <w:szCs w:val="22"/>
          <w:lang w:val="en-GB" w:eastAsia="en-US"/>
        </w:rPr>
      </w:pPr>
    </w:p>
    <w:p w:rsidR="003405D6" w:rsidRDefault="003405D6" w:rsidP="00766481">
      <w:pPr>
        <w:widowControl w:val="0"/>
        <w:numPr>
          <w:ilvl w:val="1"/>
          <w:numId w:val="1"/>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As previous</w:t>
      </w:r>
      <w:r w:rsidR="0002304F">
        <w:rPr>
          <w:rFonts w:ascii="Arial" w:hAnsi="Arial" w:cs="Arial"/>
          <w:bCs/>
          <w:snapToGrid w:val="0"/>
          <w:sz w:val="22"/>
          <w:szCs w:val="22"/>
          <w:lang w:val="en-GB" w:eastAsia="en-US"/>
        </w:rPr>
        <w:t>ly</w:t>
      </w:r>
      <w:r>
        <w:rPr>
          <w:rFonts w:ascii="Arial" w:hAnsi="Arial" w:cs="Arial"/>
          <w:bCs/>
          <w:snapToGrid w:val="0"/>
          <w:sz w:val="22"/>
          <w:szCs w:val="22"/>
          <w:lang w:val="en-GB" w:eastAsia="en-US"/>
        </w:rPr>
        <w:t>, the PBAC accepted aprepitant with a 5-HT</w:t>
      </w:r>
      <w:r w:rsidRPr="00CB2EAA">
        <w:rPr>
          <w:rFonts w:ascii="Arial" w:hAnsi="Arial" w:cs="Arial"/>
          <w:bCs/>
          <w:snapToGrid w:val="0"/>
          <w:sz w:val="22"/>
          <w:szCs w:val="22"/>
          <w:vertAlign w:val="subscript"/>
          <w:lang w:val="en-GB" w:eastAsia="en-US"/>
        </w:rPr>
        <w:t>3</w:t>
      </w:r>
      <w:r>
        <w:rPr>
          <w:rFonts w:ascii="Arial" w:hAnsi="Arial" w:cs="Arial"/>
          <w:bCs/>
          <w:snapToGrid w:val="0"/>
          <w:sz w:val="22"/>
          <w:szCs w:val="22"/>
          <w:lang w:val="en-GB" w:eastAsia="en-US"/>
        </w:rPr>
        <w:t xml:space="preserve"> RA</w:t>
      </w:r>
      <w:r w:rsidR="003D65BE">
        <w:rPr>
          <w:rFonts w:ascii="Arial" w:hAnsi="Arial" w:cs="Arial"/>
          <w:bCs/>
          <w:snapToGrid w:val="0"/>
          <w:sz w:val="22"/>
          <w:szCs w:val="22"/>
          <w:lang w:val="en-GB" w:eastAsia="en-US"/>
        </w:rPr>
        <w:t xml:space="preserve"> as the appropriate comparator, and considered the clinical claim that NEPA is non-infer</w:t>
      </w:r>
      <w:r w:rsidR="00E82CF0">
        <w:rPr>
          <w:rFonts w:ascii="Arial" w:hAnsi="Arial" w:cs="Arial"/>
          <w:bCs/>
          <w:snapToGrid w:val="0"/>
          <w:sz w:val="22"/>
          <w:szCs w:val="22"/>
          <w:lang w:val="en-GB" w:eastAsia="en-US"/>
        </w:rPr>
        <w:t>i</w:t>
      </w:r>
      <w:r w:rsidR="003D65BE">
        <w:rPr>
          <w:rFonts w:ascii="Arial" w:hAnsi="Arial" w:cs="Arial"/>
          <w:bCs/>
          <w:snapToGrid w:val="0"/>
          <w:sz w:val="22"/>
          <w:szCs w:val="22"/>
          <w:lang w:val="en-GB" w:eastAsia="en-US"/>
        </w:rPr>
        <w:t>or to aprepitant with a 5-HT</w:t>
      </w:r>
      <w:r w:rsidR="003D65BE" w:rsidRPr="003D65BE">
        <w:rPr>
          <w:rFonts w:ascii="Arial" w:hAnsi="Arial" w:cs="Arial"/>
          <w:bCs/>
          <w:snapToGrid w:val="0"/>
          <w:sz w:val="22"/>
          <w:szCs w:val="22"/>
          <w:vertAlign w:val="subscript"/>
          <w:lang w:val="en-GB" w:eastAsia="en-US"/>
        </w:rPr>
        <w:t>3</w:t>
      </w:r>
      <w:r w:rsidR="003D65BE">
        <w:rPr>
          <w:rFonts w:ascii="Arial" w:hAnsi="Arial" w:cs="Arial"/>
          <w:bCs/>
          <w:snapToGrid w:val="0"/>
          <w:sz w:val="22"/>
          <w:szCs w:val="22"/>
          <w:lang w:val="en-GB" w:eastAsia="en-US"/>
        </w:rPr>
        <w:t xml:space="preserve"> RA </w:t>
      </w:r>
      <w:r w:rsidR="00E82CF0">
        <w:rPr>
          <w:rFonts w:ascii="Arial" w:hAnsi="Arial" w:cs="Arial"/>
          <w:bCs/>
          <w:snapToGrid w:val="0"/>
          <w:sz w:val="22"/>
          <w:szCs w:val="22"/>
          <w:lang w:val="en-GB" w:eastAsia="en-US"/>
        </w:rPr>
        <w:t>r</w:t>
      </w:r>
      <w:r w:rsidR="003D65BE">
        <w:rPr>
          <w:rFonts w:ascii="Arial" w:hAnsi="Arial" w:cs="Arial"/>
          <w:bCs/>
          <w:snapToGrid w:val="0"/>
          <w:sz w:val="22"/>
          <w:szCs w:val="22"/>
          <w:lang w:val="en-GB" w:eastAsia="en-US"/>
        </w:rPr>
        <w:t xml:space="preserve">easonable. </w:t>
      </w:r>
    </w:p>
    <w:p w:rsidR="004B2B25" w:rsidRDefault="004B2B25" w:rsidP="00713098">
      <w:pPr>
        <w:widowControl w:val="0"/>
        <w:spacing w:after="120"/>
        <w:contextualSpacing/>
        <w:jc w:val="both"/>
        <w:rPr>
          <w:rFonts w:ascii="Arial" w:hAnsi="Arial" w:cs="Arial"/>
          <w:bCs/>
          <w:snapToGrid w:val="0"/>
          <w:sz w:val="22"/>
          <w:szCs w:val="22"/>
          <w:lang w:val="en-GB" w:eastAsia="en-US"/>
        </w:rPr>
      </w:pPr>
    </w:p>
    <w:p w:rsidR="004B2B25" w:rsidRDefault="004B2B25" w:rsidP="00766481">
      <w:pPr>
        <w:widowControl w:val="0"/>
        <w:numPr>
          <w:ilvl w:val="1"/>
          <w:numId w:val="1"/>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noted that the submission claimed</w:t>
      </w:r>
      <w:r w:rsidR="00EE7C0A">
        <w:rPr>
          <w:rFonts w:ascii="Arial" w:hAnsi="Arial" w:cs="Arial"/>
          <w:bCs/>
          <w:snapToGrid w:val="0"/>
          <w:sz w:val="22"/>
          <w:szCs w:val="22"/>
          <w:lang w:val="en-GB" w:eastAsia="en-US"/>
        </w:rPr>
        <w:t xml:space="preserve"> that there would be a net saving to the PBS as a result of </w:t>
      </w:r>
      <w:r w:rsidR="00713098">
        <w:rPr>
          <w:rFonts w:ascii="Arial" w:hAnsi="Arial" w:cs="Arial"/>
          <w:bCs/>
          <w:snapToGrid w:val="0"/>
          <w:sz w:val="22"/>
          <w:szCs w:val="22"/>
          <w:lang w:val="en-GB" w:eastAsia="en-US"/>
        </w:rPr>
        <w:t xml:space="preserve">listing NEPA. </w:t>
      </w:r>
      <w:r w:rsidR="008C184E">
        <w:rPr>
          <w:rFonts w:ascii="Arial" w:hAnsi="Arial" w:cs="Arial"/>
          <w:bCs/>
          <w:snapToGrid w:val="0"/>
          <w:sz w:val="22"/>
          <w:szCs w:val="22"/>
          <w:lang w:val="en-GB" w:eastAsia="en-US"/>
        </w:rPr>
        <w:t>The PBAC considered that this saving would only eventuate where NEPA substitutes for aprepitant plus a 5</w:t>
      </w:r>
      <w:r w:rsidR="00FB1D95">
        <w:rPr>
          <w:rFonts w:ascii="Arial" w:hAnsi="Arial" w:cs="Arial"/>
          <w:bCs/>
          <w:snapToGrid w:val="0"/>
          <w:sz w:val="22"/>
          <w:szCs w:val="22"/>
          <w:lang w:val="en-GB" w:eastAsia="en-US"/>
        </w:rPr>
        <w:t>-</w:t>
      </w:r>
      <w:r w:rsidR="008C184E">
        <w:rPr>
          <w:rFonts w:ascii="Arial" w:hAnsi="Arial" w:cs="Arial"/>
          <w:bCs/>
          <w:snapToGrid w:val="0"/>
          <w:sz w:val="22"/>
          <w:szCs w:val="22"/>
          <w:lang w:val="en-GB" w:eastAsia="en-US"/>
        </w:rPr>
        <w:t>HT</w:t>
      </w:r>
      <w:r w:rsidR="008C184E" w:rsidRPr="00FB1D95">
        <w:rPr>
          <w:rFonts w:ascii="Arial" w:hAnsi="Arial" w:cs="Arial"/>
          <w:bCs/>
          <w:snapToGrid w:val="0"/>
          <w:sz w:val="22"/>
          <w:szCs w:val="22"/>
          <w:vertAlign w:val="subscript"/>
          <w:lang w:val="en-GB" w:eastAsia="en-US"/>
        </w:rPr>
        <w:t>3</w:t>
      </w:r>
      <w:r w:rsidR="008C184E">
        <w:rPr>
          <w:rFonts w:ascii="Arial" w:hAnsi="Arial" w:cs="Arial"/>
          <w:bCs/>
          <w:snapToGrid w:val="0"/>
          <w:sz w:val="22"/>
          <w:szCs w:val="22"/>
          <w:lang w:val="en-GB" w:eastAsia="en-US"/>
        </w:rPr>
        <w:t xml:space="preserve"> RA. If NEPA substitutes for 5</w:t>
      </w:r>
      <w:r w:rsidR="00FB1D95">
        <w:rPr>
          <w:rFonts w:ascii="Arial" w:hAnsi="Arial" w:cs="Arial"/>
          <w:bCs/>
          <w:snapToGrid w:val="0"/>
          <w:sz w:val="22"/>
          <w:szCs w:val="22"/>
          <w:lang w:val="en-GB" w:eastAsia="en-US"/>
        </w:rPr>
        <w:t>-</w:t>
      </w:r>
      <w:r w:rsidR="008C184E">
        <w:rPr>
          <w:rFonts w:ascii="Arial" w:hAnsi="Arial" w:cs="Arial"/>
          <w:bCs/>
          <w:snapToGrid w:val="0"/>
          <w:sz w:val="22"/>
          <w:szCs w:val="22"/>
          <w:lang w:val="en-GB" w:eastAsia="en-US"/>
        </w:rPr>
        <w:t>HT</w:t>
      </w:r>
      <w:r w:rsidR="008C184E" w:rsidRPr="00FB1D95">
        <w:rPr>
          <w:rFonts w:ascii="Arial" w:hAnsi="Arial" w:cs="Arial"/>
          <w:bCs/>
          <w:snapToGrid w:val="0"/>
          <w:sz w:val="22"/>
          <w:szCs w:val="22"/>
          <w:vertAlign w:val="subscript"/>
          <w:lang w:val="en-GB" w:eastAsia="en-US"/>
        </w:rPr>
        <w:t>3</w:t>
      </w:r>
      <w:r w:rsidR="008C184E">
        <w:rPr>
          <w:rFonts w:ascii="Arial" w:hAnsi="Arial" w:cs="Arial"/>
          <w:bCs/>
          <w:snapToGrid w:val="0"/>
          <w:sz w:val="22"/>
          <w:szCs w:val="22"/>
          <w:lang w:val="en-GB" w:eastAsia="en-US"/>
        </w:rPr>
        <w:t xml:space="preserve"> RA alone, or is used outside of the proposed restriction, the total cost of PBS medicines for the prevention of nausea and vomiting will </w:t>
      </w:r>
      <w:r w:rsidR="00AE63BA">
        <w:rPr>
          <w:rFonts w:ascii="Arial" w:hAnsi="Arial" w:cs="Arial"/>
          <w:bCs/>
          <w:snapToGrid w:val="0"/>
          <w:sz w:val="22"/>
          <w:szCs w:val="22"/>
          <w:lang w:val="en-GB" w:eastAsia="en-US"/>
        </w:rPr>
        <w:t>increase</w:t>
      </w:r>
      <w:r w:rsidR="008C184E">
        <w:rPr>
          <w:rFonts w:ascii="Arial" w:hAnsi="Arial" w:cs="Arial"/>
          <w:bCs/>
          <w:snapToGrid w:val="0"/>
          <w:sz w:val="22"/>
          <w:szCs w:val="22"/>
          <w:lang w:val="en-GB" w:eastAsia="en-US"/>
        </w:rPr>
        <w:t>.</w:t>
      </w:r>
    </w:p>
    <w:p w:rsidR="00AE5841" w:rsidRDefault="00AE5841" w:rsidP="000E5A32">
      <w:pPr>
        <w:widowControl w:val="0"/>
        <w:spacing w:after="120"/>
        <w:ind w:left="720"/>
        <w:contextualSpacing/>
        <w:jc w:val="both"/>
        <w:rPr>
          <w:rFonts w:ascii="Arial" w:hAnsi="Arial" w:cs="Arial"/>
          <w:bCs/>
          <w:snapToGrid w:val="0"/>
          <w:sz w:val="22"/>
          <w:szCs w:val="22"/>
          <w:lang w:val="en-GB" w:eastAsia="en-US"/>
        </w:rPr>
      </w:pPr>
    </w:p>
    <w:p w:rsidR="00AE5841" w:rsidRPr="00766B06" w:rsidRDefault="00AE5841" w:rsidP="00DC738B">
      <w:pPr>
        <w:widowControl w:val="0"/>
        <w:numPr>
          <w:ilvl w:val="1"/>
          <w:numId w:val="1"/>
        </w:numPr>
        <w:spacing w:after="120"/>
        <w:contextualSpacing/>
        <w:jc w:val="both"/>
        <w:rPr>
          <w:rFonts w:ascii="Arial" w:hAnsi="Arial" w:cs="Arial"/>
          <w:bCs/>
          <w:snapToGrid w:val="0"/>
          <w:sz w:val="22"/>
          <w:szCs w:val="22"/>
          <w:lang w:val="en-GB" w:eastAsia="en-US"/>
        </w:rPr>
      </w:pPr>
      <w:r w:rsidRPr="00766B06">
        <w:rPr>
          <w:rFonts w:ascii="Arial" w:hAnsi="Arial" w:cs="Arial"/>
          <w:bCs/>
          <w:snapToGrid w:val="0"/>
          <w:sz w:val="22"/>
          <w:szCs w:val="22"/>
          <w:lang w:val="en-GB"/>
        </w:rPr>
        <w:t xml:space="preserve">The PBAC </w:t>
      </w:r>
      <w:r w:rsidR="0002304F">
        <w:rPr>
          <w:rFonts w:ascii="Arial" w:hAnsi="Arial" w:cs="Arial"/>
          <w:bCs/>
          <w:snapToGrid w:val="0"/>
          <w:sz w:val="22"/>
          <w:szCs w:val="22"/>
          <w:lang w:val="en-GB"/>
        </w:rPr>
        <w:t>advised</w:t>
      </w:r>
      <w:r w:rsidR="0002304F" w:rsidRPr="00766B06">
        <w:rPr>
          <w:rFonts w:ascii="Arial" w:hAnsi="Arial" w:cs="Arial"/>
          <w:bCs/>
          <w:snapToGrid w:val="0"/>
          <w:sz w:val="22"/>
          <w:szCs w:val="22"/>
          <w:lang w:val="en-GB"/>
        </w:rPr>
        <w:t xml:space="preserve"> </w:t>
      </w:r>
      <w:r w:rsidRPr="00766B06">
        <w:rPr>
          <w:rFonts w:ascii="Arial" w:hAnsi="Arial" w:cs="Arial"/>
          <w:bCs/>
          <w:snapToGrid w:val="0"/>
          <w:sz w:val="22"/>
          <w:szCs w:val="22"/>
          <w:lang w:val="en-GB"/>
        </w:rPr>
        <w:t>that</w:t>
      </w:r>
      <w:r w:rsidR="0002304F">
        <w:rPr>
          <w:rFonts w:ascii="Arial" w:hAnsi="Arial" w:cs="Arial"/>
          <w:bCs/>
          <w:snapToGrid w:val="0"/>
          <w:sz w:val="22"/>
          <w:szCs w:val="22"/>
          <w:lang w:val="en-GB"/>
        </w:rPr>
        <w:t xml:space="preserve"> the</w:t>
      </w:r>
      <w:r w:rsidRPr="00766B06">
        <w:rPr>
          <w:rFonts w:ascii="Arial" w:hAnsi="Arial" w:cs="Arial"/>
          <w:bCs/>
          <w:snapToGrid w:val="0"/>
          <w:sz w:val="22"/>
          <w:szCs w:val="22"/>
          <w:lang w:val="en-GB"/>
        </w:rPr>
        <w:t xml:space="preserve"> </w:t>
      </w:r>
      <w:r w:rsidR="00766B06" w:rsidRPr="00766B06">
        <w:rPr>
          <w:rFonts w:ascii="Arial" w:hAnsi="Arial" w:cs="Arial"/>
          <w:bCs/>
          <w:snapToGrid w:val="0"/>
          <w:sz w:val="22"/>
          <w:szCs w:val="22"/>
          <w:lang w:val="en-GB"/>
        </w:rPr>
        <w:t>NEPA FDC</w:t>
      </w:r>
      <w:r w:rsidRPr="00766B06">
        <w:rPr>
          <w:rFonts w:ascii="Arial" w:hAnsi="Arial" w:cs="Arial"/>
          <w:bCs/>
          <w:snapToGrid w:val="0"/>
          <w:sz w:val="22"/>
          <w:szCs w:val="22"/>
          <w:lang w:val="en-GB"/>
        </w:rPr>
        <w:t xml:space="preserve"> should</w:t>
      </w:r>
      <w:r w:rsidR="00766B06" w:rsidRPr="00766B06">
        <w:rPr>
          <w:rFonts w:ascii="Arial" w:hAnsi="Arial" w:cs="Arial"/>
          <w:bCs/>
          <w:snapToGrid w:val="0"/>
          <w:sz w:val="22"/>
          <w:szCs w:val="22"/>
          <w:lang w:val="en-GB"/>
        </w:rPr>
        <w:t xml:space="preserve"> not</w:t>
      </w:r>
      <w:r w:rsidRPr="00766B06">
        <w:rPr>
          <w:rFonts w:ascii="Arial" w:hAnsi="Arial" w:cs="Arial"/>
          <w:bCs/>
          <w:snapToGrid w:val="0"/>
          <w:sz w:val="22"/>
          <w:szCs w:val="22"/>
          <w:lang w:val="en-GB"/>
        </w:rPr>
        <w:t xml:space="preserve"> be treated as interchangeable</w:t>
      </w:r>
      <w:r w:rsidR="00766B06" w:rsidRPr="00766B06">
        <w:rPr>
          <w:rFonts w:ascii="Arial" w:hAnsi="Arial" w:cs="Arial"/>
          <w:bCs/>
          <w:snapToGrid w:val="0"/>
          <w:sz w:val="22"/>
          <w:szCs w:val="22"/>
          <w:lang w:val="en-GB"/>
        </w:rPr>
        <w:t xml:space="preserve"> with any other</w:t>
      </w:r>
      <w:r w:rsidR="00955C7D">
        <w:rPr>
          <w:rFonts w:ascii="Arial" w:hAnsi="Arial" w:cs="Arial"/>
          <w:bCs/>
          <w:snapToGrid w:val="0"/>
          <w:sz w:val="22"/>
          <w:szCs w:val="22"/>
          <w:lang w:val="en-GB"/>
        </w:rPr>
        <w:t xml:space="preserve"> individual</w:t>
      </w:r>
      <w:r w:rsidR="00766B06" w:rsidRPr="00766B06">
        <w:rPr>
          <w:rFonts w:ascii="Arial" w:hAnsi="Arial" w:cs="Arial"/>
          <w:bCs/>
          <w:snapToGrid w:val="0"/>
          <w:sz w:val="22"/>
          <w:szCs w:val="22"/>
          <w:lang w:val="en-GB"/>
        </w:rPr>
        <w:t xml:space="preserve"> drugs</w:t>
      </w:r>
      <w:r w:rsidR="0002304F">
        <w:rPr>
          <w:rFonts w:ascii="Arial" w:hAnsi="Arial" w:cs="Arial"/>
          <w:bCs/>
          <w:snapToGrid w:val="0"/>
          <w:sz w:val="22"/>
          <w:szCs w:val="22"/>
          <w:lang w:val="en-GB"/>
        </w:rPr>
        <w:t xml:space="preserve"> on an individual patient basis</w:t>
      </w:r>
      <w:r w:rsidR="00766B06" w:rsidRPr="00766B06">
        <w:rPr>
          <w:rFonts w:ascii="Arial" w:hAnsi="Arial" w:cs="Arial"/>
          <w:bCs/>
          <w:snapToGrid w:val="0"/>
          <w:sz w:val="22"/>
          <w:szCs w:val="22"/>
          <w:lang w:val="en-GB"/>
        </w:rPr>
        <w:t>, however that therapeutically, NEPA FDC could be considered interchangeable with the free combinatio</w:t>
      </w:r>
      <w:r w:rsidR="00766B06">
        <w:rPr>
          <w:rFonts w:ascii="Arial" w:hAnsi="Arial" w:cs="Arial"/>
          <w:bCs/>
          <w:snapToGrid w:val="0"/>
          <w:sz w:val="22"/>
          <w:szCs w:val="22"/>
          <w:lang w:val="en-GB"/>
        </w:rPr>
        <w:t xml:space="preserve">n of aprepitant </w:t>
      </w:r>
      <w:r w:rsidR="0037499D">
        <w:rPr>
          <w:rFonts w:ascii="Arial" w:hAnsi="Arial" w:cs="Arial"/>
          <w:bCs/>
          <w:snapToGrid w:val="0"/>
          <w:sz w:val="22"/>
          <w:szCs w:val="22"/>
          <w:lang w:val="en-GB"/>
        </w:rPr>
        <w:t>with</w:t>
      </w:r>
      <w:r w:rsidR="00766B06">
        <w:rPr>
          <w:rFonts w:ascii="Arial" w:hAnsi="Arial" w:cs="Arial"/>
          <w:bCs/>
          <w:snapToGrid w:val="0"/>
          <w:sz w:val="22"/>
          <w:szCs w:val="22"/>
          <w:lang w:val="en-GB"/>
        </w:rPr>
        <w:t xml:space="preserve"> a 5-HT</w:t>
      </w:r>
      <w:r w:rsidR="00766B06" w:rsidRPr="00766B06">
        <w:rPr>
          <w:rFonts w:ascii="Arial" w:hAnsi="Arial" w:cs="Arial"/>
          <w:bCs/>
          <w:snapToGrid w:val="0"/>
          <w:sz w:val="22"/>
          <w:szCs w:val="22"/>
          <w:vertAlign w:val="subscript"/>
          <w:lang w:val="en-GB"/>
        </w:rPr>
        <w:t>3</w:t>
      </w:r>
      <w:r w:rsidR="00766B06">
        <w:rPr>
          <w:rFonts w:ascii="Arial" w:hAnsi="Arial" w:cs="Arial"/>
          <w:bCs/>
          <w:snapToGrid w:val="0"/>
          <w:sz w:val="22"/>
          <w:szCs w:val="22"/>
          <w:lang w:val="en-GB"/>
        </w:rPr>
        <w:t xml:space="preserve"> RA</w:t>
      </w:r>
      <w:r w:rsidR="0002304F">
        <w:rPr>
          <w:rFonts w:ascii="Arial" w:hAnsi="Arial" w:cs="Arial"/>
          <w:bCs/>
          <w:snapToGrid w:val="0"/>
          <w:sz w:val="22"/>
          <w:szCs w:val="22"/>
          <w:lang w:val="en-GB"/>
        </w:rPr>
        <w:t>.</w:t>
      </w:r>
    </w:p>
    <w:p w:rsidR="006E2AF5" w:rsidRPr="00571296" w:rsidRDefault="006E2AF5" w:rsidP="006E2AF5">
      <w:pPr>
        <w:widowControl w:val="0"/>
        <w:spacing w:after="120"/>
        <w:contextualSpacing/>
        <w:jc w:val="both"/>
        <w:rPr>
          <w:rFonts w:ascii="Arial" w:hAnsi="Arial" w:cs="Arial"/>
          <w:bCs/>
          <w:snapToGrid w:val="0"/>
          <w:sz w:val="22"/>
          <w:szCs w:val="22"/>
          <w:lang w:val="en-GB" w:eastAsia="en-US"/>
        </w:rPr>
      </w:pPr>
    </w:p>
    <w:p w:rsidR="006E2AF5" w:rsidRDefault="006E2AF5" w:rsidP="0002304F">
      <w:pPr>
        <w:widowControl w:val="0"/>
        <w:numPr>
          <w:ilvl w:val="1"/>
          <w:numId w:val="1"/>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noted that the submission proposed that the availability of NEPA as a </w:t>
      </w:r>
      <w:r>
        <w:rPr>
          <w:rFonts w:ascii="Arial" w:hAnsi="Arial" w:cs="Arial"/>
          <w:bCs/>
          <w:snapToGrid w:val="0"/>
          <w:sz w:val="22"/>
          <w:szCs w:val="22"/>
          <w:lang w:val="en-GB" w:eastAsia="en-US"/>
        </w:rPr>
        <w:lastRenderedPageBreak/>
        <w:t xml:space="preserve">fixed dose combination would improve adherence. The PBAC decided it was not satisfied as required by subsection 101(4AC) </w:t>
      </w:r>
      <w:r w:rsidR="0002304F">
        <w:rPr>
          <w:rFonts w:ascii="Arial" w:hAnsi="Arial" w:cs="Arial"/>
          <w:bCs/>
          <w:snapToGrid w:val="0"/>
          <w:sz w:val="22"/>
          <w:szCs w:val="22"/>
          <w:lang w:val="en-GB" w:eastAsia="en-US"/>
        </w:rPr>
        <w:t>of the</w:t>
      </w:r>
      <w:r w:rsidR="0002304F" w:rsidRPr="0002304F">
        <w:t xml:space="preserve"> </w:t>
      </w:r>
      <w:r w:rsidR="0002304F" w:rsidRPr="006A7885">
        <w:rPr>
          <w:rFonts w:ascii="Arial" w:hAnsi="Arial" w:cs="Arial"/>
          <w:bCs/>
          <w:i/>
          <w:snapToGrid w:val="0"/>
          <w:sz w:val="22"/>
          <w:szCs w:val="22"/>
          <w:lang w:val="en-GB" w:eastAsia="en-US"/>
        </w:rPr>
        <w:t>National Health Act 1953</w:t>
      </w:r>
      <w:r w:rsidR="0002304F">
        <w:rPr>
          <w:rFonts w:ascii="Arial" w:hAnsi="Arial" w:cs="Arial"/>
          <w:bCs/>
          <w:snapToGrid w:val="0"/>
          <w:sz w:val="22"/>
          <w:szCs w:val="22"/>
          <w:lang w:val="en-GB" w:eastAsia="en-US"/>
        </w:rPr>
        <w:t xml:space="preserve"> (Act) </w:t>
      </w:r>
      <w:r>
        <w:rPr>
          <w:rFonts w:ascii="Arial" w:hAnsi="Arial" w:cs="Arial"/>
          <w:bCs/>
          <w:snapToGrid w:val="0"/>
          <w:sz w:val="22"/>
          <w:szCs w:val="22"/>
          <w:lang w:val="en-GB" w:eastAsia="en-US"/>
        </w:rPr>
        <w:t>and therefore will not provide advice to the Minister under that section.</w:t>
      </w:r>
    </w:p>
    <w:p w:rsidR="006E2AF5" w:rsidRDefault="006E2AF5" w:rsidP="006E2AF5">
      <w:pPr>
        <w:widowControl w:val="0"/>
        <w:spacing w:after="120"/>
        <w:contextualSpacing/>
        <w:jc w:val="both"/>
        <w:rPr>
          <w:rFonts w:ascii="Arial" w:hAnsi="Arial" w:cs="Arial"/>
          <w:bCs/>
          <w:snapToGrid w:val="0"/>
          <w:sz w:val="22"/>
          <w:szCs w:val="22"/>
          <w:lang w:val="en-GB" w:eastAsia="en-US"/>
        </w:rPr>
      </w:pPr>
    </w:p>
    <w:p w:rsidR="006E2AF5" w:rsidRDefault="006E2AF5" w:rsidP="006E2AF5">
      <w:pPr>
        <w:widowControl w:val="0"/>
        <w:numPr>
          <w:ilvl w:val="1"/>
          <w:numId w:val="1"/>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noted that the submission’s request for NEPA FDC to be listed on the F1 formulary was not a matter for the Committee, however noted Departmental advice that NEPA FDC did not meet the </w:t>
      </w:r>
      <w:r w:rsidR="0002304F">
        <w:rPr>
          <w:rFonts w:ascii="Arial" w:hAnsi="Arial" w:cs="Arial"/>
          <w:bCs/>
          <w:snapToGrid w:val="0"/>
          <w:sz w:val="22"/>
          <w:szCs w:val="22"/>
          <w:lang w:val="en-GB" w:eastAsia="en-US"/>
        </w:rPr>
        <w:t>Act</w:t>
      </w:r>
      <w:r w:rsidR="00955C7D">
        <w:rPr>
          <w:rFonts w:ascii="Arial" w:hAnsi="Arial" w:cs="Arial"/>
          <w:bCs/>
          <w:snapToGrid w:val="0"/>
          <w:sz w:val="22"/>
          <w:szCs w:val="22"/>
          <w:lang w:val="en-GB" w:eastAsia="en-US"/>
        </w:rPr>
        <w:t>’s</w:t>
      </w:r>
      <w:r w:rsidR="0002304F">
        <w:rPr>
          <w:rFonts w:ascii="Arial" w:hAnsi="Arial" w:cs="Arial"/>
          <w:bCs/>
          <w:snapToGrid w:val="0"/>
          <w:sz w:val="22"/>
          <w:szCs w:val="22"/>
          <w:lang w:val="en-GB" w:eastAsia="en-US"/>
        </w:rPr>
        <w:t xml:space="preserve"> </w:t>
      </w:r>
      <w:r>
        <w:rPr>
          <w:rFonts w:ascii="Arial" w:hAnsi="Arial" w:cs="Arial"/>
          <w:bCs/>
          <w:snapToGrid w:val="0"/>
          <w:sz w:val="22"/>
          <w:szCs w:val="22"/>
          <w:lang w:val="en-GB" w:eastAsia="en-US"/>
        </w:rPr>
        <w:t>requirements</w:t>
      </w:r>
      <w:r w:rsidR="00955C7D">
        <w:rPr>
          <w:rFonts w:ascii="Arial" w:hAnsi="Arial" w:cs="Arial"/>
          <w:bCs/>
          <w:snapToGrid w:val="0"/>
          <w:sz w:val="22"/>
          <w:szCs w:val="22"/>
          <w:lang w:val="en-GB" w:eastAsia="en-US"/>
        </w:rPr>
        <w:t xml:space="preserve"> </w:t>
      </w:r>
      <w:r>
        <w:rPr>
          <w:rFonts w:ascii="Arial" w:hAnsi="Arial" w:cs="Arial"/>
          <w:bCs/>
          <w:snapToGrid w:val="0"/>
          <w:sz w:val="22"/>
          <w:szCs w:val="22"/>
          <w:lang w:val="en-GB" w:eastAsia="en-US"/>
        </w:rPr>
        <w:t xml:space="preserve">for inclusion on the F1 formulary. </w:t>
      </w:r>
    </w:p>
    <w:p w:rsidR="005A6432" w:rsidRDefault="005A6432" w:rsidP="005A6432">
      <w:pPr>
        <w:widowControl w:val="0"/>
        <w:spacing w:after="120"/>
        <w:contextualSpacing/>
        <w:jc w:val="both"/>
        <w:rPr>
          <w:rFonts w:ascii="Arial" w:hAnsi="Arial" w:cs="Arial"/>
          <w:bCs/>
          <w:snapToGrid w:val="0"/>
          <w:sz w:val="22"/>
          <w:szCs w:val="22"/>
          <w:lang w:val="en-GB" w:eastAsia="en-US"/>
        </w:rPr>
      </w:pPr>
    </w:p>
    <w:p w:rsidR="005A6432" w:rsidRPr="00132032" w:rsidRDefault="005A6432" w:rsidP="005A6432">
      <w:pPr>
        <w:widowControl w:val="0"/>
        <w:numPr>
          <w:ilvl w:val="1"/>
          <w:numId w:val="1"/>
        </w:numPr>
        <w:contextualSpacing/>
        <w:jc w:val="both"/>
        <w:rPr>
          <w:rFonts w:ascii="Arial" w:hAnsi="Arial" w:cs="Arial"/>
          <w:bCs/>
          <w:snapToGrid w:val="0"/>
          <w:sz w:val="22"/>
          <w:szCs w:val="22"/>
          <w:lang w:val="en-GB"/>
        </w:rPr>
      </w:pPr>
      <w:r w:rsidRPr="00132032">
        <w:rPr>
          <w:rFonts w:ascii="Arial" w:hAnsi="Arial" w:cs="Arial"/>
          <w:bCs/>
          <w:snapToGrid w:val="0"/>
          <w:sz w:val="22"/>
          <w:szCs w:val="22"/>
          <w:lang w:val="en-GB"/>
        </w:rPr>
        <w:t xml:space="preserve">The PBAC advised that </w:t>
      </w:r>
      <w:r w:rsidR="005E2FFE">
        <w:rPr>
          <w:rFonts w:ascii="Arial" w:hAnsi="Arial" w:cs="Arial"/>
          <w:bCs/>
          <w:snapToGrid w:val="0"/>
          <w:sz w:val="22"/>
          <w:szCs w:val="22"/>
          <w:lang w:val="en-GB"/>
        </w:rPr>
        <w:t>NEPA</w:t>
      </w:r>
      <w:r w:rsidRPr="00132032">
        <w:rPr>
          <w:rFonts w:ascii="Arial" w:hAnsi="Arial" w:cs="Arial"/>
          <w:bCs/>
          <w:snapToGrid w:val="0"/>
          <w:sz w:val="22"/>
          <w:szCs w:val="22"/>
          <w:lang w:val="en-GB"/>
        </w:rPr>
        <w:t xml:space="preserve"> is sui</w:t>
      </w:r>
      <w:r w:rsidR="00132032" w:rsidRPr="00132032">
        <w:rPr>
          <w:rFonts w:ascii="Arial" w:hAnsi="Arial" w:cs="Arial"/>
          <w:bCs/>
          <w:snapToGrid w:val="0"/>
          <w:sz w:val="22"/>
          <w:szCs w:val="22"/>
          <w:lang w:val="en-GB"/>
        </w:rPr>
        <w:t>table</w:t>
      </w:r>
      <w:r w:rsidRPr="00132032">
        <w:rPr>
          <w:rFonts w:ascii="Arial" w:hAnsi="Arial" w:cs="Arial"/>
          <w:bCs/>
          <w:snapToGrid w:val="0"/>
          <w:sz w:val="22"/>
          <w:szCs w:val="22"/>
          <w:lang w:val="en-GB"/>
        </w:rPr>
        <w:t xml:space="preserve"> for prescribing by nurse practitioners</w:t>
      </w:r>
      <w:r w:rsidR="00132032" w:rsidRPr="00132032">
        <w:rPr>
          <w:rFonts w:ascii="Arial" w:hAnsi="Arial" w:cs="Arial"/>
          <w:bCs/>
          <w:snapToGrid w:val="0"/>
          <w:sz w:val="22"/>
          <w:szCs w:val="22"/>
          <w:lang w:val="en-GB"/>
        </w:rPr>
        <w:t xml:space="preserve"> under </w:t>
      </w:r>
      <w:r w:rsidR="005E2FFE">
        <w:rPr>
          <w:rFonts w:ascii="Arial" w:hAnsi="Arial" w:cs="Arial"/>
          <w:bCs/>
          <w:snapToGrid w:val="0"/>
          <w:sz w:val="22"/>
          <w:szCs w:val="22"/>
          <w:lang w:val="en-GB"/>
        </w:rPr>
        <w:t xml:space="preserve">the </w:t>
      </w:r>
      <w:r w:rsidR="0002304F">
        <w:rPr>
          <w:rFonts w:ascii="Arial" w:hAnsi="Arial" w:cs="Arial"/>
          <w:bCs/>
          <w:snapToGrid w:val="0"/>
          <w:sz w:val="22"/>
          <w:szCs w:val="22"/>
          <w:lang w:val="en-GB"/>
        </w:rPr>
        <w:t>general schedule</w:t>
      </w:r>
      <w:r w:rsidR="005E2FFE">
        <w:rPr>
          <w:rFonts w:ascii="Arial" w:hAnsi="Arial" w:cs="Arial"/>
          <w:bCs/>
          <w:snapToGrid w:val="0"/>
          <w:sz w:val="22"/>
          <w:szCs w:val="22"/>
          <w:lang w:val="en-GB"/>
        </w:rPr>
        <w:t xml:space="preserve"> li</w:t>
      </w:r>
      <w:r w:rsidR="002E4E09">
        <w:rPr>
          <w:rFonts w:ascii="Arial" w:hAnsi="Arial" w:cs="Arial"/>
          <w:bCs/>
          <w:snapToGrid w:val="0"/>
          <w:sz w:val="22"/>
          <w:szCs w:val="22"/>
          <w:lang w:val="en-GB"/>
        </w:rPr>
        <w:t>sting</w:t>
      </w:r>
      <w:r w:rsidRPr="00132032">
        <w:rPr>
          <w:rFonts w:ascii="Arial" w:hAnsi="Arial" w:cs="Arial"/>
          <w:bCs/>
          <w:snapToGrid w:val="0"/>
          <w:sz w:val="22"/>
          <w:szCs w:val="22"/>
          <w:lang w:val="en-GB"/>
        </w:rPr>
        <w:t xml:space="preserve">.  </w:t>
      </w:r>
    </w:p>
    <w:p w:rsidR="00D16FFC" w:rsidRPr="008A2575" w:rsidRDefault="00D16FFC" w:rsidP="00D16FFC">
      <w:pPr>
        <w:rPr>
          <w:rFonts w:ascii="Arial" w:hAnsi="Arial" w:cs="Arial"/>
          <w:bCs/>
          <w:snapToGrid w:val="0"/>
          <w:sz w:val="22"/>
          <w:szCs w:val="22"/>
          <w:lang w:val="en-GB" w:eastAsia="en-US"/>
        </w:rPr>
      </w:pPr>
    </w:p>
    <w:p w:rsidR="00D16FFC" w:rsidRPr="00D16FFC" w:rsidRDefault="00D16FFC" w:rsidP="00D16FFC">
      <w:pPr>
        <w:widowControl w:val="0"/>
        <w:numPr>
          <w:ilvl w:val="1"/>
          <w:numId w:val="1"/>
        </w:numPr>
        <w:spacing w:after="120"/>
        <w:contextualSpacing/>
        <w:jc w:val="both"/>
        <w:rPr>
          <w:rFonts w:ascii="Arial" w:hAnsi="Arial" w:cs="Arial"/>
          <w:bCs/>
          <w:snapToGrid w:val="0"/>
          <w:sz w:val="22"/>
          <w:szCs w:val="22"/>
          <w:lang w:val="en-GB" w:eastAsia="en-US"/>
        </w:rPr>
      </w:pPr>
      <w:r w:rsidRPr="00D16FFC">
        <w:rPr>
          <w:rFonts w:ascii="Arial" w:hAnsi="Arial" w:cs="Arial"/>
          <w:bCs/>
          <w:snapToGrid w:val="0"/>
          <w:sz w:val="22"/>
          <w:szCs w:val="22"/>
          <w:lang w:val="en-GB" w:eastAsia="en-US"/>
        </w:rPr>
        <w:t xml:space="preserve">The PBAC recommended that the Safety Net 20 Day Rule should not apply. </w:t>
      </w:r>
    </w:p>
    <w:p w:rsidR="00D16FFC" w:rsidRPr="00923937" w:rsidRDefault="00D16FFC" w:rsidP="00DC738B">
      <w:pPr>
        <w:rPr>
          <w:rFonts w:ascii="Arial" w:hAnsi="Arial" w:cs="Arial"/>
          <w:snapToGrid w:val="0"/>
          <w:sz w:val="22"/>
          <w:szCs w:val="22"/>
          <w:highlight w:val="yellow"/>
          <w:lang w:val="en-GB" w:eastAsia="en-US"/>
        </w:rPr>
      </w:pPr>
    </w:p>
    <w:p w:rsidR="00DC738B" w:rsidRDefault="008156FB" w:rsidP="008156FB">
      <w:pPr>
        <w:widowControl w:val="0"/>
        <w:numPr>
          <w:ilvl w:val="1"/>
          <w:numId w:val="1"/>
        </w:numPr>
        <w:spacing w:after="120"/>
        <w:contextualSpacing/>
        <w:jc w:val="both"/>
        <w:rPr>
          <w:rFonts w:ascii="Arial" w:hAnsi="Arial" w:cs="Arial"/>
          <w:bCs/>
          <w:snapToGrid w:val="0"/>
          <w:sz w:val="22"/>
          <w:szCs w:val="22"/>
          <w:lang w:val="en-GB" w:eastAsia="en-US"/>
        </w:rPr>
      </w:pPr>
      <w:r w:rsidRPr="008156FB">
        <w:rPr>
          <w:rFonts w:ascii="Arial" w:hAnsi="Arial" w:cs="Arial"/>
          <w:bCs/>
          <w:snapToGrid w:val="0"/>
          <w:sz w:val="22"/>
          <w:szCs w:val="22"/>
          <w:lang w:val="en-GB" w:eastAsia="en-US"/>
        </w:rPr>
        <w:t>The PBAC noted that this submission is not eligible for an Independent Review.</w:t>
      </w:r>
    </w:p>
    <w:p w:rsidR="008156FB" w:rsidRDefault="008156FB" w:rsidP="00DC738B">
      <w:pPr>
        <w:jc w:val="both"/>
        <w:rPr>
          <w:rFonts w:ascii="Arial" w:hAnsi="Arial" w:cs="Arial"/>
          <w:bCs/>
          <w:snapToGrid w:val="0"/>
          <w:sz w:val="22"/>
          <w:szCs w:val="22"/>
          <w:lang w:val="en-GB"/>
        </w:rPr>
      </w:pPr>
    </w:p>
    <w:p w:rsidR="008156FB" w:rsidRPr="00571296" w:rsidRDefault="008156FB" w:rsidP="00DC738B">
      <w:pPr>
        <w:jc w:val="both"/>
        <w:rPr>
          <w:rFonts w:ascii="Arial" w:hAnsi="Arial" w:cs="Arial"/>
          <w:bCs/>
          <w:snapToGrid w:val="0"/>
          <w:sz w:val="22"/>
          <w:szCs w:val="22"/>
          <w:lang w:val="en-GB" w:eastAsia="en-US"/>
        </w:rPr>
      </w:pPr>
    </w:p>
    <w:p w:rsidR="00DC738B" w:rsidRPr="00571296" w:rsidRDefault="00DC738B" w:rsidP="003619E3">
      <w:pPr>
        <w:pStyle w:val="Heading2"/>
        <w:rPr>
          <w:snapToGrid w:val="0"/>
          <w:lang w:val="en-GB" w:eastAsia="en-US"/>
        </w:rPr>
      </w:pPr>
      <w:r w:rsidRPr="00571296">
        <w:rPr>
          <w:snapToGrid w:val="0"/>
          <w:lang w:val="en-GB" w:eastAsia="en-US"/>
        </w:rPr>
        <w:t>Outcome:</w:t>
      </w:r>
    </w:p>
    <w:p w:rsidR="00DC738B" w:rsidRPr="00571296" w:rsidRDefault="00DC738B" w:rsidP="00DC738B">
      <w:pPr>
        <w:jc w:val="both"/>
        <w:rPr>
          <w:rFonts w:ascii="Arial" w:hAnsi="Arial" w:cs="Arial"/>
          <w:bCs/>
          <w:snapToGrid w:val="0"/>
          <w:sz w:val="22"/>
          <w:szCs w:val="22"/>
          <w:lang w:val="en-GB" w:eastAsia="en-US"/>
        </w:rPr>
      </w:pPr>
      <w:r w:rsidRPr="00571296">
        <w:rPr>
          <w:rFonts w:ascii="Arial" w:hAnsi="Arial" w:cs="Arial"/>
          <w:bCs/>
          <w:snapToGrid w:val="0"/>
          <w:sz w:val="22"/>
          <w:szCs w:val="22"/>
          <w:lang w:val="en-GB" w:eastAsia="en-US"/>
        </w:rPr>
        <w:t>Recommended</w:t>
      </w:r>
    </w:p>
    <w:p w:rsidR="00DC738B" w:rsidRPr="00571296" w:rsidRDefault="00DC738B" w:rsidP="00DC738B">
      <w:pPr>
        <w:jc w:val="both"/>
        <w:rPr>
          <w:rFonts w:ascii="Arial" w:hAnsi="Arial" w:cs="Arial"/>
          <w:bCs/>
          <w:snapToGrid w:val="0"/>
          <w:sz w:val="22"/>
          <w:szCs w:val="22"/>
          <w:lang w:val="en-GB" w:eastAsia="en-US"/>
        </w:rPr>
      </w:pPr>
    </w:p>
    <w:p w:rsidR="00DC738B" w:rsidRPr="002A30C1" w:rsidRDefault="00DC738B" w:rsidP="00DC738B">
      <w:pPr>
        <w:widowControl w:val="0"/>
        <w:tabs>
          <w:tab w:val="left" w:pos="1591"/>
        </w:tabs>
        <w:jc w:val="both"/>
        <w:rPr>
          <w:rFonts w:ascii="Arial" w:hAnsi="Arial" w:cs="Arial"/>
          <w:bCs/>
          <w:snapToGrid w:val="0"/>
          <w:sz w:val="22"/>
          <w:szCs w:val="22"/>
          <w:lang w:eastAsia="en-US"/>
        </w:rPr>
      </w:pPr>
      <w:r w:rsidRPr="002A30C1">
        <w:rPr>
          <w:rFonts w:ascii="Arial" w:hAnsi="Arial" w:cs="Arial"/>
          <w:bCs/>
          <w:snapToGrid w:val="0"/>
          <w:sz w:val="22"/>
          <w:szCs w:val="22"/>
          <w:lang w:eastAsia="en-US"/>
        </w:rPr>
        <w:tab/>
      </w:r>
    </w:p>
    <w:p w:rsidR="00DC738B" w:rsidRPr="002A30C1" w:rsidRDefault="00DC738B" w:rsidP="003619E3">
      <w:pPr>
        <w:pStyle w:val="Heading1"/>
        <w:rPr>
          <w:i/>
          <w:snapToGrid w:val="0"/>
          <w:lang w:val="en-GB" w:eastAsia="en-US"/>
        </w:rPr>
      </w:pPr>
      <w:r w:rsidRPr="002A30C1">
        <w:rPr>
          <w:snapToGrid w:val="0"/>
          <w:lang w:val="en-GB" w:eastAsia="en-US"/>
        </w:rPr>
        <w:t>Recommended listing</w:t>
      </w:r>
    </w:p>
    <w:p w:rsidR="00DC738B" w:rsidRPr="002A30C1" w:rsidRDefault="00DC738B" w:rsidP="00DC738B">
      <w:pPr>
        <w:jc w:val="both"/>
        <w:rPr>
          <w:rFonts w:ascii="Arial" w:hAnsi="Arial" w:cs="Arial"/>
          <w:b/>
          <w:bCs/>
          <w:i/>
          <w:snapToGrid w:val="0"/>
          <w:sz w:val="22"/>
          <w:szCs w:val="22"/>
          <w:lang w:val="en-GB" w:eastAsia="en-US"/>
        </w:rPr>
      </w:pPr>
    </w:p>
    <w:p w:rsidR="00DC738B" w:rsidRPr="002A30C1" w:rsidRDefault="00DC738B" w:rsidP="008C72E3">
      <w:pPr>
        <w:widowControl w:val="0"/>
        <w:numPr>
          <w:ilvl w:val="1"/>
          <w:numId w:val="1"/>
        </w:numPr>
        <w:spacing w:after="120"/>
        <w:contextualSpacing/>
        <w:jc w:val="both"/>
        <w:rPr>
          <w:rFonts w:ascii="Arial" w:hAnsi="Arial" w:cs="Arial"/>
          <w:b/>
          <w:bCs/>
          <w:snapToGrid w:val="0"/>
          <w:sz w:val="22"/>
          <w:szCs w:val="22"/>
          <w:lang w:eastAsia="en-US"/>
        </w:rPr>
      </w:pPr>
      <w:r w:rsidRPr="002A30C1">
        <w:rPr>
          <w:rFonts w:ascii="Arial" w:hAnsi="Arial" w:cs="Arial"/>
          <w:bCs/>
          <w:snapToGrid w:val="0"/>
          <w:sz w:val="22"/>
          <w:szCs w:val="22"/>
          <w:lang w:eastAsia="en-US"/>
        </w:rPr>
        <w:t>Add new item:</w:t>
      </w:r>
    </w:p>
    <w:p w:rsidR="00DC738B" w:rsidRPr="000E195B" w:rsidRDefault="00DC738B" w:rsidP="00DC738B">
      <w:pPr>
        <w:widowControl w:val="0"/>
        <w:jc w:val="both"/>
        <w:rPr>
          <w:rFonts w:ascii="Arial" w:hAnsi="Arial" w:cs="Arial"/>
          <w:b/>
          <w:bCs/>
          <w:snapToGrid w:val="0"/>
          <w:sz w:val="22"/>
          <w:szCs w:val="22"/>
          <w:highlight w:val="yellow"/>
          <w:lang w:eastAsia="en-US"/>
        </w:rPr>
      </w:pPr>
    </w:p>
    <w:tbl>
      <w:tblPr>
        <w:tblW w:w="8363" w:type="dxa"/>
        <w:tblInd w:w="817" w:type="dxa"/>
        <w:tblLayout w:type="fixed"/>
        <w:tblLook w:val="0000" w:firstRow="0" w:lastRow="0" w:firstColumn="0" w:lastColumn="0" w:noHBand="0" w:noVBand="0"/>
        <w:tblCaption w:val="Recommended listing 1"/>
      </w:tblPr>
      <w:tblGrid>
        <w:gridCol w:w="1985"/>
        <w:gridCol w:w="1134"/>
        <w:gridCol w:w="850"/>
        <w:gridCol w:w="709"/>
        <w:gridCol w:w="1275"/>
        <w:gridCol w:w="2127"/>
        <w:gridCol w:w="283"/>
      </w:tblGrid>
      <w:tr w:rsidR="004B16F7" w:rsidRPr="0039782C" w:rsidTr="00C03F77">
        <w:trPr>
          <w:gridAfter w:val="1"/>
          <w:wAfter w:w="283" w:type="dxa"/>
          <w:cantSplit/>
          <w:trHeight w:val="471"/>
        </w:trPr>
        <w:tc>
          <w:tcPr>
            <w:tcW w:w="3119" w:type="dxa"/>
            <w:gridSpan w:val="2"/>
            <w:tcBorders>
              <w:bottom w:val="single" w:sz="4" w:space="0" w:color="auto"/>
            </w:tcBorders>
          </w:tcPr>
          <w:p w:rsidR="004B16F7" w:rsidRPr="0039782C" w:rsidRDefault="004B16F7" w:rsidP="00D73646">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4B16F7" w:rsidRPr="0039782C" w:rsidRDefault="004B16F7" w:rsidP="00D73646">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4B16F7" w:rsidRPr="0039782C" w:rsidRDefault="004B16F7" w:rsidP="00D73646">
            <w:pPr>
              <w:keepNext/>
              <w:ind w:left="-108"/>
              <w:jc w:val="both"/>
              <w:rPr>
                <w:rFonts w:ascii="Arial Narrow" w:hAnsi="Arial Narrow" w:cs="Arial"/>
                <w:b/>
                <w:sz w:val="20"/>
                <w:szCs w:val="20"/>
              </w:rPr>
            </w:pPr>
            <w:r w:rsidRPr="0039782C">
              <w:rPr>
                <w:rFonts w:ascii="Arial Narrow" w:hAnsi="Arial Narrow" w:cs="Arial"/>
                <w:b/>
                <w:sz w:val="20"/>
                <w:szCs w:val="20"/>
              </w:rPr>
              <w:t>Max.</w:t>
            </w:r>
          </w:p>
          <w:p w:rsidR="004B16F7" w:rsidRPr="0039782C" w:rsidRDefault="004B16F7" w:rsidP="00D73646">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4B16F7" w:rsidRPr="0039782C" w:rsidRDefault="004B16F7" w:rsidP="00D73646">
            <w:pPr>
              <w:keepNext/>
              <w:ind w:left="-108"/>
              <w:jc w:val="both"/>
              <w:rPr>
                <w:rFonts w:ascii="Arial Narrow" w:hAnsi="Arial Narrow" w:cs="Arial"/>
                <w:b/>
                <w:sz w:val="20"/>
                <w:szCs w:val="20"/>
              </w:rPr>
            </w:pPr>
            <w:r w:rsidRPr="0039782C">
              <w:rPr>
                <w:rFonts w:ascii="Arial Narrow" w:hAnsi="Arial Narrow" w:cs="Arial"/>
                <w:b/>
                <w:sz w:val="20"/>
                <w:szCs w:val="20"/>
              </w:rPr>
              <w:t>№.of</w:t>
            </w:r>
          </w:p>
          <w:p w:rsidR="004B16F7" w:rsidRPr="0039782C" w:rsidRDefault="004B16F7" w:rsidP="00D73646">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402" w:type="dxa"/>
            <w:gridSpan w:val="2"/>
            <w:tcBorders>
              <w:bottom w:val="single" w:sz="4" w:space="0" w:color="auto"/>
            </w:tcBorders>
          </w:tcPr>
          <w:p w:rsidR="004B16F7" w:rsidRPr="0039782C" w:rsidRDefault="004B16F7" w:rsidP="00D73646">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B16F7" w:rsidRPr="00260CE3" w:rsidTr="00C03F77">
        <w:trPr>
          <w:gridAfter w:val="1"/>
          <w:wAfter w:w="283" w:type="dxa"/>
          <w:cantSplit/>
          <w:trHeight w:val="577"/>
        </w:trPr>
        <w:tc>
          <w:tcPr>
            <w:tcW w:w="3119" w:type="dxa"/>
            <w:gridSpan w:val="2"/>
          </w:tcPr>
          <w:p w:rsidR="004B16F7" w:rsidRDefault="004B16F7" w:rsidP="00D73646">
            <w:pPr>
              <w:keepNext/>
              <w:ind w:left="-108"/>
              <w:rPr>
                <w:rFonts w:ascii="Arial Narrow" w:hAnsi="Arial Narrow"/>
                <w:smallCaps/>
                <w:sz w:val="20"/>
              </w:rPr>
            </w:pPr>
            <w:r>
              <w:rPr>
                <w:rFonts w:ascii="Arial Narrow" w:hAnsi="Arial Narrow"/>
                <w:smallCaps/>
                <w:sz w:val="20"/>
              </w:rPr>
              <w:t>General Schedule</w:t>
            </w:r>
          </w:p>
          <w:p w:rsidR="004B16F7" w:rsidRPr="00260CE3" w:rsidRDefault="004B16F7" w:rsidP="00D73646">
            <w:pPr>
              <w:keepNext/>
              <w:ind w:left="-108"/>
              <w:rPr>
                <w:rFonts w:ascii="Arial Narrow" w:hAnsi="Arial Narrow"/>
                <w:sz w:val="20"/>
              </w:rPr>
            </w:pPr>
            <w:r>
              <w:rPr>
                <w:rFonts w:ascii="Arial Narrow" w:hAnsi="Arial Narrow"/>
                <w:smallCaps/>
                <w:sz w:val="20"/>
              </w:rPr>
              <w:t>NETUPITANT with PALONOSETRON</w:t>
            </w:r>
          </w:p>
          <w:p w:rsidR="004B16F7" w:rsidRDefault="004B16F7" w:rsidP="00D73646">
            <w:pPr>
              <w:keepNext/>
              <w:ind w:left="-108"/>
              <w:rPr>
                <w:rFonts w:ascii="Arial Narrow" w:hAnsi="Arial Narrow"/>
                <w:sz w:val="20"/>
              </w:rPr>
            </w:pPr>
            <w:r>
              <w:rPr>
                <w:rFonts w:ascii="Arial Narrow" w:hAnsi="Arial Narrow"/>
                <w:sz w:val="20"/>
              </w:rPr>
              <w:t>Capsule 300 mg + 0.5 mg, 1</w:t>
            </w:r>
          </w:p>
          <w:p w:rsidR="004B16F7" w:rsidRDefault="004B16F7" w:rsidP="00D73646">
            <w:pPr>
              <w:keepNext/>
              <w:ind w:left="-108"/>
              <w:rPr>
                <w:rFonts w:ascii="Arial Narrow" w:hAnsi="Arial Narrow"/>
                <w:sz w:val="20"/>
              </w:rPr>
            </w:pPr>
            <w:r>
              <w:rPr>
                <w:rFonts w:ascii="Arial Narrow" w:hAnsi="Arial Narrow"/>
                <w:sz w:val="20"/>
              </w:rPr>
              <w:t>S</w:t>
            </w:r>
            <w:r w:rsidRPr="00F76C4E">
              <w:rPr>
                <w:rFonts w:ascii="Arial Narrow" w:hAnsi="Arial Narrow"/>
                <w:sz w:val="18"/>
              </w:rPr>
              <w:t>ECTION</w:t>
            </w:r>
            <w:r>
              <w:rPr>
                <w:rFonts w:ascii="Arial Narrow" w:hAnsi="Arial Narrow"/>
                <w:sz w:val="20"/>
              </w:rPr>
              <w:t xml:space="preserve"> 100 (C</w:t>
            </w:r>
            <w:r w:rsidRPr="00F76C4E">
              <w:rPr>
                <w:rFonts w:ascii="Arial Narrow" w:hAnsi="Arial Narrow"/>
                <w:sz w:val="18"/>
              </w:rPr>
              <w:t>HEMOTHERAPY</w:t>
            </w:r>
            <w:r>
              <w:rPr>
                <w:rFonts w:ascii="Arial Narrow" w:hAnsi="Arial Narrow"/>
                <w:sz w:val="20"/>
              </w:rPr>
              <w:t>)</w:t>
            </w:r>
          </w:p>
          <w:p w:rsidR="004B16F7" w:rsidRDefault="004B16F7" w:rsidP="00D73646">
            <w:pPr>
              <w:keepNext/>
              <w:ind w:left="-108"/>
              <w:rPr>
                <w:rFonts w:ascii="Arial Narrow" w:hAnsi="Arial Narrow"/>
                <w:sz w:val="20"/>
              </w:rPr>
            </w:pPr>
            <w:r>
              <w:rPr>
                <w:rFonts w:ascii="Arial Narrow" w:hAnsi="Arial Narrow"/>
                <w:sz w:val="20"/>
              </w:rPr>
              <w:t xml:space="preserve">NETUPITANT </w:t>
            </w:r>
            <w:r w:rsidRPr="00F76C4E">
              <w:rPr>
                <w:rFonts w:ascii="Arial Narrow" w:hAnsi="Arial Narrow"/>
                <w:sz w:val="16"/>
                <w:szCs w:val="16"/>
              </w:rPr>
              <w:t>WITH</w:t>
            </w:r>
            <w:r>
              <w:rPr>
                <w:rFonts w:ascii="Arial Narrow" w:hAnsi="Arial Narrow"/>
                <w:sz w:val="20"/>
              </w:rPr>
              <w:t xml:space="preserve"> PALONOSETRON</w:t>
            </w:r>
          </w:p>
          <w:p w:rsidR="004B16F7" w:rsidRPr="00260CE3" w:rsidRDefault="004B16F7" w:rsidP="00D73646">
            <w:pPr>
              <w:keepNext/>
              <w:ind w:left="-108"/>
              <w:jc w:val="both"/>
              <w:rPr>
                <w:rFonts w:ascii="Arial Narrow" w:hAnsi="Arial Narrow" w:cs="Arial"/>
                <w:sz w:val="20"/>
                <w:szCs w:val="20"/>
              </w:rPr>
            </w:pPr>
            <w:r>
              <w:rPr>
                <w:rFonts w:ascii="Arial Narrow" w:hAnsi="Arial Narrow"/>
                <w:sz w:val="20"/>
              </w:rPr>
              <w:t>Capsule 300 mg + 0.5 mg, 1</w:t>
            </w:r>
          </w:p>
        </w:tc>
        <w:tc>
          <w:tcPr>
            <w:tcW w:w="850" w:type="dxa"/>
          </w:tcPr>
          <w:p w:rsidR="004B16F7" w:rsidRDefault="004B16F7" w:rsidP="00D73646">
            <w:pPr>
              <w:keepNext/>
              <w:ind w:left="-108"/>
              <w:jc w:val="both"/>
              <w:rPr>
                <w:rFonts w:ascii="Arial Narrow" w:hAnsi="Arial Narrow" w:cs="Arial"/>
                <w:sz w:val="20"/>
                <w:szCs w:val="20"/>
              </w:rPr>
            </w:pPr>
          </w:p>
          <w:p w:rsidR="004B16F7" w:rsidRDefault="004B16F7" w:rsidP="00D73646">
            <w:pPr>
              <w:keepNext/>
              <w:ind w:left="-108"/>
              <w:jc w:val="both"/>
              <w:rPr>
                <w:rFonts w:ascii="Arial Narrow" w:hAnsi="Arial Narrow" w:cs="Arial"/>
                <w:sz w:val="20"/>
                <w:szCs w:val="20"/>
              </w:rPr>
            </w:pPr>
            <w:r>
              <w:rPr>
                <w:rFonts w:ascii="Arial Narrow" w:hAnsi="Arial Narrow" w:cs="Arial"/>
                <w:sz w:val="20"/>
                <w:szCs w:val="20"/>
              </w:rPr>
              <w:t>1</w:t>
            </w:r>
          </w:p>
          <w:p w:rsidR="004B16F7" w:rsidRDefault="004B16F7" w:rsidP="00D73646">
            <w:pPr>
              <w:keepNext/>
              <w:ind w:left="-108"/>
              <w:jc w:val="both"/>
              <w:rPr>
                <w:rFonts w:ascii="Arial Narrow" w:hAnsi="Arial Narrow" w:cs="Arial"/>
                <w:sz w:val="20"/>
                <w:szCs w:val="20"/>
              </w:rPr>
            </w:pPr>
          </w:p>
          <w:p w:rsidR="004B16F7" w:rsidRDefault="004B16F7" w:rsidP="00D73646">
            <w:pPr>
              <w:keepNext/>
              <w:ind w:left="-108"/>
              <w:jc w:val="both"/>
              <w:rPr>
                <w:rFonts w:ascii="Arial Narrow" w:hAnsi="Arial Narrow" w:cs="Arial"/>
                <w:sz w:val="20"/>
                <w:szCs w:val="20"/>
              </w:rPr>
            </w:pPr>
          </w:p>
          <w:p w:rsidR="004B16F7" w:rsidRPr="00260CE3" w:rsidRDefault="004B16F7" w:rsidP="00D73646">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4B16F7" w:rsidRDefault="004B16F7" w:rsidP="00D73646">
            <w:pPr>
              <w:keepNext/>
              <w:ind w:left="-108"/>
              <w:jc w:val="both"/>
              <w:rPr>
                <w:rFonts w:ascii="Arial Narrow" w:hAnsi="Arial Narrow" w:cs="Arial"/>
                <w:sz w:val="20"/>
                <w:szCs w:val="20"/>
              </w:rPr>
            </w:pPr>
          </w:p>
          <w:p w:rsidR="004B16F7" w:rsidRDefault="004B16F7" w:rsidP="00D73646">
            <w:pPr>
              <w:keepNext/>
              <w:ind w:left="-108"/>
              <w:jc w:val="both"/>
              <w:rPr>
                <w:rFonts w:ascii="Arial Narrow" w:hAnsi="Arial Narrow" w:cs="Arial"/>
                <w:sz w:val="20"/>
                <w:szCs w:val="20"/>
              </w:rPr>
            </w:pPr>
            <w:r>
              <w:rPr>
                <w:rFonts w:ascii="Arial Narrow" w:hAnsi="Arial Narrow" w:cs="Arial"/>
                <w:sz w:val="20"/>
                <w:szCs w:val="20"/>
              </w:rPr>
              <w:t>5</w:t>
            </w:r>
          </w:p>
          <w:p w:rsidR="004B16F7" w:rsidRDefault="004B16F7" w:rsidP="00D73646">
            <w:pPr>
              <w:keepNext/>
              <w:ind w:left="-108"/>
              <w:jc w:val="both"/>
              <w:rPr>
                <w:rFonts w:ascii="Arial Narrow" w:hAnsi="Arial Narrow" w:cs="Arial"/>
                <w:sz w:val="20"/>
                <w:szCs w:val="20"/>
              </w:rPr>
            </w:pPr>
          </w:p>
          <w:p w:rsidR="004B16F7" w:rsidRDefault="004B16F7" w:rsidP="00D73646">
            <w:pPr>
              <w:keepNext/>
              <w:ind w:left="-108"/>
              <w:jc w:val="both"/>
              <w:rPr>
                <w:rFonts w:ascii="Arial Narrow" w:hAnsi="Arial Narrow" w:cs="Arial"/>
                <w:sz w:val="20"/>
                <w:szCs w:val="20"/>
              </w:rPr>
            </w:pPr>
          </w:p>
          <w:p w:rsidR="004B16F7" w:rsidRPr="00260CE3" w:rsidRDefault="004B16F7" w:rsidP="00D73646">
            <w:pPr>
              <w:keepNext/>
              <w:ind w:left="-108"/>
              <w:jc w:val="both"/>
              <w:rPr>
                <w:rFonts w:ascii="Arial Narrow" w:hAnsi="Arial Narrow" w:cs="Arial"/>
                <w:sz w:val="20"/>
                <w:szCs w:val="20"/>
              </w:rPr>
            </w:pPr>
            <w:r>
              <w:rPr>
                <w:rFonts w:ascii="Arial Narrow" w:hAnsi="Arial Narrow" w:cs="Arial"/>
                <w:sz w:val="20"/>
                <w:szCs w:val="20"/>
              </w:rPr>
              <w:t>5</w:t>
            </w:r>
          </w:p>
        </w:tc>
        <w:tc>
          <w:tcPr>
            <w:tcW w:w="1275" w:type="dxa"/>
          </w:tcPr>
          <w:p w:rsidR="004B16F7" w:rsidRDefault="004B16F7" w:rsidP="00D73646">
            <w:pPr>
              <w:keepNext/>
              <w:jc w:val="both"/>
              <w:rPr>
                <w:rFonts w:ascii="Arial Narrow" w:hAnsi="Arial Narrow" w:cs="Arial"/>
                <w:sz w:val="20"/>
                <w:szCs w:val="20"/>
              </w:rPr>
            </w:pPr>
          </w:p>
          <w:p w:rsidR="004B16F7" w:rsidRPr="00260CE3" w:rsidRDefault="004B16F7" w:rsidP="00D73646">
            <w:pPr>
              <w:keepNext/>
              <w:jc w:val="both"/>
              <w:rPr>
                <w:rFonts w:ascii="Arial Narrow" w:hAnsi="Arial Narrow" w:cs="Arial"/>
                <w:sz w:val="20"/>
                <w:szCs w:val="20"/>
              </w:rPr>
            </w:pPr>
            <w:r>
              <w:rPr>
                <w:rFonts w:ascii="Arial Narrow" w:hAnsi="Arial Narrow" w:cs="Arial"/>
                <w:sz w:val="20"/>
                <w:szCs w:val="20"/>
              </w:rPr>
              <w:t>Akynzeo</w:t>
            </w:r>
            <w:r w:rsidRPr="00E90C0E">
              <w:rPr>
                <w:rFonts w:ascii="Arial Narrow" w:hAnsi="Arial Narrow"/>
                <w:sz w:val="20"/>
                <w:vertAlign w:val="superscript"/>
              </w:rPr>
              <w:t>®</w:t>
            </w:r>
          </w:p>
        </w:tc>
        <w:tc>
          <w:tcPr>
            <w:tcW w:w="2127" w:type="dxa"/>
          </w:tcPr>
          <w:p w:rsidR="004B16F7" w:rsidRDefault="004B16F7" w:rsidP="00D73646">
            <w:pPr>
              <w:keepNext/>
              <w:jc w:val="both"/>
              <w:rPr>
                <w:rFonts w:ascii="Arial Narrow" w:hAnsi="Arial Narrow" w:cs="Arial"/>
                <w:sz w:val="20"/>
                <w:szCs w:val="20"/>
              </w:rPr>
            </w:pPr>
          </w:p>
          <w:p w:rsidR="004B16F7" w:rsidRPr="00260CE3" w:rsidRDefault="004B16F7" w:rsidP="00D73646">
            <w:pPr>
              <w:keepNext/>
              <w:jc w:val="both"/>
              <w:rPr>
                <w:rFonts w:ascii="Arial Narrow" w:hAnsi="Arial Narrow" w:cs="Arial"/>
                <w:sz w:val="20"/>
                <w:szCs w:val="20"/>
              </w:rPr>
            </w:pPr>
            <w:r>
              <w:rPr>
                <w:rFonts w:ascii="Arial Narrow" w:hAnsi="Arial Narrow" w:cs="Arial"/>
                <w:sz w:val="20"/>
                <w:szCs w:val="20"/>
              </w:rPr>
              <w:t>STA</w:t>
            </w:r>
          </w:p>
        </w:tc>
      </w:tr>
      <w:tr w:rsidR="004B16F7" w:rsidRPr="00260CE3" w:rsidTr="00C03F77">
        <w:trPr>
          <w:cantSplit/>
          <w:trHeight w:val="360"/>
        </w:trPr>
        <w:tc>
          <w:tcPr>
            <w:tcW w:w="8363" w:type="dxa"/>
            <w:gridSpan w:val="7"/>
            <w:tcBorders>
              <w:bottom w:val="single" w:sz="4" w:space="0" w:color="auto"/>
            </w:tcBorders>
          </w:tcPr>
          <w:p w:rsidR="004B16F7" w:rsidRPr="00260CE3" w:rsidRDefault="004B16F7" w:rsidP="00D73646">
            <w:pPr>
              <w:jc w:val="both"/>
              <w:rPr>
                <w:rFonts w:ascii="Arial Narrow" w:hAnsi="Arial Narrow" w:cs="Arial"/>
                <w:sz w:val="20"/>
                <w:szCs w:val="20"/>
              </w:rPr>
            </w:pP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260CE3" w:rsidRDefault="004B16F7" w:rsidP="00D73646">
            <w:pPr>
              <w:jc w:val="both"/>
              <w:rPr>
                <w:rFonts w:ascii="Arial Narrow" w:hAnsi="Arial Narrow" w:cs="Arial"/>
                <w:b/>
                <w:sz w:val="20"/>
                <w:szCs w:val="20"/>
              </w:rPr>
            </w:pPr>
            <w:r w:rsidRPr="00260CE3">
              <w:rPr>
                <w:rFonts w:ascii="Arial Narrow" w:hAnsi="Arial Narrow" w:cs="Arial"/>
                <w:b/>
                <w:sz w:val="20"/>
                <w:szCs w:val="20"/>
              </w:rPr>
              <w:t xml:space="preserve">Category / </w:t>
            </w:r>
          </w:p>
          <w:p w:rsidR="004B16F7" w:rsidRPr="00260CE3" w:rsidRDefault="004B16F7" w:rsidP="00D73646">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4B16F7" w:rsidRPr="00260CE3" w:rsidRDefault="004B16F7" w:rsidP="00D73646">
            <w:pPr>
              <w:rPr>
                <w:rFonts w:ascii="Arial Narrow" w:hAnsi="Arial Narrow" w:cs="Arial"/>
                <w:sz w:val="20"/>
                <w:szCs w:val="20"/>
              </w:rPr>
            </w:pPr>
            <w:r w:rsidRPr="00260CE3">
              <w:rPr>
                <w:rFonts w:ascii="Arial Narrow" w:hAnsi="Arial Narrow" w:cs="Arial"/>
                <w:sz w:val="20"/>
                <w:szCs w:val="20"/>
              </w:rPr>
              <w:t>GENERAL – General Schedule (Code GE)</w:t>
            </w:r>
            <w:r>
              <w:rPr>
                <w:rFonts w:ascii="Arial Narrow" w:hAnsi="Arial Narrow" w:cs="Arial"/>
                <w:sz w:val="20"/>
                <w:szCs w:val="20"/>
              </w:rPr>
              <w:t>*</w:t>
            </w:r>
          </w:p>
          <w:p w:rsidR="004B16F7" w:rsidRPr="00260CE3" w:rsidRDefault="004B16F7" w:rsidP="00D73646">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Chemotherapy related benefits</w:t>
            </w: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260CE3" w:rsidRDefault="004B16F7" w:rsidP="00D73646">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4B16F7" w:rsidRPr="00260CE3" w:rsidRDefault="004B16F7" w:rsidP="00D736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Nurse practitioners</w:t>
            </w:r>
            <w:r>
              <w:rPr>
                <w:rFonts w:ascii="Arial Narrow" w:hAnsi="Arial Narrow" w:cs="Arial"/>
                <w:sz w:val="20"/>
                <w:szCs w:val="20"/>
              </w:rPr>
              <w:t>*</w:t>
            </w:r>
            <w:r w:rsidRPr="00260CE3">
              <w:rPr>
                <w:rFonts w:ascii="Arial Narrow" w:hAnsi="Arial Narrow" w:cs="Arial"/>
                <w:sz w:val="20"/>
                <w:szCs w:val="20"/>
              </w:rPr>
              <w:t xml:space="preserve">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B16F7" w:rsidRPr="00260CE3" w:rsidRDefault="004B16F7" w:rsidP="00D7364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260CE3" w:rsidRDefault="004B16F7" w:rsidP="00D73646">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4B16F7" w:rsidRPr="00407DB2" w:rsidRDefault="004B16F7" w:rsidP="00D73646">
            <w:pPr>
              <w:keepNext/>
              <w:rPr>
                <w:rFonts w:ascii="Arial Narrow" w:hAnsi="Arial Narrow"/>
                <w:sz w:val="20"/>
              </w:rPr>
            </w:pPr>
            <w:r w:rsidRPr="00407DB2">
              <w:rPr>
                <w:rFonts w:ascii="Arial Narrow" w:hAnsi="Arial Narrow"/>
                <w:sz w:val="20"/>
              </w:rPr>
              <w:t>Nausea and vomiting</w:t>
            </w: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260CE3" w:rsidRDefault="004B16F7" w:rsidP="00D73646">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4B16F7" w:rsidRPr="00407DB2" w:rsidRDefault="004B16F7" w:rsidP="00D73646">
            <w:pPr>
              <w:keepNext/>
              <w:rPr>
                <w:rFonts w:ascii="Arial Narrow" w:hAnsi="Arial Narrow"/>
                <w:sz w:val="20"/>
              </w:rPr>
            </w:pPr>
            <w:r w:rsidRPr="00407DB2">
              <w:rPr>
                <w:rFonts w:ascii="Arial Narrow" w:hAnsi="Arial Narrow"/>
                <w:sz w:val="20"/>
              </w:rPr>
              <w:t>Nausea and vomiting</w:t>
            </w: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260CE3" w:rsidRDefault="004B16F7" w:rsidP="00D73646">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4B16F7" w:rsidRPr="00260CE3" w:rsidRDefault="004B16F7" w:rsidP="00D73646">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4B16F7" w:rsidRPr="00106BCF" w:rsidRDefault="004B16F7" w:rsidP="00D73646">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4B16F7" w:rsidRPr="00106BCF" w:rsidRDefault="004B16F7" w:rsidP="00D7364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4B16F7" w:rsidRPr="00106BCF" w:rsidRDefault="004B16F7" w:rsidP="00D73646">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4B16F7" w:rsidRPr="00106BCF" w:rsidRDefault="004B16F7" w:rsidP="00D7364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4B16F7" w:rsidRPr="00106BCF" w:rsidRDefault="004B16F7" w:rsidP="00D7364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B16F7" w:rsidRPr="00260CE3" w:rsidRDefault="004B16F7" w:rsidP="00D7364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D54AFF" w:rsidRDefault="004B16F7" w:rsidP="00D73646">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4B16F7" w:rsidRPr="00407DB2" w:rsidRDefault="004B16F7" w:rsidP="00D73646">
            <w:pPr>
              <w:pStyle w:val="Default"/>
              <w:keepNext/>
              <w:rPr>
                <w:rFonts w:ascii="Arial Narrow" w:hAnsi="Arial Narrow"/>
                <w:sz w:val="20"/>
                <w:szCs w:val="20"/>
              </w:rPr>
            </w:pPr>
            <w:r w:rsidRPr="00407DB2">
              <w:rPr>
                <w:rFonts w:ascii="Arial Narrow" w:hAnsi="Arial Narrow"/>
                <w:sz w:val="20"/>
                <w:szCs w:val="20"/>
              </w:rPr>
              <w:t>The condition must be associated with cytotoxic chemotherapy being used to treat malignancy;</w:t>
            </w:r>
          </w:p>
          <w:p w:rsidR="004B16F7" w:rsidRPr="00407DB2" w:rsidRDefault="004B16F7" w:rsidP="00D73646">
            <w:pPr>
              <w:pStyle w:val="Default"/>
              <w:keepNext/>
              <w:rPr>
                <w:rFonts w:ascii="Arial Narrow" w:hAnsi="Arial Narrow"/>
                <w:b/>
                <w:bCs/>
                <w:sz w:val="20"/>
                <w:szCs w:val="20"/>
              </w:rPr>
            </w:pPr>
            <w:r w:rsidRPr="00407DB2">
              <w:rPr>
                <w:rFonts w:ascii="Arial Narrow" w:hAnsi="Arial Narrow"/>
                <w:b/>
                <w:bCs/>
                <w:sz w:val="20"/>
                <w:szCs w:val="20"/>
              </w:rPr>
              <w:t xml:space="preserve">AND </w:t>
            </w:r>
          </w:p>
          <w:p w:rsidR="004B16F7" w:rsidRPr="00407DB2" w:rsidRDefault="004B16F7" w:rsidP="00D73646">
            <w:pPr>
              <w:pStyle w:val="Default"/>
              <w:keepNext/>
              <w:rPr>
                <w:rFonts w:ascii="Arial Narrow" w:hAnsi="Arial Narrow"/>
                <w:sz w:val="20"/>
                <w:szCs w:val="20"/>
              </w:rPr>
            </w:pPr>
            <w:r w:rsidRPr="00407DB2">
              <w:rPr>
                <w:rFonts w:ascii="Arial Narrow" w:hAnsi="Arial Narrow"/>
                <w:sz w:val="20"/>
                <w:szCs w:val="20"/>
              </w:rPr>
              <w:t>The treatment must be in combination with dexamethasone;</w:t>
            </w:r>
          </w:p>
          <w:p w:rsidR="004B16F7" w:rsidRPr="00407DB2" w:rsidRDefault="004B16F7" w:rsidP="00D73646">
            <w:pPr>
              <w:pStyle w:val="Default"/>
              <w:keepNext/>
              <w:rPr>
                <w:rFonts w:ascii="Arial Narrow" w:hAnsi="Arial Narrow"/>
                <w:b/>
                <w:bCs/>
                <w:sz w:val="20"/>
                <w:szCs w:val="20"/>
              </w:rPr>
            </w:pPr>
            <w:r w:rsidRPr="00407DB2">
              <w:rPr>
                <w:rFonts w:ascii="Arial Narrow" w:hAnsi="Arial Narrow"/>
                <w:b/>
                <w:bCs/>
                <w:sz w:val="20"/>
                <w:szCs w:val="20"/>
              </w:rPr>
              <w:t xml:space="preserve">AND </w:t>
            </w:r>
          </w:p>
          <w:p w:rsidR="004B16F7" w:rsidRPr="00260CE3" w:rsidRDefault="004B16F7" w:rsidP="00D73646">
            <w:pPr>
              <w:rPr>
                <w:rFonts w:ascii="Arial Narrow" w:hAnsi="Arial Narrow" w:cs="Arial"/>
                <w:sz w:val="20"/>
                <w:szCs w:val="20"/>
              </w:rPr>
            </w:pPr>
            <w:r w:rsidRPr="00407DB2">
              <w:rPr>
                <w:rFonts w:ascii="Arial Narrow" w:hAnsi="Arial Narrow"/>
                <w:sz w:val="20"/>
                <w:szCs w:val="20"/>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D54AFF" w:rsidRDefault="004B16F7" w:rsidP="00D73646">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4B16F7" w:rsidRPr="00407DB2" w:rsidRDefault="004B16F7" w:rsidP="00D73646">
            <w:pPr>
              <w:pStyle w:val="Default"/>
              <w:keepNext/>
              <w:rPr>
                <w:rFonts w:ascii="Arial Narrow" w:hAnsi="Arial Narrow"/>
                <w:sz w:val="20"/>
              </w:rPr>
            </w:pPr>
            <w:r w:rsidRPr="00407DB2">
              <w:rPr>
                <w:rFonts w:ascii="Arial Narrow" w:hAnsi="Arial Narrow"/>
                <w:sz w:val="20"/>
                <w:szCs w:val="20"/>
              </w:rPr>
              <w:t>No more than 1 capsule of 300</w:t>
            </w:r>
            <w:r>
              <w:rPr>
                <w:rFonts w:ascii="Arial Narrow" w:hAnsi="Arial Narrow"/>
                <w:sz w:val="20"/>
                <w:szCs w:val="20"/>
              </w:rPr>
              <w:t xml:space="preserve"> </w:t>
            </w:r>
            <w:r w:rsidRPr="00407DB2">
              <w:rPr>
                <w:rFonts w:ascii="Arial Narrow" w:hAnsi="Arial Narrow"/>
                <w:sz w:val="20"/>
                <w:szCs w:val="20"/>
              </w:rPr>
              <w:t>mg netupitant/0.5</w:t>
            </w:r>
            <w:r>
              <w:rPr>
                <w:rFonts w:ascii="Arial Narrow" w:hAnsi="Arial Narrow"/>
                <w:sz w:val="20"/>
                <w:szCs w:val="20"/>
              </w:rPr>
              <w:t xml:space="preserve"> </w:t>
            </w:r>
            <w:r w:rsidRPr="00407DB2">
              <w:rPr>
                <w:rFonts w:ascii="Arial Narrow" w:hAnsi="Arial Narrow"/>
                <w:sz w:val="20"/>
                <w:szCs w:val="20"/>
              </w:rPr>
              <w:t>mg palonosetron fixed dose combination will be authorised per cycle of cytotoxic chemotherapy.</w:t>
            </w:r>
          </w:p>
        </w:tc>
      </w:tr>
      <w:tr w:rsidR="004B16F7" w:rsidRPr="00260CE3" w:rsidTr="00C03F77">
        <w:trPr>
          <w:cantSplit/>
          <w:trHeight w:val="360"/>
        </w:trPr>
        <w:tc>
          <w:tcPr>
            <w:tcW w:w="1985" w:type="dxa"/>
            <w:tcBorders>
              <w:top w:val="single" w:sz="4" w:space="0" w:color="auto"/>
              <w:left w:val="single" w:sz="4" w:space="0" w:color="auto"/>
              <w:bottom w:val="single" w:sz="4" w:space="0" w:color="auto"/>
              <w:right w:val="single" w:sz="4" w:space="0" w:color="auto"/>
            </w:tcBorders>
          </w:tcPr>
          <w:p w:rsidR="004B16F7" w:rsidRPr="00D54AFF" w:rsidRDefault="004B16F7" w:rsidP="00D73646">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4B16F7" w:rsidRPr="00D54AFF" w:rsidRDefault="004B16F7" w:rsidP="00D73646">
            <w:pPr>
              <w:rPr>
                <w:rFonts w:ascii="Arial Narrow" w:hAnsi="Arial Narrow"/>
                <w:sz w:val="20"/>
              </w:rPr>
            </w:pPr>
            <w:r w:rsidRPr="00D54AFF">
              <w:rPr>
                <w:rFonts w:ascii="Arial Narrow" w:hAnsi="Arial Narrow"/>
                <w:sz w:val="20"/>
              </w:rPr>
              <w:t xml:space="preserve">No increase in the maximum quantity or number of units may be authorised. </w:t>
            </w:r>
          </w:p>
          <w:p w:rsidR="004B16F7" w:rsidRPr="00D54AFF" w:rsidRDefault="004B16F7" w:rsidP="00D73646">
            <w:pPr>
              <w:rPr>
                <w:rFonts w:ascii="Arial Narrow" w:hAnsi="Arial Narrow"/>
                <w:sz w:val="20"/>
              </w:rPr>
            </w:pPr>
            <w:r w:rsidRPr="00D54AFF">
              <w:rPr>
                <w:rFonts w:ascii="Arial Narrow" w:hAnsi="Arial Narrow"/>
                <w:sz w:val="20"/>
              </w:rPr>
              <w:t xml:space="preserve">No Increase in the maximum number of repeats may be authorised. </w:t>
            </w:r>
          </w:p>
          <w:p w:rsidR="004B16F7" w:rsidRPr="00260CE3" w:rsidRDefault="004B16F7" w:rsidP="00D73646">
            <w:pPr>
              <w:rPr>
                <w:rFonts w:ascii="Arial Narrow" w:hAnsi="Arial Narrow" w:cs="Arial"/>
                <w:sz w:val="20"/>
                <w:szCs w:val="20"/>
              </w:rPr>
            </w:pPr>
            <w:r w:rsidRPr="00D54AFF">
              <w:rPr>
                <w:rFonts w:ascii="Arial Narrow" w:hAnsi="Arial Narrow"/>
                <w:sz w:val="20"/>
              </w:rPr>
              <w:t>This medicine is not PBS-subsidised for nausea and vomiting associated with radiotherapy being used to treat malignancy.</w:t>
            </w:r>
          </w:p>
        </w:tc>
      </w:tr>
    </w:tbl>
    <w:p w:rsidR="00DC738B" w:rsidRDefault="00DC738B" w:rsidP="00DC738B">
      <w:pPr>
        <w:ind w:left="720"/>
        <w:jc w:val="both"/>
        <w:rPr>
          <w:rFonts w:ascii="Arial" w:hAnsi="Arial" w:cs="Arial"/>
          <w:b/>
          <w:sz w:val="22"/>
          <w:szCs w:val="22"/>
        </w:rPr>
      </w:pPr>
    </w:p>
    <w:tbl>
      <w:tblPr>
        <w:tblW w:w="8363" w:type="dxa"/>
        <w:tblInd w:w="817" w:type="dxa"/>
        <w:tblLayout w:type="fixed"/>
        <w:tblLook w:val="0000" w:firstRow="0" w:lastRow="0" w:firstColumn="0" w:lastColumn="0" w:noHBand="0" w:noVBand="0"/>
        <w:tblCaption w:val="Recommended listing 2"/>
      </w:tblPr>
      <w:tblGrid>
        <w:gridCol w:w="1985"/>
        <w:gridCol w:w="6378"/>
      </w:tblGrid>
      <w:tr w:rsidR="00EE3705" w:rsidRPr="00260CE3"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260CE3" w:rsidRDefault="00EE3705" w:rsidP="00D73646">
            <w:pPr>
              <w:jc w:val="both"/>
              <w:rPr>
                <w:rFonts w:ascii="Arial Narrow" w:hAnsi="Arial Narrow" w:cs="Arial"/>
                <w:b/>
                <w:sz w:val="20"/>
                <w:szCs w:val="20"/>
              </w:rPr>
            </w:pPr>
            <w:r w:rsidRPr="00260CE3">
              <w:rPr>
                <w:rFonts w:ascii="Arial Narrow" w:hAnsi="Arial Narrow" w:cs="Arial"/>
                <w:b/>
                <w:sz w:val="20"/>
                <w:szCs w:val="20"/>
              </w:rPr>
              <w:t xml:space="preserve">Category / </w:t>
            </w:r>
          </w:p>
          <w:p w:rsidR="00EE3705" w:rsidRPr="00260CE3" w:rsidRDefault="00EE3705" w:rsidP="00D73646">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tcPr>
          <w:p w:rsidR="00EE3705" w:rsidRPr="00260CE3" w:rsidRDefault="00EE3705" w:rsidP="00D73646">
            <w:pPr>
              <w:rPr>
                <w:rFonts w:ascii="Arial Narrow" w:hAnsi="Arial Narrow" w:cs="Arial"/>
                <w:sz w:val="20"/>
                <w:szCs w:val="20"/>
              </w:rPr>
            </w:pPr>
            <w:r w:rsidRPr="00260CE3">
              <w:rPr>
                <w:rFonts w:ascii="Arial Narrow" w:hAnsi="Arial Narrow" w:cs="Arial"/>
                <w:sz w:val="20"/>
                <w:szCs w:val="20"/>
              </w:rPr>
              <w:t>GENERAL – General Schedule (Code GE)</w:t>
            </w:r>
            <w:r>
              <w:rPr>
                <w:rFonts w:ascii="Arial Narrow" w:hAnsi="Arial Narrow" w:cs="Arial"/>
                <w:sz w:val="20"/>
                <w:szCs w:val="20"/>
              </w:rPr>
              <w:t>*</w:t>
            </w:r>
          </w:p>
          <w:p w:rsidR="00EE3705" w:rsidRPr="00260CE3" w:rsidRDefault="00EE3705" w:rsidP="00D73646">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Chemotherapy related benefits</w:t>
            </w:r>
          </w:p>
        </w:tc>
      </w:tr>
      <w:tr w:rsidR="00EE3705" w:rsidRPr="00260CE3"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260CE3" w:rsidRDefault="00EE3705" w:rsidP="00D73646">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EE3705" w:rsidRPr="00260CE3" w:rsidRDefault="00EE3705" w:rsidP="00D736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Nurse practitioners</w:t>
            </w:r>
            <w:r>
              <w:rPr>
                <w:rFonts w:ascii="Arial Narrow" w:hAnsi="Arial Narrow" w:cs="Arial"/>
                <w:sz w:val="20"/>
                <w:szCs w:val="20"/>
              </w:rPr>
              <w:t>*</w:t>
            </w:r>
            <w:r w:rsidRPr="00260CE3">
              <w:rPr>
                <w:rFonts w:ascii="Arial Narrow" w:hAnsi="Arial Narrow" w:cs="Arial"/>
                <w:sz w:val="20"/>
                <w:szCs w:val="20"/>
              </w:rPr>
              <w:t xml:space="preserve">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E3705" w:rsidRPr="00260CE3" w:rsidRDefault="00EE3705" w:rsidP="00D7364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E3705" w:rsidRPr="00407DB2"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260CE3" w:rsidRDefault="00EE3705" w:rsidP="00D73646">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EE3705" w:rsidRPr="00407DB2" w:rsidRDefault="00EE3705" w:rsidP="00D73646">
            <w:pPr>
              <w:keepNext/>
              <w:rPr>
                <w:rFonts w:ascii="Arial Narrow" w:hAnsi="Arial Narrow"/>
                <w:sz w:val="20"/>
              </w:rPr>
            </w:pPr>
            <w:r w:rsidRPr="00407DB2">
              <w:rPr>
                <w:rFonts w:ascii="Arial Narrow" w:hAnsi="Arial Narrow"/>
                <w:sz w:val="20"/>
              </w:rPr>
              <w:t>Nausea and vomiting</w:t>
            </w:r>
          </w:p>
        </w:tc>
      </w:tr>
      <w:tr w:rsidR="00EE3705" w:rsidRPr="00407DB2"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260CE3" w:rsidRDefault="00EE3705" w:rsidP="00D73646">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EE3705" w:rsidRPr="00407DB2" w:rsidRDefault="00EE3705" w:rsidP="00D73646">
            <w:pPr>
              <w:keepNext/>
              <w:rPr>
                <w:rFonts w:ascii="Arial Narrow" w:hAnsi="Arial Narrow"/>
                <w:sz w:val="20"/>
              </w:rPr>
            </w:pPr>
            <w:r w:rsidRPr="00407DB2">
              <w:rPr>
                <w:rFonts w:ascii="Arial Narrow" w:hAnsi="Arial Narrow"/>
                <w:sz w:val="20"/>
              </w:rPr>
              <w:t>Nausea and vomiting</w:t>
            </w:r>
          </w:p>
        </w:tc>
      </w:tr>
      <w:tr w:rsidR="00EE3705" w:rsidRPr="00260CE3"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260CE3" w:rsidRDefault="00EE3705" w:rsidP="00D73646">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E3705" w:rsidRPr="00260CE3" w:rsidRDefault="00EE3705" w:rsidP="00D73646">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EE3705" w:rsidRPr="00106BCF" w:rsidRDefault="00EE3705" w:rsidP="00D73646">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E3705" w:rsidRPr="00106BCF" w:rsidRDefault="00EE3705" w:rsidP="00D7364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E3705" w:rsidRPr="00106BCF" w:rsidRDefault="00EE3705" w:rsidP="00D73646">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EE3705" w:rsidRPr="00106BCF" w:rsidRDefault="00EE3705" w:rsidP="00D7364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EE3705" w:rsidRPr="00106BCF" w:rsidRDefault="00EE3705" w:rsidP="00D7364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E3705" w:rsidRPr="00260CE3" w:rsidRDefault="00EE3705" w:rsidP="00D7364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B0697">
              <w:rPr>
                <w:rFonts w:ascii="Arial Narrow" w:hAnsi="Arial Narrow" w:cs="Arial"/>
                <w:sz w:val="20"/>
                <w:szCs w:val="20"/>
              </w:rPr>
            </w:r>
            <w:r w:rsidR="006B069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EE3705" w:rsidRPr="00260CE3"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D54AFF" w:rsidRDefault="00EE3705" w:rsidP="00D73646">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EE3705" w:rsidRDefault="00EE3705" w:rsidP="00D73646">
            <w:pPr>
              <w:pStyle w:val="Default"/>
              <w:keepNext/>
              <w:rPr>
                <w:rFonts w:ascii="Arial Narrow" w:hAnsi="Arial Narrow"/>
                <w:sz w:val="20"/>
                <w:szCs w:val="20"/>
              </w:rPr>
            </w:pPr>
            <w:r w:rsidRPr="00732412">
              <w:rPr>
                <w:rFonts w:ascii="Arial Narrow" w:hAnsi="Arial Narrow"/>
                <w:sz w:val="20"/>
                <w:szCs w:val="20"/>
              </w:rPr>
              <w:t>The condition must be associated with cytotoxic chemotherapy bei</w:t>
            </w:r>
            <w:r>
              <w:rPr>
                <w:rFonts w:ascii="Arial Narrow" w:hAnsi="Arial Narrow"/>
                <w:sz w:val="20"/>
                <w:szCs w:val="20"/>
              </w:rPr>
              <w:t>ng used to treat breast cancer;</w:t>
            </w:r>
          </w:p>
          <w:p w:rsidR="00EE3705" w:rsidRDefault="00EE3705" w:rsidP="00D73646">
            <w:pPr>
              <w:pStyle w:val="Default"/>
              <w:keepNext/>
              <w:rPr>
                <w:rFonts w:ascii="Arial Narrow" w:hAnsi="Arial Narrow"/>
                <w:b/>
                <w:bCs/>
                <w:sz w:val="20"/>
                <w:szCs w:val="20"/>
              </w:rPr>
            </w:pPr>
            <w:r w:rsidRPr="00732412">
              <w:rPr>
                <w:rFonts w:ascii="Arial Narrow" w:hAnsi="Arial Narrow"/>
                <w:b/>
                <w:bCs/>
                <w:sz w:val="20"/>
                <w:szCs w:val="20"/>
              </w:rPr>
              <w:t xml:space="preserve">AND </w:t>
            </w:r>
          </w:p>
          <w:p w:rsidR="00EE3705" w:rsidRDefault="00EE3705" w:rsidP="00D73646">
            <w:pPr>
              <w:pStyle w:val="Default"/>
              <w:keepNext/>
              <w:rPr>
                <w:rFonts w:ascii="Arial Narrow" w:hAnsi="Arial Narrow"/>
                <w:sz w:val="20"/>
                <w:szCs w:val="20"/>
              </w:rPr>
            </w:pPr>
            <w:r w:rsidRPr="00732412">
              <w:rPr>
                <w:rFonts w:ascii="Arial Narrow" w:hAnsi="Arial Narrow"/>
                <w:sz w:val="20"/>
                <w:szCs w:val="20"/>
              </w:rPr>
              <w:t xml:space="preserve">The treatment must be in </w:t>
            </w:r>
            <w:r>
              <w:rPr>
                <w:rFonts w:ascii="Arial Narrow" w:hAnsi="Arial Narrow"/>
                <w:sz w:val="20"/>
                <w:szCs w:val="20"/>
              </w:rPr>
              <w:t>combination with dexamethasone;</w:t>
            </w:r>
          </w:p>
          <w:p w:rsidR="00EE3705" w:rsidRDefault="00EE3705" w:rsidP="00D73646">
            <w:pPr>
              <w:pStyle w:val="Default"/>
              <w:keepNext/>
              <w:rPr>
                <w:rFonts w:ascii="Arial Narrow" w:hAnsi="Arial Narrow"/>
                <w:b/>
                <w:bCs/>
                <w:sz w:val="20"/>
                <w:szCs w:val="20"/>
              </w:rPr>
            </w:pPr>
            <w:r w:rsidRPr="00732412">
              <w:rPr>
                <w:rFonts w:ascii="Arial Narrow" w:hAnsi="Arial Narrow"/>
                <w:b/>
                <w:bCs/>
                <w:sz w:val="20"/>
                <w:szCs w:val="20"/>
              </w:rPr>
              <w:t xml:space="preserve">AND </w:t>
            </w:r>
          </w:p>
          <w:p w:rsidR="00EE3705" w:rsidRPr="00260CE3" w:rsidRDefault="00EE3705" w:rsidP="00D73646">
            <w:pPr>
              <w:rPr>
                <w:rFonts w:ascii="Arial Narrow" w:hAnsi="Arial Narrow" w:cs="Arial"/>
                <w:sz w:val="20"/>
                <w:szCs w:val="20"/>
              </w:rPr>
            </w:pPr>
            <w:r w:rsidRPr="00732412">
              <w:rPr>
                <w:rFonts w:ascii="Arial Narrow" w:hAnsi="Arial Narrow"/>
                <w:sz w:val="20"/>
                <w:szCs w:val="20"/>
              </w:rPr>
              <w:t>Patient must be scheduled to be co-administered cycloph</w:t>
            </w:r>
            <w:r>
              <w:rPr>
                <w:rFonts w:ascii="Arial Narrow" w:hAnsi="Arial Narrow"/>
                <w:sz w:val="20"/>
                <w:szCs w:val="20"/>
              </w:rPr>
              <w:t>osphamide and an anthracycline;</w:t>
            </w:r>
          </w:p>
        </w:tc>
      </w:tr>
      <w:tr w:rsidR="00EE3705" w:rsidRPr="00407DB2"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D54AFF" w:rsidRDefault="00EE3705" w:rsidP="00D73646">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EE3705" w:rsidRPr="00407DB2" w:rsidRDefault="00EE3705" w:rsidP="00D73646">
            <w:pPr>
              <w:pStyle w:val="Default"/>
              <w:keepNext/>
              <w:rPr>
                <w:rFonts w:ascii="Arial Narrow" w:hAnsi="Arial Narrow"/>
                <w:sz w:val="20"/>
              </w:rPr>
            </w:pPr>
            <w:r w:rsidRPr="00407DB2">
              <w:rPr>
                <w:rFonts w:ascii="Arial Narrow" w:hAnsi="Arial Narrow"/>
                <w:sz w:val="20"/>
                <w:szCs w:val="20"/>
              </w:rPr>
              <w:t>No more than 1 capsule of 300</w:t>
            </w:r>
            <w:r>
              <w:rPr>
                <w:rFonts w:ascii="Arial Narrow" w:hAnsi="Arial Narrow"/>
                <w:sz w:val="20"/>
                <w:szCs w:val="20"/>
              </w:rPr>
              <w:t xml:space="preserve"> </w:t>
            </w:r>
            <w:r w:rsidRPr="00407DB2">
              <w:rPr>
                <w:rFonts w:ascii="Arial Narrow" w:hAnsi="Arial Narrow"/>
                <w:sz w:val="20"/>
                <w:szCs w:val="20"/>
              </w:rPr>
              <w:t>mg netupitant/0.5</w:t>
            </w:r>
            <w:r>
              <w:rPr>
                <w:rFonts w:ascii="Arial Narrow" w:hAnsi="Arial Narrow"/>
                <w:sz w:val="20"/>
                <w:szCs w:val="20"/>
              </w:rPr>
              <w:t xml:space="preserve"> </w:t>
            </w:r>
            <w:r w:rsidRPr="00407DB2">
              <w:rPr>
                <w:rFonts w:ascii="Arial Narrow" w:hAnsi="Arial Narrow"/>
                <w:sz w:val="20"/>
                <w:szCs w:val="20"/>
              </w:rPr>
              <w:t>mg palonosetron fixed dose combination will be authorised per cycle of cytotoxic chemotherapy.</w:t>
            </w:r>
          </w:p>
        </w:tc>
      </w:tr>
      <w:tr w:rsidR="00EE3705" w:rsidRPr="00260CE3" w:rsidTr="00D73646">
        <w:trPr>
          <w:cantSplit/>
          <w:trHeight w:val="360"/>
        </w:trPr>
        <w:tc>
          <w:tcPr>
            <w:tcW w:w="1985" w:type="dxa"/>
            <w:tcBorders>
              <w:top w:val="single" w:sz="4" w:space="0" w:color="auto"/>
              <w:left w:val="single" w:sz="4" w:space="0" w:color="auto"/>
              <w:bottom w:val="single" w:sz="4" w:space="0" w:color="auto"/>
              <w:right w:val="single" w:sz="4" w:space="0" w:color="auto"/>
            </w:tcBorders>
          </w:tcPr>
          <w:p w:rsidR="00EE3705" w:rsidRPr="00D54AFF" w:rsidRDefault="00EE3705" w:rsidP="00D73646">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EE3705" w:rsidRPr="00D54AFF" w:rsidRDefault="00EE3705" w:rsidP="00D73646">
            <w:pPr>
              <w:rPr>
                <w:rFonts w:ascii="Arial Narrow" w:hAnsi="Arial Narrow"/>
                <w:sz w:val="20"/>
              </w:rPr>
            </w:pPr>
            <w:r w:rsidRPr="00D54AFF">
              <w:rPr>
                <w:rFonts w:ascii="Arial Narrow" w:hAnsi="Arial Narrow"/>
                <w:sz w:val="20"/>
              </w:rPr>
              <w:t xml:space="preserve">No increase in the maximum quantity or number of units may be authorised. </w:t>
            </w:r>
          </w:p>
          <w:p w:rsidR="00EE3705" w:rsidRPr="00D54AFF" w:rsidRDefault="00EE3705" w:rsidP="00D73646">
            <w:pPr>
              <w:rPr>
                <w:rFonts w:ascii="Arial Narrow" w:hAnsi="Arial Narrow"/>
                <w:sz w:val="20"/>
              </w:rPr>
            </w:pPr>
            <w:r w:rsidRPr="00D54AFF">
              <w:rPr>
                <w:rFonts w:ascii="Arial Narrow" w:hAnsi="Arial Narrow"/>
                <w:sz w:val="20"/>
              </w:rPr>
              <w:t xml:space="preserve">No Increase in the maximum number of repeats may be authorised. </w:t>
            </w:r>
          </w:p>
          <w:p w:rsidR="00EE3705" w:rsidRPr="00260CE3" w:rsidRDefault="00EE3705" w:rsidP="00D73646">
            <w:pPr>
              <w:rPr>
                <w:rFonts w:ascii="Arial Narrow" w:hAnsi="Arial Narrow" w:cs="Arial"/>
                <w:sz w:val="20"/>
                <w:szCs w:val="20"/>
              </w:rPr>
            </w:pPr>
            <w:r w:rsidRPr="00D54AFF">
              <w:rPr>
                <w:rFonts w:ascii="Arial Narrow" w:hAnsi="Arial Narrow"/>
                <w:sz w:val="20"/>
              </w:rPr>
              <w:t>This medicine is not PBS-subsidised for nausea and vomiting associated with radiotherapy being used to treat malignancy.</w:t>
            </w:r>
          </w:p>
        </w:tc>
      </w:tr>
    </w:tbl>
    <w:p w:rsidR="00577E1F" w:rsidRPr="007869EC" w:rsidRDefault="00577E1F" w:rsidP="00577E1F">
      <w:pPr>
        <w:rPr>
          <w:rFonts w:ascii="Arial" w:hAnsi="Arial" w:cs="Arial"/>
          <w:bCs/>
          <w:snapToGrid w:val="0"/>
          <w:sz w:val="22"/>
          <w:szCs w:val="22"/>
          <w:lang w:eastAsia="en-US"/>
        </w:rPr>
      </w:pPr>
    </w:p>
    <w:p w:rsidR="00577E1F" w:rsidRPr="007869EC" w:rsidRDefault="00577E1F" w:rsidP="003619E3">
      <w:pPr>
        <w:pStyle w:val="Heading1"/>
        <w:rPr>
          <w:rFonts w:eastAsia="SimSun"/>
          <w:snapToGrid w:val="0"/>
          <w:lang w:eastAsia="en-US"/>
        </w:rPr>
      </w:pPr>
      <w:r w:rsidRPr="007869EC">
        <w:rPr>
          <w:rFonts w:eastAsia="SimSun"/>
          <w:snapToGrid w:val="0"/>
          <w:lang w:eastAsia="en-US"/>
        </w:rPr>
        <w:t>Context for Decision</w:t>
      </w:r>
    </w:p>
    <w:p w:rsidR="00577E1F" w:rsidRPr="007869EC" w:rsidRDefault="00577E1F" w:rsidP="00577E1F">
      <w:pPr>
        <w:widowControl w:val="0"/>
        <w:ind w:left="720"/>
        <w:contextualSpacing/>
        <w:jc w:val="both"/>
        <w:rPr>
          <w:b/>
          <w:snapToGrid w:val="0"/>
        </w:rPr>
      </w:pPr>
    </w:p>
    <w:p w:rsidR="00577E1F" w:rsidRPr="007869EC" w:rsidRDefault="00577E1F" w:rsidP="00577E1F">
      <w:pPr>
        <w:widowControl w:val="0"/>
        <w:ind w:left="720"/>
        <w:jc w:val="both"/>
        <w:rPr>
          <w:rFonts w:ascii="Arial" w:hAnsi="Arial" w:cs="Arial"/>
          <w:bCs/>
          <w:snapToGrid w:val="0"/>
          <w:sz w:val="22"/>
          <w:szCs w:val="22"/>
          <w:lang w:eastAsia="en-US"/>
        </w:rPr>
      </w:pPr>
      <w:r w:rsidRPr="007869EC">
        <w:rPr>
          <w:rFonts w:ascii="Arial" w:hAnsi="Arial" w:cs="Arial"/>
          <w:bCs/>
          <w:snapToGrid w:val="0"/>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77E1F" w:rsidRPr="007869EC" w:rsidRDefault="00577E1F" w:rsidP="00577E1F">
      <w:pPr>
        <w:widowControl w:val="0"/>
        <w:jc w:val="both"/>
        <w:rPr>
          <w:lang w:eastAsia="en-US"/>
        </w:rPr>
      </w:pPr>
    </w:p>
    <w:p w:rsidR="003619E3" w:rsidRDefault="003619E3">
      <w:pPr>
        <w:rPr>
          <w:rFonts w:ascii="Arial" w:eastAsia="SimSun" w:hAnsi="Arial" w:cs="Arial"/>
          <w:b/>
          <w:snapToGrid w:val="0"/>
          <w:sz w:val="22"/>
          <w:szCs w:val="22"/>
          <w:lang w:eastAsia="en-US"/>
        </w:rPr>
      </w:pPr>
      <w:r>
        <w:rPr>
          <w:rFonts w:ascii="Arial" w:eastAsia="SimSun" w:hAnsi="Arial" w:cs="Arial"/>
          <w:b/>
          <w:snapToGrid w:val="0"/>
          <w:sz w:val="22"/>
          <w:szCs w:val="22"/>
          <w:lang w:eastAsia="en-US"/>
        </w:rPr>
        <w:br w:type="page"/>
      </w:r>
    </w:p>
    <w:p w:rsidR="00577E1F" w:rsidRPr="007869EC" w:rsidRDefault="00577E1F" w:rsidP="003619E3">
      <w:pPr>
        <w:pStyle w:val="Heading1"/>
        <w:rPr>
          <w:rFonts w:eastAsia="SimSun"/>
          <w:snapToGrid w:val="0"/>
          <w:lang w:eastAsia="en-US"/>
        </w:rPr>
      </w:pPr>
      <w:r w:rsidRPr="007869EC">
        <w:rPr>
          <w:rFonts w:eastAsia="SimSun"/>
          <w:snapToGrid w:val="0"/>
          <w:lang w:eastAsia="en-US"/>
        </w:rPr>
        <w:lastRenderedPageBreak/>
        <w:t>Sponsor’s Comment</w:t>
      </w:r>
    </w:p>
    <w:p w:rsidR="00577E1F" w:rsidRPr="001B00A4" w:rsidRDefault="00577E1F" w:rsidP="00577E1F">
      <w:pPr>
        <w:widowControl w:val="0"/>
        <w:jc w:val="both"/>
        <w:rPr>
          <w:rFonts w:ascii="Arial" w:hAnsi="Arial" w:cs="Arial"/>
          <w:b/>
          <w:bCs/>
          <w:snapToGrid w:val="0"/>
          <w:sz w:val="22"/>
          <w:szCs w:val="22"/>
          <w:lang w:eastAsia="en-US"/>
        </w:rPr>
      </w:pPr>
    </w:p>
    <w:p w:rsidR="00577E1F" w:rsidRPr="00012E81" w:rsidRDefault="00012E81" w:rsidP="00012E81">
      <w:pPr>
        <w:widowControl w:val="0"/>
        <w:ind w:left="720"/>
        <w:jc w:val="both"/>
        <w:rPr>
          <w:rFonts w:ascii="Arial" w:hAnsi="Arial" w:cs="Arial"/>
          <w:bCs/>
          <w:snapToGrid w:val="0"/>
          <w:sz w:val="22"/>
          <w:szCs w:val="22"/>
          <w:lang w:eastAsia="en-US"/>
        </w:rPr>
      </w:pPr>
      <w:r w:rsidRPr="00012E81">
        <w:rPr>
          <w:rFonts w:ascii="Arial" w:hAnsi="Arial" w:cs="Arial"/>
          <w:bCs/>
          <w:snapToGrid w:val="0"/>
          <w:sz w:val="22"/>
          <w:szCs w:val="22"/>
          <w:lang w:eastAsia="en-US"/>
        </w:rPr>
        <w:t xml:space="preserve">The sponsor had no comment. </w:t>
      </w:r>
    </w:p>
    <w:p w:rsidR="00577E1F" w:rsidRPr="00012E81" w:rsidRDefault="00577E1F" w:rsidP="00577E1F">
      <w:pPr>
        <w:widowControl w:val="0"/>
        <w:jc w:val="both"/>
        <w:rPr>
          <w:rFonts w:ascii="Arial" w:hAnsi="Arial" w:cs="Arial"/>
          <w:b/>
          <w:bCs/>
          <w:snapToGrid w:val="0"/>
          <w:sz w:val="22"/>
          <w:szCs w:val="22"/>
          <w:lang w:eastAsia="en-US"/>
        </w:rPr>
      </w:pPr>
    </w:p>
    <w:p w:rsidR="00577E1F" w:rsidRDefault="00577E1F" w:rsidP="00DC738B">
      <w:pPr>
        <w:jc w:val="both"/>
        <w:rPr>
          <w:rFonts w:ascii="Arial" w:hAnsi="Arial" w:cs="Arial"/>
          <w:b/>
          <w:sz w:val="22"/>
          <w:szCs w:val="22"/>
        </w:rPr>
      </w:pPr>
    </w:p>
    <w:sectPr w:rsidR="00577E1F"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38" w:rsidRDefault="002B5938">
      <w:r>
        <w:separator/>
      </w:r>
    </w:p>
    <w:p w:rsidR="002B5938" w:rsidRDefault="002B5938"/>
  </w:endnote>
  <w:endnote w:type="continuationSeparator" w:id="0">
    <w:p w:rsidR="002B5938" w:rsidRDefault="002B5938">
      <w:r>
        <w:continuationSeparator/>
      </w:r>
    </w:p>
    <w:p w:rsidR="002B5938" w:rsidRDefault="002B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B5938" w:rsidTr="005A3173">
      <w:trPr>
        <w:trHeight w:val="151"/>
      </w:trPr>
      <w:tc>
        <w:tcPr>
          <w:tcW w:w="2250" w:type="pct"/>
          <w:tcBorders>
            <w:top w:val="nil"/>
            <w:left w:val="nil"/>
            <w:bottom w:val="single" w:sz="4" w:space="0" w:color="4F81BD"/>
            <w:right w:val="nil"/>
          </w:tcBorders>
        </w:tcPr>
        <w:p w:rsidR="002B5938" w:rsidRPr="005A3173" w:rsidRDefault="002B593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B5938" w:rsidRPr="005A3173" w:rsidRDefault="002B593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B5938" w:rsidRPr="005A3173" w:rsidRDefault="002B5938" w:rsidP="005A3173">
          <w:pPr>
            <w:pStyle w:val="Header"/>
            <w:spacing w:line="276" w:lineRule="auto"/>
            <w:rPr>
              <w:rFonts w:ascii="Calibri" w:eastAsia="MS Gothic" w:hAnsi="Calibri"/>
              <w:b/>
              <w:bCs/>
              <w:color w:val="4F81BD"/>
            </w:rPr>
          </w:pPr>
        </w:p>
      </w:tc>
    </w:tr>
    <w:tr w:rsidR="002B5938" w:rsidTr="005A3173">
      <w:trPr>
        <w:trHeight w:val="150"/>
      </w:trPr>
      <w:tc>
        <w:tcPr>
          <w:tcW w:w="2250" w:type="pct"/>
          <w:tcBorders>
            <w:top w:val="single" w:sz="4" w:space="0" w:color="4F81BD"/>
            <w:left w:val="nil"/>
            <w:bottom w:val="nil"/>
            <w:right w:val="nil"/>
          </w:tcBorders>
        </w:tcPr>
        <w:p w:rsidR="002B5938" w:rsidRPr="005A3173" w:rsidRDefault="002B5938" w:rsidP="005A3173">
          <w:pPr>
            <w:pStyle w:val="Header"/>
            <w:spacing w:line="276" w:lineRule="auto"/>
            <w:rPr>
              <w:rFonts w:ascii="Calibri" w:eastAsia="MS Gothic" w:hAnsi="Calibri"/>
              <w:b/>
              <w:bCs/>
              <w:color w:val="4F81BD"/>
            </w:rPr>
          </w:pPr>
        </w:p>
      </w:tc>
      <w:tc>
        <w:tcPr>
          <w:tcW w:w="0" w:type="auto"/>
          <w:vMerge/>
          <w:vAlign w:val="center"/>
          <w:hideMark/>
        </w:tcPr>
        <w:p w:rsidR="002B5938" w:rsidRPr="005A3173" w:rsidRDefault="002B5938" w:rsidP="005A3173">
          <w:pPr>
            <w:rPr>
              <w:rFonts w:ascii="Calibri" w:hAnsi="Calibri"/>
              <w:color w:val="365F91"/>
              <w:sz w:val="22"/>
              <w:szCs w:val="22"/>
            </w:rPr>
          </w:pPr>
        </w:p>
      </w:tc>
      <w:tc>
        <w:tcPr>
          <w:tcW w:w="2250" w:type="pct"/>
          <w:tcBorders>
            <w:top w:val="single" w:sz="4" w:space="0" w:color="4F81BD"/>
            <w:left w:val="nil"/>
            <w:bottom w:val="nil"/>
            <w:right w:val="nil"/>
          </w:tcBorders>
        </w:tcPr>
        <w:p w:rsidR="002B5938" w:rsidRPr="005A3173" w:rsidRDefault="002B5938" w:rsidP="005A3173">
          <w:pPr>
            <w:pStyle w:val="Header"/>
            <w:spacing w:line="276" w:lineRule="auto"/>
            <w:rPr>
              <w:rFonts w:ascii="Calibri" w:eastAsia="MS Gothic" w:hAnsi="Calibri"/>
              <w:b/>
              <w:bCs/>
              <w:color w:val="4F81BD"/>
            </w:rPr>
          </w:pPr>
        </w:p>
      </w:tc>
    </w:tr>
  </w:tbl>
  <w:p w:rsidR="002B5938" w:rsidRDefault="002B593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5938" w:rsidRDefault="002B5938">
    <w:pPr>
      <w:pStyle w:val="Footer"/>
    </w:pPr>
  </w:p>
  <w:p w:rsidR="002B5938" w:rsidRDefault="002B5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rFonts w:ascii="Arial" w:hAnsi="Arial" w:cs="Arial"/>
        <w:noProof/>
        <w:sz w:val="22"/>
      </w:rPr>
    </w:sdtEndPr>
    <w:sdtContent>
      <w:p w:rsidR="002B5938" w:rsidRDefault="002B5938" w:rsidP="00DC738B">
        <w:pPr>
          <w:pStyle w:val="Footer"/>
          <w:jc w:val="center"/>
          <w:rPr>
            <w:rFonts w:ascii="Arial Narrow" w:hAnsi="Arial Narrow"/>
            <w:sz w:val="20"/>
            <w:szCs w:val="20"/>
          </w:rPr>
        </w:pPr>
      </w:p>
      <w:p w:rsidR="002B5938" w:rsidRPr="004B3CD9" w:rsidRDefault="002B5938" w:rsidP="00DC738B">
        <w:pPr>
          <w:pStyle w:val="Footer"/>
          <w:jc w:val="center"/>
          <w:rPr>
            <w:rFonts w:ascii="Arial" w:hAnsi="Arial" w:cs="Arial"/>
            <w:sz w:val="22"/>
            <w:szCs w:val="20"/>
          </w:rPr>
        </w:pPr>
        <w:r w:rsidRPr="004B3CD9">
          <w:rPr>
            <w:rFonts w:ascii="Arial" w:hAnsi="Arial" w:cs="Arial"/>
            <w:sz w:val="22"/>
            <w:szCs w:val="20"/>
          </w:rPr>
          <w:fldChar w:fldCharType="begin"/>
        </w:r>
        <w:r w:rsidRPr="004B3CD9">
          <w:rPr>
            <w:rFonts w:ascii="Arial" w:hAnsi="Arial" w:cs="Arial"/>
            <w:sz w:val="22"/>
            <w:szCs w:val="20"/>
          </w:rPr>
          <w:instrText xml:space="preserve"> PAGE   \* MERGEFORMAT </w:instrText>
        </w:r>
        <w:r w:rsidRPr="004B3CD9">
          <w:rPr>
            <w:rFonts w:ascii="Arial" w:hAnsi="Arial" w:cs="Arial"/>
            <w:sz w:val="22"/>
            <w:szCs w:val="20"/>
          </w:rPr>
          <w:fldChar w:fldCharType="separate"/>
        </w:r>
        <w:r w:rsidR="006B0697">
          <w:rPr>
            <w:rFonts w:ascii="Arial" w:hAnsi="Arial" w:cs="Arial"/>
            <w:noProof/>
            <w:sz w:val="22"/>
            <w:szCs w:val="20"/>
          </w:rPr>
          <w:t>4</w:t>
        </w:r>
        <w:r w:rsidRPr="004B3CD9">
          <w:rPr>
            <w:rFonts w:ascii="Arial" w:hAnsi="Arial" w:cs="Arial"/>
            <w:noProof/>
            <w:sz w:val="22"/>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B5938" w:rsidTr="005A3173">
      <w:trPr>
        <w:trHeight w:val="151"/>
      </w:trPr>
      <w:tc>
        <w:tcPr>
          <w:tcW w:w="2250" w:type="pct"/>
          <w:tcBorders>
            <w:top w:val="nil"/>
            <w:left w:val="nil"/>
            <w:bottom w:val="single" w:sz="4" w:space="0" w:color="4F81BD"/>
            <w:right w:val="nil"/>
          </w:tcBorders>
        </w:tcPr>
        <w:p w:rsidR="002B5938" w:rsidRPr="005A3173" w:rsidRDefault="002B593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B5938" w:rsidRPr="005A3173" w:rsidRDefault="002B593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B5938" w:rsidRPr="005A3173" w:rsidRDefault="002B5938" w:rsidP="005A3173">
          <w:pPr>
            <w:pStyle w:val="Header"/>
            <w:spacing w:line="276" w:lineRule="auto"/>
            <w:rPr>
              <w:rFonts w:ascii="Calibri" w:eastAsia="MS Gothic" w:hAnsi="Calibri"/>
              <w:b/>
              <w:bCs/>
              <w:color w:val="4F81BD"/>
            </w:rPr>
          </w:pPr>
        </w:p>
      </w:tc>
    </w:tr>
    <w:tr w:rsidR="002B5938" w:rsidTr="005A3173">
      <w:trPr>
        <w:trHeight w:val="150"/>
      </w:trPr>
      <w:tc>
        <w:tcPr>
          <w:tcW w:w="2250" w:type="pct"/>
          <w:tcBorders>
            <w:top w:val="single" w:sz="4" w:space="0" w:color="4F81BD"/>
            <w:left w:val="nil"/>
            <w:bottom w:val="nil"/>
            <w:right w:val="nil"/>
          </w:tcBorders>
        </w:tcPr>
        <w:p w:rsidR="002B5938" w:rsidRPr="005A3173" w:rsidRDefault="002B5938" w:rsidP="005A3173">
          <w:pPr>
            <w:pStyle w:val="Header"/>
            <w:spacing w:line="276" w:lineRule="auto"/>
            <w:rPr>
              <w:rFonts w:ascii="Calibri" w:eastAsia="MS Gothic" w:hAnsi="Calibri"/>
              <w:b/>
              <w:bCs/>
              <w:color w:val="4F81BD"/>
            </w:rPr>
          </w:pPr>
        </w:p>
      </w:tc>
      <w:tc>
        <w:tcPr>
          <w:tcW w:w="0" w:type="auto"/>
          <w:vMerge/>
          <w:vAlign w:val="center"/>
          <w:hideMark/>
        </w:tcPr>
        <w:p w:rsidR="002B5938" w:rsidRPr="005A3173" w:rsidRDefault="002B5938" w:rsidP="005A3173">
          <w:pPr>
            <w:rPr>
              <w:rFonts w:ascii="Calibri" w:hAnsi="Calibri"/>
              <w:color w:val="365F91"/>
              <w:sz w:val="22"/>
              <w:szCs w:val="22"/>
            </w:rPr>
          </w:pPr>
        </w:p>
      </w:tc>
      <w:tc>
        <w:tcPr>
          <w:tcW w:w="2250" w:type="pct"/>
          <w:tcBorders>
            <w:top w:val="single" w:sz="4" w:space="0" w:color="4F81BD"/>
            <w:left w:val="nil"/>
            <w:bottom w:val="nil"/>
            <w:right w:val="nil"/>
          </w:tcBorders>
        </w:tcPr>
        <w:p w:rsidR="002B5938" w:rsidRPr="005A3173" w:rsidRDefault="002B593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B5938" w:rsidTr="005A3173">
      <w:trPr>
        <w:trHeight w:val="151"/>
      </w:trPr>
      <w:tc>
        <w:tcPr>
          <w:tcW w:w="2250" w:type="pct"/>
          <w:tcBorders>
            <w:top w:val="nil"/>
            <w:left w:val="nil"/>
            <w:bottom w:val="single" w:sz="4" w:space="0" w:color="4F81BD"/>
            <w:right w:val="nil"/>
          </w:tcBorders>
        </w:tcPr>
        <w:p w:rsidR="002B5938" w:rsidRPr="005A3173" w:rsidRDefault="002B593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B5938" w:rsidRPr="005A3173" w:rsidRDefault="002B593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B5938" w:rsidRPr="005A3173" w:rsidRDefault="002B5938" w:rsidP="005A3173">
          <w:pPr>
            <w:pStyle w:val="Header"/>
            <w:spacing w:line="276" w:lineRule="auto"/>
            <w:rPr>
              <w:rFonts w:ascii="Calibri" w:eastAsia="MS Gothic" w:hAnsi="Calibri"/>
              <w:b/>
              <w:bCs/>
              <w:color w:val="4F81BD"/>
            </w:rPr>
          </w:pPr>
        </w:p>
      </w:tc>
    </w:tr>
    <w:tr w:rsidR="002B5938" w:rsidTr="005A3173">
      <w:trPr>
        <w:trHeight w:val="150"/>
      </w:trPr>
      <w:tc>
        <w:tcPr>
          <w:tcW w:w="2250" w:type="pct"/>
          <w:tcBorders>
            <w:top w:val="single" w:sz="4" w:space="0" w:color="4F81BD"/>
            <w:left w:val="nil"/>
            <w:bottom w:val="nil"/>
            <w:right w:val="nil"/>
          </w:tcBorders>
        </w:tcPr>
        <w:p w:rsidR="002B5938" w:rsidRPr="005A3173" w:rsidRDefault="002B5938" w:rsidP="005A3173">
          <w:pPr>
            <w:pStyle w:val="Header"/>
            <w:spacing w:line="276" w:lineRule="auto"/>
            <w:rPr>
              <w:rFonts w:ascii="Calibri" w:eastAsia="MS Gothic" w:hAnsi="Calibri"/>
              <w:b/>
              <w:bCs/>
              <w:color w:val="4F81BD"/>
            </w:rPr>
          </w:pPr>
        </w:p>
      </w:tc>
      <w:tc>
        <w:tcPr>
          <w:tcW w:w="0" w:type="auto"/>
          <w:vMerge/>
          <w:vAlign w:val="center"/>
          <w:hideMark/>
        </w:tcPr>
        <w:p w:rsidR="002B5938" w:rsidRPr="005A3173" w:rsidRDefault="002B5938" w:rsidP="005A3173">
          <w:pPr>
            <w:rPr>
              <w:rFonts w:ascii="Calibri" w:hAnsi="Calibri"/>
              <w:color w:val="365F91"/>
              <w:sz w:val="22"/>
              <w:szCs w:val="22"/>
            </w:rPr>
          </w:pPr>
        </w:p>
      </w:tc>
      <w:tc>
        <w:tcPr>
          <w:tcW w:w="2250" w:type="pct"/>
          <w:tcBorders>
            <w:top w:val="single" w:sz="4" w:space="0" w:color="4F81BD"/>
            <w:left w:val="nil"/>
            <w:bottom w:val="nil"/>
            <w:right w:val="nil"/>
          </w:tcBorders>
        </w:tcPr>
        <w:p w:rsidR="002B5938" w:rsidRPr="005A3173" w:rsidRDefault="002B5938" w:rsidP="005A3173">
          <w:pPr>
            <w:pStyle w:val="Header"/>
            <w:spacing w:line="276" w:lineRule="auto"/>
            <w:rPr>
              <w:rFonts w:ascii="Calibri" w:eastAsia="MS Gothic" w:hAnsi="Calibri"/>
              <w:b/>
              <w:bCs/>
              <w:color w:val="4F81BD"/>
            </w:rPr>
          </w:pPr>
        </w:p>
      </w:tc>
    </w:tr>
  </w:tbl>
  <w:p w:rsidR="002B5938" w:rsidRPr="007C0F57" w:rsidRDefault="002B593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B5938" w:rsidRPr="007C0F57" w:rsidRDefault="002B5938" w:rsidP="007C0F57">
    <w:pPr>
      <w:pStyle w:val="Footer"/>
      <w:jc w:val="center"/>
      <w:rPr>
        <w:b/>
        <w:i/>
        <w:sz w:val="20"/>
        <w:szCs w:val="20"/>
      </w:rPr>
    </w:pPr>
    <w:r w:rsidRPr="007C0F57">
      <w:rPr>
        <w:b/>
        <w:i/>
        <w:sz w:val="20"/>
        <w:szCs w:val="20"/>
      </w:rPr>
      <w:t>Commercial-in-Confidence</w:t>
    </w:r>
  </w:p>
  <w:p w:rsidR="002B5938" w:rsidRDefault="002B5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38" w:rsidRDefault="002B5938">
      <w:r>
        <w:separator/>
      </w:r>
    </w:p>
    <w:p w:rsidR="002B5938" w:rsidRDefault="002B5938"/>
  </w:footnote>
  <w:footnote w:type="continuationSeparator" w:id="0">
    <w:p w:rsidR="002B5938" w:rsidRDefault="002B5938">
      <w:r>
        <w:continuationSeparator/>
      </w:r>
    </w:p>
    <w:p w:rsidR="002B5938" w:rsidRDefault="002B5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B5938" w:rsidRPr="008E0D90" w:rsidTr="00A06225">
      <w:trPr>
        <w:trHeight w:val="151"/>
      </w:trPr>
      <w:tc>
        <w:tcPr>
          <w:tcW w:w="2389" w:type="pct"/>
          <w:tcBorders>
            <w:top w:val="nil"/>
            <w:left w:val="nil"/>
            <w:bottom w:val="single" w:sz="4" w:space="0" w:color="4F81BD"/>
            <w:right w:val="nil"/>
          </w:tcBorders>
        </w:tcPr>
        <w:p w:rsidR="002B5938" w:rsidRPr="00A06225" w:rsidRDefault="002B5938">
          <w:pPr>
            <w:pStyle w:val="Header"/>
            <w:spacing w:line="276" w:lineRule="auto"/>
            <w:rPr>
              <w:rFonts w:ascii="Cambria" w:eastAsia="MS Gothic" w:hAnsi="Cambria"/>
              <w:b/>
              <w:bCs/>
              <w:color w:val="4F81BD"/>
            </w:rPr>
          </w:pPr>
        </w:p>
      </w:tc>
      <w:tc>
        <w:tcPr>
          <w:tcW w:w="333" w:type="pct"/>
          <w:vMerge w:val="restart"/>
          <w:noWrap/>
          <w:vAlign w:val="center"/>
          <w:hideMark/>
        </w:tcPr>
        <w:p w:rsidR="002B5938" w:rsidRPr="00A06225" w:rsidRDefault="002B593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B5938" w:rsidRPr="00A06225" w:rsidRDefault="002B5938">
          <w:pPr>
            <w:pStyle w:val="Header"/>
            <w:spacing w:line="276" w:lineRule="auto"/>
            <w:rPr>
              <w:rFonts w:ascii="Cambria" w:eastAsia="MS Gothic" w:hAnsi="Cambria"/>
              <w:b/>
              <w:bCs/>
              <w:color w:val="4F81BD"/>
            </w:rPr>
          </w:pPr>
        </w:p>
      </w:tc>
    </w:tr>
    <w:tr w:rsidR="002B5938" w:rsidRPr="008E0D90" w:rsidTr="00A06225">
      <w:trPr>
        <w:trHeight w:val="150"/>
      </w:trPr>
      <w:tc>
        <w:tcPr>
          <w:tcW w:w="2389" w:type="pct"/>
          <w:tcBorders>
            <w:top w:val="single" w:sz="4" w:space="0" w:color="4F81BD"/>
            <w:left w:val="nil"/>
            <w:bottom w:val="nil"/>
            <w:right w:val="nil"/>
          </w:tcBorders>
        </w:tcPr>
        <w:p w:rsidR="002B5938" w:rsidRPr="00A06225" w:rsidRDefault="002B5938">
          <w:pPr>
            <w:pStyle w:val="Header"/>
            <w:spacing w:line="276" w:lineRule="auto"/>
            <w:rPr>
              <w:rFonts w:ascii="Cambria" w:eastAsia="MS Gothic" w:hAnsi="Cambria"/>
              <w:b/>
              <w:bCs/>
              <w:color w:val="4F81BD"/>
            </w:rPr>
          </w:pPr>
        </w:p>
      </w:tc>
      <w:tc>
        <w:tcPr>
          <w:tcW w:w="0" w:type="auto"/>
          <w:vMerge/>
          <w:vAlign w:val="center"/>
          <w:hideMark/>
        </w:tcPr>
        <w:p w:rsidR="002B5938" w:rsidRPr="00A06225" w:rsidRDefault="002B5938">
          <w:pPr>
            <w:rPr>
              <w:rFonts w:ascii="Cambria" w:hAnsi="Cambria"/>
              <w:color w:val="4F81BD"/>
              <w:sz w:val="22"/>
              <w:szCs w:val="22"/>
            </w:rPr>
          </w:pPr>
        </w:p>
      </w:tc>
      <w:tc>
        <w:tcPr>
          <w:tcW w:w="2278" w:type="pct"/>
          <w:tcBorders>
            <w:top w:val="single" w:sz="4" w:space="0" w:color="4F81BD"/>
            <w:left w:val="nil"/>
            <w:bottom w:val="nil"/>
            <w:right w:val="nil"/>
          </w:tcBorders>
        </w:tcPr>
        <w:p w:rsidR="002B5938" w:rsidRPr="00A06225" w:rsidRDefault="002B5938">
          <w:pPr>
            <w:pStyle w:val="Header"/>
            <w:spacing w:line="276" w:lineRule="auto"/>
            <w:rPr>
              <w:rFonts w:ascii="Cambria" w:eastAsia="MS Gothic" w:hAnsi="Cambria"/>
              <w:b/>
              <w:bCs/>
              <w:color w:val="4F81BD"/>
            </w:rPr>
          </w:pPr>
        </w:p>
      </w:tc>
    </w:tr>
  </w:tbl>
  <w:p w:rsidR="002B5938" w:rsidRDefault="002B5938">
    <w:pPr>
      <w:pStyle w:val="Header"/>
    </w:pPr>
  </w:p>
  <w:p w:rsidR="002B5938" w:rsidRDefault="002B5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8" w:rsidRPr="00BE15D7" w:rsidRDefault="002B5938" w:rsidP="00F039FC">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2B5938" w:rsidRPr="00DC738B" w:rsidRDefault="002B5938" w:rsidP="00DC738B">
    <w:pPr>
      <w:pStyle w:val="Header"/>
      <w:tabs>
        <w:tab w:val="center" w:pos="4693"/>
        <w:tab w:val="left" w:pos="6547"/>
      </w:tabs>
      <w:ind w:left="360"/>
      <w:rPr>
        <w:i/>
        <w:sz w:val="22"/>
        <w:szCs w:val="22"/>
      </w:rPr>
    </w:pPr>
    <w:r>
      <w:rPr>
        <w:rFonts w:ascii="Arial" w:hAnsi="Arial" w:cs="Arial"/>
        <w:i/>
        <w:color w:val="808080"/>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8A5"/>
    <w:multiLevelType w:val="hybridMultilevel"/>
    <w:tmpl w:val="D40AF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2F0B7C"/>
    <w:multiLevelType w:val="hybridMultilevel"/>
    <w:tmpl w:val="AA367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01C0C89"/>
    <w:multiLevelType w:val="hybridMultilevel"/>
    <w:tmpl w:val="3E188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8CF594F"/>
    <w:multiLevelType w:val="hybridMultilevel"/>
    <w:tmpl w:val="D41E0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84D033C"/>
    <w:multiLevelType w:val="multilevel"/>
    <w:tmpl w:val="6BB447D2"/>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num>
  <w:num w:numId="4">
    <w:abstractNumId w:val="3"/>
  </w:num>
  <w:num w:numId="5">
    <w:abstractNumId w:val="2"/>
  </w:num>
  <w:num w:numId="6">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E81"/>
    <w:rsid w:val="0002304F"/>
    <w:rsid w:val="0002464A"/>
    <w:rsid w:val="000303F0"/>
    <w:rsid w:val="00030911"/>
    <w:rsid w:val="0003106B"/>
    <w:rsid w:val="000421A1"/>
    <w:rsid w:val="0004240E"/>
    <w:rsid w:val="00044A72"/>
    <w:rsid w:val="00045E26"/>
    <w:rsid w:val="000514B5"/>
    <w:rsid w:val="0006044B"/>
    <w:rsid w:val="00060618"/>
    <w:rsid w:val="00060E64"/>
    <w:rsid w:val="00062070"/>
    <w:rsid w:val="00066755"/>
    <w:rsid w:val="00074B50"/>
    <w:rsid w:val="000969AD"/>
    <w:rsid w:val="000A6BA0"/>
    <w:rsid w:val="000B558D"/>
    <w:rsid w:val="000C0C74"/>
    <w:rsid w:val="000C6996"/>
    <w:rsid w:val="000D23BA"/>
    <w:rsid w:val="000E0069"/>
    <w:rsid w:val="000E5A32"/>
    <w:rsid w:val="000E681E"/>
    <w:rsid w:val="000F4E6A"/>
    <w:rsid w:val="001107BF"/>
    <w:rsid w:val="0012417C"/>
    <w:rsid w:val="00125E6F"/>
    <w:rsid w:val="00132032"/>
    <w:rsid w:val="00134CDB"/>
    <w:rsid w:val="00142395"/>
    <w:rsid w:val="00142714"/>
    <w:rsid w:val="001452ED"/>
    <w:rsid w:val="00155396"/>
    <w:rsid w:val="001748AC"/>
    <w:rsid w:val="0018076E"/>
    <w:rsid w:val="001830CE"/>
    <w:rsid w:val="00196307"/>
    <w:rsid w:val="001A0E97"/>
    <w:rsid w:val="001B017F"/>
    <w:rsid w:val="001B5129"/>
    <w:rsid w:val="001B6FEB"/>
    <w:rsid w:val="001C1195"/>
    <w:rsid w:val="001D2E75"/>
    <w:rsid w:val="001E76BF"/>
    <w:rsid w:val="00213CFB"/>
    <w:rsid w:val="00215621"/>
    <w:rsid w:val="002213B5"/>
    <w:rsid w:val="00237534"/>
    <w:rsid w:val="00251285"/>
    <w:rsid w:val="00271BA1"/>
    <w:rsid w:val="00276E4F"/>
    <w:rsid w:val="00277505"/>
    <w:rsid w:val="00287D67"/>
    <w:rsid w:val="00293FF4"/>
    <w:rsid w:val="0029458F"/>
    <w:rsid w:val="002A104C"/>
    <w:rsid w:val="002A30C1"/>
    <w:rsid w:val="002A4960"/>
    <w:rsid w:val="002B1AE6"/>
    <w:rsid w:val="002B30F8"/>
    <w:rsid w:val="002B5938"/>
    <w:rsid w:val="002C212F"/>
    <w:rsid w:val="002E3153"/>
    <w:rsid w:val="002E4E09"/>
    <w:rsid w:val="002E72CA"/>
    <w:rsid w:val="002E7B2E"/>
    <w:rsid w:val="003161C8"/>
    <w:rsid w:val="00324E56"/>
    <w:rsid w:val="00326E79"/>
    <w:rsid w:val="00331988"/>
    <w:rsid w:val="003367EF"/>
    <w:rsid w:val="003405D6"/>
    <w:rsid w:val="00341AE4"/>
    <w:rsid w:val="00350022"/>
    <w:rsid w:val="003619E3"/>
    <w:rsid w:val="0037415D"/>
    <w:rsid w:val="0037499D"/>
    <w:rsid w:val="003872CF"/>
    <w:rsid w:val="00387A30"/>
    <w:rsid w:val="0039782C"/>
    <w:rsid w:val="003A5B4A"/>
    <w:rsid w:val="003B23C5"/>
    <w:rsid w:val="003B2A75"/>
    <w:rsid w:val="003B39C5"/>
    <w:rsid w:val="003D4AC4"/>
    <w:rsid w:val="003D63B7"/>
    <w:rsid w:val="003D65BE"/>
    <w:rsid w:val="003E468B"/>
    <w:rsid w:val="003F458C"/>
    <w:rsid w:val="003F5C8C"/>
    <w:rsid w:val="004260D3"/>
    <w:rsid w:val="00437015"/>
    <w:rsid w:val="004422EC"/>
    <w:rsid w:val="004465BD"/>
    <w:rsid w:val="00446653"/>
    <w:rsid w:val="00466ADA"/>
    <w:rsid w:val="00476245"/>
    <w:rsid w:val="00485940"/>
    <w:rsid w:val="004A5A85"/>
    <w:rsid w:val="004B16F7"/>
    <w:rsid w:val="004B2B25"/>
    <w:rsid w:val="004B3CD9"/>
    <w:rsid w:val="004B5640"/>
    <w:rsid w:val="004C1BD7"/>
    <w:rsid w:val="004C300F"/>
    <w:rsid w:val="004C3780"/>
    <w:rsid w:val="004C691D"/>
    <w:rsid w:val="004D0E6E"/>
    <w:rsid w:val="004E692D"/>
    <w:rsid w:val="004F75F6"/>
    <w:rsid w:val="00501554"/>
    <w:rsid w:val="00505973"/>
    <w:rsid w:val="005118F1"/>
    <w:rsid w:val="00513A2A"/>
    <w:rsid w:val="0051452E"/>
    <w:rsid w:val="00514CD7"/>
    <w:rsid w:val="005319B2"/>
    <w:rsid w:val="00532C74"/>
    <w:rsid w:val="00534E2E"/>
    <w:rsid w:val="00541F9B"/>
    <w:rsid w:val="00544552"/>
    <w:rsid w:val="005641B7"/>
    <w:rsid w:val="00571296"/>
    <w:rsid w:val="00571984"/>
    <w:rsid w:val="00573953"/>
    <w:rsid w:val="00577E1F"/>
    <w:rsid w:val="00581932"/>
    <w:rsid w:val="005823EF"/>
    <w:rsid w:val="005963BB"/>
    <w:rsid w:val="005A3173"/>
    <w:rsid w:val="005A3223"/>
    <w:rsid w:val="005A3DA3"/>
    <w:rsid w:val="005A46BF"/>
    <w:rsid w:val="005A52C4"/>
    <w:rsid w:val="005A6432"/>
    <w:rsid w:val="005B502D"/>
    <w:rsid w:val="005D03AB"/>
    <w:rsid w:val="005D5017"/>
    <w:rsid w:val="005E2FFE"/>
    <w:rsid w:val="00601A91"/>
    <w:rsid w:val="00602BA3"/>
    <w:rsid w:val="00614159"/>
    <w:rsid w:val="00617C00"/>
    <w:rsid w:val="006263BF"/>
    <w:rsid w:val="0062748A"/>
    <w:rsid w:val="00630A2C"/>
    <w:rsid w:val="00651169"/>
    <w:rsid w:val="00653D69"/>
    <w:rsid w:val="006571C6"/>
    <w:rsid w:val="00662CB4"/>
    <w:rsid w:val="00670A76"/>
    <w:rsid w:val="006711AA"/>
    <w:rsid w:val="00672B57"/>
    <w:rsid w:val="00675622"/>
    <w:rsid w:val="006811B5"/>
    <w:rsid w:val="0068349C"/>
    <w:rsid w:val="00690635"/>
    <w:rsid w:val="006906DB"/>
    <w:rsid w:val="00697B26"/>
    <w:rsid w:val="006A12A5"/>
    <w:rsid w:val="006A7885"/>
    <w:rsid w:val="006B0697"/>
    <w:rsid w:val="006B0D94"/>
    <w:rsid w:val="006B485D"/>
    <w:rsid w:val="006C708E"/>
    <w:rsid w:val="006D6EC7"/>
    <w:rsid w:val="006E0847"/>
    <w:rsid w:val="006E2AF5"/>
    <w:rsid w:val="006F5125"/>
    <w:rsid w:val="00713098"/>
    <w:rsid w:val="007174BB"/>
    <w:rsid w:val="00747C98"/>
    <w:rsid w:val="0076420C"/>
    <w:rsid w:val="00764FAA"/>
    <w:rsid w:val="00766481"/>
    <w:rsid w:val="00766B06"/>
    <w:rsid w:val="007744DE"/>
    <w:rsid w:val="007753C2"/>
    <w:rsid w:val="007838B8"/>
    <w:rsid w:val="007A610B"/>
    <w:rsid w:val="007C0F57"/>
    <w:rsid w:val="007C2520"/>
    <w:rsid w:val="007C40B6"/>
    <w:rsid w:val="007C729F"/>
    <w:rsid w:val="007D1CF4"/>
    <w:rsid w:val="007E1D28"/>
    <w:rsid w:val="007E6C25"/>
    <w:rsid w:val="007F2641"/>
    <w:rsid w:val="007F7C36"/>
    <w:rsid w:val="00806796"/>
    <w:rsid w:val="008156FB"/>
    <w:rsid w:val="00826F6D"/>
    <w:rsid w:val="00827A6A"/>
    <w:rsid w:val="00856DDD"/>
    <w:rsid w:val="00863842"/>
    <w:rsid w:val="00863E68"/>
    <w:rsid w:val="008746F5"/>
    <w:rsid w:val="008800B4"/>
    <w:rsid w:val="00882085"/>
    <w:rsid w:val="00883188"/>
    <w:rsid w:val="00891A89"/>
    <w:rsid w:val="00897D58"/>
    <w:rsid w:val="008A1956"/>
    <w:rsid w:val="008A1D7A"/>
    <w:rsid w:val="008A2575"/>
    <w:rsid w:val="008A3184"/>
    <w:rsid w:val="008A4937"/>
    <w:rsid w:val="008A560D"/>
    <w:rsid w:val="008B7338"/>
    <w:rsid w:val="008C184E"/>
    <w:rsid w:val="008C72E3"/>
    <w:rsid w:val="008D3C82"/>
    <w:rsid w:val="008D447E"/>
    <w:rsid w:val="008D7A41"/>
    <w:rsid w:val="008E3680"/>
    <w:rsid w:val="008E5870"/>
    <w:rsid w:val="008F1434"/>
    <w:rsid w:val="008F7355"/>
    <w:rsid w:val="009067B7"/>
    <w:rsid w:val="00906E12"/>
    <w:rsid w:val="00923937"/>
    <w:rsid w:val="00930937"/>
    <w:rsid w:val="00933446"/>
    <w:rsid w:val="00933E6C"/>
    <w:rsid w:val="00942160"/>
    <w:rsid w:val="00955C7D"/>
    <w:rsid w:val="009602C5"/>
    <w:rsid w:val="00964C23"/>
    <w:rsid w:val="00974C21"/>
    <w:rsid w:val="00985C07"/>
    <w:rsid w:val="009B0F67"/>
    <w:rsid w:val="009B3B7D"/>
    <w:rsid w:val="009C703C"/>
    <w:rsid w:val="009D3CAA"/>
    <w:rsid w:val="009F41FB"/>
    <w:rsid w:val="009F4E46"/>
    <w:rsid w:val="009F5B65"/>
    <w:rsid w:val="009F5F2E"/>
    <w:rsid w:val="00A06225"/>
    <w:rsid w:val="00A128E6"/>
    <w:rsid w:val="00A30CC1"/>
    <w:rsid w:val="00A325DD"/>
    <w:rsid w:val="00A37C8D"/>
    <w:rsid w:val="00A4223E"/>
    <w:rsid w:val="00A5273B"/>
    <w:rsid w:val="00A53A9D"/>
    <w:rsid w:val="00A55FEE"/>
    <w:rsid w:val="00A61359"/>
    <w:rsid w:val="00A62C1A"/>
    <w:rsid w:val="00A6426D"/>
    <w:rsid w:val="00A70622"/>
    <w:rsid w:val="00A70977"/>
    <w:rsid w:val="00A8390C"/>
    <w:rsid w:val="00A928BD"/>
    <w:rsid w:val="00AA4D1C"/>
    <w:rsid w:val="00AC5206"/>
    <w:rsid w:val="00AE11A5"/>
    <w:rsid w:val="00AE13E2"/>
    <w:rsid w:val="00AE5841"/>
    <w:rsid w:val="00AE610F"/>
    <w:rsid w:val="00AE63BA"/>
    <w:rsid w:val="00AF10C6"/>
    <w:rsid w:val="00AF41C5"/>
    <w:rsid w:val="00AF68CC"/>
    <w:rsid w:val="00B05EB6"/>
    <w:rsid w:val="00B108D0"/>
    <w:rsid w:val="00B135E9"/>
    <w:rsid w:val="00B205AA"/>
    <w:rsid w:val="00B22E84"/>
    <w:rsid w:val="00B25F75"/>
    <w:rsid w:val="00B26F2F"/>
    <w:rsid w:val="00B3000E"/>
    <w:rsid w:val="00B43E90"/>
    <w:rsid w:val="00B547F9"/>
    <w:rsid w:val="00B56118"/>
    <w:rsid w:val="00B66FA3"/>
    <w:rsid w:val="00B6773F"/>
    <w:rsid w:val="00B71B4F"/>
    <w:rsid w:val="00B801BA"/>
    <w:rsid w:val="00B84030"/>
    <w:rsid w:val="00BB69F5"/>
    <w:rsid w:val="00BB7EC3"/>
    <w:rsid w:val="00BC4B9A"/>
    <w:rsid w:val="00BD490A"/>
    <w:rsid w:val="00BD784C"/>
    <w:rsid w:val="00BE7AAF"/>
    <w:rsid w:val="00BF3B60"/>
    <w:rsid w:val="00BF4CB6"/>
    <w:rsid w:val="00C00DA7"/>
    <w:rsid w:val="00C034A5"/>
    <w:rsid w:val="00C03F77"/>
    <w:rsid w:val="00C06389"/>
    <w:rsid w:val="00C071A2"/>
    <w:rsid w:val="00C12768"/>
    <w:rsid w:val="00C27B58"/>
    <w:rsid w:val="00C35996"/>
    <w:rsid w:val="00C41B9E"/>
    <w:rsid w:val="00C5342C"/>
    <w:rsid w:val="00C54D67"/>
    <w:rsid w:val="00C550BB"/>
    <w:rsid w:val="00C6256A"/>
    <w:rsid w:val="00C72F1B"/>
    <w:rsid w:val="00C76DBE"/>
    <w:rsid w:val="00C81F77"/>
    <w:rsid w:val="00C91449"/>
    <w:rsid w:val="00C92D10"/>
    <w:rsid w:val="00CB2EAA"/>
    <w:rsid w:val="00CE10C4"/>
    <w:rsid w:val="00CE27B5"/>
    <w:rsid w:val="00CE7404"/>
    <w:rsid w:val="00CF5E6C"/>
    <w:rsid w:val="00D0321E"/>
    <w:rsid w:val="00D039D6"/>
    <w:rsid w:val="00D1455A"/>
    <w:rsid w:val="00D16FFC"/>
    <w:rsid w:val="00D21A82"/>
    <w:rsid w:val="00D3280C"/>
    <w:rsid w:val="00D3406A"/>
    <w:rsid w:val="00D469B2"/>
    <w:rsid w:val="00D54AFF"/>
    <w:rsid w:val="00D73646"/>
    <w:rsid w:val="00D741EB"/>
    <w:rsid w:val="00D84934"/>
    <w:rsid w:val="00D91271"/>
    <w:rsid w:val="00D91344"/>
    <w:rsid w:val="00DA2CB5"/>
    <w:rsid w:val="00DA4BAC"/>
    <w:rsid w:val="00DB3D80"/>
    <w:rsid w:val="00DC2095"/>
    <w:rsid w:val="00DC738B"/>
    <w:rsid w:val="00DD46F9"/>
    <w:rsid w:val="00DD50D4"/>
    <w:rsid w:val="00DE6D27"/>
    <w:rsid w:val="00DF217D"/>
    <w:rsid w:val="00DF26A7"/>
    <w:rsid w:val="00E01527"/>
    <w:rsid w:val="00E0280F"/>
    <w:rsid w:val="00E11ED7"/>
    <w:rsid w:val="00E164B3"/>
    <w:rsid w:val="00E16910"/>
    <w:rsid w:val="00E34BF1"/>
    <w:rsid w:val="00E43BA5"/>
    <w:rsid w:val="00E5068D"/>
    <w:rsid w:val="00E5736C"/>
    <w:rsid w:val="00E650B0"/>
    <w:rsid w:val="00E65E54"/>
    <w:rsid w:val="00E80155"/>
    <w:rsid w:val="00E812AA"/>
    <w:rsid w:val="00E81740"/>
    <w:rsid w:val="00E82CF0"/>
    <w:rsid w:val="00E848C0"/>
    <w:rsid w:val="00E91B96"/>
    <w:rsid w:val="00E941A1"/>
    <w:rsid w:val="00E95CE3"/>
    <w:rsid w:val="00EA2825"/>
    <w:rsid w:val="00EB5088"/>
    <w:rsid w:val="00ED1644"/>
    <w:rsid w:val="00ED7848"/>
    <w:rsid w:val="00EE3705"/>
    <w:rsid w:val="00EE7C0A"/>
    <w:rsid w:val="00EF44A0"/>
    <w:rsid w:val="00EF4FED"/>
    <w:rsid w:val="00F039FC"/>
    <w:rsid w:val="00F050BD"/>
    <w:rsid w:val="00F05657"/>
    <w:rsid w:val="00F25578"/>
    <w:rsid w:val="00F258E5"/>
    <w:rsid w:val="00F300BC"/>
    <w:rsid w:val="00F3334E"/>
    <w:rsid w:val="00F50EC4"/>
    <w:rsid w:val="00F57A6D"/>
    <w:rsid w:val="00F638CC"/>
    <w:rsid w:val="00F64CC1"/>
    <w:rsid w:val="00F74DF3"/>
    <w:rsid w:val="00F8247A"/>
    <w:rsid w:val="00F82A79"/>
    <w:rsid w:val="00F9629A"/>
    <w:rsid w:val="00FA5883"/>
    <w:rsid w:val="00FA6055"/>
    <w:rsid w:val="00FB1D95"/>
    <w:rsid w:val="00FB322F"/>
    <w:rsid w:val="00FB442F"/>
    <w:rsid w:val="00FB6683"/>
    <w:rsid w:val="00FC1929"/>
    <w:rsid w:val="00FC5631"/>
    <w:rsid w:val="00FC5B46"/>
    <w:rsid w:val="00FD339E"/>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3619E3"/>
    <w:pPr>
      <w:numPr>
        <w:numId w:val="1"/>
      </w:numPr>
      <w:jc w:val="both"/>
      <w:outlineLvl w:val="0"/>
    </w:pPr>
    <w:rPr>
      <w:rFonts w:ascii="Arial" w:hAnsi="Arial"/>
      <w:b/>
      <w:sz w:val="22"/>
      <w:szCs w:val="22"/>
    </w:rPr>
  </w:style>
  <w:style w:type="paragraph" w:styleId="Heading2">
    <w:name w:val="heading 2"/>
    <w:basedOn w:val="Normal"/>
    <w:next w:val="Normal"/>
    <w:qFormat/>
    <w:rsid w:val="003619E3"/>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Default">
    <w:name w:val="Default"/>
    <w:rsid w:val="00D54AFF"/>
    <w:pPr>
      <w:autoSpaceDE w:val="0"/>
      <w:autoSpaceDN w:val="0"/>
      <w:adjustRightInd w:val="0"/>
    </w:pPr>
    <w:rPr>
      <w:rFonts w:ascii="Arial" w:eastAsia="Calibri" w:hAnsi="Arial" w:cs="Arial"/>
      <w:color w:val="000000"/>
      <w:sz w:val="24"/>
      <w:szCs w:val="24"/>
    </w:rPr>
  </w:style>
  <w:style w:type="paragraph" w:styleId="Caption">
    <w:name w:val="caption"/>
    <w:aliases w:val="Caption Char1,Caption Char Char,Caption Char,Bayer Caption,IB Caption,Medical Caption,Bayer Normal Zchn Zchn"/>
    <w:basedOn w:val="Normal"/>
    <w:next w:val="Normal"/>
    <w:link w:val="CaptionChar2"/>
    <w:qFormat/>
    <w:rsid w:val="00215621"/>
    <w:pPr>
      <w:tabs>
        <w:tab w:val="left" w:pos="567"/>
        <w:tab w:val="left" w:pos="851"/>
        <w:tab w:val="left" w:pos="1134"/>
      </w:tabs>
      <w:spacing w:after="60"/>
      <w:ind w:left="839" w:hanging="839"/>
    </w:pPr>
    <w:rPr>
      <w:rFonts w:asciiTheme="minorHAnsi" w:hAnsiTheme="minorHAnsi" w:cs="Arial"/>
      <w:b/>
      <w:bCs/>
      <w:sz w:val="22"/>
      <w:szCs w:val="22"/>
      <w:lang w:eastAsia="en-US"/>
    </w:rPr>
  </w:style>
  <w:style w:type="paragraph" w:customStyle="1" w:styleId="TableText0">
    <w:name w:val="TableText"/>
    <w:basedOn w:val="Normal"/>
    <w:link w:val="TableTextChar0"/>
    <w:qFormat/>
    <w:rsid w:val="00215621"/>
    <w:pPr>
      <w:keepNext/>
      <w:spacing w:before="40" w:after="40" w:line="360" w:lineRule="auto"/>
      <w:jc w:val="both"/>
    </w:pPr>
    <w:rPr>
      <w:rFonts w:ascii="Arial Narrow" w:hAnsi="Arial Narrow" w:cs="Arial Narrow"/>
      <w:sz w:val="20"/>
      <w:szCs w:val="20"/>
      <w:lang w:eastAsia="en-US"/>
    </w:rPr>
  </w:style>
  <w:style w:type="character" w:customStyle="1" w:styleId="TableTextChar0">
    <w:name w:val="TableText Char"/>
    <w:basedOn w:val="DefaultParagraphFont"/>
    <w:link w:val="TableText0"/>
    <w:rsid w:val="00215621"/>
    <w:rPr>
      <w:rFonts w:ascii="Arial Narrow" w:hAnsi="Arial Narrow" w:cs="Arial Narrow"/>
      <w:lang w:eastAsia="en-US"/>
    </w:rPr>
  </w:style>
  <w:style w:type="character" w:customStyle="1" w:styleId="CaptionChar2">
    <w:name w:val="Caption Char2"/>
    <w:aliases w:val="Caption Char1 Char,Caption Char Char Char,Caption Char Char1,Bayer Caption Char,IB Caption Char,Medical Caption Char,Bayer Normal Zchn Zchn Char"/>
    <w:link w:val="Caption"/>
    <w:rsid w:val="00215621"/>
    <w:rPr>
      <w:rFonts w:asciiTheme="minorHAnsi" w:hAnsiTheme="minorHAnsi" w:cs="Arial"/>
      <w:b/>
      <w:bCs/>
      <w:sz w:val="22"/>
      <w:szCs w:val="22"/>
      <w:lang w:eastAsia="en-US"/>
    </w:rPr>
  </w:style>
  <w:style w:type="paragraph" w:customStyle="1" w:styleId="PBACHeading1">
    <w:name w:val="PBAC Heading 1"/>
    <w:qFormat/>
    <w:rsid w:val="00AF41C5"/>
    <w:pPr>
      <w:ind w:left="720" w:hanging="720"/>
    </w:pPr>
    <w:rPr>
      <w:rFonts w:ascii="Arial" w:hAnsi="Arial" w:cs="Arial"/>
      <w:b/>
      <w:snapToGrid w:val="0"/>
      <w:sz w:val="22"/>
      <w:szCs w:val="22"/>
      <w:lang w:eastAsia="en-US"/>
    </w:rPr>
  </w:style>
  <w:style w:type="paragraph" w:customStyle="1" w:styleId="TableFooter">
    <w:name w:val="Table Footer"/>
    <w:basedOn w:val="Normal"/>
    <w:qFormat/>
    <w:rsid w:val="004F75F6"/>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rsid w:val="004F75F6"/>
    <w:rPr>
      <w:rFonts w:ascii="Arial" w:hAnsi="Arial"/>
      <w:lang w:eastAsia="en-US"/>
    </w:rPr>
  </w:style>
  <w:style w:type="paragraph" w:customStyle="1" w:styleId="Table">
    <w:name w:val="Table"/>
    <w:basedOn w:val="Normal"/>
    <w:qFormat/>
    <w:rsid w:val="008A3184"/>
    <w:rPr>
      <w:rFonts w:ascii="Arial Narrow" w:eastAsiaTheme="minorHAnsi" w:hAnsi="Arial Narrow" w:cstheme="minorBidi"/>
      <w:sz w:val="20"/>
      <w:szCs w:val="22"/>
      <w:lang w:eastAsia="en-US"/>
    </w:rPr>
  </w:style>
  <w:style w:type="paragraph" w:styleId="Revision">
    <w:name w:val="Revision"/>
    <w:hidden/>
    <w:uiPriority w:val="71"/>
    <w:rsid w:val="00237534"/>
    <w:rPr>
      <w:sz w:val="24"/>
      <w:szCs w:val="24"/>
    </w:rPr>
  </w:style>
  <w:style w:type="paragraph" w:styleId="Title">
    <w:name w:val="Title"/>
    <w:basedOn w:val="Normal"/>
    <w:next w:val="Normal"/>
    <w:link w:val="TitleChar"/>
    <w:qFormat/>
    <w:rsid w:val="003619E3"/>
    <w:pPr>
      <w:ind w:left="720" w:hanging="720"/>
      <w:outlineLvl w:val="0"/>
    </w:pPr>
    <w:rPr>
      <w:rFonts w:ascii="Arial" w:hAnsi="Arial"/>
      <w:b/>
      <w:sz w:val="28"/>
      <w:szCs w:val="28"/>
    </w:rPr>
  </w:style>
  <w:style w:type="character" w:customStyle="1" w:styleId="TitleChar">
    <w:name w:val="Title Char"/>
    <w:basedOn w:val="DefaultParagraphFont"/>
    <w:link w:val="Title"/>
    <w:rsid w:val="003619E3"/>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3619E3"/>
    <w:pPr>
      <w:numPr>
        <w:numId w:val="1"/>
      </w:numPr>
      <w:jc w:val="both"/>
      <w:outlineLvl w:val="0"/>
    </w:pPr>
    <w:rPr>
      <w:rFonts w:ascii="Arial" w:hAnsi="Arial"/>
      <w:b/>
      <w:sz w:val="22"/>
      <w:szCs w:val="22"/>
    </w:rPr>
  </w:style>
  <w:style w:type="paragraph" w:styleId="Heading2">
    <w:name w:val="heading 2"/>
    <w:basedOn w:val="Normal"/>
    <w:next w:val="Normal"/>
    <w:qFormat/>
    <w:rsid w:val="003619E3"/>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Default">
    <w:name w:val="Default"/>
    <w:rsid w:val="00D54AFF"/>
    <w:pPr>
      <w:autoSpaceDE w:val="0"/>
      <w:autoSpaceDN w:val="0"/>
      <w:adjustRightInd w:val="0"/>
    </w:pPr>
    <w:rPr>
      <w:rFonts w:ascii="Arial" w:eastAsia="Calibri" w:hAnsi="Arial" w:cs="Arial"/>
      <w:color w:val="000000"/>
      <w:sz w:val="24"/>
      <w:szCs w:val="24"/>
    </w:rPr>
  </w:style>
  <w:style w:type="paragraph" w:styleId="Caption">
    <w:name w:val="caption"/>
    <w:aliases w:val="Caption Char1,Caption Char Char,Caption Char,Bayer Caption,IB Caption,Medical Caption,Bayer Normal Zchn Zchn"/>
    <w:basedOn w:val="Normal"/>
    <w:next w:val="Normal"/>
    <w:link w:val="CaptionChar2"/>
    <w:qFormat/>
    <w:rsid w:val="00215621"/>
    <w:pPr>
      <w:tabs>
        <w:tab w:val="left" w:pos="567"/>
        <w:tab w:val="left" w:pos="851"/>
        <w:tab w:val="left" w:pos="1134"/>
      </w:tabs>
      <w:spacing w:after="60"/>
      <w:ind w:left="839" w:hanging="839"/>
    </w:pPr>
    <w:rPr>
      <w:rFonts w:asciiTheme="minorHAnsi" w:hAnsiTheme="minorHAnsi" w:cs="Arial"/>
      <w:b/>
      <w:bCs/>
      <w:sz w:val="22"/>
      <w:szCs w:val="22"/>
      <w:lang w:eastAsia="en-US"/>
    </w:rPr>
  </w:style>
  <w:style w:type="paragraph" w:customStyle="1" w:styleId="TableText0">
    <w:name w:val="TableText"/>
    <w:basedOn w:val="Normal"/>
    <w:link w:val="TableTextChar0"/>
    <w:qFormat/>
    <w:rsid w:val="00215621"/>
    <w:pPr>
      <w:keepNext/>
      <w:spacing w:before="40" w:after="40" w:line="360" w:lineRule="auto"/>
      <w:jc w:val="both"/>
    </w:pPr>
    <w:rPr>
      <w:rFonts w:ascii="Arial Narrow" w:hAnsi="Arial Narrow" w:cs="Arial Narrow"/>
      <w:sz w:val="20"/>
      <w:szCs w:val="20"/>
      <w:lang w:eastAsia="en-US"/>
    </w:rPr>
  </w:style>
  <w:style w:type="character" w:customStyle="1" w:styleId="TableTextChar0">
    <w:name w:val="TableText Char"/>
    <w:basedOn w:val="DefaultParagraphFont"/>
    <w:link w:val="TableText0"/>
    <w:rsid w:val="00215621"/>
    <w:rPr>
      <w:rFonts w:ascii="Arial Narrow" w:hAnsi="Arial Narrow" w:cs="Arial Narrow"/>
      <w:lang w:eastAsia="en-US"/>
    </w:rPr>
  </w:style>
  <w:style w:type="character" w:customStyle="1" w:styleId="CaptionChar2">
    <w:name w:val="Caption Char2"/>
    <w:aliases w:val="Caption Char1 Char,Caption Char Char Char,Caption Char Char1,Bayer Caption Char,IB Caption Char,Medical Caption Char,Bayer Normal Zchn Zchn Char"/>
    <w:link w:val="Caption"/>
    <w:rsid w:val="00215621"/>
    <w:rPr>
      <w:rFonts w:asciiTheme="minorHAnsi" w:hAnsiTheme="minorHAnsi" w:cs="Arial"/>
      <w:b/>
      <w:bCs/>
      <w:sz w:val="22"/>
      <w:szCs w:val="22"/>
      <w:lang w:eastAsia="en-US"/>
    </w:rPr>
  </w:style>
  <w:style w:type="paragraph" w:customStyle="1" w:styleId="PBACHeading1">
    <w:name w:val="PBAC Heading 1"/>
    <w:qFormat/>
    <w:rsid w:val="00AF41C5"/>
    <w:pPr>
      <w:ind w:left="720" w:hanging="720"/>
    </w:pPr>
    <w:rPr>
      <w:rFonts w:ascii="Arial" w:hAnsi="Arial" w:cs="Arial"/>
      <w:b/>
      <w:snapToGrid w:val="0"/>
      <w:sz w:val="22"/>
      <w:szCs w:val="22"/>
      <w:lang w:eastAsia="en-US"/>
    </w:rPr>
  </w:style>
  <w:style w:type="paragraph" w:customStyle="1" w:styleId="TableFooter">
    <w:name w:val="Table Footer"/>
    <w:basedOn w:val="Normal"/>
    <w:qFormat/>
    <w:rsid w:val="004F75F6"/>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rsid w:val="004F75F6"/>
    <w:rPr>
      <w:rFonts w:ascii="Arial" w:hAnsi="Arial"/>
      <w:lang w:eastAsia="en-US"/>
    </w:rPr>
  </w:style>
  <w:style w:type="paragraph" w:customStyle="1" w:styleId="Table">
    <w:name w:val="Table"/>
    <w:basedOn w:val="Normal"/>
    <w:qFormat/>
    <w:rsid w:val="008A3184"/>
    <w:rPr>
      <w:rFonts w:ascii="Arial Narrow" w:eastAsiaTheme="minorHAnsi" w:hAnsi="Arial Narrow" w:cstheme="minorBidi"/>
      <w:sz w:val="20"/>
      <w:szCs w:val="22"/>
      <w:lang w:eastAsia="en-US"/>
    </w:rPr>
  </w:style>
  <w:style w:type="paragraph" w:styleId="Revision">
    <w:name w:val="Revision"/>
    <w:hidden/>
    <w:uiPriority w:val="71"/>
    <w:rsid w:val="00237534"/>
    <w:rPr>
      <w:sz w:val="24"/>
      <w:szCs w:val="24"/>
    </w:rPr>
  </w:style>
  <w:style w:type="paragraph" w:styleId="Title">
    <w:name w:val="Title"/>
    <w:basedOn w:val="Normal"/>
    <w:next w:val="Normal"/>
    <w:link w:val="TitleChar"/>
    <w:qFormat/>
    <w:rsid w:val="003619E3"/>
    <w:pPr>
      <w:ind w:left="720" w:hanging="720"/>
      <w:outlineLvl w:val="0"/>
    </w:pPr>
    <w:rPr>
      <w:rFonts w:ascii="Arial" w:hAnsi="Arial"/>
      <w:b/>
      <w:sz w:val="28"/>
      <w:szCs w:val="28"/>
    </w:rPr>
  </w:style>
  <w:style w:type="character" w:customStyle="1" w:styleId="TitleChar">
    <w:name w:val="Title Char"/>
    <w:basedOn w:val="DefaultParagraphFont"/>
    <w:link w:val="Title"/>
    <w:rsid w:val="003619E3"/>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4504341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708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EBDA-79BC-4E73-84A5-D52EA4A5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4236</Words>
  <Characters>25216</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7.13 NETUPITANT and PALONOSETRON</vt:lpstr>
    </vt:vector>
  </TitlesOfParts>
  <LinksUpToDate>false</LinksUpToDate>
  <CharactersWithSpaces>29394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7.13 NETUPITANT and PALONOSETRON</dc:title>
  <dc:creator/>
  <cp:lastModifiedBy/>
  <cp:revision>1</cp:revision>
  <dcterms:created xsi:type="dcterms:W3CDTF">2016-02-24T22:55:00Z</dcterms:created>
  <dcterms:modified xsi:type="dcterms:W3CDTF">2016-02-26T01:38:00Z</dcterms:modified>
</cp:coreProperties>
</file>